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267E" w14:textId="035FBE26" w:rsidR="008228A0" w:rsidRPr="00605342" w:rsidRDefault="005A6F0A" w:rsidP="008D08E0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481651147"/>
      <w:r w:rsidRPr="0060534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《</w:t>
      </w:r>
      <w:r w:rsidR="008228A0" w:rsidRPr="00605342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中国钢铁产品放心品牌评价规范</w:t>
      </w:r>
      <w:r w:rsidR="008228A0" w:rsidRPr="00605342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 </w:t>
      </w:r>
      <w:r w:rsidR="00E71A27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无取向电工钢</w:t>
      </w:r>
      <w:r w:rsidRPr="0060534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》</w:t>
      </w:r>
    </w:p>
    <w:p w14:paraId="4A30F08F" w14:textId="54E3A42D" w:rsidR="005A6F0A" w:rsidRPr="00605342" w:rsidRDefault="005A6F0A" w:rsidP="008D08E0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60534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团体标准编制说明</w:t>
      </w:r>
    </w:p>
    <w:p w14:paraId="5289704B" w14:textId="77777777" w:rsidR="00061866" w:rsidRPr="00605342" w:rsidRDefault="00061866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7DA5DEFC" w14:textId="77777777" w:rsidR="005A6F0A" w:rsidRPr="00605342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19628E94" w14:textId="679820F2" w:rsidR="00034F94" w:rsidRDefault="00034F94" w:rsidP="00863E7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满足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钢铁行业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放心品牌</w:t>
      </w:r>
      <w:r>
        <w:rPr>
          <w:rFonts w:ascii="Times New Roman" w:eastAsia="仿宋_GB2312" w:hAnsi="Times New Roman" w:cs="Times New Roman"/>
          <w:sz w:val="28"/>
          <w:szCs w:val="28"/>
        </w:rPr>
        <w:t>评价标准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实际需求，提出《中国钢铁产品放心品牌评价规范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</w:p>
    <w:p w14:paraId="5F685F68" w14:textId="127117D8" w:rsidR="005A6F0A" w:rsidRPr="00605342" w:rsidRDefault="00863E74" w:rsidP="00863E7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本文件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由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提出并归口，冶金工业规划研究院作为标准组织协调单位。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根据中国特钢企业协会团体标准化工作委员会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202</w:t>
      </w:r>
      <w:r w:rsidR="00A813F1" w:rsidRPr="00194CC2">
        <w:rPr>
          <w:rFonts w:ascii="Times New Roman" w:eastAsia="仿宋_GB2312" w:hAnsi="Times New Roman" w:cs="Times New Roman"/>
          <w:sz w:val="28"/>
          <w:szCs w:val="28"/>
        </w:rPr>
        <w:t>2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年第</w:t>
      </w:r>
      <w:r w:rsidR="00A813F1" w:rsidRPr="00194CC2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批团体标准制修订计划，由冶金工业规划研究院</w:t>
      </w:r>
      <w:r w:rsidR="00317EFF" w:rsidRPr="00194CC2">
        <w:rPr>
          <w:rFonts w:ascii="Times New Roman" w:eastAsia="仿宋_GB2312" w:hAnsi="Times New Roman" w:cs="Times New Roman" w:hint="eastAsia"/>
          <w:sz w:val="28"/>
          <w:szCs w:val="28"/>
        </w:rPr>
        <w:t>等单位负责标准编制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，</w:t>
      </w:r>
      <w:r w:rsidR="00941254" w:rsidRPr="00941254">
        <w:rPr>
          <w:rFonts w:ascii="Times New Roman" w:eastAsia="仿宋_GB2312" w:hAnsi="Times New Roman" w:cs="Times New Roman" w:hint="eastAsia"/>
          <w:sz w:val="28"/>
          <w:szCs w:val="28"/>
        </w:rPr>
        <w:t>并共同参与前期研究、调研和标准的编制、修改、技术数据验证以及标准推广等工作。</w:t>
      </w:r>
    </w:p>
    <w:p w14:paraId="42210E58" w14:textId="442A0A3A" w:rsidR="005A6F0A" w:rsidRPr="00605342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</w:t>
      </w:r>
      <w:r w:rsidR="00863E74"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的目的和意义</w:t>
      </w:r>
    </w:p>
    <w:p w14:paraId="12F3C5BF" w14:textId="77777777" w:rsidR="00E71A27" w:rsidRPr="00E71A27" w:rsidRDefault="00E71A27" w:rsidP="00E71A27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是含碳很低的硅铁软磁材料，是电力、电子和军事工业中不可缺少的重要材料。随着电机高速化和小型化的发展，无取向电工钢作为电动机和发电机转子的铁芯材料，对其性能提出了更高的要求。我国无取向电工钢产量整体呈上升趋势，但近年来增速放缓，主要原因是中低牌号无取向电工钢面临产能过剩，而高端牌号产能不足的问题凸显。</w:t>
      </w:r>
    </w:p>
    <w:p w14:paraId="4790A0AE" w14:textId="77777777" w:rsidR="00E71A27" w:rsidRDefault="00E71A27" w:rsidP="00E71A2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71A27">
        <w:rPr>
          <w:rFonts w:ascii="Times New Roman" w:eastAsia="仿宋_GB2312" w:hAnsi="Times New Roman" w:cs="Times New Roman" w:hint="eastAsia"/>
          <w:sz w:val="28"/>
          <w:szCs w:val="28"/>
        </w:rPr>
        <w:t>近年来，随着下游市场需求的快速增长，无取向电工钢行业出现</w:t>
      </w:r>
      <w:r w:rsidRPr="00E71A27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了产品假冒伪劣、以次充好等无序竞争等情况，同时，无取向电工钢行业还存在部分特殊产品“卡脖子”、技术和资金壁垒较高等问题。在质量提升政策要求和企业规范发展的双重背景下，针对无取向电工钢产品在生产设备、研发能力、资金投入等方面要求较高的问题下，冶金工业规划研究院提出中国钢铁产品放心品牌评价规范系列标准，从企业管理、产品质量等多方面进行评价，加强工业品牌培育、创建和提升，推动“中国制造”向品牌卓越和品牌卓著迈进。</w:t>
      </w:r>
    </w:p>
    <w:p w14:paraId="16B89AE0" w14:textId="72051201" w:rsidR="008C1E7E" w:rsidRPr="00034F94" w:rsidRDefault="00E22248" w:rsidP="00E71A2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22248">
        <w:rPr>
          <w:rFonts w:ascii="Times New Roman" w:eastAsia="仿宋_GB2312" w:hAnsi="Times New Roman" w:cs="Times New Roman" w:hint="eastAsia"/>
          <w:sz w:val="28"/>
          <w:szCs w:val="28"/>
        </w:rPr>
        <w:t>认证是提升质量、传递信任的重要手段，而标准是科学开展认证工作的重要依据。随着我国进入高质量发展的新阶段，科学规范地开展钢铁行业认证工作，制定完善钢铁认证依据标准的重要性日益凸显。为进一步突出钢铁产品质量的稳定性和一致性，向下游用户传递放心可靠的钢铁产品品牌形象，支撑钢铁产品放心品牌认证工作，有必要开展重点钢材产品的放心品牌评价标准制定工作。本标准结合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E22248">
        <w:rPr>
          <w:rFonts w:ascii="Times New Roman" w:eastAsia="仿宋_GB2312" w:hAnsi="Times New Roman" w:cs="Times New Roman" w:hint="eastAsia"/>
          <w:sz w:val="28"/>
          <w:szCs w:val="28"/>
        </w:rPr>
        <w:t>产品“放心”的特点和要求，综合考虑产品层面的质量一致性、质量反馈、产品认证、荣誉奖项，企业层面的质量保证能力、创新能力、企业诚信、服务水平、信息化水平等内容，围绕传递企业产品质量保障能力和产品品牌价值，制定科学合理、先进适用的评价标准，为下一步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E22248">
        <w:rPr>
          <w:rFonts w:ascii="Times New Roman" w:eastAsia="仿宋_GB2312" w:hAnsi="Times New Roman" w:cs="Times New Roman" w:hint="eastAsia"/>
          <w:sz w:val="28"/>
          <w:szCs w:val="28"/>
        </w:rPr>
        <w:t>产品放心品牌认证提供依据，支撑培育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E22248">
        <w:rPr>
          <w:rFonts w:ascii="Times New Roman" w:eastAsia="仿宋_GB2312" w:hAnsi="Times New Roman" w:cs="Times New Roman" w:hint="eastAsia"/>
          <w:sz w:val="28"/>
          <w:szCs w:val="28"/>
        </w:rPr>
        <w:t>产品“放心品牌”，促进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E22248">
        <w:rPr>
          <w:rFonts w:ascii="Times New Roman" w:eastAsia="仿宋_GB2312" w:hAnsi="Times New Roman" w:cs="Times New Roman" w:hint="eastAsia"/>
          <w:sz w:val="28"/>
          <w:szCs w:val="28"/>
        </w:rPr>
        <w:t>产品生产和市场应用的健康发展。</w:t>
      </w:r>
    </w:p>
    <w:p w14:paraId="0AC4A2ED" w14:textId="3B612F1D" w:rsidR="005A6F0A" w:rsidRPr="00605342" w:rsidRDefault="006E635E" w:rsidP="00917EAB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</w:t>
      </w:r>
      <w:r w:rsidR="005A6F0A"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主要编制过程</w:t>
      </w:r>
    </w:p>
    <w:p w14:paraId="34AB1300" w14:textId="5355228E" w:rsidR="000F4EDD" w:rsidRPr="00605342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2D6E47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6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605342">
        <w:rPr>
          <w:rFonts w:ascii="Times New Roman" w:eastAsia="仿宋_GB2312" w:hAnsi="Times New Roman" w:cs="Times New Roman"/>
          <w:sz w:val="28"/>
          <w:szCs w:val="28"/>
        </w:rPr>
        <w:lastRenderedPageBreak/>
        <w:t>简称团标</w:t>
      </w:r>
      <w:proofErr w:type="gramEnd"/>
      <w:r w:rsidRPr="00605342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委）秘书处给各位委员发出团体标准立项函审单。到立项函审截止日期，没有委员提出不同意见。</w:t>
      </w:r>
    </w:p>
    <w:p w14:paraId="2204A39F" w14:textId="79238416" w:rsidR="000F4EDD" w:rsidRPr="00605342" w:rsidRDefault="000F4EDD" w:rsidP="00405E8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2D6E47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7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605342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605342">
        <w:rPr>
          <w:rFonts w:ascii="Times New Roman" w:eastAsia="仿宋_GB2312" w:hAnsi="Times New Roman" w:cs="Times New Roman"/>
          <w:sz w:val="28"/>
          <w:szCs w:val="28"/>
        </w:rPr>
        <w:t>正式下达团体标准立项计划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202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年第</w:t>
      </w:r>
      <w:r w:rsidR="003837E1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批）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。团体标准立项后，</w:t>
      </w:r>
      <w:r w:rsidR="00B1546B" w:rsidRPr="00194CC2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相关人员组成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起草组，提出了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编制计划和任务分工，并开始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编制工作。</w:t>
      </w:r>
    </w:p>
    <w:p w14:paraId="200EA230" w14:textId="7AA49AEA" w:rsidR="00FC7211" w:rsidRDefault="002D6E47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E71A27">
        <w:rPr>
          <w:rFonts w:ascii="Times New Roman" w:eastAsia="仿宋_GB2312" w:hAnsi="Times New Roman" w:cs="Times New Roman"/>
          <w:sz w:val="28"/>
          <w:szCs w:val="28"/>
        </w:rPr>
        <w:t>12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月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FC7211">
        <w:rPr>
          <w:rFonts w:ascii="Times New Roman" w:eastAsia="仿宋_GB2312" w:hAnsi="Times New Roman" w:cs="Times New Roman"/>
          <w:sz w:val="28"/>
          <w:szCs w:val="28"/>
        </w:rPr>
        <w:t>2023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E71A27">
        <w:rPr>
          <w:rFonts w:ascii="Times New Roman" w:eastAsia="仿宋_GB2312" w:hAnsi="Times New Roman" w:cs="Times New Roman"/>
          <w:sz w:val="28"/>
          <w:szCs w:val="28"/>
        </w:rPr>
        <w:t>7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：</w:t>
      </w:r>
      <w:r w:rsidR="00FC7211" w:rsidRPr="00FC7211">
        <w:rPr>
          <w:rFonts w:ascii="Times New Roman" w:eastAsia="仿宋_GB2312" w:hAnsi="Times New Roman" w:cs="Times New Roman" w:hint="eastAsia"/>
          <w:sz w:val="28"/>
          <w:szCs w:val="28"/>
        </w:rPr>
        <w:t>行了起草标准的调研、问题分析和相关资料收集等准备工作，完成了标准制定提纲、标准草案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5BEC2DD" w14:textId="32E4F4C2" w:rsidR="00FC7211" w:rsidRDefault="00FC7211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E71A27"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 w:rsidR="00130B25">
        <w:rPr>
          <w:rFonts w:ascii="Times New Roman" w:eastAsia="仿宋_GB2312" w:hAnsi="Times New Roman" w:cs="Times New Roman" w:hint="eastAsia"/>
          <w:sz w:val="28"/>
          <w:szCs w:val="28"/>
        </w:rPr>
        <w:t>围绕标准草案进行讨论，</w:t>
      </w:r>
      <w:r w:rsidRPr="00FC7211"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 w:rsidR="00130B25">
        <w:rPr>
          <w:rFonts w:ascii="Times New Roman" w:eastAsia="仿宋_GB2312" w:hAnsi="Times New Roman" w:cs="Times New Roman" w:hint="eastAsia"/>
          <w:sz w:val="28"/>
          <w:szCs w:val="28"/>
        </w:rPr>
        <w:t>专家</w:t>
      </w:r>
      <w:r w:rsidRPr="00FC7211">
        <w:rPr>
          <w:rFonts w:ascii="Times New Roman" w:eastAsia="仿宋_GB2312" w:hAnsi="Times New Roman" w:cs="Times New Roman" w:hint="eastAsia"/>
          <w:sz w:val="28"/>
          <w:szCs w:val="28"/>
        </w:rPr>
        <w:t>意见和建议作进一步修改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705BC37" w14:textId="45795672" w:rsidR="00EE64D6" w:rsidRPr="00605342" w:rsidRDefault="00FC7211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形成征求意见稿并发出征求意见。</w:t>
      </w:r>
    </w:p>
    <w:p w14:paraId="22125F53" w14:textId="51097C3C" w:rsidR="007117FA" w:rsidRPr="00605342" w:rsidRDefault="007117FA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5976DE" w:rsidRPr="00605342">
        <w:rPr>
          <w:rFonts w:ascii="Times New Roman" w:eastAsia="仿宋_GB2312" w:hAnsi="Times New Roman" w:cs="Times New Roman"/>
          <w:sz w:val="28"/>
          <w:szCs w:val="28"/>
        </w:rPr>
        <w:t>3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FC7211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月：完成征求意见处理、形成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标准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送审稿。</w:t>
      </w:r>
    </w:p>
    <w:p w14:paraId="35DFC8B9" w14:textId="50B0AB2F" w:rsidR="007117FA" w:rsidRPr="00605342" w:rsidRDefault="007117FA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5976DE" w:rsidRPr="00605342">
        <w:rPr>
          <w:rFonts w:ascii="Times New Roman" w:eastAsia="仿宋_GB2312" w:hAnsi="Times New Roman" w:cs="Times New Roman"/>
          <w:sz w:val="28"/>
          <w:szCs w:val="28"/>
        </w:rPr>
        <w:t>3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FC7211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完成该标准审定会和标准报批稿，上报中国特钢企业协会审批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5242551" w14:textId="6A3E5772" w:rsidR="007117FA" w:rsidRPr="00605342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6C2C1A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5976DE" w:rsidRPr="00605342">
        <w:rPr>
          <w:rFonts w:ascii="Times New Roman" w:eastAsia="仿宋_GB2312" w:hAnsi="Times New Roman" w:cs="Times New Roman"/>
          <w:sz w:val="28"/>
          <w:szCs w:val="28"/>
        </w:rPr>
        <w:t>3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FC7211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FC7211" w:rsidRPr="00FC7211">
        <w:rPr>
          <w:rFonts w:ascii="Times New Roman" w:eastAsia="仿宋_GB2312" w:hAnsi="Times New Roman" w:cs="Times New Roman" w:hint="eastAsia"/>
          <w:sz w:val="28"/>
          <w:szCs w:val="28"/>
        </w:rPr>
        <w:t>完成该标准发布、实施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6B87289" w14:textId="77777777" w:rsidR="005A6F0A" w:rsidRPr="00605342" w:rsidRDefault="005A6F0A" w:rsidP="00194CC2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26DBC5ED" w14:textId="77777777" w:rsidR="00194CC2" w:rsidRDefault="00194CC2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认证是传递信任的重要手段，以钢铁产品质量稳定性评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价标准为依据，开展中国钢铁产品放心品牌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认证，能进一步凸显钢铁企业产品质量优势，快速有效地向市场和下游用户传递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信心，促进实现下游行业用的放心，帮助钢铁企业培育树立放心品牌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844D443" w14:textId="58A19BB1" w:rsidR="00194CC2" w:rsidRPr="00605342" w:rsidRDefault="00194CC2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标准是</w:t>
      </w:r>
      <w:r>
        <w:rPr>
          <w:rFonts w:ascii="Times New Roman" w:eastAsia="仿宋_GB2312" w:hAnsi="Times New Roman" w:cs="Times New Roman"/>
          <w:sz w:val="28"/>
          <w:szCs w:val="28"/>
        </w:rPr>
        <w:t>认证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基础，为了更加科学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规范</w:t>
      </w:r>
      <w:r>
        <w:rPr>
          <w:rFonts w:ascii="Times New Roman" w:eastAsia="仿宋_GB2312" w:hAnsi="Times New Roman" w:cs="Times New Roman"/>
          <w:sz w:val="28"/>
          <w:szCs w:val="28"/>
        </w:rPr>
        <w:t>地开展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放心品牌</w:t>
      </w:r>
      <w:r>
        <w:rPr>
          <w:rFonts w:ascii="Times New Roman" w:eastAsia="仿宋_GB2312" w:hAnsi="Times New Roman" w:cs="Times New Roman"/>
          <w:sz w:val="28"/>
          <w:szCs w:val="28"/>
        </w:rPr>
        <w:t>认证工作，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先行</w:t>
      </w:r>
      <w:r>
        <w:rPr>
          <w:rFonts w:ascii="Times New Roman" w:eastAsia="仿宋_GB2312" w:hAnsi="Times New Roman" w:cs="Times New Roman"/>
          <w:sz w:val="28"/>
          <w:szCs w:val="28"/>
        </w:rPr>
        <w:t>开展放心品牌认证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依据</w:t>
      </w:r>
      <w:r>
        <w:rPr>
          <w:rFonts w:ascii="Times New Roman" w:eastAsia="仿宋_GB2312" w:hAnsi="Times New Roman" w:cs="Times New Roman"/>
          <w:sz w:val="28"/>
          <w:szCs w:val="28"/>
        </w:rPr>
        <w:t>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研制十分重要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本文件主要为规范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钢材产品放心品牌评价，因此本文件在编制过程中综合考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虑企业生产层面和质量控制层面进行评价指标体系设计。</w:t>
      </w:r>
    </w:p>
    <w:p w14:paraId="36CB9B7C" w14:textId="5FC5FDA6" w:rsidR="006E20BC" w:rsidRPr="00605342" w:rsidRDefault="00543C4F" w:rsidP="006E20B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本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根据</w:t>
      </w:r>
      <w:r w:rsidR="00B40C9B" w:rsidRPr="00605342">
        <w:rPr>
          <w:rFonts w:ascii="Times New Roman" w:eastAsia="仿宋_GB2312" w:hAnsi="Times New Roman" w:cs="Times New Roman"/>
          <w:sz w:val="28"/>
          <w:szCs w:val="28"/>
        </w:rPr>
        <w:t>GB/T 29186</w:t>
      </w:r>
      <w:r w:rsidR="00A6585D" w:rsidRPr="00605342">
        <w:rPr>
          <w:rFonts w:ascii="Times New Roman" w:eastAsia="仿宋_GB2312" w:hAnsi="Times New Roman" w:cs="Times New Roman"/>
          <w:sz w:val="28"/>
          <w:szCs w:val="28"/>
        </w:rPr>
        <w:t>《</w:t>
      </w:r>
      <w:r w:rsidR="00B40C9B" w:rsidRPr="00605342">
        <w:rPr>
          <w:rFonts w:ascii="Times New Roman" w:eastAsia="仿宋_GB2312" w:hAnsi="Times New Roman" w:cs="Times New Roman" w:hint="eastAsia"/>
          <w:sz w:val="28"/>
          <w:szCs w:val="28"/>
        </w:rPr>
        <w:t>品牌价值要素评价</w:t>
      </w:r>
      <w:r w:rsidR="00A6585D" w:rsidRPr="00605342">
        <w:rPr>
          <w:rFonts w:ascii="Times New Roman" w:eastAsia="仿宋_GB2312" w:hAnsi="Times New Roman" w:cs="Times New Roman"/>
          <w:sz w:val="28"/>
          <w:szCs w:val="28"/>
        </w:rPr>
        <w:t>》</w:t>
      </w:r>
      <w:r w:rsidR="00B40C9B" w:rsidRPr="00605342">
        <w:rPr>
          <w:rFonts w:ascii="Times New Roman" w:eastAsia="仿宋_GB2312" w:hAnsi="Times New Roman" w:cs="Times New Roman" w:hint="eastAsia"/>
          <w:sz w:val="28"/>
          <w:szCs w:val="28"/>
        </w:rPr>
        <w:t>系列标准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进行编制。《</w:t>
      </w:r>
      <w:r w:rsidR="004B6229" w:rsidRPr="00605342">
        <w:rPr>
          <w:rFonts w:ascii="Times New Roman" w:eastAsia="仿宋_GB2312" w:hAnsi="Times New Roman" w:cs="Times New Roman" w:hint="eastAsia"/>
          <w:sz w:val="28"/>
          <w:szCs w:val="28"/>
        </w:rPr>
        <w:t>中国钢铁产品放心品牌评价规范</w:t>
      </w:r>
      <w:r w:rsidR="004B6229" w:rsidRPr="0060534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》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编制所参考的依据为国家有关法律法规以及国家</w:t>
      </w:r>
      <w:r w:rsidR="008A2078" w:rsidRPr="0060534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行业产品或服务标准、国内或国际先进产品标准等。</w:t>
      </w:r>
    </w:p>
    <w:p w14:paraId="4BF65E7C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4593A43F" w14:textId="7175557B" w:rsidR="005A6F0A" w:rsidRPr="00605342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（一）</w:t>
      </w:r>
      <w:r w:rsidR="00237295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编写格式</w:t>
      </w:r>
    </w:p>
    <w:p w14:paraId="79FAA52B" w14:textId="03929088" w:rsidR="00255FC5" w:rsidRPr="00605342" w:rsidRDefault="00237295" w:rsidP="00255F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内容符合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GB/T 1.1</w:t>
      </w:r>
      <w:r w:rsidR="005E1E70" w:rsidRPr="00605342">
        <w:rPr>
          <w:rFonts w:ascii="Times New Roman" w:eastAsia="仿宋_GB2312" w:hAnsi="Times New Roman" w:cs="Times New Roman"/>
          <w:sz w:val="28"/>
          <w:szCs w:val="28"/>
        </w:rPr>
        <w:t>—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B1689B" w:rsidRPr="00605342">
        <w:rPr>
          <w:rFonts w:ascii="Times New Roman" w:eastAsia="仿宋_GB2312" w:hAnsi="Times New Roman" w:cs="Times New Roman"/>
          <w:sz w:val="28"/>
          <w:szCs w:val="28"/>
        </w:rPr>
        <w:t>0</w:t>
      </w:r>
      <w:r w:rsidR="00312EDE"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="00146038" w:rsidRPr="00605342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第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1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6962C96A" w14:textId="6A7C1F59" w:rsidR="008F58D4" w:rsidRPr="00605342" w:rsidRDefault="005A6F0A" w:rsidP="006E20B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557573AE" w14:textId="34AD9C73" w:rsidR="00F37395" w:rsidRPr="00605342" w:rsidRDefault="00194CC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本文件规定了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产品的中国钢铁产品放心品牌的评价原则、评价内容和评价方法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D3CF873" w14:textId="54D1A86E" w:rsidR="00F37395" w:rsidRPr="00605342" w:rsidRDefault="00194CC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本文件适用于认证机构对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无取向电工钢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产品的放心品牌进行评价和认证，也适用于组织内部进行自我评价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67DC9E0" w14:textId="4DBDC4E0" w:rsidR="008F58D4" w:rsidRPr="00605342" w:rsidRDefault="003E5EB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（三）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评价原则</w:t>
      </w:r>
    </w:p>
    <w:p w14:paraId="043693C1" w14:textId="43DDF4D4" w:rsidR="002A222B" w:rsidRPr="00605342" w:rsidRDefault="002A222B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主要围绕公平性、全面性、规范性、保密性进行评价原则设计，具体内容为：</w:t>
      </w:r>
    </w:p>
    <w:p w14:paraId="6B4B6265" w14:textId="30EB4B8A" w:rsidR="007327B4" w:rsidRPr="00605342" w:rsidRDefault="007327B4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2A222B" w:rsidRPr="00605342">
        <w:rPr>
          <w:rFonts w:ascii="Times New Roman" w:eastAsia="仿宋_GB2312" w:hAnsi="Times New Roman" w:cs="Times New Roman" w:hint="eastAsia"/>
          <w:sz w:val="28"/>
          <w:szCs w:val="28"/>
        </w:rPr>
        <w:t>公平性</w:t>
      </w:r>
    </w:p>
    <w:p w14:paraId="3B95C797" w14:textId="30EB4097" w:rsidR="00E07643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评价应公平、公正，应按照工作程序和有关要求执行，各组织应独立做出判断。</w:t>
      </w:r>
    </w:p>
    <w:p w14:paraId="4C19A2A4" w14:textId="279635B4" w:rsidR="00C21898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．全面性</w:t>
      </w:r>
    </w:p>
    <w:p w14:paraId="4896F73B" w14:textId="387906F3" w:rsidR="00C21898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评价实施过程应选取本文件的全部内容。</w:t>
      </w:r>
    </w:p>
    <w:p w14:paraId="160C6FB9" w14:textId="420CD883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3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规范性</w:t>
      </w:r>
    </w:p>
    <w:p w14:paraId="7A91AFA9" w14:textId="0259B264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评价的开展应基于已有的客观数据、规范性材料或其他已被普遍接受的协议或惯例，评价依据的信息内容应真实准确，与客观实际情况相一致。</w:t>
      </w:r>
    </w:p>
    <w:p w14:paraId="461D57C8" w14:textId="16F5C971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保密性</w:t>
      </w:r>
    </w:p>
    <w:p w14:paraId="6E3DAE1E" w14:textId="4BDD9068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应对评价过程中获得的企业的商业、技术秘密进行保密。</w:t>
      </w:r>
    </w:p>
    <w:p w14:paraId="0AA58867" w14:textId="576E8687" w:rsidR="000958B1" w:rsidRPr="00605342" w:rsidRDefault="000958B1" w:rsidP="000958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内容</w:t>
      </w:r>
    </w:p>
    <w:p w14:paraId="0EA96F7C" w14:textId="05784888" w:rsidR="00A1453F" w:rsidRPr="00605342" w:rsidRDefault="0010628B" w:rsidP="00E6574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="00A1453F"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A1453F" w:rsidRPr="00605342">
        <w:rPr>
          <w:rFonts w:ascii="Times New Roman" w:eastAsia="仿宋_GB2312" w:hAnsi="Times New Roman" w:cs="Times New Roman" w:hint="eastAsia"/>
          <w:sz w:val="28"/>
          <w:szCs w:val="28"/>
        </w:rPr>
        <w:t>基本要求</w:t>
      </w:r>
    </w:p>
    <w:p w14:paraId="4537CF20" w14:textId="10AF0AC3" w:rsidR="00E65740" w:rsidRPr="00605342" w:rsidRDefault="00042571" w:rsidP="00E6574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本章节主要围绕企业稳定经营</w:t>
      </w:r>
      <w:r w:rsidR="00AA0208" w:rsidRPr="006053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8E310E" w:rsidRPr="00605342">
        <w:rPr>
          <w:rFonts w:ascii="Times New Roman" w:eastAsia="仿宋_GB2312" w:hAnsi="Times New Roman" w:cs="Times New Roman" w:hint="eastAsia"/>
          <w:sz w:val="28"/>
          <w:szCs w:val="28"/>
        </w:rPr>
        <w:t>质量安全情况、企业信用</w:t>
      </w:r>
      <w:r w:rsidR="001666DB" w:rsidRPr="00605342">
        <w:rPr>
          <w:rFonts w:ascii="Times New Roman" w:eastAsia="仿宋_GB2312" w:hAnsi="Times New Roman" w:cs="Times New Roman" w:hint="eastAsia"/>
          <w:sz w:val="28"/>
          <w:szCs w:val="28"/>
        </w:rPr>
        <w:t>、净资产情况、生产运营情况</w:t>
      </w:r>
      <w:r w:rsidR="00144910" w:rsidRPr="00605342">
        <w:rPr>
          <w:rFonts w:ascii="Times New Roman" w:eastAsia="仿宋_GB2312" w:hAnsi="Times New Roman" w:cs="Times New Roman" w:hint="eastAsia"/>
          <w:sz w:val="28"/>
          <w:szCs w:val="28"/>
        </w:rPr>
        <w:t>提出要求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B367750" w14:textId="30B4E34D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企业在中国境内依法注册并具有法人资格，连续稳定生产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年以上。</w:t>
      </w:r>
    </w:p>
    <w:p w14:paraId="038C1AE6" w14:textId="38A4CBBE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企业经营状况良好，净资产为正。</w:t>
      </w:r>
    </w:p>
    <w:p w14:paraId="30F08D12" w14:textId="34207723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钢铁产品符合相关标准要求，包括但不限于企业标准、地方标准、团体标准、行业标准、国家标准和国际标准。</w:t>
      </w:r>
    </w:p>
    <w:p w14:paraId="72B305FF" w14:textId="360A1207" w:rsidR="0000076C" w:rsidRDefault="0000076C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）企业</w:t>
      </w:r>
      <w:r>
        <w:rPr>
          <w:rFonts w:ascii="Times New Roman" w:eastAsia="仿宋_GB2312" w:hAnsi="Times New Roman" w:cs="Times New Roman"/>
          <w:sz w:val="28"/>
          <w:szCs w:val="28"/>
        </w:rPr>
        <w:t>应按照</w:t>
      </w:r>
      <w:r>
        <w:rPr>
          <w:rFonts w:ascii="Times New Roman" w:eastAsia="仿宋_GB2312" w:hAnsi="Times New Roman" w:cs="Times New Roman"/>
          <w:sz w:val="28"/>
          <w:szCs w:val="28"/>
        </w:rPr>
        <w:t>G</w:t>
      </w:r>
      <w:r w:rsidR="007A2E6F" w:rsidRPr="007A2E6F">
        <w:rPr>
          <w:rFonts w:hint="eastAsia"/>
        </w:rPr>
        <w:t xml:space="preserve"> </w:t>
      </w:r>
      <w:r w:rsidR="007A2E6F" w:rsidRPr="007A2E6F">
        <w:rPr>
          <w:rFonts w:ascii="Times New Roman" w:eastAsia="仿宋_GB2312" w:hAnsi="Times New Roman" w:cs="Times New Roman" w:hint="eastAsia"/>
          <w:sz w:val="28"/>
          <w:szCs w:val="28"/>
        </w:rPr>
        <w:t>GB/T 19001</w:t>
      </w:r>
      <w:r w:rsidR="007A2E6F" w:rsidRPr="007A2E6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7A2E6F" w:rsidRPr="007A2E6F">
        <w:rPr>
          <w:rFonts w:ascii="Times New Roman" w:eastAsia="仿宋_GB2312" w:hAnsi="Times New Roman" w:cs="Times New Roman" w:hint="eastAsia"/>
          <w:sz w:val="28"/>
          <w:szCs w:val="28"/>
        </w:rPr>
        <w:t>GB/T 23331</w:t>
      </w:r>
      <w:r w:rsidR="007A2E6F" w:rsidRPr="007A2E6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7A2E6F" w:rsidRPr="007A2E6F">
        <w:rPr>
          <w:rFonts w:ascii="Times New Roman" w:eastAsia="仿宋_GB2312" w:hAnsi="Times New Roman" w:cs="Times New Roman" w:hint="eastAsia"/>
          <w:sz w:val="28"/>
          <w:szCs w:val="28"/>
        </w:rPr>
        <w:t>GB/T 24001</w:t>
      </w:r>
      <w:r w:rsidR="007A2E6F" w:rsidRPr="007A2E6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7A2E6F" w:rsidRPr="007A2E6F">
        <w:rPr>
          <w:rFonts w:ascii="Times New Roman" w:eastAsia="仿宋_GB2312" w:hAnsi="Times New Roman" w:cs="Times New Roman" w:hint="eastAsia"/>
          <w:sz w:val="28"/>
          <w:szCs w:val="28"/>
        </w:rPr>
        <w:t>GB/T 45001</w:t>
      </w:r>
      <w:r w:rsidR="007A2E6F" w:rsidRPr="007A2E6F">
        <w:rPr>
          <w:rFonts w:ascii="Times New Roman" w:eastAsia="仿宋_GB2312" w:hAnsi="Times New Roman" w:cs="Times New Roman" w:hint="eastAsia"/>
          <w:sz w:val="28"/>
          <w:szCs w:val="28"/>
        </w:rPr>
        <w:t>建立并运行相应质量、能源、环境、职业健康安全体系。</w:t>
      </w:r>
    </w:p>
    <w:p w14:paraId="1760C921" w14:textId="2A940FCF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00076C"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企业近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年无严重违法违规行为，无较大及以上环境、安全、质量事故。</w:t>
      </w:r>
    </w:p>
    <w:p w14:paraId="159056B6" w14:textId="6AAD63D6" w:rsidR="00144910" w:rsidRPr="00605342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00076C"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企业应未列入国家信用信息严重失信主体相关名录。</w:t>
      </w:r>
    </w:p>
    <w:p w14:paraId="3982D70B" w14:textId="7B9CD190" w:rsidR="008A269A" w:rsidRPr="00605342" w:rsidRDefault="0010628B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B17195"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17195" w:rsidRPr="00605342">
        <w:rPr>
          <w:rFonts w:ascii="Times New Roman" w:eastAsia="仿宋_GB2312" w:hAnsi="Times New Roman" w:cs="Times New Roman" w:hint="eastAsia"/>
          <w:sz w:val="28"/>
          <w:szCs w:val="28"/>
        </w:rPr>
        <w:t>评价指标</w:t>
      </w:r>
    </w:p>
    <w:p w14:paraId="0967F0E5" w14:textId="3B62722E" w:rsidR="00D9739A" w:rsidRPr="00605342" w:rsidRDefault="001F7827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本文件技术指标主要围绕企业层面和产品层面进行设计，</w:t>
      </w:r>
      <w:r w:rsidR="00D90D7C" w:rsidRPr="00605342">
        <w:rPr>
          <w:rFonts w:ascii="Times New Roman" w:eastAsia="仿宋_GB2312" w:hAnsi="Times New Roman" w:cs="Times New Roman" w:hint="eastAsia"/>
          <w:sz w:val="28"/>
          <w:szCs w:val="28"/>
        </w:rPr>
        <w:t>企业层</w:t>
      </w:r>
      <w:r w:rsidR="00D90D7C"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面评价要素包括质量保证、创新能力、企业诚信、服务水平。产品层面评价要素包括质量一致性、质量反馈、质量认证、荣誉奖项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10628B" w:rsidRPr="0010628B">
        <w:rPr>
          <w:rFonts w:ascii="Times New Roman" w:eastAsia="仿宋_GB2312" w:hAnsi="Times New Roman" w:cs="Times New Roman" w:hint="eastAsia"/>
          <w:sz w:val="28"/>
          <w:szCs w:val="28"/>
        </w:rPr>
        <w:t>产品评价指标体系见附录</w:t>
      </w:r>
      <w:r w:rsidR="0010628B" w:rsidRPr="0010628B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="00DD022E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826FC10" w14:textId="7A945E4F" w:rsidR="00132723" w:rsidRPr="00605342" w:rsidRDefault="00132723" w:rsidP="0013272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）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评价方法</w:t>
      </w:r>
    </w:p>
    <w:p w14:paraId="37A7F95A" w14:textId="57E6AA93" w:rsidR="001F7827" w:rsidRPr="00605342" w:rsidRDefault="0010628B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在满足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5.1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基本要求的前提下，根据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5.2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评价指标对企业的各项评价要素进行打分评价。评价结果分为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星、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星、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星，各等级对应的划分依据见表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473"/>
        <w:gridCol w:w="2916"/>
        <w:gridCol w:w="2914"/>
      </w:tblGrid>
      <w:tr w:rsidR="0010628B" w:rsidRPr="0010628B" w14:paraId="2C76B9BB" w14:textId="77777777" w:rsidTr="0010628B">
        <w:trPr>
          <w:trHeight w:val="170"/>
          <w:jc w:val="center"/>
        </w:trPr>
        <w:tc>
          <w:tcPr>
            <w:tcW w:w="1489" w:type="pct"/>
            <w:vMerge w:val="restart"/>
            <w:vAlign w:val="center"/>
          </w:tcPr>
          <w:p w14:paraId="78BF5AA0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评价等级</w:t>
            </w:r>
          </w:p>
        </w:tc>
        <w:tc>
          <w:tcPr>
            <w:tcW w:w="3511" w:type="pct"/>
            <w:gridSpan w:val="2"/>
            <w:vAlign w:val="center"/>
          </w:tcPr>
          <w:p w14:paraId="60049FE3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应同时满足</w:t>
            </w:r>
          </w:p>
        </w:tc>
      </w:tr>
      <w:tr w:rsidR="0010628B" w:rsidRPr="0010628B" w14:paraId="39A6A3AC" w14:textId="77777777" w:rsidTr="0010628B">
        <w:trPr>
          <w:trHeight w:val="170"/>
          <w:jc w:val="center"/>
        </w:trPr>
        <w:tc>
          <w:tcPr>
            <w:tcW w:w="1489" w:type="pct"/>
            <w:vMerge/>
            <w:vAlign w:val="center"/>
          </w:tcPr>
          <w:p w14:paraId="61C014D9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20ECA179" w14:textId="77777777" w:rsidR="0010628B" w:rsidRPr="0010628B" w:rsidRDefault="0010628B" w:rsidP="0010628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5</w:t>
            </w:r>
            <w:r w:rsidRPr="0010628B">
              <w:rPr>
                <w:bCs/>
                <w:color w:val="000000"/>
                <w:szCs w:val="21"/>
              </w:rPr>
              <w:t>.1</w:t>
            </w:r>
            <w:r w:rsidRPr="0010628B">
              <w:rPr>
                <w:bCs/>
                <w:color w:val="000000"/>
                <w:szCs w:val="21"/>
              </w:rPr>
              <w:t>基本要求</w:t>
            </w:r>
          </w:p>
        </w:tc>
        <w:tc>
          <w:tcPr>
            <w:tcW w:w="1755" w:type="pct"/>
            <w:vAlign w:val="center"/>
          </w:tcPr>
          <w:p w14:paraId="30FB743A" w14:textId="77777777" w:rsidR="0010628B" w:rsidRPr="0010628B" w:rsidRDefault="0010628B" w:rsidP="0010628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5</w:t>
            </w:r>
            <w:r w:rsidRPr="0010628B">
              <w:rPr>
                <w:bCs/>
                <w:color w:val="000000"/>
                <w:szCs w:val="21"/>
              </w:rPr>
              <w:t>.2</w:t>
            </w:r>
            <w:r w:rsidRPr="0010628B">
              <w:rPr>
                <w:bCs/>
                <w:color w:val="000000"/>
                <w:szCs w:val="21"/>
              </w:rPr>
              <w:t>评价指标得分</w:t>
            </w:r>
          </w:p>
        </w:tc>
      </w:tr>
      <w:tr w:rsidR="0010628B" w:rsidRPr="0010628B" w14:paraId="092AA893" w14:textId="77777777" w:rsidTr="0010628B">
        <w:trPr>
          <w:trHeight w:val="170"/>
          <w:jc w:val="center"/>
        </w:trPr>
        <w:tc>
          <w:tcPr>
            <w:tcW w:w="1489" w:type="pct"/>
            <w:vAlign w:val="center"/>
          </w:tcPr>
          <w:p w14:paraId="48E1C5B7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5</w:t>
            </w:r>
            <w:r w:rsidRPr="0010628B">
              <w:rPr>
                <w:bCs/>
                <w:color w:val="000000"/>
                <w:szCs w:val="21"/>
              </w:rPr>
              <w:t>星级</w:t>
            </w:r>
          </w:p>
        </w:tc>
        <w:tc>
          <w:tcPr>
            <w:tcW w:w="1756" w:type="pct"/>
            <w:vMerge w:val="restart"/>
            <w:vAlign w:val="center"/>
          </w:tcPr>
          <w:p w14:paraId="186ADB38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全部满足</w:t>
            </w:r>
          </w:p>
        </w:tc>
        <w:tc>
          <w:tcPr>
            <w:tcW w:w="1755" w:type="pct"/>
            <w:vAlign w:val="center"/>
          </w:tcPr>
          <w:p w14:paraId="5668AFBC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bCs/>
                <w:color w:val="000000"/>
                <w:szCs w:val="21"/>
              </w:rPr>
              <w:t>90</w:t>
            </w:r>
          </w:p>
        </w:tc>
      </w:tr>
      <w:tr w:rsidR="0010628B" w:rsidRPr="0010628B" w14:paraId="1305B74A" w14:textId="77777777" w:rsidTr="0010628B">
        <w:trPr>
          <w:trHeight w:val="170"/>
          <w:jc w:val="center"/>
        </w:trPr>
        <w:tc>
          <w:tcPr>
            <w:tcW w:w="1489" w:type="pct"/>
            <w:vAlign w:val="center"/>
          </w:tcPr>
          <w:p w14:paraId="4491CABF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4</w:t>
            </w:r>
            <w:r w:rsidRPr="0010628B">
              <w:rPr>
                <w:bCs/>
                <w:color w:val="000000"/>
                <w:szCs w:val="21"/>
              </w:rPr>
              <w:t>星级</w:t>
            </w:r>
          </w:p>
        </w:tc>
        <w:tc>
          <w:tcPr>
            <w:tcW w:w="1756" w:type="pct"/>
            <w:vMerge/>
            <w:vAlign w:val="center"/>
          </w:tcPr>
          <w:p w14:paraId="281BD5D5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55" w:type="pct"/>
            <w:vAlign w:val="center"/>
          </w:tcPr>
          <w:p w14:paraId="4EE71B0E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bCs/>
                <w:color w:val="000000"/>
                <w:szCs w:val="21"/>
              </w:rPr>
              <w:t>75~</w:t>
            </w:r>
            <w:r w:rsidRPr="0010628B">
              <w:rPr>
                <w:rFonts w:hint="eastAsia"/>
                <w:bCs/>
                <w:color w:val="000000"/>
                <w:szCs w:val="21"/>
              </w:rPr>
              <w:t>＜</w:t>
            </w:r>
            <w:r w:rsidRPr="0010628B">
              <w:rPr>
                <w:bCs/>
                <w:color w:val="000000"/>
                <w:szCs w:val="21"/>
              </w:rPr>
              <w:t>90</w:t>
            </w:r>
          </w:p>
        </w:tc>
      </w:tr>
      <w:tr w:rsidR="0010628B" w:rsidRPr="0010628B" w14:paraId="37F685CA" w14:textId="77777777" w:rsidTr="0010628B">
        <w:trPr>
          <w:trHeight w:val="139"/>
          <w:jc w:val="center"/>
        </w:trPr>
        <w:tc>
          <w:tcPr>
            <w:tcW w:w="1489" w:type="pct"/>
            <w:vAlign w:val="center"/>
          </w:tcPr>
          <w:p w14:paraId="5D554522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3</w:t>
            </w:r>
            <w:r w:rsidRPr="0010628B">
              <w:rPr>
                <w:bCs/>
                <w:color w:val="000000"/>
                <w:szCs w:val="21"/>
              </w:rPr>
              <w:t>星级</w:t>
            </w:r>
          </w:p>
        </w:tc>
        <w:tc>
          <w:tcPr>
            <w:tcW w:w="1756" w:type="pct"/>
            <w:vMerge/>
            <w:vAlign w:val="center"/>
          </w:tcPr>
          <w:p w14:paraId="2B4A0C7C" w14:textId="77777777" w:rsidR="0010628B" w:rsidRPr="0010628B" w:rsidRDefault="0010628B" w:rsidP="0010628B">
            <w:pPr>
              <w:widowControl/>
              <w:tabs>
                <w:tab w:val="left" w:pos="360"/>
                <w:tab w:val="center" w:pos="4201"/>
                <w:tab w:val="right" w:leader="dot" w:pos="9298"/>
              </w:tabs>
              <w:overflowPunct w:val="0"/>
              <w:autoSpaceDE w:val="0"/>
              <w:autoSpaceDN w:val="0"/>
              <w:jc w:val="center"/>
              <w:textAlignment w:val="baseline"/>
              <w:outlineLvl w:val="4"/>
              <w:rPr>
                <w:bCs/>
                <w:color w:val="000000"/>
                <w:szCs w:val="21"/>
              </w:rPr>
            </w:pPr>
          </w:p>
        </w:tc>
        <w:tc>
          <w:tcPr>
            <w:tcW w:w="1755" w:type="pct"/>
            <w:vAlign w:val="center"/>
          </w:tcPr>
          <w:p w14:paraId="52CDB06F" w14:textId="77777777" w:rsidR="0010628B" w:rsidRPr="0010628B" w:rsidRDefault="0010628B" w:rsidP="0010628B">
            <w:pPr>
              <w:widowControl/>
              <w:tabs>
                <w:tab w:val="left" w:pos="360"/>
                <w:tab w:val="center" w:pos="4201"/>
                <w:tab w:val="right" w:leader="dot" w:pos="9298"/>
              </w:tabs>
              <w:overflowPunct w:val="0"/>
              <w:autoSpaceDE w:val="0"/>
              <w:autoSpaceDN w:val="0"/>
              <w:jc w:val="center"/>
              <w:textAlignment w:val="baseline"/>
              <w:outlineLvl w:val="4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rFonts w:eastAsia="仿宋_GB2312"/>
                <w:bCs/>
                <w:color w:val="000000"/>
                <w:szCs w:val="21"/>
              </w:rPr>
              <w:t>60~</w:t>
            </w: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＜</w:t>
            </w:r>
            <w:r w:rsidRPr="0010628B">
              <w:rPr>
                <w:rFonts w:eastAsia="仿宋_GB2312"/>
                <w:bCs/>
                <w:color w:val="000000"/>
                <w:szCs w:val="21"/>
              </w:rPr>
              <w:t>75</w:t>
            </w:r>
          </w:p>
        </w:tc>
      </w:tr>
    </w:tbl>
    <w:p w14:paraId="07776CB4" w14:textId="77777777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0B91F276" w14:textId="0D97266E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（六）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附录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评价指标体系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17"/>
        <w:gridCol w:w="2899"/>
        <w:gridCol w:w="1265"/>
        <w:gridCol w:w="799"/>
        <w:gridCol w:w="1010"/>
      </w:tblGrid>
      <w:tr w:rsidR="00E71A27" w:rsidRPr="00E71A27" w14:paraId="5C4BFC2D" w14:textId="77777777" w:rsidTr="00E71A27">
        <w:trPr>
          <w:trHeight w:val="285"/>
          <w:tblHeader/>
        </w:trPr>
        <w:tc>
          <w:tcPr>
            <w:tcW w:w="1403" w:type="pct"/>
            <w:gridSpan w:val="3"/>
            <w:shd w:val="clear" w:color="auto" w:fill="auto"/>
            <w:vAlign w:val="center"/>
            <w:hideMark/>
          </w:tcPr>
          <w:p w14:paraId="642BE89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评价要素</w:t>
            </w:r>
          </w:p>
        </w:tc>
        <w:tc>
          <w:tcPr>
            <w:tcW w:w="2508" w:type="pct"/>
            <w:gridSpan w:val="2"/>
            <w:shd w:val="clear" w:color="auto" w:fill="auto"/>
            <w:vAlign w:val="center"/>
            <w:hideMark/>
          </w:tcPr>
          <w:p w14:paraId="0386FEF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6CEF105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分值权重</w:t>
            </w: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（满分</w:t>
            </w: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100</w:t>
            </w: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2A5364B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71A27" w:rsidRPr="00E71A27" w14:paraId="6EE423A8" w14:textId="77777777" w:rsidTr="00E71A27">
        <w:trPr>
          <w:trHeight w:val="285"/>
          <w:tblHeader/>
        </w:trPr>
        <w:tc>
          <w:tcPr>
            <w:tcW w:w="424" w:type="pct"/>
            <w:shd w:val="clear" w:color="auto" w:fill="auto"/>
            <w:vAlign w:val="center"/>
            <w:hideMark/>
          </w:tcPr>
          <w:p w14:paraId="6A16248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F7C04B3" w14:textId="302A15E5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3CD096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BEF0D30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0CD9B09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评分</w:t>
            </w:r>
          </w:p>
        </w:tc>
        <w:tc>
          <w:tcPr>
            <w:tcW w:w="481" w:type="pct"/>
            <w:vMerge/>
            <w:vAlign w:val="center"/>
            <w:hideMark/>
          </w:tcPr>
          <w:p w14:paraId="1657AB7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3C5A4A6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71A27" w:rsidRPr="00E71A27" w14:paraId="4904488F" w14:textId="77777777" w:rsidTr="00E71A27">
        <w:trPr>
          <w:trHeight w:val="20"/>
        </w:trPr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14:paraId="4138DB9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企业层面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5996BF3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质量保证</w:t>
            </w:r>
          </w:p>
          <w:p w14:paraId="073296B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创新能力</w:t>
            </w:r>
          </w:p>
          <w:p w14:paraId="3ACBEBD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企业诚信</w:t>
            </w:r>
          </w:p>
          <w:p w14:paraId="3C23E51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服务水平</w:t>
            </w:r>
          </w:p>
          <w:p w14:paraId="48183D2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质量一致性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（工序能力指数）</w:t>
            </w:r>
          </w:p>
          <w:p w14:paraId="3D4E1257" w14:textId="64EE0768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反馈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77227A8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生产装备水平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0C48975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企业应配备转炉、加热炉、连续轧机、退火炉等生产装备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0EDA085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5D7E222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4AF235BC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若存在《产业结构调整指导目录》限制类装备，此项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</w:tr>
      <w:tr w:rsidR="00E71A27" w:rsidRPr="00E71A27" w14:paraId="3CD11798" w14:textId="77777777" w:rsidTr="00E71A27">
        <w:trPr>
          <w:trHeight w:val="956"/>
        </w:trPr>
        <w:tc>
          <w:tcPr>
            <w:tcW w:w="424" w:type="pct"/>
            <w:vMerge/>
            <w:vAlign w:val="center"/>
            <w:hideMark/>
          </w:tcPr>
          <w:p w14:paraId="446078E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40C1A47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1F58EB2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1417349" w14:textId="77777777" w:rsidR="00E71A27" w:rsidRPr="00E71A27" w:rsidRDefault="00E71A27" w:rsidP="00E71A2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企业宜配备保温坑、侧压、常化炉、保温箱、精整分切线、在线铁损检测仪等生产装备。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6F07BA1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每项加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1" w:type="pct"/>
            <w:vMerge/>
            <w:vAlign w:val="center"/>
            <w:hideMark/>
          </w:tcPr>
          <w:p w14:paraId="42C3AD9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67E7A5D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3733B588" w14:textId="77777777" w:rsidTr="00E71A27">
        <w:trPr>
          <w:trHeight w:val="525"/>
        </w:trPr>
        <w:tc>
          <w:tcPr>
            <w:tcW w:w="424" w:type="pct"/>
            <w:vMerge/>
            <w:vAlign w:val="center"/>
            <w:hideMark/>
          </w:tcPr>
          <w:p w14:paraId="3C8305C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09824C50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66B64D6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检验检测能力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AC59A40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检化验装备数量、类型满足产品生产研发需求，配备有完备的检验检测设备和人员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09BB7DE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78DA4CC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69C149A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2EC3FB44" w14:textId="77777777" w:rsidTr="00E71A27">
        <w:trPr>
          <w:trHeight w:val="795"/>
        </w:trPr>
        <w:tc>
          <w:tcPr>
            <w:tcW w:w="424" w:type="pct"/>
            <w:vMerge/>
            <w:vAlign w:val="center"/>
            <w:hideMark/>
          </w:tcPr>
          <w:p w14:paraId="55C7F3C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72DFFD2B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16005FB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763F9EB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检化验装备数量、类型满足产品生产研发需求，配备有完备的检验检测设备和人员，检测实验室通过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CMA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认定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177866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216D36E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75E008F1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138DFBC6" w14:textId="77777777" w:rsidTr="00E71A27">
        <w:trPr>
          <w:trHeight w:val="810"/>
        </w:trPr>
        <w:tc>
          <w:tcPr>
            <w:tcW w:w="424" w:type="pct"/>
            <w:vMerge/>
            <w:vAlign w:val="center"/>
            <w:hideMark/>
          </w:tcPr>
          <w:p w14:paraId="2F8B20F8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077C8597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4F1DADD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0A430CF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szCs w:val="24"/>
              </w:rPr>
              <w:t>化验装备满足产品生产研发需求，配备有完备的检验检测设备和人员，具有一定的自动化智能化检测能力，检测实验室通过</w:t>
            </w:r>
            <w:r w:rsidRPr="00E71A27">
              <w:rPr>
                <w:rFonts w:ascii="Times New Roman" w:eastAsia="宋体" w:hAnsi="Times New Roman" w:cs="Times New Roman"/>
                <w:szCs w:val="24"/>
              </w:rPr>
              <w:t>CMA</w:t>
            </w:r>
            <w:r w:rsidRPr="00E71A27">
              <w:rPr>
                <w:rFonts w:ascii="Times New Roman" w:eastAsia="宋体" w:hAnsi="Times New Roman" w:cs="Times New Roman"/>
                <w:szCs w:val="24"/>
              </w:rPr>
              <w:t>认定、</w:t>
            </w:r>
            <w:r w:rsidRPr="00E71A27">
              <w:rPr>
                <w:rFonts w:ascii="Times New Roman" w:eastAsia="宋体" w:hAnsi="Times New Roman" w:cs="Times New Roman"/>
                <w:szCs w:val="24"/>
              </w:rPr>
              <w:t>CNAS</w:t>
            </w:r>
            <w:r w:rsidRPr="00E71A27">
              <w:rPr>
                <w:rFonts w:ascii="Times New Roman" w:eastAsia="宋体" w:hAnsi="Times New Roman" w:cs="Times New Roman"/>
                <w:szCs w:val="24"/>
              </w:rPr>
              <w:t>认可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5F1452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pct"/>
            <w:vMerge/>
            <w:vAlign w:val="center"/>
            <w:hideMark/>
          </w:tcPr>
          <w:p w14:paraId="43F6956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65CD644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23FB72C3" w14:textId="77777777" w:rsidTr="00E71A27">
        <w:trPr>
          <w:trHeight w:val="555"/>
        </w:trPr>
        <w:tc>
          <w:tcPr>
            <w:tcW w:w="424" w:type="pct"/>
            <w:vMerge/>
            <w:vAlign w:val="center"/>
            <w:hideMark/>
          </w:tcPr>
          <w:p w14:paraId="4900A2F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38779A05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F5C7A9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体系保证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9D71B30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企业是否通过全面风险管理体系、卓越绩效管理体系、质量管理体系认证、质量管理体系分级认证等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C3AECB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每项认证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0B97C7B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8D5FA9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6669CD1C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006E58A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44B4F17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7825F21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企业技术中心等级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2C4F4F8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市级企业技术中心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8F6AE8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6A92421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07FF40E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1011B12F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03EE9A4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73A1F108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26A8AC2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FE2265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省级企业技术中心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1E4E7D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159DF01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6710F19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66F74635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11C724C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FDBA650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48881CBC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8C331B0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国家级企业技术中心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6355FB2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pct"/>
            <w:vMerge/>
            <w:vAlign w:val="center"/>
            <w:hideMark/>
          </w:tcPr>
          <w:p w14:paraId="7491460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0437AD1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3EEF288" w14:textId="77777777" w:rsidTr="00E71A27">
        <w:trPr>
          <w:trHeight w:val="555"/>
        </w:trPr>
        <w:tc>
          <w:tcPr>
            <w:tcW w:w="424" w:type="pct"/>
            <w:vMerge/>
            <w:vAlign w:val="center"/>
            <w:hideMark/>
          </w:tcPr>
          <w:p w14:paraId="374D41B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9DEB085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F26AA2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专利数量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95A206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近三年获授权专利数量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19952B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每项专利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32077E7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48B6D5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21369308" w14:textId="77777777" w:rsidTr="00E71A27">
        <w:trPr>
          <w:trHeight w:val="2431"/>
        </w:trPr>
        <w:tc>
          <w:tcPr>
            <w:tcW w:w="424" w:type="pct"/>
            <w:vMerge/>
            <w:vAlign w:val="center"/>
            <w:hideMark/>
          </w:tcPr>
          <w:p w14:paraId="10DB274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27E5011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2D2796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人才结构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5F87A34E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初中及以下文化人数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+2×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高中文化程度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+3×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专科文化程度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+4×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本科文化程度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+5×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硕士文化程度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+6×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博士文化程度）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员工总数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]-1</w:t>
            </w:r>
          </w:p>
          <w:p w14:paraId="7190C718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技术职称和文化程度可等效对应如下：</w:t>
            </w:r>
          </w:p>
          <w:p w14:paraId="5A32D9CE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高中：初级工</w:t>
            </w:r>
          </w:p>
          <w:p w14:paraId="6BDA97DD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专科：中级工</w:t>
            </w:r>
          </w:p>
          <w:p w14:paraId="3C00E5EF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本科：高级工</w:t>
            </w:r>
          </w:p>
          <w:p w14:paraId="0981C3FD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硕士：技师、工程师</w:t>
            </w:r>
          </w:p>
          <w:p w14:paraId="5248834C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博士：高级技师、高级工程师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2E1D1E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6C3E55D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2E7031E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全员小学文化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全员本科文化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（或等效）</w:t>
            </w:r>
          </w:p>
        </w:tc>
      </w:tr>
      <w:tr w:rsidR="00E71A27" w:rsidRPr="00E71A27" w14:paraId="1C8179FC" w14:textId="77777777" w:rsidTr="00E71A27">
        <w:trPr>
          <w:trHeight w:val="1080"/>
        </w:trPr>
        <w:tc>
          <w:tcPr>
            <w:tcW w:w="424" w:type="pct"/>
            <w:vMerge/>
            <w:vAlign w:val="center"/>
            <w:hideMark/>
          </w:tcPr>
          <w:p w14:paraId="45B34AE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0A4D9E8B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EC8026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研发投入比例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A11F7D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按公式计算得分：研发投入占比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×100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最低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分，最高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5E5D268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369BF0D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77271B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研发投入占比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1.5%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3%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以上，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</w:tr>
      <w:tr w:rsidR="00E71A27" w:rsidRPr="00E71A27" w14:paraId="7A6E8AAC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2E317FB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3BFDF1D7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183394D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诚信管理体系建设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DE16D0C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未建立良好的诚信管理体系。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C212BA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3F941AF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2FDADD7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4EC58A47" w14:textId="77777777" w:rsidTr="00E71A27">
        <w:trPr>
          <w:trHeight w:val="525"/>
        </w:trPr>
        <w:tc>
          <w:tcPr>
            <w:tcW w:w="424" w:type="pct"/>
            <w:vMerge/>
            <w:vAlign w:val="center"/>
            <w:hideMark/>
          </w:tcPr>
          <w:p w14:paraId="7DCAD90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9F4B4C9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6BC87BB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53F805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通过诚信管理体系认证或建立良好的诚信管理体系，运行良好。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02A4CB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  <w:hideMark/>
          </w:tcPr>
          <w:p w14:paraId="21CDBF2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6D2C124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33639721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0B569C0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4ACE1BC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475CA25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企业信用等级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7CBE00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发生严重失信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35E6E3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08B82A7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1C4237C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073BBB42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0EA996CC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B0AC05E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068288B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58C4125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500C4C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  <w:hideMark/>
          </w:tcPr>
          <w:p w14:paraId="398B294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2ABBF1E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68944A7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198B770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661BC75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3E878C7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124F21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CC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CCC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168716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0ED2C7B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4745A9A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7A494B21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6B1B993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CD228C1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45723021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8AD4EC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BB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BBB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BB444F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pct"/>
            <w:vMerge/>
            <w:vAlign w:val="center"/>
            <w:hideMark/>
          </w:tcPr>
          <w:p w14:paraId="0DC6B0A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1A744A0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3449F92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68D4279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E00071A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521D473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841C97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AA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AAA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EDBCFA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" w:type="pct"/>
            <w:vMerge/>
            <w:vAlign w:val="center"/>
            <w:hideMark/>
          </w:tcPr>
          <w:p w14:paraId="71BADEB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28FED52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1E5D4548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0AAA92C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CCDEE54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133CE70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管理层信用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277E19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近三年，管理层人员未列入国家失信对象名单。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6C15525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0904A53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12428E6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5679B835" w14:textId="77777777" w:rsidTr="00E71A27">
        <w:trPr>
          <w:trHeight w:val="525"/>
        </w:trPr>
        <w:tc>
          <w:tcPr>
            <w:tcW w:w="424" w:type="pct"/>
            <w:vMerge/>
            <w:vAlign w:val="center"/>
            <w:hideMark/>
          </w:tcPr>
          <w:p w14:paraId="7B37A26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05E8C62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663C575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3F00A0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近三年，管理层人员未列入国家失信对象名单，且管理层人员在企业内外均无不良信用记录。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ABDDC2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00B398B1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04F56D9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0E90128" w14:textId="77777777" w:rsidTr="00E71A27">
        <w:trPr>
          <w:trHeight w:val="810"/>
        </w:trPr>
        <w:tc>
          <w:tcPr>
            <w:tcW w:w="424" w:type="pct"/>
            <w:vMerge/>
            <w:vAlign w:val="center"/>
            <w:hideMark/>
          </w:tcPr>
          <w:p w14:paraId="169CAEB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3E86F51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703240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偿债能力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E8B1EA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-7.5×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总资产负债率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+7.5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最低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分，最高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2A24BAC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E1E154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323D68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资产负债率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>100%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以上，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>60%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以下，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分</w:t>
            </w:r>
          </w:p>
        </w:tc>
      </w:tr>
      <w:tr w:rsidR="00E71A27" w:rsidRPr="00E71A27" w14:paraId="69E49082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15DE43C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0ADA365B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7064027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合同履约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7BFA56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近三年内曾发生因企业自身原因导致的合同违约。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E38A11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7D894FF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17CE8C2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31B2F16F" w14:textId="77777777" w:rsidTr="00E71A27">
        <w:trPr>
          <w:trHeight w:val="315"/>
        </w:trPr>
        <w:tc>
          <w:tcPr>
            <w:tcW w:w="424" w:type="pct"/>
            <w:vMerge/>
            <w:vAlign w:val="center"/>
            <w:hideMark/>
          </w:tcPr>
          <w:p w14:paraId="0088B63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7C3913C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44A76D2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61486D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近三年，未发生因企业自身原因导致的合同违约。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C86CC4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  <w:hideMark/>
          </w:tcPr>
          <w:p w14:paraId="1A57097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1813265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781E20E5" w14:textId="77777777" w:rsidTr="00E71A27">
        <w:trPr>
          <w:trHeight w:val="795"/>
        </w:trPr>
        <w:tc>
          <w:tcPr>
            <w:tcW w:w="424" w:type="pct"/>
            <w:vMerge/>
            <w:vAlign w:val="center"/>
            <w:hideMark/>
          </w:tcPr>
          <w:p w14:paraId="38E505A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5164802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2D54FF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企业不良行为记录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C6A7FE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企业收到能源、环保、司法、工商、质检、安监、金融、海关等部门或机构发出的不良行为记录。无不良行为记录得满分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2CB925A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每条不良行为记录减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5E6174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77183E6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74B33C0E" w14:textId="77777777" w:rsidTr="00E71A27">
        <w:trPr>
          <w:trHeight w:val="780"/>
        </w:trPr>
        <w:tc>
          <w:tcPr>
            <w:tcW w:w="424" w:type="pct"/>
            <w:vMerge/>
            <w:vAlign w:val="center"/>
            <w:hideMark/>
          </w:tcPr>
          <w:p w14:paraId="36E0F59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F3A7A32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16EAFEC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服务体系建设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E5FCFF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建立有完善的售后服务体系、配备有相关专业服务人员、具有提供服务的专业设备、为下游客户提供产品使用的咨询或培训服务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CBA31C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每项得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E13E99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CF456C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6E0A8518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1B13E4D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53EDA67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374D9A8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配送时效保障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72D0EB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按时交付率＜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569A8A1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01B0D87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786C4E7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3022E962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24A0C91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74FCD20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5B7D26E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B4B5E4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按时交付率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56D10F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  <w:hideMark/>
          </w:tcPr>
          <w:p w14:paraId="043032F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4820DF4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3F28F269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466023B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71476937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5B9C4A3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5D89EF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按时交付率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25721E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53BD63C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23A9AB9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6F5741C7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20E87A3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1A5622E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10B43C2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质量追溯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D747BE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产品质量检测无法实现追踪溯源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28C2680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451D61A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13383BB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6B866C2F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018363E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89BA0DB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7576BD8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7521D2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产品质量检测能够实现追踪溯源，追溯期小于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5435447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  <w:hideMark/>
          </w:tcPr>
          <w:p w14:paraId="1A8FBD1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175679AC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1AFF6F9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1EF149D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9A9FC25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793ADEC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28128C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产品质量检测能够实现追踪溯源，追溯期不小于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005FB7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508DAFC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669DE03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E96084D" w14:textId="77777777" w:rsidTr="00E71A27">
        <w:trPr>
          <w:trHeight w:val="825"/>
        </w:trPr>
        <w:tc>
          <w:tcPr>
            <w:tcW w:w="424" w:type="pct"/>
            <w:vMerge/>
            <w:vAlign w:val="center"/>
            <w:hideMark/>
          </w:tcPr>
          <w:p w14:paraId="66A2897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04819B37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B2C4AC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质量异议解决制度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D3E485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建立了完善的质量异议解决制度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2.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质量异议解决制度得到了严格遵守和运行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3.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质量异议解决情况和效果良好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09699EA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达到每条得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33F821F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13AFA0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69B3F128" w14:textId="77777777" w:rsidTr="00E71A27">
        <w:trPr>
          <w:trHeight w:val="285"/>
        </w:trPr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14:paraId="3CC9493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产品层面</w:t>
            </w: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109A0C4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969290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（纵向厚度差）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2573F9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82E719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68C8BED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784E2A2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各项按公式计算得分，即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Cp≤0.8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时，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Cp≥1.2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时，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</w:tr>
      <w:tr w:rsidR="00E71A27" w:rsidRPr="00E71A27" w14:paraId="7E10914A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3737876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851C478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3EB11D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（横向厚度差）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C17AA8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02F53BC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1503397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/>
            <w:vAlign w:val="center"/>
            <w:hideMark/>
          </w:tcPr>
          <w:p w14:paraId="37C0E4A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137E155B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5CA2ADA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7EDD855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2A9112D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（宽度偏差）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A8C936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DFFB35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758F805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/>
            <w:vAlign w:val="center"/>
            <w:hideMark/>
          </w:tcPr>
          <w:p w14:paraId="1D3BA03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1B26F847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6706007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C4C250D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036456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（不平度）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D12616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52FA17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F51D4D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/>
            <w:vAlign w:val="center"/>
            <w:hideMark/>
          </w:tcPr>
          <w:p w14:paraId="115F96C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33B01146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410F7BE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0A1245E3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A0FC29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（毛刺）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9A8423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5701167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FC7AEF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/>
            <w:vAlign w:val="center"/>
            <w:hideMark/>
          </w:tcPr>
          <w:p w14:paraId="0A8F39F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2A1DAEC8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0493820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9EFE09F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288EF5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（铁损）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A5252D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341D11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EFFFD6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/>
            <w:vAlign w:val="center"/>
            <w:hideMark/>
          </w:tcPr>
          <w:p w14:paraId="1DAA522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4A1892B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4FC6EC9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D7071EC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DCF1C42" w14:textId="77777777" w:rsidR="00E71A27" w:rsidRPr="00E71A27" w:rsidRDefault="00E71A27" w:rsidP="00E71A2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（磁感）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D7C12A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6BE4621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3394DD6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/>
            <w:vAlign w:val="center"/>
            <w:hideMark/>
          </w:tcPr>
          <w:p w14:paraId="70FDD35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C091D67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54182B6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3E4721FB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green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9EF802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proofErr w:type="gramStart"/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叠装系数</w:t>
            </w:r>
            <w:proofErr w:type="gramEnd"/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41486E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228815E0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9BBF090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/>
            <w:vAlign w:val="center"/>
            <w:hideMark/>
          </w:tcPr>
          <w:p w14:paraId="1A08BB6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294A80E4" w14:textId="77777777" w:rsidTr="00E71A27">
        <w:trPr>
          <w:trHeight w:val="540"/>
        </w:trPr>
        <w:tc>
          <w:tcPr>
            <w:tcW w:w="424" w:type="pct"/>
            <w:vMerge/>
            <w:vAlign w:val="center"/>
            <w:hideMark/>
          </w:tcPr>
          <w:p w14:paraId="64B9D5D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84DF97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267377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重大工程应用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CC6F09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国家重大工程项目直接应用数量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709E64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每项重大工程得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1D49FB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4FF180C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2209A6E5" w14:textId="77777777" w:rsidTr="00E71A27">
        <w:trPr>
          <w:trHeight w:val="810"/>
        </w:trPr>
        <w:tc>
          <w:tcPr>
            <w:tcW w:w="424" w:type="pct"/>
            <w:vMerge/>
            <w:vAlign w:val="center"/>
            <w:hideMark/>
          </w:tcPr>
          <w:p w14:paraId="2A3F805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12AAD4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D46F87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终端客户水平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6B73F2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按公式计算得分：（央企、国企、上市公司客户采购数量占产品总销量比重）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×5-0.5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EFF9FE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FA632B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5F563F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重点客户销量占比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10%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以下，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50%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以上，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</w:tr>
      <w:tr w:rsidR="00E71A27" w:rsidRPr="00E71A27" w14:paraId="4B79DA71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67546BB1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CB4509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1C84DB9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质量异议经济损失率</w:t>
            </w:r>
          </w:p>
          <w:p w14:paraId="2FEA14A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（元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万元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赔偿额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销售额）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227968C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未达行业一般：＞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03C75C1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1223BE8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005156C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5B77F289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1CBE00F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037B26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33C4463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BC60D7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行业一般：＜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1.0~1.5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8002AA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  <w:hideMark/>
          </w:tcPr>
          <w:p w14:paraId="49715C5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1CF0C31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01D440E7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23A054AD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58DD41B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3B2E2321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4067E2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行业平均：＜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0.5~1.0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82398B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48A6241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28C3FD2C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46A8915A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46CA8F1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63DF855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110C8A9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92CBC9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行业领先：＜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44B8D2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pct"/>
            <w:vMerge/>
            <w:vAlign w:val="center"/>
            <w:hideMark/>
          </w:tcPr>
          <w:p w14:paraId="5172CFA8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3C954C9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31B9E2BF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4BDD08A1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79A0E7A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2CE3990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质量异议处理时间</w:t>
            </w:r>
          </w:p>
          <w:p w14:paraId="3271A32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（单位：工作日）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C8C658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未达行业一般：＞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11F065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5E440B5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737384C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2BD55A54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433C770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01B01A5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5BF0708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2199F7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行业一般：＞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3~5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C089B50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  <w:hideMark/>
          </w:tcPr>
          <w:p w14:paraId="113B0D2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21754B4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2CD75F8F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32F70E3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AE8918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572370BC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5A8B8D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行业平均：＞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1~3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4C7A9B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6AC7496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7A58699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77B5AD59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5D79B01D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2066271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09F6A66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565A795C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行业领先：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≤1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67EEA43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pct"/>
            <w:vMerge/>
            <w:vAlign w:val="center"/>
            <w:hideMark/>
          </w:tcPr>
          <w:p w14:paraId="491FFF5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6B92BEFC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1E0C6B0F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0FC82D71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0D83F02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19A04F60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顾客满意度</w:t>
            </w:r>
          </w:p>
          <w:p w14:paraId="3611D57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（单位：分）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6537FE6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未达行业一般：＜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02818D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0D4D3B3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66E530F3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</w:t>
            </w:r>
            <w:proofErr w:type="gramStart"/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自评价</w:t>
            </w:r>
            <w:proofErr w:type="gramEnd"/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或第三</w:t>
            </w:r>
          </w:p>
          <w:p w14:paraId="0193CC2C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方评价</w:t>
            </w:r>
          </w:p>
        </w:tc>
      </w:tr>
      <w:tr w:rsidR="00E71A27" w:rsidRPr="00E71A27" w14:paraId="0FB8D519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5D73E55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4231CCC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0B89B6D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D378FE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行业一般：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70~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＜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7983CD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  <w:hideMark/>
          </w:tcPr>
          <w:p w14:paraId="4662556D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45740A38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A198FE7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40D3CFE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18DB0CF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268CF68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8D9BB7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行业平均：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80~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＜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23F9565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  <w:hideMark/>
          </w:tcPr>
          <w:p w14:paraId="2F7305F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6AB919A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0BA4A554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21B27D4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  <w:hideMark/>
          </w:tcPr>
          <w:p w14:paraId="577C663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5A69C430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698437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行业领先：＞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3A61513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pct"/>
            <w:vMerge/>
            <w:vAlign w:val="center"/>
            <w:hideMark/>
          </w:tcPr>
          <w:p w14:paraId="4275D07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3CCC7B58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527B9360" w14:textId="77777777" w:rsidTr="00E71A27">
        <w:trPr>
          <w:trHeight w:val="540"/>
        </w:trPr>
        <w:tc>
          <w:tcPr>
            <w:tcW w:w="424" w:type="pct"/>
            <w:vMerge/>
            <w:vAlign w:val="center"/>
            <w:hideMark/>
          </w:tcPr>
          <w:p w14:paraId="4667507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487EED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DE21AEC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第二方评价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162FBCC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重点下游客户提供的优质供应商评价或类似证明材料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0691D0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每项供应商评价得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1B8BFC2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456014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7115A2BD" w14:textId="77777777" w:rsidTr="00E71A27">
        <w:trPr>
          <w:trHeight w:val="555"/>
        </w:trPr>
        <w:tc>
          <w:tcPr>
            <w:tcW w:w="424" w:type="pct"/>
            <w:vMerge/>
            <w:vAlign w:val="center"/>
            <w:hideMark/>
          </w:tcPr>
          <w:p w14:paraId="69D1A58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AC7720D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质量认证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06F1FE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第三方认证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0228EB0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绿色产品认证、区域品牌认证、高端自愿性产品认证等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6CDC8F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每项认证得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 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FA32F2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255CFE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7FBDDC6B" w14:textId="77777777" w:rsidTr="00E71A27">
        <w:trPr>
          <w:trHeight w:val="1635"/>
        </w:trPr>
        <w:tc>
          <w:tcPr>
            <w:tcW w:w="424" w:type="pct"/>
            <w:vMerge/>
            <w:vAlign w:val="center"/>
            <w:hideMark/>
          </w:tcPr>
          <w:p w14:paraId="661113FC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383896F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荣誉奖项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E047B90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产品质量奖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3D052A7D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累计奖项计算得分，最多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国家级质量奖：每项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国家级提名奖：每项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省部级质量奖：每项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省部级提名奖：每项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市级质量奖：每项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0A3BDBE6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计分方法计算得分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356FBBE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A887359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5430F1A1" w14:textId="77777777" w:rsidTr="00E71A27">
        <w:trPr>
          <w:trHeight w:val="2445"/>
        </w:trPr>
        <w:tc>
          <w:tcPr>
            <w:tcW w:w="424" w:type="pct"/>
            <w:vMerge/>
            <w:vAlign w:val="center"/>
            <w:hideMark/>
          </w:tcPr>
          <w:p w14:paraId="31BDF2D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5F196F87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DD876F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产品科技奖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2457E0C8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累计奖项计算得分，最多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国家级一等奖：每项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国家级二等奖：每项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国家级三等奖：每项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省部级一等奖：每项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省部级二等奖：每项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省部级三等奖：每项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5A571B6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计分方法计算得分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5AC3ABA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F9C8F44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0361F7F4" w14:textId="77777777" w:rsidTr="00E71A27">
        <w:trPr>
          <w:trHeight w:val="285"/>
        </w:trPr>
        <w:tc>
          <w:tcPr>
            <w:tcW w:w="424" w:type="pct"/>
            <w:vMerge/>
            <w:vAlign w:val="center"/>
            <w:hideMark/>
          </w:tcPr>
          <w:p w14:paraId="74B283B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7F74796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3261F73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单项冠军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356365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省级单项冠军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4D6EE83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32CF6CB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5A8A36B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1A27" w:rsidRPr="00E71A27" w14:paraId="64D89AF8" w14:textId="77777777" w:rsidTr="00E71A27">
        <w:trPr>
          <w:trHeight w:val="315"/>
        </w:trPr>
        <w:tc>
          <w:tcPr>
            <w:tcW w:w="424" w:type="pct"/>
            <w:vMerge/>
            <w:vAlign w:val="center"/>
            <w:hideMark/>
          </w:tcPr>
          <w:p w14:paraId="60720D93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27FBA9D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14:paraId="4926D65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1F91E51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国家级单项冠军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D0D0667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14:paraId="77BB9CB8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14:paraId="7378300F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6DC37B36" w14:textId="77777777" w:rsidTr="00E71A27">
        <w:trPr>
          <w:trHeight w:val="285"/>
          <w:tblHeader/>
        </w:trPr>
        <w:tc>
          <w:tcPr>
            <w:tcW w:w="424" w:type="pct"/>
            <w:shd w:val="clear" w:color="auto" w:fill="auto"/>
            <w:vAlign w:val="center"/>
            <w:hideMark/>
          </w:tcPr>
          <w:p w14:paraId="64BE0F1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A56780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24813CB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722C0565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1DD7EBC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评分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7F7DF7E7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08" w:type="pct"/>
            <w:vMerge/>
            <w:vAlign w:val="center"/>
            <w:hideMark/>
          </w:tcPr>
          <w:p w14:paraId="1E9C505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71A27" w:rsidRPr="00E71A27" w14:paraId="13CA5C01" w14:textId="77777777" w:rsidTr="00E71A27">
        <w:trPr>
          <w:trHeight w:val="634"/>
        </w:trPr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14:paraId="7F5AC3BE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加分项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58145D69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信息化水平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20507C0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智能制造成熟度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14:paraId="4AB4090A" w14:textId="77777777" w:rsidR="00E71A27" w:rsidRPr="00E71A27" w:rsidRDefault="00E71A27" w:rsidP="00E71A2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未达一级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基础级：企业具备</w:t>
            </w:r>
            <w:proofErr w:type="gramStart"/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最</w:t>
            </w:r>
            <w:proofErr w:type="gramEnd"/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基础的网络化办公及电子化信息的数据采集工作。对离散的数据进行报表统计及分析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77CBAA4F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14:paraId="5B518532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616FA99A" w14:textId="77777777" w:rsidR="00E71A27" w:rsidRPr="00E71A27" w:rsidRDefault="00E71A27" w:rsidP="00E71A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/>
                <w:szCs w:val="24"/>
              </w:rPr>
              <w:t>此为加分项，评价指标得分未满</w:t>
            </w:r>
            <w:r w:rsidRPr="00E71A27">
              <w:rPr>
                <w:rFonts w:ascii="Times New Roman" w:eastAsia="宋体" w:hAnsi="Times New Roman" w:cs="Times New Roman"/>
                <w:szCs w:val="24"/>
              </w:rPr>
              <w:t>100</w:t>
            </w:r>
            <w:r w:rsidRPr="00E71A27">
              <w:rPr>
                <w:rFonts w:ascii="Times New Roman" w:eastAsia="宋体" w:hAnsi="Times New Roman" w:cs="Times New Roman"/>
                <w:szCs w:val="24"/>
              </w:rPr>
              <w:t>分时可以计入需提供认证证书等证明材料</w:t>
            </w:r>
          </w:p>
        </w:tc>
      </w:tr>
      <w:tr w:rsidR="00E71A27" w:rsidRPr="00E71A27" w14:paraId="4CD3811E" w14:textId="77777777" w:rsidTr="00E71A27">
        <w:trPr>
          <w:trHeight w:val="145"/>
        </w:trPr>
        <w:tc>
          <w:tcPr>
            <w:tcW w:w="424" w:type="pct"/>
            <w:vMerge/>
            <w:vAlign w:val="center"/>
          </w:tcPr>
          <w:p w14:paraId="55384AC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6B99D23D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</w:tcPr>
          <w:p w14:paraId="07236A78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74B83E41" w14:textId="77777777" w:rsidR="00E71A27" w:rsidRPr="00E71A27" w:rsidRDefault="00E71A27" w:rsidP="00E71A2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一级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规划级：企业应开始对实施智能制造的基础和条件进行规划，能够对核心业务活动（设计、生产、物流、销售、服务）进行流程化管理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393A73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481" w:type="pct"/>
            <w:vMerge/>
            <w:vAlign w:val="center"/>
          </w:tcPr>
          <w:p w14:paraId="3D842AE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</w:tcPr>
          <w:p w14:paraId="126F2462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3E15D0E9" w14:textId="77777777" w:rsidTr="00E71A27">
        <w:trPr>
          <w:trHeight w:val="145"/>
        </w:trPr>
        <w:tc>
          <w:tcPr>
            <w:tcW w:w="424" w:type="pct"/>
            <w:vMerge/>
            <w:vAlign w:val="center"/>
          </w:tcPr>
          <w:p w14:paraId="690D3A9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3B8E3CED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</w:tcPr>
          <w:p w14:paraId="5AC42A2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32924D79" w14:textId="77777777" w:rsidR="00E71A27" w:rsidRPr="00E71A27" w:rsidRDefault="00E71A27" w:rsidP="00E71A2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二级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规范级：企业应采用自动化技术、信息技术手段对核心装备和业务活动等进行改造和规范，实现单一业务活动的数据共享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1B2E7FC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" w:type="pct"/>
            <w:vMerge/>
            <w:vAlign w:val="center"/>
          </w:tcPr>
          <w:p w14:paraId="377A7DE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</w:tcPr>
          <w:p w14:paraId="713CA1BD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081E3482" w14:textId="77777777" w:rsidTr="00E71A27">
        <w:trPr>
          <w:trHeight w:val="145"/>
        </w:trPr>
        <w:tc>
          <w:tcPr>
            <w:tcW w:w="424" w:type="pct"/>
            <w:vMerge/>
            <w:vAlign w:val="center"/>
          </w:tcPr>
          <w:p w14:paraId="65FC6138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1E2A94BC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</w:tcPr>
          <w:p w14:paraId="6298BFA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18FD047F" w14:textId="77777777" w:rsidR="00E71A27" w:rsidRPr="00E71A27" w:rsidRDefault="00E71A27" w:rsidP="00E71A2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三级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集成级：企业应对装备、系统等开展集成，实现跨业</w:t>
            </w:r>
            <w:proofErr w:type="gramStart"/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活动间的数据共享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DA230A9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481" w:type="pct"/>
            <w:vMerge/>
            <w:vAlign w:val="center"/>
          </w:tcPr>
          <w:p w14:paraId="1231A9E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</w:tcPr>
          <w:p w14:paraId="164FA29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6C3295F6" w14:textId="77777777" w:rsidTr="00E71A27">
        <w:trPr>
          <w:trHeight w:val="145"/>
        </w:trPr>
        <w:tc>
          <w:tcPr>
            <w:tcW w:w="424" w:type="pct"/>
            <w:vMerge/>
            <w:vAlign w:val="center"/>
          </w:tcPr>
          <w:p w14:paraId="09D1200B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36C6FE0B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</w:tcPr>
          <w:p w14:paraId="0B0CC0BE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034AFD36" w14:textId="77777777" w:rsidR="00E71A27" w:rsidRPr="00E71A27" w:rsidRDefault="00E71A27" w:rsidP="00E71A2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四级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优化级：企业应对人员、资源、制造等进行数据挖掘，</w:t>
            </w:r>
          </w:p>
          <w:p w14:paraId="6EE0BF54" w14:textId="77777777" w:rsidR="00E71A27" w:rsidRPr="00E71A27" w:rsidRDefault="00E71A27" w:rsidP="00E71A2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形成知识、模型等，实现对核心业务活动的精准预测和优化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F18FAFF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pct"/>
            <w:vMerge/>
            <w:vAlign w:val="center"/>
          </w:tcPr>
          <w:p w14:paraId="3C61CE65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</w:tcPr>
          <w:p w14:paraId="0F37D6A8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1A27" w:rsidRPr="00E71A27" w14:paraId="77D81223" w14:textId="77777777" w:rsidTr="00E71A27">
        <w:trPr>
          <w:trHeight w:val="145"/>
        </w:trPr>
        <w:tc>
          <w:tcPr>
            <w:tcW w:w="424" w:type="pct"/>
            <w:vMerge/>
            <w:vAlign w:val="center"/>
          </w:tcPr>
          <w:p w14:paraId="6BB001A4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5A3BD368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/>
            <w:vAlign w:val="center"/>
          </w:tcPr>
          <w:p w14:paraId="442A2D19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6" w:type="pct"/>
            <w:shd w:val="clear" w:color="auto" w:fill="auto"/>
            <w:vAlign w:val="center"/>
          </w:tcPr>
          <w:p w14:paraId="2110FCA3" w14:textId="77777777" w:rsidR="00E71A27" w:rsidRPr="00E71A27" w:rsidRDefault="00E71A27" w:rsidP="00E71A27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五级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引领级：企业应基于模型持续驱动业务活动的优化和创新，实现产业链协同并衍生新的制造模式和商业模式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3B8C9EA" w14:textId="77777777" w:rsidR="00E71A27" w:rsidRPr="00E71A27" w:rsidRDefault="00E71A27" w:rsidP="00E71A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A2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E71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481" w:type="pct"/>
            <w:vMerge/>
            <w:vAlign w:val="center"/>
          </w:tcPr>
          <w:p w14:paraId="0326E18A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pct"/>
            <w:vMerge/>
            <w:vAlign w:val="center"/>
          </w:tcPr>
          <w:p w14:paraId="05A72236" w14:textId="77777777" w:rsidR="00E71A27" w:rsidRPr="00E71A27" w:rsidRDefault="00E71A27" w:rsidP="00E71A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9EC4750" w14:textId="77777777" w:rsidR="00595BE1" w:rsidRDefault="00595BE1" w:rsidP="0001412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039999A" w14:textId="64DE605A" w:rsidR="00895AA5" w:rsidRPr="00605342" w:rsidRDefault="008752C3" w:rsidP="00E71A2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第一部分为企业层面</w:t>
      </w:r>
      <w:r w:rsidR="00021075" w:rsidRPr="00605342">
        <w:rPr>
          <w:rFonts w:ascii="Times New Roman" w:eastAsia="仿宋_GB2312" w:hAnsi="Times New Roman" w:cs="Times New Roman" w:hint="eastAsia"/>
          <w:sz w:val="28"/>
          <w:szCs w:val="28"/>
        </w:rPr>
        <w:t>包含生产装备水平、检验检测能力、体系保证</w:t>
      </w:r>
      <w:r w:rsidR="00257A08" w:rsidRPr="00605342">
        <w:rPr>
          <w:rFonts w:ascii="Times New Roman" w:eastAsia="仿宋_GB2312" w:hAnsi="Times New Roman" w:cs="Times New Roman" w:hint="eastAsia"/>
          <w:sz w:val="28"/>
          <w:szCs w:val="28"/>
        </w:rPr>
        <w:t>、技术中心等级、专利数量、人才结构、研发投入比例、诚信管理体系建议、企业信用等级、</w:t>
      </w:r>
      <w:r w:rsidR="00595BE1" w:rsidRPr="00595BE1">
        <w:rPr>
          <w:rFonts w:ascii="Times New Roman" w:eastAsia="仿宋_GB2312" w:hAnsi="Times New Roman" w:cs="Times New Roman" w:hint="eastAsia"/>
          <w:sz w:val="28"/>
          <w:szCs w:val="28"/>
        </w:rPr>
        <w:t>管理层信用</w:t>
      </w:r>
      <w:r w:rsidR="00595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57A08" w:rsidRPr="00605342">
        <w:rPr>
          <w:rFonts w:ascii="Times New Roman" w:eastAsia="仿宋_GB2312" w:hAnsi="Times New Roman" w:cs="Times New Roman" w:hint="eastAsia"/>
          <w:sz w:val="28"/>
          <w:szCs w:val="28"/>
        </w:rPr>
        <w:t>偿债能力、合同履约、企业不良行为记录、服务体系建设、配送时效保障、质量追溯、质量异议解决制度等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多维度指标；第二部分为产品层面，主要围绕</w:t>
      </w:r>
      <w:r w:rsidR="00E71A27">
        <w:rPr>
          <w:rFonts w:ascii="Times New Roman" w:eastAsia="仿宋_GB2312" w:hAnsi="Times New Roman" w:cs="Times New Roman" w:hint="eastAsia"/>
          <w:sz w:val="28"/>
          <w:szCs w:val="28"/>
        </w:rPr>
        <w:t>铁损、磁感、叠装系数</w:t>
      </w:r>
      <w:r w:rsidR="00595BE1" w:rsidRPr="00595BE1">
        <w:rPr>
          <w:rFonts w:ascii="Times New Roman" w:eastAsia="仿宋_GB2312" w:hAnsi="Times New Roman" w:cs="Times New Roman" w:hint="eastAsia"/>
          <w:sz w:val="28"/>
          <w:szCs w:val="28"/>
        </w:rPr>
        <w:t>波动范围</w:t>
      </w:r>
      <w:r w:rsidR="00595BE1" w:rsidRPr="00595BE1">
        <w:rPr>
          <w:rFonts w:ascii="Times New Roman" w:eastAsia="仿宋_GB2312" w:hAnsi="Times New Roman" w:cs="Times New Roman" w:hint="eastAsia"/>
          <w:sz w:val="28"/>
          <w:szCs w:val="28"/>
        </w:rPr>
        <w:t>Cp</w:t>
      </w:r>
      <w:r w:rsidR="00595BE1" w:rsidRPr="00595BE1">
        <w:rPr>
          <w:rFonts w:ascii="Times New Roman" w:eastAsia="仿宋_GB2312" w:hAnsi="Times New Roman" w:cs="Times New Roman" w:hint="eastAsia"/>
          <w:sz w:val="28"/>
          <w:szCs w:val="28"/>
        </w:rPr>
        <w:t>（尺寸）</w:t>
      </w:r>
      <w:r w:rsidR="00595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595BE1" w:rsidRPr="00595BE1">
        <w:rPr>
          <w:rFonts w:ascii="Times New Roman" w:eastAsia="仿宋_GB2312" w:hAnsi="Times New Roman" w:cs="Times New Roman" w:hint="eastAsia"/>
          <w:sz w:val="28"/>
          <w:szCs w:val="28"/>
        </w:rPr>
        <w:t>重大装备应用</w:t>
      </w:r>
      <w:r w:rsidR="00595BE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595BE1" w:rsidRPr="00595BE1">
        <w:rPr>
          <w:rFonts w:ascii="Times New Roman" w:eastAsia="仿宋_GB2312" w:hAnsi="Times New Roman" w:cs="Times New Roman" w:hint="eastAsia"/>
          <w:sz w:val="28"/>
          <w:szCs w:val="28"/>
        </w:rPr>
        <w:t>终端客户水平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、质量异议</w:t>
      </w:r>
      <w:r w:rsidR="007B7972">
        <w:rPr>
          <w:rFonts w:ascii="Times New Roman" w:eastAsia="仿宋_GB2312" w:hAnsi="Times New Roman" w:cs="Times New Roman" w:hint="eastAsia"/>
          <w:sz w:val="28"/>
          <w:szCs w:val="28"/>
        </w:rPr>
        <w:t>经济损失率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、质量异议</w:t>
      </w:r>
      <w:r w:rsidR="00243535">
        <w:rPr>
          <w:rFonts w:ascii="Times New Roman" w:eastAsia="仿宋_GB2312" w:hAnsi="Times New Roman" w:cs="Times New Roman" w:hint="eastAsia"/>
          <w:sz w:val="28"/>
          <w:szCs w:val="28"/>
        </w:rPr>
        <w:t>响应时间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、顾客满意度、</w:t>
      </w:r>
      <w:r w:rsidR="00243535">
        <w:rPr>
          <w:rFonts w:ascii="Times New Roman" w:eastAsia="仿宋_GB2312" w:hAnsi="Times New Roman" w:cs="Times New Roman" w:hint="eastAsia"/>
          <w:sz w:val="28"/>
          <w:szCs w:val="28"/>
        </w:rPr>
        <w:t>第二方</w:t>
      </w:r>
      <w:r w:rsidR="00037456">
        <w:rPr>
          <w:rFonts w:ascii="Times New Roman" w:eastAsia="仿宋_GB2312" w:hAnsi="Times New Roman" w:cs="Times New Roman" w:hint="eastAsia"/>
          <w:sz w:val="28"/>
          <w:szCs w:val="28"/>
        </w:rPr>
        <w:t>认证情况、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质量奖、产品科技奖、单项冠军等。</w:t>
      </w:r>
    </w:p>
    <w:p w14:paraId="79825CD7" w14:textId="04EECBC9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193090AE" w14:textId="2AFF7880" w:rsidR="005A6F0A" w:rsidRPr="00605342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制定本</w:t>
      </w:r>
      <w:r w:rsidR="000D4A79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时依据并引用了国内有关现行有效的标准，也不违背国内其它行业标准、法律、法规及强制性标准的有关规定。</w:t>
      </w:r>
    </w:p>
    <w:p w14:paraId="772B1E54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4C37626B" w14:textId="371CE900" w:rsidR="005A6F0A" w:rsidRPr="00605342" w:rsidRDefault="005A6F0A" w:rsidP="005A6F0A">
      <w:pPr>
        <w:spacing w:line="360" w:lineRule="auto"/>
        <w:ind w:firstLine="48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本</w:t>
      </w:r>
      <w:r w:rsidR="00863E74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属于中国</w:t>
      </w:r>
      <w:r w:rsidR="001351BC" w:rsidRPr="00605342">
        <w:rPr>
          <w:rFonts w:ascii="Times New Roman" w:eastAsia="仿宋" w:hAnsi="Times New Roman" w:cs="Times New Roman"/>
          <w:sz w:val="28"/>
          <w:szCs w:val="28"/>
        </w:rPr>
        <w:t>特钢企业</w:t>
      </w:r>
      <w:r w:rsidRPr="00605342">
        <w:rPr>
          <w:rFonts w:ascii="Times New Roman" w:eastAsia="仿宋" w:hAnsi="Times New Roman" w:cs="Times New Roman"/>
          <w:sz w:val="28"/>
          <w:szCs w:val="28"/>
        </w:rPr>
        <w:t>协会团体标准。</w:t>
      </w:r>
    </w:p>
    <w:p w14:paraId="03C77DEA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173621B9" w14:textId="39987776" w:rsidR="005A6F0A" w:rsidRPr="00605342" w:rsidRDefault="00370DDE" w:rsidP="005A6F0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在新型标准化体系中，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团体标准</w:t>
      </w:r>
      <w:r w:rsidRPr="00605342">
        <w:rPr>
          <w:rFonts w:ascii="Times New Roman" w:eastAsia="仿宋" w:hAnsi="Times New Roman" w:cs="Times New Roman"/>
          <w:sz w:val="28"/>
          <w:szCs w:val="28"/>
        </w:rPr>
        <w:t>定位为先进引领性的标准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，通过产业</w:t>
      </w:r>
      <w:proofErr w:type="gramStart"/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链利益</w:t>
      </w:r>
      <w:proofErr w:type="gramEnd"/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相关方协商一致，能够提升技术指标先进性、引领性，推动标准应用实施</w:t>
      </w:r>
      <w:r w:rsidRPr="00605342">
        <w:rPr>
          <w:rFonts w:ascii="Times New Roman" w:eastAsia="仿宋" w:hAnsi="Times New Roman" w:cs="Times New Roman"/>
          <w:sz w:val="28"/>
          <w:szCs w:val="28"/>
        </w:rPr>
        <w:t>。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本</w:t>
      </w:r>
      <w:r w:rsidR="006C3431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的制定一方面有利于指导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提升企业产品品牌</w:t>
      </w:r>
      <w:r w:rsidRPr="00605342">
        <w:rPr>
          <w:rFonts w:ascii="Times New Roman" w:eastAsia="仿宋" w:hAnsi="Times New Roman" w:cs="Times New Roman"/>
          <w:sz w:val="28"/>
          <w:szCs w:val="28"/>
        </w:rPr>
        <w:t>，并可用于对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企业产品质量和生产控制水平进</w:t>
      </w:r>
      <w:r w:rsidRPr="00605342">
        <w:rPr>
          <w:rFonts w:ascii="Times New Roman" w:eastAsia="仿宋" w:hAnsi="Times New Roman" w:cs="Times New Roman"/>
          <w:sz w:val="28"/>
          <w:szCs w:val="28"/>
        </w:rPr>
        <w:t>行评价，另一方面可以指导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第一方、第二方、</w:t>
      </w:r>
      <w:r w:rsidRPr="00605342">
        <w:rPr>
          <w:rFonts w:ascii="Times New Roman" w:eastAsia="仿宋" w:hAnsi="Times New Roman" w:cs="Times New Roman"/>
          <w:sz w:val="28"/>
          <w:szCs w:val="28"/>
        </w:rPr>
        <w:t>第三方机构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开展相关认证</w:t>
      </w:r>
      <w:r w:rsidR="008A744A" w:rsidRPr="00605342">
        <w:rPr>
          <w:rFonts w:ascii="Times New Roman" w:eastAsia="仿宋" w:hAnsi="Times New Roman" w:cs="Times New Roman" w:hint="eastAsia"/>
          <w:sz w:val="28"/>
          <w:szCs w:val="28"/>
        </w:rPr>
        <w:t>评价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工作</w:t>
      </w:r>
      <w:r w:rsidRPr="00605342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2B87407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652BCF30" w14:textId="3CB61CAC" w:rsidR="00783E38" w:rsidRPr="00605342" w:rsidRDefault="005A6F0A" w:rsidP="004249C2">
      <w:pPr>
        <w:spacing w:line="360" w:lineRule="auto"/>
        <w:ind w:firstLineChars="175" w:firstLine="49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本</w:t>
      </w:r>
      <w:r w:rsidR="002529BF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归口单位为中国</w:t>
      </w:r>
      <w:r w:rsidR="001351BC" w:rsidRPr="00605342">
        <w:rPr>
          <w:rFonts w:ascii="Times New Roman" w:eastAsia="仿宋" w:hAnsi="Times New Roman" w:cs="Times New Roman"/>
          <w:sz w:val="28"/>
          <w:szCs w:val="28"/>
        </w:rPr>
        <w:t>特钢企业</w:t>
      </w:r>
      <w:r w:rsidRPr="00605342">
        <w:rPr>
          <w:rFonts w:ascii="Times New Roman" w:eastAsia="仿宋" w:hAnsi="Times New Roman" w:cs="Times New Roman"/>
          <w:sz w:val="28"/>
          <w:szCs w:val="28"/>
        </w:rPr>
        <w:t>协会，经过审定报批后，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由</w:t>
      </w:r>
      <w:r w:rsidR="001351BC" w:rsidRPr="00605342">
        <w:rPr>
          <w:rFonts w:ascii="Times New Roman" w:eastAsia="仿宋_GB2312" w:hAnsi="Times New Roman" w:cs="Times New Roman"/>
          <w:sz w:val="28"/>
          <w:szCs w:val="28"/>
        </w:rPr>
        <w:t>中国</w:t>
      </w:r>
      <w:r w:rsidR="001351BC" w:rsidRPr="00605342">
        <w:rPr>
          <w:rFonts w:ascii="Times New Roman" w:eastAsia="仿宋_GB2312" w:hAnsi="Times New Roman" w:cs="Times New Roman"/>
          <w:sz w:val="28"/>
          <w:szCs w:val="28"/>
        </w:rPr>
        <w:lastRenderedPageBreak/>
        <w:t>特钢企业协会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发布</w:t>
      </w:r>
      <w:r w:rsidRPr="00605342">
        <w:rPr>
          <w:rFonts w:ascii="Times New Roman" w:eastAsia="仿宋" w:hAnsi="Times New Roman" w:cs="Times New Roman"/>
          <w:sz w:val="28"/>
          <w:szCs w:val="28"/>
        </w:rPr>
        <w:t>。建议在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第三方机构对企业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产品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放心品牌评价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企业自评、相关方评价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="00F51B98" w:rsidRPr="00605342">
        <w:rPr>
          <w:rFonts w:ascii="Times New Roman" w:eastAsia="仿宋" w:hAnsi="Times New Roman" w:cs="Times New Roman"/>
          <w:sz w:val="28"/>
          <w:szCs w:val="28"/>
        </w:rPr>
        <w:t>领域和单位</w:t>
      </w:r>
      <w:r w:rsidRPr="00605342">
        <w:rPr>
          <w:rFonts w:ascii="Times New Roman" w:eastAsia="仿宋" w:hAnsi="Times New Roman" w:cs="Times New Roman"/>
          <w:sz w:val="28"/>
          <w:szCs w:val="28"/>
        </w:rPr>
        <w:t>宣贯执行</w:t>
      </w:r>
      <w:r w:rsidR="004249C2" w:rsidRPr="00605342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4F66C1C6" w14:textId="77777777" w:rsidR="008242CD" w:rsidRPr="00605342" w:rsidRDefault="008242CD">
      <w:pPr>
        <w:spacing w:line="360" w:lineRule="auto"/>
        <w:ind w:firstLineChars="175" w:firstLine="490"/>
        <w:rPr>
          <w:rFonts w:ascii="Times New Roman" w:eastAsia="仿宋" w:hAnsi="Times New Roman" w:cs="Times New Roman"/>
          <w:sz w:val="28"/>
          <w:szCs w:val="28"/>
        </w:rPr>
      </w:pPr>
    </w:p>
    <w:sectPr w:rsidR="008242CD" w:rsidRPr="00605342" w:rsidSect="00C60ED6">
      <w:footerReference w:type="even" r:id="rId8"/>
      <w:footerReference w:type="default" r:id="rId9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B479" w14:textId="77777777" w:rsidR="0077424B" w:rsidRDefault="0077424B" w:rsidP="005A6F0A">
      <w:r>
        <w:separator/>
      </w:r>
    </w:p>
  </w:endnote>
  <w:endnote w:type="continuationSeparator" w:id="0">
    <w:p w14:paraId="13844B71" w14:textId="77777777" w:rsidR="0077424B" w:rsidRDefault="0077424B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53CC" w14:textId="77777777" w:rsidR="0010628B" w:rsidRDefault="0010628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310A8E">
      <w:rPr>
        <w:noProof/>
        <w:lang w:val="zh-CN"/>
      </w:rPr>
      <w:t>6</w:t>
    </w:r>
    <w:r>
      <w:fldChar w:fldCharType="end"/>
    </w:r>
  </w:p>
  <w:p w14:paraId="0B818730" w14:textId="77777777" w:rsidR="0010628B" w:rsidRDefault="001062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63D5" w14:textId="77777777" w:rsidR="0010628B" w:rsidRDefault="0010628B" w:rsidP="00C60ED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7456" w:rsidRPr="00037456">
      <w:rPr>
        <w:noProof/>
        <w:lang w:val="zh-CN"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A7B1" w14:textId="77777777" w:rsidR="0077424B" w:rsidRDefault="0077424B" w:rsidP="005A6F0A">
      <w:r>
        <w:separator/>
      </w:r>
    </w:p>
  </w:footnote>
  <w:footnote w:type="continuationSeparator" w:id="0">
    <w:p w14:paraId="63348FD1" w14:textId="77777777" w:rsidR="0077424B" w:rsidRDefault="0077424B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746"/>
    <w:multiLevelType w:val="multilevel"/>
    <w:tmpl w:val="0000000F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Arial" w:eastAsia="黑体" w:hAnsi="Arial" w:cs="Arial" w:hint="default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46260FA"/>
    <w:multiLevelType w:val="multilevel"/>
    <w:tmpl w:val="4F2011E8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64558627">
    <w:abstractNumId w:val="1"/>
  </w:num>
  <w:num w:numId="2" w16cid:durableId="243492149">
    <w:abstractNumId w:val="0"/>
  </w:num>
  <w:num w:numId="3" w16cid:durableId="1613853894">
    <w:abstractNumId w:val="1"/>
  </w:num>
  <w:num w:numId="4" w16cid:durableId="1558511656">
    <w:abstractNumId w:val="1"/>
  </w:num>
  <w:num w:numId="5" w16cid:durableId="617878251">
    <w:abstractNumId w:val="1"/>
  </w:num>
  <w:num w:numId="6" w16cid:durableId="671222350">
    <w:abstractNumId w:val="1"/>
  </w:num>
  <w:num w:numId="7" w16cid:durableId="1380783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8486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3858972">
    <w:abstractNumId w:val="1"/>
  </w:num>
  <w:num w:numId="10" w16cid:durableId="1598949655">
    <w:abstractNumId w:val="2"/>
  </w:num>
  <w:num w:numId="11" w16cid:durableId="1436826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91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076C"/>
    <w:rsid w:val="00000A7A"/>
    <w:rsid w:val="00007EBA"/>
    <w:rsid w:val="00010281"/>
    <w:rsid w:val="00011BB4"/>
    <w:rsid w:val="0001412B"/>
    <w:rsid w:val="00015BDD"/>
    <w:rsid w:val="00017DDD"/>
    <w:rsid w:val="00021075"/>
    <w:rsid w:val="00027A9C"/>
    <w:rsid w:val="00027AD3"/>
    <w:rsid w:val="00031AF7"/>
    <w:rsid w:val="00034982"/>
    <w:rsid w:val="00034F94"/>
    <w:rsid w:val="0003518E"/>
    <w:rsid w:val="00037379"/>
    <w:rsid w:val="00037456"/>
    <w:rsid w:val="00037AD9"/>
    <w:rsid w:val="00042571"/>
    <w:rsid w:val="00046E8F"/>
    <w:rsid w:val="000541E0"/>
    <w:rsid w:val="0005671E"/>
    <w:rsid w:val="00061866"/>
    <w:rsid w:val="00063603"/>
    <w:rsid w:val="00064E2A"/>
    <w:rsid w:val="00067E09"/>
    <w:rsid w:val="00075726"/>
    <w:rsid w:val="000847CA"/>
    <w:rsid w:val="000912D0"/>
    <w:rsid w:val="00093A71"/>
    <w:rsid w:val="000954A1"/>
    <w:rsid w:val="000958B1"/>
    <w:rsid w:val="000A239E"/>
    <w:rsid w:val="000A6B9E"/>
    <w:rsid w:val="000B3CC5"/>
    <w:rsid w:val="000B4217"/>
    <w:rsid w:val="000B4E85"/>
    <w:rsid w:val="000C20DF"/>
    <w:rsid w:val="000C2E6C"/>
    <w:rsid w:val="000D0A5B"/>
    <w:rsid w:val="000D102C"/>
    <w:rsid w:val="000D4A79"/>
    <w:rsid w:val="000E4DB8"/>
    <w:rsid w:val="000E639D"/>
    <w:rsid w:val="000E6B73"/>
    <w:rsid w:val="000F0D86"/>
    <w:rsid w:val="000F3A7F"/>
    <w:rsid w:val="000F4EB9"/>
    <w:rsid w:val="000F4EDD"/>
    <w:rsid w:val="0010039C"/>
    <w:rsid w:val="00104825"/>
    <w:rsid w:val="0010628B"/>
    <w:rsid w:val="0011017E"/>
    <w:rsid w:val="00113B29"/>
    <w:rsid w:val="00117113"/>
    <w:rsid w:val="00121CA2"/>
    <w:rsid w:val="001241A2"/>
    <w:rsid w:val="00124E50"/>
    <w:rsid w:val="001267A4"/>
    <w:rsid w:val="00130B25"/>
    <w:rsid w:val="00132723"/>
    <w:rsid w:val="0013393F"/>
    <w:rsid w:val="001350E9"/>
    <w:rsid w:val="001351BC"/>
    <w:rsid w:val="001414E1"/>
    <w:rsid w:val="001447CA"/>
    <w:rsid w:val="00144910"/>
    <w:rsid w:val="00146038"/>
    <w:rsid w:val="00147B7F"/>
    <w:rsid w:val="001512FC"/>
    <w:rsid w:val="00151696"/>
    <w:rsid w:val="00156FFD"/>
    <w:rsid w:val="00157247"/>
    <w:rsid w:val="0016019F"/>
    <w:rsid w:val="00163E34"/>
    <w:rsid w:val="001666DB"/>
    <w:rsid w:val="00167428"/>
    <w:rsid w:val="0017619C"/>
    <w:rsid w:val="00176600"/>
    <w:rsid w:val="001850AC"/>
    <w:rsid w:val="001934BB"/>
    <w:rsid w:val="00194CC2"/>
    <w:rsid w:val="001A175A"/>
    <w:rsid w:val="001A30AD"/>
    <w:rsid w:val="001A5B6F"/>
    <w:rsid w:val="001A65FD"/>
    <w:rsid w:val="001A739F"/>
    <w:rsid w:val="001B55C9"/>
    <w:rsid w:val="001B58F7"/>
    <w:rsid w:val="001C0C28"/>
    <w:rsid w:val="001C1B8F"/>
    <w:rsid w:val="001C3C21"/>
    <w:rsid w:val="001C74DE"/>
    <w:rsid w:val="001C7ACB"/>
    <w:rsid w:val="001D02F9"/>
    <w:rsid w:val="001D1C23"/>
    <w:rsid w:val="001D27B7"/>
    <w:rsid w:val="001E77D9"/>
    <w:rsid w:val="001F3124"/>
    <w:rsid w:val="001F3677"/>
    <w:rsid w:val="001F7509"/>
    <w:rsid w:val="001F7827"/>
    <w:rsid w:val="00200450"/>
    <w:rsid w:val="00204AEE"/>
    <w:rsid w:val="00204BB0"/>
    <w:rsid w:val="00205AE5"/>
    <w:rsid w:val="00206D72"/>
    <w:rsid w:val="00207A30"/>
    <w:rsid w:val="002102F0"/>
    <w:rsid w:val="00217630"/>
    <w:rsid w:val="00217F97"/>
    <w:rsid w:val="00230D0B"/>
    <w:rsid w:val="00230D70"/>
    <w:rsid w:val="002359F9"/>
    <w:rsid w:val="00237295"/>
    <w:rsid w:val="00243535"/>
    <w:rsid w:val="002501C4"/>
    <w:rsid w:val="002529BF"/>
    <w:rsid w:val="00255FC5"/>
    <w:rsid w:val="00257A08"/>
    <w:rsid w:val="00261326"/>
    <w:rsid w:val="00261FFB"/>
    <w:rsid w:val="002625ED"/>
    <w:rsid w:val="00264EC4"/>
    <w:rsid w:val="00270EA7"/>
    <w:rsid w:val="00272E87"/>
    <w:rsid w:val="002764BC"/>
    <w:rsid w:val="00280501"/>
    <w:rsid w:val="0028279D"/>
    <w:rsid w:val="00283914"/>
    <w:rsid w:val="0028464B"/>
    <w:rsid w:val="00286581"/>
    <w:rsid w:val="002871AE"/>
    <w:rsid w:val="00290C91"/>
    <w:rsid w:val="002962F8"/>
    <w:rsid w:val="0029654A"/>
    <w:rsid w:val="00297AF2"/>
    <w:rsid w:val="002A076C"/>
    <w:rsid w:val="002A222B"/>
    <w:rsid w:val="002A4627"/>
    <w:rsid w:val="002B18C3"/>
    <w:rsid w:val="002B256C"/>
    <w:rsid w:val="002B5927"/>
    <w:rsid w:val="002C565F"/>
    <w:rsid w:val="002D04C9"/>
    <w:rsid w:val="002D147D"/>
    <w:rsid w:val="002D6E47"/>
    <w:rsid w:val="002D7653"/>
    <w:rsid w:val="002D7B20"/>
    <w:rsid w:val="002E0001"/>
    <w:rsid w:val="002E2F94"/>
    <w:rsid w:val="00304940"/>
    <w:rsid w:val="0031020C"/>
    <w:rsid w:val="00312EDE"/>
    <w:rsid w:val="003131E0"/>
    <w:rsid w:val="00317EFF"/>
    <w:rsid w:val="00320B80"/>
    <w:rsid w:val="00332A10"/>
    <w:rsid w:val="0033421E"/>
    <w:rsid w:val="00334E48"/>
    <w:rsid w:val="00341005"/>
    <w:rsid w:val="0034325B"/>
    <w:rsid w:val="00343C70"/>
    <w:rsid w:val="00345B22"/>
    <w:rsid w:val="00354D21"/>
    <w:rsid w:val="00362AEA"/>
    <w:rsid w:val="003645CC"/>
    <w:rsid w:val="00370591"/>
    <w:rsid w:val="00370DDE"/>
    <w:rsid w:val="00374538"/>
    <w:rsid w:val="00381178"/>
    <w:rsid w:val="0038138A"/>
    <w:rsid w:val="00381AC6"/>
    <w:rsid w:val="003831CF"/>
    <w:rsid w:val="003837E1"/>
    <w:rsid w:val="00395986"/>
    <w:rsid w:val="00395DF1"/>
    <w:rsid w:val="003962B8"/>
    <w:rsid w:val="003964B2"/>
    <w:rsid w:val="003A0FC9"/>
    <w:rsid w:val="003A5A75"/>
    <w:rsid w:val="003A5ED3"/>
    <w:rsid w:val="003A7A23"/>
    <w:rsid w:val="003B0C4D"/>
    <w:rsid w:val="003B75B6"/>
    <w:rsid w:val="003C0C28"/>
    <w:rsid w:val="003C61E3"/>
    <w:rsid w:val="003D2C1B"/>
    <w:rsid w:val="003E0D0B"/>
    <w:rsid w:val="003E15D3"/>
    <w:rsid w:val="003E3B6A"/>
    <w:rsid w:val="003E5EB2"/>
    <w:rsid w:val="003E6D0E"/>
    <w:rsid w:val="003E72E3"/>
    <w:rsid w:val="003E78E6"/>
    <w:rsid w:val="003F099E"/>
    <w:rsid w:val="003F0DFE"/>
    <w:rsid w:val="003F1A1F"/>
    <w:rsid w:val="004040A5"/>
    <w:rsid w:val="00405E80"/>
    <w:rsid w:val="004140F8"/>
    <w:rsid w:val="004221BC"/>
    <w:rsid w:val="0042287E"/>
    <w:rsid w:val="004249C2"/>
    <w:rsid w:val="00425645"/>
    <w:rsid w:val="004276C7"/>
    <w:rsid w:val="00434167"/>
    <w:rsid w:val="004341FE"/>
    <w:rsid w:val="00437DB0"/>
    <w:rsid w:val="004410E9"/>
    <w:rsid w:val="0044506E"/>
    <w:rsid w:val="004453D2"/>
    <w:rsid w:val="004469DF"/>
    <w:rsid w:val="00447A42"/>
    <w:rsid w:val="004529F8"/>
    <w:rsid w:val="00461079"/>
    <w:rsid w:val="00461457"/>
    <w:rsid w:val="00471451"/>
    <w:rsid w:val="0048243F"/>
    <w:rsid w:val="004838F9"/>
    <w:rsid w:val="00485275"/>
    <w:rsid w:val="00485FC7"/>
    <w:rsid w:val="004904B3"/>
    <w:rsid w:val="0049260E"/>
    <w:rsid w:val="004966BA"/>
    <w:rsid w:val="00497F32"/>
    <w:rsid w:val="004A069D"/>
    <w:rsid w:val="004A1539"/>
    <w:rsid w:val="004A2E49"/>
    <w:rsid w:val="004A4388"/>
    <w:rsid w:val="004B6229"/>
    <w:rsid w:val="004C1606"/>
    <w:rsid w:val="004C34B4"/>
    <w:rsid w:val="004C38D8"/>
    <w:rsid w:val="004C4626"/>
    <w:rsid w:val="004C4969"/>
    <w:rsid w:val="004C4B37"/>
    <w:rsid w:val="004D06CE"/>
    <w:rsid w:val="004D1160"/>
    <w:rsid w:val="004D44F2"/>
    <w:rsid w:val="004D7513"/>
    <w:rsid w:val="004E3EE1"/>
    <w:rsid w:val="004F0CD3"/>
    <w:rsid w:val="004F4A27"/>
    <w:rsid w:val="004F75C1"/>
    <w:rsid w:val="004F7781"/>
    <w:rsid w:val="00504213"/>
    <w:rsid w:val="00504A8F"/>
    <w:rsid w:val="0050569C"/>
    <w:rsid w:val="00510D8D"/>
    <w:rsid w:val="00513C01"/>
    <w:rsid w:val="00523353"/>
    <w:rsid w:val="00523DF2"/>
    <w:rsid w:val="00524246"/>
    <w:rsid w:val="00525DDE"/>
    <w:rsid w:val="00531783"/>
    <w:rsid w:val="00537386"/>
    <w:rsid w:val="00540783"/>
    <w:rsid w:val="005413F9"/>
    <w:rsid w:val="00543C4F"/>
    <w:rsid w:val="005470EF"/>
    <w:rsid w:val="005504FD"/>
    <w:rsid w:val="00553213"/>
    <w:rsid w:val="00553964"/>
    <w:rsid w:val="00555A75"/>
    <w:rsid w:val="00560781"/>
    <w:rsid w:val="00560AD7"/>
    <w:rsid w:val="005616F1"/>
    <w:rsid w:val="00561BAD"/>
    <w:rsid w:val="00566B35"/>
    <w:rsid w:val="005805B3"/>
    <w:rsid w:val="0059186B"/>
    <w:rsid w:val="00592096"/>
    <w:rsid w:val="005924C1"/>
    <w:rsid w:val="005932D2"/>
    <w:rsid w:val="00595BE1"/>
    <w:rsid w:val="0059671A"/>
    <w:rsid w:val="005976DE"/>
    <w:rsid w:val="005A0566"/>
    <w:rsid w:val="005A1A10"/>
    <w:rsid w:val="005A5671"/>
    <w:rsid w:val="005A6E43"/>
    <w:rsid w:val="005A6F0A"/>
    <w:rsid w:val="005B063B"/>
    <w:rsid w:val="005C11AD"/>
    <w:rsid w:val="005C3EF8"/>
    <w:rsid w:val="005D0796"/>
    <w:rsid w:val="005D2293"/>
    <w:rsid w:val="005D271C"/>
    <w:rsid w:val="005D3296"/>
    <w:rsid w:val="005D6C11"/>
    <w:rsid w:val="005E1E70"/>
    <w:rsid w:val="005E5779"/>
    <w:rsid w:val="005E60A6"/>
    <w:rsid w:val="005E7DC4"/>
    <w:rsid w:val="005F13EC"/>
    <w:rsid w:val="005F5102"/>
    <w:rsid w:val="00601BE3"/>
    <w:rsid w:val="00604007"/>
    <w:rsid w:val="00605342"/>
    <w:rsid w:val="0061121B"/>
    <w:rsid w:val="00613B46"/>
    <w:rsid w:val="006173C4"/>
    <w:rsid w:val="00617908"/>
    <w:rsid w:val="00620B9B"/>
    <w:rsid w:val="00622C28"/>
    <w:rsid w:val="00623624"/>
    <w:rsid w:val="00624FCE"/>
    <w:rsid w:val="00625EC9"/>
    <w:rsid w:val="00631EE6"/>
    <w:rsid w:val="00640058"/>
    <w:rsid w:val="00641C21"/>
    <w:rsid w:val="00643006"/>
    <w:rsid w:val="0064582B"/>
    <w:rsid w:val="00651E65"/>
    <w:rsid w:val="00653577"/>
    <w:rsid w:val="00662968"/>
    <w:rsid w:val="0066361E"/>
    <w:rsid w:val="00664669"/>
    <w:rsid w:val="00664A50"/>
    <w:rsid w:val="00664A9B"/>
    <w:rsid w:val="0066540B"/>
    <w:rsid w:val="00666CED"/>
    <w:rsid w:val="006730B5"/>
    <w:rsid w:val="00673FFD"/>
    <w:rsid w:val="006743B1"/>
    <w:rsid w:val="00685ABC"/>
    <w:rsid w:val="00685CCF"/>
    <w:rsid w:val="006A00D6"/>
    <w:rsid w:val="006A6369"/>
    <w:rsid w:val="006B7301"/>
    <w:rsid w:val="006B7876"/>
    <w:rsid w:val="006B7A2D"/>
    <w:rsid w:val="006C0100"/>
    <w:rsid w:val="006C0276"/>
    <w:rsid w:val="006C2C1A"/>
    <w:rsid w:val="006C3431"/>
    <w:rsid w:val="006C358C"/>
    <w:rsid w:val="006C3607"/>
    <w:rsid w:val="006C3E62"/>
    <w:rsid w:val="006C69EF"/>
    <w:rsid w:val="006C6EB0"/>
    <w:rsid w:val="006C7864"/>
    <w:rsid w:val="006D4DD3"/>
    <w:rsid w:val="006E20BC"/>
    <w:rsid w:val="006E2C58"/>
    <w:rsid w:val="006E635E"/>
    <w:rsid w:val="006E66FC"/>
    <w:rsid w:val="006E6C40"/>
    <w:rsid w:val="006E7670"/>
    <w:rsid w:val="006F33DD"/>
    <w:rsid w:val="006F4C57"/>
    <w:rsid w:val="00703493"/>
    <w:rsid w:val="0070513F"/>
    <w:rsid w:val="007052B3"/>
    <w:rsid w:val="00707DB8"/>
    <w:rsid w:val="007117FA"/>
    <w:rsid w:val="0071432D"/>
    <w:rsid w:val="007153E8"/>
    <w:rsid w:val="00715E2C"/>
    <w:rsid w:val="00716B03"/>
    <w:rsid w:val="0072201A"/>
    <w:rsid w:val="007327B4"/>
    <w:rsid w:val="00733FB2"/>
    <w:rsid w:val="0073464D"/>
    <w:rsid w:val="007377DD"/>
    <w:rsid w:val="00740D1B"/>
    <w:rsid w:val="007411F8"/>
    <w:rsid w:val="00750F37"/>
    <w:rsid w:val="007556CC"/>
    <w:rsid w:val="007566CD"/>
    <w:rsid w:val="0076167B"/>
    <w:rsid w:val="00765165"/>
    <w:rsid w:val="00766C0E"/>
    <w:rsid w:val="00770CE4"/>
    <w:rsid w:val="00771AE0"/>
    <w:rsid w:val="0077424B"/>
    <w:rsid w:val="00775056"/>
    <w:rsid w:val="00775A47"/>
    <w:rsid w:val="00783E38"/>
    <w:rsid w:val="00785AEC"/>
    <w:rsid w:val="007864F2"/>
    <w:rsid w:val="007900B8"/>
    <w:rsid w:val="00791A5C"/>
    <w:rsid w:val="00796549"/>
    <w:rsid w:val="00797CEF"/>
    <w:rsid w:val="007A1C24"/>
    <w:rsid w:val="007A24F2"/>
    <w:rsid w:val="007A2E6F"/>
    <w:rsid w:val="007B0E6A"/>
    <w:rsid w:val="007B2F39"/>
    <w:rsid w:val="007B377E"/>
    <w:rsid w:val="007B56D5"/>
    <w:rsid w:val="007B5C2E"/>
    <w:rsid w:val="007B7972"/>
    <w:rsid w:val="007C3146"/>
    <w:rsid w:val="007C35D4"/>
    <w:rsid w:val="007C452C"/>
    <w:rsid w:val="007D05AC"/>
    <w:rsid w:val="007D5206"/>
    <w:rsid w:val="007E1B65"/>
    <w:rsid w:val="007E22C2"/>
    <w:rsid w:val="007E23F0"/>
    <w:rsid w:val="007E35B3"/>
    <w:rsid w:val="007F0A66"/>
    <w:rsid w:val="007F7ADD"/>
    <w:rsid w:val="00802637"/>
    <w:rsid w:val="0080457F"/>
    <w:rsid w:val="00810015"/>
    <w:rsid w:val="00816E04"/>
    <w:rsid w:val="008228A0"/>
    <w:rsid w:val="00823AFE"/>
    <w:rsid w:val="008242CD"/>
    <w:rsid w:val="008309FE"/>
    <w:rsid w:val="00835582"/>
    <w:rsid w:val="008355DF"/>
    <w:rsid w:val="00840DDC"/>
    <w:rsid w:val="00840EF3"/>
    <w:rsid w:val="00840F1A"/>
    <w:rsid w:val="008436B8"/>
    <w:rsid w:val="008446C6"/>
    <w:rsid w:val="00844B6B"/>
    <w:rsid w:val="008458F0"/>
    <w:rsid w:val="00851310"/>
    <w:rsid w:val="00853EB2"/>
    <w:rsid w:val="00854074"/>
    <w:rsid w:val="00854FD5"/>
    <w:rsid w:val="00863427"/>
    <w:rsid w:val="00863E74"/>
    <w:rsid w:val="00867DAD"/>
    <w:rsid w:val="008726F3"/>
    <w:rsid w:val="008752C3"/>
    <w:rsid w:val="00876AC5"/>
    <w:rsid w:val="0087775E"/>
    <w:rsid w:val="00883663"/>
    <w:rsid w:val="008836AE"/>
    <w:rsid w:val="00887EB5"/>
    <w:rsid w:val="00892CEF"/>
    <w:rsid w:val="00892D4F"/>
    <w:rsid w:val="00895AA5"/>
    <w:rsid w:val="00895CB5"/>
    <w:rsid w:val="008A10C9"/>
    <w:rsid w:val="008A2078"/>
    <w:rsid w:val="008A269A"/>
    <w:rsid w:val="008A3E95"/>
    <w:rsid w:val="008A565C"/>
    <w:rsid w:val="008A744A"/>
    <w:rsid w:val="008B56C4"/>
    <w:rsid w:val="008B5D9D"/>
    <w:rsid w:val="008B6643"/>
    <w:rsid w:val="008C1E7E"/>
    <w:rsid w:val="008C1E89"/>
    <w:rsid w:val="008C2FE4"/>
    <w:rsid w:val="008C3087"/>
    <w:rsid w:val="008C3578"/>
    <w:rsid w:val="008C7DDF"/>
    <w:rsid w:val="008D08E0"/>
    <w:rsid w:val="008D4B9D"/>
    <w:rsid w:val="008D5AEE"/>
    <w:rsid w:val="008D6FD2"/>
    <w:rsid w:val="008E02FD"/>
    <w:rsid w:val="008E310E"/>
    <w:rsid w:val="008E323F"/>
    <w:rsid w:val="008E566C"/>
    <w:rsid w:val="008E634D"/>
    <w:rsid w:val="008F58D4"/>
    <w:rsid w:val="00911531"/>
    <w:rsid w:val="00912ADB"/>
    <w:rsid w:val="00913D39"/>
    <w:rsid w:val="00914629"/>
    <w:rsid w:val="0091536C"/>
    <w:rsid w:val="009158CB"/>
    <w:rsid w:val="00916418"/>
    <w:rsid w:val="0091769D"/>
    <w:rsid w:val="00917EAB"/>
    <w:rsid w:val="0092577F"/>
    <w:rsid w:val="00926006"/>
    <w:rsid w:val="009278B1"/>
    <w:rsid w:val="0092790C"/>
    <w:rsid w:val="00934DD2"/>
    <w:rsid w:val="00940E50"/>
    <w:rsid w:val="00941254"/>
    <w:rsid w:val="00941F46"/>
    <w:rsid w:val="009453A1"/>
    <w:rsid w:val="00945CBA"/>
    <w:rsid w:val="0094698D"/>
    <w:rsid w:val="009474B1"/>
    <w:rsid w:val="0095610A"/>
    <w:rsid w:val="009567AD"/>
    <w:rsid w:val="00963665"/>
    <w:rsid w:val="00964F99"/>
    <w:rsid w:val="009677C3"/>
    <w:rsid w:val="00977159"/>
    <w:rsid w:val="009908C7"/>
    <w:rsid w:val="009912DE"/>
    <w:rsid w:val="00991D36"/>
    <w:rsid w:val="00992106"/>
    <w:rsid w:val="009939F5"/>
    <w:rsid w:val="00994C6A"/>
    <w:rsid w:val="009A16CE"/>
    <w:rsid w:val="009A60E4"/>
    <w:rsid w:val="009A6481"/>
    <w:rsid w:val="009A6CFB"/>
    <w:rsid w:val="009B1E3A"/>
    <w:rsid w:val="009B2A7A"/>
    <w:rsid w:val="009B31CB"/>
    <w:rsid w:val="009B7D4F"/>
    <w:rsid w:val="009C0B83"/>
    <w:rsid w:val="009C1184"/>
    <w:rsid w:val="009C356E"/>
    <w:rsid w:val="009D0C94"/>
    <w:rsid w:val="009D2917"/>
    <w:rsid w:val="009D6128"/>
    <w:rsid w:val="009F1BB0"/>
    <w:rsid w:val="009F1CD3"/>
    <w:rsid w:val="009F5214"/>
    <w:rsid w:val="009F53C0"/>
    <w:rsid w:val="00A00EEB"/>
    <w:rsid w:val="00A02C9D"/>
    <w:rsid w:val="00A13DE2"/>
    <w:rsid w:val="00A140CB"/>
    <w:rsid w:val="00A1453F"/>
    <w:rsid w:val="00A14E3C"/>
    <w:rsid w:val="00A156D6"/>
    <w:rsid w:val="00A15919"/>
    <w:rsid w:val="00A16F85"/>
    <w:rsid w:val="00A220CE"/>
    <w:rsid w:val="00A33C84"/>
    <w:rsid w:val="00A4214F"/>
    <w:rsid w:val="00A43D13"/>
    <w:rsid w:val="00A45A94"/>
    <w:rsid w:val="00A54778"/>
    <w:rsid w:val="00A65854"/>
    <w:rsid w:val="00A6585D"/>
    <w:rsid w:val="00A74F19"/>
    <w:rsid w:val="00A77429"/>
    <w:rsid w:val="00A7756A"/>
    <w:rsid w:val="00A813F1"/>
    <w:rsid w:val="00A81A96"/>
    <w:rsid w:val="00A83D18"/>
    <w:rsid w:val="00A85FD5"/>
    <w:rsid w:val="00A939F5"/>
    <w:rsid w:val="00A95E52"/>
    <w:rsid w:val="00AA005C"/>
    <w:rsid w:val="00AA0208"/>
    <w:rsid w:val="00AA0CA7"/>
    <w:rsid w:val="00AA603E"/>
    <w:rsid w:val="00AA7281"/>
    <w:rsid w:val="00AA7358"/>
    <w:rsid w:val="00AB6F2C"/>
    <w:rsid w:val="00AC2F36"/>
    <w:rsid w:val="00AC535E"/>
    <w:rsid w:val="00AC537F"/>
    <w:rsid w:val="00AC674C"/>
    <w:rsid w:val="00AC6A32"/>
    <w:rsid w:val="00AC7698"/>
    <w:rsid w:val="00AD2398"/>
    <w:rsid w:val="00AD5287"/>
    <w:rsid w:val="00AD5381"/>
    <w:rsid w:val="00AE3BEE"/>
    <w:rsid w:val="00AE730C"/>
    <w:rsid w:val="00AF09A5"/>
    <w:rsid w:val="00AF361A"/>
    <w:rsid w:val="00B00731"/>
    <w:rsid w:val="00B01653"/>
    <w:rsid w:val="00B054F3"/>
    <w:rsid w:val="00B05C26"/>
    <w:rsid w:val="00B12577"/>
    <w:rsid w:val="00B13967"/>
    <w:rsid w:val="00B1546B"/>
    <w:rsid w:val="00B1689B"/>
    <w:rsid w:val="00B17195"/>
    <w:rsid w:val="00B17F43"/>
    <w:rsid w:val="00B24AE1"/>
    <w:rsid w:val="00B27A3B"/>
    <w:rsid w:val="00B27D20"/>
    <w:rsid w:val="00B32BC4"/>
    <w:rsid w:val="00B40C9B"/>
    <w:rsid w:val="00B41D7F"/>
    <w:rsid w:val="00B43260"/>
    <w:rsid w:val="00B4577E"/>
    <w:rsid w:val="00B55E6F"/>
    <w:rsid w:val="00B560B7"/>
    <w:rsid w:val="00B61356"/>
    <w:rsid w:val="00B63A2B"/>
    <w:rsid w:val="00B70A00"/>
    <w:rsid w:val="00B70E46"/>
    <w:rsid w:val="00B72E8C"/>
    <w:rsid w:val="00B80073"/>
    <w:rsid w:val="00B83C79"/>
    <w:rsid w:val="00B927D6"/>
    <w:rsid w:val="00B95B83"/>
    <w:rsid w:val="00B9762F"/>
    <w:rsid w:val="00B97FD5"/>
    <w:rsid w:val="00BA0A80"/>
    <w:rsid w:val="00BA16FB"/>
    <w:rsid w:val="00BA4FE7"/>
    <w:rsid w:val="00BA6512"/>
    <w:rsid w:val="00BB2426"/>
    <w:rsid w:val="00BB4D4F"/>
    <w:rsid w:val="00BC20E2"/>
    <w:rsid w:val="00BC54F7"/>
    <w:rsid w:val="00BC665E"/>
    <w:rsid w:val="00BC6980"/>
    <w:rsid w:val="00BC7C74"/>
    <w:rsid w:val="00BD12EE"/>
    <w:rsid w:val="00BD36E8"/>
    <w:rsid w:val="00BD5812"/>
    <w:rsid w:val="00BD6E98"/>
    <w:rsid w:val="00BE189E"/>
    <w:rsid w:val="00BE26B1"/>
    <w:rsid w:val="00BE724C"/>
    <w:rsid w:val="00BE79F9"/>
    <w:rsid w:val="00BF02B8"/>
    <w:rsid w:val="00BF0FBD"/>
    <w:rsid w:val="00BF4624"/>
    <w:rsid w:val="00BF6EB4"/>
    <w:rsid w:val="00BF762A"/>
    <w:rsid w:val="00C042AB"/>
    <w:rsid w:val="00C12EBE"/>
    <w:rsid w:val="00C158C0"/>
    <w:rsid w:val="00C20241"/>
    <w:rsid w:val="00C21898"/>
    <w:rsid w:val="00C23A0D"/>
    <w:rsid w:val="00C242FF"/>
    <w:rsid w:val="00C37C1A"/>
    <w:rsid w:val="00C47422"/>
    <w:rsid w:val="00C47479"/>
    <w:rsid w:val="00C5461D"/>
    <w:rsid w:val="00C60ED6"/>
    <w:rsid w:val="00C610DE"/>
    <w:rsid w:val="00C61F01"/>
    <w:rsid w:val="00C67CCB"/>
    <w:rsid w:val="00C67D46"/>
    <w:rsid w:val="00C71381"/>
    <w:rsid w:val="00C773F5"/>
    <w:rsid w:val="00C77808"/>
    <w:rsid w:val="00C77D8B"/>
    <w:rsid w:val="00C8116A"/>
    <w:rsid w:val="00C85D4F"/>
    <w:rsid w:val="00C906A3"/>
    <w:rsid w:val="00C92024"/>
    <w:rsid w:val="00C93222"/>
    <w:rsid w:val="00CA4221"/>
    <w:rsid w:val="00CA729B"/>
    <w:rsid w:val="00CB17B1"/>
    <w:rsid w:val="00CB4657"/>
    <w:rsid w:val="00CB793F"/>
    <w:rsid w:val="00CC5A06"/>
    <w:rsid w:val="00CD01B7"/>
    <w:rsid w:val="00CD0987"/>
    <w:rsid w:val="00CD204D"/>
    <w:rsid w:val="00CD445D"/>
    <w:rsid w:val="00CD7497"/>
    <w:rsid w:val="00CE0042"/>
    <w:rsid w:val="00CE0C42"/>
    <w:rsid w:val="00CE4054"/>
    <w:rsid w:val="00CE44B2"/>
    <w:rsid w:val="00CE4AFE"/>
    <w:rsid w:val="00D004DE"/>
    <w:rsid w:val="00D01679"/>
    <w:rsid w:val="00D01D96"/>
    <w:rsid w:val="00D0552B"/>
    <w:rsid w:val="00D07D75"/>
    <w:rsid w:val="00D16C01"/>
    <w:rsid w:val="00D16E4F"/>
    <w:rsid w:val="00D252D7"/>
    <w:rsid w:val="00D25B96"/>
    <w:rsid w:val="00D261BE"/>
    <w:rsid w:val="00D31E2E"/>
    <w:rsid w:val="00D3454F"/>
    <w:rsid w:val="00D35BD8"/>
    <w:rsid w:val="00D37FB5"/>
    <w:rsid w:val="00D42AE3"/>
    <w:rsid w:val="00D43D6E"/>
    <w:rsid w:val="00D44BBC"/>
    <w:rsid w:val="00D477C8"/>
    <w:rsid w:val="00D47E5C"/>
    <w:rsid w:val="00D50A26"/>
    <w:rsid w:val="00D5312D"/>
    <w:rsid w:val="00D56838"/>
    <w:rsid w:val="00D614AB"/>
    <w:rsid w:val="00D61CB4"/>
    <w:rsid w:val="00D626C9"/>
    <w:rsid w:val="00D65E94"/>
    <w:rsid w:val="00D6724F"/>
    <w:rsid w:val="00D72EBE"/>
    <w:rsid w:val="00D77E72"/>
    <w:rsid w:val="00D8029F"/>
    <w:rsid w:val="00D803C7"/>
    <w:rsid w:val="00D83446"/>
    <w:rsid w:val="00D85DFE"/>
    <w:rsid w:val="00D90D7C"/>
    <w:rsid w:val="00D94F93"/>
    <w:rsid w:val="00D9739A"/>
    <w:rsid w:val="00DA02B8"/>
    <w:rsid w:val="00DA1A9B"/>
    <w:rsid w:val="00DA440F"/>
    <w:rsid w:val="00DB3B30"/>
    <w:rsid w:val="00DB4495"/>
    <w:rsid w:val="00DB4E09"/>
    <w:rsid w:val="00DB5C37"/>
    <w:rsid w:val="00DC5FC2"/>
    <w:rsid w:val="00DC638D"/>
    <w:rsid w:val="00DD022E"/>
    <w:rsid w:val="00DD081F"/>
    <w:rsid w:val="00DD263E"/>
    <w:rsid w:val="00DE3871"/>
    <w:rsid w:val="00DE4971"/>
    <w:rsid w:val="00DE6F30"/>
    <w:rsid w:val="00DF1692"/>
    <w:rsid w:val="00DF3070"/>
    <w:rsid w:val="00DF433D"/>
    <w:rsid w:val="00DF6204"/>
    <w:rsid w:val="00DF7F24"/>
    <w:rsid w:val="00E020DA"/>
    <w:rsid w:val="00E03783"/>
    <w:rsid w:val="00E07643"/>
    <w:rsid w:val="00E12DF0"/>
    <w:rsid w:val="00E1575A"/>
    <w:rsid w:val="00E202AF"/>
    <w:rsid w:val="00E22248"/>
    <w:rsid w:val="00E23378"/>
    <w:rsid w:val="00E34263"/>
    <w:rsid w:val="00E352E8"/>
    <w:rsid w:val="00E41FDC"/>
    <w:rsid w:val="00E510BE"/>
    <w:rsid w:val="00E51A48"/>
    <w:rsid w:val="00E539AD"/>
    <w:rsid w:val="00E54866"/>
    <w:rsid w:val="00E5496F"/>
    <w:rsid w:val="00E560E4"/>
    <w:rsid w:val="00E629FA"/>
    <w:rsid w:val="00E65740"/>
    <w:rsid w:val="00E71A27"/>
    <w:rsid w:val="00E71BC2"/>
    <w:rsid w:val="00E734AA"/>
    <w:rsid w:val="00E82A08"/>
    <w:rsid w:val="00E90EB8"/>
    <w:rsid w:val="00E91BB5"/>
    <w:rsid w:val="00E97291"/>
    <w:rsid w:val="00E97BD8"/>
    <w:rsid w:val="00EA0015"/>
    <w:rsid w:val="00EA061C"/>
    <w:rsid w:val="00EA4970"/>
    <w:rsid w:val="00EA69E4"/>
    <w:rsid w:val="00EB2A2C"/>
    <w:rsid w:val="00EB5C7C"/>
    <w:rsid w:val="00EC0820"/>
    <w:rsid w:val="00EC28C5"/>
    <w:rsid w:val="00EC3275"/>
    <w:rsid w:val="00EC6840"/>
    <w:rsid w:val="00EC746F"/>
    <w:rsid w:val="00ED3972"/>
    <w:rsid w:val="00ED3DDD"/>
    <w:rsid w:val="00ED6661"/>
    <w:rsid w:val="00EE0705"/>
    <w:rsid w:val="00EE203C"/>
    <w:rsid w:val="00EE64D6"/>
    <w:rsid w:val="00EE661C"/>
    <w:rsid w:val="00EE7766"/>
    <w:rsid w:val="00EF0D5A"/>
    <w:rsid w:val="00EF5436"/>
    <w:rsid w:val="00F00ED0"/>
    <w:rsid w:val="00F0504B"/>
    <w:rsid w:val="00F0706C"/>
    <w:rsid w:val="00F12B26"/>
    <w:rsid w:val="00F16254"/>
    <w:rsid w:val="00F21BEE"/>
    <w:rsid w:val="00F354F7"/>
    <w:rsid w:val="00F37395"/>
    <w:rsid w:val="00F40C70"/>
    <w:rsid w:val="00F4171F"/>
    <w:rsid w:val="00F4654D"/>
    <w:rsid w:val="00F46584"/>
    <w:rsid w:val="00F46795"/>
    <w:rsid w:val="00F51B98"/>
    <w:rsid w:val="00F52023"/>
    <w:rsid w:val="00F53827"/>
    <w:rsid w:val="00F5657A"/>
    <w:rsid w:val="00F6005F"/>
    <w:rsid w:val="00F607CA"/>
    <w:rsid w:val="00F60AF4"/>
    <w:rsid w:val="00F629D2"/>
    <w:rsid w:val="00F64A58"/>
    <w:rsid w:val="00F720F5"/>
    <w:rsid w:val="00F73E3F"/>
    <w:rsid w:val="00F93AC6"/>
    <w:rsid w:val="00F95E20"/>
    <w:rsid w:val="00F968AB"/>
    <w:rsid w:val="00FA2863"/>
    <w:rsid w:val="00FA2D2F"/>
    <w:rsid w:val="00FA2DA0"/>
    <w:rsid w:val="00FA38DD"/>
    <w:rsid w:val="00FB00AD"/>
    <w:rsid w:val="00FB0ADF"/>
    <w:rsid w:val="00FB602E"/>
    <w:rsid w:val="00FB605F"/>
    <w:rsid w:val="00FB73A4"/>
    <w:rsid w:val="00FB758B"/>
    <w:rsid w:val="00FB7F5B"/>
    <w:rsid w:val="00FC2AAE"/>
    <w:rsid w:val="00FC4879"/>
    <w:rsid w:val="00FC6E24"/>
    <w:rsid w:val="00FC7211"/>
    <w:rsid w:val="00FD140A"/>
    <w:rsid w:val="00FD5E5F"/>
    <w:rsid w:val="00FD6A0C"/>
    <w:rsid w:val="00FE04C8"/>
    <w:rsid w:val="00FE0A22"/>
    <w:rsid w:val="00FE0FBF"/>
    <w:rsid w:val="00FE1412"/>
    <w:rsid w:val="00FE1547"/>
    <w:rsid w:val="00FE66E4"/>
    <w:rsid w:val="00FE6CB7"/>
    <w:rsid w:val="00FF072A"/>
    <w:rsid w:val="00FF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F629"/>
  <w15:docId w15:val="{4AFA6632-B70D-4B4B-B556-99400A5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654A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5A6F0A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5A6F0A"/>
    <w:rPr>
      <w:sz w:val="18"/>
      <w:szCs w:val="18"/>
    </w:rPr>
  </w:style>
  <w:style w:type="table" w:customStyle="1" w:styleId="1">
    <w:name w:val="网格型1"/>
    <w:basedOn w:val="a3"/>
    <w:next w:val="a9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3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3"/>
    <w:next w:val="a9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3"/>
    <w:next w:val="a9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F21BEE"/>
    <w:rPr>
      <w:sz w:val="18"/>
      <w:szCs w:val="18"/>
    </w:rPr>
  </w:style>
  <w:style w:type="character" w:customStyle="1" w:styleId="ab">
    <w:name w:val="批注框文本 字符"/>
    <w:basedOn w:val="a2"/>
    <w:link w:val="aa"/>
    <w:uiPriority w:val="99"/>
    <w:semiHidden/>
    <w:rsid w:val="00F21BEE"/>
    <w:rPr>
      <w:sz w:val="18"/>
      <w:szCs w:val="18"/>
    </w:rPr>
  </w:style>
  <w:style w:type="paragraph" w:styleId="ac">
    <w:name w:val="List Paragraph"/>
    <w:basedOn w:val="a1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0">
    <w:name w:val="正文表标题"/>
    <w:next w:val="a1"/>
    <w:qFormat/>
    <w:rsid w:val="00D65E94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20">
    <w:name w:val="封面标准号2"/>
    <w:uiPriority w:val="99"/>
    <w:qFormat/>
    <w:rsid w:val="00C7138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d">
    <w:name w:val="段"/>
    <w:link w:val="Char"/>
    <w:qFormat/>
    <w:rsid w:val="0017660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宋体"/>
      <w:kern w:val="0"/>
      <w:szCs w:val="21"/>
    </w:rPr>
  </w:style>
  <w:style w:type="character" w:customStyle="1" w:styleId="Char">
    <w:name w:val="段 Char"/>
    <w:basedOn w:val="a2"/>
    <w:link w:val="ad"/>
    <w:qFormat/>
    <w:locked/>
    <w:rsid w:val="00176600"/>
    <w:rPr>
      <w:rFonts w:ascii="宋体" w:eastAsia="宋体" w:hAnsi="Times New Roman" w:cs="宋体"/>
      <w:kern w:val="0"/>
      <w:szCs w:val="21"/>
    </w:rPr>
  </w:style>
  <w:style w:type="table" w:customStyle="1" w:styleId="4">
    <w:name w:val="网格型4"/>
    <w:basedOn w:val="a3"/>
    <w:next w:val="a9"/>
    <w:qFormat/>
    <w:rsid w:val="007153E8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3"/>
    <w:next w:val="a9"/>
    <w:qFormat/>
    <w:rsid w:val="009F1BB0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3"/>
    <w:next w:val="a9"/>
    <w:qFormat/>
    <w:rsid w:val="00916418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3"/>
    <w:next w:val="a9"/>
    <w:uiPriority w:val="59"/>
    <w:qFormat/>
    <w:rsid w:val="00651E6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二级无"/>
    <w:basedOn w:val="a1"/>
    <w:qFormat/>
    <w:rsid w:val="00A16F85"/>
    <w:pPr>
      <w:widowControl/>
      <w:numPr>
        <w:ilvl w:val="2"/>
        <w:numId w:val="2"/>
      </w:numPr>
      <w:jc w:val="left"/>
      <w:outlineLvl w:val="3"/>
    </w:pPr>
    <w:rPr>
      <w:rFonts w:ascii="宋体" w:eastAsia="宋体" w:hAnsi="Times New Roman" w:cs="Times New Roman"/>
      <w:kern w:val="0"/>
      <w:szCs w:val="21"/>
    </w:rPr>
  </w:style>
  <w:style w:type="table" w:customStyle="1" w:styleId="8">
    <w:name w:val="网格型8"/>
    <w:basedOn w:val="a3"/>
    <w:next w:val="a9"/>
    <w:uiPriority w:val="59"/>
    <w:qFormat/>
    <w:rsid w:val="004C16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3"/>
    <w:uiPriority w:val="59"/>
    <w:qFormat/>
    <w:rsid w:val="001062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7FDB-970C-4075-BA9B-A3F3CE83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杨 扶林</cp:lastModifiedBy>
  <cp:revision>2</cp:revision>
  <dcterms:created xsi:type="dcterms:W3CDTF">2023-08-03T08:37:00Z</dcterms:created>
  <dcterms:modified xsi:type="dcterms:W3CDTF">2023-08-03T08:37:00Z</dcterms:modified>
</cp:coreProperties>
</file>