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wrap="around" w:x="1590" w:y="2356"/>
        <w:rPr>
          <w:rFonts w:ascii="Times New Roman"/>
          <w:color w:val="000000"/>
          <w:szCs w:val="48"/>
        </w:rPr>
      </w:pPr>
      <w:r>
        <w:rPr>
          <w:rFonts w:ascii="Times New Roman"/>
          <w:color w:val="000000"/>
        </w:rPr>
        <w:t>团体标准</w:t>
      </w:r>
    </w:p>
    <w:p>
      <w:pPr>
        <w:pStyle w:val="78"/>
        <w:framePr w:wrap="around"/>
        <w:pBdr>
          <w:bottom w:val="single" w:color="auto" w:sz="4" w:space="1"/>
        </w:pBdr>
        <w:wordWrap w:val="0"/>
        <w:rPr>
          <w:rFonts w:ascii="Times New Roman" w:eastAsia="宋体"/>
        </w:rPr>
      </w:pPr>
      <w:bookmarkStart w:id="0" w:name="FM"/>
      <w:r>
        <w:rPr>
          <w:rFonts w:ascii="Times New Roman" w:eastAsia="宋体"/>
        </w:rPr>
        <w:t>T/SSEA XXXX—XXXX</w:t>
      </w:r>
    </w:p>
    <w:p>
      <w:pPr>
        <w:pStyle w:val="78"/>
        <w:framePr w:wrap="around"/>
        <w:pBdr>
          <w:bottom w:val="single" w:color="auto" w:sz="4" w:space="1"/>
        </w:pBdr>
        <w:wordWrap w:val="0"/>
        <w:spacing w:before="120"/>
        <w:rPr>
          <w:rFonts w:ascii="Times New Roman" w:eastAsia="宋体"/>
        </w:rPr>
      </w:pPr>
      <w:r>
        <w:rPr>
          <w:rFonts w:ascii="Times New Roman" w:eastAsia="宋体"/>
        </w:rPr>
        <w:t>T/CSTA XXXX—XXXX</w:t>
      </w:r>
    </w:p>
    <w:p>
      <w:pPr>
        <w:pStyle w:val="78"/>
        <w:framePr w:wrap="around"/>
        <w:rPr>
          <w:rFonts w:ascii="Times New Roman" w:eastAsia="宋体"/>
        </w:rPr>
      </w:pPr>
    </w:p>
    <w:p>
      <w:pPr>
        <w:pStyle w:val="78"/>
        <w:framePr w:wrap="around"/>
        <w:rPr>
          <w:rFonts w:ascii="Times New Roman" w:eastAsia="宋体"/>
        </w:rPr>
      </w:pPr>
    </w:p>
    <w:p>
      <w:pPr>
        <w:pStyle w:val="68"/>
        <w:framePr w:wrap="around"/>
        <w:rPr>
          <w:rFonts w:hint="eastAsia" w:ascii="Times New Roman"/>
        </w:rPr>
      </w:pPr>
      <w:r>
        <w:rPr>
          <w:rFonts w:ascii="Times New Roman"/>
          <w:lang w:bidi="zh-CN"/>
        </w:rPr>
        <w:t xml:space="preserve">中国钢铁产品放心品牌评价规范  </w:t>
      </w:r>
      <w:r>
        <w:rPr>
          <w:rFonts w:hint="eastAsia" w:ascii="Times New Roman"/>
          <w:lang w:bidi="zh-CN"/>
        </w:rPr>
        <w:t>冷镦和冷挤压用钢</w:t>
      </w:r>
    </w:p>
    <w:p>
      <w:pPr>
        <w:pStyle w:val="66"/>
        <w:framePr w:wrap="around"/>
        <w:spacing w:before="156" w:after="156"/>
        <w:rPr>
          <w:rFonts w:ascii="Times New Roman"/>
        </w:rPr>
      </w:pPr>
      <w:r>
        <w:rPr>
          <w:rFonts w:ascii="Times New Roman"/>
        </w:rPr>
        <w:t>Specification for evaluation of China steel products assured/relieved brand—Steels for cold heading and cold extruding</w:t>
      </w:r>
    </w:p>
    <w:p>
      <w:pPr>
        <w:pStyle w:val="109"/>
        <w:framePr w:wrap="around" w:hAnchor="page" w:x="1175" w:y="14086"/>
        <w:rPr>
          <w:rFonts w:eastAsia="宋体"/>
        </w:rPr>
      </w:pPr>
      <w:bookmarkStart w:id="15" w:name="_GoBack"/>
      <w:r>
        <mc:AlternateContent>
          <mc:Choice Requires="wps">
            <w:drawing>
              <wp:anchor distT="0" distB="0" distL="114300" distR="114300" simplePos="0" relativeHeight="251660288" behindDoc="1" locked="0" layoutInCell="1" allowOverlap="1">
                <wp:simplePos x="0" y="0"/>
                <wp:positionH relativeFrom="column">
                  <wp:posOffset>12700</wp:posOffset>
                </wp:positionH>
                <wp:positionV relativeFrom="paragraph">
                  <wp:posOffset>325755</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pt;margin-top:25.65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XZzCTVAAAABwEAAA8AAAAAAAAAAQAgAAAAIgAAAGRycy9kb3du&#10;cmV2LnhtbFBLAQIUABQAAAAIAIdO4kA8CvUmyQEAAJ8DAAAOAAAAAAAAAAEAIAAAACQBAABkcnMv&#10;ZTJvRG9jLnhtbFBLBQYAAAAABgAGAFkBAABfBQAAAAA=&#10;">
                <v:fill on="f" focussize="0,0"/>
                <v:stroke color="#000000" joinstyle="round"/>
                <v:imagedata o:title=""/>
                <o:lock v:ext="edit" aspectratio="f"/>
                <w10:wrap type="tight"/>
              </v:line>
            </w:pict>
          </mc:Fallback>
        </mc:AlternateContent>
      </w:r>
      <w:bookmarkEnd w:id="15"/>
      <w:r>
        <w:rPr>
          <w:rFonts w:eastAsia="宋体"/>
        </w:rPr>
        <w:t>XXXX-</w:t>
      </w:r>
      <w:bookmarkEnd w:id="0"/>
      <w:r>
        <w:rPr>
          <w:rFonts w:eastAsia="宋体"/>
        </w:rPr>
        <w:t>XX-XX发布</w:t>
      </w:r>
    </w:p>
    <w:p>
      <w:pPr>
        <w:pStyle w:val="140"/>
        <w:framePr w:wrap="around" w:hAnchor="page" w:x="6661" w:y="14041"/>
        <w:rPr>
          <w:rFonts w:eastAsia="宋体"/>
        </w:rPr>
      </w:pPr>
      <w:r>
        <w:rPr>
          <w:rFonts w:eastAsia="宋体"/>
        </w:rPr>
        <w:t>XXXX-XX-XX实施</w:t>
      </w:r>
    </w:p>
    <w:p>
      <w:pPr>
        <w:pStyle w:val="134"/>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4"/>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3"/>
          <w:rFonts w:ascii="Times New Roman" w:eastAsia="宋体"/>
        </w:rPr>
        <w:t>发布</w:t>
      </w:r>
    </w:p>
    <w:p>
      <w:pPr>
        <w:pStyle w:val="134"/>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pPr>
        <w:pStyle w:val="22"/>
        <w:spacing w:line="340" w:lineRule="exact"/>
        <w:rPr>
          <w:rFonts w:ascii="Times New Roman"/>
        </w:rPr>
      </w:pPr>
      <w:r>
        <w:rPr>
          <w:rFonts w:ascii="Times New Roman"/>
        </w:rPr>
        <w:t>CCS H 40</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p>
      <w:pPr>
        <w:keepNext/>
        <w:pageBreakBefore/>
        <w:widowControl/>
        <w:shd w:val="clear" w:color="FFFFFF" w:fill="FFFFFF"/>
        <w:spacing w:before="640" w:after="560"/>
        <w:jc w:val="center"/>
        <w:outlineLvl w:val="0"/>
        <w:rPr>
          <w:kern w:val="0"/>
          <w:sz w:val="32"/>
          <w:szCs w:val="32"/>
        </w:rPr>
      </w:pPr>
      <w:bookmarkStart w:id="2" w:name="_Toc512093858"/>
      <w:bookmarkStart w:id="3" w:name="_Toc101445082"/>
      <w:r>
        <w:rPr>
          <w:kern w:val="0"/>
          <w:sz w:val="32"/>
          <w:szCs w:val="32"/>
        </w:rPr>
        <w:t>前</w:t>
      </w:r>
      <w:bookmarkStart w:id="4" w:name="BKQY"/>
      <w:r>
        <w:rPr>
          <w:kern w:val="0"/>
          <w:sz w:val="32"/>
          <w:szCs w:val="32"/>
        </w:rPr>
        <w:t>  言</w:t>
      </w:r>
      <w:bookmarkEnd w:id="2"/>
      <w:bookmarkEnd w:id="3"/>
      <w:bookmarkEnd w:id="4"/>
    </w:p>
    <w:p>
      <w:pPr>
        <w:ind w:firstLine="420" w:firstLineChars="200"/>
        <w:rPr>
          <w:szCs w:val="21"/>
        </w:rPr>
      </w:pPr>
      <w:r>
        <w:rPr>
          <w:szCs w:val="21"/>
        </w:rPr>
        <w:t>本团体标准按照GB/T 1.1-2020《标准化工作导则 第1部分：标准化文件的结构和起草规则》的规定起草。</w:t>
      </w:r>
    </w:p>
    <w:p>
      <w:pPr>
        <w:ind w:firstLine="420" w:firstLineChars="200"/>
        <w:rPr>
          <w:szCs w:val="21"/>
        </w:rPr>
      </w:pPr>
      <w:r>
        <w:rPr>
          <w:szCs w:val="21"/>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ind w:firstLine="420" w:firstLineChars="200"/>
        <w:rPr>
          <w:szCs w:val="21"/>
        </w:rPr>
      </w:pPr>
      <w:r>
        <w:rPr>
          <w:szCs w:val="21"/>
        </w:rPr>
        <w:t xml:space="preserve">本标准起草单位： </w:t>
      </w:r>
    </w:p>
    <w:p>
      <w:pPr>
        <w:ind w:firstLine="420" w:firstLineChars="200"/>
        <w:rPr>
          <w:szCs w:val="21"/>
        </w:rPr>
      </w:pPr>
      <w:r>
        <w:rPr>
          <w:szCs w:val="21"/>
        </w:rPr>
        <w:t>本标准主要起草人：</w:t>
      </w:r>
    </w:p>
    <w:p>
      <w:pPr>
        <w:ind w:firstLine="420" w:firstLineChars="200"/>
        <w:rPr>
          <w:szCs w:val="21"/>
        </w:rPr>
      </w:pPr>
    </w:p>
    <w:p>
      <w:pPr>
        <w:pStyle w:val="22"/>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58"/>
        <w:spacing w:after="624" w:afterLines="200"/>
        <w:rPr>
          <w:rFonts w:ascii="Times New Roman"/>
        </w:rPr>
      </w:pPr>
      <w:bookmarkStart w:id="5" w:name="_Toc101445084"/>
      <w:bookmarkStart w:id="6" w:name="_Toc520380391"/>
      <w:r>
        <w:rPr>
          <w:rFonts w:ascii="Times New Roman"/>
        </w:rPr>
        <w:t>中国钢铁产品放心品牌评价规范  冷镦和冷挤压用钢</w:t>
      </w:r>
    </w:p>
    <w:p>
      <w:pPr>
        <w:pStyle w:val="45"/>
        <w:numPr>
          <w:ilvl w:val="0"/>
          <w:numId w:val="2"/>
        </w:numPr>
        <w:spacing w:before="312" w:after="312"/>
        <w:rPr>
          <w:rFonts w:ascii="Times New Roman"/>
        </w:rPr>
      </w:pPr>
      <w:r>
        <w:rPr>
          <w:rFonts w:ascii="Times New Roman"/>
        </w:rPr>
        <w:t>范围</w:t>
      </w:r>
      <w:bookmarkEnd w:id="5"/>
      <w:bookmarkEnd w:id="6"/>
    </w:p>
    <w:p>
      <w:pPr>
        <w:pStyle w:val="22"/>
        <w:rPr>
          <w:rFonts w:ascii="Times New Roman"/>
        </w:rPr>
      </w:pPr>
      <w:bookmarkStart w:id="7" w:name="_Toc520380392"/>
      <w:r>
        <w:rPr>
          <w:rFonts w:ascii="Times New Roman"/>
        </w:rPr>
        <w:t>本文件规定了冷镦和冷挤压用钢产品的中国钢铁产品放心品牌的评价原则、评价内容、评价机构、评价程序和评价信息管理。</w:t>
      </w:r>
    </w:p>
    <w:p>
      <w:pPr>
        <w:pStyle w:val="22"/>
        <w:rPr>
          <w:rFonts w:ascii="Times New Roman"/>
        </w:rPr>
      </w:pPr>
      <w:r>
        <w:rPr>
          <w:rFonts w:ascii="Times New Roman"/>
        </w:rPr>
        <w:t>本文件适用于认证机构对冷镦和冷挤压用钢的放心品牌进行评价和认证，也适用于组织内部进行自我评价。</w:t>
      </w:r>
      <w:bookmarkEnd w:id="7"/>
    </w:p>
    <w:p>
      <w:pPr>
        <w:pStyle w:val="45"/>
        <w:numPr>
          <w:ilvl w:val="0"/>
          <w:numId w:val="2"/>
        </w:numPr>
        <w:spacing w:before="312" w:after="312"/>
        <w:rPr>
          <w:rFonts w:ascii="Times New Roman"/>
        </w:rPr>
      </w:pPr>
      <w:bookmarkStart w:id="8" w:name="_Toc101445085"/>
      <w:bookmarkStart w:id="9" w:name="_Toc520380393"/>
      <w:r>
        <w:rPr>
          <w:rFonts w:ascii="Times New Roman"/>
        </w:rPr>
        <w:t>规范性引用文件</w:t>
      </w:r>
      <w:bookmarkEnd w:id="8"/>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9"/>
    <w:p>
      <w:pPr>
        <w:ind w:firstLine="420" w:firstLineChars="200"/>
      </w:pPr>
      <w:bookmarkStart w:id="10" w:name="_Toc520380394"/>
      <w:r>
        <w:t>GB/T 19001  质量管理体系要求</w:t>
      </w:r>
    </w:p>
    <w:p>
      <w:pPr>
        <w:pStyle w:val="45"/>
        <w:numPr>
          <w:ilvl w:val="0"/>
          <w:numId w:val="2"/>
        </w:numPr>
        <w:spacing w:before="312" w:after="312"/>
        <w:rPr>
          <w:rFonts w:ascii="Times New Roman"/>
        </w:rPr>
      </w:pPr>
      <w:bookmarkStart w:id="11" w:name="_Toc101445086"/>
      <w:r>
        <w:rPr>
          <w:rFonts w:ascii="Times New Roman"/>
        </w:rPr>
        <w:t>术语和定义</w:t>
      </w:r>
      <w:bookmarkEnd w:id="11"/>
    </w:p>
    <w:p>
      <w:pPr>
        <w:ind w:firstLine="420" w:firstLineChars="200"/>
      </w:pPr>
      <w:r>
        <w:t>本文件没有需要界定的术语和定义。</w:t>
      </w:r>
    </w:p>
    <w:p>
      <w:pPr>
        <w:pStyle w:val="45"/>
        <w:numPr>
          <w:ilvl w:val="0"/>
          <w:numId w:val="2"/>
        </w:numPr>
        <w:spacing w:before="312" w:after="312"/>
        <w:rPr>
          <w:rFonts w:ascii="Times New Roman"/>
        </w:rPr>
      </w:pPr>
      <w:bookmarkStart w:id="12" w:name="_Toc101445087"/>
      <w:r>
        <w:rPr>
          <w:rFonts w:ascii="Times New Roman"/>
        </w:rPr>
        <w:t>评价</w:t>
      </w:r>
      <w:bookmarkEnd w:id="12"/>
      <w:r>
        <w:rPr>
          <w:rFonts w:ascii="Times New Roman"/>
        </w:rPr>
        <w:t>原则</w:t>
      </w:r>
    </w:p>
    <w:bookmarkEnd w:id="10"/>
    <w:p>
      <w:pPr>
        <w:pStyle w:val="47"/>
        <w:spacing w:before="156" w:after="156"/>
        <w:ind w:left="0"/>
        <w:rPr>
          <w:rFonts w:ascii="Times New Roman"/>
        </w:rPr>
      </w:pPr>
      <w:r>
        <w:rPr>
          <w:rFonts w:ascii="Times New Roman"/>
        </w:rPr>
        <w:t>公平性</w:t>
      </w:r>
    </w:p>
    <w:p>
      <w:pPr>
        <w:ind w:firstLine="420" w:firstLineChars="200"/>
      </w:pPr>
      <w:r>
        <w:t>评价和认证应公平、公正，应按照工作程序和有关要求执行，认证机构应独立作出评价。</w:t>
      </w:r>
    </w:p>
    <w:p>
      <w:pPr>
        <w:pStyle w:val="47"/>
        <w:spacing w:before="156" w:after="156"/>
        <w:ind w:left="0"/>
        <w:rPr>
          <w:rFonts w:ascii="Times New Roman"/>
        </w:rPr>
      </w:pPr>
      <w:r>
        <w:rPr>
          <w:rFonts w:ascii="Times New Roman"/>
        </w:rPr>
        <w:t>全面性</w:t>
      </w:r>
    </w:p>
    <w:p>
      <w:pPr>
        <w:ind w:firstLine="420" w:firstLineChars="200"/>
      </w:pPr>
      <w:r>
        <w:t>评价和认证实施过程应选取本文件的全部内容。</w:t>
      </w:r>
    </w:p>
    <w:p>
      <w:pPr>
        <w:pStyle w:val="47"/>
        <w:spacing w:before="156" w:after="156"/>
        <w:ind w:left="0"/>
        <w:rPr>
          <w:rFonts w:ascii="Times New Roman"/>
        </w:rPr>
      </w:pPr>
      <w:r>
        <w:rPr>
          <w:rFonts w:ascii="Times New Roman"/>
        </w:rPr>
        <w:t>规范性</w:t>
      </w:r>
    </w:p>
    <w:p>
      <w:pPr>
        <w:ind w:firstLine="420" w:firstLineChars="200"/>
      </w:pPr>
      <w:r>
        <w:t>评价和认证的开展应基于已有的客观数据、规范性材料或其他已被普遍接受的协议或惯例，评价和认证依据的信息内容应真实准确，与客观实际情况相一致。</w:t>
      </w:r>
    </w:p>
    <w:p>
      <w:pPr>
        <w:pStyle w:val="47"/>
        <w:spacing w:before="156" w:after="156"/>
        <w:ind w:left="0"/>
        <w:rPr>
          <w:rFonts w:ascii="Times New Roman"/>
        </w:rPr>
      </w:pPr>
      <w:r>
        <w:rPr>
          <w:rFonts w:ascii="Times New Roman"/>
        </w:rPr>
        <w:t>保密性</w:t>
      </w:r>
    </w:p>
    <w:p>
      <w:pPr>
        <w:ind w:firstLine="420" w:firstLineChars="200"/>
      </w:pPr>
      <w:r>
        <w:t>应对评价和认证过程中获得的企业的商业、技术秘密进行保密。</w:t>
      </w:r>
    </w:p>
    <w:p>
      <w:pPr>
        <w:pStyle w:val="45"/>
        <w:numPr>
          <w:ilvl w:val="0"/>
          <w:numId w:val="2"/>
        </w:numPr>
        <w:spacing w:before="312" w:after="312"/>
        <w:rPr>
          <w:rFonts w:ascii="Times New Roman"/>
        </w:rPr>
      </w:pPr>
      <w:r>
        <w:rPr>
          <w:rFonts w:ascii="Times New Roman"/>
        </w:rPr>
        <w:t>评价内容</w:t>
      </w:r>
    </w:p>
    <w:p>
      <w:pPr>
        <w:pStyle w:val="47"/>
        <w:spacing w:before="156" w:after="156"/>
        <w:ind w:left="0"/>
        <w:rPr>
          <w:rFonts w:ascii="Times New Roman"/>
        </w:rPr>
      </w:pPr>
      <w:r>
        <w:rPr>
          <w:rFonts w:ascii="Times New Roman"/>
        </w:rPr>
        <w:t>基本要求</w:t>
      </w:r>
    </w:p>
    <w:p>
      <w:pPr>
        <w:pStyle w:val="50"/>
        <w:spacing w:before="156" w:after="156"/>
        <w:jc w:val="both"/>
        <w:rPr>
          <w:rFonts w:ascii="Times New Roman" w:eastAsia="宋体"/>
        </w:rPr>
      </w:pPr>
      <w:r>
        <w:rPr>
          <w:rFonts w:ascii="Times New Roman" w:eastAsia="宋体"/>
        </w:rPr>
        <w:t>申报企业在中国境内依法注册并具有法人资格，连续稳定生产3年以上。</w:t>
      </w:r>
    </w:p>
    <w:p>
      <w:pPr>
        <w:pStyle w:val="50"/>
        <w:spacing w:before="156" w:after="156"/>
        <w:jc w:val="both"/>
        <w:rPr>
          <w:rFonts w:ascii="Times New Roman" w:eastAsia="宋体"/>
        </w:rPr>
      </w:pPr>
      <w:r>
        <w:rPr>
          <w:rFonts w:ascii="Times New Roman" w:eastAsia="宋体"/>
        </w:rPr>
        <w:t>企业经营状况良好，净资产为正。</w:t>
      </w:r>
    </w:p>
    <w:p>
      <w:pPr>
        <w:pStyle w:val="50"/>
        <w:spacing w:before="156" w:after="156"/>
        <w:jc w:val="both"/>
        <w:rPr>
          <w:rFonts w:ascii="Times New Roman" w:eastAsia="宋体"/>
        </w:rPr>
      </w:pPr>
      <w:r>
        <w:rPr>
          <w:rFonts w:ascii="Times New Roman" w:eastAsia="宋体"/>
        </w:rPr>
        <w:t>钢铁产品符合相关标准要求，包括但不限于企业标准、地方标准、团体标准、行业标准、国家标准和国际标准。</w:t>
      </w:r>
    </w:p>
    <w:p>
      <w:pPr>
        <w:pStyle w:val="50"/>
        <w:spacing w:before="156" w:after="156"/>
        <w:jc w:val="both"/>
        <w:rPr>
          <w:rFonts w:ascii="Times New Roman" w:eastAsia="宋体"/>
        </w:rPr>
      </w:pPr>
      <w:r>
        <w:rPr>
          <w:rFonts w:ascii="Times New Roman" w:eastAsia="宋体"/>
        </w:rPr>
        <w:t>企业应按照 GB/T 19001、GB/T 23331、GB/T 24001、GB/T 45001 建立并运行相应质量、能源、环境、职业健康安全体系。</w:t>
      </w:r>
    </w:p>
    <w:p>
      <w:pPr>
        <w:pStyle w:val="50"/>
        <w:spacing w:before="156" w:after="156"/>
        <w:jc w:val="both"/>
        <w:rPr>
          <w:rFonts w:ascii="Times New Roman" w:eastAsia="宋体"/>
        </w:rPr>
      </w:pPr>
      <w:r>
        <w:rPr>
          <w:rFonts w:ascii="Times New Roman" w:eastAsia="宋体"/>
        </w:rPr>
        <w:t>企业近3年无严重违法违规行为，无较大及以上环境、安全、质量事故。</w:t>
      </w:r>
    </w:p>
    <w:p>
      <w:pPr>
        <w:pStyle w:val="50"/>
        <w:spacing w:before="156" w:after="156"/>
        <w:jc w:val="both"/>
        <w:rPr>
          <w:rFonts w:ascii="Times New Roman" w:eastAsia="宋体"/>
        </w:rPr>
      </w:pPr>
      <w:r>
        <w:rPr>
          <w:rFonts w:ascii="Times New Roman" w:eastAsia="宋体"/>
        </w:rPr>
        <w:t>企业应未列入国家信用信息严重失信主体相关名录</w:t>
      </w:r>
    </w:p>
    <w:p>
      <w:pPr>
        <w:pStyle w:val="47"/>
        <w:spacing w:before="156" w:after="156"/>
        <w:ind w:left="0"/>
        <w:rPr>
          <w:rFonts w:ascii="Times New Roman"/>
        </w:rPr>
      </w:pPr>
      <w:r>
        <w:rPr>
          <w:rFonts w:ascii="Times New Roman"/>
        </w:rPr>
        <w:t>评价指标</w:t>
      </w:r>
    </w:p>
    <w:p>
      <w:pPr>
        <w:ind w:firstLine="420" w:firstLineChars="200"/>
      </w:pPr>
      <w:r>
        <w:t>评价指标见附录A。</w:t>
      </w:r>
    </w:p>
    <w:p>
      <w:pPr>
        <w:pStyle w:val="45"/>
        <w:numPr>
          <w:ilvl w:val="0"/>
          <w:numId w:val="2"/>
        </w:numPr>
        <w:spacing w:before="312" w:after="312"/>
        <w:rPr>
          <w:rFonts w:ascii="Times New Roman"/>
        </w:rPr>
      </w:pPr>
      <w:r>
        <w:rPr>
          <w:rFonts w:ascii="Times New Roman"/>
        </w:rPr>
        <w:t>评价方法</w:t>
      </w:r>
    </w:p>
    <w:p>
      <w:pPr>
        <w:ind w:firstLine="420" w:firstLineChars="200"/>
      </w:pPr>
      <w:r>
        <w:t>在满足5.1基本要求的前提下，根据5.2评价指标对企业的各项评价要素进行打分评价。评价结果分为5星、4星、3星，各等级对应的划分依据见表1。</w:t>
      </w:r>
    </w:p>
    <w:p>
      <w:pPr>
        <w:pStyle w:val="77"/>
        <w:spacing w:before="156" w:after="156"/>
        <w:ind w:left="0"/>
        <w:rPr>
          <w:rFonts w:ascii="Times New Roman" w:eastAsia="宋体"/>
        </w:rPr>
      </w:pPr>
      <w:r>
        <w:rPr>
          <w:rFonts w:ascii="Times New Roman" w:eastAsia="宋体"/>
        </w:rPr>
        <w:t>评价等级和评分对应关系</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3469"/>
        <w:gridCol w:w="3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restart"/>
            <w:vAlign w:val="center"/>
          </w:tcPr>
          <w:p>
            <w:pPr>
              <w:pStyle w:val="22"/>
              <w:numPr>
                <w:ilvl w:val="0"/>
                <w:numId w:val="0"/>
              </w:numPr>
              <w:tabs>
                <w:tab w:val="left" w:pos="720"/>
              </w:tabs>
              <w:ind w:left="544"/>
              <w:jc w:val="center"/>
              <w:rPr>
                <w:rFonts w:ascii="Times New Roman"/>
                <w:szCs w:val="18"/>
              </w:rPr>
            </w:pPr>
            <w:r>
              <w:rPr>
                <w:rFonts w:ascii="Times New Roman"/>
                <w:szCs w:val="18"/>
              </w:rPr>
              <w:t>评价等级</w:t>
            </w:r>
          </w:p>
        </w:tc>
        <w:tc>
          <w:tcPr>
            <w:tcW w:w="6939" w:type="dxa"/>
            <w:gridSpan w:val="2"/>
          </w:tcPr>
          <w:p>
            <w:pPr>
              <w:pStyle w:val="22"/>
              <w:numPr>
                <w:ilvl w:val="0"/>
                <w:numId w:val="0"/>
              </w:numPr>
              <w:tabs>
                <w:tab w:val="left" w:pos="720"/>
              </w:tabs>
              <w:ind w:left="544"/>
              <w:jc w:val="center"/>
              <w:rPr>
                <w:rFonts w:ascii="Times New Roman"/>
                <w:szCs w:val="18"/>
              </w:rPr>
            </w:pPr>
            <w:r>
              <w:rPr>
                <w:rFonts w:ascii="Times New Roman"/>
                <w:szCs w:val="18"/>
              </w:rPr>
              <w:t>应同时满足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continue"/>
          </w:tcPr>
          <w:p>
            <w:pPr>
              <w:pStyle w:val="22"/>
              <w:numPr>
                <w:ilvl w:val="0"/>
                <w:numId w:val="0"/>
              </w:numPr>
              <w:tabs>
                <w:tab w:val="left" w:pos="720"/>
              </w:tabs>
              <w:ind w:left="544"/>
              <w:jc w:val="center"/>
              <w:rPr>
                <w:rFonts w:ascii="Times New Roman"/>
                <w:szCs w:val="18"/>
              </w:rPr>
            </w:pPr>
          </w:p>
        </w:tc>
        <w:tc>
          <w:tcPr>
            <w:tcW w:w="3469" w:type="dxa"/>
            <w:tcBorders>
              <w:bottom w:val="single" w:color="000000" w:sz="4" w:space="0"/>
            </w:tcBorders>
          </w:tcPr>
          <w:p>
            <w:pPr>
              <w:pStyle w:val="22"/>
              <w:numPr>
                <w:ilvl w:val="0"/>
                <w:numId w:val="0"/>
              </w:numPr>
              <w:tabs>
                <w:tab w:val="left" w:pos="720"/>
              </w:tabs>
              <w:ind w:left="544"/>
              <w:jc w:val="center"/>
              <w:rPr>
                <w:rFonts w:ascii="Times New Roman"/>
                <w:szCs w:val="18"/>
              </w:rPr>
            </w:pPr>
            <w:r>
              <w:rPr>
                <w:rFonts w:ascii="Times New Roman"/>
                <w:szCs w:val="18"/>
              </w:rPr>
              <w:t>5.1基本要求</w:t>
            </w: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5.2评价指标得分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5星级</w:t>
            </w:r>
          </w:p>
        </w:tc>
        <w:tc>
          <w:tcPr>
            <w:tcW w:w="3469" w:type="dxa"/>
            <w:vMerge w:val="restart"/>
            <w:tcBorders>
              <w:bottom w:val="single" w:color="auto" w:sz="4" w:space="0"/>
            </w:tcBorders>
            <w:vAlign w:val="center"/>
          </w:tcPr>
          <w:p>
            <w:pPr>
              <w:pStyle w:val="22"/>
              <w:numPr>
                <w:ilvl w:val="0"/>
                <w:numId w:val="0"/>
              </w:numPr>
              <w:tabs>
                <w:tab w:val="left" w:pos="720"/>
              </w:tabs>
              <w:ind w:left="544"/>
              <w:jc w:val="center"/>
              <w:rPr>
                <w:rFonts w:ascii="Times New Roman"/>
                <w:szCs w:val="18"/>
              </w:rPr>
            </w:pPr>
            <w:r>
              <w:rPr>
                <w:rFonts w:ascii="Times New Roman"/>
                <w:szCs w:val="18"/>
              </w:rPr>
              <w:t>全部满足</w:t>
            </w: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4星级</w:t>
            </w:r>
          </w:p>
        </w:tc>
        <w:tc>
          <w:tcPr>
            <w:tcW w:w="3469" w:type="dxa"/>
            <w:vMerge w:val="continue"/>
            <w:tcBorders>
              <w:bottom w:val="single" w:color="auto" w:sz="4" w:space="0"/>
            </w:tcBorders>
          </w:tcPr>
          <w:p>
            <w:pPr>
              <w:pStyle w:val="22"/>
              <w:numPr>
                <w:ilvl w:val="0"/>
                <w:numId w:val="0"/>
              </w:numPr>
              <w:tabs>
                <w:tab w:val="left" w:pos="720"/>
              </w:tabs>
              <w:ind w:left="544"/>
              <w:jc w:val="center"/>
              <w:rPr>
                <w:rFonts w:ascii="Times New Roman"/>
                <w:szCs w:val="18"/>
              </w:rPr>
            </w:pP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≥75~＜90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3星级</w:t>
            </w:r>
          </w:p>
        </w:tc>
        <w:tc>
          <w:tcPr>
            <w:tcW w:w="3469" w:type="dxa"/>
            <w:vMerge w:val="continue"/>
            <w:tcBorders>
              <w:bottom w:val="single" w:color="auto" w:sz="4" w:space="0"/>
            </w:tcBorders>
          </w:tcPr>
          <w:p>
            <w:pPr>
              <w:pStyle w:val="22"/>
              <w:numPr>
                <w:ilvl w:val="0"/>
                <w:numId w:val="0"/>
              </w:numPr>
              <w:tabs>
                <w:tab w:val="left" w:pos="720"/>
              </w:tabs>
              <w:ind w:left="544"/>
              <w:jc w:val="center"/>
              <w:rPr>
                <w:rFonts w:ascii="Times New Roman"/>
                <w:szCs w:val="18"/>
              </w:rPr>
            </w:pP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≥60~＜75</w:t>
            </w:r>
          </w:p>
        </w:tc>
      </w:tr>
    </w:tbl>
    <w:p>
      <w:pPr>
        <w:pStyle w:val="22"/>
        <w:ind w:firstLine="0" w:firstLineChars="0"/>
        <w:rPr>
          <w:rFonts w:ascii="Times New Roman"/>
        </w:rPr>
      </w:pPr>
    </w:p>
    <w:p>
      <w:pPr>
        <w:pStyle w:val="22"/>
        <w:ind w:firstLine="0" w:firstLineChars="0"/>
        <w:rPr>
          <w:rFonts w:ascii="Times New Roman"/>
        </w:rPr>
      </w:pPr>
    </w:p>
    <w:p>
      <w:pPr>
        <w:pStyle w:val="22"/>
        <w:rPr>
          <w:rFonts w:ascii="Times New Roman"/>
        </w:rPr>
      </w:pPr>
    </w:p>
    <w:p>
      <w:pPr>
        <w:pStyle w:val="22"/>
        <w:rPr>
          <w:rFonts w:ascii="Times New Roman"/>
        </w:rPr>
        <w:sectPr>
          <w:headerReference r:id="rId12" w:type="default"/>
          <w:footerReference r:id="rId13" w:type="default"/>
          <w:pgSz w:w="11906" w:h="16838"/>
          <w:pgMar w:top="567" w:right="1134" w:bottom="1134" w:left="1418" w:header="1418" w:footer="1134" w:gutter="0"/>
          <w:cols w:space="720" w:num="1"/>
          <w:formProt w:val="0"/>
          <w:docGrid w:type="lines" w:linePitch="312" w:charSpace="0"/>
        </w:sectPr>
      </w:pPr>
    </w:p>
    <w:p>
      <w:pPr>
        <w:keepNext/>
        <w:widowControl/>
        <w:shd w:val="clear" w:color="FFFFFF" w:fill="FFFFFF"/>
        <w:tabs>
          <w:tab w:val="left" w:pos="360"/>
          <w:tab w:val="left" w:pos="6405"/>
        </w:tabs>
        <w:spacing w:before="640" w:after="280"/>
        <w:jc w:val="center"/>
        <w:outlineLvl w:val="0"/>
        <w:rPr>
          <w:rFonts w:eastAsia="黑体"/>
          <w:kern w:val="0"/>
          <w:szCs w:val="21"/>
        </w:rPr>
      </w:pPr>
      <w:bookmarkStart w:id="13" w:name="_Toc123746868"/>
      <w:r>
        <w:rPr>
          <w:rFonts w:eastAsia="黑体"/>
          <w:kern w:val="0"/>
          <w:szCs w:val="21"/>
        </w:rPr>
        <w:t>附　录　A</w:t>
      </w:r>
      <w:r>
        <w:rPr>
          <w:rFonts w:eastAsia="黑体"/>
          <w:kern w:val="0"/>
          <w:szCs w:val="21"/>
        </w:rPr>
        <w:br w:type="textWrapping"/>
      </w:r>
      <w:bookmarkEnd w:id="13"/>
    </w:p>
    <w:p>
      <w:pPr>
        <w:pStyle w:val="77"/>
        <w:numPr>
          <w:ilvl w:val="0"/>
          <w:numId w:val="0"/>
        </w:numPr>
        <w:spacing w:before="156" w:after="156"/>
        <w:rPr>
          <w:rFonts w:ascii="Times New Roman" w:eastAsia="宋体"/>
        </w:rPr>
      </w:pPr>
      <w:r>
        <w:rPr>
          <w:rFonts w:ascii="Times New Roman" w:eastAsia="宋体"/>
        </w:rPr>
        <w:t>表A.1 企业层面评价指标</w:t>
      </w:r>
    </w:p>
    <w:tbl>
      <w:tblPr>
        <w:tblStyle w:val="31"/>
        <w:tblpPr w:leftFromText="180" w:rightFromText="180" w:vertAnchor="text" w:tblpY="1"/>
        <w:tblOverlap w:val="never"/>
        <w:tblW w:w="5000" w:type="pct"/>
        <w:tblInd w:w="0" w:type="dxa"/>
        <w:tblLayout w:type="autofit"/>
        <w:tblCellMar>
          <w:top w:w="0" w:type="dxa"/>
          <w:left w:w="108" w:type="dxa"/>
          <w:bottom w:w="0" w:type="dxa"/>
          <w:right w:w="108" w:type="dxa"/>
        </w:tblCellMar>
      </w:tblPr>
      <w:tblGrid>
        <w:gridCol w:w="709"/>
        <w:gridCol w:w="722"/>
        <w:gridCol w:w="2447"/>
        <w:gridCol w:w="5469"/>
        <w:gridCol w:w="2595"/>
        <w:gridCol w:w="1440"/>
        <w:gridCol w:w="1971"/>
      </w:tblGrid>
      <w:tr>
        <w:tblPrEx>
          <w:tblCellMar>
            <w:top w:w="0" w:type="dxa"/>
            <w:left w:w="108" w:type="dxa"/>
            <w:bottom w:w="0" w:type="dxa"/>
            <w:right w:w="108" w:type="dxa"/>
          </w:tblCellMar>
        </w:tblPrEx>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000000"/>
                <w:kern w:val="0"/>
                <w:szCs w:val="21"/>
              </w:rPr>
            </w:pPr>
            <w:bookmarkStart w:id="14" w:name="_Hlk142047998"/>
            <w:r>
              <w:rPr>
                <w:b/>
                <w:bCs/>
                <w:color w:val="000000"/>
                <w:kern w:val="0"/>
                <w:szCs w:val="21"/>
              </w:rPr>
              <w:t>评价要素</w:t>
            </w:r>
          </w:p>
        </w:tc>
        <w:tc>
          <w:tcPr>
            <w:tcW w:w="2626"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000000"/>
                <w:kern w:val="0"/>
                <w:szCs w:val="21"/>
              </w:rPr>
            </w:pPr>
            <w:r>
              <w:rPr>
                <w:b/>
                <w:bCs/>
                <w:color w:val="000000"/>
                <w:kern w:val="0"/>
                <w:szCs w:val="21"/>
              </w:rPr>
              <w:t>评价内容</w:t>
            </w:r>
          </w:p>
        </w:tc>
        <w:tc>
          <w:tcPr>
            <w:tcW w:w="46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分值权重</w:t>
            </w:r>
            <w:r>
              <w:rPr>
                <w:rFonts w:eastAsia="仿宋_GB2312"/>
                <w:b/>
                <w:bCs/>
                <w:color w:val="000000"/>
                <w:kern w:val="0"/>
                <w:szCs w:val="21"/>
              </w:rPr>
              <w:br w:type="textWrapping"/>
            </w:r>
            <w:r>
              <w:rPr>
                <w:rFonts w:eastAsia="仿宋_GB2312"/>
                <w:b/>
                <w:bCs/>
                <w:color w:val="000000"/>
                <w:kern w:val="0"/>
                <w:szCs w:val="21"/>
              </w:rPr>
              <w:t>（满分</w:t>
            </w:r>
            <w:r>
              <w:rPr>
                <w:b/>
                <w:bCs/>
                <w:color w:val="000000"/>
                <w:kern w:val="0"/>
                <w:szCs w:val="21"/>
              </w:rPr>
              <w:t>100</w:t>
            </w:r>
            <w:r>
              <w:rPr>
                <w:rFonts w:eastAsia="仿宋_GB2312"/>
                <w:b/>
                <w:bCs/>
                <w:color w:val="000000"/>
                <w:kern w:val="0"/>
                <w:szCs w:val="21"/>
              </w:rPr>
              <w:t>）</w:t>
            </w:r>
          </w:p>
        </w:tc>
        <w:tc>
          <w:tcPr>
            <w:tcW w:w="64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备注</w:t>
            </w:r>
          </w:p>
        </w:tc>
      </w:tr>
      <w:tr>
        <w:tblPrEx>
          <w:tblCellMar>
            <w:top w:w="0" w:type="dxa"/>
            <w:left w:w="108" w:type="dxa"/>
            <w:bottom w:w="0" w:type="dxa"/>
            <w:right w:w="108" w:type="dxa"/>
          </w:tblCellMar>
        </w:tblPrEx>
        <w:trPr>
          <w:trHeight w:val="285" w:hRule="atLeast"/>
          <w:tblHeader/>
        </w:trPr>
        <w:tc>
          <w:tcPr>
            <w:tcW w:w="231"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一级指标</w:t>
            </w:r>
          </w:p>
        </w:tc>
        <w:tc>
          <w:tcPr>
            <w:tcW w:w="235" w:type="pct"/>
            <w:tcBorders>
              <w:top w:val="nil"/>
              <w:left w:val="nil"/>
              <w:bottom w:val="single" w:color="auto" w:sz="8" w:space="0"/>
              <w:right w:val="single" w:color="auto" w:sz="4" w:space="0"/>
            </w:tcBorders>
            <w:shd w:val="clear" w:color="auto" w:fill="auto"/>
            <w:vAlign w:val="center"/>
          </w:tcPr>
          <w:p>
            <w:pPr>
              <w:widowControl/>
              <w:jc w:val="center"/>
              <w:rPr>
                <w:b/>
                <w:bCs/>
                <w:color w:val="000000"/>
                <w:kern w:val="0"/>
                <w:szCs w:val="21"/>
              </w:rPr>
            </w:pPr>
            <w:r>
              <w:rPr>
                <w:b/>
                <w:bCs/>
                <w:color w:val="000000"/>
                <w:kern w:val="0"/>
                <w:szCs w:val="21"/>
              </w:rPr>
              <w:t>二级指标</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Cs w:val="21"/>
              </w:rPr>
            </w:pPr>
            <w:r>
              <w:rPr>
                <w:b/>
                <w:bCs/>
                <w:color w:val="000000"/>
                <w:kern w:val="0"/>
                <w:szCs w:val="21"/>
              </w:rPr>
              <w:t>三级指标</w:t>
            </w:r>
          </w:p>
        </w:tc>
        <w:tc>
          <w:tcPr>
            <w:tcW w:w="1781" w:type="pct"/>
            <w:tcBorders>
              <w:top w:val="nil"/>
              <w:left w:val="single" w:color="auto" w:sz="4" w:space="0"/>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评分标准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评分</w:t>
            </w:r>
          </w:p>
        </w:tc>
        <w:tc>
          <w:tcPr>
            <w:tcW w:w="46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c>
          <w:tcPr>
            <w:tcW w:w="64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r>
      <w:tr>
        <w:tblPrEx>
          <w:tblCellMar>
            <w:top w:w="0" w:type="dxa"/>
            <w:left w:w="108" w:type="dxa"/>
            <w:bottom w:w="0" w:type="dxa"/>
            <w:right w:w="108" w:type="dxa"/>
          </w:tblCellMar>
        </w:tblPrEx>
        <w:trPr>
          <w:trHeight w:val="20" w:hRule="atLeast"/>
        </w:trPr>
        <w:tc>
          <w:tcPr>
            <w:tcW w:w="2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企业层</w:t>
            </w: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质量保证</w:t>
            </w: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rPr>
              <w:t>生产装备水平</w:t>
            </w:r>
            <w:r>
              <w:rPr>
                <w:color w:val="000000"/>
                <w:kern w:val="0"/>
                <w:szCs w:val="21"/>
                <w:highlight w:val="yellow"/>
              </w:rPr>
              <w:br w:type="textWrapping"/>
            </w: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企业应配备</w:t>
            </w:r>
            <w:r>
              <w:rPr>
                <w:rFonts w:hint="eastAsia"/>
                <w:color w:val="000000"/>
                <w:kern w:val="0"/>
                <w:szCs w:val="21"/>
              </w:rPr>
              <w:t>电弧炉或转炉、LF精炼炉、加热炉、连铸机、普通轧机（无法830870℃以下轧制）</w:t>
            </w:r>
            <w:r>
              <w:rPr>
                <w:color w:val="000000"/>
                <w:kern w:val="0"/>
                <w:szCs w:val="21"/>
              </w:rPr>
              <w:t>等生产设备</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5</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若存在《产业结构调整指导目录》限制类装备，此项</w:t>
            </w:r>
            <w:r>
              <w:rPr>
                <w:color w:val="000000"/>
                <w:kern w:val="0"/>
                <w:szCs w:val="21"/>
              </w:rPr>
              <w:t>0</w:t>
            </w:r>
            <w:r>
              <w:rPr>
                <w:rFonts w:eastAsia="仿宋_GB2312"/>
                <w:color w:val="000000"/>
                <w:kern w:val="0"/>
                <w:szCs w:val="21"/>
              </w:rPr>
              <w:t>分</w:t>
            </w:r>
          </w:p>
        </w:tc>
      </w:tr>
      <w:tr>
        <w:tblPrEx>
          <w:tblCellMar>
            <w:top w:w="0" w:type="dxa"/>
            <w:left w:w="108" w:type="dxa"/>
            <w:bottom w:w="0" w:type="dxa"/>
            <w:right w:w="108" w:type="dxa"/>
          </w:tblCellMar>
        </w:tblPrEx>
        <w:trPr>
          <w:trHeight w:val="20" w:hRule="atLeast"/>
        </w:trPr>
        <w:tc>
          <w:tcPr>
            <w:tcW w:w="231"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yellow"/>
              </w:rPr>
            </w:pP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企业宜配备</w:t>
            </w:r>
            <w:r>
              <w:rPr>
                <w:rFonts w:hint="eastAsia"/>
                <w:color w:val="000000"/>
                <w:kern w:val="0"/>
                <w:szCs w:val="21"/>
              </w:rPr>
              <w:t>修磨机、磁粉探伤机、加热炉、脱硫炉、真空脱气、火焰清理机或修磨机、连铸机方坯面积不低于324cm2边长不低于180mm、</w:t>
            </w:r>
            <w:r>
              <w:rPr>
                <w:rFonts w:hint="eastAsia"/>
              </w:rPr>
              <w:t xml:space="preserve"> </w:t>
            </w:r>
            <w:r>
              <w:rPr>
                <w:rFonts w:hint="eastAsia"/>
                <w:color w:val="000000"/>
                <w:kern w:val="0"/>
                <w:szCs w:val="21"/>
              </w:rPr>
              <w:t>UT探伤机、蓄热式加热炉、减定径机、斯太尔莫冷却线或堆冷线</w:t>
            </w:r>
            <w:r>
              <w:rPr>
                <w:color w:val="000000"/>
                <w:kern w:val="0"/>
                <w:szCs w:val="21"/>
              </w:rPr>
              <w:t>等生产装备</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每项加1分，最多4分</w:t>
            </w:r>
          </w:p>
        </w:tc>
        <w:tc>
          <w:tcPr>
            <w:tcW w:w="469" w:type="pct"/>
            <w:vMerge w:val="continue"/>
            <w:tcBorders>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检验检测能力</w:t>
            </w: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检化验装备满足产品生产研发需求，配备有完备的检验检测设备和人员。个别型式检验项目委托外部检验</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 xml:space="preserve">检化验装备满足产品生产研发需求，配备有完备的检验检测设备和人员，检测实验室通过CNAS认可 </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检化验装备满足产品生产研发需求，配备有完备的检验检测设备和人员，具有一定的自动化智能化检测能力，检测实验室通过CMA认定、CNAS认可</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体系保证</w:t>
            </w: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企业是否通过全面风险管理体系、卓越绩效管理体系、质量管理体系认证、质量管理体系分级认证等</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每项认证1分，最多3分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创新能力</w:t>
            </w: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企业技术中心等级</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市级企业技术中心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省级企业技术中心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2.5</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国家级企业技术中心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专利数量</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近三年获授权专利数量</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每项发明专利0.5分每项实用新型专利0.1分，最多1分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人才结构</w:t>
            </w:r>
          </w:p>
        </w:tc>
        <w:tc>
          <w:tcPr>
            <w:tcW w:w="178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r>
              <w:rPr>
                <w:color w:val="000000"/>
                <w:kern w:val="0"/>
                <w:szCs w:val="21"/>
              </w:rPr>
              <w:t>按公式计算得分：[（1×初中及以下文化人数+2×高中文化程度+3×专科文化程度+4×本科文化程度+5×硕士文化程度+6×博士文化程度）/员工总数]-1</w:t>
            </w:r>
          </w:p>
          <w:p>
            <w:pPr>
              <w:widowControl/>
              <w:jc w:val="left"/>
              <w:rPr>
                <w:color w:val="000000"/>
                <w:kern w:val="0"/>
                <w:szCs w:val="21"/>
              </w:rPr>
            </w:pPr>
            <w:r>
              <w:rPr>
                <w:color w:val="000000"/>
                <w:kern w:val="0"/>
                <w:szCs w:val="21"/>
              </w:rPr>
              <w:t>技术职称和文化程度可等效对应如下：</w:t>
            </w:r>
          </w:p>
          <w:p>
            <w:pPr>
              <w:widowControl/>
              <w:jc w:val="left"/>
              <w:rPr>
                <w:color w:val="000000"/>
                <w:kern w:val="0"/>
                <w:szCs w:val="21"/>
              </w:rPr>
            </w:pPr>
            <w:r>
              <w:rPr>
                <w:color w:val="000000"/>
                <w:kern w:val="0"/>
                <w:szCs w:val="21"/>
              </w:rPr>
              <w:t>高中：初级工</w:t>
            </w:r>
          </w:p>
          <w:p>
            <w:pPr>
              <w:widowControl/>
              <w:jc w:val="left"/>
              <w:rPr>
                <w:color w:val="000000"/>
                <w:kern w:val="0"/>
                <w:szCs w:val="21"/>
              </w:rPr>
            </w:pPr>
            <w:r>
              <w:rPr>
                <w:color w:val="000000"/>
                <w:kern w:val="0"/>
                <w:szCs w:val="21"/>
              </w:rPr>
              <w:t>专科：中级工</w:t>
            </w:r>
          </w:p>
          <w:p>
            <w:pPr>
              <w:widowControl/>
              <w:jc w:val="left"/>
              <w:rPr>
                <w:color w:val="000000"/>
                <w:kern w:val="0"/>
                <w:szCs w:val="21"/>
              </w:rPr>
            </w:pPr>
            <w:r>
              <w:rPr>
                <w:color w:val="000000"/>
                <w:kern w:val="0"/>
                <w:szCs w:val="21"/>
              </w:rPr>
              <w:t>本科：高级工</w:t>
            </w:r>
          </w:p>
          <w:p>
            <w:pPr>
              <w:widowControl/>
              <w:jc w:val="left"/>
              <w:rPr>
                <w:color w:val="000000"/>
                <w:kern w:val="0"/>
                <w:szCs w:val="21"/>
              </w:rPr>
            </w:pPr>
            <w:r>
              <w:rPr>
                <w:color w:val="000000"/>
                <w:kern w:val="0"/>
                <w:szCs w:val="21"/>
              </w:rPr>
              <w:t>硕士：技师、工程师</w:t>
            </w:r>
          </w:p>
          <w:p>
            <w:pPr>
              <w:widowControl/>
              <w:jc w:val="left"/>
              <w:rPr>
                <w:color w:val="000000"/>
                <w:kern w:val="0"/>
                <w:szCs w:val="21"/>
              </w:rPr>
            </w:pPr>
            <w:r>
              <w:rPr>
                <w:color w:val="000000"/>
                <w:kern w:val="0"/>
                <w:szCs w:val="21"/>
              </w:rPr>
              <w:t>博士：高级技师、高级工程师</w:t>
            </w:r>
          </w:p>
        </w:tc>
        <w:tc>
          <w:tcPr>
            <w:tcW w:w="8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全员小学文化</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全员本科文化</w:t>
            </w:r>
            <w:r>
              <w:rPr>
                <w:color w:val="000000"/>
                <w:kern w:val="0"/>
                <w:szCs w:val="21"/>
              </w:rPr>
              <w:t>3</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（或等效）</w:t>
            </w: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108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研发投入比例</w:t>
            </w:r>
          </w:p>
        </w:tc>
        <w:tc>
          <w:tcPr>
            <w:tcW w:w="1781"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按公式计算得分：研发投入占比×100</w:t>
            </w:r>
            <w:r>
              <w:rPr>
                <w:color w:val="000000"/>
                <w:kern w:val="0"/>
                <w:szCs w:val="21"/>
              </w:rPr>
              <w:br w:type="textWrapping"/>
            </w:r>
            <w:r>
              <w:rPr>
                <w:color w:val="000000"/>
                <w:kern w:val="0"/>
                <w:szCs w:val="21"/>
              </w:rPr>
              <w:t>最低0分，最高3分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研发投入占比</w:t>
            </w:r>
            <w:r>
              <w:rPr>
                <w:rFonts w:eastAsia="仿宋_GB2312"/>
                <w:color w:val="000000"/>
                <w:kern w:val="0"/>
                <w:szCs w:val="21"/>
              </w:rPr>
              <w:br w:type="textWrapping"/>
            </w:r>
            <w:r>
              <w:rPr>
                <w:color w:val="000000"/>
                <w:kern w:val="0"/>
                <w:szCs w:val="21"/>
              </w:rPr>
              <w:t>0</w:t>
            </w:r>
            <w:r>
              <w:rPr>
                <w:rFonts w:eastAsia="仿宋_GB2312"/>
                <w:color w:val="000000"/>
                <w:kern w:val="0"/>
                <w:szCs w:val="21"/>
              </w:rPr>
              <w:t>，</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1.5%</w:t>
            </w:r>
            <w:r>
              <w:rPr>
                <w:rFonts w:eastAsia="仿宋_GB2312"/>
                <w:color w:val="000000"/>
                <w:kern w:val="0"/>
                <w:szCs w:val="21"/>
              </w:rPr>
              <w:t>，</w:t>
            </w:r>
            <w:r>
              <w:rPr>
                <w:color w:val="000000"/>
                <w:kern w:val="0"/>
                <w:szCs w:val="21"/>
              </w:rPr>
              <w:t>1.5</w:t>
            </w:r>
            <w:r>
              <w:rPr>
                <w:rFonts w:eastAsia="仿宋_GB2312"/>
                <w:color w:val="000000"/>
                <w:kern w:val="0"/>
                <w:szCs w:val="21"/>
              </w:rPr>
              <w:t>分</w:t>
            </w:r>
            <w:r>
              <w:rPr>
                <w:rFonts w:eastAsia="仿宋_GB2312"/>
                <w:color w:val="000000"/>
                <w:kern w:val="0"/>
                <w:szCs w:val="21"/>
              </w:rPr>
              <w:br w:type="textWrapping"/>
            </w:r>
            <w:r>
              <w:rPr>
                <w:color w:val="000000"/>
                <w:kern w:val="0"/>
                <w:szCs w:val="21"/>
              </w:rPr>
              <w:t>3%</w:t>
            </w:r>
            <w:r>
              <w:rPr>
                <w:rFonts w:eastAsia="仿宋_GB2312"/>
                <w:color w:val="000000"/>
                <w:kern w:val="0"/>
                <w:szCs w:val="21"/>
              </w:rPr>
              <w:t>以上，</w:t>
            </w:r>
            <w:r>
              <w:rPr>
                <w:color w:val="000000"/>
                <w:kern w:val="0"/>
                <w:szCs w:val="21"/>
              </w:rPr>
              <w:t>3</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企业诚信</w:t>
            </w:r>
          </w:p>
        </w:tc>
        <w:tc>
          <w:tcPr>
            <w:tcW w:w="797"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诚信管理体系建设</w:t>
            </w:r>
          </w:p>
        </w:tc>
        <w:tc>
          <w:tcPr>
            <w:tcW w:w="1781"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未建立良好的诚信管理体系</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通过诚信管理体系认证或建立良好的诚信管理体系，运行良好。</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企业信用等级</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发生严重失信</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未进行企业信用等级评价的按D级评价</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D</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C、CC、CCC</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B、BB、BBB</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A、AA、AAA</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管理层信用</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近三年，管理层人员未列入国家失信对象名单</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近三年，高级管理层人员未列入国家失信对象名单，管理层人员均无不良信用记录。</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偿债能力</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按公式计算得分：-20/3×总资产负债率+20/3</w:t>
            </w:r>
            <w:r>
              <w:rPr>
                <w:color w:val="000000"/>
                <w:kern w:val="0"/>
                <w:szCs w:val="21"/>
              </w:rPr>
              <w:br w:type="textWrapping"/>
            </w:r>
            <w:r>
              <w:rPr>
                <w:color w:val="000000"/>
                <w:kern w:val="0"/>
                <w:szCs w:val="21"/>
              </w:rPr>
              <w:t>最低0分，最高4分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资产负债率</w:t>
            </w:r>
            <w:r>
              <w:rPr>
                <w:rFonts w:eastAsia="仿宋_GB2312"/>
                <w:color w:val="000000"/>
                <w:kern w:val="0"/>
                <w:szCs w:val="21"/>
              </w:rPr>
              <w:br w:type="textWrapping"/>
            </w:r>
            <w:r>
              <w:rPr>
                <w:color w:val="000000"/>
                <w:kern w:val="0"/>
                <w:szCs w:val="21"/>
              </w:rPr>
              <w:t>100%</w:t>
            </w:r>
            <w:r>
              <w:rPr>
                <w:rFonts w:eastAsia="仿宋_GB2312"/>
                <w:color w:val="000000"/>
                <w:kern w:val="0"/>
                <w:szCs w:val="21"/>
              </w:rPr>
              <w:t>以上，</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40%</w:t>
            </w:r>
            <w:r>
              <w:rPr>
                <w:rFonts w:eastAsia="仿宋_GB2312"/>
                <w:color w:val="000000"/>
                <w:kern w:val="0"/>
                <w:szCs w:val="21"/>
              </w:rPr>
              <w:t>以下，</w:t>
            </w:r>
            <w:r>
              <w:rPr>
                <w:rFonts w:hint="eastAsia" w:eastAsia="仿宋_GB2312"/>
                <w:color w:val="000000"/>
                <w:kern w:val="0"/>
                <w:szCs w:val="21"/>
              </w:rPr>
              <w:t>4</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合同履约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近三年内曾发生因企业自身原因导致的合同违约。</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近三年，未发生因企业自身原因导致的合同违约。</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企业不良行为记录</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企业收到能源、环保、司法、工商、质检、安监、金融、海关等部门或机构发出的不良行为记录。无不良行为记录得满分2分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每条不良行为记录减0.5分，最多2分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80"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服务水平</w:t>
            </w:r>
          </w:p>
        </w:tc>
        <w:tc>
          <w:tcPr>
            <w:tcW w:w="797" w:type="pct"/>
            <w:tcBorders>
              <w:top w:val="nil"/>
              <w:left w:val="single" w:color="auto" w:sz="4" w:space="0"/>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服务体系建设</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建立有完善的售后服务体系、配备有相关专业服务人员、具有提供服务的专业设备、为下游客户提供产品使用的咨询或培训服务</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每项得1分，最多4分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配送时效保障</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按时交付率＜90%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按时交付率≥90%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按时交付率≥95%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按时交付率≥99%</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质量追溯</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产品质量检测无法实现追踪溯源</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产品质量检测能够实现追踪溯源，追溯期小于2年</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产品质量检测能够实现追踪溯源，追溯期不小于2年</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2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质量异议解决制度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1.建立了完善的质量异议解决制度</w:t>
            </w:r>
            <w:r>
              <w:rPr>
                <w:color w:val="000000"/>
                <w:kern w:val="0"/>
                <w:szCs w:val="21"/>
              </w:rPr>
              <w:br w:type="textWrapping"/>
            </w:r>
            <w:r>
              <w:rPr>
                <w:color w:val="000000"/>
                <w:kern w:val="0"/>
                <w:szCs w:val="21"/>
              </w:rPr>
              <w:t>2.质量异议解决制度得到了严格遵守和运行</w:t>
            </w:r>
            <w:r>
              <w:rPr>
                <w:color w:val="000000"/>
                <w:kern w:val="0"/>
                <w:szCs w:val="21"/>
              </w:rPr>
              <w:br w:type="textWrapping"/>
            </w:r>
            <w:r>
              <w:rPr>
                <w:color w:val="000000"/>
                <w:kern w:val="0"/>
                <w:szCs w:val="21"/>
              </w:rPr>
              <w:t>3.质量异议解决情况和效果良好</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达到每条得1分，最多3分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产品层面</w:t>
            </w:r>
          </w:p>
        </w:tc>
        <w:tc>
          <w:tcPr>
            <w:tcW w:w="235" w:type="pct"/>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质量一致性</w:t>
            </w: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w:t>
            </w:r>
            <w:r>
              <w:rPr>
                <w:color w:val="000000"/>
                <w:kern w:val="0"/>
                <w:szCs w:val="21"/>
              </w:rPr>
              <w:t>P</w:t>
            </w:r>
            <w:r>
              <w:rPr>
                <w:rFonts w:hint="eastAsia" w:ascii="仿宋_GB2312" w:eastAsia="仿宋_GB2312"/>
                <w:color w:val="000000"/>
                <w:kern w:val="0"/>
                <w:szCs w:val="21"/>
              </w:rPr>
              <w:t>含量）</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w:t>
            </w:r>
            <w:r>
              <w:rPr>
                <w:rFonts w:hint="eastAsia"/>
                <w:color w:val="000000"/>
                <w:kern w:val="0"/>
                <w:szCs w:val="21"/>
              </w:rPr>
              <w:t>7</w:t>
            </w:r>
            <w:r>
              <w:rPr>
                <w:color w:val="000000"/>
                <w:kern w:val="0"/>
                <w:szCs w:val="21"/>
              </w:rPr>
              <w:t>.5Cp-6</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各项按公式计算得分，即</w:t>
            </w:r>
            <w:r>
              <w:rPr>
                <w:rFonts w:eastAsia="仿宋_GB2312"/>
                <w:color w:val="000000"/>
                <w:kern w:val="0"/>
                <w:szCs w:val="21"/>
              </w:rPr>
              <w:br w:type="textWrapping"/>
            </w:r>
            <w:r>
              <w:rPr>
                <w:color w:val="000000"/>
                <w:kern w:val="0"/>
                <w:szCs w:val="21"/>
              </w:rPr>
              <w:t>Cp</w:t>
            </w:r>
            <w:r>
              <w:rPr>
                <w:rFonts w:eastAsia="仿宋_GB2312"/>
                <w:color w:val="000000"/>
                <w:kern w:val="0"/>
                <w:szCs w:val="21"/>
              </w:rPr>
              <w:t>≤</w:t>
            </w:r>
            <w:r>
              <w:rPr>
                <w:color w:val="000000"/>
                <w:kern w:val="0"/>
                <w:szCs w:val="21"/>
              </w:rPr>
              <w:t>0.8</w:t>
            </w:r>
            <w:r>
              <w:rPr>
                <w:rFonts w:eastAsia="仿宋_GB2312"/>
                <w:color w:val="000000"/>
                <w:kern w:val="0"/>
                <w:szCs w:val="21"/>
              </w:rPr>
              <w:t>时，</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Cp</w:t>
            </w:r>
            <w:r>
              <w:rPr>
                <w:rFonts w:eastAsia="仿宋_GB2312"/>
                <w:color w:val="000000"/>
                <w:kern w:val="0"/>
                <w:szCs w:val="21"/>
              </w:rPr>
              <w:t>≥</w:t>
            </w:r>
            <w:r>
              <w:rPr>
                <w:color w:val="000000"/>
                <w:kern w:val="0"/>
                <w:szCs w:val="21"/>
              </w:rPr>
              <w:t>1.2</w:t>
            </w:r>
            <w:r>
              <w:rPr>
                <w:rFonts w:eastAsia="仿宋_GB2312"/>
                <w:color w:val="000000"/>
                <w:kern w:val="0"/>
                <w:szCs w:val="21"/>
              </w:rPr>
              <w:t>时，</w:t>
            </w:r>
            <w:r>
              <w:rPr>
                <w:rFonts w:hint="eastAsia" w:eastAsia="仿宋_GB2312"/>
                <w:color w:val="000000"/>
                <w:kern w:val="0"/>
                <w:szCs w:val="21"/>
              </w:rPr>
              <w:t>3</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w:t>
            </w:r>
            <w:r>
              <w:rPr>
                <w:color w:val="000000"/>
                <w:kern w:val="0"/>
                <w:szCs w:val="21"/>
              </w:rPr>
              <w:t>S</w:t>
            </w:r>
            <w:r>
              <w:rPr>
                <w:rFonts w:hint="eastAsia" w:ascii="仿宋_GB2312" w:eastAsia="仿宋_GB2312"/>
                <w:color w:val="000000"/>
                <w:kern w:val="0"/>
                <w:szCs w:val="21"/>
              </w:rPr>
              <w:t>含量）</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w:t>
            </w:r>
            <w:r>
              <w:rPr>
                <w:rFonts w:hint="eastAsia"/>
                <w:color w:val="000000"/>
                <w:kern w:val="0"/>
                <w:szCs w:val="21"/>
              </w:rPr>
              <w:t>7</w:t>
            </w:r>
            <w:r>
              <w:rPr>
                <w:color w:val="000000"/>
                <w:kern w:val="0"/>
                <w:szCs w:val="21"/>
              </w:rPr>
              <w:t>.5Cp-6</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（抗拉强度）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w:t>
            </w:r>
            <w:r>
              <w:rPr>
                <w:rFonts w:hint="eastAsia"/>
                <w:color w:val="000000"/>
                <w:kern w:val="0"/>
                <w:szCs w:val="21"/>
              </w:rPr>
              <w:t>7</w:t>
            </w:r>
            <w:r>
              <w:rPr>
                <w:color w:val="000000"/>
                <w:kern w:val="0"/>
                <w:szCs w:val="21"/>
              </w:rPr>
              <w:t>.5Cp-6</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color w:val="000000"/>
                <w:kern w:val="0"/>
                <w:szCs w:val="21"/>
              </w:rPr>
              <w:t>（</w:t>
            </w:r>
            <w:r>
              <w:rPr>
                <w:rFonts w:hint="eastAsia" w:ascii="仿宋_GB2312" w:eastAsia="仿宋_GB2312"/>
                <w:color w:val="000000"/>
                <w:kern w:val="0"/>
                <w:szCs w:val="21"/>
              </w:rPr>
              <w:t>断面收缩率）</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w:t>
            </w:r>
            <w:r>
              <w:rPr>
                <w:rFonts w:hint="eastAsia"/>
                <w:color w:val="000000"/>
                <w:kern w:val="0"/>
                <w:szCs w:val="21"/>
              </w:rPr>
              <w:t>7</w:t>
            </w:r>
            <w:r>
              <w:rPr>
                <w:color w:val="000000"/>
                <w:kern w:val="0"/>
                <w:szCs w:val="21"/>
              </w:rPr>
              <w:t>.5Cp-6</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Cp（脱碳层）</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w:t>
            </w:r>
            <w:r>
              <w:rPr>
                <w:rFonts w:hint="eastAsia"/>
                <w:color w:val="000000"/>
                <w:kern w:val="0"/>
                <w:szCs w:val="21"/>
              </w:rPr>
              <w:t>7</w:t>
            </w:r>
            <w:r>
              <w:rPr>
                <w:color w:val="000000"/>
                <w:kern w:val="0"/>
                <w:szCs w:val="21"/>
              </w:rPr>
              <w:t>.5Cp-6</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Cp（晶粒度）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w:t>
            </w:r>
            <w:r>
              <w:rPr>
                <w:rFonts w:hint="eastAsia"/>
                <w:color w:val="000000"/>
                <w:kern w:val="0"/>
                <w:szCs w:val="21"/>
              </w:rPr>
              <w:t>7</w:t>
            </w:r>
            <w:r>
              <w:rPr>
                <w:color w:val="000000"/>
                <w:kern w:val="0"/>
                <w:szCs w:val="21"/>
              </w:rPr>
              <w:t>.5Cp-6</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63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rPr>
              <w:t>发纹或划伤深度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Cs w:val="21"/>
              </w:rPr>
            </w:pPr>
            <w:r>
              <w:rPr>
                <w:rFonts w:hint="eastAsia"/>
              </w:rPr>
              <w:t>抽样检测，试验方法和指标符合G</w:t>
            </w:r>
            <w:r>
              <w:t>B/T 6478</w:t>
            </w:r>
            <w:r>
              <w:rPr>
                <w:rFonts w:hint="eastAsia"/>
              </w:rPr>
              <w:t>的要求</w:t>
            </w:r>
          </w:p>
        </w:tc>
        <w:tc>
          <w:tcPr>
            <w:tcW w:w="845" w:type="pct"/>
            <w:tcBorders>
              <w:top w:val="nil"/>
              <w:left w:val="nil"/>
              <w:bottom w:val="single" w:color="auto" w:sz="8" w:space="0"/>
              <w:right w:val="single" w:color="auto" w:sz="8" w:space="0"/>
            </w:tcBorders>
            <w:shd w:val="clear" w:color="auto" w:fill="auto"/>
            <w:vAlign w:val="center"/>
          </w:tcPr>
          <w:p>
            <w:pPr>
              <w:widowControl/>
              <w:jc w:val="center"/>
            </w:pPr>
            <w:r>
              <w:rPr>
                <w:rFonts w:hint="eastAsia"/>
              </w:rPr>
              <w:t>其中1支不符合G</w:t>
            </w:r>
            <w:r>
              <w:t>B/T 6478</w:t>
            </w:r>
            <w:r>
              <w:rPr>
                <w:rFonts w:hint="eastAsia"/>
              </w:rPr>
              <w:t>，不通过</w:t>
            </w:r>
          </w:p>
          <w:p>
            <w:pPr>
              <w:widowControl/>
              <w:jc w:val="center"/>
              <w:rPr>
                <w:color w:val="000000"/>
                <w:kern w:val="0"/>
                <w:szCs w:val="21"/>
              </w:rPr>
            </w:pPr>
            <w:r>
              <w:rPr>
                <w:rFonts w:hint="eastAsia"/>
              </w:rPr>
              <w:t>全部符合G</w:t>
            </w:r>
            <w:r>
              <w:t>B/T 6478</w:t>
            </w:r>
            <w:r>
              <w:rPr>
                <w:rFonts w:hint="eastAsia"/>
              </w:rPr>
              <w:t>，3分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restart"/>
            <w:tcBorders>
              <w:top w:val="single" w:color="auto" w:sz="4" w:space="0"/>
              <w:left w:val="single" w:color="auto" w:sz="4" w:space="0"/>
              <w:right w:val="single" w:color="auto" w:sz="4" w:space="0"/>
            </w:tcBorders>
            <w:shd w:val="clear" w:color="auto" w:fill="auto"/>
            <w:vAlign w:val="center"/>
          </w:tcPr>
          <w:p>
            <w:pPr>
              <w:widowControl/>
              <w:rPr>
                <w:color w:val="000000"/>
                <w:kern w:val="0"/>
                <w:szCs w:val="21"/>
              </w:rPr>
            </w:pPr>
            <w:r>
              <w:rPr>
                <w:rFonts w:hint="eastAsia"/>
              </w:rPr>
              <w:t>抽1</w:t>
            </w:r>
            <w:r>
              <w:t>0</w:t>
            </w:r>
            <w:r>
              <w:rPr>
                <w:rFonts w:hint="eastAsia"/>
              </w:rPr>
              <w:t>不同批次(至少</w:t>
            </w:r>
            <w:r>
              <w:t>3</w:t>
            </w:r>
            <w:r>
              <w:rPr>
                <w:rFonts w:hint="eastAsia"/>
              </w:rPr>
              <w:t>批次规格＞24mm)，每个批次抽1支样品</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rPr>
              <w:t>冷镦性能</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rPr>
              <w:t>抽样检测，试验方法和指标符合G</w:t>
            </w:r>
            <w:r>
              <w:t>B/T 6478</w:t>
            </w:r>
            <w:r>
              <w:rPr>
                <w:rFonts w:hint="eastAsia"/>
              </w:rPr>
              <w:t>的要求</w:t>
            </w:r>
          </w:p>
        </w:tc>
        <w:tc>
          <w:tcPr>
            <w:tcW w:w="845" w:type="pct"/>
            <w:tcBorders>
              <w:top w:val="nil"/>
              <w:left w:val="nil"/>
              <w:bottom w:val="single" w:color="auto" w:sz="8" w:space="0"/>
              <w:right w:val="single" w:color="auto" w:sz="8" w:space="0"/>
            </w:tcBorders>
            <w:shd w:val="clear" w:color="auto" w:fill="auto"/>
            <w:vAlign w:val="center"/>
          </w:tcPr>
          <w:p>
            <w:pPr>
              <w:widowControl/>
              <w:jc w:val="center"/>
            </w:pPr>
            <w:r>
              <w:rPr>
                <w:rFonts w:hint="eastAsia"/>
              </w:rPr>
              <w:t>其中1支不符合G</w:t>
            </w:r>
            <w:r>
              <w:t>B/T 6478</w:t>
            </w:r>
            <w:r>
              <w:rPr>
                <w:rFonts w:hint="eastAsia"/>
              </w:rPr>
              <w:t>，不通过</w:t>
            </w:r>
          </w:p>
          <w:p>
            <w:pPr>
              <w:widowControl/>
              <w:jc w:val="center"/>
              <w:rPr>
                <w:color w:val="000000"/>
                <w:kern w:val="0"/>
                <w:szCs w:val="21"/>
              </w:rPr>
            </w:pPr>
            <w:r>
              <w:rPr>
                <w:rFonts w:hint="eastAsia"/>
              </w:rPr>
              <w:t>全部符合G</w:t>
            </w:r>
            <w:r>
              <w:t>B/T 6478</w:t>
            </w:r>
            <w:r>
              <w:rPr>
                <w:rFonts w:hint="eastAsia"/>
              </w:rPr>
              <w:t>，3分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continue"/>
            <w:tcBorders>
              <w:left w:val="single" w:color="auto" w:sz="4" w:space="0"/>
              <w:bottom w:val="single" w:color="auto" w:sz="4" w:space="0"/>
              <w:right w:val="single" w:color="auto" w:sz="4" w:space="0"/>
            </w:tcBorders>
            <w:shd w:val="clear" w:color="auto" w:fill="auto"/>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4" w:space="0"/>
              <w:left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质量反馈</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重大工程应用</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国家重大工程项目直接应用项目数量</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每项重大工程得0.5分，最多2分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终端客户水平</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按公式计算得分：（央企、国企、上市公司客户采购数量占产品总销量比重）×7.5-0.75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single" w:color="auto" w:sz="4"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重点客户销量占比</w:t>
            </w:r>
            <w:r>
              <w:rPr>
                <w:rFonts w:eastAsia="仿宋_GB2312"/>
                <w:color w:val="000000"/>
                <w:kern w:val="0"/>
                <w:szCs w:val="21"/>
              </w:rPr>
              <w:br w:type="textWrapping"/>
            </w:r>
            <w:r>
              <w:rPr>
                <w:color w:val="000000"/>
                <w:kern w:val="0"/>
                <w:szCs w:val="21"/>
              </w:rPr>
              <w:t>10%</w:t>
            </w:r>
            <w:r>
              <w:rPr>
                <w:rFonts w:eastAsia="仿宋_GB2312"/>
                <w:color w:val="000000"/>
                <w:kern w:val="0"/>
                <w:szCs w:val="21"/>
              </w:rPr>
              <w:t>以下，</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50%</w:t>
            </w:r>
            <w:r>
              <w:rPr>
                <w:rFonts w:eastAsia="仿宋_GB2312"/>
                <w:color w:val="000000"/>
                <w:kern w:val="0"/>
                <w:szCs w:val="21"/>
              </w:rPr>
              <w:t>以上，</w:t>
            </w:r>
            <w:r>
              <w:rPr>
                <w:color w:val="000000"/>
                <w:kern w:val="0"/>
                <w:szCs w:val="21"/>
              </w:rPr>
              <w:t>2</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质量异议经济损失率</w:t>
            </w:r>
          </w:p>
          <w:p>
            <w:pPr>
              <w:widowControl/>
              <w:jc w:val="center"/>
              <w:rPr>
                <w:color w:val="000000"/>
                <w:kern w:val="0"/>
                <w:szCs w:val="21"/>
              </w:rPr>
            </w:pPr>
            <w:r>
              <w:rPr>
                <w:color w:val="000000"/>
                <w:kern w:val="0"/>
                <w:szCs w:val="21"/>
              </w:rPr>
              <w:t>（元/万元—赔偿额/销售额）</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未达行业一般：＞1.5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行业一般：＜1.0~1.5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行业平均：＜0.5~1</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行业领先：≤0.5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质量异议处理时间</w:t>
            </w:r>
            <w:r>
              <w:rPr>
                <w:color w:val="000000"/>
                <w:kern w:val="0"/>
                <w:szCs w:val="21"/>
              </w:rPr>
              <w:br w:type="textWrapping"/>
            </w:r>
            <w:r>
              <w:rPr>
                <w:color w:val="000000"/>
                <w:kern w:val="0"/>
                <w:szCs w:val="21"/>
              </w:rPr>
              <w:t>（单位-工作日）</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未达行业一般＞5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行业一般：＜3~5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行业平均：＜1~3</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行业领先：≤1</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顾客满意度</w:t>
            </w:r>
            <w:r>
              <w:rPr>
                <w:color w:val="000000"/>
                <w:kern w:val="0"/>
                <w:szCs w:val="21"/>
              </w:rPr>
              <w:br w:type="textWrapping"/>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kern w:val="0"/>
                <w:szCs w:val="21"/>
              </w:rPr>
              <w:t>顾客满意度＜70，或未开展顾客满意度调查</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r>
              <w:t>企业自评价或第三 方评价</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行业一般：70~＜80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行业平均：80~＜90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行业领先：≥90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nil"/>
              <w:left w:val="single" w:color="auto" w:sz="8" w:space="0"/>
              <w:bottom w:val="single" w:color="000000" w:sz="8" w:space="0"/>
              <w:right w:val="single" w:color="auto" w:sz="8" w:space="0"/>
            </w:tcBorders>
            <w:vAlign w:val="center"/>
          </w:tcPr>
          <w:p>
            <w:pPr>
              <w:widowControl/>
              <w:jc w:val="center"/>
              <w:rPr>
                <w:color w:val="000000"/>
                <w:kern w:val="0"/>
                <w:szCs w:val="21"/>
              </w:rPr>
            </w:pPr>
            <w:r>
              <w:rPr>
                <w:color w:val="000000"/>
                <w:kern w:val="0"/>
                <w:szCs w:val="21"/>
              </w:rPr>
              <w:t>第二方评价</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重点下游客户提供的优质供应商评价或类似证明材料</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每项供应商评价得0.5分，最多3分</w:t>
            </w:r>
          </w:p>
        </w:tc>
        <w:tc>
          <w:tcPr>
            <w:tcW w:w="469" w:type="pct"/>
            <w:tcBorders>
              <w:top w:val="nil"/>
              <w:left w:val="single" w:color="auto" w:sz="8" w:space="0"/>
              <w:bottom w:val="single" w:color="000000" w:sz="8" w:space="0"/>
              <w:right w:val="single" w:color="auto" w:sz="8" w:space="0"/>
            </w:tcBorders>
            <w:vAlign w:val="center"/>
          </w:tcPr>
          <w:p>
            <w:pPr>
              <w:widowControl/>
              <w:jc w:val="center"/>
              <w:rPr>
                <w:color w:val="000000"/>
                <w:kern w:val="0"/>
                <w:szCs w:val="21"/>
              </w:rPr>
            </w:pPr>
            <w:r>
              <w:rPr>
                <w:color w:val="000000"/>
                <w:kern w:val="0"/>
                <w:szCs w:val="21"/>
              </w:rPr>
              <w:t>2</w:t>
            </w:r>
          </w:p>
        </w:tc>
        <w:tc>
          <w:tcPr>
            <w:tcW w:w="642" w:type="pct"/>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质量认证</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第三方认证</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CARES 认证、绿色产品认证、区域品牌认证、高端自愿性产品认证等</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每项认证得0.5分，最多3分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163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荣誉奖项</w:t>
            </w:r>
          </w:p>
        </w:tc>
        <w:tc>
          <w:tcPr>
            <w:tcW w:w="797"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质量奖</w:t>
            </w:r>
          </w:p>
        </w:tc>
        <w:tc>
          <w:tcPr>
            <w:tcW w:w="1781"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国家级质量奖：每项4分</w:t>
            </w:r>
            <w:r>
              <w:rPr>
                <w:color w:val="000000"/>
                <w:kern w:val="0"/>
                <w:szCs w:val="21"/>
              </w:rPr>
              <w:br w:type="textWrapping"/>
            </w:r>
            <w:r>
              <w:rPr>
                <w:color w:val="000000"/>
                <w:kern w:val="0"/>
                <w:szCs w:val="21"/>
              </w:rPr>
              <w:t>国家级提名奖：每项3分</w:t>
            </w:r>
            <w:r>
              <w:rPr>
                <w:color w:val="000000"/>
                <w:kern w:val="0"/>
                <w:szCs w:val="21"/>
              </w:rPr>
              <w:br w:type="textWrapping"/>
            </w:r>
            <w:r>
              <w:rPr>
                <w:color w:val="000000"/>
                <w:kern w:val="0"/>
                <w:szCs w:val="21"/>
              </w:rPr>
              <w:t>省部级质量奖：每项2分</w:t>
            </w:r>
            <w:r>
              <w:rPr>
                <w:color w:val="000000"/>
                <w:kern w:val="0"/>
                <w:szCs w:val="21"/>
              </w:rPr>
              <w:br w:type="textWrapping"/>
            </w:r>
            <w:r>
              <w:rPr>
                <w:color w:val="000000"/>
                <w:kern w:val="0"/>
                <w:szCs w:val="21"/>
              </w:rPr>
              <w:t>省部级提名奖：每项1分</w:t>
            </w:r>
            <w:r>
              <w:rPr>
                <w:color w:val="000000"/>
                <w:kern w:val="0"/>
                <w:szCs w:val="21"/>
              </w:rPr>
              <w:br w:type="textWrapping"/>
            </w:r>
            <w:r>
              <w:rPr>
                <w:color w:val="000000"/>
                <w:kern w:val="0"/>
                <w:szCs w:val="21"/>
              </w:rPr>
              <w:t>市级质量奖：每项0.5分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计分方法计算得分</w:t>
            </w:r>
          </w:p>
        </w:tc>
        <w:tc>
          <w:tcPr>
            <w:tcW w:w="469"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44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产品科技奖</w:t>
            </w:r>
          </w:p>
        </w:tc>
        <w:tc>
          <w:tcPr>
            <w:tcW w:w="1781"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国家级一等奖：每项4分</w:t>
            </w:r>
            <w:r>
              <w:rPr>
                <w:color w:val="000000"/>
                <w:kern w:val="0"/>
                <w:szCs w:val="21"/>
              </w:rPr>
              <w:br w:type="textWrapping"/>
            </w:r>
            <w:r>
              <w:rPr>
                <w:color w:val="000000"/>
                <w:kern w:val="0"/>
                <w:szCs w:val="21"/>
              </w:rPr>
              <w:t>国家级二等奖：每项3.5分</w:t>
            </w:r>
            <w:r>
              <w:rPr>
                <w:color w:val="000000"/>
                <w:kern w:val="0"/>
                <w:szCs w:val="21"/>
              </w:rPr>
              <w:br w:type="textWrapping"/>
            </w:r>
            <w:r>
              <w:rPr>
                <w:color w:val="000000"/>
                <w:kern w:val="0"/>
                <w:szCs w:val="21"/>
              </w:rPr>
              <w:t>国家级三等奖：每项3分</w:t>
            </w:r>
            <w:r>
              <w:rPr>
                <w:color w:val="000000"/>
                <w:kern w:val="0"/>
                <w:szCs w:val="21"/>
              </w:rPr>
              <w:br w:type="textWrapping"/>
            </w:r>
            <w:r>
              <w:rPr>
                <w:color w:val="000000"/>
                <w:kern w:val="0"/>
                <w:szCs w:val="21"/>
              </w:rPr>
              <w:t>省部级一等奖：每项2.5分</w:t>
            </w:r>
            <w:r>
              <w:rPr>
                <w:color w:val="000000"/>
                <w:kern w:val="0"/>
                <w:szCs w:val="21"/>
              </w:rPr>
              <w:br w:type="textWrapping"/>
            </w:r>
            <w:r>
              <w:rPr>
                <w:color w:val="000000"/>
                <w:kern w:val="0"/>
                <w:szCs w:val="21"/>
              </w:rPr>
              <w:t>省部级二等奖：每项2分</w:t>
            </w:r>
            <w:r>
              <w:rPr>
                <w:color w:val="000000"/>
                <w:kern w:val="0"/>
                <w:szCs w:val="21"/>
              </w:rPr>
              <w:br w:type="textWrapping"/>
            </w:r>
            <w:r>
              <w:rPr>
                <w:color w:val="000000"/>
                <w:kern w:val="0"/>
                <w:szCs w:val="21"/>
              </w:rPr>
              <w:t>省部级三等奖：每项1.5分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计分方法计算得分</w:t>
            </w:r>
          </w:p>
        </w:tc>
        <w:tc>
          <w:tcPr>
            <w:tcW w:w="469"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单项冠军</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省级单项冠军产品</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国家级单项冠军产品</w:t>
            </w:r>
          </w:p>
        </w:tc>
        <w:tc>
          <w:tcPr>
            <w:tcW w:w="845"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r>
              <w:rPr>
                <w:color w:val="000000"/>
                <w:kern w:val="0"/>
                <w:szCs w:val="21"/>
              </w:rPr>
              <w:t>加分项</w:t>
            </w:r>
          </w:p>
        </w:tc>
        <w:tc>
          <w:tcPr>
            <w:tcW w:w="235"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r>
              <w:rPr>
                <w:color w:val="000000"/>
                <w:kern w:val="0"/>
                <w:szCs w:val="21"/>
              </w:rPr>
              <w:t>信息化水平</w:t>
            </w:r>
          </w:p>
        </w:tc>
        <w:tc>
          <w:tcPr>
            <w:tcW w:w="797" w:type="pct"/>
            <w:vMerge w:val="restart"/>
            <w:tcBorders>
              <w:top w:val="single" w:color="auto" w:sz="4" w:space="0"/>
              <w:left w:val="single" w:color="auto" w:sz="4" w:space="0"/>
              <w:right w:val="single" w:color="auto" w:sz="4" w:space="0"/>
            </w:tcBorders>
            <w:vAlign w:val="center"/>
          </w:tcPr>
          <w:p>
            <w:pPr>
              <w:widowControl/>
              <w:jc w:val="center"/>
              <w:rPr>
                <w:color w:val="000000"/>
                <w:kern w:val="0"/>
                <w:szCs w:val="21"/>
              </w:rPr>
            </w:pPr>
            <w:r>
              <w:rPr>
                <w:color w:val="000000"/>
                <w:kern w:val="0"/>
                <w:szCs w:val="21"/>
              </w:rPr>
              <w:t>智能制造成熟度</w:t>
            </w: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未达一级-基础级：企业具备最基础的网络化办公及电子化信息的数据采集工作。对离散的数据进行报表统计及分析</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single" w:color="auto" w:sz="4" w:space="0"/>
              <w:left w:val="single" w:color="auto" w:sz="4" w:space="0"/>
              <w:right w:val="single" w:color="auto" w:sz="4" w:space="0"/>
            </w:tcBorders>
            <w:vAlign w:val="center"/>
          </w:tcPr>
          <w:p>
            <w:pPr>
              <w:widowControl/>
              <w:jc w:val="center"/>
              <w:rPr>
                <w:color w:val="000000"/>
                <w:kern w:val="0"/>
                <w:szCs w:val="21"/>
              </w:rPr>
            </w:pPr>
            <w:r>
              <w:rPr>
                <w:color w:val="000000"/>
                <w:kern w:val="0"/>
                <w:szCs w:val="21"/>
              </w:rPr>
              <w:t>2.5</w:t>
            </w:r>
          </w:p>
        </w:tc>
        <w:tc>
          <w:tcPr>
            <w:tcW w:w="642" w:type="pct"/>
            <w:vMerge w:val="restart"/>
            <w:tcBorders>
              <w:top w:val="nil"/>
              <w:left w:val="single" w:color="auto" w:sz="4" w:space="0"/>
              <w:right w:val="single" w:color="auto" w:sz="8" w:space="0"/>
            </w:tcBorders>
            <w:vAlign w:val="center"/>
          </w:tcPr>
          <w:p>
            <w:pPr>
              <w:widowControl/>
              <w:jc w:val="left"/>
              <w:rPr>
                <w:color w:val="000000"/>
                <w:kern w:val="0"/>
                <w:szCs w:val="21"/>
              </w:rPr>
            </w:pPr>
            <w:r>
              <w:rPr>
                <w:color w:val="000000"/>
                <w:kern w:val="0"/>
                <w:szCs w:val="21"/>
              </w:rPr>
              <w:t>此为加分项，评价</w:t>
            </w:r>
          </w:p>
          <w:p>
            <w:pPr>
              <w:widowControl/>
              <w:jc w:val="left"/>
              <w:rPr>
                <w:color w:val="000000"/>
                <w:kern w:val="0"/>
                <w:szCs w:val="21"/>
              </w:rPr>
            </w:pPr>
            <w:r>
              <w:rPr>
                <w:color w:val="000000"/>
                <w:kern w:val="0"/>
                <w:szCs w:val="21"/>
              </w:rPr>
              <w:t>指标得分未满 100</w:t>
            </w:r>
          </w:p>
          <w:p>
            <w:pPr>
              <w:widowControl/>
              <w:jc w:val="left"/>
              <w:rPr>
                <w:color w:val="000000"/>
                <w:kern w:val="0"/>
                <w:szCs w:val="21"/>
              </w:rPr>
            </w:pPr>
            <w:r>
              <w:rPr>
                <w:color w:val="000000"/>
                <w:kern w:val="0"/>
                <w:szCs w:val="21"/>
              </w:rPr>
              <w:t>分时可以计入</w:t>
            </w:r>
          </w:p>
          <w:p>
            <w:pPr>
              <w:widowControl/>
              <w:jc w:val="left"/>
              <w:rPr>
                <w:color w:val="000000"/>
                <w:kern w:val="0"/>
                <w:szCs w:val="21"/>
              </w:rPr>
            </w:pPr>
            <w:r>
              <w:rPr>
                <w:color w:val="000000"/>
                <w:kern w:val="0"/>
                <w:szCs w:val="21"/>
              </w:rPr>
              <w:t>需提供认证证书等</w:t>
            </w:r>
          </w:p>
          <w:p>
            <w:pPr>
              <w:widowControl/>
              <w:jc w:val="left"/>
              <w:rPr>
                <w:color w:val="000000"/>
                <w:kern w:val="0"/>
                <w:szCs w:val="21"/>
              </w:rPr>
            </w:pPr>
            <w:r>
              <w:rPr>
                <w:color w:val="000000"/>
                <w:kern w:val="0"/>
                <w:szCs w:val="21"/>
              </w:rPr>
              <w:t>证明材料</w:t>
            </w: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一级-规划级：企业应开始对实施智能制造的基础和条件进行规划，能够对核心业务活动（设计、生产、物流、销售、服务）进行流程化管理</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0.5</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二级-规范级：企业应采用自动化技术、信息技术手段对核心装备和业务活动等进行改造和规范，实现单一业务活动的数据共享</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三级-集成级：企业应对装备、系统等开展集成，实现跨业务活动间的数据共享</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1.5</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四级-优化级：企业应对人员、资源、制造等进行数据挖掘，形成知识、模型等，实现对核心业务活动的精准预测和优化</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797" w:type="pct"/>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五级-引领级：企业应基于模型持续驱动业务活动的优化和创新，实现产业链协同并衍生新的制造模式和商业模式</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2.5</w:t>
            </w:r>
          </w:p>
        </w:tc>
        <w:tc>
          <w:tcPr>
            <w:tcW w:w="469"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bottom w:val="single" w:color="000000" w:sz="8" w:space="0"/>
              <w:right w:val="single" w:color="auto" w:sz="8" w:space="0"/>
            </w:tcBorders>
            <w:vAlign w:val="center"/>
          </w:tcPr>
          <w:p>
            <w:pPr>
              <w:widowControl/>
              <w:jc w:val="left"/>
              <w:rPr>
                <w:color w:val="000000"/>
                <w:kern w:val="0"/>
                <w:szCs w:val="21"/>
              </w:rPr>
            </w:pPr>
          </w:p>
        </w:tc>
      </w:tr>
      <w:bookmarkEnd w:id="14"/>
    </w:tbl>
    <w:p>
      <w:pPr>
        <w:pStyle w:val="22"/>
        <w:rPr>
          <w:rFonts w:ascii="Times New Roman"/>
        </w:rPr>
      </w:pPr>
    </w:p>
    <w:p>
      <w:pPr>
        <w:widowControl/>
        <w:jc w:val="left"/>
        <w:rPr>
          <w:kern w:val="0"/>
          <w:szCs w:val="20"/>
        </w:rPr>
      </w:pPr>
      <w: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594995</wp:posOffset>
                </wp:positionV>
                <wp:extent cx="1924050" cy="0"/>
                <wp:effectExtent l="0" t="0" r="19050" b="190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62.75pt;margin-top:46.85pt;height:0pt;width:151.5pt;z-index:251659264;mso-width-relative:page;mso-height-relative:page;" filled="f" stroked="t" coordsize="21600,21600" o:gfxdata="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rquJ1wAAAAkBAAAPAAAAAAAAAAEAIAAA&#10;ACIAAABkcnMvZG93bnJldi54bWxQSwECFAAUAAAACACHTuJAu5CPstQBAACyAwAADgAAAAAAAAAB&#10;ACAAAAAmAQAAZHJzL2Uyb0RvYy54bWxQSwUGAAAAAAYABgBZAQAAbAUAAAAA&#10;">
                <v:fill on="f" focussize="0,0"/>
                <v:stroke color="#000000" joinstyle="round"/>
                <v:imagedata o:title=""/>
                <o:lock v:ext="edit" aspectratio="f"/>
              </v:shape>
            </w:pict>
          </mc:Fallback>
        </mc:AlternateConten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docPartObj>
        <w:docPartGallery w:val="autotext"/>
      </w:docPartObj>
    </w:sdtPr>
    <w:sdtContent>
      <w:p>
        <w:pPr>
          <w:pStyle w:val="16"/>
          <w:jc w:val="left"/>
        </w:pPr>
        <w:r>
          <w:fldChar w:fldCharType="begin"/>
        </w:r>
        <w:r>
          <w:instrText xml:space="preserve">PAGE   \* MERGEFORMAT</w:instrText>
        </w:r>
        <w:r>
          <w:fldChar w:fldCharType="separate"/>
        </w:r>
        <w:r>
          <w:rPr>
            <w:lang w:val="zh-CN"/>
          </w:rPr>
          <w:t>4</w:t>
        </w:r>
        <w:r>
          <w:fldChar w:fldCharType="end"/>
        </w:r>
      </w:p>
    </w:sdtContent>
  </w:sdt>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2137"/>
        </w:tabs>
        <w:ind w:left="2137" w:hanging="720"/>
      </w:pPr>
    </w:lvl>
    <w:lvl w:ilvl="1" w:tentative="0">
      <w:start w:val="1"/>
      <w:numFmt w:val="decimal"/>
      <w:lvlText w:val="%2."/>
      <w:lvlJc w:val="left"/>
      <w:pPr>
        <w:tabs>
          <w:tab w:val="left" w:pos="2857"/>
        </w:tabs>
        <w:ind w:left="2857" w:hanging="720"/>
      </w:pPr>
    </w:lvl>
    <w:lvl w:ilvl="2" w:tentative="0">
      <w:start w:val="1"/>
      <w:numFmt w:val="decimal"/>
      <w:lvlText w:val="%3."/>
      <w:lvlJc w:val="left"/>
      <w:pPr>
        <w:tabs>
          <w:tab w:val="left" w:pos="3577"/>
        </w:tabs>
        <w:ind w:left="3577" w:hanging="720"/>
      </w:pPr>
    </w:lvl>
    <w:lvl w:ilvl="3" w:tentative="0">
      <w:start w:val="1"/>
      <w:numFmt w:val="decimal"/>
      <w:lvlText w:val="%4."/>
      <w:lvlJc w:val="left"/>
      <w:pPr>
        <w:tabs>
          <w:tab w:val="left" w:pos="4297"/>
        </w:tabs>
        <w:ind w:left="4297" w:hanging="720"/>
      </w:pPr>
    </w:lvl>
    <w:lvl w:ilvl="4" w:tentative="0">
      <w:start w:val="1"/>
      <w:numFmt w:val="decimal"/>
      <w:lvlText w:val="%5."/>
      <w:lvlJc w:val="left"/>
      <w:pPr>
        <w:tabs>
          <w:tab w:val="left" w:pos="5017"/>
        </w:tabs>
        <w:ind w:left="5017" w:hanging="720"/>
      </w:pPr>
    </w:lvl>
    <w:lvl w:ilvl="5" w:tentative="0">
      <w:start w:val="1"/>
      <w:numFmt w:val="decimal"/>
      <w:lvlText w:val="%6."/>
      <w:lvlJc w:val="left"/>
      <w:pPr>
        <w:tabs>
          <w:tab w:val="left" w:pos="5737"/>
        </w:tabs>
        <w:ind w:left="5737" w:hanging="720"/>
      </w:pPr>
    </w:lvl>
    <w:lvl w:ilvl="6" w:tentative="0">
      <w:start w:val="1"/>
      <w:numFmt w:val="decimal"/>
      <w:lvlText w:val="%7."/>
      <w:lvlJc w:val="left"/>
      <w:pPr>
        <w:tabs>
          <w:tab w:val="left" w:pos="6457"/>
        </w:tabs>
        <w:ind w:left="6457" w:hanging="720"/>
      </w:pPr>
    </w:lvl>
    <w:lvl w:ilvl="7" w:tentative="0">
      <w:start w:val="1"/>
      <w:numFmt w:val="decimal"/>
      <w:lvlText w:val="%8."/>
      <w:lvlJc w:val="left"/>
      <w:pPr>
        <w:tabs>
          <w:tab w:val="left" w:pos="7177"/>
        </w:tabs>
        <w:ind w:left="7177" w:hanging="720"/>
      </w:pPr>
    </w:lvl>
    <w:lvl w:ilvl="8" w:tentative="0">
      <w:start w:val="1"/>
      <w:numFmt w:val="decimal"/>
      <w:lvlText w:val="%9."/>
      <w:lvlJc w:val="left"/>
      <w:pPr>
        <w:tabs>
          <w:tab w:val="left" w:pos="7897"/>
        </w:tabs>
        <w:ind w:left="7897"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097"/>
    <w:rsid w:val="00000244"/>
    <w:rsid w:val="0000185F"/>
    <w:rsid w:val="00002390"/>
    <w:rsid w:val="0000586F"/>
    <w:rsid w:val="00005D79"/>
    <w:rsid w:val="00007340"/>
    <w:rsid w:val="00007D98"/>
    <w:rsid w:val="00012FD9"/>
    <w:rsid w:val="00013D86"/>
    <w:rsid w:val="00013E02"/>
    <w:rsid w:val="00017E7B"/>
    <w:rsid w:val="00020414"/>
    <w:rsid w:val="00020F80"/>
    <w:rsid w:val="0002143C"/>
    <w:rsid w:val="00022016"/>
    <w:rsid w:val="0002204D"/>
    <w:rsid w:val="000238EC"/>
    <w:rsid w:val="00025A65"/>
    <w:rsid w:val="000267B2"/>
    <w:rsid w:val="00026C31"/>
    <w:rsid w:val="00027280"/>
    <w:rsid w:val="000277B7"/>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57CD6"/>
    <w:rsid w:val="000639E9"/>
    <w:rsid w:val="00063E76"/>
    <w:rsid w:val="00067195"/>
    <w:rsid w:val="00067CDF"/>
    <w:rsid w:val="0007239D"/>
    <w:rsid w:val="00074FBE"/>
    <w:rsid w:val="00075BE6"/>
    <w:rsid w:val="000772BB"/>
    <w:rsid w:val="00077E45"/>
    <w:rsid w:val="000818DD"/>
    <w:rsid w:val="00083A09"/>
    <w:rsid w:val="0009005E"/>
    <w:rsid w:val="00090E08"/>
    <w:rsid w:val="00092857"/>
    <w:rsid w:val="00094BD2"/>
    <w:rsid w:val="00097C30"/>
    <w:rsid w:val="000A0598"/>
    <w:rsid w:val="000A20A9"/>
    <w:rsid w:val="000A3AE3"/>
    <w:rsid w:val="000A48B1"/>
    <w:rsid w:val="000A5495"/>
    <w:rsid w:val="000B3143"/>
    <w:rsid w:val="000B3C62"/>
    <w:rsid w:val="000B426E"/>
    <w:rsid w:val="000B55CC"/>
    <w:rsid w:val="000C30C7"/>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F030C"/>
    <w:rsid w:val="000F04B4"/>
    <w:rsid w:val="000F0C87"/>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35D4"/>
    <w:rsid w:val="00125108"/>
    <w:rsid w:val="001278EF"/>
    <w:rsid w:val="0013175F"/>
    <w:rsid w:val="001326B8"/>
    <w:rsid w:val="00134999"/>
    <w:rsid w:val="00136FEE"/>
    <w:rsid w:val="00142F55"/>
    <w:rsid w:val="00143F81"/>
    <w:rsid w:val="00145F37"/>
    <w:rsid w:val="001512B4"/>
    <w:rsid w:val="00152179"/>
    <w:rsid w:val="0015231A"/>
    <w:rsid w:val="00154746"/>
    <w:rsid w:val="00154A8E"/>
    <w:rsid w:val="00156D41"/>
    <w:rsid w:val="00156D62"/>
    <w:rsid w:val="0016016B"/>
    <w:rsid w:val="00160652"/>
    <w:rsid w:val="001620A5"/>
    <w:rsid w:val="00162F18"/>
    <w:rsid w:val="00164E53"/>
    <w:rsid w:val="0016699D"/>
    <w:rsid w:val="001669AC"/>
    <w:rsid w:val="00166C6F"/>
    <w:rsid w:val="001701E9"/>
    <w:rsid w:val="0017259F"/>
    <w:rsid w:val="00175159"/>
    <w:rsid w:val="00176208"/>
    <w:rsid w:val="0017711B"/>
    <w:rsid w:val="00180E54"/>
    <w:rsid w:val="0018211B"/>
    <w:rsid w:val="001840D3"/>
    <w:rsid w:val="00187A9A"/>
    <w:rsid w:val="001900F8"/>
    <w:rsid w:val="0019112B"/>
    <w:rsid w:val="00191258"/>
    <w:rsid w:val="00192680"/>
    <w:rsid w:val="00193037"/>
    <w:rsid w:val="00193394"/>
    <w:rsid w:val="00193A2C"/>
    <w:rsid w:val="00193F6A"/>
    <w:rsid w:val="0019427A"/>
    <w:rsid w:val="00194297"/>
    <w:rsid w:val="0019784E"/>
    <w:rsid w:val="00197D88"/>
    <w:rsid w:val="001A01D4"/>
    <w:rsid w:val="001A117F"/>
    <w:rsid w:val="001A1E60"/>
    <w:rsid w:val="001A1EA6"/>
    <w:rsid w:val="001A288E"/>
    <w:rsid w:val="001A32EE"/>
    <w:rsid w:val="001B5E5F"/>
    <w:rsid w:val="001B6DC2"/>
    <w:rsid w:val="001C149C"/>
    <w:rsid w:val="001C21AC"/>
    <w:rsid w:val="001C47BA"/>
    <w:rsid w:val="001C59EA"/>
    <w:rsid w:val="001C5AE5"/>
    <w:rsid w:val="001C7893"/>
    <w:rsid w:val="001C78AC"/>
    <w:rsid w:val="001D0E8C"/>
    <w:rsid w:val="001D406C"/>
    <w:rsid w:val="001D41EE"/>
    <w:rsid w:val="001D4EC2"/>
    <w:rsid w:val="001E0380"/>
    <w:rsid w:val="001E13B1"/>
    <w:rsid w:val="001E1428"/>
    <w:rsid w:val="001E1C1D"/>
    <w:rsid w:val="001E55B7"/>
    <w:rsid w:val="001E69DB"/>
    <w:rsid w:val="001F0250"/>
    <w:rsid w:val="001F3A19"/>
    <w:rsid w:val="001F4DD8"/>
    <w:rsid w:val="002002E4"/>
    <w:rsid w:val="00202A8B"/>
    <w:rsid w:val="0021038F"/>
    <w:rsid w:val="002135CA"/>
    <w:rsid w:val="002143CD"/>
    <w:rsid w:val="0022046A"/>
    <w:rsid w:val="00222881"/>
    <w:rsid w:val="002242CD"/>
    <w:rsid w:val="00225028"/>
    <w:rsid w:val="00231142"/>
    <w:rsid w:val="00231970"/>
    <w:rsid w:val="0023238A"/>
    <w:rsid w:val="00234467"/>
    <w:rsid w:val="00235D67"/>
    <w:rsid w:val="00237D8D"/>
    <w:rsid w:val="00240622"/>
    <w:rsid w:val="00240FE6"/>
    <w:rsid w:val="00241DA2"/>
    <w:rsid w:val="00245B88"/>
    <w:rsid w:val="00245B95"/>
    <w:rsid w:val="002471E0"/>
    <w:rsid w:val="00247FEE"/>
    <w:rsid w:val="00250E7D"/>
    <w:rsid w:val="002549B0"/>
    <w:rsid w:val="002565D5"/>
    <w:rsid w:val="00256A91"/>
    <w:rsid w:val="00257415"/>
    <w:rsid w:val="002578E6"/>
    <w:rsid w:val="00257C39"/>
    <w:rsid w:val="002622C0"/>
    <w:rsid w:val="0026242B"/>
    <w:rsid w:val="00262D2E"/>
    <w:rsid w:val="00264F9B"/>
    <w:rsid w:val="00265CA8"/>
    <w:rsid w:val="00271C4F"/>
    <w:rsid w:val="002733E4"/>
    <w:rsid w:val="0027407D"/>
    <w:rsid w:val="002759BB"/>
    <w:rsid w:val="00276B08"/>
    <w:rsid w:val="002778AE"/>
    <w:rsid w:val="0028022A"/>
    <w:rsid w:val="00281919"/>
    <w:rsid w:val="002824CB"/>
    <w:rsid w:val="0028269A"/>
    <w:rsid w:val="00283590"/>
    <w:rsid w:val="00284399"/>
    <w:rsid w:val="00286973"/>
    <w:rsid w:val="00286A95"/>
    <w:rsid w:val="002904AF"/>
    <w:rsid w:val="00292EDE"/>
    <w:rsid w:val="00293F24"/>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7A37"/>
    <w:rsid w:val="0032071A"/>
    <w:rsid w:val="00325224"/>
    <w:rsid w:val="00325926"/>
    <w:rsid w:val="00327A8A"/>
    <w:rsid w:val="003302AF"/>
    <w:rsid w:val="0033184C"/>
    <w:rsid w:val="00331D28"/>
    <w:rsid w:val="00331D36"/>
    <w:rsid w:val="00336610"/>
    <w:rsid w:val="00340165"/>
    <w:rsid w:val="00340296"/>
    <w:rsid w:val="00342A60"/>
    <w:rsid w:val="00343F73"/>
    <w:rsid w:val="00345060"/>
    <w:rsid w:val="00346E35"/>
    <w:rsid w:val="00350BC9"/>
    <w:rsid w:val="0035323B"/>
    <w:rsid w:val="00356876"/>
    <w:rsid w:val="003609D2"/>
    <w:rsid w:val="00362F58"/>
    <w:rsid w:val="00363F22"/>
    <w:rsid w:val="00364B85"/>
    <w:rsid w:val="003650D5"/>
    <w:rsid w:val="003656C2"/>
    <w:rsid w:val="003659A4"/>
    <w:rsid w:val="003676D0"/>
    <w:rsid w:val="003732A9"/>
    <w:rsid w:val="0037473D"/>
    <w:rsid w:val="00375564"/>
    <w:rsid w:val="0037662F"/>
    <w:rsid w:val="003768C0"/>
    <w:rsid w:val="00376C1C"/>
    <w:rsid w:val="00383191"/>
    <w:rsid w:val="003831D9"/>
    <w:rsid w:val="003839CA"/>
    <w:rsid w:val="003852DB"/>
    <w:rsid w:val="00386172"/>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1300"/>
    <w:rsid w:val="00402153"/>
    <w:rsid w:val="00402FC1"/>
    <w:rsid w:val="0040681A"/>
    <w:rsid w:val="004075C1"/>
    <w:rsid w:val="0041295C"/>
    <w:rsid w:val="00412E5D"/>
    <w:rsid w:val="004134DD"/>
    <w:rsid w:val="004145B9"/>
    <w:rsid w:val="00415258"/>
    <w:rsid w:val="004166CD"/>
    <w:rsid w:val="0041793A"/>
    <w:rsid w:val="00423779"/>
    <w:rsid w:val="00423DBC"/>
    <w:rsid w:val="00425082"/>
    <w:rsid w:val="0042620D"/>
    <w:rsid w:val="00426506"/>
    <w:rsid w:val="00431DEB"/>
    <w:rsid w:val="00433284"/>
    <w:rsid w:val="00435BF8"/>
    <w:rsid w:val="00437775"/>
    <w:rsid w:val="00437EFD"/>
    <w:rsid w:val="0044212A"/>
    <w:rsid w:val="0044270C"/>
    <w:rsid w:val="004430E6"/>
    <w:rsid w:val="0044463F"/>
    <w:rsid w:val="00444870"/>
    <w:rsid w:val="00446B29"/>
    <w:rsid w:val="004509E6"/>
    <w:rsid w:val="00453F9A"/>
    <w:rsid w:val="00454B9A"/>
    <w:rsid w:val="0045659F"/>
    <w:rsid w:val="004570B0"/>
    <w:rsid w:val="00460156"/>
    <w:rsid w:val="00461517"/>
    <w:rsid w:val="00465BEC"/>
    <w:rsid w:val="00466E28"/>
    <w:rsid w:val="00471E91"/>
    <w:rsid w:val="004729E5"/>
    <w:rsid w:val="00472AF6"/>
    <w:rsid w:val="00472BB7"/>
    <w:rsid w:val="00472C6E"/>
    <w:rsid w:val="00474675"/>
    <w:rsid w:val="0047470C"/>
    <w:rsid w:val="0047745F"/>
    <w:rsid w:val="00477F8C"/>
    <w:rsid w:val="00485828"/>
    <w:rsid w:val="00490762"/>
    <w:rsid w:val="00490E6B"/>
    <w:rsid w:val="00491B31"/>
    <w:rsid w:val="00494B16"/>
    <w:rsid w:val="004A029F"/>
    <w:rsid w:val="004A06F3"/>
    <w:rsid w:val="004A0900"/>
    <w:rsid w:val="004A2D80"/>
    <w:rsid w:val="004A2EB0"/>
    <w:rsid w:val="004A35F9"/>
    <w:rsid w:val="004A5681"/>
    <w:rsid w:val="004A6875"/>
    <w:rsid w:val="004B1107"/>
    <w:rsid w:val="004B1EA1"/>
    <w:rsid w:val="004B230F"/>
    <w:rsid w:val="004B24C1"/>
    <w:rsid w:val="004B3527"/>
    <w:rsid w:val="004B4141"/>
    <w:rsid w:val="004B41F4"/>
    <w:rsid w:val="004B4E5C"/>
    <w:rsid w:val="004B7A61"/>
    <w:rsid w:val="004C0DE4"/>
    <w:rsid w:val="004C15CE"/>
    <w:rsid w:val="004C292F"/>
    <w:rsid w:val="004C52B4"/>
    <w:rsid w:val="004C52BE"/>
    <w:rsid w:val="004C6D21"/>
    <w:rsid w:val="004D197C"/>
    <w:rsid w:val="004D1C75"/>
    <w:rsid w:val="004E4034"/>
    <w:rsid w:val="004E504F"/>
    <w:rsid w:val="004E7695"/>
    <w:rsid w:val="004F10FB"/>
    <w:rsid w:val="004F11CA"/>
    <w:rsid w:val="004F44E5"/>
    <w:rsid w:val="005008AD"/>
    <w:rsid w:val="00500A34"/>
    <w:rsid w:val="00510280"/>
    <w:rsid w:val="005107C9"/>
    <w:rsid w:val="005126D2"/>
    <w:rsid w:val="00513480"/>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264B"/>
    <w:rsid w:val="00542BF8"/>
    <w:rsid w:val="0054356E"/>
    <w:rsid w:val="00543786"/>
    <w:rsid w:val="0054458C"/>
    <w:rsid w:val="0054476F"/>
    <w:rsid w:val="00550AC2"/>
    <w:rsid w:val="005533D7"/>
    <w:rsid w:val="00555792"/>
    <w:rsid w:val="00560E0C"/>
    <w:rsid w:val="00567C1C"/>
    <w:rsid w:val="005703DE"/>
    <w:rsid w:val="00574234"/>
    <w:rsid w:val="00575169"/>
    <w:rsid w:val="00580B6B"/>
    <w:rsid w:val="005828EB"/>
    <w:rsid w:val="00582AD4"/>
    <w:rsid w:val="0058464E"/>
    <w:rsid w:val="00587FD0"/>
    <w:rsid w:val="00592C13"/>
    <w:rsid w:val="00592E69"/>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43A1"/>
    <w:rsid w:val="0062654B"/>
    <w:rsid w:val="006268F1"/>
    <w:rsid w:val="006274A6"/>
    <w:rsid w:val="00627580"/>
    <w:rsid w:val="0063111E"/>
    <w:rsid w:val="00631573"/>
    <w:rsid w:val="006319D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5890"/>
    <w:rsid w:val="00666B6C"/>
    <w:rsid w:val="00676D9C"/>
    <w:rsid w:val="00677A1E"/>
    <w:rsid w:val="00682682"/>
    <w:rsid w:val="00682702"/>
    <w:rsid w:val="006862EB"/>
    <w:rsid w:val="00687C7D"/>
    <w:rsid w:val="006915B7"/>
    <w:rsid w:val="006916B9"/>
    <w:rsid w:val="00691D2B"/>
    <w:rsid w:val="00692368"/>
    <w:rsid w:val="00692DB1"/>
    <w:rsid w:val="00692EAF"/>
    <w:rsid w:val="00693E8F"/>
    <w:rsid w:val="00695AE2"/>
    <w:rsid w:val="006A162E"/>
    <w:rsid w:val="006A2EBC"/>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3EC4"/>
    <w:rsid w:val="006C5EC8"/>
    <w:rsid w:val="006C67E0"/>
    <w:rsid w:val="006C7ABA"/>
    <w:rsid w:val="006D0D60"/>
    <w:rsid w:val="006D1122"/>
    <w:rsid w:val="006D3C00"/>
    <w:rsid w:val="006D481E"/>
    <w:rsid w:val="006D4E10"/>
    <w:rsid w:val="006D5D51"/>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145F"/>
    <w:rsid w:val="00711B5A"/>
    <w:rsid w:val="007132A3"/>
    <w:rsid w:val="00716421"/>
    <w:rsid w:val="00717651"/>
    <w:rsid w:val="00722D17"/>
    <w:rsid w:val="00724EFB"/>
    <w:rsid w:val="00732949"/>
    <w:rsid w:val="00733E7A"/>
    <w:rsid w:val="00734D03"/>
    <w:rsid w:val="00736ACA"/>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7D83"/>
    <w:rsid w:val="00770CC9"/>
    <w:rsid w:val="00771B48"/>
    <w:rsid w:val="00774E9B"/>
    <w:rsid w:val="007760D4"/>
    <w:rsid w:val="00782CE2"/>
    <w:rsid w:val="007838A4"/>
    <w:rsid w:val="007843AC"/>
    <w:rsid w:val="007848C5"/>
    <w:rsid w:val="00784DB9"/>
    <w:rsid w:val="00785C5D"/>
    <w:rsid w:val="0078602C"/>
    <w:rsid w:val="007913AB"/>
    <w:rsid w:val="007914F7"/>
    <w:rsid w:val="00797015"/>
    <w:rsid w:val="007A06BA"/>
    <w:rsid w:val="007A12B7"/>
    <w:rsid w:val="007A5345"/>
    <w:rsid w:val="007A701D"/>
    <w:rsid w:val="007B0C68"/>
    <w:rsid w:val="007B1096"/>
    <w:rsid w:val="007B1625"/>
    <w:rsid w:val="007B2AA6"/>
    <w:rsid w:val="007B45E4"/>
    <w:rsid w:val="007B706E"/>
    <w:rsid w:val="007B71EB"/>
    <w:rsid w:val="007B7F4D"/>
    <w:rsid w:val="007C0A15"/>
    <w:rsid w:val="007C135A"/>
    <w:rsid w:val="007C15A0"/>
    <w:rsid w:val="007C2D77"/>
    <w:rsid w:val="007C31CC"/>
    <w:rsid w:val="007C44C3"/>
    <w:rsid w:val="007C487E"/>
    <w:rsid w:val="007C6205"/>
    <w:rsid w:val="007C686A"/>
    <w:rsid w:val="007C6D00"/>
    <w:rsid w:val="007C728E"/>
    <w:rsid w:val="007D12D6"/>
    <w:rsid w:val="007D2C53"/>
    <w:rsid w:val="007D3D60"/>
    <w:rsid w:val="007D42DC"/>
    <w:rsid w:val="007D58A1"/>
    <w:rsid w:val="007E0B6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1768"/>
    <w:rsid w:val="00821C5F"/>
    <w:rsid w:val="00822F07"/>
    <w:rsid w:val="0083084A"/>
    <w:rsid w:val="00832776"/>
    <w:rsid w:val="00833336"/>
    <w:rsid w:val="00834B6C"/>
    <w:rsid w:val="00835DB3"/>
    <w:rsid w:val="0083617B"/>
    <w:rsid w:val="008371BD"/>
    <w:rsid w:val="00843D1B"/>
    <w:rsid w:val="00844FB8"/>
    <w:rsid w:val="008504A8"/>
    <w:rsid w:val="0085282E"/>
    <w:rsid w:val="008533B6"/>
    <w:rsid w:val="00857A3C"/>
    <w:rsid w:val="00862151"/>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A7083"/>
    <w:rsid w:val="008C0D91"/>
    <w:rsid w:val="008C1619"/>
    <w:rsid w:val="008C1B58"/>
    <w:rsid w:val="008C3551"/>
    <w:rsid w:val="008C38FE"/>
    <w:rsid w:val="008C39AE"/>
    <w:rsid w:val="008C3D20"/>
    <w:rsid w:val="008C4E7E"/>
    <w:rsid w:val="008C590D"/>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3CEF"/>
    <w:rsid w:val="009040DD"/>
    <w:rsid w:val="00905B47"/>
    <w:rsid w:val="00906F0A"/>
    <w:rsid w:val="0090711E"/>
    <w:rsid w:val="00912C7C"/>
    <w:rsid w:val="0091331C"/>
    <w:rsid w:val="0091457E"/>
    <w:rsid w:val="00914CB2"/>
    <w:rsid w:val="00916945"/>
    <w:rsid w:val="00917969"/>
    <w:rsid w:val="00920471"/>
    <w:rsid w:val="00921BF6"/>
    <w:rsid w:val="009236CF"/>
    <w:rsid w:val="009240E8"/>
    <w:rsid w:val="00924BA0"/>
    <w:rsid w:val="009279DE"/>
    <w:rsid w:val="00930116"/>
    <w:rsid w:val="009314AE"/>
    <w:rsid w:val="0093346D"/>
    <w:rsid w:val="00933DC7"/>
    <w:rsid w:val="00935676"/>
    <w:rsid w:val="009363F2"/>
    <w:rsid w:val="0093742D"/>
    <w:rsid w:val="009375C7"/>
    <w:rsid w:val="00937EAC"/>
    <w:rsid w:val="00940320"/>
    <w:rsid w:val="00940F16"/>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A01D6"/>
    <w:rsid w:val="009A3753"/>
    <w:rsid w:val="009A3A7C"/>
    <w:rsid w:val="009A467C"/>
    <w:rsid w:val="009B2ADB"/>
    <w:rsid w:val="009B603A"/>
    <w:rsid w:val="009B6E06"/>
    <w:rsid w:val="009C0AAF"/>
    <w:rsid w:val="009C0F68"/>
    <w:rsid w:val="009C1557"/>
    <w:rsid w:val="009C2D0E"/>
    <w:rsid w:val="009C3DAC"/>
    <w:rsid w:val="009C42E0"/>
    <w:rsid w:val="009C4EEC"/>
    <w:rsid w:val="009C53A2"/>
    <w:rsid w:val="009C5508"/>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65F9"/>
    <w:rsid w:val="00A07F34"/>
    <w:rsid w:val="00A10E72"/>
    <w:rsid w:val="00A12F4D"/>
    <w:rsid w:val="00A136AF"/>
    <w:rsid w:val="00A14400"/>
    <w:rsid w:val="00A15157"/>
    <w:rsid w:val="00A21DCA"/>
    <w:rsid w:val="00A22154"/>
    <w:rsid w:val="00A22281"/>
    <w:rsid w:val="00A24393"/>
    <w:rsid w:val="00A25C38"/>
    <w:rsid w:val="00A2609C"/>
    <w:rsid w:val="00A26308"/>
    <w:rsid w:val="00A26A96"/>
    <w:rsid w:val="00A27B20"/>
    <w:rsid w:val="00A30ED4"/>
    <w:rsid w:val="00A313B9"/>
    <w:rsid w:val="00A31EEC"/>
    <w:rsid w:val="00A32EB3"/>
    <w:rsid w:val="00A33B6F"/>
    <w:rsid w:val="00A34775"/>
    <w:rsid w:val="00A34D69"/>
    <w:rsid w:val="00A368A7"/>
    <w:rsid w:val="00A36BBE"/>
    <w:rsid w:val="00A41191"/>
    <w:rsid w:val="00A414DE"/>
    <w:rsid w:val="00A4307A"/>
    <w:rsid w:val="00A43097"/>
    <w:rsid w:val="00A43373"/>
    <w:rsid w:val="00A47EBB"/>
    <w:rsid w:val="00A50675"/>
    <w:rsid w:val="00A50874"/>
    <w:rsid w:val="00A50EEF"/>
    <w:rsid w:val="00A51CDD"/>
    <w:rsid w:val="00A55271"/>
    <w:rsid w:val="00A577E8"/>
    <w:rsid w:val="00A57CC7"/>
    <w:rsid w:val="00A60EEE"/>
    <w:rsid w:val="00A6107E"/>
    <w:rsid w:val="00A62EBA"/>
    <w:rsid w:val="00A63744"/>
    <w:rsid w:val="00A6394B"/>
    <w:rsid w:val="00A64C6A"/>
    <w:rsid w:val="00A64DAC"/>
    <w:rsid w:val="00A6730D"/>
    <w:rsid w:val="00A6746D"/>
    <w:rsid w:val="00A6793C"/>
    <w:rsid w:val="00A711A2"/>
    <w:rsid w:val="00A71625"/>
    <w:rsid w:val="00A71B9B"/>
    <w:rsid w:val="00A751C7"/>
    <w:rsid w:val="00A828DE"/>
    <w:rsid w:val="00A828EA"/>
    <w:rsid w:val="00A87844"/>
    <w:rsid w:val="00A92ADF"/>
    <w:rsid w:val="00A94C41"/>
    <w:rsid w:val="00A97D1F"/>
    <w:rsid w:val="00AA038C"/>
    <w:rsid w:val="00AA1737"/>
    <w:rsid w:val="00AA1741"/>
    <w:rsid w:val="00AA7A09"/>
    <w:rsid w:val="00AA7AD2"/>
    <w:rsid w:val="00AB2D90"/>
    <w:rsid w:val="00AB3B50"/>
    <w:rsid w:val="00AB3C6A"/>
    <w:rsid w:val="00AB5D07"/>
    <w:rsid w:val="00AB6B93"/>
    <w:rsid w:val="00AC05B1"/>
    <w:rsid w:val="00AC6F5A"/>
    <w:rsid w:val="00AD2DFC"/>
    <w:rsid w:val="00AD356C"/>
    <w:rsid w:val="00AD7A55"/>
    <w:rsid w:val="00AE06DC"/>
    <w:rsid w:val="00AE10EB"/>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61C"/>
    <w:rsid w:val="00B174A5"/>
    <w:rsid w:val="00B24141"/>
    <w:rsid w:val="00B25987"/>
    <w:rsid w:val="00B32182"/>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050C"/>
    <w:rsid w:val="00B74243"/>
    <w:rsid w:val="00B74AFC"/>
    <w:rsid w:val="00B74DBE"/>
    <w:rsid w:val="00B74EB5"/>
    <w:rsid w:val="00B76917"/>
    <w:rsid w:val="00B774E6"/>
    <w:rsid w:val="00B805AF"/>
    <w:rsid w:val="00B819C5"/>
    <w:rsid w:val="00B82520"/>
    <w:rsid w:val="00B8619C"/>
    <w:rsid w:val="00B869EC"/>
    <w:rsid w:val="00B86D7D"/>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1659"/>
    <w:rsid w:val="00BD3AA9"/>
    <w:rsid w:val="00BD4A18"/>
    <w:rsid w:val="00BD6DB2"/>
    <w:rsid w:val="00BD6F3F"/>
    <w:rsid w:val="00BE042B"/>
    <w:rsid w:val="00BE0C14"/>
    <w:rsid w:val="00BE11CF"/>
    <w:rsid w:val="00BE21AB"/>
    <w:rsid w:val="00BE2E40"/>
    <w:rsid w:val="00BE4E0E"/>
    <w:rsid w:val="00BE53C4"/>
    <w:rsid w:val="00BE55CB"/>
    <w:rsid w:val="00BF08AF"/>
    <w:rsid w:val="00BF1520"/>
    <w:rsid w:val="00BF356A"/>
    <w:rsid w:val="00BF617A"/>
    <w:rsid w:val="00BF6690"/>
    <w:rsid w:val="00BF70B2"/>
    <w:rsid w:val="00BF7734"/>
    <w:rsid w:val="00C00613"/>
    <w:rsid w:val="00C0216D"/>
    <w:rsid w:val="00C0379D"/>
    <w:rsid w:val="00C03931"/>
    <w:rsid w:val="00C04A28"/>
    <w:rsid w:val="00C05FE3"/>
    <w:rsid w:val="00C13D45"/>
    <w:rsid w:val="00C14A56"/>
    <w:rsid w:val="00C174F4"/>
    <w:rsid w:val="00C2136D"/>
    <w:rsid w:val="00C214EE"/>
    <w:rsid w:val="00C22A06"/>
    <w:rsid w:val="00C2314B"/>
    <w:rsid w:val="00C233BE"/>
    <w:rsid w:val="00C23EAB"/>
    <w:rsid w:val="00C24971"/>
    <w:rsid w:val="00C24EBE"/>
    <w:rsid w:val="00C26BE5"/>
    <w:rsid w:val="00C26E4D"/>
    <w:rsid w:val="00C27909"/>
    <w:rsid w:val="00C27B03"/>
    <w:rsid w:val="00C3025F"/>
    <w:rsid w:val="00C30879"/>
    <w:rsid w:val="00C314E1"/>
    <w:rsid w:val="00C31A79"/>
    <w:rsid w:val="00C32DD9"/>
    <w:rsid w:val="00C33EB7"/>
    <w:rsid w:val="00C34397"/>
    <w:rsid w:val="00C35DA4"/>
    <w:rsid w:val="00C4095D"/>
    <w:rsid w:val="00C42061"/>
    <w:rsid w:val="00C44046"/>
    <w:rsid w:val="00C458E9"/>
    <w:rsid w:val="00C4790E"/>
    <w:rsid w:val="00C501A8"/>
    <w:rsid w:val="00C50DE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78A9"/>
    <w:rsid w:val="00C77B57"/>
    <w:rsid w:val="00C83A2D"/>
    <w:rsid w:val="00C8585D"/>
    <w:rsid w:val="00C8691C"/>
    <w:rsid w:val="00C86A9E"/>
    <w:rsid w:val="00C8725D"/>
    <w:rsid w:val="00C87FF4"/>
    <w:rsid w:val="00C90606"/>
    <w:rsid w:val="00C95B40"/>
    <w:rsid w:val="00C966B8"/>
    <w:rsid w:val="00C971FC"/>
    <w:rsid w:val="00C9791B"/>
    <w:rsid w:val="00CA0E56"/>
    <w:rsid w:val="00CA168A"/>
    <w:rsid w:val="00CA3251"/>
    <w:rsid w:val="00CA357E"/>
    <w:rsid w:val="00CA42E7"/>
    <w:rsid w:val="00CA44F9"/>
    <w:rsid w:val="00CA49D1"/>
    <w:rsid w:val="00CA4A69"/>
    <w:rsid w:val="00CB07EF"/>
    <w:rsid w:val="00CB2D67"/>
    <w:rsid w:val="00CB40FD"/>
    <w:rsid w:val="00CC37AB"/>
    <w:rsid w:val="00CC3E0C"/>
    <w:rsid w:val="00CC58D3"/>
    <w:rsid w:val="00CC71A6"/>
    <w:rsid w:val="00CC7250"/>
    <w:rsid w:val="00CC784D"/>
    <w:rsid w:val="00CD2F47"/>
    <w:rsid w:val="00CD3B5B"/>
    <w:rsid w:val="00CE2006"/>
    <w:rsid w:val="00CE51F7"/>
    <w:rsid w:val="00CF15CF"/>
    <w:rsid w:val="00CF2AE4"/>
    <w:rsid w:val="00CF4A85"/>
    <w:rsid w:val="00D012D4"/>
    <w:rsid w:val="00D0337B"/>
    <w:rsid w:val="00D04F64"/>
    <w:rsid w:val="00D05B87"/>
    <w:rsid w:val="00D0616D"/>
    <w:rsid w:val="00D079B2"/>
    <w:rsid w:val="00D101D2"/>
    <w:rsid w:val="00D114E9"/>
    <w:rsid w:val="00D11A67"/>
    <w:rsid w:val="00D11FDA"/>
    <w:rsid w:val="00D12894"/>
    <w:rsid w:val="00D13675"/>
    <w:rsid w:val="00D221F1"/>
    <w:rsid w:val="00D22635"/>
    <w:rsid w:val="00D2393C"/>
    <w:rsid w:val="00D242F8"/>
    <w:rsid w:val="00D243F9"/>
    <w:rsid w:val="00D27200"/>
    <w:rsid w:val="00D34E6B"/>
    <w:rsid w:val="00D3578E"/>
    <w:rsid w:val="00D37A4C"/>
    <w:rsid w:val="00D414A3"/>
    <w:rsid w:val="00D41BB5"/>
    <w:rsid w:val="00D429C6"/>
    <w:rsid w:val="00D4349E"/>
    <w:rsid w:val="00D47748"/>
    <w:rsid w:val="00D52361"/>
    <w:rsid w:val="00D54CC3"/>
    <w:rsid w:val="00D567B0"/>
    <w:rsid w:val="00D6041A"/>
    <w:rsid w:val="00D633EB"/>
    <w:rsid w:val="00D71C2B"/>
    <w:rsid w:val="00D72991"/>
    <w:rsid w:val="00D72B18"/>
    <w:rsid w:val="00D72FF1"/>
    <w:rsid w:val="00D76DDA"/>
    <w:rsid w:val="00D77237"/>
    <w:rsid w:val="00D7760C"/>
    <w:rsid w:val="00D80F86"/>
    <w:rsid w:val="00D82AF7"/>
    <w:rsid w:val="00D82FF7"/>
    <w:rsid w:val="00D831F4"/>
    <w:rsid w:val="00D83842"/>
    <w:rsid w:val="00D842DC"/>
    <w:rsid w:val="00D847FE"/>
    <w:rsid w:val="00D85F8E"/>
    <w:rsid w:val="00D86356"/>
    <w:rsid w:val="00D86EC2"/>
    <w:rsid w:val="00D9561C"/>
    <w:rsid w:val="00D964EA"/>
    <w:rsid w:val="00D966D0"/>
    <w:rsid w:val="00D97DB6"/>
    <w:rsid w:val="00DA09D4"/>
    <w:rsid w:val="00DA0C59"/>
    <w:rsid w:val="00DA1CE4"/>
    <w:rsid w:val="00DA24CB"/>
    <w:rsid w:val="00DA3991"/>
    <w:rsid w:val="00DA43C3"/>
    <w:rsid w:val="00DA7593"/>
    <w:rsid w:val="00DB12DE"/>
    <w:rsid w:val="00DB5F1D"/>
    <w:rsid w:val="00DB6B4E"/>
    <w:rsid w:val="00DB7566"/>
    <w:rsid w:val="00DB7E6C"/>
    <w:rsid w:val="00DC1267"/>
    <w:rsid w:val="00DC3B61"/>
    <w:rsid w:val="00DC462C"/>
    <w:rsid w:val="00DC4D3F"/>
    <w:rsid w:val="00DC6D7E"/>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147F3"/>
    <w:rsid w:val="00E17F07"/>
    <w:rsid w:val="00E23F63"/>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101A"/>
    <w:rsid w:val="00E72A9E"/>
    <w:rsid w:val="00E74BE1"/>
    <w:rsid w:val="00E76C52"/>
    <w:rsid w:val="00E76C69"/>
    <w:rsid w:val="00E82344"/>
    <w:rsid w:val="00E832D8"/>
    <w:rsid w:val="00E84C82"/>
    <w:rsid w:val="00E84D64"/>
    <w:rsid w:val="00E86AF7"/>
    <w:rsid w:val="00E87408"/>
    <w:rsid w:val="00E914C4"/>
    <w:rsid w:val="00E917C2"/>
    <w:rsid w:val="00E9180F"/>
    <w:rsid w:val="00E92280"/>
    <w:rsid w:val="00E934F5"/>
    <w:rsid w:val="00E93C3E"/>
    <w:rsid w:val="00E96961"/>
    <w:rsid w:val="00EA05F9"/>
    <w:rsid w:val="00EA332A"/>
    <w:rsid w:val="00EA373E"/>
    <w:rsid w:val="00EA72EC"/>
    <w:rsid w:val="00EA7347"/>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37EE7"/>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5E6"/>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A7629"/>
    <w:rsid w:val="00FB0B66"/>
    <w:rsid w:val="00FB1366"/>
    <w:rsid w:val="00FB2B38"/>
    <w:rsid w:val="00FB3791"/>
    <w:rsid w:val="00FB653E"/>
    <w:rsid w:val="00FC6358"/>
    <w:rsid w:val="00FC6C90"/>
    <w:rsid w:val="00FD04BB"/>
    <w:rsid w:val="00FD066A"/>
    <w:rsid w:val="00FD320D"/>
    <w:rsid w:val="00FD45CD"/>
    <w:rsid w:val="00FD570D"/>
    <w:rsid w:val="00FD76B5"/>
    <w:rsid w:val="00FE05C6"/>
    <w:rsid w:val="00FE1498"/>
    <w:rsid w:val="00FE1842"/>
    <w:rsid w:val="00FE188F"/>
    <w:rsid w:val="00FE23DE"/>
    <w:rsid w:val="00FE3369"/>
    <w:rsid w:val="00FE35E0"/>
    <w:rsid w:val="00FF54BA"/>
    <w:rsid w:val="022A02F4"/>
    <w:rsid w:val="0A842761"/>
    <w:rsid w:val="0C68411F"/>
    <w:rsid w:val="0DD7773F"/>
    <w:rsid w:val="0E8D76BF"/>
    <w:rsid w:val="128A1009"/>
    <w:rsid w:val="1F3E57F5"/>
    <w:rsid w:val="215C14F1"/>
    <w:rsid w:val="24642242"/>
    <w:rsid w:val="2E1C1A4E"/>
    <w:rsid w:val="3A986AF7"/>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tabs>
        <w:tab w:val="left" w:pos="72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99"/>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99"/>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C1B1F-01ED-46F8-B642-773275C6FA8E}">
  <ds:schemaRefs/>
</ds:datastoreItem>
</file>

<file path=docProps/app.xml><?xml version="1.0" encoding="utf-8"?>
<Properties xmlns="http://schemas.openxmlformats.org/officeDocument/2006/extended-properties" xmlns:vt="http://schemas.openxmlformats.org/officeDocument/2006/docPropsVTypes">
  <Template>Normal</Template>
  <Pages>13</Pages>
  <Words>730</Words>
  <Characters>4166</Characters>
  <Lines>34</Lines>
  <Paragraphs>9</Paragraphs>
  <TotalTime>0</TotalTime>
  <ScaleCrop>false</ScaleCrop>
  <LinksUpToDate>false</LinksUpToDate>
  <CharactersWithSpaces>4887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2023-01-09T05:24:00Z</dcterms:created>
  <dcterms:modified xsi:type="dcterms:W3CDTF">2023-08-24T07:14:33Z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BFC548D2051145C6AF8D20CE15CDE792_12</vt:lpwstr>
  </property>
</Properties>
</file>