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bookmarkStart w:id="0" w:name="FM"/>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ascii="Times New Roman"/>
        </w:rPr>
      </w:pPr>
      <w:r>
        <w:rPr>
          <w:rFonts w:ascii="Times New Roman"/>
          <w:lang w:bidi="zh-CN"/>
        </w:rPr>
        <w:t xml:space="preserve">中国钢铁产品放心品牌评价规范  </w:t>
      </w:r>
      <w:bookmarkStart w:id="1" w:name="_Hlk114734964"/>
      <w:r>
        <w:rPr>
          <w:rFonts w:ascii="Times New Roman"/>
          <w:lang w:bidi="zh-CN"/>
        </w:rPr>
        <w:t>建筑用冷轧钢板及钢带</w:t>
      </w:r>
      <w:bookmarkEnd w:id="1"/>
    </w:p>
    <w:p>
      <w:pPr>
        <w:pStyle w:val="66"/>
        <w:framePr w:wrap="around"/>
        <w:spacing w:before="156" w:after="156"/>
        <w:rPr>
          <w:rFonts w:ascii="Times New Roman"/>
        </w:rPr>
      </w:pPr>
      <w:r>
        <w:rPr>
          <w:rFonts w:ascii="Times New Roman"/>
        </w:rPr>
        <w:t>Specification for evaluation of China steel products assured/relieved brand—cold rolled and coated steel sheet and strip for building</w:t>
      </w:r>
    </w:p>
    <w:p>
      <w:pPr>
        <w:pStyle w:val="109"/>
        <w:framePr w:wrap="around" w:hAnchor="page" w:x="1175" w:y="14086"/>
        <w:rPr>
          <w:rFonts w:eastAsia="宋体"/>
        </w:rPr>
      </w:pPr>
      <w:r>
        <mc:AlternateContent>
          <mc:Choice Requires="wps">
            <w:drawing>
              <wp:anchor distT="0" distB="0" distL="114300" distR="114300" simplePos="0" relativeHeight="251660288" behindDoc="1" locked="0" layoutInCell="1" allowOverlap="1">
                <wp:simplePos x="0" y="0"/>
                <wp:positionH relativeFrom="column">
                  <wp:posOffset>12700</wp:posOffset>
                </wp:positionH>
                <wp:positionV relativeFrom="paragraph">
                  <wp:posOffset>325755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5.6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XZzCT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XX-XX发布</w:t>
      </w:r>
    </w:p>
    <w:p>
      <w:pPr>
        <w:pStyle w:val="140"/>
        <w:framePr w:wrap="around" w:hAnchor="page" w:x="6661" w:y="14041"/>
        <w:rPr>
          <w:rFonts w:eastAsia="宋体"/>
        </w:rPr>
      </w:pPr>
      <w:r>
        <w:rPr>
          <w:rFonts w:eastAsia="宋体"/>
        </w:rPr>
        <w:t>XXXX-XX-XX实施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footerReference r:id="rId5" w:type="default"/>
          <w:headerReference r:id="rId4" w:type="even"/>
          <w:footerReference r:id="rId6" w:type="even"/>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kern w:val="0"/>
          <w:sz w:val="32"/>
          <w:szCs w:val="20"/>
        </w:rPr>
      </w:pPr>
      <w:bookmarkStart w:id="2"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7" w:type="default"/>
          <w:footerReference r:id="rId8"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keepNext/>
        <w:pageBreakBefore/>
        <w:widowControl/>
        <w:shd w:val="clear" w:color="FFFFFF" w:fill="FFFFFF"/>
        <w:spacing w:before="640" w:after="560"/>
        <w:jc w:val="center"/>
        <w:outlineLvl w:val="0"/>
        <w:rPr>
          <w:kern w:val="0"/>
          <w:sz w:val="32"/>
          <w:szCs w:val="32"/>
        </w:rPr>
      </w:pPr>
      <w:bookmarkStart w:id="3" w:name="_Toc512093858"/>
      <w:bookmarkStart w:id="4" w:name="_Toc101445082"/>
      <w:r>
        <w:rPr>
          <w:kern w:val="0"/>
          <w:sz w:val="32"/>
          <w:szCs w:val="32"/>
        </w:rPr>
        <w:t>前</w:t>
      </w:r>
      <w:bookmarkStart w:id="5" w:name="BKQY"/>
      <w:r>
        <w:rPr>
          <w:kern w:val="0"/>
          <w:sz w:val="32"/>
          <w:szCs w:val="32"/>
        </w:rPr>
        <w:t>  言</w:t>
      </w:r>
      <w:bookmarkEnd w:id="3"/>
      <w:bookmarkEnd w:id="4"/>
      <w:bookmarkEnd w:id="5"/>
    </w:p>
    <w:p>
      <w:pPr>
        <w:ind w:firstLine="420" w:firstLineChars="200"/>
        <w:rPr>
          <w:szCs w:val="21"/>
        </w:rPr>
      </w:pPr>
      <w:r>
        <w:rPr>
          <w:szCs w:val="21"/>
        </w:rPr>
        <w:t>本团体标准按照GB/T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11" w:type="first"/>
          <w:footerReference r:id="rId14" w:type="first"/>
          <w:headerReference r:id="rId9" w:type="default"/>
          <w:footerReference r:id="rId12" w:type="default"/>
          <w:headerReference r:id="rId10" w:type="even"/>
          <w:footerReference r:id="rId13"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6" w:name="_Toc520380391"/>
      <w:bookmarkStart w:id="7" w:name="_Toc101445084"/>
      <w:r>
        <w:rPr>
          <w:rFonts w:ascii="Times New Roman"/>
        </w:rPr>
        <w:t>中国钢铁产品放心品牌评价规范  建筑用冷轧钢板及钢带</w:t>
      </w:r>
    </w:p>
    <w:p>
      <w:pPr>
        <w:pStyle w:val="45"/>
        <w:numPr>
          <w:ilvl w:val="0"/>
          <w:numId w:val="2"/>
        </w:numPr>
        <w:spacing w:before="312" w:after="312"/>
        <w:rPr>
          <w:rFonts w:ascii="Times New Roman"/>
        </w:rPr>
      </w:pPr>
      <w:r>
        <w:rPr>
          <w:rFonts w:ascii="Times New Roman"/>
        </w:rPr>
        <w:t>范围</w:t>
      </w:r>
      <w:bookmarkEnd w:id="6"/>
      <w:bookmarkEnd w:id="7"/>
    </w:p>
    <w:p>
      <w:pPr>
        <w:pStyle w:val="22"/>
        <w:rPr>
          <w:rFonts w:ascii="Times New Roman"/>
        </w:rPr>
      </w:pPr>
      <w:bookmarkStart w:id="8" w:name="_Toc520380392"/>
      <w:r>
        <w:rPr>
          <w:rFonts w:ascii="Times New Roman"/>
        </w:rPr>
        <w:t>本文件规定了建筑用冷轧钢板及钢带产品的中国钢铁产品放心品牌的评价原则、评价内容、评价机构、评价程序和评价信息管理。</w:t>
      </w:r>
    </w:p>
    <w:p>
      <w:pPr>
        <w:pStyle w:val="22"/>
        <w:rPr>
          <w:rFonts w:ascii="Times New Roman"/>
        </w:rPr>
      </w:pPr>
      <w:r>
        <w:rPr>
          <w:rFonts w:ascii="Times New Roman"/>
        </w:rPr>
        <w:t>本文件适用于认证机构对建筑用冷轧钢板及钢带的放心品牌进行评价和认证，也适用于组织内部进行自我评价。</w:t>
      </w:r>
      <w:bookmarkEnd w:id="8"/>
    </w:p>
    <w:p>
      <w:pPr>
        <w:pStyle w:val="45"/>
        <w:numPr>
          <w:ilvl w:val="0"/>
          <w:numId w:val="2"/>
        </w:numPr>
        <w:spacing w:before="312" w:after="312"/>
        <w:rPr>
          <w:rFonts w:ascii="Times New Roman"/>
        </w:rPr>
      </w:pPr>
      <w:bookmarkStart w:id="9" w:name="_Toc101445085"/>
      <w:bookmarkStart w:id="10" w:name="_Toc520380393"/>
      <w:r>
        <w:rPr>
          <w:rFonts w:ascii="Times New Roman"/>
        </w:rPr>
        <w:t>规范性引用文件</w:t>
      </w:r>
      <w:bookmarkEnd w:id="9"/>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0"/>
    <w:p>
      <w:pPr>
        <w:ind w:firstLine="420" w:firstLineChars="200"/>
      </w:pPr>
      <w:bookmarkStart w:id="11" w:name="_Toc520380394"/>
      <w:r>
        <w:t>GB/T 19001  质量管理体系要求</w:t>
      </w:r>
    </w:p>
    <w:p>
      <w:pPr>
        <w:pStyle w:val="45"/>
        <w:numPr>
          <w:ilvl w:val="0"/>
          <w:numId w:val="2"/>
        </w:numPr>
        <w:spacing w:before="312" w:after="312"/>
        <w:rPr>
          <w:rFonts w:ascii="Times New Roman"/>
        </w:rPr>
      </w:pPr>
      <w:bookmarkStart w:id="12" w:name="_Toc101445086"/>
      <w:r>
        <w:rPr>
          <w:rFonts w:ascii="Times New Roman"/>
        </w:rPr>
        <w:t>术语和定义</w:t>
      </w:r>
      <w:bookmarkEnd w:id="12"/>
    </w:p>
    <w:p>
      <w:pPr>
        <w:ind w:firstLine="420" w:firstLineChars="200"/>
      </w:pPr>
      <w:r>
        <w:t>本文件没有需要界定的术语和定义。</w:t>
      </w:r>
    </w:p>
    <w:p>
      <w:pPr>
        <w:pStyle w:val="45"/>
        <w:numPr>
          <w:ilvl w:val="0"/>
          <w:numId w:val="2"/>
        </w:numPr>
        <w:spacing w:before="312" w:after="312"/>
        <w:rPr>
          <w:rFonts w:ascii="Times New Roman"/>
        </w:rPr>
      </w:pPr>
      <w:bookmarkStart w:id="13" w:name="_Toc101445087"/>
      <w:r>
        <w:rPr>
          <w:rFonts w:ascii="Times New Roman"/>
        </w:rPr>
        <w:t>评价</w:t>
      </w:r>
      <w:bookmarkEnd w:id="13"/>
      <w:r>
        <w:rPr>
          <w:rFonts w:ascii="Times New Roman"/>
        </w:rPr>
        <w:t>原则</w:t>
      </w:r>
    </w:p>
    <w:bookmarkEnd w:id="11"/>
    <w:p>
      <w:pPr>
        <w:pStyle w:val="47"/>
        <w:spacing w:before="156" w:after="156"/>
        <w:ind w:left="0"/>
        <w:rPr>
          <w:rFonts w:ascii="Times New Roman"/>
        </w:rPr>
      </w:pPr>
      <w:r>
        <w:rPr>
          <w:rFonts w:ascii="Times New Roman"/>
        </w:rPr>
        <w:t>公平性</w:t>
      </w:r>
    </w:p>
    <w:p>
      <w:pPr>
        <w:ind w:firstLine="420" w:firstLineChars="200"/>
      </w:pPr>
      <w:r>
        <w:t>评价和认证应公平、公正，应按照工作程序和有关要求执行，认证机构应独立作出评价。</w:t>
      </w:r>
    </w:p>
    <w:p>
      <w:pPr>
        <w:pStyle w:val="47"/>
        <w:spacing w:before="156" w:after="156"/>
        <w:ind w:left="0"/>
        <w:rPr>
          <w:rFonts w:ascii="Times New Roman"/>
        </w:rPr>
      </w:pPr>
      <w:r>
        <w:rPr>
          <w:rFonts w:ascii="Times New Roman"/>
        </w:rPr>
        <w:t>全面性</w:t>
      </w:r>
    </w:p>
    <w:p>
      <w:pPr>
        <w:ind w:firstLine="420" w:firstLineChars="200"/>
      </w:pPr>
      <w:r>
        <w:t>评价和认证实施过程应选取本文件的全部内容。</w:t>
      </w:r>
    </w:p>
    <w:p>
      <w:pPr>
        <w:pStyle w:val="47"/>
        <w:spacing w:before="156" w:after="156"/>
        <w:ind w:left="0"/>
        <w:rPr>
          <w:rFonts w:ascii="Times New Roman"/>
        </w:rPr>
      </w:pPr>
      <w:r>
        <w:rPr>
          <w:rFonts w:ascii="Times New Roman"/>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rPr>
      </w:pPr>
      <w:r>
        <w:rPr>
          <w:rFonts w:ascii="Times New Roman"/>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rPr>
      </w:pPr>
      <w:r>
        <w:rPr>
          <w:rFonts w:ascii="Times New Roman"/>
        </w:rPr>
        <w:t>评价内容</w:t>
      </w:r>
    </w:p>
    <w:p>
      <w:pPr>
        <w:pStyle w:val="47"/>
        <w:spacing w:before="156" w:after="156"/>
        <w:ind w:left="0"/>
        <w:rPr>
          <w:rFonts w:ascii="Times New Roman"/>
        </w:rPr>
      </w:pPr>
      <w:r>
        <w:rPr>
          <w:rFonts w:ascii="Times New Roman"/>
        </w:rPr>
        <w:t>基本要求</w:t>
      </w:r>
    </w:p>
    <w:p>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ascii="Times New Roman" w:eastAsia="宋体"/>
        </w:rPr>
      </w:pPr>
      <w:r>
        <w:rPr>
          <w:rFonts w:ascii="Times New Roman" w:eastAsia="宋体"/>
        </w:rPr>
        <w:t>钢铁产品符合相关标准要求，包括但不限于企业标准、地方标准、团体标准、行业标准、国家标准和国际标准。</w:t>
      </w:r>
    </w:p>
    <w:p>
      <w:pPr>
        <w:pStyle w:val="50"/>
        <w:spacing w:before="156" w:after="156"/>
        <w:jc w:val="both"/>
        <w:rPr>
          <w:rFonts w:ascii="Times New Roman" w:eastAsia="宋体"/>
        </w:rPr>
      </w:pPr>
      <w:r>
        <w:rPr>
          <w:rFonts w:ascii="Times New Roman" w:eastAsia="宋体"/>
        </w:rPr>
        <w:t>企业应按照 GB/T 19001、GB/T 23331、GB/T 24001、GB/T 45001 建立并运行相应质量、能源、环境、职业健康安全体系。</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eastAsia="宋体"/>
        </w:rPr>
      </w:pPr>
      <w:r>
        <w:rPr>
          <w:rFonts w:ascii="Times New Roman" w:eastAsia="宋体"/>
        </w:rPr>
        <w:t>企业应未列入国家信用信息严重失信主体相关名录</w:t>
      </w:r>
    </w:p>
    <w:p>
      <w:pPr>
        <w:pStyle w:val="47"/>
        <w:spacing w:before="156" w:after="156"/>
        <w:ind w:left="0"/>
        <w:rPr>
          <w:rFonts w:ascii="Times New Roman"/>
        </w:rPr>
      </w:pPr>
      <w:r>
        <w:rPr>
          <w:rFonts w:ascii="Times New Roman"/>
        </w:rPr>
        <w:t>评价指标</w:t>
      </w:r>
    </w:p>
    <w:p>
      <w:pPr>
        <w:ind w:firstLine="420" w:firstLineChars="200"/>
      </w:pPr>
      <w:r>
        <w:t>评价指标见附录A。</w:t>
      </w:r>
    </w:p>
    <w:p>
      <w:pPr>
        <w:pStyle w:val="45"/>
        <w:numPr>
          <w:ilvl w:val="0"/>
          <w:numId w:val="2"/>
        </w:numPr>
        <w:spacing w:before="312" w:after="312"/>
        <w:rPr>
          <w:rFonts w:ascii="Times New Roman"/>
        </w:rPr>
      </w:pPr>
      <w:r>
        <w:rPr>
          <w:rFonts w:ascii="Times New Roman"/>
        </w:rPr>
        <w:t>评价方法</w:t>
      </w:r>
    </w:p>
    <w:p>
      <w:pPr>
        <w:ind w:firstLine="420" w:firstLineChars="200"/>
      </w:pPr>
      <w:r>
        <w:t>在满足5.1基本要求的前提下，根据5.2评价指标对企业的各项评价要素进行打分评价。评价结果分为5星、4星、3星，各等级对应的划分依据见表1。</w:t>
      </w:r>
    </w:p>
    <w:p>
      <w:pPr>
        <w:pStyle w:val="77"/>
        <w:spacing w:before="156" w:after="156"/>
        <w:ind w:left="0"/>
        <w:rPr>
          <w:rFonts w:ascii="Times New Roman" w:eastAsia="宋体"/>
        </w:rPr>
      </w:pPr>
      <w:r>
        <w:rPr>
          <w:rFonts w:ascii="Times New Roman" w:eastAsia="宋体"/>
        </w:rPr>
        <w:t>评价等级和评分对应关系</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3469"/>
        <w:gridCol w:w="3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评价等级</w:t>
            </w:r>
          </w:p>
        </w:tc>
        <w:tc>
          <w:tcPr>
            <w:tcW w:w="6939" w:type="dxa"/>
            <w:gridSpan w:val="2"/>
          </w:tcPr>
          <w:p>
            <w:pPr>
              <w:pStyle w:val="22"/>
              <w:numPr>
                <w:ilvl w:val="0"/>
                <w:numId w:val="0"/>
              </w:numPr>
              <w:tabs>
                <w:tab w:val="left" w:pos="720"/>
              </w:tabs>
              <w:ind w:left="544"/>
              <w:jc w:val="center"/>
              <w:rPr>
                <w:rFonts w:ascii="Times New Roman"/>
                <w:szCs w:val="18"/>
              </w:rPr>
            </w:pPr>
            <w:r>
              <w:rPr>
                <w:rFonts w:ascii="Times New Roman"/>
                <w:szCs w:val="18"/>
              </w:rPr>
              <w:t>应同时满足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pPr>
              <w:pStyle w:val="22"/>
              <w:numPr>
                <w:ilvl w:val="0"/>
                <w:numId w:val="0"/>
              </w:numPr>
              <w:tabs>
                <w:tab w:val="left" w:pos="720"/>
              </w:tabs>
              <w:ind w:left="544"/>
              <w:jc w:val="center"/>
              <w:rPr>
                <w:rFonts w:ascii="Times New Roman"/>
                <w:szCs w:val="18"/>
              </w:rPr>
            </w:pPr>
            <w:r>
              <w:rPr>
                <w:rFonts w:ascii="Times New Roman"/>
                <w:szCs w:val="18"/>
              </w:rPr>
              <w:t>5.1基本要求</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5.2评价指标得分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5星级</w:t>
            </w:r>
          </w:p>
        </w:tc>
        <w:tc>
          <w:tcPr>
            <w:tcW w:w="3469" w:type="dxa"/>
            <w:vMerge w:val="restart"/>
            <w:tcBorders>
              <w:bottom w:val="single" w:color="auto" w:sz="4" w:space="0"/>
            </w:tcBorders>
            <w:vAlign w:val="center"/>
          </w:tcPr>
          <w:p>
            <w:pPr>
              <w:pStyle w:val="22"/>
              <w:numPr>
                <w:ilvl w:val="0"/>
                <w:numId w:val="0"/>
              </w:numPr>
              <w:tabs>
                <w:tab w:val="left" w:pos="720"/>
              </w:tabs>
              <w:ind w:left="544"/>
              <w:jc w:val="center"/>
              <w:rPr>
                <w:rFonts w:ascii="Times New Roman"/>
                <w:szCs w:val="18"/>
              </w:rPr>
            </w:pPr>
            <w:r>
              <w:rPr>
                <w:rFonts w:ascii="Times New Roman"/>
                <w:szCs w:val="18"/>
              </w:rPr>
              <w:t>全部满足</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4星级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3星级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≥60~＜75</w:t>
            </w:r>
          </w:p>
        </w:tc>
      </w:tr>
    </w:tbl>
    <w:p>
      <w:pPr>
        <w:pStyle w:val="22"/>
        <w:ind w:firstLine="0" w:firstLineChars="0"/>
        <w:rPr>
          <w:rFonts w:ascii="Times New Roman"/>
        </w:rPr>
      </w:pPr>
    </w:p>
    <w:p>
      <w:pPr>
        <w:pStyle w:val="22"/>
        <w:ind w:firstLine="0" w:firstLineChars="0"/>
        <w:rPr>
          <w:rFonts w:ascii="Times New Roman"/>
        </w:rPr>
      </w:pPr>
    </w:p>
    <w:p>
      <w:pPr>
        <w:pStyle w:val="22"/>
        <w:rPr>
          <w:rFonts w:ascii="Times New Roman"/>
        </w:rPr>
      </w:pPr>
    </w:p>
    <w:p>
      <w:pPr>
        <w:pStyle w:val="22"/>
        <w:rPr>
          <w:rFonts w:ascii="Times New Roman"/>
        </w:rPr>
        <w:sectPr>
          <w:headerReference r:id="rId15" w:type="default"/>
          <w:footerReference r:id="rId16"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14" w:name="_Toc123746868"/>
      <w:r>
        <w:rPr>
          <w:rFonts w:eastAsia="黑体"/>
          <w:kern w:val="0"/>
          <w:szCs w:val="21"/>
        </w:rPr>
        <w:t>附　录　A</w:t>
      </w:r>
      <w:r>
        <w:rPr>
          <w:rFonts w:eastAsia="黑体"/>
          <w:kern w:val="0"/>
          <w:szCs w:val="21"/>
        </w:rPr>
        <w:br w:type="textWrapping"/>
      </w:r>
      <w:bookmarkEnd w:id="14"/>
    </w:p>
    <w:p>
      <w:pPr>
        <w:pStyle w:val="77"/>
        <w:numPr>
          <w:ilvl w:val="0"/>
          <w:numId w:val="0"/>
        </w:numPr>
        <w:spacing w:before="156" w:after="156"/>
        <w:rPr>
          <w:rFonts w:asciiTheme="minorEastAsia" w:hAnsiTheme="minorEastAsia" w:eastAsiaTheme="minorEastAsia"/>
        </w:rPr>
      </w:pPr>
      <w:r>
        <w:rPr>
          <w:rFonts w:asciiTheme="minorEastAsia" w:hAnsiTheme="minorEastAsia" w:eastAsiaTheme="minorEastAsia"/>
        </w:rPr>
        <w:t>表A.1 企业层面评价指标</w:t>
      </w:r>
    </w:p>
    <w:tbl>
      <w:tblPr>
        <w:tblStyle w:val="31"/>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709"/>
        <w:gridCol w:w="722"/>
        <w:gridCol w:w="2447"/>
        <w:gridCol w:w="5469"/>
        <w:gridCol w:w="2595"/>
        <w:gridCol w:w="1440"/>
        <w:gridCol w:w="1971"/>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评价要素</w:t>
            </w:r>
          </w:p>
        </w:tc>
        <w:tc>
          <w:tcPr>
            <w:tcW w:w="2626"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评价内容</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分值权重</w:t>
            </w:r>
            <w:r>
              <w:rPr>
                <w:rFonts w:asciiTheme="minorEastAsia" w:hAnsiTheme="minorEastAsia" w:eastAsiaTheme="minorEastAsia"/>
                <w:b/>
                <w:bCs/>
                <w:color w:val="000000"/>
                <w:kern w:val="0"/>
                <w:szCs w:val="21"/>
              </w:rPr>
              <w:br w:type="textWrapping"/>
            </w:r>
            <w:r>
              <w:rPr>
                <w:rFonts w:asciiTheme="minorEastAsia" w:hAnsiTheme="minorEastAsia" w:eastAsiaTheme="minorEastAsia"/>
                <w:b/>
                <w:bCs/>
                <w:color w:val="000000"/>
                <w:kern w:val="0"/>
                <w:szCs w:val="21"/>
              </w:rPr>
              <w:t>（满分100）</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一级指标</w:t>
            </w:r>
          </w:p>
        </w:tc>
        <w:tc>
          <w:tcPr>
            <w:tcW w:w="235" w:type="pct"/>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二级指标</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三级指标</w:t>
            </w:r>
          </w:p>
        </w:tc>
        <w:tc>
          <w:tcPr>
            <w:tcW w:w="1781"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评分标准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b/>
                <w:bCs/>
                <w:color w:val="000000"/>
                <w:kern w:val="0"/>
                <w:szCs w:val="21"/>
              </w:rPr>
            </w:pPr>
            <w:r>
              <w:rPr>
                <w:rFonts w:asciiTheme="minorEastAsia" w:hAnsiTheme="minorEastAsia" w:eastAsiaTheme="minorEastAsia"/>
                <w:b/>
                <w:bCs/>
                <w:color w:val="000000"/>
                <w:kern w:val="0"/>
                <w:szCs w:val="21"/>
              </w:rPr>
              <w:t>评分</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b/>
                <w:bCs/>
                <w:color w:val="000000"/>
                <w:kern w:val="0"/>
                <w:szCs w:val="21"/>
              </w:rPr>
            </w:pPr>
          </w:p>
        </w:tc>
      </w:tr>
      <w:tr>
        <w:tblPrEx>
          <w:tblCellMar>
            <w:top w:w="0" w:type="dxa"/>
            <w:left w:w="108" w:type="dxa"/>
            <w:bottom w:w="0" w:type="dxa"/>
            <w:right w:w="108" w:type="dxa"/>
          </w:tblCellMar>
        </w:tblPrEx>
        <w:trPr>
          <w:trHeight w:val="20"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企业层</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质量保证</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highlight w:val="yellow"/>
              </w:rPr>
            </w:pPr>
            <w:r>
              <w:rPr>
                <w:rFonts w:asciiTheme="minorEastAsia" w:hAnsiTheme="minorEastAsia" w:eastAsiaTheme="minorEastAsia"/>
                <w:color w:val="000000"/>
                <w:kern w:val="0"/>
                <w:szCs w:val="21"/>
              </w:rPr>
              <w:t>生产装备水平</w:t>
            </w:r>
            <w:r>
              <w:rPr>
                <w:rFonts w:asciiTheme="minorEastAsia" w:hAnsiTheme="minorEastAsia" w:eastAsiaTheme="minorEastAsia"/>
                <w:color w:val="000000"/>
                <w:kern w:val="0"/>
                <w:szCs w:val="21"/>
                <w:highlight w:val="yellow"/>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企业应配备酸洗、单机架轧机等生产设备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restart"/>
            <w:tcBorders>
              <w:top w:val="nil"/>
              <w:left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若存在《产业结构调整指导目录》限制类装备，此项0分</w:t>
            </w:r>
          </w:p>
        </w:tc>
      </w:tr>
      <w:tr>
        <w:tblPrEx>
          <w:tblCellMar>
            <w:top w:w="0" w:type="dxa"/>
            <w:left w:w="108" w:type="dxa"/>
            <w:bottom w:w="0" w:type="dxa"/>
            <w:right w:w="108" w:type="dxa"/>
          </w:tblCellMar>
        </w:tblPrEx>
        <w:trPr>
          <w:trHeight w:val="20" w:hRule="atLeast"/>
        </w:trPr>
        <w:tc>
          <w:tcPr>
            <w:tcW w:w="231"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highlight w:val="yellow"/>
              </w:rPr>
            </w:pP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企业宜配备单机架轧机（板形控制辊）、酸连轧（板形控制辊）、自动上卷、厚度自动控制等生产装备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每项加1分，最多4分</w:t>
            </w:r>
          </w:p>
        </w:tc>
        <w:tc>
          <w:tcPr>
            <w:tcW w:w="469" w:type="pct"/>
            <w:vMerge w:val="continue"/>
            <w:tcBorders>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检验检测能力</w:t>
            </w: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xml:space="preserve">检化验装备满足产品生产研发需求，配备有完备的检验检测设备和人员，检测实验室通过CNAS认可 </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检化验装备满足产品生产研发需求，配备有完备的检验检测设备和人员，具有一定的自动化智能化检测能力，检测实验室通过CMA认定、CNAS认可</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体系保证</w:t>
            </w:r>
          </w:p>
        </w:tc>
        <w:tc>
          <w:tcPr>
            <w:tcW w:w="1781" w:type="pct"/>
            <w:tcBorders>
              <w:top w:val="nil"/>
              <w:left w:val="nil"/>
              <w:bottom w:val="single" w:color="auto" w:sz="8" w:space="0"/>
              <w:right w:val="single" w:color="auto" w:sz="8" w:space="0"/>
            </w:tcBorders>
            <w:shd w:val="clear" w:color="auto" w:fill="auto"/>
            <w:vAlign w:val="center"/>
          </w:tcPr>
          <w:p>
            <w:pPr>
              <w:widowControl/>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企业是否通过全面风险管理体系、卓越绩效管理体系、质量管理体系认证、质量管理体系分级认证等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每项认证1分，最多3分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创新能力</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企业技术中心等级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市级企业技术中心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省级企业技术中心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2.5</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国家级企业技术中心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专利数量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近三年获授权专利数量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每项发明专利0.5分每项实用新型专利0.1分，最多1分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人才结构</w:t>
            </w:r>
          </w:p>
        </w:tc>
        <w:tc>
          <w:tcPr>
            <w:tcW w:w="178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按公式计算得分：[（1×初中及以下文化人数+2×高中文化程度+3×专科文化程度+4×本科文化程度+5×硕士文化程度+6×博士文化程度）/员工总数]-1</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技术职称和文化程度可等效对应如下：</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高中：初级工</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专科：中级工</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本科：高级工</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硕士：技师、工程师</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博士：高级技师、高级工程师</w:t>
            </w:r>
          </w:p>
        </w:tc>
        <w:tc>
          <w:tcPr>
            <w:tcW w:w="8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全员小学文化0分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全员本科文化3分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研发投入比例</w:t>
            </w:r>
          </w:p>
        </w:tc>
        <w:tc>
          <w:tcPr>
            <w:tcW w:w="1781"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按公式计算得分：研发投入占比×100</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最低0分，最高3分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研发投入占比</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0，0分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1.5%，1.5分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3%以上，3分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企业诚信</w:t>
            </w:r>
          </w:p>
        </w:tc>
        <w:tc>
          <w:tcPr>
            <w:tcW w:w="79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诚信管理体系建设</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未建立良好的诚信管理体系</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通过诚信管理体系认证或建立良好的诚信管理体系，运行良好。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企业信用等级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发生严重失信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未进行企业信用等级评价的按D级评价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D</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C、CC、CCC</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B、BB、BBB</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A、AA、AAA</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管理层信用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近三年，管理层人员未列入国家失信对象名单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近三年，高级管理层人员未列入国家失信对象名单，管理层人员均无不良信用记录。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偿债能力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按公式计算得分：-20/3×总资产负债率+20</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最低0分，最高4分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资产负债率</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100%以上，0分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40%以下，</w:t>
            </w: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合同履约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近三年内曾发生因企业自身原因导致的合同违约。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近三年，未发生因企业自身原因导致的合同违约。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企业不良行为记录</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企业收到能源、环保、司法、工商、质检、安监、金融、海关等部门或机构发出的不良行为记录。无不良行为记录得满分2分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每条不良行为记录减0.5分，最多2分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服务水平</w:t>
            </w:r>
          </w:p>
        </w:tc>
        <w:tc>
          <w:tcPr>
            <w:tcW w:w="797" w:type="pct"/>
            <w:tcBorders>
              <w:top w:val="nil"/>
              <w:left w:val="single" w:color="auto" w:sz="4" w:space="0"/>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服务体系建设</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每项得1分，最多4分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配送时效保障</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按时交付率≥95%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按时交付率≥99%</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质量追溯</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产品质量检测无法实现追踪溯源</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产品质量检测能够实现追踪溯源，追溯期小于2年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产品质量检测能够实现追踪溯源，追溯期不小于2年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质量异议解决制度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1.建立了完善的质量异议解决制度</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2.质量异议解决制度得到了严格遵守和运行</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3.质量异议解决情况和效果良好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达到每条得1分，最多3分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产品层面</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质量一致性</w:t>
            </w: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Cp（宽度公差）</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各项按公式计算得分，即</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Cp≤0.8时，0分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Cp≥1.2时，</w:t>
            </w: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Cp（厚度公差）</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Cp（屈服强度）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Cp（抗拉强度）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Cp（断后伸长率）</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0Cp-8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restart"/>
            <w:tcBorders>
              <w:top w:val="single" w:color="auto" w:sz="4" w:space="0"/>
              <w:left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质量反馈</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重大工程</w:t>
            </w:r>
            <w:r>
              <w:rPr>
                <w:rFonts w:asciiTheme="minorEastAsia" w:hAnsiTheme="minorEastAsia" w:eastAsiaTheme="minorEastAsia"/>
                <w:color w:val="000000"/>
                <w:kern w:val="0"/>
                <w:szCs w:val="21"/>
              </w:rPr>
              <w:t>应用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国家重大工程项目直接应用项目数量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每项重大工程得0.5分，最多2分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终端客户水平</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按公式计算得分：（央企、国企、上市公司客户采购数量占产品总销量比重）×7.5-0.75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重点客户销量占比</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10%以下，0分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50%以上，2分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质量异议经济损失率</w:t>
            </w:r>
          </w:p>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（元/万元—赔偿额/销售额）</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未达行业一般：＞1.5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行业一般：＜1.0~1.5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行业平均：＜0.5~1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行业领先：≤0.5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质量异议处理时间</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（单位-工作日）</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未达行业一般＞</w:t>
            </w:r>
            <w:r>
              <w:rPr>
                <w:rFonts w:hint="eastAsia" w:asciiTheme="minorEastAsia" w:hAnsiTheme="minorEastAsia" w:eastAsiaTheme="minorEastAsia"/>
                <w:color w:val="000000"/>
                <w:kern w:val="0"/>
                <w:szCs w:val="21"/>
              </w:rPr>
              <w:t>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行业一般：＜</w:t>
            </w: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行业平均：＜</w:t>
            </w: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~3</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行业领先：</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顾客满意度</w:t>
            </w:r>
            <w:r>
              <w:rPr>
                <w:rFonts w:asciiTheme="minorEastAsia" w:hAnsiTheme="minorEastAsia" w:eastAsiaTheme="minorEastAsia"/>
                <w:color w:val="000000"/>
                <w:kern w:val="0"/>
                <w:szCs w:val="21"/>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kern w:val="0"/>
                <w:szCs w:val="21"/>
              </w:rPr>
              <w:t>顾客满意度＜70，或未开展顾客满意度调查</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rPr>
              <w:t>企业自评价或第三 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行业一般：70~＜80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行业平均：80~＜90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行业领先：≥90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nil"/>
              <w:left w:val="single" w:color="auto" w:sz="8" w:space="0"/>
              <w:bottom w:val="single" w:color="000000" w:sz="8" w:space="0"/>
              <w:right w:val="single" w:color="auto" w:sz="8" w:space="0"/>
            </w:tcBorders>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第二方评价</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重点下游客户提供的优质供应商评价或类似证明材料</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每项供应商评价得0.5分，最多3分</w:t>
            </w:r>
          </w:p>
        </w:tc>
        <w:tc>
          <w:tcPr>
            <w:tcW w:w="469" w:type="pct"/>
            <w:tcBorders>
              <w:top w:val="nil"/>
              <w:left w:val="single" w:color="auto" w:sz="8" w:space="0"/>
              <w:bottom w:val="single" w:color="000000" w:sz="8" w:space="0"/>
              <w:right w:val="single" w:color="auto" w:sz="8" w:space="0"/>
            </w:tcBorders>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p>
        </w:tc>
        <w:tc>
          <w:tcPr>
            <w:tcW w:w="642" w:type="pct"/>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质量认证</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第三方认证</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CARES 认证、绿色产品认证、区域品牌认证、高端自愿性产品认证等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每项认证得0.5分，最多3分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163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荣誉奖项</w:t>
            </w:r>
          </w:p>
        </w:tc>
        <w:tc>
          <w:tcPr>
            <w:tcW w:w="797"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质量奖</w:t>
            </w:r>
          </w:p>
        </w:tc>
        <w:tc>
          <w:tcPr>
            <w:tcW w:w="1781"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累计奖项计算得分，最多4分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国家级质量奖：每项4分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国家级提名奖：每项3分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省部级质量奖：每项2分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省部级提名奖：每项1分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市级质量奖：每项0.5分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计分方法计算得分</w:t>
            </w:r>
          </w:p>
        </w:tc>
        <w:tc>
          <w:tcPr>
            <w:tcW w:w="469" w:type="pct"/>
            <w:tcBorders>
              <w:top w:val="nil"/>
              <w:left w:val="nil"/>
              <w:bottom w:val="nil"/>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44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产品科技奖</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累计奖项计算得分，最多4分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国家级一等奖：每项4分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国家级二等奖：每项3.5分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国家级三等奖：每项3分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省部级一等奖：每项2.5分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省部级二等奖：每项2分</w:t>
            </w:r>
            <w:r>
              <w:rPr>
                <w:rFonts w:asciiTheme="minorEastAsia" w:hAnsiTheme="minorEastAsia" w:eastAsiaTheme="minorEastAsia"/>
                <w:color w:val="000000"/>
                <w:kern w:val="0"/>
                <w:szCs w:val="21"/>
              </w:rPr>
              <w:br w:type="textWrapping"/>
            </w:r>
            <w:r>
              <w:rPr>
                <w:rFonts w:asciiTheme="minorEastAsia" w:hAnsiTheme="minorEastAsia" w:eastAsiaTheme="minorEastAsia"/>
                <w:color w:val="000000"/>
                <w:kern w:val="0"/>
                <w:szCs w:val="21"/>
              </w:rPr>
              <w:t>省部级三等奖：每项1.5分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计分方法计算得分</w:t>
            </w:r>
          </w:p>
        </w:tc>
        <w:tc>
          <w:tcPr>
            <w:tcW w:w="46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单项冠军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省级单项冠军产品</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top w:val="nil"/>
              <w:left w:val="single" w:color="auto" w:sz="8" w:space="0"/>
              <w:bottom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国家级单项冠军产品</w:t>
            </w:r>
          </w:p>
        </w:tc>
        <w:tc>
          <w:tcPr>
            <w:tcW w:w="845" w:type="pct"/>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top w:val="nil"/>
              <w:left w:val="single" w:color="auto" w:sz="8" w:space="0"/>
              <w:bottom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top w:val="nil"/>
              <w:left w:val="single" w:color="auto" w:sz="8" w:space="0"/>
              <w:bottom w:val="nil"/>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加分项</w:t>
            </w:r>
          </w:p>
        </w:tc>
        <w:tc>
          <w:tcPr>
            <w:tcW w:w="235" w:type="pct"/>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信息化水平</w:t>
            </w:r>
          </w:p>
        </w:tc>
        <w:tc>
          <w:tcPr>
            <w:tcW w:w="797" w:type="pct"/>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智能制造成熟度</w:t>
            </w: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未达一级-基础级：企业具备最基础的网络化办公及电子化信息的数据采集工作。对离散的数据进行报表统计及分析</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w:t>
            </w:r>
          </w:p>
        </w:tc>
        <w:tc>
          <w:tcPr>
            <w:tcW w:w="469" w:type="pct"/>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2.5</w:t>
            </w:r>
          </w:p>
        </w:tc>
        <w:tc>
          <w:tcPr>
            <w:tcW w:w="642" w:type="pct"/>
            <w:vMerge w:val="restart"/>
            <w:tcBorders>
              <w:top w:val="nil"/>
              <w:left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此为加分项，评价</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指标得分未满 100</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分时可以计入</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需提供认证证书等</w:t>
            </w:r>
          </w:p>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一级-规划级：企业应开始对实施智能制造的基础和条件进行规划，能够对核心业务活动（设计、生产、物流、销售、服务）进行流程化管理</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0.5</w:t>
            </w:r>
          </w:p>
        </w:tc>
        <w:tc>
          <w:tcPr>
            <w:tcW w:w="469"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二级-规范级：企业应采用自动化技术、信息技术手段对核心装备和业务活动等进行改造和规范，实现单一业务活动的数据共享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469"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三级-集成级：企业应对装备、系统等开展集成，实现跨业务活动间的数据共享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1.5</w:t>
            </w:r>
          </w:p>
        </w:tc>
        <w:tc>
          <w:tcPr>
            <w:tcW w:w="469"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四级-优化级：企业应对人员、资源、制造等进行数据挖掘，形成知识、模型等，实现对核心业务活动的精准预测和优化</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469" w:type="pct"/>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rFonts w:asciiTheme="minorEastAsia" w:hAnsiTheme="minorEastAsia" w:eastAsiaTheme="minorEastAsia"/>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235" w:type="pct"/>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797" w:type="pct"/>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五级-引领级：企业应基于模型持续驱动业务活动的优化和创新，实现产业链协同并衍生新的制造模式和商业模式</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2.5</w:t>
            </w:r>
          </w:p>
        </w:tc>
        <w:tc>
          <w:tcPr>
            <w:tcW w:w="469" w:type="pct"/>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Cs w:val="21"/>
              </w:rPr>
            </w:pPr>
          </w:p>
        </w:tc>
        <w:tc>
          <w:tcPr>
            <w:tcW w:w="642" w:type="pct"/>
            <w:vMerge w:val="continue"/>
            <w:tcBorders>
              <w:left w:val="single" w:color="auto" w:sz="4" w:space="0"/>
              <w:bottom w:val="single" w:color="000000" w:sz="8" w:space="0"/>
              <w:right w:val="single" w:color="auto" w:sz="8" w:space="0"/>
            </w:tcBorders>
            <w:vAlign w:val="center"/>
          </w:tcPr>
          <w:p>
            <w:pPr>
              <w:widowControl/>
              <w:jc w:val="left"/>
              <w:rPr>
                <w:rFonts w:asciiTheme="minorEastAsia" w:hAnsiTheme="minorEastAsia" w:eastAsiaTheme="minorEastAsia"/>
                <w:color w:val="000000"/>
                <w:kern w:val="0"/>
                <w:szCs w:val="21"/>
              </w:rPr>
            </w:pPr>
          </w:p>
        </w:tc>
      </w:tr>
    </w:tbl>
    <w:p>
      <w:pPr>
        <w:pStyle w:val="22"/>
        <w:rPr>
          <w:rFonts w:ascii="Times New Roman"/>
        </w:rPr>
      </w:pPr>
    </w:p>
    <w:p>
      <w:pPr>
        <w:widowControl/>
        <w:jc w:val="left"/>
        <w:rPr>
          <w:kern w:val="0"/>
          <w:szCs w:val="20"/>
        </w:rPr>
      </w:pPr>
      <w: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6"/>
          <w:jc w:val="left"/>
        </w:pPr>
        <w:r>
          <w:fldChar w:fldCharType="begin"/>
        </w:r>
        <w:r>
          <w:instrText xml:space="preserve">PAGE   \* MERGEFORMAT</w:instrText>
        </w:r>
        <w:r>
          <w:fldChar w:fldCharType="separate"/>
        </w:r>
        <w:r>
          <w:rPr>
            <w:lang w:val="zh-CN"/>
          </w:rPr>
          <w:t>4</w:t>
        </w:r>
        <w:r>
          <w:fldChar w:fldCharType="end"/>
        </w:r>
      </w:p>
    </w:sdtContent>
  </w:sdt>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bookmarkStart w:id="15" w:name="_GoBack"/>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185F"/>
    <w:rsid w:val="00002390"/>
    <w:rsid w:val="0000586F"/>
    <w:rsid w:val="00005D79"/>
    <w:rsid w:val="00007340"/>
    <w:rsid w:val="00007D98"/>
    <w:rsid w:val="00012FD9"/>
    <w:rsid w:val="00013D86"/>
    <w:rsid w:val="00013E02"/>
    <w:rsid w:val="00017E7B"/>
    <w:rsid w:val="00020414"/>
    <w:rsid w:val="00020F80"/>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57CD6"/>
    <w:rsid w:val="000639E9"/>
    <w:rsid w:val="00063E76"/>
    <w:rsid w:val="00067195"/>
    <w:rsid w:val="00067CDF"/>
    <w:rsid w:val="0007239D"/>
    <w:rsid w:val="00074FBE"/>
    <w:rsid w:val="00075BE6"/>
    <w:rsid w:val="000772BB"/>
    <w:rsid w:val="00077E45"/>
    <w:rsid w:val="000818DD"/>
    <w:rsid w:val="00083A09"/>
    <w:rsid w:val="0009005E"/>
    <w:rsid w:val="00090E08"/>
    <w:rsid w:val="00092857"/>
    <w:rsid w:val="00094BD2"/>
    <w:rsid w:val="00097C30"/>
    <w:rsid w:val="000A0598"/>
    <w:rsid w:val="000A20A9"/>
    <w:rsid w:val="000A3AE3"/>
    <w:rsid w:val="000A48B1"/>
    <w:rsid w:val="000A5495"/>
    <w:rsid w:val="000B3143"/>
    <w:rsid w:val="000B3C62"/>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0C87"/>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56D62"/>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394"/>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1F4DD8"/>
    <w:rsid w:val="002002E4"/>
    <w:rsid w:val="00202A8B"/>
    <w:rsid w:val="0021038F"/>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33E4"/>
    <w:rsid w:val="0027407D"/>
    <w:rsid w:val="002759BB"/>
    <w:rsid w:val="00276B08"/>
    <w:rsid w:val="002778AE"/>
    <w:rsid w:val="0028022A"/>
    <w:rsid w:val="00281919"/>
    <w:rsid w:val="002824CB"/>
    <w:rsid w:val="0028269A"/>
    <w:rsid w:val="00283590"/>
    <w:rsid w:val="00284399"/>
    <w:rsid w:val="00286973"/>
    <w:rsid w:val="00286A95"/>
    <w:rsid w:val="002904AF"/>
    <w:rsid w:val="00292EDE"/>
    <w:rsid w:val="00293F24"/>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1D36"/>
    <w:rsid w:val="00336610"/>
    <w:rsid w:val="00340165"/>
    <w:rsid w:val="00340296"/>
    <w:rsid w:val="00342A60"/>
    <w:rsid w:val="00343F73"/>
    <w:rsid w:val="00345060"/>
    <w:rsid w:val="00346E35"/>
    <w:rsid w:val="00350BC9"/>
    <w:rsid w:val="0035323B"/>
    <w:rsid w:val="00356876"/>
    <w:rsid w:val="003609D2"/>
    <w:rsid w:val="00362F58"/>
    <w:rsid w:val="00363F22"/>
    <w:rsid w:val="00364B85"/>
    <w:rsid w:val="003650D5"/>
    <w:rsid w:val="003656C2"/>
    <w:rsid w:val="003659A4"/>
    <w:rsid w:val="003676D0"/>
    <w:rsid w:val="003732A9"/>
    <w:rsid w:val="0037473D"/>
    <w:rsid w:val="00375564"/>
    <w:rsid w:val="0037662F"/>
    <w:rsid w:val="003768C0"/>
    <w:rsid w:val="00376C1C"/>
    <w:rsid w:val="00383191"/>
    <w:rsid w:val="003831D9"/>
    <w:rsid w:val="003839CA"/>
    <w:rsid w:val="003852DB"/>
    <w:rsid w:val="0038617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4DD"/>
    <w:rsid w:val="004145B9"/>
    <w:rsid w:val="004149F4"/>
    <w:rsid w:val="00415258"/>
    <w:rsid w:val="004166CD"/>
    <w:rsid w:val="0041793A"/>
    <w:rsid w:val="00423779"/>
    <w:rsid w:val="00423DBC"/>
    <w:rsid w:val="00425082"/>
    <w:rsid w:val="00426506"/>
    <w:rsid w:val="00431DEB"/>
    <w:rsid w:val="00433284"/>
    <w:rsid w:val="00435BF8"/>
    <w:rsid w:val="00437775"/>
    <w:rsid w:val="00437EFD"/>
    <w:rsid w:val="0044270C"/>
    <w:rsid w:val="004430E6"/>
    <w:rsid w:val="0044463F"/>
    <w:rsid w:val="00444870"/>
    <w:rsid w:val="00446B29"/>
    <w:rsid w:val="004509E6"/>
    <w:rsid w:val="00453F9A"/>
    <w:rsid w:val="00454B9A"/>
    <w:rsid w:val="0045659F"/>
    <w:rsid w:val="004570B0"/>
    <w:rsid w:val="00460156"/>
    <w:rsid w:val="00461517"/>
    <w:rsid w:val="00465BEC"/>
    <w:rsid w:val="00466E28"/>
    <w:rsid w:val="00471E91"/>
    <w:rsid w:val="004729E5"/>
    <w:rsid w:val="00472AF6"/>
    <w:rsid w:val="00472BB7"/>
    <w:rsid w:val="00472C6E"/>
    <w:rsid w:val="00474675"/>
    <w:rsid w:val="0047470C"/>
    <w:rsid w:val="0047745F"/>
    <w:rsid w:val="00477F8C"/>
    <w:rsid w:val="00485828"/>
    <w:rsid w:val="00490762"/>
    <w:rsid w:val="00490E6B"/>
    <w:rsid w:val="00491B31"/>
    <w:rsid w:val="00494B16"/>
    <w:rsid w:val="004A029F"/>
    <w:rsid w:val="004A06F3"/>
    <w:rsid w:val="004A0900"/>
    <w:rsid w:val="004A2D80"/>
    <w:rsid w:val="004A2EB0"/>
    <w:rsid w:val="004A35F9"/>
    <w:rsid w:val="004A5681"/>
    <w:rsid w:val="004A6875"/>
    <w:rsid w:val="004B1107"/>
    <w:rsid w:val="004B1EA1"/>
    <w:rsid w:val="004B230F"/>
    <w:rsid w:val="004B24C1"/>
    <w:rsid w:val="004B3527"/>
    <w:rsid w:val="004B4141"/>
    <w:rsid w:val="004B41F4"/>
    <w:rsid w:val="004B4E5C"/>
    <w:rsid w:val="004B7A61"/>
    <w:rsid w:val="004C0DE4"/>
    <w:rsid w:val="004C15CE"/>
    <w:rsid w:val="004C292F"/>
    <w:rsid w:val="004C52B4"/>
    <w:rsid w:val="004C52BE"/>
    <w:rsid w:val="004C6D21"/>
    <w:rsid w:val="004D197C"/>
    <w:rsid w:val="004D1C75"/>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33D7"/>
    <w:rsid w:val="00555792"/>
    <w:rsid w:val="00560E0C"/>
    <w:rsid w:val="00567C1C"/>
    <w:rsid w:val="005703DE"/>
    <w:rsid w:val="00574234"/>
    <w:rsid w:val="00575169"/>
    <w:rsid w:val="00580B6B"/>
    <w:rsid w:val="005828EB"/>
    <w:rsid w:val="00582AD4"/>
    <w:rsid w:val="0058464E"/>
    <w:rsid w:val="00587FD0"/>
    <w:rsid w:val="00592C13"/>
    <w:rsid w:val="00592E69"/>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5890"/>
    <w:rsid w:val="00666B6C"/>
    <w:rsid w:val="00676D9C"/>
    <w:rsid w:val="00677A1E"/>
    <w:rsid w:val="00682682"/>
    <w:rsid w:val="00682702"/>
    <w:rsid w:val="006862EB"/>
    <w:rsid w:val="00687C7D"/>
    <w:rsid w:val="006915B7"/>
    <w:rsid w:val="006916B9"/>
    <w:rsid w:val="00691D2B"/>
    <w:rsid w:val="00692368"/>
    <w:rsid w:val="00692DB1"/>
    <w:rsid w:val="00692EAF"/>
    <w:rsid w:val="00693E8F"/>
    <w:rsid w:val="00695AE2"/>
    <w:rsid w:val="006A162E"/>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81E"/>
    <w:rsid w:val="006D4E10"/>
    <w:rsid w:val="006D5D51"/>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38A4"/>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F4D"/>
    <w:rsid w:val="007C0A15"/>
    <w:rsid w:val="007C135A"/>
    <w:rsid w:val="007C15A0"/>
    <w:rsid w:val="007C2D77"/>
    <w:rsid w:val="007C31CC"/>
    <w:rsid w:val="007C44C3"/>
    <w:rsid w:val="007C487E"/>
    <w:rsid w:val="007C6205"/>
    <w:rsid w:val="007C686A"/>
    <w:rsid w:val="007C6D00"/>
    <w:rsid w:val="007C728E"/>
    <w:rsid w:val="007D12D6"/>
    <w:rsid w:val="007D2C53"/>
    <w:rsid w:val="007D3D60"/>
    <w:rsid w:val="007D42DC"/>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3D1B"/>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A7083"/>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3CEF"/>
    <w:rsid w:val="009040DD"/>
    <w:rsid w:val="00905B47"/>
    <w:rsid w:val="00906F0A"/>
    <w:rsid w:val="0090711E"/>
    <w:rsid w:val="00912C7C"/>
    <w:rsid w:val="0091331C"/>
    <w:rsid w:val="0091457E"/>
    <w:rsid w:val="00914CB2"/>
    <w:rsid w:val="00916945"/>
    <w:rsid w:val="00917969"/>
    <w:rsid w:val="00920471"/>
    <w:rsid w:val="00921BF6"/>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65F9"/>
    <w:rsid w:val="00A07F34"/>
    <w:rsid w:val="00A10E72"/>
    <w:rsid w:val="00A12F4D"/>
    <w:rsid w:val="00A136AF"/>
    <w:rsid w:val="00A14400"/>
    <w:rsid w:val="00A15157"/>
    <w:rsid w:val="00A21DCA"/>
    <w:rsid w:val="00A22154"/>
    <w:rsid w:val="00A22281"/>
    <w:rsid w:val="00A24393"/>
    <w:rsid w:val="00A25C38"/>
    <w:rsid w:val="00A2609C"/>
    <w:rsid w:val="00A26308"/>
    <w:rsid w:val="00A26A96"/>
    <w:rsid w:val="00A27B20"/>
    <w:rsid w:val="00A30ED4"/>
    <w:rsid w:val="00A313B9"/>
    <w:rsid w:val="00A31EEC"/>
    <w:rsid w:val="00A32EB3"/>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730D"/>
    <w:rsid w:val="00A6746D"/>
    <w:rsid w:val="00A6793C"/>
    <w:rsid w:val="00A711A2"/>
    <w:rsid w:val="00A71625"/>
    <w:rsid w:val="00A71B9B"/>
    <w:rsid w:val="00A751C7"/>
    <w:rsid w:val="00A828DE"/>
    <w:rsid w:val="00A828EA"/>
    <w:rsid w:val="00A87844"/>
    <w:rsid w:val="00A92ADF"/>
    <w:rsid w:val="00A94C41"/>
    <w:rsid w:val="00A97D1F"/>
    <w:rsid w:val="00AA038C"/>
    <w:rsid w:val="00AA1737"/>
    <w:rsid w:val="00AA1741"/>
    <w:rsid w:val="00AA2438"/>
    <w:rsid w:val="00AA7A09"/>
    <w:rsid w:val="00AA7AD2"/>
    <w:rsid w:val="00AB2D90"/>
    <w:rsid w:val="00AB3B50"/>
    <w:rsid w:val="00AB3C6A"/>
    <w:rsid w:val="00AB5D07"/>
    <w:rsid w:val="00AB6B93"/>
    <w:rsid w:val="00AC05B1"/>
    <w:rsid w:val="00AC6F5A"/>
    <w:rsid w:val="00AD2DFC"/>
    <w:rsid w:val="00AD356C"/>
    <w:rsid w:val="00AD7A55"/>
    <w:rsid w:val="00AE06DC"/>
    <w:rsid w:val="00AE10EB"/>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24A"/>
    <w:rsid w:val="00B61939"/>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774E6"/>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3C4"/>
    <w:rsid w:val="00BE55CB"/>
    <w:rsid w:val="00BF08AF"/>
    <w:rsid w:val="00BF1520"/>
    <w:rsid w:val="00BF356A"/>
    <w:rsid w:val="00BF617A"/>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0879"/>
    <w:rsid w:val="00C314E1"/>
    <w:rsid w:val="00C31A79"/>
    <w:rsid w:val="00C32DD9"/>
    <w:rsid w:val="00C33EB7"/>
    <w:rsid w:val="00C34397"/>
    <w:rsid w:val="00C35DA4"/>
    <w:rsid w:val="00C4095D"/>
    <w:rsid w:val="00C42061"/>
    <w:rsid w:val="00C44046"/>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3A2D"/>
    <w:rsid w:val="00C8585D"/>
    <w:rsid w:val="00C8691C"/>
    <w:rsid w:val="00C86A9E"/>
    <w:rsid w:val="00C8725D"/>
    <w:rsid w:val="00C90606"/>
    <w:rsid w:val="00C95B40"/>
    <w:rsid w:val="00C966B8"/>
    <w:rsid w:val="00C971FC"/>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2AE4"/>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27200"/>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2FF1"/>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9D4"/>
    <w:rsid w:val="00DA0C59"/>
    <w:rsid w:val="00DA1CE4"/>
    <w:rsid w:val="00DA24CB"/>
    <w:rsid w:val="00DA3991"/>
    <w:rsid w:val="00DA43C3"/>
    <w:rsid w:val="00DA4EB5"/>
    <w:rsid w:val="00DA7593"/>
    <w:rsid w:val="00DB12DE"/>
    <w:rsid w:val="00DB5F1D"/>
    <w:rsid w:val="00DB7566"/>
    <w:rsid w:val="00DB7E6C"/>
    <w:rsid w:val="00DC1267"/>
    <w:rsid w:val="00DC3B61"/>
    <w:rsid w:val="00DC462C"/>
    <w:rsid w:val="00DC4D3F"/>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47F3"/>
    <w:rsid w:val="00E17F07"/>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A7347"/>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37EE7"/>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5E6"/>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A7629"/>
    <w:rsid w:val="00FB0B66"/>
    <w:rsid w:val="00FB1366"/>
    <w:rsid w:val="00FB2B38"/>
    <w:rsid w:val="00FB3791"/>
    <w:rsid w:val="00FB653E"/>
    <w:rsid w:val="00FC6358"/>
    <w:rsid w:val="00FC6C90"/>
    <w:rsid w:val="00FD04BB"/>
    <w:rsid w:val="00FD066A"/>
    <w:rsid w:val="00FD320D"/>
    <w:rsid w:val="00FD45CD"/>
    <w:rsid w:val="00FD570D"/>
    <w:rsid w:val="00FD76B5"/>
    <w:rsid w:val="00FE05C6"/>
    <w:rsid w:val="00FE1498"/>
    <w:rsid w:val="00FE1842"/>
    <w:rsid w:val="00FE188F"/>
    <w:rsid w:val="00FE23DE"/>
    <w:rsid w:val="00FE3369"/>
    <w:rsid w:val="00FE35E0"/>
    <w:rsid w:val="00FF54BA"/>
    <w:rsid w:val="0A071F06"/>
    <w:rsid w:val="0A842761"/>
    <w:rsid w:val="0C68411F"/>
    <w:rsid w:val="0DD7773F"/>
    <w:rsid w:val="0E8D76BF"/>
    <w:rsid w:val="128A1009"/>
    <w:rsid w:val="1F3E57F5"/>
    <w:rsid w:val="215C14F1"/>
    <w:rsid w:val="24642242"/>
    <w:rsid w:val="2E1C1A4E"/>
    <w:rsid w:val="3B9B4EE8"/>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1B1F-01ED-46F8-B642-773275C6FA8E}">
  <ds:schemaRefs/>
</ds:datastoreItem>
</file>

<file path=docProps/app.xml><?xml version="1.0" encoding="utf-8"?>
<Properties xmlns="http://schemas.openxmlformats.org/officeDocument/2006/extended-properties" xmlns:vt="http://schemas.openxmlformats.org/officeDocument/2006/docPropsVTypes">
  <Template>Normal</Template>
  <Pages>12</Pages>
  <Words>687</Words>
  <Characters>3920</Characters>
  <Lines>32</Lines>
  <Paragraphs>9</Paragraphs>
  <TotalTime>0</TotalTime>
  <ScaleCrop>false</ScaleCrop>
  <LinksUpToDate>false</LinksUpToDate>
  <CharactersWithSpaces>4598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2023-01-09T05:24:00Z</dcterms:created>
  <dcterms:modified xsi:type="dcterms:W3CDTF">2023-08-24T07:14:02Z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3308826575F34894BD8FF835C8AA3EAE_12</vt:lpwstr>
  </property>
</Properties>
</file>