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建筑用钢板</w:t>
      </w:r>
      <w:r>
        <w:rPr>
          <w:rFonts w:ascii="Times New Roman" w:hAnsi="Times New Roman" w:eastAsia="仿宋_GB2312" w:cs="Times New Roman"/>
          <w:b/>
          <w:bCs/>
          <w:kern w:val="0"/>
          <w:sz w:val="32"/>
          <w:szCs w:val="32"/>
        </w:rPr>
        <w:t>》</w:t>
      </w:r>
    </w:p>
    <w:p>
      <w:pPr>
        <w:adjustRightInd w:val="0"/>
        <w:snapToGrid w:val="0"/>
        <w:spacing w:line="5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当前，随着我国社会、经济的发展，国家倡导绿色环保、可持续发展的战略，</w:t>
      </w:r>
      <w:r>
        <w:rPr>
          <w:rFonts w:hint="eastAsia" w:ascii="Times New Roman" w:hAnsi="Times New Roman" w:eastAsia="仿宋_GB2312" w:cs="Times New Roman"/>
          <w:sz w:val="28"/>
          <w:szCs w:val="28"/>
          <w:lang w:eastAsia="zh-CN"/>
        </w:rPr>
        <w:t>建筑物</w:t>
      </w:r>
      <w:r>
        <w:rPr>
          <w:rFonts w:hint="eastAsia" w:ascii="Times New Roman" w:hAnsi="Times New Roman" w:eastAsia="仿宋_GB2312" w:cs="Times New Roman"/>
          <w:sz w:val="28"/>
          <w:szCs w:val="28"/>
        </w:rPr>
        <w:t>节能、绿色环保的发展优势越来越明显，并出现多样化的设计和需求趋势，同时随着生产技术的进步，高性能结构用钢板的生产水平也有了很大的提高。为保障</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 xml:space="preserve">产品质量，满足下游客户采购需求，提高产业链上下游行业互信，拟开展《中国钢铁产品放心品牌评价规范  </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的放心品牌认证工作，培育行业信任，打造细分领域钢材产品优质供货商。落实党中央质量提升行动政策要求，为产品优质优价提供标准与认证技术支撑，打造细分赛道中国钢铁放心品牌，提升企业品牌行业影响力，推动</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行业企业实现高质量发展。</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2022年7月，中国特钢企业协会团体标准化工作委员会（以下简称团标委）秘书处给各位委员发出团体标准立项函审单。到立项函审截止日期，没有委员提出不同意见。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2022年8月，团标委正式下达团体标准立项计划（2022年第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2022年9月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建筑用钢板</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产品的中国钢铁产品放心品牌的评价原则、评价内容和评价方法。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建筑用钢板</w:t>
      </w:r>
      <w:r>
        <w:rPr>
          <w:rFonts w:hint="eastAsia" w:ascii="Times New Roman" w:hAnsi="Times New Roman" w:eastAsia="仿宋_GB2312" w:cs="Times New Roman"/>
          <w:sz w:val="28"/>
          <w:szCs w:val="28"/>
        </w:rPr>
        <w:t>产品的放心品牌进行评价和认证，也适用于组织内部进行自我评价。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企业在中国境内依法注册并具有法人资格，连续稳定生产 3 年以上。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企业经营状况良好，净资产为正。</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产品符合相关标准要求，包括但不限于企业标准、团体标准、行业标准和国家标准。</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注：常用的国家标准为GB/T 19879、GB/T 28905</w:t>
      </w:r>
      <w:r>
        <w:rPr>
          <w:rFonts w:hint="eastAsia" w:ascii="Times New Roman" w:hAnsi="Times New Roman" w:eastAsia="仿宋_GB2312" w:cs="Times New Roman"/>
          <w:sz w:val="28"/>
          <w:szCs w:val="28"/>
          <w:lang w:eastAsia="zh-CN"/>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企业应按照 GB/T 19001、GB/T 23331、GB/T 24001、GB/T 45001 建立并运行相应质量、能源、环境、职业健康安全体系。</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企业近 3 年无严重违法违规行为，无较大及以上环境、安全、质量事故。</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企业应未列入国家信用信息严重失信主体相关名录。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W w:w="5000" w:type="pct"/>
        <w:tblInd w:w="0" w:type="dxa"/>
        <w:shd w:val="clear" w:color="auto" w:fill="auto"/>
        <w:tblLayout w:type="autofit"/>
        <w:tblCellMar>
          <w:top w:w="0" w:type="dxa"/>
          <w:left w:w="108" w:type="dxa"/>
          <w:bottom w:w="0" w:type="dxa"/>
          <w:right w:w="108" w:type="dxa"/>
        </w:tblCellMar>
      </w:tblPr>
      <w:tblGrid>
        <w:gridCol w:w="427"/>
        <w:gridCol w:w="636"/>
        <w:gridCol w:w="1313"/>
        <w:gridCol w:w="2988"/>
        <w:gridCol w:w="1302"/>
        <w:gridCol w:w="822"/>
        <w:gridCol w:w="1041"/>
      </w:tblGrid>
      <w:tr>
        <w:tblPrEx>
          <w:shd w:val="clear" w:color="auto" w:fill="auto"/>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评价要素</w:t>
            </w:r>
          </w:p>
        </w:tc>
        <w:tc>
          <w:tcPr>
            <w:tcW w:w="257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b/>
                <w:bCs/>
                <w:color w:val="auto"/>
                <w:kern w:val="0"/>
                <w:szCs w:val="21"/>
                <w:highlight w:val="none"/>
              </w:rPr>
            </w:pPr>
            <w:r>
              <w:rPr>
                <w:rFonts w:hint="eastAsia" w:ascii="仿宋_GB2312" w:eastAsia="仿宋_GB2312"/>
                <w:b/>
                <w:bCs/>
                <w:color w:val="auto"/>
                <w:kern w:val="0"/>
                <w:szCs w:val="21"/>
                <w:highlight w:val="none"/>
              </w:rPr>
              <w:t>分值权重</w:t>
            </w:r>
          </w:p>
          <w:p>
            <w:pPr>
              <w:widowControl/>
              <w:jc w:val="center"/>
              <w:rPr>
                <w:b/>
                <w:bCs/>
                <w:color w:val="auto"/>
                <w:kern w:val="0"/>
                <w:szCs w:val="21"/>
                <w:highlight w:val="none"/>
              </w:rPr>
            </w:pPr>
            <w:r>
              <w:rPr>
                <w:rFonts w:hint="eastAsia" w:ascii="仿宋_GB2312" w:eastAsia="仿宋_GB2312"/>
                <w:b/>
                <w:bCs/>
                <w:color w:val="auto"/>
                <w:kern w:val="0"/>
                <w:szCs w:val="21"/>
                <w:highlight w:val="none"/>
              </w:rPr>
              <w:t>（满分</w:t>
            </w:r>
            <w:r>
              <w:rPr>
                <w:b/>
                <w:bCs/>
                <w:color w:val="auto"/>
                <w:kern w:val="0"/>
                <w:szCs w:val="21"/>
                <w:highlight w:val="none"/>
              </w:rPr>
              <w:t>100</w:t>
            </w:r>
            <w:r>
              <w:rPr>
                <w:rFonts w:hint="eastAsia" w:ascii="仿宋_GB2312" w:eastAsia="仿宋_GB2312"/>
                <w:b/>
                <w:bCs/>
                <w:color w:val="auto"/>
                <w:kern w:val="0"/>
                <w:szCs w:val="21"/>
                <w:highlight w:val="none"/>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备注</w:t>
            </w:r>
          </w:p>
        </w:tc>
      </w:tr>
      <w:tr>
        <w:tblPrEx>
          <w:shd w:val="clear" w:color="auto" w:fill="auto"/>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二级指标</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三级指标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w:t>
            </w:r>
          </w:p>
        </w:tc>
        <w:tc>
          <w:tcPr>
            <w:tcW w:w="514"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b/>
                <w:bCs/>
                <w:color w:val="auto"/>
                <w:kern w:val="0"/>
                <w:szCs w:val="21"/>
                <w:highlight w:val="none"/>
              </w:rPr>
            </w:pPr>
          </w:p>
        </w:tc>
        <w:tc>
          <w:tcPr>
            <w:tcW w:w="642"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b/>
                <w:bCs/>
                <w:color w:val="auto"/>
                <w:kern w:val="0"/>
                <w:szCs w:val="21"/>
                <w:highlight w:val="none"/>
              </w:rPr>
            </w:pPr>
          </w:p>
        </w:tc>
      </w:tr>
      <w:tr>
        <w:tblPrEx>
          <w:shd w:val="clear" w:color="auto" w:fill="auto"/>
          <w:tblCellMar>
            <w:top w:w="0" w:type="dxa"/>
            <w:left w:w="108" w:type="dxa"/>
            <w:bottom w:w="0" w:type="dxa"/>
            <w:right w:w="108" w:type="dxa"/>
          </w:tblCellMar>
        </w:tblPrEx>
        <w:trPr>
          <w:trHeight w:val="1929"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质量保证</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生产装备水平</w:t>
            </w: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国内一般：</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1）轧机后有水冷却设施；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2）有部分热处理设备；</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3）人工标记作业</w:t>
            </w:r>
          </w:p>
          <w:p>
            <w:pPr>
              <w:widowControl/>
              <w:jc w:val="both"/>
              <w:rPr>
                <w:rFonts w:hint="eastAsia" w:eastAsia="仿宋_GB2312"/>
                <w:color w:val="auto"/>
                <w:kern w:val="0"/>
                <w:szCs w:val="21"/>
                <w:highlight w:val="none"/>
                <w:lang w:eastAsia="zh-CN"/>
              </w:rPr>
            </w:pPr>
            <w:r>
              <w:rPr>
                <w:rFonts w:hint="eastAsia" w:ascii="仿宋_GB2312" w:eastAsia="仿宋_GB2312"/>
                <w:color w:val="auto"/>
                <w:kern w:val="0"/>
                <w:szCs w:val="21"/>
                <w:highlight w:val="none"/>
              </w:rPr>
              <w:t>冷却设备的主体设备</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5</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《产业结构调整指导目录》限制类装备，此项</w:t>
            </w:r>
            <w:r>
              <w:rPr>
                <w:color w:val="auto"/>
                <w:kern w:val="0"/>
                <w:szCs w:val="21"/>
                <w:highlight w:val="none"/>
              </w:rPr>
              <w:t>0</w:t>
            </w:r>
            <w:r>
              <w:rPr>
                <w:rFonts w:hint="eastAsia" w:ascii="仿宋_GB2312" w:eastAsia="仿宋_GB2312"/>
                <w:color w:val="auto"/>
                <w:kern w:val="0"/>
                <w:szCs w:val="21"/>
                <w:highlight w:val="none"/>
              </w:rPr>
              <w:t>分</w:t>
            </w:r>
          </w:p>
        </w:tc>
      </w:tr>
      <w:tr>
        <w:tblPrEx>
          <w:shd w:val="clear" w:color="auto" w:fill="auto"/>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具备步进式加热炉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r>
              <w:rPr>
                <w:rFonts w:hint="eastAsia" w:ascii="仿宋_GB2312" w:eastAsia="仿宋_GB2312"/>
                <w:color w:val="auto"/>
                <w:kern w:val="0"/>
                <w:szCs w:val="21"/>
                <w:highlight w:val="none"/>
              </w:rPr>
              <w:t>轧机轧制力≥8000吨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1）轧机具有板形控制及平面形状控制功能；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2）在线检测装置完善，如测厚、测宽、高温仪等；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3）加热炉出口及粗、精轧机均设有压力≥18MPa的高压水除鳞装置；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4）配置基础自动化级（L1）、过程控制级（L2）系统。</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5）有自动打印、喷标记装置；</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6）轧机具有板形控制及平面形状控制功能</w:t>
            </w:r>
          </w:p>
          <w:p>
            <w:pPr>
              <w:widowControl/>
              <w:jc w:val="both"/>
              <w:rPr>
                <w:rFonts w:hint="eastAsia" w:eastAsia="仿宋_GB2312"/>
                <w:color w:val="auto"/>
                <w:kern w:val="0"/>
                <w:szCs w:val="21"/>
                <w:highlight w:val="none"/>
                <w:lang w:eastAsia="zh-CN"/>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eastAsia="zh-CN"/>
              </w:rPr>
              <w:t>。</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949"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国内领先：</w:t>
            </w:r>
            <w:r>
              <w:rPr>
                <w:rFonts w:hint="eastAsia" w:ascii="仿宋_GB2312" w:eastAsia="仿宋_GB2312"/>
                <w:color w:val="auto"/>
                <w:kern w:val="0"/>
                <w:szCs w:val="21"/>
                <w:highlight w:val="none"/>
              </w:rPr>
              <w:t>轧机能力≥9000吨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1）配置基础自动化级（L1）、过程控制级（L2）、生产控制级（L3）计算机。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2）加热炉出口及粗、精轧机均设有压力≥20MPa的高压水除鳞装置；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3）在线检测装置完善，如测厚、测宽、高温仪、在线表面质量检测等；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4）轧机具有弯辊或串辊装置；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5）配置四重式全液压高强度热、冷矫直机；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6）有自动打印、喷标记装置；</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7）轧机具有板形控制及平面形状控制功能。</w:t>
            </w:r>
          </w:p>
          <w:p>
            <w:pPr>
              <w:widowControl/>
              <w:jc w:val="both"/>
              <w:rPr>
                <w:rFonts w:hint="eastAsia" w:eastAsia="仿宋_GB2312"/>
                <w:color w:val="auto"/>
                <w:kern w:val="0"/>
                <w:szCs w:val="21"/>
                <w:highlight w:val="none"/>
                <w:lang w:eastAsia="zh-CN"/>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国际领先：</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冶炼：转炉、AOD、LF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r>
              <w:rPr>
                <w:rFonts w:hint="eastAsia" w:ascii="仿宋_GB2312" w:eastAsia="仿宋_GB2312"/>
                <w:color w:val="auto"/>
                <w:kern w:val="0"/>
                <w:szCs w:val="21"/>
                <w:highlight w:val="none"/>
              </w:rPr>
              <w:t>轧机能力≥10000吨</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1）轧机为双机架四辊可逆轧机，轧制速度≥5m／s，有快速换辊装置；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2）配置四重式带弯辊和倾斜功能的、全液压高强度热、冷矫直机；</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3）加热炉出口及粗、精轧机均设有压力≥22MPa的高压水除鳞装置；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4）轧机具有弯辊和串辊装置；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5）在线检测装置完善，如测厚、测宽、高温仪、在线表面质量检测，在线多通道探伤等；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6）有平面形状检测装置，可实现最佳剪切功能；</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7）设有钢板的正火、回火、退火、淬火、等热处理生产线；</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8）有自动打印、喷标记装置；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9）配置基础自动化级（L1）、过程控制级（L2）、生产控制级（L3）计算机或同时配置生产管理级（L4）计算机。</w:t>
            </w:r>
          </w:p>
          <w:p>
            <w:pPr>
              <w:widowControl/>
              <w:jc w:val="both"/>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10）轧机具有板形控制及平面形状控制功能</w:t>
            </w:r>
          </w:p>
          <w:p>
            <w:pPr>
              <w:widowControl/>
              <w:jc w:val="both"/>
              <w:rPr>
                <w:color w:val="auto"/>
                <w:kern w:val="0"/>
                <w:szCs w:val="21"/>
                <w:highlight w:val="none"/>
              </w:rPr>
            </w:pP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检验检测能力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r>
              <w:rPr>
                <w:color w:val="auto"/>
                <w:kern w:val="0"/>
                <w:szCs w:val="21"/>
                <w:highlight w:val="none"/>
              </w:rPr>
              <w:t>CNAS</w:t>
            </w:r>
            <w:r>
              <w:rPr>
                <w:rFonts w:hint="eastAsia" w:ascii="仿宋_GB2312" w:eastAsia="仿宋_GB2312"/>
                <w:color w:val="auto"/>
                <w:kern w:val="0"/>
                <w:szCs w:val="21"/>
                <w:highlight w:val="none"/>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体系保证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3</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创新能力</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企业技术中心等级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专利数量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人才结构</w:t>
            </w:r>
          </w:p>
        </w:tc>
        <w:tc>
          <w:tcPr>
            <w:tcW w:w="1784" w:type="pct"/>
            <w:vMerge w:val="restart"/>
            <w:tcBorders>
              <w:top w:val="nil"/>
              <w:left w:val="single" w:color="auto" w:sz="8" w:space="0"/>
              <w:bottom w:val="single" w:color="000000" w:sz="8" w:space="0"/>
              <w:right w:val="single" w:color="auto" w:sz="8" w:space="0"/>
            </w:tcBorders>
            <w:shd w:val="clear" w:color="auto" w:fill="auto"/>
            <w:vAlign w:val="center"/>
          </w:tcPr>
          <w:p>
            <w:pPr>
              <w:pStyle w:val="26"/>
              <w:spacing w:before="53" w:line="254" w:lineRule="auto"/>
              <w:ind w:right="105"/>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按公式计算得分：[（1×初中及以下文化人数+2×高中文化 程度+3×专科文化程度+4×本科文化程度+5×硕士文化程度+6×博士文化程度） /员工总数]- 1</w:t>
            </w:r>
          </w:p>
          <w:p>
            <w:pPr>
              <w:pStyle w:val="26"/>
              <w:spacing w:line="217"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技术职称和文化程度可等效对应如下：</w:t>
            </w:r>
          </w:p>
          <w:p>
            <w:pPr>
              <w:pStyle w:val="26"/>
              <w:spacing w:before="64" w:line="312" w:lineRule="exac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高中：初级工</w:t>
            </w:r>
          </w:p>
          <w:p>
            <w:pPr>
              <w:pStyle w:val="26"/>
              <w:spacing w:before="1"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专科：中级工</w:t>
            </w:r>
          </w:p>
          <w:p>
            <w:pPr>
              <w:pStyle w:val="26"/>
              <w:spacing w:before="62"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本科：高级工</w:t>
            </w:r>
          </w:p>
          <w:p>
            <w:pPr>
              <w:pStyle w:val="26"/>
              <w:spacing w:before="63"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硕士：技师、工程师</w:t>
            </w:r>
          </w:p>
          <w:p>
            <w:pPr>
              <w:widowControl/>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博士：高级技师、高级工程师</w:t>
            </w:r>
          </w:p>
        </w:tc>
        <w:tc>
          <w:tcPr>
            <w:tcW w:w="79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全员小学文化</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全员本科文化</w:t>
            </w:r>
            <w:r>
              <w:rPr>
                <w:color w:val="auto"/>
                <w:kern w:val="0"/>
                <w:szCs w:val="21"/>
                <w:highlight w:val="none"/>
              </w:rPr>
              <w:t>3</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rFonts w:hint="eastAsia" w:ascii="仿宋_GB2312" w:eastAsia="仿宋_GB2312"/>
                <w:color w:val="auto"/>
                <w:kern w:val="0"/>
                <w:szCs w:val="21"/>
                <w:highlight w:val="none"/>
              </w:rPr>
              <w:t>（或等效）</w:t>
            </w: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79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108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研发投入比例</w:t>
            </w:r>
          </w:p>
        </w:tc>
        <w:tc>
          <w:tcPr>
            <w:tcW w:w="1784"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按公式计算得分：研发投入占比</w:t>
            </w:r>
            <w:r>
              <w:rPr>
                <w:color w:val="auto"/>
                <w:kern w:val="0"/>
                <w:szCs w:val="21"/>
                <w:highlight w:val="none"/>
              </w:rPr>
              <w:t>×100</w:t>
            </w:r>
          </w:p>
          <w:p>
            <w:pPr>
              <w:widowControl/>
              <w:jc w:val="center"/>
              <w:rPr>
                <w:color w:val="auto"/>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研发投入占比</w:t>
            </w:r>
          </w:p>
          <w:p>
            <w:pPr>
              <w:widowControl/>
              <w:jc w:val="center"/>
              <w:rPr>
                <w:rFonts w:ascii="仿宋_GB2312" w:eastAsia="仿宋_GB2312"/>
                <w:color w:val="auto"/>
                <w:kern w:val="0"/>
                <w:szCs w:val="21"/>
                <w:highlight w:val="none"/>
              </w:rPr>
            </w:pPr>
            <w:r>
              <w:rPr>
                <w:color w:val="auto"/>
                <w:kern w:val="0"/>
                <w:szCs w:val="21"/>
                <w:highlight w:val="none"/>
              </w:rPr>
              <w:t>0</w:t>
            </w:r>
            <w:r>
              <w:rPr>
                <w:rFonts w:hint="eastAsia" w:ascii="仿宋_GB2312" w:eastAsia="仿宋_GB2312"/>
                <w:color w:val="auto"/>
                <w:kern w:val="0"/>
                <w:szCs w:val="21"/>
                <w:highlight w:val="none"/>
              </w:rPr>
              <w:t>，</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color w:val="auto"/>
                <w:kern w:val="0"/>
                <w:szCs w:val="21"/>
                <w:highlight w:val="none"/>
              </w:rPr>
              <w:t>1.5%</w:t>
            </w:r>
            <w:r>
              <w:rPr>
                <w:rFonts w:hint="eastAsia" w:ascii="仿宋_GB2312" w:eastAsia="仿宋_GB2312"/>
                <w:color w:val="auto"/>
                <w:kern w:val="0"/>
                <w:szCs w:val="21"/>
                <w:highlight w:val="none"/>
              </w:rPr>
              <w:t>，</w:t>
            </w:r>
            <w:r>
              <w:rPr>
                <w:color w:val="auto"/>
                <w:kern w:val="0"/>
                <w:szCs w:val="21"/>
                <w:highlight w:val="none"/>
              </w:rPr>
              <w:t>1.5</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3%</w:t>
            </w:r>
            <w:r>
              <w:rPr>
                <w:rFonts w:hint="eastAsia" w:ascii="仿宋_GB2312" w:eastAsia="仿宋_GB2312"/>
                <w:color w:val="auto"/>
                <w:kern w:val="0"/>
                <w:szCs w:val="21"/>
                <w:highlight w:val="none"/>
              </w:rPr>
              <w:t>以上，</w:t>
            </w:r>
            <w:r>
              <w:rPr>
                <w:color w:val="auto"/>
                <w:kern w:val="0"/>
                <w:szCs w:val="21"/>
                <w:highlight w:val="none"/>
              </w:rPr>
              <w:t>3</w:t>
            </w:r>
            <w:r>
              <w:rPr>
                <w:rFonts w:hint="eastAsia" w:ascii="仿宋_GB2312" w:eastAsia="仿宋_GB2312"/>
                <w:color w:val="auto"/>
                <w:kern w:val="0"/>
                <w:szCs w:val="21"/>
                <w:highlight w:val="none"/>
              </w:rPr>
              <w:t>分</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企业诚信</w:t>
            </w: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诚信管理体系建设</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企业信用等级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w:t>
            </w:r>
            <w:r>
              <w:rPr>
                <w:rFonts w:hint="eastAsia" w:ascii="仿宋_GB2312" w:eastAsia="仿宋_GB2312"/>
                <w:color w:val="auto"/>
                <w:kern w:val="0"/>
                <w:szCs w:val="21"/>
                <w:highlight w:val="none"/>
              </w:rPr>
              <w:t>、</w:t>
            </w:r>
            <w:r>
              <w:rPr>
                <w:color w:val="auto"/>
                <w:kern w:val="0"/>
                <w:szCs w:val="21"/>
                <w:highlight w:val="none"/>
              </w:rPr>
              <w:t>CC</w:t>
            </w:r>
            <w:r>
              <w:rPr>
                <w:rFonts w:hint="eastAsia" w:ascii="仿宋_GB2312" w:eastAsia="仿宋_GB2312"/>
                <w:color w:val="auto"/>
                <w:kern w:val="0"/>
                <w:szCs w:val="21"/>
                <w:highlight w:val="none"/>
              </w:rPr>
              <w:t>、</w:t>
            </w:r>
            <w:r>
              <w:rPr>
                <w:color w:val="auto"/>
                <w:kern w:val="0"/>
                <w:szCs w:val="21"/>
                <w:highlight w:val="none"/>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B</w:t>
            </w:r>
            <w:r>
              <w:rPr>
                <w:rFonts w:hint="eastAsia" w:ascii="仿宋_GB2312" w:eastAsia="仿宋_GB2312"/>
                <w:color w:val="auto"/>
                <w:kern w:val="0"/>
                <w:szCs w:val="21"/>
                <w:highlight w:val="none"/>
              </w:rPr>
              <w:t>、</w:t>
            </w:r>
            <w:r>
              <w:rPr>
                <w:color w:val="auto"/>
                <w:kern w:val="0"/>
                <w:szCs w:val="21"/>
                <w:highlight w:val="none"/>
              </w:rPr>
              <w:t>BB</w:t>
            </w:r>
            <w:r>
              <w:rPr>
                <w:rFonts w:hint="eastAsia" w:ascii="仿宋_GB2312" w:eastAsia="仿宋_GB2312"/>
                <w:color w:val="auto"/>
                <w:kern w:val="0"/>
                <w:szCs w:val="21"/>
                <w:highlight w:val="none"/>
              </w:rPr>
              <w:t>、</w:t>
            </w:r>
            <w:r>
              <w:rPr>
                <w:color w:val="auto"/>
                <w:kern w:val="0"/>
                <w:szCs w:val="21"/>
                <w:highlight w:val="none"/>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A</w:t>
            </w:r>
            <w:r>
              <w:rPr>
                <w:rFonts w:hint="eastAsia" w:ascii="仿宋_GB2312" w:eastAsia="仿宋_GB2312"/>
                <w:color w:val="auto"/>
                <w:kern w:val="0"/>
                <w:szCs w:val="21"/>
                <w:highlight w:val="none"/>
              </w:rPr>
              <w:t>、</w:t>
            </w:r>
            <w:r>
              <w:rPr>
                <w:color w:val="auto"/>
                <w:kern w:val="0"/>
                <w:szCs w:val="21"/>
                <w:highlight w:val="none"/>
              </w:rPr>
              <w:t>AA</w:t>
            </w:r>
            <w:r>
              <w:rPr>
                <w:rFonts w:hint="eastAsia" w:ascii="仿宋_GB2312" w:eastAsia="仿宋_GB2312"/>
                <w:color w:val="auto"/>
                <w:kern w:val="0"/>
                <w:szCs w:val="21"/>
                <w:highlight w:val="none"/>
              </w:rPr>
              <w:t>、</w:t>
            </w:r>
            <w:r>
              <w:rPr>
                <w:color w:val="auto"/>
                <w:kern w:val="0"/>
                <w:szCs w:val="21"/>
                <w:highlight w:val="none"/>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管理层信用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偿债能力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w:t>
            </w:r>
            <w:r>
              <w:rPr>
                <w:rFonts w:hint="eastAsia" w:ascii="仿宋_GB2312" w:eastAsia="仿宋_GB2312"/>
                <w:color w:val="auto"/>
                <w:kern w:val="0"/>
                <w:szCs w:val="21"/>
                <w:highlight w:val="none"/>
              </w:rPr>
              <w:t>总资产负债率</w:t>
            </w:r>
            <w:r>
              <w:rPr>
                <w:color w:val="auto"/>
                <w:kern w:val="0"/>
                <w:szCs w:val="21"/>
                <w:highlight w:val="none"/>
              </w:rPr>
              <w:t>+5</w:t>
            </w:r>
          </w:p>
          <w:p>
            <w:pPr>
              <w:widowControl/>
              <w:jc w:val="center"/>
              <w:rPr>
                <w:color w:val="auto"/>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资产负债率</w:t>
            </w:r>
          </w:p>
          <w:p>
            <w:pPr>
              <w:widowControl/>
              <w:jc w:val="center"/>
              <w:rPr>
                <w:rFonts w:ascii="仿宋_GB2312" w:eastAsia="仿宋_GB2312"/>
                <w:color w:val="auto"/>
                <w:kern w:val="0"/>
                <w:szCs w:val="21"/>
                <w:highlight w:val="none"/>
              </w:rPr>
            </w:pPr>
            <w:r>
              <w:rPr>
                <w:color w:val="auto"/>
                <w:kern w:val="0"/>
                <w:szCs w:val="21"/>
                <w:highlight w:val="none"/>
              </w:rPr>
              <w:t>100%</w:t>
            </w:r>
            <w:r>
              <w:rPr>
                <w:rFonts w:hint="eastAsia" w:ascii="仿宋_GB2312" w:eastAsia="仿宋_GB2312"/>
                <w:color w:val="auto"/>
                <w:kern w:val="0"/>
                <w:szCs w:val="21"/>
                <w:highlight w:val="none"/>
              </w:rPr>
              <w:t>以上，</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40%</w:t>
            </w:r>
            <w:r>
              <w:rPr>
                <w:rFonts w:hint="eastAsia" w:ascii="仿宋_GB2312" w:eastAsia="仿宋_GB2312"/>
                <w:color w:val="auto"/>
                <w:kern w:val="0"/>
                <w:szCs w:val="21"/>
                <w:highlight w:val="none"/>
              </w:rPr>
              <w:t>以下，</w:t>
            </w:r>
            <w:r>
              <w:rPr>
                <w:color w:val="auto"/>
                <w:kern w:val="0"/>
                <w:szCs w:val="21"/>
                <w:highlight w:val="none"/>
              </w:rPr>
              <w:t>3</w:t>
            </w:r>
            <w:r>
              <w:rPr>
                <w:rFonts w:hint="eastAsia" w:ascii="仿宋_GB2312" w:eastAsia="仿宋_GB2312"/>
                <w:color w:val="auto"/>
                <w:kern w:val="0"/>
                <w:szCs w:val="21"/>
                <w:highlight w:val="none"/>
              </w:rPr>
              <w:t>分</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合同履约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企业不良行为记录</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企业收到能源、环保、司法、工商、质检、安监、金融、海关等部门或机构发出的不良行为记录。无不良行为记录得满分</w:t>
            </w:r>
            <w:r>
              <w:rPr>
                <w:color w:val="auto"/>
                <w:kern w:val="0"/>
                <w:szCs w:val="21"/>
                <w:highlight w:val="none"/>
              </w:rPr>
              <w:t>2</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每条不良行为记录减</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78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服务水平</w:t>
            </w:r>
          </w:p>
        </w:tc>
        <w:tc>
          <w:tcPr>
            <w:tcW w:w="802"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服务体系建设</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每项得</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4</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top"/>
          </w:tcPr>
          <w:p>
            <w:pPr>
              <w:spacing w:line="323" w:lineRule="auto"/>
              <w:rPr>
                <w:rFonts w:ascii="Arial"/>
                <w:color w:val="auto"/>
                <w:sz w:val="21"/>
                <w:highlight w:val="none"/>
              </w:rPr>
            </w:pPr>
          </w:p>
          <w:p>
            <w:pPr>
              <w:pStyle w:val="26"/>
              <w:spacing w:before="68" w:line="218" w:lineRule="auto"/>
              <w:ind w:left="604" w:leftChars="0"/>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配送时效保障</w:t>
            </w:r>
          </w:p>
        </w:tc>
        <w:tc>
          <w:tcPr>
            <w:tcW w:w="1784" w:type="pct"/>
            <w:tcBorders>
              <w:top w:val="nil"/>
              <w:left w:val="nil"/>
              <w:bottom w:val="single" w:color="auto" w:sz="8" w:space="0"/>
              <w:right w:val="single" w:color="auto" w:sz="8" w:space="0"/>
            </w:tcBorders>
            <w:shd w:val="clear" w:color="auto" w:fill="auto"/>
            <w:vAlign w:val="top"/>
          </w:tcPr>
          <w:p>
            <w:pPr>
              <w:pStyle w:val="26"/>
              <w:spacing w:before="60" w:line="216"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63" w:line="215"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0.5</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61" w:line="223"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3" w:line="225"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按时交付率≥99%</w:t>
            </w:r>
          </w:p>
        </w:tc>
        <w:tc>
          <w:tcPr>
            <w:tcW w:w="795" w:type="pct"/>
            <w:tcBorders>
              <w:top w:val="nil"/>
              <w:left w:val="nil"/>
              <w:bottom w:val="single" w:color="auto" w:sz="8" w:space="0"/>
              <w:right w:val="single" w:color="auto" w:sz="8" w:space="0"/>
            </w:tcBorders>
            <w:shd w:val="clear" w:color="auto" w:fill="auto"/>
            <w:vAlign w:val="top"/>
          </w:tcPr>
          <w:p>
            <w:pPr>
              <w:widowControl/>
              <w:jc w:val="center"/>
              <w:rPr>
                <w:color w:val="auto"/>
                <w:kern w:val="0"/>
                <w:szCs w:val="21"/>
                <w:highlight w:val="none"/>
              </w:rPr>
            </w:pPr>
            <w:r>
              <w:rPr>
                <w:rFonts w:hint="eastAsia"/>
                <w:color w:val="auto"/>
                <w:kern w:val="0"/>
                <w:szCs w:val="21"/>
                <w:highlight w:val="none"/>
                <w:lang w:val="en-US" w:eastAsia="zh-CN"/>
              </w:rPr>
              <w:t>3</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spacing w:line="311" w:lineRule="auto"/>
              <w:rPr>
                <w:rFonts w:ascii="Arial"/>
                <w:color w:val="auto"/>
                <w:sz w:val="21"/>
                <w:highlight w:val="none"/>
              </w:rPr>
            </w:pPr>
          </w:p>
          <w:p>
            <w:pPr>
              <w:pStyle w:val="26"/>
              <w:spacing w:before="68" w:line="221" w:lineRule="auto"/>
              <w:ind w:left="804" w:leftChars="0"/>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质量追溯</w:t>
            </w:r>
          </w:p>
        </w:tc>
        <w:tc>
          <w:tcPr>
            <w:tcW w:w="1784" w:type="pct"/>
            <w:tcBorders>
              <w:top w:val="nil"/>
              <w:left w:val="nil"/>
              <w:bottom w:val="single" w:color="auto" w:sz="8" w:space="0"/>
              <w:right w:val="single" w:color="auto" w:sz="8" w:space="0"/>
            </w:tcBorders>
            <w:shd w:val="clear" w:color="auto" w:fill="auto"/>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产品质量检测无法实现追踪溯源</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产品质量检测能够实现追踪溯源，追溯期小于 2 年</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3"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产品质量检测能够实现追踪溯源，追溯期不小于 2 年</w:t>
            </w:r>
          </w:p>
        </w:tc>
        <w:tc>
          <w:tcPr>
            <w:tcW w:w="795" w:type="pct"/>
            <w:tcBorders>
              <w:top w:val="nil"/>
              <w:left w:val="nil"/>
              <w:bottom w:val="single" w:color="auto" w:sz="8" w:space="0"/>
              <w:right w:val="single" w:color="auto" w:sz="8" w:space="0"/>
            </w:tcBorders>
            <w:shd w:val="clear" w:color="auto" w:fill="auto"/>
            <w:vAlign w:val="top"/>
          </w:tcPr>
          <w:p>
            <w:pPr>
              <w:spacing w:before="92"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82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质量异议解决制度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color w:val="auto"/>
                <w:kern w:val="0"/>
                <w:szCs w:val="21"/>
                <w:highlight w:val="none"/>
              </w:rPr>
              <w:t>1.</w:t>
            </w:r>
            <w:r>
              <w:rPr>
                <w:rFonts w:hint="eastAsia" w:ascii="仿宋_GB2312" w:eastAsia="仿宋_GB2312"/>
                <w:color w:val="auto"/>
                <w:kern w:val="0"/>
                <w:szCs w:val="21"/>
                <w:highlight w:val="none"/>
              </w:rPr>
              <w:t>建立了完善的质量异议解决制度</w:t>
            </w:r>
          </w:p>
          <w:p>
            <w:pPr>
              <w:widowControl/>
              <w:jc w:val="center"/>
              <w:rPr>
                <w:rFonts w:ascii="仿宋_GB2312" w:eastAsia="仿宋_GB2312"/>
                <w:color w:val="auto"/>
                <w:kern w:val="0"/>
                <w:szCs w:val="21"/>
                <w:highlight w:val="none"/>
              </w:rPr>
            </w:pPr>
            <w:r>
              <w:rPr>
                <w:color w:val="auto"/>
                <w:kern w:val="0"/>
                <w:szCs w:val="21"/>
                <w:highlight w:val="none"/>
              </w:rPr>
              <w:t>2.</w:t>
            </w:r>
            <w:r>
              <w:rPr>
                <w:rFonts w:hint="eastAsia" w:ascii="仿宋_GB2312" w:eastAsia="仿宋_GB2312"/>
                <w:color w:val="auto"/>
                <w:kern w:val="0"/>
                <w:szCs w:val="21"/>
                <w:highlight w:val="none"/>
              </w:rPr>
              <w:t>质量异议解决制度得到了严格遵守和运行</w:t>
            </w:r>
          </w:p>
          <w:p>
            <w:pPr>
              <w:widowControl/>
              <w:jc w:val="center"/>
              <w:rPr>
                <w:color w:val="auto"/>
                <w:kern w:val="0"/>
                <w:szCs w:val="21"/>
                <w:highlight w:val="none"/>
              </w:rPr>
            </w:pPr>
            <w:r>
              <w:rPr>
                <w:color w:val="auto"/>
                <w:kern w:val="0"/>
                <w:szCs w:val="21"/>
                <w:highlight w:val="none"/>
              </w:rPr>
              <w:t>3.</w:t>
            </w:r>
            <w:r>
              <w:rPr>
                <w:rFonts w:hint="eastAsia" w:ascii="仿宋_GB2312" w:eastAsia="仿宋_GB2312"/>
                <w:color w:val="auto"/>
                <w:kern w:val="0"/>
                <w:szCs w:val="21"/>
                <w:highlight w:val="none"/>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达到每条得</w:t>
            </w:r>
            <w:r>
              <w:rPr>
                <w:rFonts w:hint="eastAsia" w:eastAsia="仿宋_GB2312"/>
                <w:color w:val="auto"/>
                <w:kern w:val="0"/>
                <w:szCs w:val="21"/>
                <w:highlight w:val="none"/>
                <w:lang w:val="en-US" w:eastAsia="zh-CN"/>
              </w:rPr>
              <w:t>1</w:t>
            </w:r>
            <w:r>
              <w:rPr>
                <w:rFonts w:hint="eastAsia" w:ascii="仿宋_GB2312" w:eastAsia="仿宋_GB2312"/>
                <w:color w:val="auto"/>
                <w:kern w:val="0"/>
                <w:szCs w:val="21"/>
                <w:highlight w:val="none"/>
              </w:rPr>
              <w:t>分，最多</w:t>
            </w:r>
            <w:r>
              <w:rPr>
                <w:rFonts w:hint="eastAsia" w:eastAsia="仿宋_GB2312"/>
                <w:color w:val="auto"/>
                <w:kern w:val="0"/>
                <w:szCs w:val="21"/>
                <w:highlight w:val="none"/>
                <w:lang w:val="en-US" w:eastAsia="zh-CN"/>
              </w:rPr>
              <w:t>3</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产品层面</w:t>
            </w: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质量一致性</w:t>
            </w:r>
          </w:p>
          <w:p>
            <w:pPr>
              <w:widowControl/>
              <w:jc w:val="center"/>
              <w:rPr>
                <w:color w:val="auto"/>
                <w:kern w:val="0"/>
                <w:szCs w:val="21"/>
                <w:highlight w:val="none"/>
              </w:rPr>
            </w:pPr>
            <w:r>
              <w:rPr>
                <w:rFonts w:hint="eastAsia" w:ascii="仿宋_GB2312" w:eastAsia="仿宋_GB2312"/>
                <w:color w:val="auto"/>
                <w:kern w:val="0"/>
                <w:szCs w:val="21"/>
                <w:highlight w:val="none"/>
              </w:rPr>
              <w:t>（工序能力指数）</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C</w:t>
            </w:r>
            <w:r>
              <w:rPr>
                <w:rFonts w:hint="eastAsia" w:ascii="仿宋_GB2312" w:eastAsia="仿宋_GB2312"/>
                <w:color w:val="auto"/>
                <w:kern w:val="0"/>
                <w:szCs w:val="21"/>
                <w:highlight w:val="none"/>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各项按公式计算得分，即</w:t>
            </w:r>
          </w:p>
          <w:p>
            <w:pPr>
              <w:widowControl/>
              <w:jc w:val="center"/>
              <w:rPr>
                <w:rFonts w:ascii="仿宋_GB2312" w:eastAsia="仿宋_GB2312"/>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0.8</w:t>
            </w:r>
            <w:r>
              <w:rPr>
                <w:rFonts w:hint="eastAsia" w:ascii="仿宋_GB2312" w:eastAsia="仿宋_GB2312"/>
                <w:color w:val="auto"/>
                <w:kern w:val="0"/>
                <w:szCs w:val="21"/>
                <w:highlight w:val="none"/>
              </w:rPr>
              <w:t>时，</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1.2</w:t>
            </w:r>
            <w:r>
              <w:rPr>
                <w:rFonts w:hint="eastAsia" w:ascii="仿宋_GB2312" w:eastAsia="仿宋_GB2312"/>
                <w:color w:val="auto"/>
                <w:kern w:val="0"/>
                <w:szCs w:val="21"/>
                <w:highlight w:val="none"/>
              </w:rPr>
              <w:t>时，</w:t>
            </w:r>
            <w:r>
              <w:rPr>
                <w:rFonts w:hint="eastAsia" w:eastAsia="仿宋_GB2312"/>
                <w:color w:val="auto"/>
                <w:kern w:val="0"/>
                <w:szCs w:val="21"/>
                <w:highlight w:val="none"/>
              </w:rPr>
              <w:t>2</w:t>
            </w:r>
            <w:r>
              <w:rPr>
                <w:rFonts w:hint="eastAsia" w:ascii="仿宋_GB2312" w:eastAsia="仿宋_GB2312"/>
                <w:color w:val="auto"/>
                <w:kern w:val="0"/>
                <w:szCs w:val="21"/>
                <w:highlight w:val="none"/>
              </w:rPr>
              <w:t>分</w:t>
            </w:r>
          </w:p>
        </w:tc>
      </w:tr>
      <w:tr>
        <w:tblPrEx>
          <w:shd w:val="clear" w:color="auto" w:fill="auto"/>
          <w:tblCellMar>
            <w:top w:w="0" w:type="dxa"/>
            <w:left w:w="108" w:type="dxa"/>
            <w:bottom w:w="0" w:type="dxa"/>
            <w:right w:w="108" w:type="dxa"/>
          </w:tblCellMar>
        </w:tblPrEx>
        <w:trPr>
          <w:trHeight w:val="279"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S</w:t>
            </w:r>
            <w:r>
              <w:rPr>
                <w:rFonts w:hint="eastAsia" w:ascii="仿宋_GB2312" w:eastAsia="仿宋_GB2312"/>
                <w:color w:val="auto"/>
                <w:kern w:val="0"/>
                <w:szCs w:val="21"/>
                <w:highlight w:val="none"/>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P</w:t>
            </w:r>
            <w:r>
              <w:rPr>
                <w:rFonts w:hint="eastAsia" w:ascii="仿宋_GB2312" w:eastAsia="仿宋_GB2312"/>
                <w:color w:val="auto"/>
                <w:kern w:val="0"/>
                <w:szCs w:val="21"/>
                <w:highlight w:val="none"/>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（碳当量CEV）</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（裂纹敏感性指数Pcm）</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（屈服强度）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Times New Roman" w:eastAsia="仿宋_GB2312" w:cs="Times New Roman"/>
                <w:color w:val="auto"/>
                <w:kern w:val="0"/>
                <w:sz w:val="21"/>
                <w:szCs w:val="21"/>
                <w:highlight w:val="none"/>
                <w:lang w:val="en-US" w:eastAsia="zh-CN" w:bidi="ar-SA"/>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Times New Roman" w:eastAsia="仿宋_GB2312" w:cs="Times New Roman"/>
                <w:color w:val="auto"/>
                <w:kern w:val="0"/>
                <w:sz w:val="21"/>
                <w:szCs w:val="21"/>
                <w:highlight w:val="none"/>
                <w:lang w:val="en-US" w:eastAsia="zh-CN" w:bidi="ar-SA"/>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（屈强比）</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tcBorders>
              <w:top w:val="nil"/>
              <w:left w:val="single" w:color="auto" w:sz="8" w:space="0"/>
              <w:bottom w:val="nil"/>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（冲击吸收能量）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5Cp-</w:t>
            </w:r>
            <w:r>
              <w:rPr>
                <w:rFonts w:hint="eastAsia"/>
                <w:color w:val="auto"/>
                <w:kern w:val="0"/>
                <w:szCs w:val="21"/>
                <w:highlight w:val="none"/>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continue"/>
            <w:tcBorders>
              <w:left w:val="single" w:color="auto"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质量反馈</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重大工程应用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国家重大工程项目直接应用数量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每项重大工程得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终端客户水平</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按公式计算得分：（央企、国企、上市公司客户采购数量占产品总销量比重）</w:t>
            </w:r>
            <w:r>
              <w:rPr>
                <w:color w:val="auto"/>
                <w:kern w:val="0"/>
                <w:szCs w:val="21"/>
                <w:highlight w:val="none"/>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重点客户销量占比</w:t>
            </w:r>
          </w:p>
          <w:p>
            <w:pPr>
              <w:widowControl/>
              <w:jc w:val="center"/>
              <w:rPr>
                <w:rFonts w:ascii="仿宋_GB2312" w:eastAsia="仿宋_GB2312"/>
                <w:color w:val="auto"/>
                <w:kern w:val="0"/>
                <w:szCs w:val="21"/>
                <w:highlight w:val="none"/>
              </w:rPr>
            </w:pPr>
            <w:r>
              <w:rPr>
                <w:color w:val="auto"/>
                <w:kern w:val="0"/>
                <w:szCs w:val="21"/>
                <w:highlight w:val="none"/>
              </w:rPr>
              <w:t>10%</w:t>
            </w:r>
            <w:r>
              <w:rPr>
                <w:rFonts w:hint="eastAsia" w:ascii="仿宋_GB2312" w:eastAsia="仿宋_GB2312"/>
                <w:color w:val="auto"/>
                <w:kern w:val="0"/>
                <w:szCs w:val="21"/>
                <w:highlight w:val="none"/>
              </w:rPr>
              <w:t>以下，</w:t>
            </w:r>
            <w:r>
              <w:rPr>
                <w:color w:val="auto"/>
                <w:kern w:val="0"/>
                <w:szCs w:val="21"/>
                <w:highlight w:val="none"/>
              </w:rPr>
              <w:t>0</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color w:val="auto"/>
                <w:kern w:val="0"/>
                <w:szCs w:val="21"/>
                <w:highlight w:val="none"/>
              </w:rPr>
              <w:t>50%</w:t>
            </w:r>
            <w:r>
              <w:rPr>
                <w:rFonts w:hint="eastAsia" w:ascii="仿宋_GB2312" w:eastAsia="仿宋_GB2312"/>
                <w:color w:val="auto"/>
                <w:kern w:val="0"/>
                <w:szCs w:val="21"/>
                <w:highlight w:val="none"/>
              </w:rPr>
              <w:t>以上，</w:t>
            </w:r>
            <w:r>
              <w:rPr>
                <w:color w:val="auto"/>
                <w:kern w:val="0"/>
                <w:szCs w:val="21"/>
                <w:highlight w:val="none"/>
              </w:rPr>
              <w:t>2</w:t>
            </w:r>
            <w:r>
              <w:rPr>
                <w:rFonts w:hint="eastAsia" w:ascii="仿宋_GB2312" w:eastAsia="仿宋_GB2312"/>
                <w:color w:val="auto"/>
                <w:kern w:val="0"/>
                <w:szCs w:val="21"/>
                <w:highlight w:val="none"/>
              </w:rPr>
              <w:t>分</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质量异议经济损失率</w:t>
            </w:r>
          </w:p>
          <w:p>
            <w:pPr>
              <w:widowControl/>
              <w:jc w:val="center"/>
              <w:rPr>
                <w:color w:val="auto"/>
                <w:kern w:val="0"/>
                <w:szCs w:val="21"/>
                <w:highlight w:val="none"/>
              </w:rPr>
            </w:pPr>
            <w:r>
              <w:rPr>
                <w:rFonts w:hint="eastAsia" w:ascii="仿宋_GB2312" w:eastAsia="仿宋_GB2312"/>
                <w:color w:val="auto"/>
                <w:kern w:val="0"/>
                <w:szCs w:val="21"/>
                <w:highlight w:val="none"/>
              </w:rPr>
              <w:t>（元/万元—赔偿额/销售额）</w:t>
            </w:r>
            <w:r>
              <w:rPr>
                <w:rFonts w:hint="eastAsia" w:ascii="仿宋_GB2312" w:eastAsia="仿宋_GB2312"/>
                <w:color w:val="auto"/>
                <w:kern w:val="0"/>
                <w:szCs w:val="21"/>
                <w:highlight w:val="none"/>
              </w:rPr>
              <w:br w:type="textWrapping"/>
            </w:r>
          </w:p>
        </w:tc>
        <w:tc>
          <w:tcPr>
            <w:tcW w:w="1784" w:type="pct"/>
            <w:tcBorders>
              <w:top w:val="nil"/>
              <w:left w:val="nil"/>
              <w:bottom w:val="single" w:color="auto" w:sz="8" w:space="0"/>
              <w:right w:val="single" w:color="auto" w:sz="8" w:space="0"/>
            </w:tcBorders>
            <w:shd w:val="clear" w:color="auto" w:fill="auto"/>
            <w:vAlign w:val="center"/>
          </w:tcPr>
          <w:p>
            <w:pPr>
              <w:pStyle w:val="26"/>
              <w:spacing w:before="60"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＞1.5</w:t>
            </w:r>
          </w:p>
        </w:tc>
        <w:tc>
          <w:tcPr>
            <w:tcW w:w="795" w:type="pct"/>
            <w:tcBorders>
              <w:top w:val="nil"/>
              <w:left w:val="nil"/>
              <w:bottom w:val="single" w:color="auto" w:sz="8" w:space="0"/>
              <w:right w:val="single" w:color="auto" w:sz="8" w:space="0"/>
            </w:tcBorders>
            <w:shd w:val="clear" w:color="auto" w:fill="auto"/>
            <w:vAlign w:val="center"/>
          </w:tcPr>
          <w:p>
            <w:pPr>
              <w:spacing w:before="99"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pStyle w:val="26"/>
              <w:spacing w:before="53"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＜1.0~1.5</w:t>
            </w:r>
          </w:p>
        </w:tc>
        <w:tc>
          <w:tcPr>
            <w:tcW w:w="795" w:type="pct"/>
            <w:tcBorders>
              <w:top w:val="nil"/>
              <w:left w:val="nil"/>
              <w:bottom w:val="single" w:color="auto" w:sz="8" w:space="0"/>
              <w:right w:val="single" w:color="auto" w:sz="8" w:space="0"/>
            </w:tcBorders>
            <w:shd w:val="clear" w:color="auto" w:fill="auto"/>
            <w:vAlign w:val="center"/>
          </w:tcPr>
          <w:p>
            <w:pPr>
              <w:spacing w:before="92"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＜0.5~1.0</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2</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center"/>
          </w:tcPr>
          <w:p>
            <w:pPr>
              <w:pStyle w:val="26"/>
              <w:spacing w:before="52" w:line="225"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≤0.5</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3</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 xml:space="preserve">质量异议响应时间 </w:t>
            </w:r>
          </w:p>
          <w:p>
            <w:pPr>
              <w:widowControl/>
              <w:jc w:val="center"/>
              <w:rPr>
                <w:color w:val="auto"/>
                <w:kern w:val="0"/>
                <w:szCs w:val="21"/>
                <w:highlight w:val="none"/>
              </w:rPr>
            </w:pPr>
            <w:r>
              <w:rPr>
                <w:rFonts w:hint="eastAsia" w:ascii="仿宋_GB2312" w:eastAsia="仿宋_GB2312"/>
                <w:color w:val="auto"/>
                <w:kern w:val="0"/>
                <w:szCs w:val="21"/>
                <w:highlight w:val="none"/>
              </w:rPr>
              <w:t>（单位：工作日）</w:t>
            </w: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＞5</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widowControl/>
              <w:jc w:val="cente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＞3~5</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widowControl/>
              <w:jc w:val="cente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＞1~3</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widowControl/>
              <w:jc w:val="cente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≤1</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顾客满意度</w:t>
            </w:r>
          </w:p>
          <w:p>
            <w:pPr>
              <w:widowControl/>
              <w:jc w:val="center"/>
              <w:rPr>
                <w:color w:val="auto"/>
                <w:kern w:val="0"/>
                <w:szCs w:val="21"/>
                <w:highlight w:val="none"/>
              </w:rPr>
            </w:pPr>
            <w:r>
              <w:rPr>
                <w:rFonts w:hint="eastAsia" w:ascii="仿宋_GB2312" w:eastAsia="仿宋_GB2312"/>
                <w:color w:val="auto"/>
                <w:kern w:val="0"/>
                <w:szCs w:val="21"/>
                <w:highlight w:val="none"/>
              </w:rPr>
              <w:t>（单位：分）</w:t>
            </w: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顾客满意度＜70，或未开展顾客满意度调查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70~＜80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80~＜90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000000" w:sz="8" w:space="0"/>
              <w:right w:val="single" w:color="auto" w:sz="8" w:space="0"/>
            </w:tcBorders>
            <w:shd w:val="clear" w:color="auto" w:fill="auto"/>
            <w:vAlign w:val="top"/>
          </w:tcPr>
          <w:p>
            <w:pPr>
              <w:rPr>
                <w:color w:val="auto"/>
                <w:kern w:val="0"/>
                <w:szCs w:val="21"/>
                <w:highlight w:val="none"/>
              </w:rPr>
            </w:pPr>
          </w:p>
        </w:tc>
        <w:tc>
          <w:tcPr>
            <w:tcW w:w="1784" w:type="pct"/>
            <w:tcBorders>
              <w:top w:val="nil"/>
              <w:left w:val="nil"/>
              <w:bottom w:val="single" w:color="auto" w:sz="8" w:space="0"/>
              <w:right w:val="single" w:color="auto" w:sz="8" w:space="0"/>
            </w:tcBorders>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≥90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4"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质量认证</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第二方评价</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每项供应商评价得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第三方认证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每项认证得</w:t>
            </w:r>
            <w:r>
              <w:rPr>
                <w:color w:val="auto"/>
                <w:kern w:val="0"/>
                <w:szCs w:val="21"/>
                <w:highlight w:val="none"/>
              </w:rPr>
              <w:t xml:space="preserve">0.5 </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163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荣誉奖项</w:t>
            </w:r>
          </w:p>
        </w:tc>
        <w:tc>
          <w:tcPr>
            <w:tcW w:w="802"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产品质量奖</w:t>
            </w:r>
          </w:p>
        </w:tc>
        <w:tc>
          <w:tcPr>
            <w:tcW w:w="1784" w:type="pct"/>
            <w:tcBorders>
              <w:top w:val="nil"/>
              <w:left w:val="nil"/>
              <w:bottom w:val="nil"/>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国家级质量奖：每项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国家级提名奖：每项</w:t>
            </w:r>
            <w:r>
              <w:rPr>
                <w:color w:val="auto"/>
                <w:kern w:val="0"/>
                <w:szCs w:val="21"/>
                <w:highlight w:val="none"/>
              </w:rPr>
              <w:t>3</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省部级质量奖：每项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省部级提名奖：每项</w:t>
            </w:r>
            <w:r>
              <w:rPr>
                <w:color w:val="auto"/>
                <w:kern w:val="0"/>
                <w:szCs w:val="21"/>
                <w:highlight w:val="none"/>
              </w:rPr>
              <w:t>1</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rFonts w:hint="eastAsia" w:ascii="仿宋_GB2312" w:eastAsia="仿宋_GB2312"/>
                <w:color w:val="auto"/>
                <w:kern w:val="0"/>
                <w:szCs w:val="21"/>
                <w:highlight w:val="none"/>
              </w:rPr>
              <w:t>市级质量奖：每项</w:t>
            </w:r>
            <w:r>
              <w:rPr>
                <w:color w:val="auto"/>
                <w:kern w:val="0"/>
                <w:szCs w:val="21"/>
                <w:highlight w:val="none"/>
              </w:rPr>
              <w:t>0.5</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44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产品科技奖</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国家级一等奖：每项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国家级二等奖：每项</w:t>
            </w:r>
            <w:r>
              <w:rPr>
                <w:color w:val="auto"/>
                <w:kern w:val="0"/>
                <w:szCs w:val="21"/>
                <w:highlight w:val="none"/>
              </w:rPr>
              <w:t>3.5</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省部级一等奖：每项</w:t>
            </w:r>
            <w:r>
              <w:rPr>
                <w:color w:val="auto"/>
                <w:kern w:val="0"/>
                <w:szCs w:val="21"/>
                <w:highlight w:val="none"/>
              </w:rPr>
              <w:t>2.5</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省部级二等奖：每项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color w:val="auto"/>
                <w:kern w:val="0"/>
                <w:szCs w:val="21"/>
                <w:highlight w:val="none"/>
              </w:rPr>
            </w:pPr>
            <w:r>
              <w:rPr>
                <w:rFonts w:hint="eastAsia" w:ascii="仿宋_GB2312" w:eastAsia="仿宋_GB2312"/>
                <w:color w:val="auto"/>
                <w:kern w:val="0"/>
                <w:szCs w:val="21"/>
                <w:highlight w:val="none"/>
              </w:rPr>
              <w:t>省部级三等奖：每项</w:t>
            </w:r>
            <w:r>
              <w:rPr>
                <w:color w:val="auto"/>
                <w:kern w:val="0"/>
                <w:szCs w:val="21"/>
                <w:highlight w:val="none"/>
              </w:rPr>
              <w:t>1.5</w:t>
            </w:r>
            <w:r>
              <w:rPr>
                <w:rFonts w:hint="eastAsia" w:ascii="仿宋_GB2312" w:eastAsia="仿宋_GB2312"/>
                <w:color w:val="auto"/>
                <w:kern w:val="0"/>
                <w:szCs w:val="21"/>
                <w:highlight w:val="none"/>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单项冠军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shd w:val="clear" w:color="auto" w:fill="auto"/>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color w:val="auto"/>
                <w:kern w:val="0"/>
                <w:szCs w:val="21"/>
                <w:highlight w:val="none"/>
              </w:rPr>
            </w:pPr>
          </w:p>
        </w:tc>
        <w:tc>
          <w:tcPr>
            <w:tcW w:w="235" w:type="pct"/>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color w:val="auto"/>
                <w:kern w:val="0"/>
                <w:szCs w:val="21"/>
                <w:highlight w:val="none"/>
              </w:rPr>
            </w:pPr>
          </w:p>
        </w:tc>
        <w:tc>
          <w:tcPr>
            <w:tcW w:w="802" w:type="pct"/>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color w:val="auto"/>
                <w:kern w:val="0"/>
                <w:szCs w:val="21"/>
                <w:highlight w:val="none"/>
              </w:rPr>
            </w:pPr>
          </w:p>
        </w:tc>
        <w:tc>
          <w:tcPr>
            <w:tcW w:w="1784"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4" w:type="pct"/>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color w:val="auto"/>
                <w:kern w:val="0"/>
                <w:szCs w:val="21"/>
                <w:highlight w:val="none"/>
              </w:rPr>
            </w:pPr>
          </w:p>
        </w:tc>
        <w:tc>
          <w:tcPr>
            <w:tcW w:w="642" w:type="pct"/>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color w:val="auto"/>
                <w:kern w:val="0"/>
                <w:szCs w:val="21"/>
                <w:highlight w:val="none"/>
              </w:rPr>
            </w:pPr>
          </w:p>
        </w:tc>
      </w:tr>
      <w:tr>
        <w:tblPrEx>
          <w:tblCellMar>
            <w:top w:w="0" w:type="dxa"/>
            <w:left w:w="108" w:type="dxa"/>
            <w:bottom w:w="0" w:type="dxa"/>
            <w:right w:w="108" w:type="dxa"/>
          </w:tblCellMar>
        </w:tblPrEx>
        <w:trPr>
          <w:trHeight w:val="315" w:hRule="atLeast"/>
        </w:trPr>
        <w:tc>
          <w:tcPr>
            <w:tcW w:w="226" w:type="pct"/>
            <w:vMerge w:val="restart"/>
            <w:tcBorders>
              <w:top w:val="single" w:color="auto" w:sz="4" w:space="0"/>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left"/>
              <w:rPr>
                <w:color w:val="auto"/>
                <w:kern w:val="0"/>
                <w:szCs w:val="21"/>
                <w:highlight w:val="none"/>
              </w:rPr>
            </w:pPr>
            <w:r>
              <w:rPr>
                <w:rFonts w:hint="eastAsia" w:ascii="仿宋_GB2312" w:eastAsia="仿宋_GB2312"/>
                <w:color w:val="auto"/>
                <w:kern w:val="0"/>
                <w:szCs w:val="21"/>
                <w:highlight w:val="none"/>
              </w:rPr>
              <w:t>信息化</w:t>
            </w:r>
            <w:bookmarkStart w:id="1" w:name="_GoBack"/>
            <w:bookmarkEnd w:id="1"/>
            <w:r>
              <w:rPr>
                <w:rFonts w:hint="eastAsia" w:ascii="仿宋_GB2312" w:eastAsia="仿宋_GB2312"/>
                <w:color w:val="auto"/>
                <w:kern w:val="0"/>
                <w:szCs w:val="21"/>
                <w:highlight w:val="none"/>
              </w:rPr>
              <w:t>水平</w:t>
            </w:r>
          </w:p>
        </w:tc>
        <w:tc>
          <w:tcPr>
            <w:tcW w:w="80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智能制造成熟度</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 xml:space="preserve">未达一级-基础级：企业具备最基础的网络化办公及电子化 </w:t>
            </w:r>
            <w:r>
              <w:rPr>
                <w:rFonts w:hint="eastAsia" w:ascii="仿宋_GB2312" w:hAnsi="宋体" w:eastAsia="仿宋_GB2312" w:cs="宋体"/>
                <w:color w:val="auto"/>
                <w:kern w:val="0"/>
                <w:szCs w:val="21"/>
                <w:highlight w:val="none"/>
              </w:rPr>
              <w:t>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0</w:t>
            </w:r>
          </w:p>
        </w:tc>
        <w:tc>
          <w:tcPr>
            <w:tcW w:w="514"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2.5</w:t>
            </w:r>
          </w:p>
        </w:tc>
        <w:tc>
          <w:tcPr>
            <w:tcW w:w="642" w:type="pct"/>
            <w:vMerge w:val="restart"/>
            <w:tcBorders>
              <w:top w:val="single" w:color="auto" w:sz="4" w:space="0"/>
              <w:left w:val="single" w:color="auto" w:sz="4" w:space="0"/>
              <w:right w:val="single" w:color="auto" w:sz="4" w:space="0"/>
            </w:tcBorders>
            <w:shd w:val="clear" w:color="auto" w:fill="auto"/>
            <w:vAlign w:val="center"/>
          </w:tcPr>
          <w:p>
            <w:pPr>
              <w:pStyle w:val="26"/>
              <w:spacing w:before="63" w:line="219" w:lineRule="auto"/>
              <w:ind w:left="0"/>
              <w:rPr>
                <w:rFonts w:hint="eastAsia" w:ascii="仿宋_GB2312" w:hAnsi="宋体" w:eastAsia="仿宋_GB2312" w:cs="宋体"/>
                <w:color w:val="auto"/>
                <w:kern w:val="0"/>
                <w:highlight w:val="none"/>
                <w:lang w:eastAsia="zh-CN"/>
              </w:rPr>
            </w:pPr>
            <w:r>
              <w:rPr>
                <w:rFonts w:hint="eastAsia" w:ascii="仿宋_GB2312" w:hAnsi="宋体" w:eastAsia="仿宋_GB2312" w:cs="宋体"/>
                <w:color w:val="auto"/>
                <w:spacing w:val="0"/>
                <w:kern w:val="0"/>
                <w:highlight w:val="none"/>
                <w:lang w:eastAsia="zh-CN"/>
              </w:rPr>
              <w:t>此为加分项，评价</w:t>
            </w:r>
          </w:p>
          <w:p>
            <w:pPr>
              <w:pStyle w:val="26"/>
              <w:spacing w:before="63" w:line="219" w:lineRule="auto"/>
              <w:ind w:left="0"/>
              <w:rPr>
                <w:rFonts w:hint="eastAsia" w:ascii="仿宋_GB2312" w:hAnsi="宋体" w:eastAsia="仿宋_GB2312" w:cs="宋体"/>
                <w:color w:val="auto"/>
                <w:spacing w:val="0"/>
                <w:kern w:val="0"/>
                <w:highlight w:val="none"/>
                <w:lang w:eastAsia="zh-CN"/>
              </w:rPr>
            </w:pPr>
            <w:r>
              <w:rPr>
                <w:rFonts w:hint="eastAsia" w:ascii="仿宋_GB2312" w:hAnsi="宋体" w:eastAsia="仿宋_GB2312" w:cs="宋体"/>
                <w:color w:val="auto"/>
                <w:spacing w:val="0"/>
                <w:kern w:val="0"/>
                <w:highlight w:val="none"/>
                <w:lang w:eastAsia="zh-CN"/>
              </w:rPr>
              <w:t>指标得分未满 100分时可以计入</w:t>
            </w:r>
          </w:p>
          <w:p>
            <w:pPr>
              <w:pStyle w:val="26"/>
              <w:spacing w:before="63" w:line="219" w:lineRule="auto"/>
              <w:ind w:left="0"/>
              <w:rPr>
                <w:color w:val="auto"/>
                <w:kern w:val="0"/>
                <w:szCs w:val="21"/>
                <w:highlight w:val="none"/>
              </w:rPr>
            </w:pPr>
            <w:r>
              <w:rPr>
                <w:rFonts w:hint="eastAsia" w:ascii="仿宋_GB2312" w:hAnsi="宋体" w:eastAsia="仿宋_GB2312" w:cs="宋体"/>
                <w:color w:val="auto"/>
                <w:spacing w:val="0"/>
                <w:kern w:val="0"/>
                <w:highlight w:val="none"/>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一级-规划级：企业应开始对实施智能制造的基础和条件进</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行规划，能够对核心业务活动（设计、生产、物流、销售、</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0.5</w:t>
            </w:r>
          </w:p>
        </w:tc>
        <w:tc>
          <w:tcPr>
            <w:tcW w:w="514"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二级-规范级： 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1</w:t>
            </w:r>
          </w:p>
        </w:tc>
        <w:tc>
          <w:tcPr>
            <w:tcW w:w="514"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三级-集成级：企业应对装备、系统等开展集成， 实现跨业</w:t>
            </w:r>
            <w:r>
              <w:rPr>
                <w:rFonts w:hint="eastAsia" w:ascii="仿宋_GB2312" w:hAnsi="宋体" w:eastAsia="仿宋_GB2312" w:cs="宋体"/>
                <w:color w:val="auto"/>
                <w:kern w:val="0"/>
                <w:szCs w:val="21"/>
                <w:highlight w:val="none"/>
              </w:rPr>
              <w:t xml:space="preserve"> </w:t>
            </w:r>
            <w:r>
              <w:rPr>
                <w:rFonts w:hint="eastAsia" w:ascii="仿宋_GB2312" w:hAnsi="宋体" w:eastAsia="仿宋_GB2312" w:cs="宋体"/>
                <w:color w:val="auto"/>
                <w:spacing w:val="0"/>
                <w:kern w:val="0"/>
                <w:szCs w:val="21"/>
                <w:highlight w:val="none"/>
              </w:rPr>
              <w:t>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1.5</w:t>
            </w:r>
          </w:p>
        </w:tc>
        <w:tc>
          <w:tcPr>
            <w:tcW w:w="514"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802" w:type="pct"/>
            <w:vMerge w:val="continue"/>
            <w:tcBorders>
              <w:left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四级-优化级：企业应对人员、资源、制造等进行数据挖掘，</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形成知识、模型等，实现对核心业务活动的精准预测和优</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w:t>
            </w:r>
          </w:p>
        </w:tc>
        <w:tc>
          <w:tcPr>
            <w:tcW w:w="514"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642" w:type="pct"/>
            <w:vMerge w:val="continue"/>
            <w:tcBorders>
              <w:left w:val="single" w:color="auto" w:sz="4" w:space="0"/>
              <w:right w:val="single" w:color="auto" w:sz="4" w:space="0"/>
            </w:tcBorders>
            <w:shd w:val="clear" w:color="auto" w:fill="auto"/>
            <w:vAlign w:val="center"/>
          </w:tcPr>
          <w:p>
            <w:pPr>
              <w:widowControl/>
              <w:jc w:val="left"/>
              <w:rPr>
                <w:color w:val="auto"/>
                <w:kern w:val="0"/>
                <w:szCs w:val="21"/>
                <w:highlight w:val="none"/>
              </w:rPr>
            </w:pPr>
          </w:p>
        </w:tc>
      </w:tr>
      <w:tr>
        <w:tblPrEx>
          <w:shd w:val="clear" w:color="auto" w:fill="auto"/>
          <w:tblCellMar>
            <w:top w:w="0" w:type="dxa"/>
            <w:left w:w="108" w:type="dxa"/>
            <w:bottom w:w="0" w:type="dxa"/>
            <w:right w:w="108" w:type="dxa"/>
          </w:tblCellMar>
        </w:tblPrEx>
        <w:trPr>
          <w:trHeight w:val="315" w:hRule="atLeast"/>
        </w:trPr>
        <w:tc>
          <w:tcPr>
            <w:tcW w:w="226"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802"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Cs w:val="21"/>
                <w:highlight w:val="none"/>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2.5</w:t>
            </w:r>
          </w:p>
        </w:tc>
        <w:tc>
          <w:tcPr>
            <w:tcW w:w="514"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highlight w:val="none"/>
              </w:rPr>
            </w:pPr>
          </w:p>
        </w:tc>
        <w:tc>
          <w:tcPr>
            <w:tcW w:w="642"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highlight w:val="none"/>
              </w:rPr>
            </w:pP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12FC017C"/>
    <w:rsid w:val="17896087"/>
    <w:rsid w:val="374101FF"/>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table" w:customStyle="1" w:styleId="10">
    <w:name w:val="网格型1"/>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正文表标题"/>
    <w:next w:val="1"/>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qFormat/>
    <w:locked/>
    <w:uiPriority w:val="0"/>
    <w:rPr>
      <w:rFonts w:ascii="宋体" w:hAnsi="Times New Roman" w:eastAsia="宋体" w:cs="宋体"/>
      <w:kern w:val="0"/>
      <w:szCs w:val="21"/>
    </w:rPr>
  </w:style>
  <w:style w:type="table" w:customStyle="1" w:styleId="19">
    <w:name w:val="网格型4"/>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14</Pages>
  <Words>6045</Words>
  <Characters>6387</Characters>
  <Lines>46</Lines>
  <Paragraphs>13</Paragraphs>
  <TotalTime>2</TotalTime>
  <ScaleCrop>false</ScaleCrop>
  <LinksUpToDate>false</LinksUpToDate>
  <CharactersWithSpaces>6465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2023-08-14T15:38:04Z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E7629A85EEDC478BBACA8601864DD664_12</vt:lpwstr>
  </property>
</Properties>
</file>