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附件 </w:t>
      </w:r>
      <w:r>
        <w:rPr>
          <w:rFonts w:hint="eastAsia" w:ascii="宋体" w:hAnsi="宋体" w:eastAsia="宋体" w:cs="宋体"/>
          <w:sz w:val="24"/>
          <w:szCs w:val="24"/>
          <w:lang w:val="en-US" w:eastAsia="zh-CN"/>
        </w:rPr>
        <w:t>6</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ICS 号</w:t>
      </w:r>
      <w:r>
        <w:rPr>
          <w:rFonts w:hint="eastAsia" w:ascii="宋体" w:hAnsi="宋体" w:cs="宋体"/>
          <w:sz w:val="24"/>
          <w:szCs w:val="24"/>
          <w:lang w:val="en-US" w:eastAsia="zh-CN"/>
        </w:rPr>
        <w:t xml:space="preserve"> 67.180</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ascii="宋体" w:hAnsi="宋体" w:eastAsia="宋体" w:cs="宋体"/>
          <w:sz w:val="24"/>
          <w:szCs w:val="24"/>
        </w:rPr>
        <w:t xml:space="preserve">中国标准文献分类号 </w:t>
      </w:r>
      <w:r>
        <w:rPr>
          <w:rFonts w:hint="eastAsia" w:ascii="宋体" w:hAnsi="宋体" w:cs="宋体"/>
          <w:sz w:val="24"/>
          <w:szCs w:val="24"/>
          <w:lang w:val="en-US" w:eastAsia="zh-CN"/>
        </w:rPr>
        <w:t>X31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020" w:lineRule="exact"/>
        <w:jc w:val="center"/>
        <w:textAlignment w:val="auto"/>
        <w:rPr>
          <w:rFonts w:hint="eastAsia" w:ascii="黑体" w:hAnsi="黑体" w:eastAsia="黑体" w:cs="黑体"/>
          <w:b/>
          <w:bCs/>
          <w:sz w:val="96"/>
          <w:szCs w:val="96"/>
        </w:rPr>
      </w:pPr>
      <w:r>
        <w:rPr>
          <w:rFonts w:hint="eastAsia" w:ascii="黑体" w:hAnsi="黑体" w:eastAsia="黑体" w:cs="黑体"/>
          <w:b/>
          <w:bCs/>
          <w:sz w:val="96"/>
          <w:szCs w:val="96"/>
        </w:rPr>
        <w:t xml:space="preserve">团 </w:t>
      </w:r>
      <w:r>
        <w:rPr>
          <w:rFonts w:hint="eastAsia" w:ascii="黑体" w:hAnsi="黑体" w:eastAsia="黑体" w:cs="黑体"/>
          <w:b/>
          <w:bCs/>
          <w:sz w:val="96"/>
          <w:szCs w:val="96"/>
          <w:lang w:val="en-US" w:eastAsia="zh-CN"/>
        </w:rPr>
        <w:t xml:space="preserve"> </w:t>
      </w:r>
      <w:r>
        <w:rPr>
          <w:rFonts w:hint="eastAsia" w:ascii="黑体" w:hAnsi="黑体" w:eastAsia="黑体" w:cs="黑体"/>
          <w:b/>
          <w:bCs/>
          <w:sz w:val="96"/>
          <w:szCs w:val="96"/>
        </w:rPr>
        <w:t>体</w:t>
      </w:r>
      <w:r>
        <w:rPr>
          <w:rFonts w:hint="eastAsia" w:ascii="黑体" w:hAnsi="黑体" w:eastAsia="黑体" w:cs="黑体"/>
          <w:b/>
          <w:bCs/>
          <w:sz w:val="96"/>
          <w:szCs w:val="96"/>
          <w:lang w:val="en-US" w:eastAsia="zh-CN"/>
        </w:rPr>
        <w:t xml:space="preserve"> </w:t>
      </w:r>
      <w:r>
        <w:rPr>
          <w:rFonts w:hint="eastAsia" w:ascii="黑体" w:hAnsi="黑体" w:eastAsia="黑体" w:cs="黑体"/>
          <w:b/>
          <w:bCs/>
          <w:sz w:val="96"/>
          <w:szCs w:val="96"/>
        </w:rPr>
        <w:t xml:space="preserve"> 标 </w:t>
      </w:r>
      <w:r>
        <w:rPr>
          <w:rFonts w:hint="eastAsia" w:ascii="黑体" w:hAnsi="黑体" w:eastAsia="黑体" w:cs="黑体"/>
          <w:b/>
          <w:bCs/>
          <w:sz w:val="96"/>
          <w:szCs w:val="96"/>
          <w:lang w:val="en-US" w:eastAsia="zh-CN"/>
        </w:rPr>
        <w:t xml:space="preserve"> </w:t>
      </w:r>
      <w:r>
        <w:rPr>
          <w:rFonts w:hint="eastAsia" w:ascii="黑体" w:hAnsi="黑体" w:eastAsia="黑体" w:cs="黑体"/>
          <w:b/>
          <w:bCs/>
          <w:sz w:val="96"/>
          <w:szCs w:val="96"/>
        </w:rPr>
        <w:t>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宋体" w:hAnsi="宋体" w:cs="宋体"/>
          <w:sz w:val="24"/>
          <w:szCs w:val="24"/>
          <w:lang w:val="en-US" w:eastAsia="zh-CN"/>
        </w:rPr>
        <w:t xml:space="preserve">                                                 </w:t>
      </w:r>
      <w:r>
        <w:rPr>
          <w:rFonts w:hint="default" w:ascii="Times New Roman" w:hAnsi="Times New Roman" w:cs="Times New Roman"/>
          <w:sz w:val="24"/>
          <w:szCs w:val="24"/>
          <w:lang w:val="en-US" w:eastAsia="zh-CN"/>
        </w:rPr>
        <w:t>T/GDBIHQDA XXXX-2023</w:t>
      </w:r>
      <w:r>
        <w:rPr>
          <w:rFonts w:hint="default" w:ascii="Times New Roman" w:hAnsi="Times New Roman" w:eastAsia="宋体" w:cs="Times New Roman"/>
          <w:sz w:val="24"/>
          <w:szCs w:val="24"/>
        </w:rPr>
        <w:t xml:space="preserve"> </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19685</wp:posOffset>
                </wp:positionV>
                <wp:extent cx="5562600" cy="635"/>
                <wp:effectExtent l="0" t="10795" r="0" b="17145"/>
                <wp:wrapNone/>
                <wp:docPr id="2" name="直接连接符 2"/>
                <wp:cNvGraphicFramePr/>
                <a:graphic xmlns:a="http://schemas.openxmlformats.org/drawingml/2006/main">
                  <a:graphicData uri="http://schemas.microsoft.com/office/word/2010/wordprocessingShape">
                    <wps:wsp>
                      <wps:cNvCnPr/>
                      <wps:spPr>
                        <a:xfrm>
                          <a:off x="0" y="0"/>
                          <a:ext cx="5562600" cy="63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1.55pt;height:0.05pt;width:438pt;z-index:251660288;mso-width-relative:page;mso-height-relative:page;" filled="f" stroked="t" coordsize="21600,21600" o:gfxdata="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TbQg0gAAAAQBAAAPAAAAAAAAAAEAIAAAACIAAABkcnMvZG93bnJldi54bWxQSwECFAAUAAAA&#10;CACHTuJAqx5VnPQBAADnAwAADgAAAAAAAAABACAAAAAhAQAAZHJzL2Uyb0RvYy54bWxQSwUGAAAA&#10;AAYABgBZAQAAhwUAAAAA&#10;">
                <v:fill on="f" focussize="0,0"/>
                <v:stroke weight="1.7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0"/>
          <w:szCs w:val="40"/>
          <w:lang w:val="en-US" w:eastAsia="zh-CN"/>
        </w:rPr>
      </w:pPr>
      <w:r>
        <w:rPr>
          <w:rFonts w:hint="eastAsia" w:ascii="宋体" w:hAnsi="宋体" w:cs="宋体"/>
          <w:b/>
          <w:bCs/>
          <w:sz w:val="40"/>
          <w:szCs w:val="40"/>
          <w:lang w:val="en-US" w:eastAsia="zh-CN"/>
        </w:rPr>
        <w:t>绵白糖（免清净工艺型）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ascii="宋体" w:hAnsi="宋体" w:eastAsia="宋体" w:cs="宋体"/>
          <w:b/>
          <w:bCs/>
          <w:sz w:val="28"/>
          <w:szCs w:val="28"/>
        </w:rPr>
      </w:pPr>
      <w:r>
        <w:rPr>
          <w:rFonts w:eastAsia="黑体"/>
          <w:b/>
          <w:bCs/>
          <w:sz w:val="28"/>
          <w:szCs w:val="28"/>
        </w:rPr>
        <w:t>White soft sugar(Free purification process)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w:t>
      </w:r>
      <w:r>
        <w:rPr>
          <w:rFonts w:hint="eastAsia" w:ascii="宋体" w:hAnsi="宋体" w:cs="宋体"/>
          <w:b/>
          <w:bCs/>
          <w:sz w:val="28"/>
          <w:szCs w:val="28"/>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在提交反馈意见时，请将您知道的相关专利连同支持性文件一并附上。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b/>
          <w:bCs/>
          <w:sz w:val="24"/>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267335</wp:posOffset>
                </wp:positionV>
                <wp:extent cx="55626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626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1.05pt;height:0.05pt;width:438pt;z-index:251661312;mso-width-relative:page;mso-height-relative:page;" filled="f" stroked="t" coordsize="21600,21600" o:gfxdata="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4xqG1AAAAAcBAAAPAAAAAAAAAAEAIAAAACIAAABkcnMvZG93bnJldi54bWxQSwECFAAU&#10;AAAACACHTuJA3gwdwPUBAADnAwAADgAAAAAAAAABACAAAAAjAQAAZHJzL2Uyb0RvYy54bWxQSwUG&#10;AAAAAAYABgBZAQAAigUAAAAA&#10;">
                <v:fill on="f" focussize="0,0"/>
                <v:stroke weight="1pt" color="#000000" joinstyle="round"/>
                <v:imagedata o:title=""/>
                <o:lock v:ext="edit" aspectratio="f"/>
              </v:line>
            </w:pict>
          </mc:Fallback>
        </mc:AlternateContent>
      </w:r>
      <w:r>
        <w:rPr>
          <w:rFonts w:ascii="宋体" w:hAnsi="宋体" w:eastAsia="宋体" w:cs="宋体"/>
          <w:b/>
          <w:bCs/>
          <w:sz w:val="24"/>
          <w:szCs w:val="24"/>
        </w:rPr>
        <w:t xml:space="preserve"> xxxx-xx-xx发布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xxxx-xx-xx实施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lang w:val="en-US" w:eastAsia="zh-CN"/>
        </w:rPr>
      </w:pPr>
      <w:r>
        <w:rPr>
          <w:rFonts w:hint="eastAsia" w:ascii="宋体" w:hAnsi="宋体" w:cs="宋体"/>
          <w:sz w:val="28"/>
          <w:szCs w:val="28"/>
          <w:lang w:val="en-US" w:eastAsia="zh-CN"/>
        </w:rPr>
        <w:t>广东省生物医药产业高质量发展协会</w:t>
      </w:r>
      <w:r>
        <w:rPr>
          <w:rFonts w:ascii="宋体" w:hAnsi="宋体" w:eastAsia="宋体" w:cs="宋体"/>
          <w:b/>
          <w:bCs/>
          <w:sz w:val="36"/>
          <w:szCs w:val="36"/>
        </w:rPr>
        <w:t xml:space="preserve"> </w:t>
      </w:r>
      <w:r>
        <w:rPr>
          <w:rFonts w:hint="eastAsia" w:ascii="宋体" w:hAnsi="宋体" w:eastAsia="宋体" w:cs="宋体"/>
          <w:b/>
          <w:bCs/>
          <w:sz w:val="36"/>
          <w:szCs w:val="36"/>
          <w:lang w:val="en-US" w:eastAsia="zh-CN"/>
        </w:rPr>
        <w:t>发布</w:t>
      </w:r>
    </w:p>
    <w:p/>
    <w:p>
      <w:pPr>
        <w:pStyle w:val="8"/>
        <w:spacing w:after="360"/>
      </w:pPr>
      <w:r>
        <w:rPr>
          <w:spacing w:val="320"/>
        </w:rPr>
        <w:t>前</w:t>
      </w:r>
      <w:r>
        <w:t>言</w:t>
      </w:r>
    </w:p>
    <w:p>
      <w:pPr>
        <w:pStyle w:val="9"/>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9"/>
        <w:ind w:firstLine="420"/>
        <w:rPr>
          <w:rFonts w:hint="default" w:ascii="Times New Roman" w:hAnsi="Times New Roman" w:cs="Times New Roman"/>
        </w:rPr>
      </w:pPr>
      <w:r>
        <w:rPr>
          <w:rFonts w:hint="default" w:ascii="Times New Roman" w:hAnsi="Times New Roman" w:cs="Times New Roman"/>
          <w:color w:val="000000"/>
        </w:rPr>
        <w:t>请注意本文件的某些内容可能涉及专利。本文件的发布机构不承担识别专利的责任。</w:t>
      </w:r>
    </w:p>
    <w:p>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lang w:bidi="ar"/>
        </w:rPr>
        <w:t>本文件由</w:t>
      </w:r>
      <w:r>
        <w:rPr>
          <w:rFonts w:hint="default" w:ascii="Times New Roman" w:hAnsi="Times New Roman" w:cs="Times New Roman"/>
          <w:color w:val="000000"/>
          <w:kern w:val="0"/>
          <w:szCs w:val="20"/>
        </w:rPr>
        <w:t>广东省生物医药产业高质量发展协会提出</w:t>
      </w:r>
      <w:r>
        <w:rPr>
          <w:rFonts w:hint="default" w:ascii="Times New Roman" w:hAnsi="Times New Roman" w:cs="Times New Roman"/>
          <w:kern w:val="0"/>
          <w:szCs w:val="20"/>
          <w:lang w:bidi="ar"/>
        </w:rPr>
        <w:t>并归口。</w:t>
      </w:r>
    </w:p>
    <w:p>
      <w:pPr>
        <w:pStyle w:val="9"/>
        <w:ind w:firstLine="420"/>
        <w:rPr>
          <w:rFonts w:hint="default" w:ascii="Times New Roman" w:hAnsi="Times New Roman" w:cs="Times New Roman"/>
        </w:rPr>
      </w:pPr>
      <w:r>
        <w:rPr>
          <w:rFonts w:hint="default" w:ascii="Times New Roman" w:hAnsi="Times New Roman" w:cs="Times New Roman"/>
        </w:rPr>
        <w:t>本文件起草单位：</w:t>
      </w:r>
    </w:p>
    <w:p>
      <w:pPr>
        <w:pStyle w:val="9"/>
        <w:ind w:firstLine="420"/>
        <w:rPr>
          <w:rFonts w:hint="default" w:ascii="Times New Roman" w:hAnsi="Times New Roman" w:cs="Times New Roman"/>
        </w:rPr>
      </w:pPr>
      <w:r>
        <w:rPr>
          <w:rFonts w:hint="default" w:ascii="Times New Roman" w:hAnsi="Times New Roman" w:cs="Times New Roman"/>
        </w:rPr>
        <w:t>本文件主要起草人：</w:t>
      </w:r>
      <w:bookmarkStart w:id="18" w:name="_GoBack"/>
      <w:bookmarkEnd w:id="18"/>
    </w:p>
    <w:p/>
    <w:p/>
    <w:p/>
    <w:p/>
    <w:p/>
    <w:p/>
    <w:p/>
    <w:p/>
    <w:p/>
    <w:p/>
    <w:p/>
    <w:p/>
    <w:p/>
    <w:p/>
    <w:p/>
    <w:p/>
    <w:p/>
    <w:p/>
    <w:p/>
    <w:p/>
    <w:p/>
    <w:p/>
    <w:p/>
    <w:p/>
    <w:p/>
    <w:p/>
    <w:p/>
    <w:p/>
    <w:p/>
    <w:p/>
    <w:p/>
    <w:p/>
    <w:p/>
    <w:p/>
    <w:p/>
    <w:p/>
    <w:p/>
    <w:p/>
    <w:p>
      <w:pPr>
        <w:jc w:val="center"/>
        <w:rPr>
          <w:rFonts w:hint="eastAsia" w:eastAsia="宋体"/>
          <w:lang w:val="en-US" w:eastAsia="zh-CN"/>
        </w:rPr>
      </w:pPr>
      <w:r>
        <w:rPr>
          <w:rFonts w:hint="eastAsia"/>
          <w:b/>
          <w:bCs/>
          <w:sz w:val="32"/>
          <w:szCs w:val="32"/>
          <w:lang w:val="en-US" w:eastAsia="zh-CN"/>
        </w:rPr>
        <w:t>绵白糖（免清净工艺型）</w:t>
      </w:r>
    </w:p>
    <w:p>
      <w:pPr>
        <w:pStyle w:val="10"/>
        <w:spacing w:before="240" w:after="240"/>
        <w:ind w:left="0"/>
        <w:jc w:val="left"/>
      </w:pPr>
      <w:bookmarkStart w:id="0" w:name="_Toc26648465"/>
      <w:bookmarkStart w:id="1" w:name="_Toc26986771"/>
      <w:bookmarkStart w:id="2" w:name="_Toc26986530"/>
      <w:bookmarkStart w:id="3" w:name="_Toc24884211"/>
      <w:bookmarkStart w:id="4" w:name="_Toc24884218"/>
      <w:bookmarkStart w:id="5" w:name="_Toc17233333"/>
      <w:bookmarkStart w:id="6" w:name="_Toc17233325"/>
      <w:bookmarkStart w:id="7" w:name="_Toc26718930"/>
      <w:bookmarkStart w:id="8" w:name="OLE_LINK2"/>
      <w:r>
        <w:rPr>
          <w:rFonts w:hint="eastAsia"/>
        </w:rPr>
        <w:t>范围</w:t>
      </w:r>
      <w:bookmarkEnd w:id="0"/>
      <w:bookmarkEnd w:id="1"/>
      <w:bookmarkEnd w:id="2"/>
      <w:bookmarkEnd w:id="3"/>
      <w:bookmarkEnd w:id="4"/>
      <w:bookmarkEnd w:id="5"/>
      <w:bookmarkEnd w:id="6"/>
      <w:bookmarkEnd w:id="7"/>
    </w:p>
    <w:p>
      <w:pPr>
        <w:pStyle w:val="9"/>
        <w:ind w:left="141" w:leftChars="67" w:firstLine="277" w:firstLineChars="132"/>
      </w:pPr>
      <w:bookmarkStart w:id="9" w:name="_Toc24884212"/>
      <w:bookmarkStart w:id="10" w:name="_Toc26648466"/>
      <w:bookmarkStart w:id="11" w:name="_Toc24884219"/>
      <w:bookmarkStart w:id="12" w:name="_Toc17233326"/>
      <w:bookmarkStart w:id="13" w:name="_Toc17233334"/>
      <w:r>
        <w:rPr>
          <w:rFonts w:hint="eastAsia"/>
        </w:rPr>
        <w:t>本文件规定了绵白糖</w:t>
      </w:r>
      <w:r>
        <w:t>（免清净工艺型）</w:t>
      </w:r>
      <w:r>
        <w:rPr>
          <w:rFonts w:hint="eastAsia"/>
        </w:rPr>
        <w:t>的要求、试验方法、检验规则和标识、包装、运输、贮存。</w:t>
      </w:r>
    </w:p>
    <w:p>
      <w:pPr>
        <w:pStyle w:val="9"/>
        <w:ind w:firstLine="420"/>
      </w:pPr>
      <w:r>
        <w:rPr>
          <w:rFonts w:hint="eastAsia"/>
        </w:rPr>
        <w:t>本文件适用于制糖工业中利用白砂糖、冰糖蜜、蔗糖糖浆为直接或间接原料生产的绵白糖。</w:t>
      </w:r>
    </w:p>
    <w:bookmarkEnd w:id="8"/>
    <w:p>
      <w:pPr>
        <w:pStyle w:val="10"/>
        <w:spacing w:before="240" w:after="240"/>
        <w:ind w:left="0"/>
      </w:pPr>
      <w:bookmarkStart w:id="14" w:name="_Toc26986772"/>
      <w:bookmarkStart w:id="15" w:name="_Toc26986531"/>
      <w:bookmarkStart w:id="16" w:name="_Toc26718931"/>
      <w:r>
        <w:rPr>
          <w:rFonts w:hint="eastAsia"/>
        </w:rPr>
        <w:t>规范性引用文件</w:t>
      </w:r>
      <w:bookmarkEnd w:id="9"/>
      <w:bookmarkEnd w:id="10"/>
      <w:bookmarkEnd w:id="11"/>
      <w:bookmarkEnd w:id="12"/>
      <w:bookmarkEnd w:id="13"/>
      <w:bookmarkEnd w:id="14"/>
      <w:bookmarkEnd w:id="15"/>
      <w:bookmarkEnd w:id="16"/>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szCs w:val="24"/>
          <w:lang w:val="en-US" w:eastAsia="zh-CN"/>
        </w:rPr>
      </w:pPr>
      <w:r>
        <w:rPr>
          <w:rFonts w:hint="eastAsia"/>
          <w:szCs w:val="24"/>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
        <w:spacing w:line="240" w:lineRule="auto"/>
        <w:rPr>
          <w:rFonts w:hAnsi="宋体"/>
          <w:szCs w:val="24"/>
        </w:rPr>
      </w:pPr>
      <w:r>
        <w:rPr>
          <w:szCs w:val="24"/>
        </w:rPr>
        <w:t>GB/T 191</w:t>
      </w:r>
      <w:r>
        <w:rPr>
          <w:rFonts w:hAnsi="宋体"/>
          <w:szCs w:val="24"/>
        </w:rPr>
        <w:t>包装储运图示标志</w:t>
      </w:r>
    </w:p>
    <w:p>
      <w:pPr>
        <w:pStyle w:val="2"/>
        <w:spacing w:line="240" w:lineRule="auto"/>
        <w:rPr>
          <w:szCs w:val="24"/>
        </w:rPr>
      </w:pPr>
      <w:r>
        <w:rPr>
          <w:rFonts w:hint="eastAsia"/>
        </w:rPr>
        <w:t>G</w:t>
      </w:r>
      <w:r>
        <w:rPr>
          <w:rFonts w:ascii="Times New Roman"/>
          <w:szCs w:val="20"/>
        </w:rPr>
        <w:t>B</w:t>
      </w:r>
      <w:r>
        <w:rPr>
          <w:rFonts w:hint="eastAsia" w:ascii="Times New Roman"/>
          <w:szCs w:val="20"/>
        </w:rPr>
        <w:t xml:space="preserve">/T </w:t>
      </w:r>
      <w:r>
        <w:rPr>
          <w:rFonts w:ascii="Times New Roman"/>
        </w:rPr>
        <w:t xml:space="preserve">1445 </w:t>
      </w:r>
      <w:r>
        <w:rPr>
          <w:rFonts w:hint="eastAsia" w:ascii="Times New Roman"/>
        </w:rPr>
        <w:t>绵白糖</w:t>
      </w:r>
    </w:p>
    <w:p>
      <w:pPr>
        <w:pStyle w:val="2"/>
        <w:spacing w:line="240" w:lineRule="auto"/>
        <w:rPr>
          <w:szCs w:val="24"/>
        </w:rPr>
      </w:pPr>
      <w:r>
        <w:rPr>
          <w:szCs w:val="24"/>
        </w:rPr>
        <w:t xml:space="preserve">GB 7718 </w:t>
      </w:r>
      <w:r>
        <w:rPr>
          <w:rFonts w:hAnsi="宋体"/>
          <w:szCs w:val="24"/>
        </w:rPr>
        <w:t>食品安全国家标准</w:t>
      </w:r>
      <w:r>
        <w:rPr>
          <w:szCs w:val="24"/>
        </w:rPr>
        <w:t xml:space="preserve"> </w:t>
      </w:r>
      <w:r>
        <w:rPr>
          <w:rFonts w:hAnsi="宋体"/>
          <w:szCs w:val="24"/>
        </w:rPr>
        <w:t>预包装食品标签通则</w:t>
      </w:r>
    </w:p>
    <w:p>
      <w:pPr>
        <w:pStyle w:val="2"/>
        <w:spacing w:line="240" w:lineRule="auto"/>
        <w:rPr>
          <w:rFonts w:hAnsi="宋体"/>
          <w:szCs w:val="24"/>
        </w:rPr>
      </w:pPr>
      <w:r>
        <w:rPr>
          <w:szCs w:val="24"/>
        </w:rPr>
        <w:t xml:space="preserve">GB 13104 </w:t>
      </w:r>
      <w:r>
        <w:rPr>
          <w:rFonts w:hAnsi="宋体"/>
          <w:szCs w:val="24"/>
        </w:rPr>
        <w:t>食品安全国家标准</w:t>
      </w:r>
      <w:r>
        <w:rPr>
          <w:szCs w:val="24"/>
        </w:rPr>
        <w:t xml:space="preserve"> </w:t>
      </w:r>
      <w:r>
        <w:rPr>
          <w:rFonts w:hAnsi="宋体"/>
          <w:szCs w:val="24"/>
        </w:rPr>
        <w:t>食糖</w:t>
      </w:r>
    </w:p>
    <w:p>
      <w:pPr>
        <w:pStyle w:val="2"/>
        <w:spacing w:line="240" w:lineRule="auto"/>
        <w:rPr>
          <w:szCs w:val="24"/>
        </w:rPr>
      </w:pPr>
      <w:r>
        <w:rPr>
          <w:rFonts w:hint="eastAsia"/>
        </w:rPr>
        <w:t>Q</w:t>
      </w:r>
      <w:r>
        <w:t>B</w:t>
      </w:r>
      <w:r>
        <w:rPr>
          <w:rFonts w:hint="eastAsia"/>
        </w:rPr>
        <w:t>/T 5012</w:t>
      </w:r>
      <w:r>
        <w:t xml:space="preserve"> </w:t>
      </w:r>
      <w:r>
        <w:rPr>
          <w:rFonts w:hint="eastAsia"/>
        </w:rPr>
        <w:t xml:space="preserve"> </w:t>
      </w:r>
      <w:r>
        <w:rPr>
          <w:rFonts w:hint="eastAsia" w:ascii="宋体" w:hAnsi="宋体"/>
        </w:rPr>
        <w:t>绵白糖试验方法</w:t>
      </w:r>
    </w:p>
    <w:p>
      <w:pPr>
        <w:pStyle w:val="2"/>
        <w:spacing w:line="240" w:lineRule="auto"/>
      </w:pPr>
      <w:r>
        <w:t>JJF 1070</w:t>
      </w:r>
      <w:r>
        <w:rPr>
          <w:szCs w:val="24"/>
        </w:rPr>
        <w:t xml:space="preserve"> 定量包装商品净含量计量检验规则</w:t>
      </w:r>
    </w:p>
    <w:p>
      <w:pPr>
        <w:pStyle w:val="11"/>
        <w:ind w:firstLineChars="0"/>
        <w:rPr>
          <w:rFonts w:ascii="Times New Roman"/>
        </w:rPr>
      </w:pPr>
      <w:r>
        <w:rPr>
          <w:rFonts w:ascii="Times New Roman"/>
        </w:rPr>
        <w:t>国家质量监督检验检疫总局第75号令《定量包装商品计量监督管理办法》</w:t>
      </w:r>
    </w:p>
    <w:p>
      <w:pPr>
        <w:pStyle w:val="10"/>
        <w:spacing w:before="240" w:after="240"/>
        <w:ind w:left="0"/>
      </w:pPr>
      <w:r>
        <w:rPr>
          <w:rFonts w:hint="eastAsia"/>
          <w:szCs w:val="21"/>
        </w:rPr>
        <w:t>要求</w:t>
      </w:r>
    </w:p>
    <w:p>
      <w:pPr>
        <w:pStyle w:val="9"/>
        <w:rPr>
          <w:rFonts w:hint="default" w:eastAsia="宋体"/>
          <w:lang w:val="en-US" w:eastAsia="zh-CN"/>
        </w:rPr>
      </w:pPr>
      <w:r>
        <w:rPr>
          <w:rFonts w:hint="eastAsia"/>
          <w:szCs w:val="21"/>
          <w:lang w:val="en-US" w:eastAsia="zh-CN"/>
        </w:rPr>
        <w:t>绵白糖按技术要求的规定分为精制、优级。</w:t>
      </w:r>
    </w:p>
    <w:p>
      <w:pPr>
        <w:pStyle w:val="12"/>
        <w:numPr>
          <w:ilvl w:val="1"/>
          <w:numId w:val="3"/>
        </w:numPr>
        <w:spacing w:before="120" w:after="120"/>
      </w:pPr>
      <w:r>
        <w:rPr>
          <w:rFonts w:hint="eastAsia"/>
        </w:rPr>
        <w:t>感官要求</w:t>
      </w:r>
    </w:p>
    <w:p>
      <w:pPr>
        <w:pStyle w:val="13"/>
        <w:numPr>
          <w:ilvl w:val="2"/>
          <w:numId w:val="3"/>
        </w:numPr>
        <w:spacing w:before="120" w:after="120"/>
        <w:rPr>
          <w:rFonts w:ascii="宋体" w:hAnsi="宋体" w:eastAsia="宋体"/>
        </w:rPr>
      </w:pPr>
      <w:r>
        <w:rPr>
          <w:rFonts w:hint="eastAsia" w:ascii="宋体" w:hAnsi="宋体" w:eastAsia="宋体"/>
        </w:rPr>
        <w:t>晶粒细小、均匀，颜色洁白，质地绵软,无正常视力可见外来异物。</w:t>
      </w:r>
    </w:p>
    <w:p>
      <w:pPr>
        <w:pStyle w:val="13"/>
        <w:spacing w:before="120" w:after="120"/>
        <w:rPr>
          <w:rFonts w:ascii="宋体" w:hAnsi="宋体" w:eastAsia="宋体"/>
        </w:rPr>
      </w:pPr>
      <w:r>
        <w:rPr>
          <w:rFonts w:hint="eastAsia" w:ascii="宋体" w:hAnsi="宋体" w:eastAsia="宋体"/>
        </w:rPr>
        <w:t>3</w:t>
      </w:r>
      <w:r>
        <w:rPr>
          <w:rFonts w:ascii="宋体" w:hAnsi="宋体" w:eastAsia="宋体"/>
        </w:rPr>
        <w:t xml:space="preserve">.1.2 </w:t>
      </w:r>
      <w:r>
        <w:rPr>
          <w:rFonts w:hint="eastAsia" w:ascii="宋体" w:hAnsi="宋体" w:eastAsia="宋体"/>
        </w:rPr>
        <w:t>晶体或其水溶液味甜、无异味。</w:t>
      </w:r>
    </w:p>
    <w:p>
      <w:pPr>
        <w:pStyle w:val="13"/>
        <w:spacing w:before="120" w:after="120"/>
        <w:rPr>
          <w:rFonts w:ascii="宋体" w:hAnsi="宋体" w:eastAsia="宋体"/>
        </w:rPr>
      </w:pPr>
      <w:r>
        <w:rPr>
          <w:rFonts w:hint="eastAsia" w:ascii="宋体" w:hAnsi="宋体" w:eastAsia="宋体"/>
        </w:rPr>
        <w:t>3</w:t>
      </w:r>
      <w:r>
        <w:rPr>
          <w:rFonts w:ascii="宋体" w:hAnsi="宋体" w:eastAsia="宋体"/>
        </w:rPr>
        <w:t>.1.3</w:t>
      </w:r>
      <w:r>
        <w:rPr>
          <w:rFonts w:hint="eastAsia" w:ascii="宋体" w:hAnsi="宋体" w:eastAsia="宋体"/>
        </w:rPr>
        <w:t>产品的水溶液清澈、透明。</w:t>
      </w:r>
    </w:p>
    <w:p>
      <w:pPr>
        <w:pStyle w:val="13"/>
        <w:spacing w:before="120" w:after="120"/>
        <w:rPr>
          <w:rFonts w:ascii="宋体" w:hAnsi="宋体" w:eastAsia="宋体"/>
        </w:rPr>
      </w:pPr>
      <w:r>
        <w:rPr>
          <w:rFonts w:hint="eastAsia" w:ascii="宋体" w:hAnsi="宋体" w:eastAsia="宋体"/>
        </w:rPr>
        <w:t>3</w:t>
      </w:r>
      <w:r>
        <w:rPr>
          <w:rFonts w:ascii="宋体" w:hAnsi="宋体" w:eastAsia="宋体"/>
        </w:rPr>
        <w:t>.1.4</w:t>
      </w:r>
      <w:r>
        <w:rPr>
          <w:rFonts w:hint="eastAsia" w:ascii="宋体" w:hAnsi="宋体" w:eastAsia="宋体"/>
        </w:rPr>
        <w:t>精制级别每平方米表面积内长度大</w:t>
      </w:r>
      <w:r>
        <w:rPr>
          <w:rFonts w:hint="eastAsia" w:ascii="Times New Roman" w:eastAsia="宋体"/>
          <w:szCs w:val="24"/>
        </w:rPr>
        <w:t>于0.</w:t>
      </w:r>
      <w:r>
        <w:rPr>
          <w:rFonts w:ascii="Times New Roman" w:eastAsia="宋体"/>
          <w:szCs w:val="24"/>
        </w:rPr>
        <w:t>2 mm</w:t>
      </w:r>
      <w:r>
        <w:rPr>
          <w:rFonts w:hint="eastAsia" w:ascii="Times New Roman" w:eastAsia="宋体"/>
          <w:szCs w:val="24"/>
        </w:rPr>
        <w:t>的黑点数量不多于</w:t>
      </w:r>
      <w:r>
        <w:rPr>
          <w:rFonts w:ascii="Times New Roman" w:eastAsia="宋体"/>
          <w:szCs w:val="24"/>
        </w:rPr>
        <w:t>12</w:t>
      </w:r>
      <w:r>
        <w:rPr>
          <w:rFonts w:hint="eastAsia" w:ascii="Times New Roman" w:eastAsia="宋体"/>
          <w:szCs w:val="24"/>
        </w:rPr>
        <w:t>个，其他级别不多于</w:t>
      </w:r>
      <w:r>
        <w:rPr>
          <w:rFonts w:ascii="Times New Roman" w:eastAsia="宋体"/>
          <w:szCs w:val="24"/>
        </w:rPr>
        <w:t>16</w:t>
      </w:r>
      <w:r>
        <w:rPr>
          <w:rFonts w:hint="eastAsia" w:ascii="Times New Roman" w:eastAsia="宋体"/>
          <w:szCs w:val="24"/>
        </w:rPr>
        <w:t>个</w:t>
      </w:r>
      <w:r>
        <w:rPr>
          <w:rFonts w:hint="eastAsia" w:ascii="宋体" w:hAnsi="宋体" w:eastAsia="宋体"/>
        </w:rPr>
        <w:t>。</w:t>
      </w:r>
    </w:p>
    <w:p>
      <w:pPr>
        <w:pStyle w:val="9"/>
        <w:spacing w:before="120" w:beforeLines="50" w:after="120" w:afterLines="50"/>
        <w:ind w:firstLine="0" w:firstLineChars="0"/>
        <w:rPr>
          <w:rFonts w:ascii="黑体" w:hAnsi="黑体" w:eastAsia="黑体" w:cs="黑体"/>
        </w:rPr>
      </w:pPr>
      <w:r>
        <w:rPr>
          <w:rFonts w:hint="eastAsia" w:ascii="黑体" w:hAnsi="黑体" w:eastAsia="黑体" w:cs="黑体"/>
        </w:rPr>
        <w:t>3.2</w:t>
      </w:r>
      <w:r>
        <w:rPr>
          <w:rFonts w:ascii="黑体" w:hAnsi="黑体" w:eastAsia="黑体" w:cs="黑体"/>
        </w:rPr>
        <w:t xml:space="preserve"> </w:t>
      </w:r>
      <w:r>
        <w:rPr>
          <w:rFonts w:hint="eastAsia" w:ascii="黑体" w:hAnsi="黑体" w:eastAsia="黑体" w:cs="黑体"/>
        </w:rPr>
        <w:t>理化要求</w:t>
      </w:r>
    </w:p>
    <w:p>
      <w:pPr>
        <w:pStyle w:val="9"/>
        <w:spacing w:before="120" w:beforeLines="50" w:after="120" w:afterLines="50"/>
        <w:ind w:firstLine="0" w:firstLineChars="0"/>
        <w:rPr>
          <w:rFonts w:ascii="黑体" w:hAnsi="黑体" w:eastAsia="黑体" w:cs="黑体"/>
        </w:rPr>
      </w:pPr>
      <w:r>
        <w:rPr>
          <w:rFonts w:hint="eastAsia"/>
        </w:rPr>
        <w:t>理化指标应符合</w:t>
      </w:r>
      <w:r>
        <w:rPr>
          <w:rFonts w:hint="eastAsia" w:ascii="Times New Roman"/>
          <w:szCs w:val="24"/>
        </w:rPr>
        <w:t>表1</w:t>
      </w:r>
      <w:r>
        <w:rPr>
          <w:rFonts w:hint="eastAsia"/>
        </w:rPr>
        <w:t>规定</w:t>
      </w:r>
    </w:p>
    <w:p>
      <w:pPr>
        <w:pStyle w:val="3"/>
        <w:jc w:val="center"/>
        <w:rPr>
          <w:rFonts w:ascii="黑体" w:hAnsi="黑体" w:eastAsia="黑体"/>
        </w:rPr>
      </w:pPr>
      <w:r>
        <w:rPr>
          <w:rFonts w:hint="eastAsia" w:ascii="黑体" w:hAnsi="黑体" w:eastAsia="黑体"/>
        </w:rPr>
        <w:t>表</w:t>
      </w:r>
      <w:r>
        <w:rPr>
          <w:rFonts w:hint="eastAsia" w:ascii="黑体" w:hAnsi="黑体" w:eastAsia="黑体" w:cs="Times New Roman"/>
          <w:kern w:val="0"/>
          <w:szCs w:val="24"/>
        </w:rPr>
        <w:t>1</w:t>
      </w:r>
    </w:p>
    <w:tbl>
      <w:tblPr>
        <w:tblStyle w:val="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1667"/>
        <w:gridCol w:w="166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Merge w:val="restart"/>
            <w:vAlign w:val="center"/>
          </w:tcPr>
          <w:p>
            <w:pPr>
              <w:pStyle w:val="3"/>
              <w:rPr>
                <w:rFonts w:ascii="Times New Roman" w:hAnsi="Times New Roman" w:cs="Times New Roman"/>
                <w:kern w:val="0"/>
                <w:szCs w:val="24"/>
              </w:rPr>
            </w:pPr>
            <w:r>
              <w:rPr>
                <w:rFonts w:hint="eastAsia" w:ascii="Times New Roman" w:hAnsi="Times New Roman" w:cs="Times New Roman"/>
                <w:kern w:val="0"/>
                <w:szCs w:val="24"/>
              </w:rPr>
              <w:t>项   目</w:t>
            </w:r>
          </w:p>
        </w:tc>
        <w:tc>
          <w:tcPr>
            <w:tcW w:w="3334" w:type="dxa"/>
            <w:gridSpan w:val="2"/>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指标</w:t>
            </w:r>
          </w:p>
        </w:tc>
        <w:tc>
          <w:tcPr>
            <w:tcW w:w="1667" w:type="dxa"/>
          </w:tcPr>
          <w:p>
            <w:pPr>
              <w:pStyle w:val="3"/>
              <w:jc w:val="center"/>
              <w:rPr>
                <w:rFonts w:ascii="Times New Roman" w:hAnsi="Times New Roman"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Merge w:val="continue"/>
            <w:vAlign w:val="center"/>
          </w:tcPr>
          <w:p>
            <w:pPr>
              <w:pStyle w:val="3"/>
              <w:rPr>
                <w:rFonts w:ascii="Times New Roman" w:hAnsi="Times New Roman" w:cs="Times New Roman"/>
                <w:kern w:val="0"/>
                <w:szCs w:val="24"/>
              </w:rPr>
            </w:pP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精制</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优级</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48" w:type="dxa"/>
            <w:vAlign w:val="center"/>
          </w:tcPr>
          <w:p>
            <w:pPr>
              <w:pStyle w:val="3"/>
              <w:rPr>
                <w:rFonts w:ascii="Times New Roman" w:hAnsi="Times New Roman" w:cs="Times New Roman"/>
                <w:kern w:val="0"/>
                <w:szCs w:val="24"/>
              </w:rPr>
            </w:pPr>
            <w:r>
              <w:rPr>
                <w:rFonts w:hint="eastAsia" w:ascii="Times New Roman" w:hAnsi="Times New Roman" w:cs="Times New Roman"/>
                <w:kern w:val="0"/>
                <w:szCs w:val="24"/>
              </w:rPr>
              <w:t>总糖分，g/100g                  ≥</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98.4</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98.0</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pStyle w:val="3"/>
              <w:rPr>
                <w:rFonts w:ascii="Times New Roman" w:hAnsi="Times New Roman" w:cs="Times New Roman"/>
                <w:kern w:val="0"/>
                <w:szCs w:val="24"/>
              </w:rPr>
            </w:pPr>
            <w:r>
              <w:rPr>
                <w:rFonts w:hint="eastAsia" w:ascii="Times New Roman" w:hAnsi="Times New Roman" w:cs="Times New Roman"/>
                <w:kern w:val="0"/>
                <w:szCs w:val="24"/>
              </w:rPr>
              <w:t>还原糖分，g/100g</w:t>
            </w:r>
          </w:p>
        </w:tc>
        <w:tc>
          <w:tcPr>
            <w:tcW w:w="5001" w:type="dxa"/>
            <w:gridSpan w:val="3"/>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pStyle w:val="3"/>
              <w:rPr>
                <w:rFonts w:ascii="Times New Roman" w:hAnsi="Times New Roman" w:cs="Times New Roman"/>
                <w:kern w:val="0"/>
                <w:szCs w:val="24"/>
              </w:rPr>
            </w:pPr>
            <w:r>
              <w:rPr>
                <w:rFonts w:ascii="Times New Roman" w:hAnsi="Times New Roman" w:cs="Times New Roman"/>
                <w:kern w:val="0"/>
                <w:szCs w:val="24"/>
              </w:rPr>
              <w:t>干燥失重</w:t>
            </w:r>
            <w:r>
              <w:rPr>
                <w:rFonts w:hint="eastAsia" w:ascii="Times New Roman" w:hAnsi="Times New Roman" w:cs="Times New Roman"/>
                <w:kern w:val="0"/>
                <w:szCs w:val="24"/>
              </w:rPr>
              <w:t>，</w:t>
            </w:r>
            <w:r>
              <w:rPr>
                <w:rFonts w:ascii="Times New Roman" w:hAnsi="Times New Roman" w:cs="Times New Roman"/>
                <w:kern w:val="0"/>
                <w:szCs w:val="24"/>
              </w:rPr>
              <w:t xml:space="preserve"> </w:t>
            </w:r>
            <w:r>
              <w:rPr>
                <w:rFonts w:hint="eastAsia" w:ascii="Times New Roman" w:hAnsi="Times New Roman" w:cs="Times New Roman"/>
                <w:kern w:val="0"/>
                <w:szCs w:val="24"/>
              </w:rPr>
              <w:t>g/100g</w:t>
            </w:r>
            <w:r>
              <w:rPr>
                <w:rFonts w:ascii="Times New Roman" w:hAnsi="Times New Roman" w:cs="Times New Roman"/>
                <w:kern w:val="0"/>
                <w:szCs w:val="24"/>
              </w:rPr>
              <w:t xml:space="preserve">          </w:t>
            </w:r>
            <w:r>
              <w:rPr>
                <w:rFonts w:hint="eastAsia" w:ascii="Times New Roman" w:hAnsi="Times New Roman" w:cs="Times New Roman"/>
                <w:kern w:val="0"/>
                <w:szCs w:val="24"/>
              </w:rPr>
              <w:t xml:space="preserve"> </w:t>
            </w:r>
            <w:r>
              <w:rPr>
                <w:rFonts w:ascii="Times New Roman" w:hAnsi="Times New Roman" w:cs="Times New Roman"/>
                <w:kern w:val="0"/>
                <w:szCs w:val="24"/>
              </w:rPr>
              <w:t xml:space="preserve"> </w:t>
            </w:r>
            <w:r>
              <w:rPr>
                <w:rFonts w:hint="eastAsia" w:ascii="Times New Roman" w:hAnsi="Times New Roman" w:cs="Times New Roman"/>
                <w:kern w:val="0"/>
                <w:szCs w:val="24"/>
              </w:rPr>
              <w:t xml:space="preserve">  </w:t>
            </w:r>
            <w:r>
              <w:rPr>
                <w:rFonts w:ascii="Times New Roman" w:hAnsi="Times New Roman" w:cs="Times New Roman"/>
                <w:kern w:val="0"/>
                <w:szCs w:val="24"/>
              </w:rPr>
              <w:t xml:space="preserve"> </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0.80～1.60</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0.80～2.00</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tcBorders>
              <w:bottom w:val="single" w:color="auto" w:sz="4" w:space="0"/>
            </w:tcBorders>
            <w:vAlign w:val="center"/>
          </w:tcPr>
          <w:p>
            <w:pPr>
              <w:pStyle w:val="3"/>
              <w:rPr>
                <w:rFonts w:ascii="Times New Roman" w:hAnsi="Times New Roman" w:cs="Times New Roman"/>
                <w:kern w:val="0"/>
                <w:szCs w:val="24"/>
              </w:rPr>
            </w:pPr>
            <w:r>
              <w:rPr>
                <w:rFonts w:ascii="Times New Roman" w:hAnsi="Times New Roman" w:cs="Times New Roman"/>
                <w:kern w:val="0"/>
                <w:szCs w:val="24"/>
              </w:rPr>
              <w:t>电导灰分</w:t>
            </w:r>
            <w:r>
              <w:rPr>
                <w:rFonts w:hint="eastAsia" w:ascii="Times New Roman" w:hAnsi="Times New Roman" w:cs="Times New Roman"/>
                <w:kern w:val="0"/>
                <w:szCs w:val="24"/>
              </w:rPr>
              <w:t>，</w:t>
            </w:r>
            <w:r>
              <w:rPr>
                <w:rFonts w:ascii="Times New Roman" w:hAnsi="Times New Roman" w:cs="Times New Roman"/>
                <w:kern w:val="0"/>
                <w:szCs w:val="24"/>
              </w:rPr>
              <w:t xml:space="preserve"> </w:t>
            </w:r>
            <w:r>
              <w:rPr>
                <w:rFonts w:hint="eastAsia" w:ascii="Times New Roman" w:hAnsi="Times New Roman" w:cs="Times New Roman"/>
                <w:kern w:val="0"/>
                <w:szCs w:val="24"/>
              </w:rPr>
              <w:t>g/100g</w:t>
            </w:r>
            <w:r>
              <w:rPr>
                <w:rFonts w:ascii="Times New Roman" w:hAnsi="Times New Roman" w:cs="Times New Roman"/>
                <w:kern w:val="0"/>
                <w:szCs w:val="24"/>
              </w:rPr>
              <w:t xml:space="preserve">           </w:t>
            </w:r>
            <w:r>
              <w:rPr>
                <w:rFonts w:hint="eastAsia" w:ascii="Times New Roman" w:hAnsi="Times New Roman" w:cs="Times New Roman"/>
                <w:kern w:val="0"/>
                <w:szCs w:val="24"/>
              </w:rPr>
              <w:t xml:space="preserve"> </w:t>
            </w:r>
            <w:r>
              <w:rPr>
                <w:rFonts w:ascii="Times New Roman" w:hAnsi="Times New Roman" w:cs="Times New Roman"/>
                <w:kern w:val="0"/>
                <w:szCs w:val="24"/>
              </w:rPr>
              <w:t xml:space="preserve"> </w:t>
            </w:r>
            <w:r>
              <w:rPr>
                <w:rFonts w:hint="eastAsia" w:ascii="Times New Roman" w:hAnsi="Times New Roman" w:cs="Times New Roman"/>
                <w:kern w:val="0"/>
                <w:szCs w:val="24"/>
              </w:rPr>
              <w:t xml:space="preserve">  ≤</w:t>
            </w:r>
          </w:p>
        </w:tc>
        <w:tc>
          <w:tcPr>
            <w:tcW w:w="1667" w:type="dxa"/>
            <w:tcBorders>
              <w:bottom w:val="single" w:color="auto" w:sz="4" w:space="0"/>
            </w:tcBorders>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0.03</w:t>
            </w:r>
          </w:p>
        </w:tc>
        <w:tc>
          <w:tcPr>
            <w:tcW w:w="1667" w:type="dxa"/>
            <w:tcBorders>
              <w:bottom w:val="single" w:color="auto" w:sz="4" w:space="0"/>
            </w:tcBorders>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0.05</w:t>
            </w:r>
          </w:p>
        </w:tc>
        <w:tc>
          <w:tcPr>
            <w:tcW w:w="1667" w:type="dxa"/>
            <w:tcBorders>
              <w:bottom w:val="single" w:color="auto" w:sz="4" w:space="0"/>
            </w:tcBorders>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tcBorders>
              <w:bottom w:val="single" w:color="auto" w:sz="4" w:space="0"/>
            </w:tcBorders>
            <w:vAlign w:val="center"/>
          </w:tcPr>
          <w:p>
            <w:pPr>
              <w:pStyle w:val="3"/>
              <w:rPr>
                <w:rFonts w:ascii="Times New Roman" w:hAnsi="Times New Roman" w:cs="Times New Roman"/>
                <w:kern w:val="0"/>
                <w:szCs w:val="24"/>
              </w:rPr>
            </w:pPr>
            <w:r>
              <w:rPr>
                <w:rFonts w:hint="eastAsia" w:ascii="Times New Roman" w:hAnsi="Times New Roman" w:cs="Times New Roman"/>
                <w:kern w:val="0"/>
                <w:szCs w:val="24"/>
              </w:rPr>
              <w:t>色值</w:t>
            </w:r>
            <w:r>
              <w:rPr>
                <w:rFonts w:ascii="Times New Roman" w:hAnsi="Times New Roman" w:cs="Times New Roman"/>
                <w:kern w:val="0"/>
                <w:szCs w:val="24"/>
              </w:rPr>
              <w:t>，</w:t>
            </w:r>
            <w:r>
              <w:rPr>
                <w:rFonts w:hint="eastAsia" w:ascii="Times New Roman" w:hAnsi="Times New Roman" w:cs="Times New Roman"/>
                <w:kern w:val="0"/>
                <w:szCs w:val="24"/>
              </w:rPr>
              <w:t>IU                       ≤</w:t>
            </w:r>
          </w:p>
        </w:tc>
        <w:tc>
          <w:tcPr>
            <w:tcW w:w="1667" w:type="dxa"/>
            <w:tcBorders>
              <w:bottom w:val="single" w:color="auto" w:sz="4" w:space="0"/>
            </w:tcBorders>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25</w:t>
            </w:r>
          </w:p>
        </w:tc>
        <w:tc>
          <w:tcPr>
            <w:tcW w:w="1667" w:type="dxa"/>
            <w:tcBorders>
              <w:bottom w:val="single" w:color="auto" w:sz="4" w:space="0"/>
            </w:tcBorders>
            <w:shd w:val="clear" w:color="auto" w:fill="auto"/>
            <w:vAlign w:val="center"/>
          </w:tcPr>
          <w:p>
            <w:pPr>
              <w:pStyle w:val="3"/>
              <w:jc w:val="center"/>
              <w:rPr>
                <w:rFonts w:ascii="Times New Roman" w:hAnsi="Times New Roman" w:cs="Times New Roman"/>
                <w:kern w:val="0"/>
                <w:szCs w:val="24"/>
              </w:rPr>
            </w:pPr>
            <w:r>
              <w:rPr>
                <w:rFonts w:ascii="Times New Roman" w:hAnsi="Times New Roman" w:cs="Times New Roman"/>
                <w:kern w:val="0"/>
                <w:szCs w:val="24"/>
              </w:rPr>
              <w:t>60</w:t>
            </w:r>
          </w:p>
        </w:tc>
        <w:tc>
          <w:tcPr>
            <w:tcW w:w="1667" w:type="dxa"/>
            <w:tcBorders>
              <w:bottom w:val="single" w:color="auto" w:sz="4" w:space="0"/>
            </w:tcBorders>
            <w:shd w:val="clear" w:color="auto" w:fill="auto"/>
            <w:vAlign w:val="center"/>
          </w:tcPr>
          <w:p>
            <w:pPr>
              <w:pStyle w:val="3"/>
              <w:jc w:val="center"/>
              <w:rPr>
                <w:rFonts w:ascii="Times New Roman" w:hAnsi="Times New Roman" w:cs="Times New Roman"/>
                <w:kern w:val="0"/>
                <w:szCs w:val="24"/>
              </w:rPr>
            </w:pPr>
            <w:r>
              <w:rPr>
                <w:rFonts w:ascii="Times New Roman" w:hAnsi="Times New Roman" w:cs="Times New Roman"/>
                <w:kern w:val="0"/>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48" w:type="dxa"/>
            <w:vAlign w:val="center"/>
          </w:tcPr>
          <w:p>
            <w:pPr>
              <w:pStyle w:val="3"/>
              <w:rPr>
                <w:rFonts w:ascii="Times New Roman" w:hAnsi="Times New Roman" w:cs="Times New Roman"/>
                <w:kern w:val="0"/>
                <w:szCs w:val="24"/>
              </w:rPr>
            </w:pPr>
            <w:r>
              <w:rPr>
                <w:rFonts w:hint="eastAsia" w:ascii="Times New Roman" w:hAnsi="Times New Roman" w:cs="Times New Roman"/>
                <w:kern w:val="0"/>
                <w:szCs w:val="24"/>
              </w:rPr>
              <w:t>混浊度，MAU                  ≤</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30</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80</w:t>
            </w:r>
          </w:p>
        </w:tc>
        <w:tc>
          <w:tcPr>
            <w:tcW w:w="1667" w:type="dxa"/>
            <w:shd w:val="clear" w:color="auto" w:fill="auto"/>
            <w:vAlign w:val="center"/>
          </w:tcPr>
          <w:p>
            <w:pPr>
              <w:pStyle w:val="3"/>
              <w:jc w:val="center"/>
              <w:rPr>
                <w:rFonts w:ascii="Times New Roman" w:hAnsi="Times New Roman" w:cs="Times New Roman"/>
                <w:kern w:val="0"/>
                <w:szCs w:val="24"/>
              </w:rPr>
            </w:pPr>
            <w:r>
              <w:rPr>
                <w:rFonts w:ascii="Times New Roman" w:hAnsi="Times New Roman" w:cs="Times New Roman"/>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pStyle w:val="3"/>
              <w:rPr>
                <w:rFonts w:ascii="Times New Roman" w:hAnsi="Times New Roman" w:cs="Times New Roman"/>
                <w:kern w:val="0"/>
                <w:szCs w:val="24"/>
              </w:rPr>
            </w:pPr>
            <w:r>
              <w:rPr>
                <w:rFonts w:ascii="Times New Roman" w:hAnsi="Times New Roman" w:cs="Times New Roman"/>
                <w:kern w:val="0"/>
                <w:szCs w:val="24"/>
              </w:rPr>
              <w:t>不溶于水杂质</w:t>
            </w:r>
            <w:r>
              <w:rPr>
                <w:rFonts w:hint="eastAsia" w:ascii="Times New Roman" w:hAnsi="Times New Roman" w:cs="Times New Roman"/>
                <w:kern w:val="0"/>
                <w:szCs w:val="24"/>
              </w:rPr>
              <w:t>，</w:t>
            </w:r>
            <w:r>
              <w:rPr>
                <w:rFonts w:ascii="Times New Roman" w:hAnsi="Times New Roman" w:cs="Times New Roman"/>
                <w:kern w:val="0"/>
                <w:szCs w:val="24"/>
              </w:rPr>
              <w:t xml:space="preserve">mg/kg         </w:t>
            </w:r>
            <w:r>
              <w:rPr>
                <w:rFonts w:hint="eastAsia" w:ascii="Times New Roman" w:hAnsi="Times New Roman" w:cs="Times New Roman"/>
                <w:kern w:val="0"/>
                <w:szCs w:val="24"/>
              </w:rPr>
              <w:t xml:space="preserve"> </w:t>
            </w:r>
            <w:r>
              <w:rPr>
                <w:rFonts w:ascii="Times New Roman" w:hAnsi="Times New Roman" w:cs="Times New Roman"/>
                <w:kern w:val="0"/>
                <w:szCs w:val="24"/>
              </w:rPr>
              <w:t xml:space="preserve"> </w:t>
            </w:r>
            <w:r>
              <w:rPr>
                <w:rFonts w:hint="eastAsia" w:ascii="Times New Roman" w:hAnsi="Times New Roman" w:cs="Times New Roman"/>
                <w:kern w:val="0"/>
                <w:szCs w:val="24"/>
              </w:rPr>
              <w:t xml:space="preserve"> ≤</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10</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20</w:t>
            </w:r>
          </w:p>
        </w:tc>
        <w:tc>
          <w:tcPr>
            <w:tcW w:w="1667" w:type="dxa"/>
            <w:shd w:val="clear" w:color="auto" w:fill="auto"/>
            <w:vAlign w:val="center"/>
          </w:tcPr>
          <w:p>
            <w:pPr>
              <w:pStyle w:val="3"/>
              <w:jc w:val="center"/>
              <w:rPr>
                <w:rFonts w:ascii="Times New Roman" w:hAnsi="Times New Roman" w:cs="Times New Roman"/>
                <w:kern w:val="0"/>
                <w:szCs w:val="24"/>
              </w:rPr>
            </w:pPr>
            <w:r>
              <w:rPr>
                <w:rFonts w:ascii="Times New Roman" w:hAnsi="Times New Roman" w:cs="Times New Roman"/>
                <w:kern w:val="0"/>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48" w:type="dxa"/>
            <w:vAlign w:val="center"/>
          </w:tcPr>
          <w:p>
            <w:pPr>
              <w:pStyle w:val="3"/>
              <w:rPr>
                <w:rFonts w:ascii="Times New Roman" w:hAnsi="Times New Roman" w:cs="Times New Roman"/>
                <w:kern w:val="0"/>
                <w:szCs w:val="24"/>
              </w:rPr>
            </w:pPr>
            <w:r>
              <w:rPr>
                <w:rFonts w:hint="eastAsia" w:ascii="Times New Roman" w:hAnsi="Times New Roman" w:cs="Times New Roman"/>
                <w:kern w:val="0"/>
                <w:szCs w:val="24"/>
              </w:rPr>
              <w:t>粒度，mm                      ≤</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0.30</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0.35</w:t>
            </w:r>
          </w:p>
        </w:tc>
        <w:tc>
          <w:tcPr>
            <w:tcW w:w="1667" w:type="dxa"/>
            <w:shd w:val="clear" w:color="auto" w:fill="auto"/>
            <w:vAlign w:val="center"/>
          </w:tcPr>
          <w:p>
            <w:pPr>
              <w:pStyle w:val="3"/>
              <w:jc w:val="center"/>
              <w:rPr>
                <w:rFonts w:ascii="Times New Roman" w:hAnsi="Times New Roman" w:cs="Times New Roman"/>
                <w:kern w:val="0"/>
                <w:szCs w:val="24"/>
              </w:rPr>
            </w:pPr>
            <w:r>
              <w:rPr>
                <w:rFonts w:hint="eastAsia" w:ascii="Times New Roman" w:hAnsi="Times New Roman" w:cs="Times New Roman"/>
                <w:kern w:val="0"/>
                <w:szCs w:val="24"/>
              </w:rPr>
              <w:t>0.40</w:t>
            </w:r>
          </w:p>
        </w:tc>
      </w:tr>
    </w:tbl>
    <w:p>
      <w:pPr>
        <w:pStyle w:val="9"/>
        <w:ind w:firstLine="0" w:firstLineChars="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3.3 食品安全要求</w:t>
      </w:r>
    </w:p>
    <w:p>
      <w:pPr>
        <w:pStyle w:val="9"/>
        <w:ind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w:t>
      </w:r>
      <w:r>
        <w:rPr>
          <w:rFonts w:hint="default" w:ascii="Times New Roman" w:hAnsi="Times New Roman" w:cs="Times New Roman"/>
        </w:rPr>
        <w:t>食品安全要求应符合GB 13104的规定。</w:t>
      </w:r>
    </w:p>
    <w:p>
      <w:pPr>
        <w:pStyle w:val="9"/>
        <w:spacing w:before="120" w:beforeLines="50" w:after="120" w:afterLines="50"/>
        <w:ind w:firstLine="0" w:firstLineChars="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3.4 净含量</w:t>
      </w:r>
    </w:p>
    <w:p>
      <w:pPr>
        <w:pStyle w:val="9"/>
        <w:ind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w:t>
      </w:r>
      <w:r>
        <w:rPr>
          <w:rFonts w:hint="default" w:ascii="Times New Roman" w:hAnsi="Times New Roman" w:cs="Times New Roman"/>
        </w:rPr>
        <w:t>净含量应符合国家质量监督检验检疫总局</w:t>
      </w:r>
      <w:r>
        <w:rPr>
          <w:rFonts w:hint="default" w:ascii="Times New Roman" w:hAnsi="Times New Roman" w:cs="Times New Roman"/>
          <w:szCs w:val="24"/>
        </w:rPr>
        <w:t>第75号令</w:t>
      </w:r>
      <w:r>
        <w:rPr>
          <w:rFonts w:hint="default" w:ascii="Times New Roman" w:hAnsi="Times New Roman" w:cs="Times New Roman"/>
        </w:rPr>
        <w:t>《定量包装商品计量监督管理办法》的规定</w:t>
      </w:r>
      <w:r>
        <w:rPr>
          <w:rFonts w:hint="default" w:ascii="Times New Roman" w:hAnsi="Times New Roman" w:cs="Times New Roman"/>
          <w:color w:val="000000" w:themeColor="text1"/>
          <w14:textFill>
            <w14:solidFill>
              <w14:schemeClr w14:val="tx1"/>
            </w14:solidFill>
          </w14:textFill>
        </w:rPr>
        <w:t>。</w:t>
      </w:r>
    </w:p>
    <w:p>
      <w:pPr>
        <w:pStyle w:val="10"/>
        <w:spacing w:before="240" w:after="240"/>
        <w:ind w:left="284" w:hanging="284"/>
        <w:rPr>
          <w:rFonts w:hint="default" w:ascii="Times New Roman" w:hAnsi="Times New Roman" w:cs="Times New Roman"/>
        </w:rPr>
      </w:pPr>
      <w:r>
        <w:rPr>
          <w:rFonts w:hint="default" w:ascii="Times New Roman" w:hAnsi="Times New Roman" w:cs="Times New Roman"/>
        </w:rPr>
        <w:t>试验方法</w:t>
      </w:r>
    </w:p>
    <w:p>
      <w:pPr>
        <w:pStyle w:val="14"/>
        <w:spacing w:before="120" w:after="120"/>
        <w:ind w:left="0"/>
        <w:rPr>
          <w:rFonts w:hint="default" w:ascii="Times New Roman" w:hAnsi="Times New Roman" w:cs="Times New Roman"/>
          <w:color w:val="FF0000"/>
        </w:rPr>
      </w:pPr>
      <w:r>
        <w:rPr>
          <w:rFonts w:hint="default" w:ascii="Times New Roman" w:hAnsi="Times New Roman" w:cs="Times New Roman"/>
        </w:rPr>
        <w:t>感官要求</w:t>
      </w:r>
    </w:p>
    <w:p>
      <w:pPr>
        <w:pStyle w:val="9"/>
        <w:ind w:firstLine="420"/>
        <w:rPr>
          <w:rFonts w:hint="default" w:ascii="Times New Roman" w:hAnsi="Times New Roman" w:cs="Times New Roman"/>
        </w:rPr>
      </w:pPr>
      <w:r>
        <w:rPr>
          <w:rFonts w:hint="default" w:ascii="Times New Roman" w:hAnsi="Times New Roman" w:cs="Times New Roman"/>
        </w:rPr>
        <w:t>按GB/T 1445规定的方法进行测定。</w:t>
      </w:r>
    </w:p>
    <w:p>
      <w:pPr>
        <w:pStyle w:val="14"/>
        <w:spacing w:before="120" w:after="120"/>
        <w:ind w:left="0"/>
        <w:rPr>
          <w:rFonts w:hint="default" w:ascii="Times New Roman" w:hAnsi="Times New Roman" w:cs="Times New Roman"/>
        </w:rPr>
      </w:pPr>
      <w:r>
        <w:rPr>
          <w:rFonts w:hint="default" w:ascii="Times New Roman" w:hAnsi="Times New Roman" w:cs="Times New Roman"/>
        </w:rPr>
        <w:t>理化要求</w:t>
      </w:r>
    </w:p>
    <w:p>
      <w:pPr>
        <w:pStyle w:val="9"/>
        <w:ind w:firstLine="420"/>
        <w:rPr>
          <w:rFonts w:hint="default" w:ascii="Times New Roman" w:hAnsi="Times New Roman" w:cs="Times New Roman"/>
        </w:rPr>
      </w:pPr>
      <w:r>
        <w:rPr>
          <w:rFonts w:hint="default" w:ascii="Times New Roman" w:hAnsi="Times New Roman" w:cs="Times New Roman"/>
        </w:rPr>
        <w:t>按QB/T 5012规定的方法进行测定</w:t>
      </w:r>
    </w:p>
    <w:p>
      <w:pPr>
        <w:pStyle w:val="14"/>
        <w:spacing w:before="120" w:after="120"/>
        <w:ind w:left="0"/>
        <w:rPr>
          <w:rFonts w:hint="default" w:ascii="Times New Roman" w:hAnsi="Times New Roman" w:cs="Times New Roman"/>
        </w:rPr>
      </w:pPr>
      <w:r>
        <w:rPr>
          <w:rFonts w:hint="default" w:ascii="Times New Roman" w:hAnsi="Times New Roman" w:cs="Times New Roman"/>
        </w:rPr>
        <w:t>净含量</w:t>
      </w:r>
    </w:p>
    <w:p>
      <w:pPr>
        <w:pStyle w:val="12"/>
        <w:spacing w:before="120" w:after="120"/>
        <w:ind w:firstLine="420" w:firstLineChars="200"/>
        <w:rPr>
          <w:rFonts w:hint="default" w:ascii="Times New Roman" w:hAnsi="Times New Roman" w:eastAsia="宋体" w:cs="Times New Roman"/>
          <w:szCs w:val="20"/>
        </w:rPr>
      </w:pPr>
      <w:r>
        <w:rPr>
          <w:rFonts w:hint="default" w:ascii="Times New Roman" w:hAnsi="Times New Roman" w:eastAsia="宋体" w:cs="Times New Roman"/>
          <w:szCs w:val="20"/>
        </w:rPr>
        <w:t>按JJF 1070规定的方法</w:t>
      </w:r>
      <w:r>
        <w:rPr>
          <w:rFonts w:hint="default" w:ascii="Times New Roman" w:hAnsi="Times New Roman" w:eastAsia="宋体" w:cs="Times New Roman"/>
        </w:rPr>
        <w:t>进行</w:t>
      </w:r>
      <w:r>
        <w:rPr>
          <w:rFonts w:hint="default" w:ascii="Times New Roman" w:hAnsi="Times New Roman" w:eastAsia="宋体" w:cs="Times New Roman"/>
          <w:szCs w:val="20"/>
        </w:rPr>
        <w:t>测定。</w:t>
      </w:r>
    </w:p>
    <w:p>
      <w:pPr>
        <w:pStyle w:val="10"/>
        <w:spacing w:before="240" w:after="240"/>
        <w:ind w:left="0"/>
        <w:rPr>
          <w:rFonts w:hint="default" w:ascii="Times New Roman" w:hAnsi="Times New Roman" w:cs="Times New Roman"/>
        </w:rPr>
      </w:pPr>
      <w:r>
        <w:rPr>
          <w:rFonts w:hint="default" w:ascii="Times New Roman" w:hAnsi="Times New Roman" w:cs="Times New Roman"/>
        </w:rPr>
        <w:t>检验规则</w:t>
      </w:r>
    </w:p>
    <w:p>
      <w:pPr>
        <w:pStyle w:val="12"/>
        <w:spacing w:before="120" w:after="120"/>
        <w:rPr>
          <w:rFonts w:hint="default" w:ascii="Times New Roman" w:hAnsi="Times New Roman" w:cs="Times New Roman"/>
        </w:rPr>
      </w:pPr>
      <w:r>
        <w:rPr>
          <w:rFonts w:hint="default" w:ascii="Times New Roman" w:hAnsi="Times New Roman" w:cs="Times New Roman"/>
        </w:rPr>
        <w:t>5.1型式检验</w:t>
      </w:r>
    </w:p>
    <w:p>
      <w:pPr>
        <w:pStyle w:val="13"/>
        <w:spacing w:before="120" w:after="120"/>
        <w:rPr>
          <w:rFonts w:hint="default" w:ascii="Times New Roman" w:hAnsi="Times New Roman" w:eastAsia="宋体" w:cs="Times New Roman"/>
        </w:rPr>
      </w:pPr>
      <w:bookmarkStart w:id="17" w:name="OLE_LINK1"/>
      <w:r>
        <w:rPr>
          <w:rFonts w:hint="default" w:ascii="Times New Roman" w:hAnsi="Times New Roman" w:eastAsia="宋体" w:cs="Times New Roman"/>
        </w:rPr>
        <w:t>5.1.1</w:t>
      </w:r>
      <w:r>
        <w:rPr>
          <w:rFonts w:hint="eastAsia" w:ascii="Times New Roman" w:eastAsia="宋体" w:cs="Times New Roman"/>
          <w:lang w:val="en-US" w:eastAsia="zh-CN"/>
        </w:rPr>
        <w:t xml:space="preserve">  </w:t>
      </w:r>
      <w:bookmarkEnd w:id="17"/>
      <w:r>
        <w:rPr>
          <w:rFonts w:hint="default" w:ascii="Times New Roman" w:hAnsi="Times New Roman" w:eastAsia="宋体" w:cs="Times New Roman"/>
        </w:rPr>
        <w:t>每分离一罐糖膏为一个编号，在称量包装时，连续采集样品约3 kg，放在带盖的容器中，混匀后为编号样品，该样品除供编号分析之用外，另取0.5 kg放在带盖的容器中，积累24 h后为日集合样品。</w:t>
      </w:r>
    </w:p>
    <w:p>
      <w:pPr>
        <w:pStyle w:val="11"/>
        <w:rPr>
          <w:rFonts w:hint="default" w:ascii="Times New Roman" w:hAnsi="Times New Roman" w:cs="Times New Roman"/>
        </w:rPr>
      </w:pPr>
      <w:r>
        <w:rPr>
          <w:rFonts w:hint="default" w:ascii="Times New Roman" w:hAnsi="Times New Roman" w:cs="Times New Roman"/>
        </w:rPr>
        <w:t>取1.5 kg日集合样品，用食品级塑料袋密封包装，或磨砂口玻璃瓶盛装，标明产品编号、级别、生产日期、样品基数、检验结果及检验员，于通风干燥的环境中留存，供工厂自检及质量监督检验之用。经供、收双方认可，可作为仲裁检验留样，一次抽检或仲裁检验结果，对先后出厂的同一编号糖有效。</w:t>
      </w:r>
    </w:p>
    <w:p>
      <w:pPr>
        <w:pStyle w:val="13"/>
        <w:numPr>
          <w:numId w:val="0"/>
        </w:numPr>
        <w:spacing w:before="120" w:after="120"/>
        <w:ind w:leftChars="0"/>
        <w:rPr>
          <w:rFonts w:hint="default" w:ascii="Times New Roman" w:hAnsi="Times New Roman" w:eastAsia="宋体" w:cs="Times New Roman"/>
          <w:szCs w:val="20"/>
        </w:rPr>
      </w:pPr>
      <w:r>
        <w:rPr>
          <w:rFonts w:hint="default" w:ascii="Times New Roman" w:hAnsi="Times New Roman" w:eastAsia="宋体" w:cs="Times New Roman"/>
        </w:rPr>
        <w:t>5.1.</w:t>
      </w:r>
      <w:r>
        <w:rPr>
          <w:rFonts w:hint="eastAsia" w:ascii="Times New Roman" w:eastAsia="宋体" w:cs="Times New Roman"/>
          <w:lang w:val="en-US" w:eastAsia="zh-CN"/>
        </w:rPr>
        <w:t xml:space="preserve">2  </w:t>
      </w:r>
      <w:r>
        <w:rPr>
          <w:rFonts w:hint="default" w:ascii="Times New Roman" w:hAnsi="Times New Roman" w:eastAsia="宋体" w:cs="Times New Roman"/>
          <w:szCs w:val="20"/>
        </w:rPr>
        <w:t>生产厂在保证产品质量稳定的前提下，每编号样品可按生产的实际情况进行项目的抽检，检验项目包括：总糖分、还原糖分、干燥失重、电导灰分、色值、混浊度、不溶于水杂质、粒度，日集合样品检验理化要求的全部项目；检验结果若有一项或一项以上不符合该级别要求的，则按实达级别处理，达不到一级绵白糖指标的按不合格品处理。</w:t>
      </w:r>
    </w:p>
    <w:p>
      <w:pPr>
        <w:pStyle w:val="13"/>
        <w:spacing w:before="120" w:after="120"/>
        <w:rPr>
          <w:rFonts w:hint="default" w:ascii="Times New Roman" w:hAnsi="Times New Roman" w:eastAsia="宋体" w:cs="Times New Roman"/>
        </w:rPr>
      </w:pPr>
      <w:r>
        <w:rPr>
          <w:rFonts w:hint="default" w:ascii="Times New Roman" w:hAnsi="Times New Roman" w:eastAsia="宋体" w:cs="Times New Roman"/>
        </w:rPr>
        <w:t>5.1.3有下列情况之一时，进行技术要求全部项目的检验，检验结果作为对产品质量的全面考核。</w:t>
      </w:r>
    </w:p>
    <w:p>
      <w:pPr>
        <w:pStyle w:val="11"/>
        <w:numPr>
          <w:ilvl w:val="0"/>
          <w:numId w:val="4"/>
        </w:numPr>
        <w:ind w:firstLineChars="0"/>
        <w:rPr>
          <w:rFonts w:hint="default" w:ascii="Times New Roman" w:hAnsi="Times New Roman" w:cs="Times New Roman"/>
        </w:rPr>
      </w:pPr>
      <w:r>
        <w:rPr>
          <w:rFonts w:hint="default" w:ascii="Times New Roman" w:hAnsi="Times New Roman" w:cs="Times New Roman"/>
        </w:rPr>
        <w:t>新产品或者产品转厂生产的试制定型鉴定；</w:t>
      </w:r>
    </w:p>
    <w:p>
      <w:pPr>
        <w:pStyle w:val="11"/>
        <w:numPr>
          <w:ilvl w:val="0"/>
          <w:numId w:val="4"/>
        </w:numPr>
        <w:ind w:firstLineChars="0"/>
        <w:rPr>
          <w:rFonts w:hint="default" w:ascii="Times New Roman" w:hAnsi="Times New Roman" w:cs="Times New Roman"/>
        </w:rPr>
      </w:pPr>
      <w:r>
        <w:rPr>
          <w:rFonts w:hint="default" w:ascii="Times New Roman" w:hAnsi="Times New Roman" w:cs="Times New Roman"/>
        </w:rPr>
        <w:t>生产期开始或洗机后恢复生产时；</w:t>
      </w:r>
    </w:p>
    <w:p>
      <w:pPr>
        <w:pStyle w:val="11"/>
        <w:numPr>
          <w:ilvl w:val="0"/>
          <w:numId w:val="4"/>
        </w:numPr>
        <w:ind w:firstLineChars="0"/>
        <w:rPr>
          <w:rFonts w:hint="default" w:ascii="Times New Roman" w:hAnsi="Times New Roman" w:cs="Times New Roman"/>
        </w:rPr>
      </w:pPr>
      <w:r>
        <w:rPr>
          <w:rFonts w:hint="default" w:ascii="Times New Roman" w:hAnsi="Times New Roman" w:cs="Times New Roman"/>
        </w:rPr>
        <w:t>正常生产的前期、中期、后期；</w:t>
      </w:r>
    </w:p>
    <w:p>
      <w:pPr>
        <w:pStyle w:val="11"/>
        <w:numPr>
          <w:ilvl w:val="0"/>
          <w:numId w:val="4"/>
        </w:numPr>
        <w:ind w:firstLineChars="0"/>
        <w:rPr>
          <w:rFonts w:hint="default" w:ascii="Times New Roman" w:hAnsi="Times New Roman" w:cs="Times New Roman"/>
        </w:rPr>
      </w:pPr>
      <w:r>
        <w:rPr>
          <w:rFonts w:hint="default" w:ascii="Times New Roman" w:hAnsi="Times New Roman" w:cs="Times New Roman"/>
        </w:rPr>
        <w:t>交收检验出现不合格批时；</w:t>
      </w:r>
    </w:p>
    <w:p>
      <w:pPr>
        <w:pStyle w:val="11"/>
        <w:numPr>
          <w:ilvl w:val="0"/>
          <w:numId w:val="4"/>
        </w:numPr>
        <w:ind w:firstLineChars="0"/>
        <w:rPr>
          <w:rFonts w:hint="default" w:ascii="Times New Roman" w:hAnsi="Times New Roman" w:cs="Times New Roman"/>
        </w:rPr>
      </w:pPr>
      <w:r>
        <w:rPr>
          <w:rFonts w:hint="default" w:ascii="Times New Roman" w:hAnsi="Times New Roman" w:cs="Times New Roman"/>
        </w:rPr>
        <w:t>原料、工艺有较大变化，可能影响产品质量时；</w:t>
      </w:r>
    </w:p>
    <w:p>
      <w:pPr>
        <w:pStyle w:val="11"/>
        <w:numPr>
          <w:ilvl w:val="0"/>
          <w:numId w:val="4"/>
        </w:numPr>
        <w:ind w:firstLineChars="0"/>
        <w:rPr>
          <w:rFonts w:hint="default" w:ascii="Times New Roman" w:hAnsi="Times New Roman" w:cs="Times New Roman"/>
        </w:rPr>
      </w:pPr>
      <w:r>
        <w:rPr>
          <w:rFonts w:hint="default" w:ascii="Times New Roman" w:hAnsi="Times New Roman" w:cs="Times New Roman"/>
        </w:rPr>
        <w:t>质量监督机构提出要求检验时。</w:t>
      </w:r>
    </w:p>
    <w:p>
      <w:pPr>
        <w:pStyle w:val="12"/>
        <w:spacing w:before="120" w:after="120"/>
        <w:rPr>
          <w:rFonts w:hint="default" w:ascii="Times New Roman" w:hAnsi="Times New Roman" w:cs="Times New Roman"/>
        </w:rPr>
      </w:pPr>
      <w:r>
        <w:rPr>
          <w:rFonts w:hint="default" w:ascii="Times New Roman" w:hAnsi="Times New Roman" w:cs="Times New Roman"/>
        </w:rPr>
        <w:t>5.2交收检验</w:t>
      </w:r>
    </w:p>
    <w:p>
      <w:pPr>
        <w:pStyle w:val="13"/>
        <w:spacing w:before="120" w:after="120"/>
        <w:rPr>
          <w:rFonts w:hint="default" w:ascii="Times New Roman" w:hAnsi="Times New Roman" w:eastAsia="宋体" w:cs="Times New Roman"/>
          <w:szCs w:val="20"/>
        </w:rPr>
      </w:pPr>
      <w:r>
        <w:rPr>
          <w:rFonts w:hint="default" w:ascii="Times New Roman" w:hAnsi="Times New Roman" w:eastAsia="宋体" w:cs="Times New Roman"/>
          <w:szCs w:val="20"/>
        </w:rPr>
        <w:t>5.2.1  每一次交货的绵白糖为一个交收批，每批绵白糖必须附有生产厂的检验合格报告，收货方凭检验合格报告收货，交收双方均有权提出在现场抽检或抽样封存。日后若有质量争议，符合贮存条件保管的封存样品作为仲裁检验样品，由法定质量仲裁检验机构出具的检验结果为该批绵白糖仲裁检验结果。</w:t>
      </w:r>
    </w:p>
    <w:p>
      <w:pPr>
        <w:pStyle w:val="13"/>
        <w:spacing w:before="120" w:after="120"/>
        <w:rPr>
          <w:rFonts w:hint="default" w:ascii="Times New Roman" w:hAnsi="Times New Roman" w:eastAsia="宋体" w:cs="Times New Roman"/>
          <w:szCs w:val="20"/>
        </w:rPr>
      </w:pPr>
      <w:r>
        <w:rPr>
          <w:rFonts w:hint="default" w:ascii="Times New Roman" w:hAnsi="Times New Roman" w:eastAsia="宋体" w:cs="Times New Roman"/>
          <w:szCs w:val="20"/>
        </w:rPr>
        <w:t>5.2.2  每个交收批为一个检验批。</w:t>
      </w:r>
    </w:p>
    <w:p>
      <w:pPr>
        <w:pStyle w:val="13"/>
        <w:spacing w:before="120" w:after="120"/>
        <w:rPr>
          <w:rFonts w:hint="default" w:ascii="Times New Roman" w:hAnsi="Times New Roman" w:eastAsia="宋体" w:cs="Times New Roman"/>
          <w:szCs w:val="20"/>
        </w:rPr>
      </w:pPr>
      <w:r>
        <w:rPr>
          <w:rFonts w:hint="default" w:ascii="Times New Roman" w:hAnsi="Times New Roman" w:eastAsia="宋体" w:cs="Times New Roman"/>
          <w:szCs w:val="20"/>
        </w:rPr>
        <w:t>5.2.3  从同一批次样品堆的4个不同部位随机抽取4个或4个以上的大包装。抽取小于1 kg包装单位的产品，抽样数量不少于4个包装，抽样量不少于2 kg；大于1 kg的包装单位产品，抽样数量不少于2 kg。</w:t>
      </w:r>
    </w:p>
    <w:p>
      <w:pPr>
        <w:pStyle w:val="13"/>
        <w:numPr>
          <w:ilvl w:val="2"/>
          <w:numId w:val="5"/>
        </w:numPr>
        <w:spacing w:before="120" w:after="120"/>
        <w:rPr>
          <w:rFonts w:hint="default" w:ascii="Times New Roman" w:hAnsi="Times New Roman" w:eastAsia="宋体" w:cs="Times New Roman"/>
          <w:szCs w:val="20"/>
        </w:rPr>
      </w:pPr>
      <w:r>
        <w:rPr>
          <w:rFonts w:hint="default" w:ascii="Times New Roman" w:hAnsi="Times New Roman" w:eastAsia="宋体" w:cs="Times New Roman"/>
          <w:szCs w:val="20"/>
        </w:rPr>
        <w:t>交收检验项目至少为理化要求的全部项目，需增加项目时，在供、收双方的书面合同中明确。</w:t>
      </w:r>
    </w:p>
    <w:p>
      <w:pPr>
        <w:pStyle w:val="13"/>
        <w:numPr>
          <w:ilvl w:val="2"/>
          <w:numId w:val="5"/>
        </w:numPr>
        <w:spacing w:before="120" w:after="120"/>
        <w:rPr>
          <w:rFonts w:hint="default" w:ascii="Times New Roman" w:hAnsi="Times New Roman" w:eastAsia="宋体" w:cs="Times New Roman"/>
          <w:szCs w:val="20"/>
        </w:rPr>
      </w:pPr>
      <w:r>
        <w:rPr>
          <w:rFonts w:hint="default" w:ascii="Times New Roman" w:hAnsi="Times New Roman" w:eastAsia="宋体" w:cs="Times New Roman"/>
          <w:szCs w:val="20"/>
        </w:rPr>
        <w:t>抽样器、盛装容器应洁净。</w:t>
      </w:r>
    </w:p>
    <w:p>
      <w:pPr>
        <w:pStyle w:val="12"/>
        <w:spacing w:before="120" w:after="120"/>
        <w:ind w:left="-2" w:leftChars="-1" w:firstLine="2"/>
        <w:rPr>
          <w:rFonts w:hint="default" w:ascii="Times New Roman" w:hAnsi="Times New Roman" w:cs="Times New Roman"/>
        </w:rPr>
      </w:pPr>
      <w:r>
        <w:rPr>
          <w:rFonts w:hint="default" w:ascii="Times New Roman" w:hAnsi="Times New Roman" w:cs="Times New Roman"/>
        </w:rPr>
        <w:t>5.3 判定规则</w:t>
      </w:r>
    </w:p>
    <w:p>
      <w:pPr>
        <w:pStyle w:val="13"/>
        <w:spacing w:before="120" w:after="120"/>
        <w:ind w:leftChars="-5" w:hanging="10" w:hangingChars="5"/>
        <w:rPr>
          <w:rFonts w:hint="default" w:ascii="Times New Roman" w:hAnsi="Times New Roman" w:eastAsia="宋体" w:cs="Times New Roman"/>
          <w:szCs w:val="20"/>
        </w:rPr>
      </w:pPr>
      <w:r>
        <w:rPr>
          <w:rFonts w:hint="default" w:ascii="Times New Roman" w:hAnsi="Times New Roman" w:eastAsia="宋体" w:cs="Times New Roman"/>
          <w:szCs w:val="20"/>
        </w:rPr>
        <w:t>5.3.1检验结果如有一项指标检验不合格，则该批产品为不合格产品。</w:t>
      </w:r>
    </w:p>
    <w:p>
      <w:pPr>
        <w:pStyle w:val="11"/>
        <w:rPr>
          <w:rFonts w:hint="default" w:ascii="Times New Roman" w:hAnsi="Times New Roman" w:cs="Times New Roman"/>
        </w:rPr>
      </w:pPr>
      <w:r>
        <w:rPr>
          <w:rFonts w:hint="default" w:ascii="Times New Roman" w:hAnsi="Times New Roman" w:cs="Times New Roman"/>
        </w:rPr>
        <w:t>凡某指标检验不合格，应另取一份样品复检，若仍不合格，则判该项目不合格；若复检合格，则应再取一份样品作第二次复检，以第二次复检结果为准。生物指标不合格，判为不合格品。</w:t>
      </w:r>
    </w:p>
    <w:p>
      <w:pPr>
        <w:pStyle w:val="13"/>
        <w:spacing w:before="120" w:after="120"/>
        <w:ind w:leftChars="-5" w:hanging="10" w:hangingChars="5"/>
        <w:rPr>
          <w:rFonts w:hint="default" w:ascii="Times New Roman" w:hAnsi="Times New Roman" w:eastAsia="宋体" w:cs="Times New Roman"/>
          <w:szCs w:val="20"/>
        </w:rPr>
      </w:pPr>
      <w:r>
        <w:rPr>
          <w:rFonts w:hint="default" w:ascii="Times New Roman" w:hAnsi="Times New Roman" w:eastAsia="宋体" w:cs="Times New Roman"/>
          <w:szCs w:val="20"/>
        </w:rPr>
        <w:t>5.3.2当供需双方对产品质量发生争议时，可由双方协商解决或委托仲裁机构复检及判定。</w:t>
      </w:r>
    </w:p>
    <w:p>
      <w:pPr>
        <w:pStyle w:val="10"/>
        <w:spacing w:before="240" w:after="240"/>
        <w:ind w:hanging="1135"/>
        <w:rPr>
          <w:rFonts w:hint="default" w:ascii="Times New Roman" w:hAnsi="Times New Roman" w:cs="Times New Roman"/>
        </w:rPr>
      </w:pPr>
      <w:r>
        <w:rPr>
          <w:rFonts w:hint="default" w:ascii="Times New Roman" w:hAnsi="Times New Roman" w:cs="Times New Roman"/>
        </w:rPr>
        <w:t>标志和标签</w:t>
      </w:r>
    </w:p>
    <w:p>
      <w:pPr>
        <w:pStyle w:val="9"/>
        <w:ind w:firstLine="420"/>
        <w:rPr>
          <w:rFonts w:hint="default" w:ascii="Times New Roman" w:hAnsi="Times New Roman" w:cs="Times New Roman"/>
        </w:rPr>
      </w:pPr>
      <w:r>
        <w:rPr>
          <w:rFonts w:hint="default" w:ascii="Times New Roman" w:hAnsi="Times New Roman" w:cs="Times New Roman"/>
        </w:rPr>
        <w:t>预包装绵白糖标签应符合GB 7718的规定。推荐在绵白糖标签上标注保质期，保质期由生产企业或包装单位自行确定。包装储运标志应符合GB/T 191的规定。</w:t>
      </w:r>
      <w:r>
        <w:rPr>
          <w:rFonts w:hint="default" w:ascii="Times New Roman" w:hAnsi="Times New Roman" w:eastAsia="黑体" w:cs="Times New Roman"/>
          <w:kern w:val="2"/>
          <w:szCs w:val="24"/>
        </w:rPr>
        <w:t xml:space="preserve"> </w:t>
      </w:r>
    </w:p>
    <w:p>
      <w:pPr>
        <w:pStyle w:val="10"/>
        <w:spacing w:before="240" w:after="240"/>
        <w:ind w:left="-1" w:leftChars="-67" w:hanging="140" w:hangingChars="67"/>
        <w:rPr>
          <w:rFonts w:hint="default" w:ascii="Times New Roman" w:hAnsi="Times New Roman" w:cs="Times New Roman"/>
        </w:rPr>
      </w:pPr>
      <w:r>
        <w:rPr>
          <w:rFonts w:hint="default" w:ascii="Times New Roman" w:hAnsi="Times New Roman" w:cs="Times New Roman"/>
        </w:rPr>
        <w:t>包装、运输和贮存</w:t>
      </w:r>
    </w:p>
    <w:p>
      <w:pPr>
        <w:pStyle w:val="9"/>
        <w:ind w:firstLine="283" w:firstLineChars="135"/>
        <w:rPr>
          <w:rFonts w:hint="default" w:ascii="Times New Roman" w:hAnsi="Times New Roman" w:cs="Times New Roman"/>
        </w:rPr>
      </w:pPr>
      <w:r>
        <w:rPr>
          <w:rFonts w:hint="default" w:ascii="Times New Roman" w:hAnsi="Times New Roman" w:cs="Times New Roman"/>
        </w:rPr>
        <w:t>包装容器与材料应符合相应的卫生标准和有关规定。运糖工具和糖仓必须清洁、干燥、严禁绵白糖与有害、有毒、有异味和其他易污染物品混运、混贮，用船运载和仓贮时糖堆下面应有垫层，以防受潮。贮存环境的空气相对湿度应保持在70%以下，温度不超过38 ℃。</w:t>
      </w:r>
    </w:p>
    <w:p/>
    <w:p/>
    <w:p/>
    <w:p/>
    <w:p/>
    <w:p/>
    <w:p/>
    <w:p/>
    <w:p/>
    <w:p/>
    <w:p/>
    <w:p/>
    <w:p/>
    <w:p/>
    <w:p/>
    <w:p/>
    <w:p/>
    <w:p/>
    <w:p/>
    <w:p/>
    <w:sectPr>
      <w:footerReference r:id="rId3" w:type="default"/>
      <w:pgSz w:w="11906" w:h="16838"/>
      <w:pgMar w:top="850" w:right="1389" w:bottom="964" w:left="138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8"/>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B2C7B3B"/>
    <w:multiLevelType w:val="multilevel"/>
    <w:tmpl w:val="2B2C7B3B"/>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B215C4D"/>
    <w:multiLevelType w:val="multilevel"/>
    <w:tmpl w:val="5B215C4D"/>
    <w:lvl w:ilvl="0" w:tentative="0">
      <w:start w:val="5"/>
      <w:numFmt w:val="decimal"/>
      <w:lvlText w:val="%1"/>
      <w:lvlJc w:val="left"/>
      <w:pPr>
        <w:ind w:left="525" w:hanging="525"/>
      </w:pPr>
      <w:rPr>
        <w:rFonts w:hint="default"/>
      </w:rPr>
    </w:lvl>
    <w:lvl w:ilvl="1" w:tentative="0">
      <w:start w:val="2"/>
      <w:numFmt w:val="decimal"/>
      <w:lvlText w:val="%1.%2"/>
      <w:lvlJc w:val="left"/>
      <w:pPr>
        <w:ind w:left="525" w:hanging="52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5C696CD4"/>
    <w:multiLevelType w:val="multilevel"/>
    <w:tmpl w:val="5C696CD4"/>
    <w:lvl w:ilvl="0" w:tentative="0">
      <w:start w:val="3"/>
      <w:numFmt w:val="decimal"/>
      <w:lvlText w:val="%1"/>
      <w:lvlJc w:val="left"/>
      <w:pPr>
        <w:ind w:left="360" w:hanging="360"/>
      </w:pPr>
      <w:rPr>
        <w:rFonts w:hint="default" w:hAnsi="黑体" w:cs="黑体"/>
      </w:rPr>
    </w:lvl>
    <w:lvl w:ilvl="1" w:tentative="0">
      <w:start w:val="1"/>
      <w:numFmt w:val="decimal"/>
      <w:lvlText w:val="%1.%2"/>
      <w:lvlJc w:val="left"/>
      <w:pPr>
        <w:ind w:left="360" w:hanging="360"/>
      </w:pPr>
      <w:rPr>
        <w:rFonts w:hint="default" w:hAnsi="黑体" w:cs="黑体"/>
      </w:rPr>
    </w:lvl>
    <w:lvl w:ilvl="2" w:tentative="0">
      <w:start w:val="1"/>
      <w:numFmt w:val="decimal"/>
      <w:lvlText w:val="%1.%2.%3"/>
      <w:lvlJc w:val="left"/>
      <w:pPr>
        <w:ind w:left="720" w:hanging="720"/>
      </w:pPr>
      <w:rPr>
        <w:rFonts w:hint="default" w:hAnsi="黑体" w:cs="黑体"/>
      </w:rPr>
    </w:lvl>
    <w:lvl w:ilvl="3" w:tentative="0">
      <w:start w:val="1"/>
      <w:numFmt w:val="decimal"/>
      <w:lvlText w:val="%1.%2.%3.%4"/>
      <w:lvlJc w:val="left"/>
      <w:pPr>
        <w:ind w:left="1080" w:hanging="1080"/>
      </w:pPr>
      <w:rPr>
        <w:rFonts w:hint="default" w:hAnsi="黑体" w:cs="黑体"/>
      </w:rPr>
    </w:lvl>
    <w:lvl w:ilvl="4" w:tentative="0">
      <w:start w:val="1"/>
      <w:numFmt w:val="decimal"/>
      <w:lvlText w:val="%1.%2.%3.%4.%5"/>
      <w:lvlJc w:val="left"/>
      <w:pPr>
        <w:ind w:left="1080" w:hanging="1080"/>
      </w:pPr>
      <w:rPr>
        <w:rFonts w:hint="default" w:hAnsi="黑体" w:cs="黑体"/>
      </w:rPr>
    </w:lvl>
    <w:lvl w:ilvl="5" w:tentative="0">
      <w:start w:val="1"/>
      <w:numFmt w:val="decimal"/>
      <w:lvlText w:val="%1.%2.%3.%4.%5.%6"/>
      <w:lvlJc w:val="left"/>
      <w:pPr>
        <w:ind w:left="1440" w:hanging="1440"/>
      </w:pPr>
      <w:rPr>
        <w:rFonts w:hint="default" w:hAnsi="黑体" w:cs="黑体"/>
      </w:rPr>
    </w:lvl>
    <w:lvl w:ilvl="6" w:tentative="0">
      <w:start w:val="1"/>
      <w:numFmt w:val="decimal"/>
      <w:lvlText w:val="%1.%2.%3.%4.%5.%6.%7"/>
      <w:lvlJc w:val="left"/>
      <w:pPr>
        <w:ind w:left="1440" w:hanging="1440"/>
      </w:pPr>
      <w:rPr>
        <w:rFonts w:hint="default" w:hAnsi="黑体" w:cs="黑体"/>
      </w:rPr>
    </w:lvl>
    <w:lvl w:ilvl="7" w:tentative="0">
      <w:start w:val="1"/>
      <w:numFmt w:val="decimal"/>
      <w:lvlText w:val="%1.%2.%3.%4.%5.%6.%7.%8"/>
      <w:lvlJc w:val="left"/>
      <w:pPr>
        <w:ind w:left="1800" w:hanging="1800"/>
      </w:pPr>
      <w:rPr>
        <w:rFonts w:hint="default" w:hAnsi="黑体" w:cs="黑体"/>
      </w:rPr>
    </w:lvl>
    <w:lvl w:ilvl="8" w:tentative="0">
      <w:start w:val="1"/>
      <w:numFmt w:val="decimal"/>
      <w:lvlText w:val="%1.%2.%3.%4.%5.%6.%7.%8.%9"/>
      <w:lvlJc w:val="left"/>
      <w:pPr>
        <w:ind w:left="1800" w:hanging="1800"/>
      </w:pPr>
      <w:rPr>
        <w:rFonts w:hint="default" w:hAnsi="黑体" w:cs="黑体"/>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1135" w:firstLine="0"/>
      </w:pPr>
      <w:rPr>
        <w:rFonts w:hint="eastAsia" w:ascii="黑体" w:eastAsia="黑体"/>
        <w:b w:val="0"/>
        <w:i w:val="0"/>
        <w:sz w:val="21"/>
      </w:rPr>
    </w:lvl>
    <w:lvl w:ilvl="2" w:tentative="0">
      <w:start w:val="1"/>
      <w:numFmt w:val="decimal"/>
      <w:pStyle w:val="14"/>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RiMzg4MzI3MWE5YzYwYTg4ZTdlNGY3MGExNzgifQ=="/>
  </w:docVars>
  <w:rsids>
    <w:rsidRoot w:val="00000000"/>
    <w:rsid w:val="342547DD"/>
    <w:rsid w:val="52A5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Plain Text"/>
    <w:basedOn w:val="1"/>
    <w:qFormat/>
    <w:uiPriority w:val="0"/>
    <w:pPr>
      <w:adjustRightInd/>
      <w:spacing w:line="240" w:lineRule="auto"/>
    </w:pPr>
    <w:rPr>
      <w:rFonts w:ascii="宋体" w:hAnsi="Courier New" w:cs="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adjustRightInd/>
      <w:snapToGrid w:val="0"/>
      <w:jc w:val="center"/>
    </w:pPr>
    <w:rPr>
      <w:sz w:val="18"/>
      <w:szCs w:val="18"/>
    </w:rPr>
  </w:style>
  <w:style w:type="paragraph" w:customStyle="1" w:styleId="8">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标准文件_章标题"/>
    <w:next w:val="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一级条标题"/>
    <w:next w:val="1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二级条标题"/>
    <w:basedOn w:val="12"/>
    <w:next w:val="11"/>
    <w:qFormat/>
    <w:uiPriority w:val="0"/>
    <w:pPr>
      <w:spacing w:before="50" w:after="50"/>
      <w:outlineLvl w:val="3"/>
    </w:pPr>
  </w:style>
  <w:style w:type="paragraph" w:customStyle="1" w:styleId="14">
    <w:name w:val="标准文件_一级条标题"/>
    <w:basedOn w:val="10"/>
    <w:next w:val="9"/>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78</Characters>
  <Lines>0</Lines>
  <Paragraphs>0</Paragraphs>
  <TotalTime>3</TotalTime>
  <ScaleCrop>false</ScaleCrop>
  <LinksUpToDate>false</LinksUpToDate>
  <CharactersWithSpaces>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2023-07-17T07:07:00Z</dcterms:created>
  <dc:creator>Administrator</dc:creator>
  <cp:lastModifiedBy>Administrator</cp:lastModifiedBy>
  <dcterms:modified xsi:type="dcterms:W3CDTF">2023-08-18T07:39:40Z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A5A6DAE0B50B45CCB94FDB83F1247C5C_13</vt:lpwstr>
  </property>
</Properties>
</file>