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240" w:firstLineChars="400"/>
        <w:rPr>
          <w:rFonts w:ascii="黑体" w:hAnsi="黑体" w:eastAsia="黑体" w:cs="黑体"/>
          <w:b/>
          <w:sz w:val="30"/>
          <w:szCs w:val="30"/>
        </w:rPr>
      </w:pPr>
      <w:r>
        <w:rPr>
          <w:rFonts w:hint="eastAsia"/>
          <w:spacing w:val="20"/>
          <w:sz w:val="52"/>
          <w:szCs w:val="52"/>
        </w:rPr>
        <w:t>内蒙古标准化协会</w:t>
      </w: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after="240"/>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《超高压杀菌驴乳》</w:t>
      </w:r>
    </w:p>
    <w:p>
      <w:pPr>
        <w:spacing w:after="240"/>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编制说明</w:t>
      </w:r>
    </w:p>
    <w:p>
      <w:pPr>
        <w:spacing w:after="240"/>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w:t>
      </w:r>
      <w:r>
        <w:rPr>
          <w:rFonts w:hint="eastAsia" w:ascii="黑体" w:hAnsi="黑体" w:eastAsia="黑体" w:cs="黑体"/>
          <w:kern w:val="0"/>
          <w:sz w:val="40"/>
          <w:szCs w:val="40"/>
        </w:rPr>
        <w:t>征求意见稿</w:t>
      </w:r>
      <w:r>
        <w:rPr>
          <w:rFonts w:hint="eastAsia" w:ascii="黑体" w:hAnsi="黑体" w:eastAsia="黑体" w:cs="黑体"/>
          <w:color w:val="000000"/>
          <w:kern w:val="0"/>
          <w:sz w:val="40"/>
          <w:szCs w:val="40"/>
        </w:rPr>
        <w:t>）</w:t>
      </w:r>
    </w:p>
    <w:p>
      <w:pPr>
        <w:spacing w:line="360" w:lineRule="auto"/>
        <w:ind w:firstLine="602" w:firstLineChars="200"/>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803" w:firstLineChars="200"/>
        <w:jc w:val="center"/>
        <w:rPr>
          <w:rFonts w:ascii="黑体" w:hAnsi="黑体" w:eastAsia="黑体" w:cs="黑体"/>
          <w:b/>
          <w:sz w:val="40"/>
          <w:szCs w:val="40"/>
        </w:rPr>
      </w:pPr>
      <w:r>
        <w:rPr>
          <w:rFonts w:hint="eastAsia" w:ascii="黑体" w:hAnsi="黑体" w:eastAsia="黑体" w:cs="黑体"/>
          <w:b/>
          <w:sz w:val="40"/>
          <w:szCs w:val="40"/>
        </w:rPr>
        <w:t>《超高压杀菌驴乳》起草组</w:t>
      </w:r>
    </w:p>
    <w:p>
      <w:pPr>
        <w:spacing w:line="360" w:lineRule="auto"/>
        <w:ind w:firstLine="803" w:firstLineChars="200"/>
        <w:jc w:val="center"/>
        <w:rPr>
          <w:rFonts w:ascii="黑体" w:hAnsi="黑体" w:eastAsia="黑体" w:cs="黑体"/>
          <w:b/>
          <w:sz w:val="40"/>
          <w:szCs w:val="40"/>
        </w:rPr>
      </w:pPr>
      <w:r>
        <w:rPr>
          <w:rFonts w:hint="eastAsia" w:ascii="黑体" w:hAnsi="黑体" w:eastAsia="黑体" w:cs="黑体"/>
          <w:b/>
          <w:sz w:val="40"/>
          <w:szCs w:val="40"/>
        </w:rPr>
        <w:t>20</w:t>
      </w:r>
      <w:r>
        <w:rPr>
          <w:rFonts w:ascii="黑体" w:hAnsi="黑体" w:eastAsia="黑体" w:cs="黑体"/>
          <w:b/>
          <w:sz w:val="40"/>
          <w:szCs w:val="40"/>
        </w:rPr>
        <w:t>2</w:t>
      </w:r>
      <w:r>
        <w:rPr>
          <w:rFonts w:hint="eastAsia" w:ascii="黑体" w:hAnsi="黑体" w:eastAsia="黑体" w:cs="黑体"/>
          <w:b/>
          <w:sz w:val="40"/>
          <w:szCs w:val="40"/>
        </w:rPr>
        <w:t>3年6月</w:t>
      </w:r>
    </w:p>
    <w:p>
      <w:pPr>
        <w:spacing w:line="360" w:lineRule="auto"/>
        <w:ind w:firstLine="602" w:firstLineChars="200"/>
        <w:rPr>
          <w:rFonts w:ascii="黑体" w:hAnsi="黑体" w:eastAsia="黑体" w:cs="黑体"/>
          <w:b/>
          <w:sz w:val="30"/>
          <w:szCs w:val="30"/>
        </w:rPr>
      </w:pPr>
    </w:p>
    <w:p>
      <w:pPr>
        <w:jc w:val="center"/>
        <w:rPr>
          <w:rFonts w:asciiTheme="minorEastAsia" w:hAnsiTheme="minorEastAsia"/>
          <w:b/>
          <w:sz w:val="36"/>
          <w:szCs w:val="36"/>
        </w:rPr>
      </w:pPr>
    </w:p>
    <w:p>
      <w:pPr>
        <w:jc w:val="center"/>
        <w:rPr>
          <w:rFonts w:asciiTheme="minorEastAsia" w:hAnsiTheme="minorEastAsia"/>
          <w:b/>
          <w:sz w:val="36"/>
          <w:szCs w:val="36"/>
        </w:rPr>
      </w:pPr>
      <w:r>
        <w:rPr>
          <w:rFonts w:hint="eastAsia" w:asciiTheme="minorEastAsia" w:hAnsiTheme="minorEastAsia"/>
          <w:b/>
          <w:sz w:val="36"/>
          <w:szCs w:val="36"/>
        </w:rPr>
        <w:t>《超高压杀菌驴乳》</w:t>
      </w:r>
    </w:p>
    <w:p>
      <w:pPr>
        <w:jc w:val="center"/>
        <w:rPr>
          <w:rFonts w:asciiTheme="minorEastAsia" w:hAnsiTheme="minorEastAsia"/>
          <w:b/>
          <w:sz w:val="36"/>
          <w:szCs w:val="36"/>
        </w:rPr>
      </w:pPr>
      <w:r>
        <w:rPr>
          <w:rFonts w:hint="eastAsia" w:asciiTheme="minorEastAsia" w:hAnsiTheme="minorEastAsia"/>
          <w:b/>
          <w:sz w:val="36"/>
          <w:szCs w:val="36"/>
        </w:rPr>
        <w:t>编制说明</w:t>
      </w:r>
    </w:p>
    <w:p>
      <w:pPr>
        <w:rPr>
          <w:rFonts w:ascii="仿宋" w:hAnsi="仿宋" w:eastAsia="仿宋"/>
          <w:b/>
          <w:sz w:val="30"/>
          <w:szCs w:val="30"/>
        </w:rPr>
      </w:pPr>
      <w:r>
        <w:rPr>
          <w:rFonts w:hint="eastAsia" w:ascii="仿宋" w:hAnsi="仿宋" w:eastAsia="仿宋"/>
          <w:b/>
          <w:sz w:val="30"/>
          <w:szCs w:val="30"/>
        </w:rPr>
        <w:t>一、工作简况</w:t>
      </w:r>
    </w:p>
    <w:p>
      <w:pPr>
        <w:rPr>
          <w:rFonts w:ascii="仿宋" w:hAnsi="仿宋" w:eastAsia="仿宋"/>
          <w:b/>
          <w:sz w:val="28"/>
          <w:szCs w:val="28"/>
        </w:rPr>
      </w:pPr>
      <w:r>
        <w:rPr>
          <w:rFonts w:hint="eastAsia" w:ascii="仿宋" w:hAnsi="仿宋" w:eastAsia="仿宋"/>
          <w:b/>
          <w:sz w:val="28"/>
          <w:szCs w:val="28"/>
        </w:rPr>
        <w:t>1、任务来源</w:t>
      </w:r>
    </w:p>
    <w:p>
      <w:pPr>
        <w:spacing w:line="480" w:lineRule="exact"/>
        <w:ind w:firstLine="560" w:firstLineChars="200"/>
        <w:rPr>
          <w:rFonts w:ascii="仿宋" w:hAnsi="仿宋" w:eastAsia="仿宋"/>
          <w:sz w:val="28"/>
          <w:szCs w:val="28"/>
        </w:rPr>
      </w:pPr>
      <w:r>
        <w:rPr>
          <w:rFonts w:eastAsia="仿宋"/>
          <w:sz w:val="28"/>
          <w:szCs w:val="28"/>
        </w:rPr>
        <w:t>202</w:t>
      </w:r>
      <w:r>
        <w:rPr>
          <w:rFonts w:hint="eastAsia" w:eastAsia="仿宋"/>
          <w:sz w:val="28"/>
          <w:szCs w:val="28"/>
        </w:rPr>
        <w:t>3年7月，内蒙古标准化协会下达2023年第2批团体标准制修订项目的通知，同意《</w:t>
      </w:r>
      <w:r>
        <w:rPr>
          <w:rFonts w:hint="eastAsia" w:ascii="仿宋" w:hAnsi="仿宋" w:eastAsia="仿宋"/>
          <w:sz w:val="28"/>
          <w:szCs w:val="28"/>
        </w:rPr>
        <w:t>超高压杀菌驴乳</w:t>
      </w:r>
      <w:r>
        <w:rPr>
          <w:rFonts w:hint="eastAsia" w:eastAsia="仿宋"/>
          <w:sz w:val="28"/>
          <w:szCs w:val="28"/>
        </w:rPr>
        <w:t>》立项，起草单位按照要求开始起草完善标准及标准编制说明。</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提出单位：内蒙古驴哥乳业有限公司</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归口单位：内蒙古标准化协会</w:t>
      </w:r>
    </w:p>
    <w:p>
      <w:pPr>
        <w:rPr>
          <w:rFonts w:ascii="仿宋" w:hAnsi="仿宋" w:eastAsia="仿宋"/>
          <w:b/>
          <w:sz w:val="28"/>
          <w:szCs w:val="28"/>
        </w:rPr>
      </w:pPr>
      <w:r>
        <w:rPr>
          <w:rFonts w:hint="eastAsia" w:ascii="仿宋" w:hAnsi="仿宋" w:eastAsia="仿宋"/>
          <w:b/>
          <w:sz w:val="28"/>
          <w:szCs w:val="28"/>
        </w:rPr>
        <w:t>2、起草单位及协作单位</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起草单位：内蒙古驴哥乳业有限公司</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协作单位：内蒙古仲茂畜牧业有限公司、新疆玉昆仑天然食品工程有限公司、内蒙古草原御驴科技牧业有限公司</w:t>
      </w:r>
    </w:p>
    <w:p>
      <w:pPr>
        <w:rPr>
          <w:rFonts w:ascii="仿宋" w:hAnsi="仿宋" w:eastAsia="仿宋"/>
          <w:b/>
          <w:sz w:val="28"/>
          <w:szCs w:val="28"/>
        </w:rPr>
      </w:pPr>
      <w:r>
        <w:rPr>
          <w:rFonts w:hint="eastAsia" w:ascii="仿宋" w:hAnsi="仿宋" w:eastAsia="仿宋"/>
          <w:b/>
          <w:sz w:val="28"/>
          <w:szCs w:val="28"/>
        </w:rPr>
        <w:t>3、主要起草人</w:t>
      </w:r>
    </w:p>
    <w:p>
      <w:pPr>
        <w:ind w:firstLine="560" w:firstLineChars="200"/>
        <w:rPr>
          <w:rFonts w:ascii="仿宋" w:hAnsi="仿宋" w:eastAsia="仿宋"/>
          <w:sz w:val="28"/>
          <w:szCs w:val="28"/>
        </w:rPr>
      </w:pPr>
      <w:r>
        <w:rPr>
          <w:rFonts w:hint="eastAsia" w:ascii="仿宋" w:hAnsi="仿宋" w:eastAsia="仿宋"/>
          <w:sz w:val="28"/>
          <w:szCs w:val="28"/>
        </w:rPr>
        <w:t>本标准主要起草人为：周玉贵、权志勇、郝圣卿、张勇伟。</w:t>
      </w:r>
    </w:p>
    <w:p>
      <w:pPr>
        <w:ind w:firstLine="562" w:firstLineChars="200"/>
        <w:rPr>
          <w:rFonts w:ascii="仿宋" w:hAnsi="仿宋" w:eastAsia="仿宋"/>
          <w:b/>
          <w:sz w:val="28"/>
          <w:szCs w:val="28"/>
        </w:rPr>
      </w:pPr>
      <w:r>
        <w:rPr>
          <w:rFonts w:hint="eastAsia" w:ascii="仿宋" w:hAnsi="仿宋" w:eastAsia="仿宋"/>
          <w:b/>
          <w:sz w:val="28"/>
          <w:szCs w:val="28"/>
        </w:rPr>
        <w:t>二、制定标准的必要性和意义</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驴乳产业以其强劲的发展势头，势必成为乳都呼和浩特继牛奶和羊奶之后的第三张名片。</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内蒙古驴哥乳业有限公司作为内蒙古唯一一家专注于驴奶加工生产及驴产业链深加工的企业。生产出了“内蒙古第一杯驴奶”，填补了呼和浩特作为乳都的又一个空白，但是截止目前还没有针对灭菌驴乳的相关标准，致使产品无法推向市场，极大的制约了企业的发展，因此《超高压杀菌驴乳》标准的起草、制定也成为其中的首要任务，标准的出台也会带动整个行业的发展。</w:t>
      </w:r>
    </w:p>
    <w:p>
      <w:pPr>
        <w:pStyle w:val="5"/>
        <w:shd w:val="clear" w:color="auto" w:fill="FFFFFF"/>
        <w:spacing w:before="0" w:beforeAutospacing="0" w:after="0" w:afterAutospacing="0"/>
        <w:ind w:firstLine="560" w:firstLineChars="200"/>
        <w:rPr>
          <w:rFonts w:ascii="仿宋" w:hAnsi="仿宋" w:eastAsia="仿宋" w:cstheme="minorBidi"/>
          <w:kern w:val="2"/>
          <w:sz w:val="28"/>
          <w:szCs w:val="28"/>
        </w:rPr>
      </w:pPr>
    </w:p>
    <w:p>
      <w:pPr>
        <w:spacing w:line="480" w:lineRule="exact"/>
        <w:ind w:firstLine="560" w:firstLineChars="200"/>
        <w:rPr>
          <w:rFonts w:ascii="仿宋" w:hAnsi="仿宋" w:eastAsia="仿宋"/>
          <w:sz w:val="28"/>
          <w:szCs w:val="28"/>
        </w:rPr>
      </w:pPr>
      <w:r>
        <w:rPr>
          <w:rFonts w:hint="eastAsia" w:ascii="仿宋" w:hAnsi="仿宋" w:eastAsia="仿宋"/>
          <w:sz w:val="28"/>
          <w:szCs w:val="28"/>
        </w:rPr>
        <w:t>我公司应用比较先进的超高压杀菌技术，静压500MPa以上，动压120MPa左右进行常温灭菌处理。在不改变温度的前提下达到杀灭细菌的效果，产品的保质期可以达到15天。此种工艺在极大的程度上保留了驴奶的固有鲜香，同时也保留了营养物质的活性。</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驴奶是最接近人乳的奶中珍品，对人体的心、胃、脾、肺、肝、前列腺等多种器官有保健作用，其营养成分比例接近人乳的99%。</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驴奶富含功能性乳清蛋白与不饱和脂肪酸。具有延寿，增强抵强力和免疫力，保肝护胃，美白肌肤等独特功能作用。驴乳所有功效皆为天然的。</w:t>
      </w:r>
    </w:p>
    <w:p>
      <w:pPr>
        <w:pStyle w:val="5"/>
        <w:shd w:val="clear" w:color="auto" w:fill="FFFFFF"/>
        <w:spacing w:before="0" w:beforeAutospacing="0" w:after="0" w:afterAutospacing="0"/>
        <w:rPr>
          <w:rFonts w:ascii="仿宋" w:hAnsi="仿宋" w:eastAsia="仿宋" w:cstheme="minorBidi"/>
          <w:b/>
          <w:bCs/>
          <w:kern w:val="2"/>
          <w:sz w:val="28"/>
          <w:szCs w:val="28"/>
        </w:rPr>
      </w:pPr>
      <w:r>
        <w:rPr>
          <w:rFonts w:hint="eastAsia" w:ascii="仿宋" w:hAnsi="仿宋" w:eastAsia="仿宋" w:cstheme="minorBidi"/>
          <w:b/>
          <w:bCs/>
          <w:kern w:val="2"/>
          <w:sz w:val="28"/>
          <w:szCs w:val="28"/>
        </w:rPr>
        <w:t>1、经济效益</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1万头基础母驴基地驴奶，驴鲜奶直接经济收入超过6300万元。如果全部深加工成驴奶粉，价值效益将超过1亿元。</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其中每头驴挤奶每天可产奶4-5斤，可采奶2斤，其余用于小驴食用，奶价市场约每斤30元，挤奶期150天，1万头母驴70%产仔产奶率计算： 2斤/天X30元/斤X150天=9000元/头，9000/头X7000头≈6300万。</w:t>
      </w:r>
    </w:p>
    <w:p>
      <w:pPr>
        <w:pStyle w:val="5"/>
        <w:shd w:val="clear" w:color="auto" w:fill="FFFFFF"/>
        <w:spacing w:before="0" w:beforeAutospacing="0" w:after="0" w:afterAutospacing="0"/>
        <w:rPr>
          <w:rFonts w:ascii="仿宋" w:hAnsi="仿宋" w:eastAsia="仿宋" w:cstheme="minorBidi"/>
          <w:b/>
          <w:bCs/>
          <w:kern w:val="2"/>
          <w:sz w:val="28"/>
          <w:szCs w:val="28"/>
        </w:rPr>
      </w:pPr>
      <w:r>
        <w:rPr>
          <w:rFonts w:ascii="仿宋" w:hAnsi="仿宋" w:eastAsia="仿宋" w:cstheme="minorBidi"/>
          <w:b/>
          <w:bCs/>
          <w:kern w:val="2"/>
          <w:sz w:val="28"/>
          <w:szCs w:val="28"/>
        </w:rPr>
        <w:t>2</w:t>
      </w:r>
      <w:r>
        <w:rPr>
          <w:rFonts w:hint="eastAsia" w:ascii="仿宋" w:hAnsi="仿宋" w:eastAsia="仿宋" w:cstheme="minorBidi"/>
          <w:b/>
          <w:bCs/>
          <w:kern w:val="2"/>
          <w:sz w:val="28"/>
          <w:szCs w:val="28"/>
        </w:rPr>
        <w:t>、社会效益：</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内蒙古驴哥乳业有限公司是由国内第一家且是目前产能最大的驴奶加工企业——新疆玉昆仑天然食品工程有限公司和国内奶驴养殖规模最大的牧场——内蒙古草原御驴科技牧业有限公司与2022年联合投资成立。</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2022年内蒙古驴哥乳业有限公司与武川县政府签订了总投资规模达4.5亿元的《投资意向协议书》，并在当年被列为呼和浩特市重点项目。在2024年6月底建设完成年产500吨超高压灭菌鲜驴奶生产线。公司预计带动当地农牧民就业和创业超1000人；大力扶持当地农户建设养驴合作社。</w:t>
      </w:r>
    </w:p>
    <w:p>
      <w:pPr>
        <w:pStyle w:val="5"/>
        <w:shd w:val="clear" w:color="auto" w:fill="FFFFFF"/>
        <w:spacing w:before="0" w:beforeAutospacing="0" w:after="161" w:afterAutospacing="0"/>
        <w:rPr>
          <w:rFonts w:ascii="仿宋" w:hAnsi="仿宋" w:eastAsia="仿宋" w:cstheme="minorBidi"/>
          <w:b/>
          <w:bCs/>
          <w:kern w:val="2"/>
          <w:sz w:val="28"/>
          <w:szCs w:val="28"/>
        </w:rPr>
      </w:pPr>
      <w:r>
        <w:rPr>
          <w:rFonts w:ascii="仿宋" w:hAnsi="仿宋" w:eastAsia="仿宋" w:cstheme="minorBidi"/>
          <w:b/>
          <w:bCs/>
          <w:kern w:val="2"/>
          <w:sz w:val="28"/>
          <w:szCs w:val="28"/>
        </w:rPr>
        <w:t>3</w:t>
      </w:r>
      <w:r>
        <w:rPr>
          <w:rFonts w:hint="eastAsia" w:ascii="仿宋" w:hAnsi="仿宋" w:eastAsia="仿宋" w:cstheme="minorBidi"/>
          <w:b/>
          <w:bCs/>
          <w:kern w:val="2"/>
          <w:sz w:val="28"/>
          <w:szCs w:val="28"/>
        </w:rPr>
        <w:t>、产业现状</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1）清水河同源牧场内蒙古草原同源牧业万头驴养殖基地位于清水河县五良太乡，该地区地处中温带，日照充足，水草丰美茂盛，且远离工业污染，具有天然防疫的保护屏障，养殖的肉驴具有“本味”、“绿色”等显著特点。该项目总投资1.8亿元，分为养殖示范区、科研中心及主题观光区。</w:t>
      </w:r>
      <w:r>
        <w:rPr>
          <w:rFonts w:hint="eastAsia" w:ascii="仿宋" w:hAnsi="仿宋" w:eastAsia="仿宋"/>
          <w:sz w:val="28"/>
          <w:szCs w:val="28"/>
        </w:rPr>
        <w:br w:type="textWrapping"/>
      </w:r>
      <w:r>
        <w:rPr>
          <w:rFonts w:hint="eastAsia" w:ascii="仿宋" w:hAnsi="仿宋" w:eastAsia="仿宋"/>
          <w:sz w:val="28"/>
          <w:szCs w:val="28"/>
        </w:rPr>
        <w:t xml:space="preserve">   2）和林草原御驴牧业按照公司谋划，三年内完成总预期目标20000 头肉驴，年出栏数量达到 8000 头，力争打造成为国内地区驴品牌“NO.1”。</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驴产业在内蒙古通辽奈曼旗、呼和浩特清水河及和林格尔、巴彦淖尔乌拉特中旗、呼伦贝尔市、巴彦淖尔乌拉特后旗等地区正在快速发展，6亿“驴产业带”助推内蒙古强劲发展。</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而人们崇尚绿色天然消费正在劲推驴肉热，这将有利于驴产业深度发展，拉升养殖效益，使养驴变得越来越赚钱，将会使边穷地区成为中国驴产业带，近而使这些地区的农牧民摆脱贫困，走向富裕。</w:t>
      </w:r>
    </w:p>
    <w:p>
      <w:pPr>
        <w:spacing w:line="480" w:lineRule="exact"/>
        <w:ind w:firstLine="560" w:firstLineChars="200"/>
        <w:rPr>
          <w:rFonts w:ascii="仿宋" w:hAnsi="仿宋" w:eastAsia="仿宋"/>
          <w:sz w:val="28"/>
          <w:szCs w:val="28"/>
        </w:rPr>
      </w:pPr>
      <w:r>
        <w:rPr>
          <w:rFonts w:ascii="仿宋" w:hAnsi="仿宋" w:eastAsia="仿宋"/>
          <w:sz w:val="28"/>
          <w:szCs w:val="28"/>
        </w:rPr>
        <w:t>除了阿胶、驴肉之外，驴奶近年来发展较快，内蒙古草原御驴和同源牧业正在着手生产驴奶。韩国才说，驴奶接近于人奶，且有很多保健和医疗功效</w:t>
      </w:r>
      <w:r>
        <w:rPr>
          <w:rFonts w:hint="eastAsia" w:ascii="仿宋" w:hAnsi="仿宋" w:eastAsia="仿宋"/>
          <w:sz w:val="28"/>
          <w:szCs w:val="28"/>
        </w:rPr>
        <w:t>，特别对心肺系统疾病有很好疗效。</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有了内蒙古蒙东驴业、草原御驴、同源牧业三大驴业公司优质奶源储备，驴产业的蓝图正在缓缓展开，可以预见不久的将来驴奶及其制品必然会被越来越多的人所接受。</w:t>
      </w:r>
    </w:p>
    <w:p>
      <w:pPr>
        <w:pStyle w:val="5"/>
        <w:shd w:val="clear" w:color="auto" w:fill="FFFFFF"/>
        <w:spacing w:before="0" w:beforeAutospacing="0" w:after="161" w:afterAutospacing="0"/>
        <w:rPr>
          <w:rFonts w:ascii="仿宋" w:hAnsi="仿宋" w:eastAsia="仿宋" w:cstheme="minorBidi"/>
          <w:b/>
          <w:bCs/>
          <w:kern w:val="2"/>
          <w:sz w:val="28"/>
          <w:szCs w:val="28"/>
        </w:rPr>
      </w:pPr>
      <w:r>
        <w:rPr>
          <w:rFonts w:hint="eastAsia" w:ascii="仿宋" w:hAnsi="仿宋" w:eastAsia="仿宋" w:cstheme="minorBidi"/>
          <w:b/>
          <w:bCs/>
          <w:kern w:val="2"/>
          <w:sz w:val="28"/>
          <w:szCs w:val="28"/>
        </w:rPr>
        <w:t>4、填补了行业空白</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超高压杀菌驴乳</w:t>
      </w:r>
      <w:r>
        <w:rPr>
          <w:rFonts w:hint="eastAsia" w:ascii="仿宋" w:hAnsi="仿宋" w:eastAsia="仿宋"/>
          <w:sz w:val="28"/>
          <w:szCs w:val="28"/>
          <w:lang w:val="en-US" w:eastAsia="zh-CN"/>
        </w:rPr>
        <w:t>相关的</w:t>
      </w:r>
      <w:r>
        <w:rPr>
          <w:rFonts w:hint="eastAsia" w:ascii="仿宋" w:hAnsi="仿宋" w:eastAsia="仿宋"/>
          <w:sz w:val="28"/>
          <w:szCs w:val="28"/>
        </w:rPr>
        <w:t>国家标准</w:t>
      </w:r>
      <w:r>
        <w:rPr>
          <w:rFonts w:hint="eastAsia" w:ascii="仿宋" w:hAnsi="仿宋" w:eastAsia="仿宋"/>
          <w:sz w:val="28"/>
          <w:szCs w:val="28"/>
          <w:lang w:eastAsia="zh-CN"/>
        </w:rPr>
        <w:t>、</w:t>
      </w:r>
      <w:r>
        <w:rPr>
          <w:rFonts w:hint="eastAsia" w:ascii="仿宋" w:hAnsi="仿宋" w:eastAsia="仿宋"/>
          <w:sz w:val="28"/>
          <w:szCs w:val="28"/>
        </w:rPr>
        <w:t>行业</w:t>
      </w:r>
      <w:r>
        <w:rPr>
          <w:rFonts w:hint="eastAsia" w:ascii="仿宋" w:hAnsi="仿宋" w:eastAsia="仿宋"/>
          <w:sz w:val="28"/>
          <w:szCs w:val="28"/>
          <w:lang w:val="en-US" w:eastAsia="zh-CN"/>
        </w:rPr>
        <w:t>地方</w:t>
      </w:r>
      <w:r>
        <w:rPr>
          <w:rFonts w:hint="eastAsia" w:ascii="仿宋" w:hAnsi="仿宋" w:eastAsia="仿宋"/>
          <w:sz w:val="28"/>
          <w:szCs w:val="28"/>
        </w:rPr>
        <w:t>标准目前还是空白</w:t>
      </w:r>
      <w:r>
        <w:rPr>
          <w:rFonts w:hint="eastAsia" w:ascii="仿宋" w:hAnsi="仿宋" w:eastAsia="仿宋"/>
          <w:sz w:val="28"/>
          <w:szCs w:val="28"/>
          <w:lang w:eastAsia="zh-CN"/>
        </w:rPr>
        <w:t>；</w:t>
      </w:r>
      <w:r>
        <w:rPr>
          <w:rFonts w:hint="eastAsia" w:ascii="仿宋" w:hAnsi="仿宋" w:eastAsia="仿宋"/>
          <w:sz w:val="28"/>
          <w:szCs w:val="28"/>
          <w:lang w:val="en-US" w:eastAsia="zh-CN"/>
        </w:rPr>
        <w:t>地方标准方面，</w:t>
      </w:r>
      <w:r>
        <w:rPr>
          <w:rFonts w:hint="eastAsia" w:ascii="仿宋" w:hAnsi="仿宋" w:eastAsia="仿宋"/>
          <w:sz w:val="28"/>
          <w:szCs w:val="28"/>
        </w:rPr>
        <w:t>新疆有地方标准</w:t>
      </w:r>
      <w:r>
        <w:rPr>
          <w:rFonts w:ascii="仿宋" w:hAnsi="仿宋" w:eastAsia="仿宋"/>
          <w:sz w:val="28"/>
          <w:szCs w:val="28"/>
        </w:rPr>
        <w:t>DBS65/ 019-2017 食品安全地方标准 驴乳粉</w:t>
      </w:r>
      <w:r>
        <w:rPr>
          <w:rFonts w:hint="eastAsia" w:ascii="仿宋" w:hAnsi="仿宋" w:eastAsia="仿宋"/>
          <w:sz w:val="28"/>
          <w:szCs w:val="28"/>
        </w:rPr>
        <w:t>，</w:t>
      </w:r>
      <w:r>
        <w:rPr>
          <w:rFonts w:ascii="仿宋" w:hAnsi="仿宋" w:eastAsia="仿宋"/>
          <w:sz w:val="28"/>
          <w:szCs w:val="28"/>
        </w:rPr>
        <w:t>DBS65/ 017-2017 食品安全地方标准 生驴乳</w:t>
      </w:r>
      <w:r>
        <w:rPr>
          <w:rFonts w:hint="eastAsia" w:ascii="仿宋" w:hAnsi="仿宋" w:eastAsia="仿宋"/>
          <w:sz w:val="28"/>
          <w:szCs w:val="28"/>
        </w:rPr>
        <w:t>，</w:t>
      </w:r>
      <w:r>
        <w:rPr>
          <w:rFonts w:ascii="仿宋" w:hAnsi="仿宋" w:eastAsia="仿宋"/>
          <w:sz w:val="28"/>
          <w:szCs w:val="28"/>
        </w:rPr>
        <w:t>DBS65/ 018-2017 食品安全地方标准 巴氏杀菌驴乳</w:t>
      </w:r>
      <w:r>
        <w:rPr>
          <w:rFonts w:hint="eastAsia" w:ascii="仿宋" w:hAnsi="仿宋" w:eastAsia="仿宋"/>
          <w:sz w:val="28"/>
          <w:szCs w:val="28"/>
          <w:lang w:eastAsia="zh-CN"/>
        </w:rPr>
        <w:t>；</w:t>
      </w:r>
      <w:r>
        <w:rPr>
          <w:rFonts w:hint="eastAsia" w:ascii="仿宋" w:hAnsi="仿宋" w:eastAsia="仿宋"/>
          <w:sz w:val="28"/>
          <w:szCs w:val="28"/>
        </w:rPr>
        <w:t>截止目前现已有的团体标准：T/IMAS 024-2021 生驴乳，T/IMAS 02</w:t>
      </w:r>
      <w:r>
        <w:rPr>
          <w:rFonts w:ascii="仿宋" w:hAnsi="仿宋" w:eastAsia="仿宋"/>
          <w:sz w:val="28"/>
          <w:szCs w:val="28"/>
        </w:rPr>
        <w:t>5</w:t>
      </w:r>
      <w:r>
        <w:rPr>
          <w:rFonts w:hint="eastAsia" w:ascii="仿宋" w:hAnsi="仿宋" w:eastAsia="仿宋"/>
          <w:sz w:val="28"/>
          <w:szCs w:val="28"/>
        </w:rPr>
        <w:t>-2021 驴乳粉，T/CAAA 058-2021 团体标准发酵驴乳，但目前还没有超高压杀菌驴乳的相关标准，本标准的出台将为进行鲜驴乳加工的企业提供可参考的依据，也为行业标准奠定基础。势必带动鲜驴乳加工行业更快速、高效的发展。</w:t>
      </w:r>
    </w:p>
    <w:p>
      <w:pPr>
        <w:rPr>
          <w:rFonts w:ascii="仿宋" w:hAnsi="仿宋" w:eastAsia="仿宋"/>
          <w:b/>
          <w:sz w:val="28"/>
          <w:szCs w:val="28"/>
        </w:rPr>
      </w:pPr>
      <w:r>
        <w:rPr>
          <w:rFonts w:hint="eastAsia" w:ascii="仿宋" w:hAnsi="仿宋" w:eastAsia="仿宋"/>
          <w:b/>
          <w:sz w:val="28"/>
          <w:szCs w:val="28"/>
        </w:rPr>
        <w:t>三、主要起草过程</w:t>
      </w:r>
    </w:p>
    <w:p>
      <w:pPr>
        <w:rPr>
          <w:rFonts w:ascii="仿宋" w:hAnsi="仿宋" w:eastAsia="仿宋"/>
          <w:b/>
          <w:sz w:val="28"/>
          <w:szCs w:val="28"/>
        </w:rPr>
      </w:pPr>
      <w:r>
        <w:rPr>
          <w:rFonts w:hint="eastAsia" w:ascii="仿宋" w:hAnsi="仿宋" w:eastAsia="仿宋"/>
          <w:b/>
          <w:sz w:val="28"/>
          <w:szCs w:val="28"/>
        </w:rPr>
        <w:t>1、前期准备</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自项目确立以后，内蒙古驴哥乳业有限公司、内蒙古草原御驴科技牧业有限公司等成立标准化起草组，明确了工作指导思想和工作方向，确定了各个成员的工作职责和分工，启动《超高压杀菌驴乳》团体标准起草编写完善工作。</w:t>
      </w:r>
    </w:p>
    <w:p>
      <w:pPr>
        <w:rPr>
          <w:rFonts w:ascii="仿宋" w:hAnsi="仿宋" w:eastAsia="仿宋"/>
          <w:b/>
          <w:sz w:val="28"/>
          <w:szCs w:val="28"/>
        </w:rPr>
      </w:pPr>
      <w:r>
        <w:rPr>
          <w:rFonts w:hint="eastAsia" w:ascii="仿宋" w:hAnsi="仿宋" w:eastAsia="仿宋"/>
          <w:b/>
          <w:sz w:val="28"/>
          <w:szCs w:val="28"/>
        </w:rPr>
        <w:t>2、组成标准起草组，制定工作方案</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标准起草组成员主要由多年从事标准编制研究，驴的养殖，驴乳研发、加工和生产等相关人员组成，共同参与编写《超高压杀菌驴乳》团体标准的主要技术指标和要求的确定。</w:t>
      </w:r>
    </w:p>
    <w:p>
      <w:pPr>
        <w:rPr>
          <w:rFonts w:ascii="仿宋" w:hAnsi="仿宋" w:eastAsia="仿宋"/>
          <w:b/>
          <w:sz w:val="28"/>
          <w:szCs w:val="28"/>
        </w:rPr>
      </w:pPr>
      <w:r>
        <w:rPr>
          <w:rFonts w:hint="eastAsia" w:ascii="仿宋" w:hAnsi="仿宋" w:eastAsia="仿宋"/>
          <w:b/>
          <w:sz w:val="28"/>
          <w:szCs w:val="28"/>
        </w:rPr>
        <w:t>3、完善标准内容，形成标准征求意见稿</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编制本标准，主要开展了以下工作：</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1）收集文献资料。收集国内外关于“驴乳以及驴乳制品”等相关的文献、论文、学术报告等资料，梳理分析和确定“超高压杀菌驴乳”主要技术指标和影响因素。</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2）组织相关专家进行了讨论和研究，并给本标准提供了数据、参数以及技术要求等方面提供了支持。</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3）相关国家标准GB/T 191 包装储运图示标志GB/T 22388 原料乳与乳制品中三聚氰胺检测方法、GB 4789.1  食品安全国家标准 食品微生物学检验 总则、GB 4789.2  食品安全国家标准 食品微生物学检验 菌落总数测定、GB 4789.3  食品安全国家标准 食品微生物学检验 大肠菌群计数、GB 4789.4  食品安全国家标准 食品微生物学检验 沙门氏菌检验、GB 4789.10  食品安全国家标准 食品微生物学检验 金黄色葡萄球菌检验、GB 4789.18  食品安全国家标准 食品微生物学检验 乳与乳制品检验、GB 4806.6 食品安全国家标准 食品接触用塑料树脂、团体标准T/IMAS 024-2021 生驴乳，等相关标准。为本标准编制奠定了理论基础。</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2023年6月24日形成了标准工作稿，明确了编制思路和框架；2023年6月26日，形成标准草稿；2023年6月30日根据内蒙古标准化协会意见修改形成标准征求意见稿。</w:t>
      </w:r>
    </w:p>
    <w:p>
      <w:pPr>
        <w:rPr>
          <w:rFonts w:ascii="仿宋" w:hAnsi="仿宋" w:eastAsia="仿宋"/>
          <w:b/>
          <w:sz w:val="28"/>
          <w:szCs w:val="28"/>
        </w:rPr>
      </w:pPr>
      <w:r>
        <w:rPr>
          <w:rFonts w:hint="eastAsia" w:ascii="仿宋" w:hAnsi="仿宋" w:eastAsia="仿宋"/>
          <w:b/>
          <w:sz w:val="28"/>
          <w:szCs w:val="28"/>
        </w:rPr>
        <w:t>四、制定标准的原则和依据，与现行法律、法规、标准的关系</w:t>
      </w:r>
    </w:p>
    <w:p>
      <w:pPr>
        <w:spacing w:line="360" w:lineRule="auto"/>
        <w:jc w:val="left"/>
        <w:rPr>
          <w:rFonts w:ascii="仿宋" w:hAnsi="仿宋" w:eastAsia="仿宋" w:cs="仿宋"/>
          <w:b/>
          <w:sz w:val="24"/>
        </w:rPr>
      </w:pPr>
      <w:r>
        <w:rPr>
          <w:rFonts w:hint="eastAsia" w:ascii="仿宋" w:hAnsi="仿宋" w:eastAsia="仿宋" w:cs="仿宋"/>
          <w:b/>
          <w:color w:val="000000"/>
          <w:sz w:val="24"/>
        </w:rPr>
        <w:t>1、编制</w:t>
      </w:r>
      <w:r>
        <w:rPr>
          <w:rFonts w:hint="eastAsia" w:ascii="仿宋" w:hAnsi="仿宋" w:eastAsia="仿宋" w:cs="仿宋"/>
          <w:b/>
          <w:sz w:val="24"/>
        </w:rPr>
        <w:t>原则</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本标准编制起草遵循“确认标准化对象和领域、明确文件使用者及其需求、确定文件编制目的”的原则，技术指标和要求与国家现行相关标准接轨，并注重标准的实用性和可操作性。</w:t>
      </w:r>
    </w:p>
    <w:p>
      <w:pPr>
        <w:spacing w:line="360" w:lineRule="auto"/>
        <w:rPr>
          <w:rFonts w:ascii="仿宋" w:hAnsi="仿宋" w:eastAsia="仿宋" w:cs="仿宋"/>
          <w:b/>
          <w:sz w:val="24"/>
        </w:rPr>
      </w:pPr>
      <w:r>
        <w:rPr>
          <w:rFonts w:hint="eastAsia" w:ascii="仿宋" w:hAnsi="仿宋" w:eastAsia="仿宋" w:cs="仿宋"/>
          <w:b/>
          <w:sz w:val="24"/>
        </w:rPr>
        <w:t>2、编制依据</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本标准的编制严格按照GB/T1.1-2020《标准化工作导则 第1部分：标准化文件的结构和起草规则》的规定起草文件。</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本标准编制所依据的有关标准主要有：GB/T 191 包装储运图示标志GB/T 22388 原料乳与乳制品中三聚氰胺检测方法、GB 4789.1  食品安全国家标准 食品微生物学检验 总则、GB 4789.2  食品安全国家标准 食品微生物学检验 菌落总数测定、GB 4789.3  食品安全国家标准 食品微生物学检验 大肠菌群计数、GB 4789.4  食品安全国家标准 食品微生物学检验 沙门氏菌检验、GB 4789.10  食品安全国家标准 食品微生物学检验 金黄色葡萄球菌检验、GB 4789.18  食品安全国家标准 食品微生物学检验 乳与乳制品检验、GB 4806.6 食品安全国家标准 食品接触用塑料树脂、团体标准T/IMAS 024-2021 生驴乳等相关标准。</w:t>
      </w:r>
    </w:p>
    <w:p>
      <w:pPr>
        <w:spacing w:line="440" w:lineRule="exact"/>
        <w:rPr>
          <w:rFonts w:ascii="仿宋" w:hAnsi="仿宋" w:eastAsia="仿宋" w:cs="仿宋"/>
          <w:b/>
          <w:sz w:val="24"/>
        </w:rPr>
      </w:pPr>
      <w:r>
        <w:rPr>
          <w:rFonts w:hint="eastAsia" w:ascii="仿宋" w:hAnsi="仿宋" w:eastAsia="仿宋" w:cs="仿宋"/>
          <w:b/>
          <w:sz w:val="24"/>
        </w:rPr>
        <w:t>3、与现行法律、法规、标准的关系</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本标准在编制过程中，没有出现与现行有关法律、法规和国家、行业、地方标准相违背的情况。</w:t>
      </w:r>
    </w:p>
    <w:p>
      <w:pPr>
        <w:rPr>
          <w:rFonts w:ascii="仿宋" w:hAnsi="仿宋" w:eastAsia="仿宋"/>
          <w:b/>
          <w:sz w:val="28"/>
          <w:szCs w:val="28"/>
        </w:rPr>
      </w:pPr>
      <w:r>
        <w:rPr>
          <w:rFonts w:hint="eastAsia" w:ascii="仿宋" w:hAnsi="仿宋" w:eastAsia="仿宋"/>
          <w:b/>
          <w:sz w:val="28"/>
          <w:szCs w:val="28"/>
        </w:rPr>
        <w:t>五、主要条款的说明，主要技术指标、参数、试验验证的论述</w:t>
      </w:r>
    </w:p>
    <w:p>
      <w:pPr>
        <w:spacing w:line="440" w:lineRule="exact"/>
        <w:rPr>
          <w:rFonts w:hAnsi="宋体"/>
          <w:b/>
          <w:sz w:val="24"/>
          <w:szCs w:val="24"/>
        </w:rPr>
      </w:pPr>
      <w:r>
        <w:rPr>
          <w:rFonts w:hint="eastAsia" w:hAnsi="宋体"/>
          <w:b/>
          <w:sz w:val="24"/>
          <w:szCs w:val="24"/>
        </w:rPr>
        <w:t>1、主要条款说明</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本标准按内容分为六个部分，第一部分：范围；第二部分：规范性引用文件；第三部分：术语和定义；第四部分：技术要求；第五部分：生产过程中的卫生要求；第六部分：标志、标签、包装、运输与贮存。</w:t>
      </w:r>
    </w:p>
    <w:p>
      <w:pPr>
        <w:spacing w:line="440" w:lineRule="exact"/>
        <w:rPr>
          <w:rFonts w:hAnsi="宋体"/>
          <w:b/>
          <w:sz w:val="24"/>
          <w:szCs w:val="24"/>
        </w:rPr>
      </w:pPr>
      <w:r>
        <w:rPr>
          <w:rFonts w:hint="eastAsia" w:hAnsi="宋体"/>
          <w:b/>
          <w:sz w:val="24"/>
          <w:szCs w:val="24"/>
        </w:rPr>
        <w:t>2、主要技术指标、参数、试验论证的论述</w:t>
      </w:r>
    </w:p>
    <w:p>
      <w:pPr>
        <w:pStyle w:val="16"/>
        <w:numPr>
          <w:ilvl w:val="0"/>
          <w:numId w:val="0"/>
        </w:numPr>
        <w:spacing w:before="312" w:after="312" w:line="440" w:lineRule="exact"/>
        <w:ind w:firstLine="560" w:firstLineChars="200"/>
        <w:rPr>
          <w:rFonts w:ascii="仿宋" w:hAnsi="仿宋" w:eastAsia="仿宋"/>
          <w:sz w:val="28"/>
          <w:szCs w:val="28"/>
        </w:rPr>
      </w:pPr>
      <w:r>
        <w:rPr>
          <w:rFonts w:hint="eastAsia" w:ascii="仿宋" w:hAnsi="仿宋" w:eastAsia="仿宋" w:cstheme="minorBidi"/>
          <w:kern w:val="2"/>
          <w:sz w:val="28"/>
          <w:szCs w:val="28"/>
        </w:rPr>
        <w:t>经过超高压杀菌驴乳产品相关生产企业的出厂检验数据和第三方机构试验检验报告等指标，检测结果进行分析统计，约80%以上的结果均符合起草标准要求。因此本超高压杀菌驴乳标准的制定，基本满足驴乳制品企业超高压杀菌驴乳生产管理做缺少的相关标准的额需求。超高压杀菌驴乳标准的发布将为驴乳相关产业的发展提供标准技术保障，也可以规范超高压驴乳生产企业的管理，提升管理水平。（见附件）</w:t>
      </w:r>
      <w:r>
        <w:rPr>
          <w:rFonts w:ascii="仿宋" w:hAnsi="仿宋" w:eastAsia="仿宋"/>
          <w:sz w:val="28"/>
          <w:szCs w:val="28"/>
        </w:rPr>
        <w:br w:type="page"/>
      </w:r>
    </w:p>
    <w:p>
      <w:pPr>
        <w:spacing w:line="440" w:lineRule="exact"/>
        <w:ind w:firstLine="560" w:firstLineChars="200"/>
        <w:rPr>
          <w:rFonts w:ascii="仿宋" w:hAnsi="仿宋" w:eastAsia="仿宋" w:cs="Times New Roman"/>
          <w:kern w:val="0"/>
          <w:sz w:val="28"/>
          <w:szCs w:val="28"/>
        </w:rPr>
      </w:pPr>
    </w:p>
    <w:p>
      <w:pPr>
        <w:pStyle w:val="17"/>
        <w:spacing w:before="468" w:beforeLines="150" w:after="156"/>
        <w:ind w:left="0" w:firstLine="0"/>
      </w:pPr>
      <w:r>
        <w:rPr>
          <w:rFonts w:hint="eastAsia"/>
        </w:rPr>
        <w:t>感官要求</w:t>
      </w:r>
    </w:p>
    <w:p>
      <w:pPr>
        <w:pStyle w:val="12"/>
        <w:ind w:right="53" w:rightChars="25"/>
      </w:pPr>
      <w:r>
        <w:rPr>
          <w:rFonts w:hint="eastAsia"/>
        </w:rPr>
        <w:t>应符合表1的规定。</w:t>
      </w:r>
    </w:p>
    <w:p>
      <w:pPr>
        <w:pStyle w:val="12"/>
        <w:spacing w:before="156" w:beforeLines="50" w:after="156" w:afterLines="50"/>
        <w:jc w:val="center"/>
      </w:pPr>
      <w:r>
        <w:rPr>
          <w:rFonts w:hint="eastAsia" w:ascii="黑体" w:hAnsi="黑体" w:eastAsia="黑体" w:cs="黑体"/>
        </w:rPr>
        <w:t>表1  感官要求</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4106"/>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 w:type="pct"/>
            <w:tcBorders>
              <w:top w:val="single" w:color="auto" w:sz="12" w:space="0"/>
              <w:left w:val="single" w:color="auto" w:sz="12" w:space="0"/>
              <w:bottom w:val="single" w:color="auto" w:sz="12" w:space="0"/>
            </w:tcBorders>
          </w:tcPr>
          <w:p>
            <w:pPr>
              <w:pStyle w:val="12"/>
              <w:widowControl w:val="0"/>
              <w:ind w:left="420" w:firstLine="0" w:firstLineChars="0"/>
              <w:jc w:val="center"/>
              <w:rPr>
                <w:kern w:val="2"/>
                <w:sz w:val="18"/>
              </w:rPr>
            </w:pPr>
            <w:r>
              <w:rPr>
                <w:rFonts w:hint="eastAsia"/>
                <w:kern w:val="2"/>
                <w:sz w:val="18"/>
              </w:rPr>
              <w:t>项目</w:t>
            </w:r>
          </w:p>
        </w:tc>
        <w:tc>
          <w:tcPr>
            <w:tcW w:w="2409" w:type="pct"/>
            <w:tcBorders>
              <w:top w:val="single" w:color="auto" w:sz="12" w:space="0"/>
              <w:bottom w:val="single" w:color="auto" w:sz="12" w:space="0"/>
            </w:tcBorders>
          </w:tcPr>
          <w:p>
            <w:pPr>
              <w:pStyle w:val="12"/>
              <w:widowControl w:val="0"/>
              <w:ind w:left="420" w:firstLine="0" w:firstLineChars="0"/>
              <w:jc w:val="center"/>
              <w:rPr>
                <w:kern w:val="2"/>
                <w:sz w:val="18"/>
              </w:rPr>
            </w:pPr>
            <w:r>
              <w:rPr>
                <w:rFonts w:hint="eastAsia"/>
                <w:kern w:val="2"/>
                <w:sz w:val="18"/>
              </w:rPr>
              <w:t>要求</w:t>
            </w:r>
          </w:p>
        </w:tc>
        <w:tc>
          <w:tcPr>
            <w:tcW w:w="1572" w:type="pct"/>
            <w:tcBorders>
              <w:top w:val="single" w:color="auto" w:sz="12" w:space="0"/>
              <w:bottom w:val="single" w:color="auto" w:sz="12" w:space="0"/>
              <w:right w:val="single" w:color="auto" w:sz="12" w:space="0"/>
            </w:tcBorders>
          </w:tcPr>
          <w:p>
            <w:pPr>
              <w:pStyle w:val="12"/>
              <w:widowControl w:val="0"/>
              <w:ind w:left="420" w:firstLine="0" w:firstLineChars="0"/>
              <w:jc w:val="center"/>
              <w:rPr>
                <w:kern w:val="2"/>
                <w:sz w:val="18"/>
              </w:rPr>
            </w:pPr>
            <w:r>
              <w:rPr>
                <w:rFonts w:hint="eastAsia"/>
                <w:kern w:val="2"/>
                <w:sz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019" w:type="pct"/>
            <w:tcBorders>
              <w:top w:val="single" w:color="auto" w:sz="12" w:space="0"/>
              <w:left w:val="single" w:color="auto" w:sz="12" w:space="0"/>
            </w:tcBorders>
          </w:tcPr>
          <w:p>
            <w:pPr>
              <w:pStyle w:val="12"/>
              <w:widowControl w:val="0"/>
              <w:ind w:firstLine="0" w:firstLineChars="0"/>
              <w:rPr>
                <w:kern w:val="2"/>
                <w:sz w:val="18"/>
              </w:rPr>
            </w:pPr>
            <w:r>
              <w:rPr>
                <w:rFonts w:hint="eastAsia"/>
                <w:kern w:val="2"/>
                <w:sz w:val="18"/>
              </w:rPr>
              <w:t>色泽</w:t>
            </w:r>
          </w:p>
        </w:tc>
        <w:tc>
          <w:tcPr>
            <w:tcW w:w="2409" w:type="pct"/>
            <w:tcBorders>
              <w:top w:val="single" w:color="auto" w:sz="12" w:space="0"/>
            </w:tcBorders>
            <w:vAlign w:val="center"/>
          </w:tcPr>
          <w:p>
            <w:pPr>
              <w:pStyle w:val="12"/>
              <w:widowControl w:val="0"/>
              <w:ind w:firstLine="0" w:firstLineChars="0"/>
              <w:rPr>
                <w:kern w:val="2"/>
                <w:sz w:val="18"/>
              </w:rPr>
            </w:pPr>
            <w:r>
              <w:rPr>
                <w:rFonts w:hint="eastAsia"/>
                <w:kern w:val="2"/>
                <w:sz w:val="18"/>
              </w:rPr>
              <w:t>均匀乳白色或白色。</w:t>
            </w:r>
          </w:p>
        </w:tc>
        <w:tc>
          <w:tcPr>
            <w:tcW w:w="1572" w:type="pct"/>
            <w:vMerge w:val="restart"/>
            <w:tcBorders>
              <w:top w:val="single" w:color="auto" w:sz="12" w:space="0"/>
              <w:right w:val="single" w:color="auto" w:sz="12" w:space="0"/>
            </w:tcBorders>
          </w:tcPr>
          <w:p>
            <w:pPr>
              <w:pStyle w:val="12"/>
              <w:widowControl w:val="0"/>
              <w:ind w:firstLine="0" w:firstLineChars="0"/>
              <w:rPr>
                <w:kern w:val="2"/>
                <w:sz w:val="18"/>
              </w:rPr>
            </w:pPr>
            <w:r>
              <w:rPr>
                <w:rFonts w:hint="eastAsia"/>
                <w:kern w:val="2"/>
                <w:sz w:val="18"/>
              </w:rPr>
              <w:t>取适量试样置于50 mL烧杯中，在自然光下观察色泽和组织状态。闻其气味，用温开水漱口，品尝滋味。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 w:type="pct"/>
            <w:tcBorders>
              <w:left w:val="single" w:color="auto" w:sz="12" w:space="0"/>
            </w:tcBorders>
          </w:tcPr>
          <w:p>
            <w:pPr>
              <w:pStyle w:val="12"/>
              <w:widowControl w:val="0"/>
              <w:ind w:firstLine="0" w:firstLineChars="0"/>
              <w:rPr>
                <w:kern w:val="2"/>
                <w:sz w:val="18"/>
              </w:rPr>
            </w:pPr>
            <w:r>
              <w:rPr>
                <w:rFonts w:hint="eastAsia"/>
                <w:kern w:val="2"/>
                <w:sz w:val="18"/>
              </w:rPr>
              <w:t>滋味、气味</w:t>
            </w:r>
          </w:p>
        </w:tc>
        <w:tc>
          <w:tcPr>
            <w:tcW w:w="2409" w:type="pct"/>
          </w:tcPr>
          <w:p>
            <w:pPr>
              <w:pStyle w:val="12"/>
              <w:widowControl w:val="0"/>
              <w:ind w:firstLine="0" w:firstLineChars="0"/>
              <w:rPr>
                <w:kern w:val="2"/>
                <w:sz w:val="18"/>
              </w:rPr>
            </w:pPr>
            <w:r>
              <w:rPr>
                <w:rFonts w:hint="eastAsia"/>
                <w:kern w:val="2"/>
                <w:sz w:val="18"/>
              </w:rPr>
              <w:t>具有驴乳固有的香味和甜味，无异味。</w:t>
            </w:r>
          </w:p>
        </w:tc>
        <w:tc>
          <w:tcPr>
            <w:tcW w:w="1572" w:type="pct"/>
            <w:vMerge w:val="continue"/>
            <w:tcBorders>
              <w:right w:val="single" w:color="auto" w:sz="12" w:space="0"/>
            </w:tcBorders>
          </w:tcPr>
          <w:p>
            <w:pPr>
              <w:pStyle w:val="12"/>
              <w:widowControl w:val="0"/>
              <w:ind w:left="420"/>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 w:type="pct"/>
            <w:tcBorders>
              <w:left w:val="single" w:color="auto" w:sz="12" w:space="0"/>
              <w:bottom w:val="single" w:color="auto" w:sz="12" w:space="0"/>
            </w:tcBorders>
            <w:vAlign w:val="center"/>
          </w:tcPr>
          <w:p>
            <w:pPr>
              <w:pStyle w:val="12"/>
              <w:widowControl w:val="0"/>
              <w:ind w:firstLine="0" w:firstLineChars="0"/>
              <w:rPr>
                <w:kern w:val="2"/>
                <w:sz w:val="18"/>
              </w:rPr>
            </w:pPr>
            <w:r>
              <w:rPr>
                <w:rFonts w:hint="eastAsia"/>
                <w:kern w:val="2"/>
                <w:sz w:val="18"/>
              </w:rPr>
              <w:t>组织状态</w:t>
            </w:r>
          </w:p>
        </w:tc>
        <w:tc>
          <w:tcPr>
            <w:tcW w:w="2409" w:type="pct"/>
            <w:tcBorders>
              <w:bottom w:val="single" w:color="auto" w:sz="12" w:space="0"/>
            </w:tcBorders>
            <w:vAlign w:val="center"/>
          </w:tcPr>
          <w:p>
            <w:pPr>
              <w:pStyle w:val="12"/>
              <w:widowControl w:val="0"/>
              <w:ind w:firstLine="0" w:firstLineChars="0"/>
              <w:rPr>
                <w:kern w:val="2"/>
                <w:sz w:val="18"/>
              </w:rPr>
            </w:pPr>
            <w:r>
              <w:rPr>
                <w:rFonts w:hint="eastAsia"/>
                <w:kern w:val="2"/>
                <w:sz w:val="18"/>
              </w:rPr>
              <w:t>呈均匀一致液体，无凝块、无沉淀、无正常视力可见异物。</w:t>
            </w:r>
          </w:p>
        </w:tc>
        <w:tc>
          <w:tcPr>
            <w:tcW w:w="1572" w:type="pct"/>
            <w:vMerge w:val="continue"/>
            <w:tcBorders>
              <w:bottom w:val="single" w:color="auto" w:sz="12" w:space="0"/>
              <w:right w:val="single" w:color="auto" w:sz="12" w:space="0"/>
            </w:tcBorders>
          </w:tcPr>
          <w:p>
            <w:pPr>
              <w:pStyle w:val="12"/>
              <w:widowControl w:val="0"/>
              <w:ind w:left="420"/>
              <w:rPr>
                <w:kern w:val="2"/>
              </w:rPr>
            </w:pPr>
          </w:p>
        </w:tc>
      </w:tr>
    </w:tbl>
    <w:p>
      <w:pPr>
        <w:pStyle w:val="17"/>
        <w:spacing w:before="468" w:beforeLines="150" w:after="156"/>
        <w:ind w:left="0" w:firstLine="0"/>
      </w:pPr>
      <w:r>
        <w:rPr>
          <w:rFonts w:hint="eastAsia"/>
        </w:rPr>
        <w:t>理化指标</w:t>
      </w:r>
    </w:p>
    <w:p>
      <w:pPr>
        <w:pStyle w:val="12"/>
        <w:ind w:right="53" w:rightChars="25"/>
      </w:pPr>
      <w:r>
        <w:rPr>
          <w:rFonts w:hint="eastAsia"/>
        </w:rPr>
        <w:t>应符合表2的规定。</w:t>
      </w:r>
    </w:p>
    <w:p>
      <w:pPr>
        <w:pStyle w:val="12"/>
        <w:spacing w:before="156" w:beforeLines="50" w:after="156" w:afterLines="50"/>
        <w:jc w:val="center"/>
      </w:pPr>
      <w:r>
        <w:rPr>
          <w:rFonts w:hint="eastAsia" w:ascii="黑体" w:hAnsi="黑体" w:eastAsia="黑体" w:cs="黑体"/>
        </w:rPr>
        <w:t>表2  理化指标</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top w:val="single" w:color="auto" w:sz="12" w:space="0"/>
              <w:left w:val="single" w:color="auto" w:sz="12" w:space="0"/>
              <w:bottom w:val="single" w:color="auto" w:sz="12" w:space="0"/>
            </w:tcBorders>
          </w:tcPr>
          <w:p>
            <w:pPr>
              <w:pStyle w:val="12"/>
              <w:widowControl w:val="0"/>
              <w:ind w:left="420" w:firstLine="0" w:firstLineChars="0"/>
              <w:jc w:val="center"/>
              <w:rPr>
                <w:kern w:val="2"/>
                <w:sz w:val="18"/>
              </w:rPr>
            </w:pPr>
            <w:r>
              <w:rPr>
                <w:rFonts w:hint="eastAsia"/>
                <w:kern w:val="2"/>
                <w:sz w:val="18"/>
              </w:rPr>
              <w:t>项目</w:t>
            </w:r>
          </w:p>
        </w:tc>
        <w:tc>
          <w:tcPr>
            <w:tcW w:w="1667" w:type="pct"/>
            <w:tcBorders>
              <w:top w:val="single" w:color="auto" w:sz="12" w:space="0"/>
              <w:bottom w:val="single" w:color="auto" w:sz="12" w:space="0"/>
            </w:tcBorders>
          </w:tcPr>
          <w:p>
            <w:pPr>
              <w:pStyle w:val="12"/>
              <w:widowControl w:val="0"/>
              <w:ind w:left="420" w:firstLine="0" w:firstLineChars="0"/>
              <w:jc w:val="center"/>
              <w:rPr>
                <w:kern w:val="2"/>
                <w:sz w:val="18"/>
              </w:rPr>
            </w:pPr>
            <w:r>
              <w:rPr>
                <w:rFonts w:hint="eastAsia"/>
                <w:kern w:val="2"/>
                <w:sz w:val="18"/>
              </w:rPr>
              <w:t>指标</w:t>
            </w:r>
          </w:p>
        </w:tc>
        <w:tc>
          <w:tcPr>
            <w:tcW w:w="1666" w:type="pct"/>
            <w:tcBorders>
              <w:top w:val="single" w:color="auto" w:sz="12" w:space="0"/>
              <w:bottom w:val="single" w:color="auto" w:sz="12" w:space="0"/>
              <w:right w:val="single" w:color="auto" w:sz="12" w:space="0"/>
            </w:tcBorders>
          </w:tcPr>
          <w:p>
            <w:pPr>
              <w:pStyle w:val="12"/>
              <w:widowControl w:val="0"/>
              <w:ind w:left="420" w:firstLine="0" w:firstLineChars="0"/>
              <w:jc w:val="center"/>
              <w:rPr>
                <w:kern w:val="2"/>
                <w:sz w:val="18"/>
              </w:rPr>
            </w:pPr>
            <w:r>
              <w:rPr>
                <w:rFonts w:hint="eastAsia"/>
                <w:kern w:val="2"/>
                <w:sz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single" w:color="auto" w:sz="12" w:space="0"/>
            </w:tcBorders>
          </w:tcPr>
          <w:p>
            <w:pPr>
              <w:pStyle w:val="12"/>
              <w:widowControl w:val="0"/>
              <w:ind w:firstLine="0" w:firstLineChars="0"/>
              <w:rPr>
                <w:kern w:val="2"/>
                <w:sz w:val="18"/>
              </w:rPr>
            </w:pPr>
            <w:r>
              <w:rPr>
                <w:rFonts w:hint="eastAsia"/>
                <w:kern w:val="2"/>
                <w:sz w:val="18"/>
              </w:rPr>
              <w:t>蛋白质/（g/100 g）           ≥</w:t>
            </w:r>
          </w:p>
        </w:tc>
        <w:tc>
          <w:tcPr>
            <w:tcW w:w="1667" w:type="pct"/>
          </w:tcPr>
          <w:p>
            <w:pPr>
              <w:pStyle w:val="12"/>
              <w:widowControl w:val="0"/>
              <w:ind w:left="420" w:firstLine="0" w:firstLineChars="0"/>
              <w:jc w:val="center"/>
              <w:rPr>
                <w:kern w:val="2"/>
                <w:sz w:val="18"/>
              </w:rPr>
            </w:pPr>
            <w:r>
              <w:rPr>
                <w:rFonts w:hint="eastAsia"/>
                <w:kern w:val="2"/>
                <w:sz w:val="18"/>
              </w:rPr>
              <w:t>1.5</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single" w:color="auto" w:sz="12" w:space="0"/>
            </w:tcBorders>
          </w:tcPr>
          <w:p>
            <w:pPr>
              <w:pStyle w:val="12"/>
              <w:widowControl w:val="0"/>
              <w:ind w:firstLine="0" w:firstLineChars="0"/>
              <w:rPr>
                <w:kern w:val="2"/>
                <w:sz w:val="18"/>
              </w:rPr>
            </w:pPr>
            <w:r>
              <w:rPr>
                <w:rFonts w:hint="eastAsia"/>
                <w:kern w:val="2"/>
                <w:sz w:val="18"/>
              </w:rPr>
              <w:t>乳糖/（g/100 g）             ≥</w:t>
            </w:r>
          </w:p>
        </w:tc>
        <w:tc>
          <w:tcPr>
            <w:tcW w:w="1667" w:type="pct"/>
          </w:tcPr>
          <w:p>
            <w:pPr>
              <w:pStyle w:val="12"/>
              <w:widowControl w:val="0"/>
              <w:ind w:left="420" w:firstLine="0" w:firstLineChars="0"/>
              <w:jc w:val="center"/>
              <w:rPr>
                <w:kern w:val="2"/>
                <w:sz w:val="18"/>
              </w:rPr>
            </w:pPr>
            <w:r>
              <w:rPr>
                <w:rFonts w:hint="eastAsia"/>
                <w:kern w:val="2"/>
                <w:sz w:val="18"/>
              </w:rPr>
              <w:t>5.6</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5413.5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single" w:color="auto" w:sz="12" w:space="0"/>
            </w:tcBorders>
          </w:tcPr>
          <w:p>
            <w:pPr>
              <w:pStyle w:val="12"/>
              <w:widowControl w:val="0"/>
              <w:ind w:firstLine="0" w:firstLineChars="0"/>
              <w:rPr>
                <w:kern w:val="2"/>
                <w:sz w:val="18"/>
              </w:rPr>
            </w:pPr>
            <w:r>
              <w:rPr>
                <w:rFonts w:hint="eastAsia"/>
                <w:kern w:val="2"/>
                <w:sz w:val="18"/>
              </w:rPr>
              <w:t>非脂乳固体/（g/100 g）       ≥</w:t>
            </w:r>
          </w:p>
        </w:tc>
        <w:tc>
          <w:tcPr>
            <w:tcW w:w="1667" w:type="pct"/>
          </w:tcPr>
          <w:p>
            <w:pPr>
              <w:pStyle w:val="12"/>
              <w:widowControl w:val="0"/>
              <w:ind w:left="420" w:firstLine="0" w:firstLineChars="0"/>
              <w:jc w:val="center"/>
              <w:rPr>
                <w:kern w:val="2"/>
                <w:sz w:val="18"/>
              </w:rPr>
            </w:pPr>
            <w:r>
              <w:rPr>
                <w:rFonts w:hint="eastAsia"/>
                <w:kern w:val="2"/>
                <w:sz w:val="18"/>
              </w:rPr>
              <w:t>7.8</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5413.39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single" w:color="auto" w:sz="12" w:space="0"/>
            </w:tcBorders>
          </w:tcPr>
          <w:p>
            <w:pPr>
              <w:pStyle w:val="12"/>
              <w:widowControl w:val="0"/>
              <w:ind w:firstLine="0" w:firstLineChars="0"/>
              <w:rPr>
                <w:kern w:val="2"/>
                <w:sz w:val="18"/>
              </w:rPr>
            </w:pPr>
            <w:r>
              <w:rPr>
                <w:rFonts w:hint="eastAsia"/>
                <w:kern w:val="2"/>
                <w:sz w:val="18"/>
              </w:rPr>
              <w:t>酸度/（°T）                 ≤</w:t>
            </w:r>
          </w:p>
        </w:tc>
        <w:tc>
          <w:tcPr>
            <w:tcW w:w="1667" w:type="pct"/>
          </w:tcPr>
          <w:p>
            <w:pPr>
              <w:pStyle w:val="12"/>
              <w:widowControl w:val="0"/>
              <w:ind w:left="420" w:firstLine="0" w:firstLineChars="0"/>
              <w:jc w:val="center"/>
              <w:rPr>
                <w:kern w:val="2"/>
                <w:sz w:val="18"/>
              </w:rPr>
            </w:pPr>
            <w:r>
              <w:rPr>
                <w:rFonts w:hint="eastAsia"/>
                <w:kern w:val="2"/>
                <w:sz w:val="18"/>
              </w:rPr>
              <w:t>6</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5009.239</w:t>
            </w:r>
          </w:p>
        </w:tc>
      </w:tr>
    </w:tbl>
    <w:p>
      <w:pPr>
        <w:pStyle w:val="17"/>
        <w:spacing w:before="468" w:beforeLines="150" w:after="156"/>
        <w:ind w:left="0" w:firstLine="0"/>
      </w:pPr>
      <w:r>
        <w:rPr>
          <w:rFonts w:hint="eastAsia"/>
        </w:rPr>
        <w:t>污染物限量和真菌毒素限量</w:t>
      </w:r>
    </w:p>
    <w:p>
      <w:pPr>
        <w:pStyle w:val="12"/>
        <w:ind w:right="53" w:rightChars="25"/>
      </w:pPr>
      <w:r>
        <w:rPr>
          <w:rFonts w:hint="eastAsia"/>
        </w:rPr>
        <w:t>应符合表3的规定。</w:t>
      </w:r>
    </w:p>
    <w:p>
      <w:pPr>
        <w:pStyle w:val="12"/>
        <w:spacing w:before="156" w:beforeLines="50" w:after="156" w:afterLines="50"/>
        <w:jc w:val="center"/>
      </w:pPr>
      <w:r>
        <w:rPr>
          <w:rFonts w:hint="eastAsia" w:ascii="黑体" w:hAnsi="黑体" w:eastAsia="黑体" w:cs="黑体"/>
        </w:rPr>
        <w:t>表3  污染物限量和真菌毒素限量</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9"/>
        <w:gridCol w:w="2683"/>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12" w:space="0"/>
              <w:left w:val="single" w:color="auto" w:sz="12" w:space="0"/>
              <w:bottom w:val="single" w:color="auto" w:sz="12" w:space="0"/>
            </w:tcBorders>
          </w:tcPr>
          <w:p>
            <w:pPr>
              <w:pStyle w:val="12"/>
              <w:widowControl w:val="0"/>
              <w:ind w:left="420" w:firstLine="0" w:firstLineChars="0"/>
              <w:jc w:val="center"/>
              <w:rPr>
                <w:kern w:val="2"/>
                <w:sz w:val="18"/>
              </w:rPr>
            </w:pPr>
            <w:r>
              <w:rPr>
                <w:rFonts w:hint="eastAsia"/>
                <w:kern w:val="2"/>
                <w:sz w:val="18"/>
              </w:rPr>
              <w:t>项目</w:t>
            </w:r>
          </w:p>
        </w:tc>
        <w:tc>
          <w:tcPr>
            <w:tcW w:w="1574" w:type="pct"/>
            <w:tcBorders>
              <w:top w:val="single" w:color="auto" w:sz="12" w:space="0"/>
              <w:bottom w:val="single" w:color="auto" w:sz="12" w:space="0"/>
            </w:tcBorders>
          </w:tcPr>
          <w:p>
            <w:pPr>
              <w:pStyle w:val="12"/>
              <w:widowControl w:val="0"/>
              <w:ind w:left="420" w:firstLine="0" w:firstLineChars="0"/>
              <w:jc w:val="center"/>
              <w:rPr>
                <w:kern w:val="2"/>
                <w:sz w:val="18"/>
              </w:rPr>
            </w:pPr>
            <w:r>
              <w:rPr>
                <w:rFonts w:hint="eastAsia"/>
                <w:kern w:val="2"/>
                <w:sz w:val="18"/>
              </w:rPr>
              <w:t>指标</w:t>
            </w:r>
          </w:p>
        </w:tc>
        <w:tc>
          <w:tcPr>
            <w:tcW w:w="1666" w:type="pct"/>
            <w:tcBorders>
              <w:top w:val="single" w:color="auto" w:sz="12" w:space="0"/>
              <w:bottom w:val="single" w:color="auto" w:sz="12" w:space="0"/>
              <w:right w:val="single" w:color="auto" w:sz="12" w:space="0"/>
            </w:tcBorders>
          </w:tcPr>
          <w:p>
            <w:pPr>
              <w:pStyle w:val="12"/>
              <w:widowControl w:val="0"/>
              <w:ind w:left="420" w:firstLine="0" w:firstLineChars="0"/>
              <w:jc w:val="center"/>
              <w:rPr>
                <w:kern w:val="2"/>
                <w:sz w:val="18"/>
              </w:rPr>
            </w:pPr>
            <w:r>
              <w:rPr>
                <w:rFonts w:hint="eastAsia"/>
                <w:kern w:val="2"/>
                <w:sz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12" w:space="0"/>
              <w:left w:val="single" w:color="auto" w:sz="12" w:space="0"/>
            </w:tcBorders>
          </w:tcPr>
          <w:p>
            <w:pPr>
              <w:pStyle w:val="12"/>
              <w:widowControl w:val="0"/>
              <w:ind w:left="420" w:firstLine="0" w:firstLineChars="0"/>
              <w:jc w:val="center"/>
              <w:rPr>
                <w:kern w:val="2"/>
                <w:sz w:val="18"/>
              </w:rPr>
            </w:pPr>
            <w:r>
              <w:rPr>
                <w:rFonts w:hint="eastAsia"/>
                <w:kern w:val="2"/>
                <w:sz w:val="18"/>
              </w:rPr>
              <w:t>铅（Pb）/（mg/kg）          ≤</w:t>
            </w:r>
          </w:p>
        </w:tc>
        <w:tc>
          <w:tcPr>
            <w:tcW w:w="1574" w:type="pct"/>
            <w:tcBorders>
              <w:top w:val="single" w:color="auto" w:sz="12" w:space="0"/>
            </w:tcBorders>
          </w:tcPr>
          <w:p>
            <w:pPr>
              <w:pStyle w:val="12"/>
              <w:widowControl w:val="0"/>
              <w:ind w:left="420" w:firstLine="0" w:firstLineChars="0"/>
              <w:jc w:val="center"/>
              <w:rPr>
                <w:kern w:val="2"/>
                <w:sz w:val="18"/>
              </w:rPr>
            </w:pPr>
            <w:r>
              <w:rPr>
                <w:rFonts w:hint="eastAsia"/>
                <w:kern w:val="2"/>
                <w:sz w:val="18"/>
              </w:rPr>
              <w:t>0.</w:t>
            </w:r>
            <w:r>
              <w:rPr>
                <w:kern w:val="2"/>
                <w:sz w:val="18"/>
              </w:rPr>
              <w:t>05</w:t>
            </w:r>
          </w:p>
        </w:tc>
        <w:tc>
          <w:tcPr>
            <w:tcW w:w="1666" w:type="pct"/>
            <w:tcBorders>
              <w:top w:val="single" w:color="auto" w:sz="12" w:space="0"/>
              <w:right w:val="single" w:color="auto" w:sz="12" w:space="0"/>
            </w:tcBorders>
          </w:tcPr>
          <w:p>
            <w:pPr>
              <w:pStyle w:val="12"/>
              <w:widowControl w:val="0"/>
              <w:ind w:left="420" w:firstLine="0" w:firstLineChars="0"/>
              <w:jc w:val="center"/>
              <w:rPr>
                <w:kern w:val="2"/>
                <w:sz w:val="18"/>
              </w:rPr>
            </w:pPr>
            <w:r>
              <w:rPr>
                <w:rFonts w:hint="eastAsia"/>
                <w:kern w:val="2"/>
                <w:sz w:val="18"/>
              </w:rPr>
              <w:t>GB 5009.12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left w:val="single" w:color="auto" w:sz="12" w:space="0"/>
            </w:tcBorders>
          </w:tcPr>
          <w:p>
            <w:pPr>
              <w:pStyle w:val="12"/>
              <w:widowControl w:val="0"/>
              <w:ind w:left="420" w:firstLine="0" w:firstLineChars="0"/>
              <w:jc w:val="center"/>
              <w:rPr>
                <w:kern w:val="2"/>
                <w:sz w:val="18"/>
              </w:rPr>
            </w:pPr>
            <w:r>
              <w:rPr>
                <w:rFonts w:hint="eastAsia"/>
                <w:kern w:val="2"/>
                <w:sz w:val="18"/>
              </w:rPr>
              <w:t>总砷（As）/（mg/kg）        ≤</w:t>
            </w:r>
          </w:p>
        </w:tc>
        <w:tc>
          <w:tcPr>
            <w:tcW w:w="1574" w:type="pct"/>
          </w:tcPr>
          <w:p>
            <w:pPr>
              <w:pStyle w:val="12"/>
              <w:widowControl w:val="0"/>
              <w:ind w:left="420" w:firstLine="0" w:firstLineChars="0"/>
              <w:jc w:val="center"/>
              <w:rPr>
                <w:kern w:val="2"/>
                <w:sz w:val="18"/>
              </w:rPr>
            </w:pPr>
            <w:r>
              <w:rPr>
                <w:rFonts w:hint="eastAsia"/>
                <w:kern w:val="2"/>
                <w:sz w:val="18"/>
              </w:rPr>
              <w:t>0.1</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5009.11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left w:val="single" w:color="auto" w:sz="12" w:space="0"/>
            </w:tcBorders>
          </w:tcPr>
          <w:p>
            <w:pPr>
              <w:pStyle w:val="12"/>
              <w:widowControl w:val="0"/>
              <w:ind w:left="420" w:firstLine="0" w:firstLineChars="0"/>
              <w:jc w:val="center"/>
              <w:rPr>
                <w:kern w:val="2"/>
                <w:sz w:val="18"/>
              </w:rPr>
            </w:pPr>
            <w:r>
              <w:rPr>
                <w:rFonts w:hint="eastAsia"/>
                <w:kern w:val="2"/>
                <w:sz w:val="18"/>
              </w:rPr>
              <w:t>总汞（Hg）/（mg/kg）        ≤</w:t>
            </w:r>
          </w:p>
        </w:tc>
        <w:tc>
          <w:tcPr>
            <w:tcW w:w="1574" w:type="pct"/>
          </w:tcPr>
          <w:p>
            <w:pPr>
              <w:pStyle w:val="12"/>
              <w:widowControl w:val="0"/>
              <w:ind w:left="420" w:firstLine="0" w:firstLineChars="0"/>
              <w:jc w:val="center"/>
              <w:rPr>
                <w:kern w:val="2"/>
                <w:sz w:val="18"/>
              </w:rPr>
            </w:pPr>
            <w:r>
              <w:rPr>
                <w:rFonts w:hint="eastAsia"/>
                <w:kern w:val="2"/>
                <w:sz w:val="18"/>
              </w:rPr>
              <w:t>0.01</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5009.17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left w:val="single" w:color="auto" w:sz="12" w:space="0"/>
            </w:tcBorders>
          </w:tcPr>
          <w:p>
            <w:pPr>
              <w:pStyle w:val="12"/>
              <w:widowControl w:val="0"/>
              <w:ind w:left="420" w:firstLine="0" w:firstLineChars="0"/>
              <w:jc w:val="center"/>
              <w:rPr>
                <w:kern w:val="2"/>
                <w:sz w:val="18"/>
              </w:rPr>
            </w:pPr>
            <w:r>
              <w:rPr>
                <w:rFonts w:hint="eastAsia"/>
                <w:kern w:val="2"/>
                <w:sz w:val="18"/>
              </w:rPr>
              <w:t>铬（Cr）/（mg/kg）          ≤</w:t>
            </w:r>
          </w:p>
        </w:tc>
        <w:tc>
          <w:tcPr>
            <w:tcW w:w="1574" w:type="pct"/>
          </w:tcPr>
          <w:p>
            <w:pPr>
              <w:pStyle w:val="12"/>
              <w:widowControl w:val="0"/>
              <w:ind w:left="420" w:firstLine="0" w:firstLineChars="0"/>
              <w:jc w:val="center"/>
              <w:rPr>
                <w:kern w:val="2"/>
                <w:sz w:val="18"/>
              </w:rPr>
            </w:pPr>
            <w:r>
              <w:rPr>
                <w:rFonts w:hint="eastAsia"/>
                <w:kern w:val="2"/>
                <w:sz w:val="18"/>
              </w:rPr>
              <w:t>0.3</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5009.123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left w:val="single" w:color="auto" w:sz="12" w:space="0"/>
            </w:tcBorders>
          </w:tcPr>
          <w:p>
            <w:pPr>
              <w:pStyle w:val="12"/>
              <w:widowControl w:val="0"/>
              <w:ind w:firstLine="0" w:firstLineChars="0"/>
              <w:rPr>
                <w:kern w:val="2"/>
                <w:sz w:val="18"/>
              </w:rPr>
            </w:pPr>
            <w:r>
              <w:rPr>
                <w:rFonts w:hint="eastAsia"/>
                <w:kern w:val="2"/>
                <w:sz w:val="18"/>
              </w:rPr>
              <w:t>黄曲霉毒素M</w:t>
            </w:r>
            <w:r>
              <w:rPr>
                <w:rFonts w:hint="eastAsia"/>
                <w:kern w:val="2"/>
                <w:sz w:val="18"/>
                <w:vertAlign w:val="subscript"/>
              </w:rPr>
              <w:t>1</w:t>
            </w:r>
            <w:r>
              <w:rPr>
                <w:rFonts w:hint="eastAsia"/>
                <w:kern w:val="2"/>
                <w:sz w:val="18"/>
              </w:rPr>
              <w:t>/（μg/kg）     ≤</w:t>
            </w:r>
          </w:p>
        </w:tc>
        <w:tc>
          <w:tcPr>
            <w:tcW w:w="1574" w:type="pct"/>
          </w:tcPr>
          <w:p>
            <w:pPr>
              <w:pStyle w:val="12"/>
              <w:widowControl w:val="0"/>
              <w:ind w:left="420" w:firstLine="0" w:firstLineChars="0"/>
              <w:jc w:val="center"/>
              <w:rPr>
                <w:kern w:val="2"/>
                <w:sz w:val="18"/>
              </w:rPr>
            </w:pPr>
            <w:r>
              <w:rPr>
                <w:rFonts w:hint="eastAsia"/>
                <w:kern w:val="2"/>
                <w:sz w:val="18"/>
              </w:rPr>
              <w:t>0.5</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 5009.24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left w:val="single" w:color="auto" w:sz="12" w:space="0"/>
            </w:tcBorders>
          </w:tcPr>
          <w:p>
            <w:pPr>
              <w:pStyle w:val="12"/>
              <w:widowControl w:val="0"/>
              <w:ind w:firstLine="0" w:firstLineChars="0"/>
              <w:rPr>
                <w:kern w:val="2"/>
                <w:sz w:val="18"/>
              </w:rPr>
            </w:pPr>
            <w:r>
              <w:rPr>
                <w:rFonts w:hint="eastAsia"/>
                <w:kern w:val="2"/>
                <w:sz w:val="18"/>
              </w:rPr>
              <w:t>三聚氰胺，mg/kg             ≤</w:t>
            </w:r>
          </w:p>
        </w:tc>
        <w:tc>
          <w:tcPr>
            <w:tcW w:w="1574" w:type="pct"/>
          </w:tcPr>
          <w:p>
            <w:pPr>
              <w:pStyle w:val="12"/>
              <w:widowControl w:val="0"/>
              <w:ind w:left="420" w:firstLine="0" w:firstLineChars="0"/>
              <w:jc w:val="center"/>
              <w:rPr>
                <w:kern w:val="2"/>
                <w:sz w:val="18"/>
              </w:rPr>
            </w:pPr>
            <w:r>
              <w:rPr>
                <w:rFonts w:hint="eastAsia"/>
                <w:kern w:val="2"/>
                <w:sz w:val="18"/>
              </w:rPr>
              <w:t>2.5</w:t>
            </w:r>
          </w:p>
        </w:tc>
        <w:tc>
          <w:tcPr>
            <w:tcW w:w="1666" w:type="pct"/>
            <w:tcBorders>
              <w:right w:val="single" w:color="auto" w:sz="12" w:space="0"/>
            </w:tcBorders>
          </w:tcPr>
          <w:p>
            <w:pPr>
              <w:pStyle w:val="12"/>
              <w:widowControl w:val="0"/>
              <w:ind w:left="420" w:firstLine="0" w:firstLineChars="0"/>
              <w:jc w:val="center"/>
              <w:rPr>
                <w:kern w:val="2"/>
                <w:sz w:val="18"/>
              </w:rPr>
            </w:pPr>
            <w:r>
              <w:rPr>
                <w:rFonts w:hint="eastAsia"/>
                <w:kern w:val="2"/>
                <w:sz w:val="18"/>
              </w:rPr>
              <w:t>GB/T 22388</w:t>
            </w:r>
          </w:p>
        </w:tc>
      </w:tr>
    </w:tbl>
    <w:p>
      <w:pPr>
        <w:widowControl/>
        <w:jc w:val="left"/>
        <w:rPr>
          <w:rFonts w:ascii="黑体" w:hAnsi="Times New Roman" w:eastAsia="黑体" w:cs="Times New Roman"/>
          <w:kern w:val="0"/>
          <w:szCs w:val="21"/>
        </w:rPr>
      </w:pPr>
      <w:r>
        <w:br w:type="page"/>
      </w:r>
    </w:p>
    <w:p>
      <w:pPr>
        <w:pStyle w:val="17"/>
        <w:spacing w:before="156" w:after="156"/>
        <w:ind w:left="0" w:firstLine="0"/>
      </w:pPr>
      <w:r>
        <w:rPr>
          <w:rFonts w:hint="eastAsia"/>
        </w:rPr>
        <w:t>微生物限量</w:t>
      </w:r>
    </w:p>
    <w:p>
      <w:pPr>
        <w:pStyle w:val="12"/>
        <w:ind w:right="53" w:rightChars="25"/>
      </w:pPr>
      <w:r>
        <w:rPr>
          <w:rFonts w:hint="eastAsia"/>
        </w:rPr>
        <w:t>应符合表4的规定。</w:t>
      </w:r>
    </w:p>
    <w:p>
      <w:pPr>
        <w:pStyle w:val="12"/>
        <w:ind w:right="53" w:rightChars="25"/>
        <w:jc w:val="center"/>
      </w:pPr>
      <w:r>
        <w:rPr>
          <w:rFonts w:hint="eastAsia" w:ascii="黑体" w:hAnsi="黑体" w:eastAsia="黑体" w:cs="黑体"/>
        </w:rPr>
        <w:t>表4  微生物限量</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024"/>
        <w:gridCol w:w="1289"/>
        <w:gridCol w:w="1289"/>
        <w:gridCol w:w="1289"/>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pct"/>
            <w:vMerge w:val="restart"/>
            <w:tcBorders>
              <w:top w:val="single" w:color="auto" w:sz="12" w:space="0"/>
              <w:left w:val="single" w:color="auto" w:sz="12" w:space="0"/>
              <w:bottom w:val="single" w:color="auto" w:sz="4" w:space="0"/>
              <w:right w:val="single" w:color="auto" w:sz="4" w:space="0"/>
            </w:tcBorders>
            <w:vAlign w:val="center"/>
          </w:tcPr>
          <w:p>
            <w:pPr>
              <w:pStyle w:val="12"/>
              <w:widowControl w:val="0"/>
              <w:ind w:left="420" w:firstLine="0" w:firstLineChars="0"/>
              <w:jc w:val="center"/>
              <w:rPr>
                <w:kern w:val="2"/>
                <w:sz w:val="18"/>
              </w:rPr>
            </w:pPr>
            <w:r>
              <w:rPr>
                <w:rFonts w:hint="eastAsia"/>
                <w:kern w:val="2"/>
                <w:sz w:val="18"/>
              </w:rPr>
              <w:t>项目</w:t>
            </w:r>
          </w:p>
        </w:tc>
        <w:tc>
          <w:tcPr>
            <w:tcW w:w="2868" w:type="pct"/>
            <w:gridSpan w:val="4"/>
            <w:tcBorders>
              <w:top w:val="single" w:color="auto" w:sz="12" w:space="0"/>
              <w:left w:val="single" w:color="auto" w:sz="4" w:space="0"/>
              <w:bottom w:val="single" w:color="auto" w:sz="4" w:space="0"/>
              <w:right w:val="single" w:color="auto" w:sz="4" w:space="0"/>
            </w:tcBorders>
          </w:tcPr>
          <w:p>
            <w:pPr>
              <w:pStyle w:val="12"/>
              <w:widowControl w:val="0"/>
              <w:ind w:left="420" w:firstLine="0" w:firstLineChars="0"/>
              <w:jc w:val="center"/>
              <w:rPr>
                <w:kern w:val="2"/>
                <w:sz w:val="18"/>
              </w:rPr>
            </w:pPr>
            <w:r>
              <w:rPr>
                <w:rFonts w:hint="eastAsia"/>
                <w:kern w:val="2"/>
                <w:sz w:val="18"/>
              </w:rPr>
              <w:t>采样方案</w:t>
            </w:r>
            <w:r>
              <w:rPr>
                <w:rFonts w:hint="eastAsia"/>
                <w:kern w:val="2"/>
                <w:sz w:val="18"/>
                <w:vertAlign w:val="superscript"/>
              </w:rPr>
              <w:t>a</w:t>
            </w:r>
            <w:r>
              <w:rPr>
                <w:rFonts w:hint="eastAsia"/>
                <w:kern w:val="2"/>
                <w:sz w:val="18"/>
              </w:rPr>
              <w:t>及限量（若非指定，均以CFU/g表示）</w:t>
            </w:r>
          </w:p>
        </w:tc>
        <w:tc>
          <w:tcPr>
            <w:tcW w:w="1216" w:type="pct"/>
            <w:vMerge w:val="restart"/>
            <w:tcBorders>
              <w:top w:val="single" w:color="auto" w:sz="12" w:space="0"/>
              <w:left w:val="single" w:color="auto" w:sz="4" w:space="0"/>
              <w:bottom w:val="single" w:color="auto" w:sz="4" w:space="0"/>
              <w:right w:val="single" w:color="auto" w:sz="12" w:space="0"/>
            </w:tcBorders>
            <w:vAlign w:val="center"/>
          </w:tcPr>
          <w:p>
            <w:pPr>
              <w:pStyle w:val="12"/>
              <w:widowControl w:val="0"/>
              <w:ind w:left="420" w:firstLine="0" w:firstLineChars="0"/>
              <w:jc w:val="center"/>
              <w:rPr>
                <w:kern w:val="2"/>
                <w:sz w:val="18"/>
              </w:rPr>
            </w:pPr>
            <w:r>
              <w:rPr>
                <w:rFonts w:hint="eastAsia"/>
                <w:kern w:val="2"/>
                <w:sz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op w:val="single" w:color="auto" w:sz="4" w:space="0"/>
              <w:left w:val="single" w:color="auto" w:sz="12" w:space="0"/>
              <w:bottom w:val="single" w:color="auto" w:sz="12" w:space="0"/>
              <w:right w:val="single" w:color="auto" w:sz="4" w:space="0"/>
            </w:tcBorders>
          </w:tcPr>
          <w:p>
            <w:pPr>
              <w:pStyle w:val="12"/>
              <w:widowControl w:val="0"/>
              <w:ind w:left="420" w:firstLine="0" w:firstLineChars="0"/>
              <w:jc w:val="center"/>
              <w:rPr>
                <w:kern w:val="2"/>
                <w:sz w:val="18"/>
              </w:rPr>
            </w:pPr>
          </w:p>
        </w:tc>
        <w:tc>
          <w:tcPr>
            <w:tcW w:w="601" w:type="pct"/>
            <w:tcBorders>
              <w:top w:val="single" w:color="auto" w:sz="4" w:space="0"/>
              <w:left w:val="single" w:color="auto" w:sz="4" w:space="0"/>
              <w:bottom w:val="single" w:color="auto" w:sz="12" w:space="0"/>
              <w:right w:val="single" w:color="auto" w:sz="4" w:space="0"/>
            </w:tcBorders>
          </w:tcPr>
          <w:p>
            <w:pPr>
              <w:pStyle w:val="12"/>
              <w:widowControl w:val="0"/>
              <w:ind w:left="420" w:firstLine="0" w:firstLineChars="0"/>
              <w:jc w:val="center"/>
              <w:rPr>
                <w:kern w:val="2"/>
                <w:sz w:val="18"/>
              </w:rPr>
            </w:pPr>
            <w:r>
              <w:rPr>
                <w:rFonts w:hint="eastAsia"/>
                <w:kern w:val="2"/>
                <w:sz w:val="18"/>
              </w:rPr>
              <w:t>n</w:t>
            </w:r>
          </w:p>
        </w:tc>
        <w:tc>
          <w:tcPr>
            <w:tcW w:w="756" w:type="pct"/>
            <w:tcBorders>
              <w:top w:val="single" w:color="auto" w:sz="4" w:space="0"/>
              <w:left w:val="single" w:color="auto" w:sz="4" w:space="0"/>
              <w:bottom w:val="single" w:color="auto" w:sz="12" w:space="0"/>
              <w:right w:val="single" w:color="auto" w:sz="4" w:space="0"/>
            </w:tcBorders>
          </w:tcPr>
          <w:p>
            <w:pPr>
              <w:pStyle w:val="12"/>
              <w:widowControl w:val="0"/>
              <w:ind w:left="420" w:firstLine="0" w:firstLineChars="0"/>
              <w:jc w:val="center"/>
              <w:rPr>
                <w:kern w:val="2"/>
                <w:sz w:val="18"/>
              </w:rPr>
            </w:pPr>
            <w:r>
              <w:rPr>
                <w:rFonts w:hint="eastAsia"/>
                <w:kern w:val="2"/>
                <w:sz w:val="18"/>
              </w:rPr>
              <w:t>c</w:t>
            </w:r>
          </w:p>
        </w:tc>
        <w:tc>
          <w:tcPr>
            <w:tcW w:w="756" w:type="pct"/>
            <w:tcBorders>
              <w:top w:val="single" w:color="auto" w:sz="4" w:space="0"/>
              <w:left w:val="single" w:color="auto" w:sz="4" w:space="0"/>
              <w:bottom w:val="single" w:color="auto" w:sz="12" w:space="0"/>
              <w:right w:val="single" w:color="auto" w:sz="4" w:space="0"/>
            </w:tcBorders>
          </w:tcPr>
          <w:p>
            <w:pPr>
              <w:pStyle w:val="12"/>
              <w:widowControl w:val="0"/>
              <w:ind w:left="420" w:firstLine="0" w:firstLineChars="0"/>
              <w:jc w:val="center"/>
              <w:rPr>
                <w:kern w:val="2"/>
                <w:sz w:val="18"/>
              </w:rPr>
            </w:pPr>
            <w:r>
              <w:rPr>
                <w:rFonts w:hint="eastAsia"/>
                <w:kern w:val="2"/>
                <w:sz w:val="18"/>
              </w:rPr>
              <w:t>m</w:t>
            </w:r>
          </w:p>
        </w:tc>
        <w:tc>
          <w:tcPr>
            <w:tcW w:w="756" w:type="pct"/>
            <w:tcBorders>
              <w:top w:val="single" w:color="auto" w:sz="4" w:space="0"/>
              <w:left w:val="single" w:color="auto" w:sz="4" w:space="0"/>
              <w:bottom w:val="single" w:color="auto" w:sz="12" w:space="0"/>
              <w:right w:val="single" w:color="auto" w:sz="4" w:space="0"/>
            </w:tcBorders>
          </w:tcPr>
          <w:p>
            <w:pPr>
              <w:pStyle w:val="12"/>
              <w:widowControl w:val="0"/>
              <w:ind w:left="420" w:firstLine="0" w:firstLineChars="0"/>
              <w:jc w:val="center"/>
              <w:rPr>
                <w:kern w:val="2"/>
                <w:sz w:val="18"/>
              </w:rPr>
            </w:pPr>
            <w:r>
              <w:rPr>
                <w:rFonts w:hint="eastAsia"/>
                <w:kern w:val="2"/>
                <w:sz w:val="18"/>
              </w:rPr>
              <w:t>M</w:t>
            </w:r>
          </w:p>
        </w:tc>
        <w:tc>
          <w:tcPr>
            <w:tcW w:w="1216" w:type="pct"/>
            <w:vMerge w:val="continue"/>
            <w:tcBorders>
              <w:top w:val="single" w:color="auto" w:sz="4" w:space="0"/>
              <w:left w:val="single" w:color="auto" w:sz="4" w:space="0"/>
              <w:bottom w:val="single" w:color="auto" w:sz="12" w:space="0"/>
              <w:right w:val="single" w:color="auto" w:sz="12" w:space="0"/>
            </w:tcBorders>
          </w:tcPr>
          <w:p>
            <w:pPr>
              <w:pStyle w:val="12"/>
              <w:widowControl w:val="0"/>
              <w:ind w:left="420" w:firstLine="0" w:firstLineChars="0"/>
              <w:jc w:val="center"/>
              <w:rPr>
                <w:kern w:val="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pct"/>
            <w:tcBorders>
              <w:top w:val="single" w:color="auto" w:sz="12" w:space="0"/>
              <w:left w:val="single" w:color="auto" w:sz="12" w:space="0"/>
            </w:tcBorders>
          </w:tcPr>
          <w:p>
            <w:pPr>
              <w:pStyle w:val="12"/>
              <w:widowControl w:val="0"/>
              <w:ind w:firstLine="0" w:firstLineChars="0"/>
              <w:rPr>
                <w:kern w:val="2"/>
                <w:sz w:val="18"/>
              </w:rPr>
            </w:pPr>
            <w:r>
              <w:rPr>
                <w:rFonts w:hint="eastAsia"/>
                <w:kern w:val="2"/>
                <w:sz w:val="18"/>
              </w:rPr>
              <w:t>菌落总数</w:t>
            </w:r>
            <w:r>
              <w:rPr>
                <w:rFonts w:hint="eastAsia"/>
                <w:kern w:val="2"/>
                <w:sz w:val="18"/>
                <w:vertAlign w:val="superscript"/>
              </w:rPr>
              <w:t>a</w:t>
            </w:r>
          </w:p>
        </w:tc>
        <w:tc>
          <w:tcPr>
            <w:tcW w:w="601" w:type="pct"/>
            <w:tcBorders>
              <w:top w:val="single" w:color="auto" w:sz="12" w:space="0"/>
            </w:tcBorders>
          </w:tcPr>
          <w:p>
            <w:pPr>
              <w:pStyle w:val="12"/>
              <w:widowControl w:val="0"/>
              <w:ind w:left="420" w:firstLine="0" w:firstLineChars="0"/>
              <w:jc w:val="center"/>
              <w:rPr>
                <w:kern w:val="2"/>
                <w:sz w:val="18"/>
              </w:rPr>
            </w:pPr>
            <w:r>
              <w:rPr>
                <w:rFonts w:hint="eastAsia"/>
                <w:kern w:val="2"/>
                <w:sz w:val="18"/>
              </w:rPr>
              <w:t>5</w:t>
            </w:r>
          </w:p>
        </w:tc>
        <w:tc>
          <w:tcPr>
            <w:tcW w:w="756" w:type="pct"/>
            <w:tcBorders>
              <w:top w:val="single" w:color="auto" w:sz="12" w:space="0"/>
            </w:tcBorders>
          </w:tcPr>
          <w:p>
            <w:pPr>
              <w:pStyle w:val="12"/>
              <w:widowControl w:val="0"/>
              <w:ind w:left="420" w:firstLine="0" w:firstLineChars="0"/>
              <w:jc w:val="center"/>
              <w:rPr>
                <w:kern w:val="2"/>
                <w:sz w:val="18"/>
              </w:rPr>
            </w:pPr>
            <w:r>
              <w:rPr>
                <w:rFonts w:hint="eastAsia"/>
                <w:kern w:val="2"/>
                <w:sz w:val="18"/>
              </w:rPr>
              <w:t>2</w:t>
            </w:r>
          </w:p>
        </w:tc>
        <w:tc>
          <w:tcPr>
            <w:tcW w:w="756" w:type="pct"/>
            <w:tcBorders>
              <w:top w:val="single" w:color="auto" w:sz="12" w:space="0"/>
            </w:tcBorders>
          </w:tcPr>
          <w:p>
            <w:pPr>
              <w:pStyle w:val="12"/>
              <w:widowControl w:val="0"/>
              <w:ind w:firstLine="0" w:firstLineChars="0"/>
              <w:jc w:val="center"/>
              <w:rPr>
                <w:kern w:val="2"/>
                <w:sz w:val="18"/>
              </w:rPr>
            </w:pPr>
            <w:r>
              <w:rPr>
                <w:rFonts w:hint="eastAsia"/>
                <w:kern w:val="2"/>
                <w:sz w:val="18"/>
              </w:rPr>
              <w:t>50000</w:t>
            </w:r>
          </w:p>
        </w:tc>
        <w:tc>
          <w:tcPr>
            <w:tcW w:w="756" w:type="pct"/>
            <w:tcBorders>
              <w:top w:val="single" w:color="auto" w:sz="12" w:space="0"/>
            </w:tcBorders>
          </w:tcPr>
          <w:p>
            <w:pPr>
              <w:pStyle w:val="12"/>
              <w:widowControl w:val="0"/>
              <w:ind w:left="420" w:firstLine="0" w:firstLineChars="0"/>
              <w:jc w:val="center"/>
              <w:rPr>
                <w:kern w:val="2"/>
                <w:sz w:val="18"/>
              </w:rPr>
            </w:pPr>
            <w:r>
              <w:rPr>
                <w:rFonts w:hint="eastAsia"/>
                <w:kern w:val="2"/>
                <w:sz w:val="18"/>
              </w:rPr>
              <w:t>100000</w:t>
            </w:r>
          </w:p>
        </w:tc>
        <w:tc>
          <w:tcPr>
            <w:tcW w:w="1216" w:type="pct"/>
            <w:tcBorders>
              <w:top w:val="single" w:color="auto" w:sz="12" w:space="0"/>
              <w:right w:val="single" w:color="auto" w:sz="12" w:space="0"/>
            </w:tcBorders>
          </w:tcPr>
          <w:p>
            <w:pPr>
              <w:pStyle w:val="12"/>
              <w:widowControl w:val="0"/>
              <w:ind w:firstLine="0" w:firstLineChars="0"/>
              <w:rPr>
                <w:kern w:val="2"/>
                <w:sz w:val="18"/>
              </w:rPr>
            </w:pPr>
            <w:r>
              <w:rPr>
                <w:rFonts w:hint="eastAsia"/>
                <w:kern w:val="2"/>
                <w:sz w:val="18"/>
              </w:rPr>
              <w:t>GB 4789.2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pct"/>
            <w:tcBorders>
              <w:left w:val="single" w:color="auto" w:sz="12" w:space="0"/>
            </w:tcBorders>
          </w:tcPr>
          <w:p>
            <w:pPr>
              <w:pStyle w:val="12"/>
              <w:widowControl w:val="0"/>
              <w:ind w:firstLine="0" w:firstLineChars="0"/>
              <w:rPr>
                <w:kern w:val="2"/>
                <w:sz w:val="18"/>
              </w:rPr>
            </w:pPr>
            <w:r>
              <w:rPr>
                <w:rFonts w:hint="eastAsia"/>
                <w:kern w:val="2"/>
                <w:sz w:val="18"/>
              </w:rPr>
              <w:t>大肠菌群</w:t>
            </w:r>
          </w:p>
        </w:tc>
        <w:tc>
          <w:tcPr>
            <w:tcW w:w="601" w:type="pct"/>
          </w:tcPr>
          <w:p>
            <w:pPr>
              <w:pStyle w:val="12"/>
              <w:widowControl w:val="0"/>
              <w:ind w:left="420" w:firstLine="0" w:firstLineChars="0"/>
              <w:jc w:val="center"/>
              <w:rPr>
                <w:kern w:val="2"/>
                <w:sz w:val="18"/>
              </w:rPr>
            </w:pPr>
            <w:r>
              <w:rPr>
                <w:rFonts w:hint="eastAsia"/>
                <w:kern w:val="2"/>
                <w:sz w:val="18"/>
              </w:rPr>
              <w:t>5</w:t>
            </w:r>
          </w:p>
        </w:tc>
        <w:tc>
          <w:tcPr>
            <w:tcW w:w="756" w:type="pct"/>
          </w:tcPr>
          <w:p>
            <w:pPr>
              <w:pStyle w:val="12"/>
              <w:widowControl w:val="0"/>
              <w:ind w:left="420" w:firstLine="0" w:firstLineChars="0"/>
              <w:jc w:val="center"/>
              <w:rPr>
                <w:kern w:val="2"/>
                <w:sz w:val="18"/>
              </w:rPr>
            </w:pPr>
            <w:r>
              <w:rPr>
                <w:rFonts w:hint="eastAsia"/>
                <w:kern w:val="2"/>
                <w:sz w:val="18"/>
              </w:rPr>
              <w:t>2</w:t>
            </w:r>
          </w:p>
        </w:tc>
        <w:tc>
          <w:tcPr>
            <w:tcW w:w="756" w:type="pct"/>
          </w:tcPr>
          <w:p>
            <w:pPr>
              <w:pStyle w:val="12"/>
              <w:widowControl w:val="0"/>
              <w:ind w:firstLine="0" w:firstLineChars="0"/>
              <w:jc w:val="center"/>
              <w:rPr>
                <w:kern w:val="2"/>
                <w:sz w:val="18"/>
              </w:rPr>
            </w:pPr>
            <w:r>
              <w:rPr>
                <w:rFonts w:hint="eastAsia"/>
                <w:kern w:val="2"/>
                <w:sz w:val="18"/>
              </w:rPr>
              <w:t>1</w:t>
            </w:r>
          </w:p>
        </w:tc>
        <w:tc>
          <w:tcPr>
            <w:tcW w:w="756" w:type="pct"/>
          </w:tcPr>
          <w:p>
            <w:pPr>
              <w:pStyle w:val="12"/>
              <w:widowControl w:val="0"/>
              <w:ind w:left="420" w:firstLine="0" w:firstLineChars="0"/>
              <w:jc w:val="center"/>
              <w:rPr>
                <w:kern w:val="2"/>
                <w:sz w:val="18"/>
              </w:rPr>
            </w:pPr>
            <w:r>
              <w:rPr>
                <w:rFonts w:hint="eastAsia"/>
                <w:kern w:val="2"/>
                <w:sz w:val="18"/>
              </w:rPr>
              <w:t>5</w:t>
            </w:r>
          </w:p>
        </w:tc>
        <w:tc>
          <w:tcPr>
            <w:tcW w:w="1216" w:type="pct"/>
            <w:tcBorders>
              <w:right w:val="single" w:color="auto" w:sz="12" w:space="0"/>
            </w:tcBorders>
          </w:tcPr>
          <w:p>
            <w:pPr>
              <w:pStyle w:val="12"/>
              <w:widowControl w:val="0"/>
              <w:ind w:firstLine="0" w:firstLineChars="0"/>
              <w:rPr>
                <w:kern w:val="2"/>
                <w:sz w:val="18"/>
              </w:rPr>
            </w:pPr>
            <w:r>
              <w:rPr>
                <w:rFonts w:hint="eastAsia"/>
                <w:kern w:val="2"/>
                <w:sz w:val="18"/>
              </w:rPr>
              <w:t>GB 4789.3 平板计数法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pct"/>
            <w:tcBorders>
              <w:left w:val="single" w:color="auto" w:sz="12" w:space="0"/>
            </w:tcBorders>
          </w:tcPr>
          <w:p>
            <w:pPr>
              <w:pStyle w:val="12"/>
              <w:widowControl w:val="0"/>
              <w:ind w:firstLine="0" w:firstLineChars="0"/>
              <w:rPr>
                <w:kern w:val="2"/>
                <w:sz w:val="18"/>
              </w:rPr>
            </w:pPr>
            <w:r>
              <w:rPr>
                <w:rFonts w:hint="eastAsia"/>
                <w:kern w:val="2"/>
                <w:sz w:val="18"/>
              </w:rPr>
              <w:t>金黄色葡萄球菌</w:t>
            </w:r>
          </w:p>
        </w:tc>
        <w:tc>
          <w:tcPr>
            <w:tcW w:w="601" w:type="pct"/>
          </w:tcPr>
          <w:p>
            <w:pPr>
              <w:pStyle w:val="12"/>
              <w:widowControl w:val="0"/>
              <w:ind w:left="420" w:firstLine="0" w:firstLineChars="0"/>
              <w:jc w:val="center"/>
              <w:rPr>
                <w:kern w:val="2"/>
                <w:sz w:val="18"/>
              </w:rPr>
            </w:pPr>
            <w:r>
              <w:rPr>
                <w:rFonts w:hint="eastAsia"/>
                <w:kern w:val="2"/>
                <w:sz w:val="18"/>
              </w:rPr>
              <w:t>5</w:t>
            </w:r>
          </w:p>
        </w:tc>
        <w:tc>
          <w:tcPr>
            <w:tcW w:w="756" w:type="pct"/>
          </w:tcPr>
          <w:p>
            <w:pPr>
              <w:pStyle w:val="12"/>
              <w:widowControl w:val="0"/>
              <w:ind w:left="420" w:firstLine="0" w:firstLineChars="0"/>
              <w:jc w:val="center"/>
              <w:rPr>
                <w:kern w:val="2"/>
                <w:sz w:val="18"/>
              </w:rPr>
            </w:pPr>
            <w:r>
              <w:rPr>
                <w:rFonts w:hint="eastAsia"/>
                <w:kern w:val="2"/>
                <w:sz w:val="18"/>
              </w:rPr>
              <w:t>0</w:t>
            </w:r>
          </w:p>
        </w:tc>
        <w:tc>
          <w:tcPr>
            <w:tcW w:w="756" w:type="pct"/>
          </w:tcPr>
          <w:p>
            <w:pPr>
              <w:pStyle w:val="12"/>
              <w:widowControl w:val="0"/>
              <w:ind w:firstLine="0" w:firstLineChars="0"/>
              <w:jc w:val="center"/>
              <w:rPr>
                <w:kern w:val="2"/>
                <w:sz w:val="18"/>
              </w:rPr>
            </w:pPr>
            <w:r>
              <w:rPr>
                <w:rFonts w:hint="eastAsia"/>
                <w:kern w:val="2"/>
                <w:sz w:val="18"/>
              </w:rPr>
              <w:t>0/25 g（mL）</w:t>
            </w:r>
          </w:p>
        </w:tc>
        <w:tc>
          <w:tcPr>
            <w:tcW w:w="756" w:type="pct"/>
          </w:tcPr>
          <w:p>
            <w:pPr>
              <w:pStyle w:val="12"/>
              <w:widowControl w:val="0"/>
              <w:ind w:left="420" w:firstLine="0" w:firstLineChars="0"/>
              <w:jc w:val="center"/>
              <w:rPr>
                <w:kern w:val="2"/>
                <w:sz w:val="18"/>
              </w:rPr>
            </w:pPr>
            <w:r>
              <w:rPr>
                <w:rFonts w:hint="eastAsia"/>
                <w:kern w:val="2"/>
                <w:sz w:val="18"/>
              </w:rPr>
              <w:t>——</w:t>
            </w:r>
          </w:p>
        </w:tc>
        <w:tc>
          <w:tcPr>
            <w:tcW w:w="1216" w:type="pct"/>
            <w:tcBorders>
              <w:right w:val="single" w:color="auto" w:sz="12" w:space="0"/>
            </w:tcBorders>
          </w:tcPr>
          <w:p>
            <w:pPr>
              <w:pStyle w:val="12"/>
              <w:widowControl w:val="0"/>
              <w:ind w:firstLine="0" w:firstLineChars="0"/>
              <w:rPr>
                <w:kern w:val="2"/>
                <w:sz w:val="18"/>
              </w:rPr>
            </w:pPr>
            <w:r>
              <w:rPr>
                <w:rFonts w:hint="eastAsia"/>
                <w:kern w:val="2"/>
                <w:sz w:val="18"/>
              </w:rPr>
              <w:t>GB 4789.10 定性检验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pct"/>
            <w:tcBorders>
              <w:left w:val="single" w:color="auto" w:sz="12" w:space="0"/>
            </w:tcBorders>
          </w:tcPr>
          <w:p>
            <w:pPr>
              <w:pStyle w:val="12"/>
              <w:widowControl w:val="0"/>
              <w:ind w:firstLine="0" w:firstLineChars="0"/>
              <w:rPr>
                <w:kern w:val="2"/>
                <w:sz w:val="18"/>
              </w:rPr>
            </w:pPr>
            <w:r>
              <w:rPr>
                <w:rFonts w:hint="eastAsia"/>
                <w:kern w:val="2"/>
                <w:sz w:val="18"/>
              </w:rPr>
              <w:t>沙门氏菌</w:t>
            </w:r>
          </w:p>
        </w:tc>
        <w:tc>
          <w:tcPr>
            <w:tcW w:w="601" w:type="pct"/>
          </w:tcPr>
          <w:p>
            <w:pPr>
              <w:pStyle w:val="12"/>
              <w:widowControl w:val="0"/>
              <w:ind w:left="420" w:firstLine="0" w:firstLineChars="0"/>
              <w:jc w:val="center"/>
              <w:rPr>
                <w:kern w:val="2"/>
                <w:sz w:val="18"/>
              </w:rPr>
            </w:pPr>
            <w:r>
              <w:rPr>
                <w:rFonts w:hint="eastAsia"/>
                <w:kern w:val="2"/>
                <w:sz w:val="18"/>
              </w:rPr>
              <w:t>5</w:t>
            </w:r>
          </w:p>
        </w:tc>
        <w:tc>
          <w:tcPr>
            <w:tcW w:w="756" w:type="pct"/>
          </w:tcPr>
          <w:p>
            <w:pPr>
              <w:pStyle w:val="12"/>
              <w:widowControl w:val="0"/>
              <w:ind w:left="420" w:firstLine="0" w:firstLineChars="0"/>
              <w:jc w:val="center"/>
              <w:rPr>
                <w:kern w:val="2"/>
                <w:sz w:val="18"/>
              </w:rPr>
            </w:pPr>
            <w:r>
              <w:rPr>
                <w:rFonts w:hint="eastAsia"/>
                <w:kern w:val="2"/>
                <w:sz w:val="18"/>
              </w:rPr>
              <w:t>0</w:t>
            </w:r>
          </w:p>
        </w:tc>
        <w:tc>
          <w:tcPr>
            <w:tcW w:w="756" w:type="pct"/>
          </w:tcPr>
          <w:p>
            <w:pPr>
              <w:pStyle w:val="12"/>
              <w:widowControl w:val="0"/>
              <w:ind w:firstLine="0" w:firstLineChars="0"/>
              <w:jc w:val="center"/>
              <w:rPr>
                <w:kern w:val="2"/>
                <w:sz w:val="18"/>
              </w:rPr>
            </w:pPr>
            <w:r>
              <w:rPr>
                <w:rFonts w:hint="eastAsia"/>
                <w:kern w:val="2"/>
                <w:sz w:val="18"/>
              </w:rPr>
              <w:t>0/25 g（mL）</w:t>
            </w:r>
          </w:p>
        </w:tc>
        <w:tc>
          <w:tcPr>
            <w:tcW w:w="756" w:type="pct"/>
          </w:tcPr>
          <w:p>
            <w:pPr>
              <w:pStyle w:val="12"/>
              <w:widowControl w:val="0"/>
              <w:ind w:left="420" w:firstLine="0" w:firstLineChars="0"/>
              <w:jc w:val="center"/>
              <w:rPr>
                <w:kern w:val="2"/>
                <w:sz w:val="18"/>
              </w:rPr>
            </w:pPr>
            <w:r>
              <w:rPr>
                <w:rFonts w:hint="eastAsia"/>
                <w:kern w:val="2"/>
                <w:sz w:val="18"/>
              </w:rPr>
              <w:t>——</w:t>
            </w:r>
          </w:p>
        </w:tc>
        <w:tc>
          <w:tcPr>
            <w:tcW w:w="1216" w:type="pct"/>
            <w:tcBorders>
              <w:right w:val="single" w:color="auto" w:sz="12" w:space="0"/>
            </w:tcBorders>
          </w:tcPr>
          <w:p>
            <w:pPr>
              <w:pStyle w:val="12"/>
              <w:widowControl w:val="0"/>
              <w:ind w:firstLine="0" w:firstLineChars="0"/>
              <w:rPr>
                <w:kern w:val="2"/>
                <w:sz w:val="18"/>
              </w:rPr>
            </w:pPr>
            <w:r>
              <w:rPr>
                <w:rFonts w:hint="eastAsia"/>
                <w:kern w:val="2"/>
                <w:sz w:val="18"/>
              </w:rPr>
              <w:t>GB 4789.4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left w:val="single" w:color="auto" w:sz="12" w:space="0"/>
              <w:bottom w:val="single" w:color="auto" w:sz="12" w:space="0"/>
              <w:right w:val="single" w:color="auto" w:sz="12" w:space="0"/>
            </w:tcBorders>
          </w:tcPr>
          <w:p>
            <w:pPr>
              <w:pStyle w:val="18"/>
              <w:widowControl w:val="0"/>
              <w:numPr>
                <w:ilvl w:val="3"/>
                <w:numId w:val="0"/>
              </w:numPr>
              <w:spacing w:beforeLines="0" w:afterLines="0"/>
              <w:ind w:firstLine="180" w:firstLineChars="100"/>
              <w:rPr>
                <w:rFonts w:ascii="宋体" w:hAnsi="宋体" w:eastAsia="宋体" w:cs="Arial"/>
                <w:color w:val="333333"/>
                <w:kern w:val="2"/>
                <w:sz w:val="18"/>
                <w:szCs w:val="18"/>
                <w:shd w:val="clear" w:color="auto" w:fill="FFFFFF"/>
              </w:rPr>
            </w:pPr>
            <w:r>
              <w:rPr>
                <w:rFonts w:ascii="宋体" w:hAnsi="宋体" w:eastAsia="宋体" w:cs="Arial"/>
                <w:color w:val="333333"/>
                <w:kern w:val="2"/>
                <w:sz w:val="18"/>
                <w:szCs w:val="18"/>
                <w:shd w:val="clear" w:color="auto" w:fill="FFFFFF"/>
              </w:rPr>
              <w:t xml:space="preserve">n：同一批次产品应采集的样品件数； </w:t>
            </w:r>
            <w:r>
              <w:rPr>
                <w:rFonts w:hint="eastAsia" w:ascii="宋体" w:hAnsi="宋体" w:eastAsia="宋体" w:cs="Arial"/>
                <w:color w:val="333333"/>
                <w:kern w:val="2"/>
                <w:sz w:val="18"/>
                <w:szCs w:val="18"/>
                <w:shd w:val="clear" w:color="auto" w:fill="FFFFFF"/>
              </w:rPr>
              <w:t>c</w:t>
            </w:r>
            <w:r>
              <w:rPr>
                <w:rFonts w:ascii="宋体" w:hAnsi="宋体" w:eastAsia="宋体" w:cs="Arial"/>
                <w:color w:val="333333"/>
                <w:kern w:val="2"/>
                <w:sz w:val="18"/>
                <w:szCs w:val="18"/>
                <w:shd w:val="clear" w:color="auto" w:fill="FFFFFF"/>
              </w:rPr>
              <w:t>：最大可允许超出m值的样品数； m：微生物指标可接受水平的限量值； M： 微生物指标的最高安全限量值。</w:t>
            </w:r>
          </w:p>
          <w:p>
            <w:pPr>
              <w:pStyle w:val="18"/>
              <w:widowControl w:val="0"/>
              <w:numPr>
                <w:ilvl w:val="3"/>
                <w:numId w:val="0"/>
              </w:numPr>
              <w:spacing w:beforeLines="0" w:afterLines="0"/>
              <w:ind w:firstLine="180" w:firstLineChars="100"/>
              <w:rPr>
                <w:rFonts w:ascii="宋体" w:hAnsi="宋体" w:eastAsia="宋体"/>
                <w:bCs/>
                <w:kern w:val="2"/>
                <w:sz w:val="18"/>
                <w:szCs w:val="18"/>
              </w:rPr>
            </w:pPr>
            <w:r>
              <w:rPr>
                <w:rFonts w:hint="eastAsia" w:hAnsi="Calibri" w:eastAsia="宋体"/>
                <w:bCs/>
                <w:kern w:val="2"/>
                <w:sz w:val="18"/>
                <w:szCs w:val="18"/>
                <w:vertAlign w:val="superscript"/>
              </w:rPr>
              <w:t xml:space="preserve"> a</w:t>
            </w:r>
            <w:r>
              <w:rPr>
                <w:rFonts w:hint="eastAsia" w:ascii="宋体" w:hAnsi="宋体" w:eastAsia="宋体"/>
                <w:bCs/>
                <w:kern w:val="2"/>
                <w:sz w:val="18"/>
                <w:szCs w:val="18"/>
              </w:rPr>
              <w:t>样品的分析及处理按GB 4789.1和GB 4789.18执行。</w:t>
            </w:r>
          </w:p>
          <w:p>
            <w:pPr>
              <w:pStyle w:val="18"/>
              <w:widowControl w:val="0"/>
              <w:numPr>
                <w:ilvl w:val="3"/>
                <w:numId w:val="0"/>
              </w:numPr>
              <w:spacing w:beforeLines="0" w:afterLines="0"/>
              <w:ind w:firstLine="180" w:firstLineChars="100"/>
              <w:rPr>
                <w:rFonts w:ascii="宋体" w:hAnsi="宋体" w:eastAsia="宋体"/>
                <w:bCs/>
                <w:kern w:val="2"/>
                <w:sz w:val="18"/>
                <w:szCs w:val="18"/>
              </w:rPr>
            </w:pPr>
            <w:r>
              <w:rPr>
                <w:rFonts w:hint="eastAsia" w:hAnsi="Calibri"/>
                <w:kern w:val="2"/>
                <w:sz w:val="18"/>
                <w:szCs w:val="16"/>
              </w:rPr>
              <w:t>“-”表示无数据。</w:t>
            </w:r>
          </w:p>
        </w:tc>
      </w:tr>
    </w:tbl>
    <w:p>
      <w:pPr>
        <w:spacing w:line="440" w:lineRule="exact"/>
        <w:ind w:firstLine="560" w:firstLineChars="200"/>
        <w:rPr>
          <w:rFonts w:ascii="仿宋" w:hAnsi="仿宋" w:eastAsia="仿宋" w:cs="Times New Roman"/>
          <w:kern w:val="0"/>
          <w:sz w:val="28"/>
          <w:szCs w:val="28"/>
        </w:rPr>
      </w:pPr>
    </w:p>
    <w:p>
      <w:pPr>
        <w:rPr>
          <w:rFonts w:ascii="仿宋" w:hAnsi="仿宋" w:eastAsia="仿宋"/>
          <w:b/>
          <w:sz w:val="28"/>
          <w:szCs w:val="28"/>
        </w:rPr>
      </w:pPr>
      <w:r>
        <w:rPr>
          <w:rFonts w:hint="eastAsia" w:ascii="仿宋" w:hAnsi="仿宋" w:eastAsia="仿宋"/>
          <w:b/>
          <w:sz w:val="28"/>
          <w:szCs w:val="28"/>
        </w:rPr>
        <w:t>六、重大意见分歧的处理依据和结果</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本文件在编写过程中没有重大意见分歧。</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本标准在编写过程中没有重大意见分歧</w:t>
      </w:r>
    </w:p>
    <w:p>
      <w:pPr>
        <w:rPr>
          <w:rFonts w:ascii="仿宋" w:hAnsi="仿宋" w:eastAsia="仿宋"/>
          <w:b/>
          <w:sz w:val="28"/>
          <w:szCs w:val="28"/>
        </w:rPr>
      </w:pPr>
      <w:r>
        <w:rPr>
          <w:rFonts w:hint="eastAsia" w:ascii="仿宋" w:hAnsi="仿宋" w:eastAsia="仿宋"/>
          <w:b/>
          <w:sz w:val="28"/>
          <w:szCs w:val="28"/>
        </w:rPr>
        <w:t>七、</w:t>
      </w:r>
      <w:r>
        <w:rPr>
          <w:rFonts w:ascii="仿宋" w:hAnsi="仿宋" w:eastAsia="仿宋"/>
          <w:b/>
          <w:sz w:val="28"/>
          <w:szCs w:val="28"/>
        </w:rPr>
        <w:t>采用国际标准或国外先进标准的，说明采标程度，以及国内外同类标准水平的对比情况</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现已有的团体标准：TIMAS 024-2021 团体标准生驴乳，TIMAS 02</w:t>
      </w:r>
      <w:r>
        <w:rPr>
          <w:rFonts w:ascii="仿宋" w:hAnsi="仿宋" w:eastAsia="仿宋"/>
          <w:sz w:val="28"/>
          <w:szCs w:val="28"/>
        </w:rPr>
        <w:t>5</w:t>
      </w:r>
      <w:r>
        <w:rPr>
          <w:rFonts w:hint="eastAsia" w:ascii="仿宋" w:hAnsi="仿宋" w:eastAsia="仿宋"/>
          <w:sz w:val="28"/>
          <w:szCs w:val="28"/>
        </w:rPr>
        <w:t>-2021 团体标准驴乳粉，T/CAAA 058-2021 团体标准发酵驴乳，但目前还没有超高压杀菌驴乳的相关标准。</w:t>
      </w:r>
    </w:p>
    <w:p>
      <w:pPr>
        <w:rPr>
          <w:rFonts w:ascii="仿宋" w:hAnsi="仿宋" w:eastAsia="仿宋"/>
          <w:b/>
          <w:sz w:val="28"/>
          <w:szCs w:val="28"/>
        </w:rPr>
      </w:pPr>
      <w:r>
        <w:rPr>
          <w:rFonts w:hint="eastAsia" w:ascii="仿宋" w:hAnsi="仿宋" w:eastAsia="仿宋"/>
          <w:b/>
          <w:sz w:val="28"/>
          <w:szCs w:val="28"/>
        </w:rPr>
        <w:t>八、其他应说明的事项</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无 。</w:t>
      </w:r>
    </w:p>
    <w:p>
      <w:pPr>
        <w:rPr>
          <w:rFonts w:ascii="仿宋" w:hAnsi="仿宋" w:eastAsia="仿宋"/>
          <w:b/>
          <w:sz w:val="28"/>
          <w:szCs w:val="28"/>
        </w:rPr>
      </w:pPr>
      <w:r>
        <w:rPr>
          <w:rFonts w:hint="eastAsia" w:ascii="仿宋" w:hAnsi="仿宋" w:eastAsia="仿宋"/>
          <w:b/>
          <w:sz w:val="28"/>
          <w:szCs w:val="28"/>
        </w:rPr>
        <w:t>九、征求意见说明</w:t>
      </w:r>
    </w:p>
    <w:p>
      <w:pPr>
        <w:widowControl/>
        <w:jc w:val="left"/>
        <w:rPr>
          <w:rFonts w:asciiTheme="minorEastAsia" w:hAnsiTheme="minorEastAsia"/>
          <w:bCs/>
          <w:sz w:val="28"/>
          <w:szCs w:val="28"/>
        </w:rPr>
      </w:pPr>
      <w:r>
        <w:rPr>
          <w:rFonts w:asciiTheme="minorEastAsia" w:hAnsiTheme="minorEastAsia"/>
          <w:bCs/>
          <w:sz w:val="28"/>
          <w:szCs w:val="28"/>
        </w:rPr>
        <w:br w:type="page"/>
      </w:r>
    </w:p>
    <w:p>
      <w:pPr>
        <w:jc w:val="center"/>
        <w:rPr>
          <w:rFonts w:asciiTheme="minorEastAsia" w:hAnsiTheme="minorEastAsia"/>
          <w:bCs/>
          <w:sz w:val="28"/>
          <w:szCs w:val="28"/>
        </w:rPr>
      </w:pPr>
      <w:r>
        <w:rPr>
          <w:rFonts w:hint="eastAsia" w:asciiTheme="minorEastAsia" w:hAnsiTheme="minorEastAsia"/>
          <w:bCs/>
          <w:sz w:val="28"/>
          <w:szCs w:val="28"/>
        </w:rPr>
        <w:t>《超高压杀菌驴乳》征求意见汇总表</w:t>
      </w:r>
    </w:p>
    <w:p>
      <w:pPr>
        <w:jc w:val="left"/>
        <w:rPr>
          <w:rFonts w:ascii="宋体" w:hAnsi="宋体" w:eastAsia="宋体"/>
          <w:sz w:val="24"/>
          <w:szCs w:val="24"/>
        </w:rPr>
      </w:pPr>
      <w:r>
        <w:rPr>
          <w:rFonts w:hint="eastAsia" w:ascii="宋体" w:hAnsi="宋体" w:eastAsia="宋体"/>
          <w:sz w:val="24"/>
          <w:szCs w:val="24"/>
        </w:rPr>
        <w:t>起草单位：内蒙古驴哥乳业有限公司</w:t>
      </w:r>
    </w:p>
    <w:p>
      <w:pPr>
        <w:spacing w:line="360" w:lineRule="exact"/>
        <w:jc w:val="left"/>
        <w:rPr>
          <w:rFonts w:ascii="宋体" w:hAnsi="宋体" w:eastAsia="宋体"/>
          <w:sz w:val="24"/>
          <w:szCs w:val="24"/>
        </w:rPr>
      </w:pPr>
      <w:r>
        <w:rPr>
          <w:rFonts w:hint="eastAsia" w:ascii="宋体" w:hAnsi="宋体" w:eastAsia="宋体"/>
          <w:sz w:val="24"/>
          <w:szCs w:val="24"/>
        </w:rPr>
        <w:t>联 系 人：郝圣卿</w:t>
      </w:r>
    </w:p>
    <w:p>
      <w:pPr>
        <w:spacing w:line="360" w:lineRule="exact"/>
        <w:jc w:val="left"/>
        <w:rPr>
          <w:rFonts w:ascii="宋体" w:hAnsi="宋体" w:eastAsia="宋体"/>
          <w:sz w:val="24"/>
          <w:szCs w:val="24"/>
        </w:rPr>
      </w:pPr>
      <w:r>
        <w:rPr>
          <w:rFonts w:hint="eastAsia" w:ascii="宋体" w:hAnsi="宋体" w:eastAsia="宋体"/>
          <w:sz w:val="24"/>
          <w:szCs w:val="24"/>
        </w:rPr>
        <w:t>联系电话： 15834325762</w:t>
      </w:r>
    </w:p>
    <w:tbl>
      <w:tblPr>
        <w:tblStyle w:val="6"/>
        <w:tblW w:w="9028"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17"/>
        <w:gridCol w:w="1843"/>
        <w:gridCol w:w="1843"/>
        <w:gridCol w:w="127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896" w:type="dxa"/>
            <w:vAlign w:val="center"/>
          </w:tcPr>
          <w:p>
            <w:pPr>
              <w:spacing w:line="400" w:lineRule="exact"/>
              <w:jc w:val="center"/>
              <w:rPr>
                <w:rFonts w:ascii="仿宋" w:hAnsi="仿宋" w:eastAsia="仿宋"/>
                <w:b/>
                <w:bCs/>
                <w:sz w:val="24"/>
              </w:rPr>
            </w:pPr>
            <w:r>
              <w:rPr>
                <w:rFonts w:hint="eastAsia" w:ascii="仿宋" w:hAnsi="仿宋" w:eastAsia="仿宋"/>
                <w:b/>
                <w:bCs/>
                <w:sz w:val="24"/>
              </w:rPr>
              <w:t>序号</w:t>
            </w:r>
          </w:p>
        </w:tc>
        <w:tc>
          <w:tcPr>
            <w:tcW w:w="1417" w:type="dxa"/>
            <w:vAlign w:val="center"/>
          </w:tcPr>
          <w:p>
            <w:pPr>
              <w:spacing w:line="400" w:lineRule="exact"/>
              <w:jc w:val="center"/>
              <w:rPr>
                <w:rFonts w:ascii="仿宋" w:hAnsi="仿宋" w:eastAsia="仿宋"/>
                <w:b/>
                <w:bCs/>
                <w:sz w:val="24"/>
              </w:rPr>
            </w:pPr>
            <w:r>
              <w:rPr>
                <w:rFonts w:hint="eastAsia" w:ascii="仿宋" w:hAnsi="仿宋" w:eastAsia="仿宋"/>
                <w:b/>
                <w:bCs/>
                <w:sz w:val="24"/>
              </w:rPr>
              <w:t>章节编号</w:t>
            </w:r>
          </w:p>
        </w:tc>
        <w:tc>
          <w:tcPr>
            <w:tcW w:w="1843" w:type="dxa"/>
            <w:vAlign w:val="center"/>
          </w:tcPr>
          <w:p>
            <w:pPr>
              <w:spacing w:line="400" w:lineRule="exact"/>
              <w:jc w:val="center"/>
              <w:rPr>
                <w:rFonts w:ascii="仿宋" w:hAnsi="仿宋" w:eastAsia="仿宋"/>
                <w:b/>
                <w:bCs/>
                <w:sz w:val="24"/>
              </w:rPr>
            </w:pPr>
            <w:r>
              <w:rPr>
                <w:rFonts w:hint="eastAsia" w:ascii="仿宋" w:hAnsi="仿宋" w:eastAsia="仿宋"/>
                <w:b/>
                <w:bCs/>
                <w:sz w:val="24"/>
              </w:rPr>
              <w:t>意见</w:t>
            </w:r>
          </w:p>
        </w:tc>
        <w:tc>
          <w:tcPr>
            <w:tcW w:w="1843" w:type="dxa"/>
            <w:vAlign w:val="center"/>
          </w:tcPr>
          <w:p>
            <w:pPr>
              <w:spacing w:line="400" w:lineRule="exact"/>
              <w:jc w:val="center"/>
              <w:rPr>
                <w:rFonts w:ascii="仿宋" w:hAnsi="仿宋" w:eastAsia="仿宋"/>
                <w:b/>
                <w:bCs/>
                <w:sz w:val="24"/>
              </w:rPr>
            </w:pPr>
            <w:r>
              <w:rPr>
                <w:rFonts w:hint="eastAsia" w:ascii="仿宋" w:hAnsi="仿宋" w:eastAsia="仿宋"/>
                <w:b/>
                <w:bCs/>
                <w:sz w:val="24"/>
              </w:rPr>
              <w:t>提出单位/专家</w:t>
            </w:r>
          </w:p>
        </w:tc>
        <w:tc>
          <w:tcPr>
            <w:tcW w:w="1275" w:type="dxa"/>
            <w:vAlign w:val="center"/>
          </w:tcPr>
          <w:p>
            <w:pPr>
              <w:spacing w:line="400" w:lineRule="exact"/>
              <w:jc w:val="center"/>
              <w:rPr>
                <w:rFonts w:ascii="仿宋" w:hAnsi="仿宋" w:eastAsia="仿宋"/>
                <w:b/>
                <w:bCs/>
                <w:sz w:val="24"/>
              </w:rPr>
            </w:pPr>
            <w:r>
              <w:rPr>
                <w:rFonts w:hint="eastAsia" w:ascii="仿宋" w:hAnsi="仿宋" w:eastAsia="仿宋"/>
                <w:b/>
                <w:bCs/>
                <w:sz w:val="24"/>
              </w:rPr>
              <w:t>是否采纳</w:t>
            </w:r>
          </w:p>
        </w:tc>
        <w:tc>
          <w:tcPr>
            <w:tcW w:w="1754" w:type="dxa"/>
            <w:vAlign w:val="center"/>
          </w:tcPr>
          <w:p>
            <w:pPr>
              <w:spacing w:line="400" w:lineRule="exact"/>
              <w:jc w:val="center"/>
              <w:rPr>
                <w:rFonts w:ascii="仿宋" w:hAnsi="仿宋" w:eastAsia="仿宋"/>
                <w:b/>
                <w:bCs/>
                <w:sz w:val="24"/>
              </w:rPr>
            </w:pPr>
            <w:r>
              <w:rPr>
                <w:rFonts w:hint="eastAsia" w:ascii="仿宋" w:hAnsi="仿宋" w:eastAsia="仿宋"/>
                <w:b/>
                <w:bCs/>
                <w:sz w:val="24"/>
              </w:rPr>
              <w:t>不采纳</w:t>
            </w:r>
          </w:p>
          <w:p>
            <w:pPr>
              <w:spacing w:line="400" w:lineRule="exact"/>
              <w:jc w:val="center"/>
              <w:rPr>
                <w:rFonts w:ascii="仿宋" w:hAnsi="仿宋" w:eastAsia="仿宋"/>
                <w:b/>
                <w:bCs/>
                <w:sz w:val="24"/>
              </w:rPr>
            </w:pPr>
            <w:r>
              <w:rPr>
                <w:rFonts w:hint="eastAsia" w:ascii="仿宋" w:hAnsi="仿宋" w:eastAsia="仿宋"/>
                <w:b/>
                <w:bCs/>
                <w:sz w:val="24"/>
              </w:rPr>
              <w:t>（说明原因）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1</w:t>
            </w:r>
          </w:p>
        </w:tc>
        <w:tc>
          <w:tcPr>
            <w:tcW w:w="1417"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仿宋" w:hAnsi="仿宋" w:eastAsia="仿宋"/>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2</w:t>
            </w:r>
          </w:p>
        </w:tc>
        <w:tc>
          <w:tcPr>
            <w:tcW w:w="1417"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仿宋" w:hAnsi="仿宋" w:eastAsia="仿宋"/>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3</w:t>
            </w:r>
          </w:p>
        </w:tc>
        <w:tc>
          <w:tcPr>
            <w:tcW w:w="1417" w:type="dxa"/>
            <w:vAlign w:val="center"/>
          </w:tcPr>
          <w:p>
            <w:pPr>
              <w:spacing w:line="400" w:lineRule="exac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Arial" w:hAnsi="Arial" w:eastAsia="仿宋" w:cs="Arial"/>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4</w:t>
            </w:r>
          </w:p>
        </w:tc>
        <w:tc>
          <w:tcPr>
            <w:tcW w:w="1417" w:type="dxa"/>
            <w:vAlign w:val="center"/>
          </w:tcPr>
          <w:p>
            <w:pPr>
              <w:spacing w:line="400" w:lineRule="exac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Arial" w:hAnsi="Arial" w:eastAsia="仿宋" w:cs="Arial"/>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5</w:t>
            </w:r>
          </w:p>
        </w:tc>
        <w:tc>
          <w:tcPr>
            <w:tcW w:w="1417" w:type="dxa"/>
            <w:vAlign w:val="center"/>
          </w:tcPr>
          <w:p>
            <w:pPr>
              <w:spacing w:line="400" w:lineRule="exac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Arial" w:hAnsi="Arial" w:eastAsia="仿宋" w:cs="Arial"/>
                <w:sz w:val="24"/>
              </w:rPr>
            </w:pPr>
          </w:p>
        </w:tc>
        <w:tc>
          <w:tcPr>
            <w:tcW w:w="1754" w:type="dxa"/>
            <w:vAlign w:val="center"/>
          </w:tcPr>
          <w:p>
            <w:pPr>
              <w:spacing w:line="400" w:lineRule="exact"/>
              <w:jc w:val="left"/>
              <w:rPr>
                <w:rFonts w:ascii="仿宋" w:hAnsi="仿宋" w:eastAsia="仿宋"/>
                <w:sz w:val="24"/>
              </w:rPr>
            </w:pPr>
          </w:p>
        </w:tc>
      </w:tr>
    </w:tbl>
    <w:p>
      <w:pPr>
        <w:wordWrap w:val="0"/>
        <w:spacing w:line="360" w:lineRule="auto"/>
        <w:ind w:firstLine="562" w:firstLineChars="200"/>
        <w:jc w:val="right"/>
        <w:rPr>
          <w:rFonts w:ascii="Times New Roman" w:hAnsi="Times New Roman" w:eastAsia="仿宋"/>
          <w:b/>
          <w:sz w:val="28"/>
          <w:szCs w:val="28"/>
        </w:rPr>
      </w:pPr>
      <w:r>
        <w:rPr>
          <w:rFonts w:ascii="Times New Roman" w:hAnsi="仿宋" w:eastAsia="仿宋"/>
          <w:b/>
          <w:sz w:val="28"/>
          <w:szCs w:val="28"/>
        </w:rPr>
        <w:t>《</w:t>
      </w:r>
      <w:r>
        <w:rPr>
          <w:rFonts w:hint="eastAsia" w:ascii="Times New Roman" w:hAnsi="仿宋" w:eastAsia="仿宋"/>
          <w:b/>
          <w:sz w:val="28"/>
          <w:szCs w:val="28"/>
        </w:rPr>
        <w:t>超高压杀菌驴乳</w:t>
      </w:r>
      <w:r>
        <w:rPr>
          <w:rFonts w:ascii="Times New Roman" w:hAnsi="仿宋" w:eastAsia="仿宋"/>
          <w:b/>
          <w:sz w:val="28"/>
          <w:szCs w:val="28"/>
        </w:rPr>
        <w:t>》起草组</w:t>
      </w:r>
    </w:p>
    <w:p>
      <w:pPr>
        <w:widowControl/>
        <w:ind w:firstLine="5903" w:firstLineChars="2100"/>
        <w:jc w:val="left"/>
        <w:rPr>
          <w:rFonts w:ascii="Times New Roman" w:hAnsi="仿宋" w:eastAsia="仿宋"/>
          <w:b/>
          <w:sz w:val="28"/>
          <w:szCs w:val="28"/>
        </w:rPr>
      </w:pPr>
      <w:bookmarkStart w:id="0" w:name="_GoBack"/>
      <w:bookmarkEnd w:id="0"/>
      <w:r>
        <w:rPr>
          <w:rFonts w:hint="eastAsia" w:ascii="Times New Roman" w:hAnsi="仿宋" w:eastAsia="仿宋"/>
          <w:b/>
          <w:sz w:val="28"/>
          <w:szCs w:val="28"/>
          <w:lang w:val="en-US" w:eastAsia="zh-CN"/>
        </w:rPr>
        <w:t>2023</w:t>
      </w:r>
      <w:r>
        <w:rPr>
          <w:rFonts w:ascii="Times New Roman" w:hAnsi="仿宋" w:eastAsia="仿宋"/>
          <w:b/>
          <w:sz w:val="28"/>
          <w:szCs w:val="28"/>
        </w:rPr>
        <w:t>年</w:t>
      </w:r>
      <w:r>
        <w:rPr>
          <w:rFonts w:hint="eastAsia" w:ascii="Times New Roman" w:hAnsi="仿宋" w:eastAsia="仿宋"/>
          <w:b/>
          <w:sz w:val="28"/>
          <w:szCs w:val="28"/>
          <w:lang w:val="en-US" w:eastAsia="zh-CN"/>
        </w:rPr>
        <w:t>8</w:t>
      </w:r>
      <w:r>
        <w:rPr>
          <w:rFonts w:ascii="Times New Roman" w:hAnsi="仿宋" w:eastAsia="仿宋"/>
          <w:b/>
          <w:sz w:val="28"/>
          <w:szCs w:val="28"/>
        </w:rPr>
        <w:t>月</w:t>
      </w:r>
      <w:r>
        <w:rPr>
          <w:rFonts w:hint="eastAsia" w:ascii="Times New Roman" w:hAnsi="仿宋" w:eastAsia="仿宋"/>
          <w:b/>
          <w:sz w:val="28"/>
          <w:szCs w:val="28"/>
          <w:lang w:val="en-US" w:eastAsia="zh-CN"/>
        </w:rPr>
        <w:t>21</w:t>
      </w:r>
      <w:r>
        <w:rPr>
          <w:rFonts w:ascii="Times New Roman" w:hAnsi="仿宋" w:eastAsia="仿宋"/>
          <w:b/>
          <w:sz w:val="28"/>
          <w:szCs w:val="28"/>
        </w:rPr>
        <w:t>日</w:t>
      </w:r>
      <w:r>
        <w:rPr>
          <w:rFonts w:ascii="Times New Roman" w:hAnsi="仿宋" w:eastAsia="仿宋"/>
          <w:b/>
          <w:sz w:val="28"/>
          <w:szCs w:val="28"/>
        </w:rPr>
        <w:br w:type="page"/>
      </w:r>
    </w:p>
    <w:p>
      <w:pPr>
        <w:widowControl/>
        <w:jc w:val="left"/>
        <w:rPr>
          <w:rFonts w:ascii="仿宋" w:hAnsi="仿宋" w:eastAsia="仿宋"/>
          <w:sz w:val="28"/>
          <w:szCs w:val="28"/>
        </w:rPr>
      </w:pPr>
      <w:r>
        <w:rPr>
          <w:rFonts w:ascii="仿宋" w:hAnsi="仿宋" w:eastAsia="仿宋"/>
          <w:sz w:val="28"/>
          <w:szCs w:val="28"/>
        </w:rPr>
        <w:drawing>
          <wp:anchor distT="0" distB="0" distL="114300" distR="114300" simplePos="0" relativeHeight="251659264" behindDoc="0" locked="0" layoutInCell="1" allowOverlap="1">
            <wp:simplePos x="0" y="0"/>
            <wp:positionH relativeFrom="column">
              <wp:posOffset>-59055</wp:posOffset>
            </wp:positionH>
            <wp:positionV relativeFrom="paragraph">
              <wp:posOffset>497205</wp:posOffset>
            </wp:positionV>
            <wp:extent cx="5281930" cy="7454265"/>
            <wp:effectExtent l="19050" t="0" r="0" b="0"/>
            <wp:wrapThrough wrapText="bothSides">
              <wp:wrapPolygon>
                <wp:start x="-78" y="0"/>
                <wp:lineTo x="-78" y="21525"/>
                <wp:lineTo x="21590" y="21525"/>
                <wp:lineTo x="21590" y="0"/>
                <wp:lineTo x="-78" y="0"/>
              </wp:wrapPolygon>
            </wp:wrapThrough>
            <wp:docPr id="9" name="图片 1" descr="C:\Users\Administrator\Desktop\团标申请\三方报告\微信图片_20230701113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团标申请\三方报告\微信图片_202307011132061.jpg"/>
                    <pic:cNvPicPr>
                      <a:picLocks noChangeAspect="1" noChangeArrowheads="1"/>
                    </pic:cNvPicPr>
                  </pic:nvPicPr>
                  <pic:blipFill>
                    <a:blip r:embed="rId4"/>
                    <a:srcRect/>
                    <a:stretch>
                      <a:fillRect/>
                    </a:stretch>
                  </pic:blipFill>
                  <pic:spPr>
                    <a:xfrm>
                      <a:off x="0" y="0"/>
                      <a:ext cx="5279390" cy="7455535"/>
                    </a:xfrm>
                    <a:prstGeom prst="rect">
                      <a:avLst/>
                    </a:prstGeom>
                    <a:noFill/>
                    <a:ln w="9525">
                      <a:noFill/>
                      <a:miter lim="800000"/>
                      <a:headEnd/>
                      <a:tailEnd/>
                    </a:ln>
                  </pic:spPr>
                </pic:pic>
              </a:graphicData>
            </a:graphic>
          </wp:anchor>
        </w:drawing>
      </w:r>
      <w:r>
        <w:rPr>
          <w:rFonts w:hint="eastAsia" w:ascii="仿宋" w:hAnsi="仿宋" w:eastAsia="仿宋"/>
          <w:sz w:val="28"/>
          <w:szCs w:val="28"/>
        </w:rPr>
        <w:t>附件1 第三方检测报告</w:t>
      </w:r>
    </w:p>
    <w:p>
      <w:pPr>
        <w:widowControl/>
        <w:jc w:val="left"/>
        <w:rPr>
          <w:rFonts w:ascii="仿宋" w:hAnsi="仿宋" w:eastAsia="仿宋"/>
          <w:sz w:val="28"/>
          <w:szCs w:val="28"/>
        </w:rPr>
      </w:pPr>
    </w:p>
    <w:p>
      <w:pPr>
        <w:widowControl/>
        <w:jc w:val="left"/>
        <w:rPr>
          <w:rFonts w:ascii="仿宋" w:hAnsi="仿宋" w:eastAsia="仿宋"/>
          <w:sz w:val="28"/>
          <w:szCs w:val="28"/>
        </w:rPr>
      </w:pPr>
      <w:r>
        <w:rPr>
          <w:rFonts w:ascii="仿宋" w:hAnsi="仿宋" w:eastAsia="仿宋"/>
          <w:sz w:val="28"/>
          <w:szCs w:val="28"/>
        </w:rPr>
        <w:drawing>
          <wp:inline distT="0" distB="0" distL="0" distR="0">
            <wp:extent cx="5274310" cy="7454265"/>
            <wp:effectExtent l="19050" t="0" r="2540" b="0"/>
            <wp:docPr id="7" name="图片 5" descr="C:\Users\Administrator\Desktop\团标申请\三方报告\微信图片_2023070111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strator\Desktop\团标申请\三方报告\微信图片_20230701113206.jpg"/>
                    <pic:cNvPicPr>
                      <a:picLocks noChangeAspect="1" noChangeArrowheads="1"/>
                    </pic:cNvPicPr>
                  </pic:nvPicPr>
                  <pic:blipFill>
                    <a:blip r:embed="rId5"/>
                    <a:srcRect/>
                    <a:stretch>
                      <a:fillRect/>
                    </a:stretch>
                  </pic:blipFill>
                  <pic:spPr>
                    <a:xfrm>
                      <a:off x="0" y="0"/>
                      <a:ext cx="5274310" cy="7454721"/>
                    </a:xfrm>
                    <a:prstGeom prst="rect">
                      <a:avLst/>
                    </a:prstGeom>
                    <a:noFill/>
                    <a:ln w="9525">
                      <a:noFill/>
                      <a:miter lim="800000"/>
                      <a:headEnd/>
                      <a:tailEnd/>
                    </a:ln>
                  </pic:spPr>
                </pic:pic>
              </a:graphicData>
            </a:graphic>
          </wp:inline>
        </w:drawing>
      </w:r>
      <w:r>
        <w:rPr>
          <w:rFonts w:ascii="仿宋" w:hAnsi="仿宋" w:eastAsia="仿宋"/>
          <w:sz w:val="28"/>
          <w:szCs w:val="28"/>
        </w:rPr>
        <w:br w:type="page"/>
      </w:r>
      <w:r>
        <w:rPr>
          <w:rFonts w:ascii="仿宋" w:hAnsi="仿宋" w:eastAsia="仿宋"/>
          <w:sz w:val="28"/>
          <w:szCs w:val="28"/>
        </w:rPr>
        <w:drawing>
          <wp:inline distT="0" distB="0" distL="0" distR="0">
            <wp:extent cx="5274310" cy="7450455"/>
            <wp:effectExtent l="19050" t="0" r="2540" b="0"/>
            <wp:docPr id="3" name="图片 2" descr="C:\Users\Administrator\Desktop\团标申请\三方报告\微信图片_20230701113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团标申请\三方报告\微信图片_202307011132062.jpg"/>
                    <pic:cNvPicPr>
                      <a:picLocks noChangeAspect="1" noChangeArrowheads="1"/>
                    </pic:cNvPicPr>
                  </pic:nvPicPr>
                  <pic:blipFill>
                    <a:blip r:embed="rId6"/>
                    <a:srcRect/>
                    <a:stretch>
                      <a:fillRect/>
                    </a:stretch>
                  </pic:blipFill>
                  <pic:spPr>
                    <a:xfrm>
                      <a:off x="0" y="0"/>
                      <a:ext cx="5274310" cy="7450659"/>
                    </a:xfrm>
                    <a:prstGeom prst="rect">
                      <a:avLst/>
                    </a:prstGeom>
                    <a:noFill/>
                    <a:ln w="9525">
                      <a:noFill/>
                      <a:miter lim="800000"/>
                      <a:headEnd/>
                      <a:tailEnd/>
                    </a:ln>
                  </pic:spPr>
                </pic:pic>
              </a:graphicData>
            </a:graphic>
          </wp:inline>
        </w:drawing>
      </w:r>
      <w:r>
        <w:rPr>
          <w:rFonts w:ascii="仿宋" w:hAnsi="仿宋" w:eastAsia="仿宋"/>
          <w:sz w:val="28"/>
          <w:szCs w:val="28"/>
        </w:rPr>
        <w:br w:type="page"/>
      </w:r>
      <w:r>
        <w:rPr>
          <w:rFonts w:ascii="仿宋" w:hAnsi="仿宋" w:eastAsia="仿宋"/>
          <w:sz w:val="28"/>
          <w:szCs w:val="28"/>
        </w:rPr>
        <w:drawing>
          <wp:inline distT="0" distB="0" distL="0" distR="0">
            <wp:extent cx="5274310" cy="7450455"/>
            <wp:effectExtent l="19050" t="0" r="2540" b="0"/>
            <wp:docPr id="4" name="图片 3" descr="C:\Users\Administrator\Desktop\团标申请\三方报告\微信图片_20230701113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团标申请\三方报告\微信图片_202307011132063.jpg"/>
                    <pic:cNvPicPr>
                      <a:picLocks noChangeAspect="1" noChangeArrowheads="1"/>
                    </pic:cNvPicPr>
                  </pic:nvPicPr>
                  <pic:blipFill>
                    <a:blip r:embed="rId7"/>
                    <a:srcRect/>
                    <a:stretch>
                      <a:fillRect/>
                    </a:stretch>
                  </pic:blipFill>
                  <pic:spPr>
                    <a:xfrm>
                      <a:off x="0" y="0"/>
                      <a:ext cx="5274310" cy="7450659"/>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ascii="仿宋" w:hAnsi="仿宋" w:eastAsia="仿宋"/>
          <w:sz w:val="28"/>
          <w:szCs w:val="28"/>
        </w:rPr>
        <w:br w:type="page"/>
      </w:r>
    </w:p>
    <w:p>
      <w:pPr>
        <w:widowControl/>
        <w:jc w:val="left"/>
        <w:rPr>
          <w:rFonts w:ascii="仿宋" w:hAnsi="仿宋" w:eastAsia="仿宋"/>
          <w:sz w:val="28"/>
          <w:szCs w:val="28"/>
        </w:rPr>
      </w:pPr>
      <w:r>
        <w:rPr>
          <w:rFonts w:ascii="仿宋" w:hAnsi="仿宋" w:eastAsia="仿宋"/>
          <w:sz w:val="28"/>
          <w:szCs w:val="28"/>
        </w:rPr>
        <w:drawing>
          <wp:inline distT="0" distB="0" distL="0" distR="0">
            <wp:extent cx="5274310" cy="7450455"/>
            <wp:effectExtent l="19050" t="0" r="2540" b="0"/>
            <wp:docPr id="5" name="图片 4" descr="C:\Users\Administrator\Desktop\团标申请\三方报告\微信图片_20230701113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团标申请\三方报告\微信图片_202307011132064.jpg"/>
                    <pic:cNvPicPr>
                      <a:picLocks noChangeAspect="1" noChangeArrowheads="1"/>
                    </pic:cNvPicPr>
                  </pic:nvPicPr>
                  <pic:blipFill>
                    <a:blip r:embed="rId8"/>
                    <a:srcRect/>
                    <a:stretch>
                      <a:fillRect/>
                    </a:stretch>
                  </pic:blipFill>
                  <pic:spPr>
                    <a:xfrm>
                      <a:off x="0" y="0"/>
                      <a:ext cx="5274310" cy="7450659"/>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sectPr>
          <w:pgSz w:w="11906" w:h="16838"/>
          <w:pgMar w:top="1440" w:right="1800" w:bottom="1440" w:left="1800" w:header="851" w:footer="992" w:gutter="0"/>
          <w:cols w:space="425" w:num="1"/>
          <w:docGrid w:type="lines" w:linePitch="312" w:charSpace="0"/>
        </w:sectPr>
      </w:pPr>
      <w:r>
        <w:rPr>
          <w:rFonts w:ascii="仿宋" w:hAnsi="仿宋" w:eastAsia="仿宋"/>
          <w:sz w:val="28"/>
          <w:szCs w:val="28"/>
        </w:rPr>
        <w:br w:type="page"/>
      </w:r>
    </w:p>
    <w:p>
      <w:pPr>
        <w:widowControl/>
        <w:jc w:val="left"/>
        <w:rPr>
          <w:rFonts w:ascii="仿宋" w:hAnsi="仿宋" w:eastAsia="仿宋"/>
          <w:sz w:val="28"/>
          <w:szCs w:val="28"/>
        </w:rPr>
      </w:pPr>
      <w:r>
        <w:rPr>
          <w:rFonts w:hint="eastAsia" w:ascii="仿宋" w:hAnsi="仿宋" w:eastAsia="仿宋"/>
          <w:sz w:val="28"/>
          <w:szCs w:val="28"/>
        </w:rPr>
        <w:t>附件2 实验室监测数据汇总</w:t>
      </w:r>
    </w:p>
    <w:p>
      <w:pPr>
        <w:widowControl/>
        <w:jc w:val="center"/>
        <w:rPr>
          <w:rFonts w:ascii="仿宋" w:hAnsi="仿宋" w:eastAsia="仿宋"/>
          <w:sz w:val="28"/>
          <w:szCs w:val="28"/>
        </w:rPr>
      </w:pPr>
      <w:r>
        <w:rPr>
          <w:rFonts w:hint="eastAsia" w:ascii="仿宋" w:hAnsi="仿宋" w:eastAsia="仿宋"/>
          <w:sz w:val="28"/>
          <w:szCs w:val="28"/>
        </w:rPr>
        <w:t>实验室自己分析的数据汇总</w:t>
      </w:r>
    </w:p>
    <w:tbl>
      <w:tblPr>
        <w:tblStyle w:val="6"/>
        <w:tblW w:w="15482" w:type="dxa"/>
        <w:tblInd w:w="-459" w:type="dxa"/>
        <w:tblLayout w:type="autofit"/>
        <w:tblCellMar>
          <w:top w:w="0" w:type="dxa"/>
          <w:left w:w="108" w:type="dxa"/>
          <w:bottom w:w="0" w:type="dxa"/>
          <w:right w:w="108" w:type="dxa"/>
        </w:tblCellMar>
      </w:tblPr>
      <w:tblGrid>
        <w:gridCol w:w="1155"/>
        <w:gridCol w:w="795"/>
        <w:gridCol w:w="674"/>
        <w:gridCol w:w="795"/>
        <w:gridCol w:w="673"/>
        <w:gridCol w:w="795"/>
        <w:gridCol w:w="673"/>
        <w:gridCol w:w="795"/>
        <w:gridCol w:w="673"/>
        <w:gridCol w:w="795"/>
        <w:gridCol w:w="550"/>
        <w:gridCol w:w="795"/>
        <w:gridCol w:w="795"/>
        <w:gridCol w:w="795"/>
        <w:gridCol w:w="1041"/>
        <w:gridCol w:w="795"/>
        <w:gridCol w:w="1044"/>
        <w:gridCol w:w="795"/>
        <w:gridCol w:w="1040"/>
        <w:gridCol w:w="9"/>
      </w:tblGrid>
      <w:tr>
        <w:trPr>
          <w:trHeight w:val="472" w:hRule="atLeast"/>
        </w:trPr>
        <w:tc>
          <w:tcPr>
            <w:tcW w:w="15482" w:type="dxa"/>
            <w:gridSpan w:val="20"/>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实验数据汇总</w:t>
            </w:r>
          </w:p>
        </w:tc>
      </w:tr>
      <w:tr>
        <w:tblPrEx>
          <w:tblCellMar>
            <w:top w:w="0" w:type="dxa"/>
            <w:left w:w="108" w:type="dxa"/>
            <w:bottom w:w="0" w:type="dxa"/>
            <w:right w:w="108" w:type="dxa"/>
          </w:tblCellMar>
        </w:tblPrEx>
        <w:trPr>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日期</w:t>
            </w:r>
          </w:p>
        </w:tc>
        <w:tc>
          <w:tcPr>
            <w:tcW w:w="1469"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脂肪（g/100 g） </w:t>
            </w:r>
          </w:p>
        </w:tc>
        <w:tc>
          <w:tcPr>
            <w:tcW w:w="14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蛋白（g/100 g） </w:t>
            </w:r>
          </w:p>
        </w:tc>
        <w:tc>
          <w:tcPr>
            <w:tcW w:w="14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乳糖（g/100 g） </w:t>
            </w:r>
          </w:p>
        </w:tc>
        <w:tc>
          <w:tcPr>
            <w:tcW w:w="14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非脂乳固体（g/100 g） </w:t>
            </w:r>
          </w:p>
        </w:tc>
        <w:tc>
          <w:tcPr>
            <w:tcW w:w="1345"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酸度（°T）</w:t>
            </w:r>
          </w:p>
        </w:tc>
        <w:tc>
          <w:tcPr>
            <w:tcW w:w="1590"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菌落总数</w:t>
            </w:r>
          </w:p>
        </w:tc>
        <w:tc>
          <w:tcPr>
            <w:tcW w:w="183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大肠菌群</w:t>
            </w:r>
          </w:p>
        </w:tc>
        <w:tc>
          <w:tcPr>
            <w:tcW w:w="1839"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沙门氏菌</w:t>
            </w:r>
          </w:p>
        </w:tc>
        <w:tc>
          <w:tcPr>
            <w:tcW w:w="1840"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金黄色葡萄球菌</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2023年5月1日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检测值</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标准</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2023年5月6日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0.25</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1.7</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6.2</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8.0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3.2</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2023年5月12日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0.24</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1.9</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6.4</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8.2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3.6</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2023年5月15日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0.23</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6.2</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8.2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3.2</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2023年5月26日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0.23</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1.7</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6.4</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8.1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3.5</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2023年6月6日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0.23</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1.9</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6.3</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8.2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3.1</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2023年6月17日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0.25</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6.1</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8.1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3.2</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2023年6月28日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0.22</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1.6</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6.2</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8.2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3.5</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2023年7月6日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0.21</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1.7</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6.1</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8.3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3.6</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800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2023年7月18日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0.23</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1.6</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6.2</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8.1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3.2</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r>
        <w:tblPrEx>
          <w:tblCellMar>
            <w:top w:w="0" w:type="dxa"/>
            <w:left w:w="108" w:type="dxa"/>
            <w:bottom w:w="0" w:type="dxa"/>
            <w:right w:w="108" w:type="dxa"/>
          </w:tblCellMar>
        </w:tblPrEx>
        <w:trPr>
          <w:gridAfter w:val="1"/>
          <w:wAfter w:w="11" w:type="dxa"/>
          <w:trHeight w:val="472" w:hRule="atLeast"/>
        </w:trPr>
        <w:tc>
          <w:tcPr>
            <w:tcW w:w="11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2023年7月23日</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0.26</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≥1.5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6.2</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 xml:space="preserve">8.2 </w:t>
            </w:r>
          </w:p>
        </w:tc>
        <w:tc>
          <w:tcPr>
            <w:tcW w:w="67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≥7.8</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3.1</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650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&lt;50000</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&lt;1</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未检出</w:t>
            </w:r>
          </w:p>
        </w:tc>
        <w:tc>
          <w:tcPr>
            <w:tcW w:w="10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2"/>
                <w:szCs w:val="12"/>
              </w:rPr>
            </w:pPr>
            <w:r>
              <w:rPr>
                <w:rFonts w:hint="eastAsia" w:ascii="宋体" w:hAnsi="宋体" w:eastAsia="宋体" w:cs="宋体"/>
                <w:kern w:val="0"/>
                <w:sz w:val="12"/>
                <w:szCs w:val="12"/>
              </w:rPr>
              <w:t>不得检出</w:t>
            </w:r>
          </w:p>
        </w:tc>
      </w:tr>
    </w:tbl>
    <w:p>
      <w:pPr>
        <w:widowControl/>
        <w:jc w:val="center"/>
        <w:rPr>
          <w:rFonts w:ascii="仿宋" w:hAnsi="仿宋" w:eastAsia="仿宋"/>
          <w:sz w:val="28"/>
          <w:szCs w:val="28"/>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6"/>
      <w:suff w:val="nothing"/>
      <w:lvlText w:val="%1　"/>
      <w:lvlJc w:val="left"/>
      <w:pPr>
        <w:ind w:left="1134"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ODMxYTE0ZTc0ZGU3Y2QwODc3MzYzN2Q1YmNiM2EifQ=="/>
  </w:docVars>
  <w:rsids>
    <w:rsidRoot w:val="000B67F0"/>
    <w:rsid w:val="0000005D"/>
    <w:rsid w:val="00001A87"/>
    <w:rsid w:val="000040D0"/>
    <w:rsid w:val="00005414"/>
    <w:rsid w:val="0000562B"/>
    <w:rsid w:val="00006B78"/>
    <w:rsid w:val="000071A6"/>
    <w:rsid w:val="0000721A"/>
    <w:rsid w:val="00012121"/>
    <w:rsid w:val="0001753B"/>
    <w:rsid w:val="000210DD"/>
    <w:rsid w:val="000223B0"/>
    <w:rsid w:val="0002293A"/>
    <w:rsid w:val="000252E9"/>
    <w:rsid w:val="000308D8"/>
    <w:rsid w:val="00031544"/>
    <w:rsid w:val="00032DC9"/>
    <w:rsid w:val="00033218"/>
    <w:rsid w:val="0003323D"/>
    <w:rsid w:val="0003329D"/>
    <w:rsid w:val="000411CB"/>
    <w:rsid w:val="0004120B"/>
    <w:rsid w:val="00044938"/>
    <w:rsid w:val="00045AEF"/>
    <w:rsid w:val="00045CB9"/>
    <w:rsid w:val="000500FC"/>
    <w:rsid w:val="00050A84"/>
    <w:rsid w:val="00052FA7"/>
    <w:rsid w:val="00054F5E"/>
    <w:rsid w:val="00055D9D"/>
    <w:rsid w:val="00056D20"/>
    <w:rsid w:val="00057EA5"/>
    <w:rsid w:val="0006044B"/>
    <w:rsid w:val="00060623"/>
    <w:rsid w:val="00060BB1"/>
    <w:rsid w:val="0006174A"/>
    <w:rsid w:val="00063360"/>
    <w:rsid w:val="00064142"/>
    <w:rsid w:val="00072911"/>
    <w:rsid w:val="00072C4D"/>
    <w:rsid w:val="0007379E"/>
    <w:rsid w:val="00073AEB"/>
    <w:rsid w:val="000745DC"/>
    <w:rsid w:val="00076C3F"/>
    <w:rsid w:val="00077914"/>
    <w:rsid w:val="00080D5B"/>
    <w:rsid w:val="00082AE5"/>
    <w:rsid w:val="00083FEF"/>
    <w:rsid w:val="00086FE3"/>
    <w:rsid w:val="00092DB8"/>
    <w:rsid w:val="00095602"/>
    <w:rsid w:val="00096223"/>
    <w:rsid w:val="000967B4"/>
    <w:rsid w:val="000973A9"/>
    <w:rsid w:val="000A1E07"/>
    <w:rsid w:val="000A2AD4"/>
    <w:rsid w:val="000A5629"/>
    <w:rsid w:val="000A5C8C"/>
    <w:rsid w:val="000A6F89"/>
    <w:rsid w:val="000A7420"/>
    <w:rsid w:val="000B03C8"/>
    <w:rsid w:val="000B1C90"/>
    <w:rsid w:val="000B1FC0"/>
    <w:rsid w:val="000B2531"/>
    <w:rsid w:val="000B28C1"/>
    <w:rsid w:val="000B4A7F"/>
    <w:rsid w:val="000B52D6"/>
    <w:rsid w:val="000B65E3"/>
    <w:rsid w:val="000B67F0"/>
    <w:rsid w:val="000B72F3"/>
    <w:rsid w:val="000C0D9C"/>
    <w:rsid w:val="000C188C"/>
    <w:rsid w:val="000C576A"/>
    <w:rsid w:val="000C5C97"/>
    <w:rsid w:val="000C5E00"/>
    <w:rsid w:val="000C6DF6"/>
    <w:rsid w:val="000C7248"/>
    <w:rsid w:val="000D0577"/>
    <w:rsid w:val="000D2987"/>
    <w:rsid w:val="000D3ADB"/>
    <w:rsid w:val="000D470C"/>
    <w:rsid w:val="000D471A"/>
    <w:rsid w:val="000D5EA8"/>
    <w:rsid w:val="000D6BC2"/>
    <w:rsid w:val="000D717B"/>
    <w:rsid w:val="000E0072"/>
    <w:rsid w:val="000E3902"/>
    <w:rsid w:val="000E5419"/>
    <w:rsid w:val="000E6BF8"/>
    <w:rsid w:val="000E77E7"/>
    <w:rsid w:val="000F0167"/>
    <w:rsid w:val="000F0E29"/>
    <w:rsid w:val="000F0EE0"/>
    <w:rsid w:val="000F28EC"/>
    <w:rsid w:val="000F322B"/>
    <w:rsid w:val="000F6698"/>
    <w:rsid w:val="00100B55"/>
    <w:rsid w:val="00104873"/>
    <w:rsid w:val="00106C55"/>
    <w:rsid w:val="00107F18"/>
    <w:rsid w:val="00110990"/>
    <w:rsid w:val="00110FDE"/>
    <w:rsid w:val="0011250C"/>
    <w:rsid w:val="00115553"/>
    <w:rsid w:val="00117E52"/>
    <w:rsid w:val="0012117B"/>
    <w:rsid w:val="0012294F"/>
    <w:rsid w:val="0013511E"/>
    <w:rsid w:val="00141D2E"/>
    <w:rsid w:val="0014250A"/>
    <w:rsid w:val="00142C07"/>
    <w:rsid w:val="001430A5"/>
    <w:rsid w:val="00143B5D"/>
    <w:rsid w:val="001454A6"/>
    <w:rsid w:val="0014630A"/>
    <w:rsid w:val="00147642"/>
    <w:rsid w:val="00147EC0"/>
    <w:rsid w:val="00152E30"/>
    <w:rsid w:val="0015382B"/>
    <w:rsid w:val="00155715"/>
    <w:rsid w:val="001578E0"/>
    <w:rsid w:val="00163D50"/>
    <w:rsid w:val="00172151"/>
    <w:rsid w:val="00172266"/>
    <w:rsid w:val="00173D61"/>
    <w:rsid w:val="00176AEF"/>
    <w:rsid w:val="001774B1"/>
    <w:rsid w:val="00177726"/>
    <w:rsid w:val="00177DFA"/>
    <w:rsid w:val="001816D0"/>
    <w:rsid w:val="0018194A"/>
    <w:rsid w:val="00182A15"/>
    <w:rsid w:val="0018707E"/>
    <w:rsid w:val="001906BE"/>
    <w:rsid w:val="00193609"/>
    <w:rsid w:val="0019389E"/>
    <w:rsid w:val="001940C1"/>
    <w:rsid w:val="001955EF"/>
    <w:rsid w:val="001A04FB"/>
    <w:rsid w:val="001A1B42"/>
    <w:rsid w:val="001A3810"/>
    <w:rsid w:val="001A3C19"/>
    <w:rsid w:val="001A4D20"/>
    <w:rsid w:val="001B1E1E"/>
    <w:rsid w:val="001B33FD"/>
    <w:rsid w:val="001B3A96"/>
    <w:rsid w:val="001C2F48"/>
    <w:rsid w:val="001C627D"/>
    <w:rsid w:val="001D44CE"/>
    <w:rsid w:val="001D7E9D"/>
    <w:rsid w:val="001E44CB"/>
    <w:rsid w:val="001E4E59"/>
    <w:rsid w:val="001E4F13"/>
    <w:rsid w:val="001E5BB8"/>
    <w:rsid w:val="001E7264"/>
    <w:rsid w:val="001E748C"/>
    <w:rsid w:val="001E77A7"/>
    <w:rsid w:val="001F2820"/>
    <w:rsid w:val="001F2CBD"/>
    <w:rsid w:val="001F32F1"/>
    <w:rsid w:val="001F6CBD"/>
    <w:rsid w:val="00203D68"/>
    <w:rsid w:val="002047DA"/>
    <w:rsid w:val="0020499C"/>
    <w:rsid w:val="0020517C"/>
    <w:rsid w:val="00205AA6"/>
    <w:rsid w:val="00205C0C"/>
    <w:rsid w:val="00206E20"/>
    <w:rsid w:val="00212CE0"/>
    <w:rsid w:val="0021388A"/>
    <w:rsid w:val="00213D26"/>
    <w:rsid w:val="00223320"/>
    <w:rsid w:val="00224115"/>
    <w:rsid w:val="002278A4"/>
    <w:rsid w:val="0023077F"/>
    <w:rsid w:val="0023177F"/>
    <w:rsid w:val="002357AA"/>
    <w:rsid w:val="00236D52"/>
    <w:rsid w:val="0024066C"/>
    <w:rsid w:val="0024102B"/>
    <w:rsid w:val="002422DC"/>
    <w:rsid w:val="00242C90"/>
    <w:rsid w:val="00243443"/>
    <w:rsid w:val="002479E6"/>
    <w:rsid w:val="00247D50"/>
    <w:rsid w:val="002533B7"/>
    <w:rsid w:val="00253BD1"/>
    <w:rsid w:val="00253FC7"/>
    <w:rsid w:val="0025487C"/>
    <w:rsid w:val="002560D4"/>
    <w:rsid w:val="00256C72"/>
    <w:rsid w:val="0026318B"/>
    <w:rsid w:val="0026362D"/>
    <w:rsid w:val="00270008"/>
    <w:rsid w:val="00270812"/>
    <w:rsid w:val="002729E6"/>
    <w:rsid w:val="00275B3D"/>
    <w:rsid w:val="00277A36"/>
    <w:rsid w:val="002808AF"/>
    <w:rsid w:val="002812C0"/>
    <w:rsid w:val="0028357F"/>
    <w:rsid w:val="00283CF2"/>
    <w:rsid w:val="00286CF7"/>
    <w:rsid w:val="0029058F"/>
    <w:rsid w:val="002922BC"/>
    <w:rsid w:val="00292DF2"/>
    <w:rsid w:val="00293124"/>
    <w:rsid w:val="00294F39"/>
    <w:rsid w:val="0029614D"/>
    <w:rsid w:val="002971FE"/>
    <w:rsid w:val="002A0F8E"/>
    <w:rsid w:val="002A2A57"/>
    <w:rsid w:val="002A5F31"/>
    <w:rsid w:val="002A686E"/>
    <w:rsid w:val="002A75BE"/>
    <w:rsid w:val="002B2C45"/>
    <w:rsid w:val="002B442F"/>
    <w:rsid w:val="002B524C"/>
    <w:rsid w:val="002B5626"/>
    <w:rsid w:val="002B62DD"/>
    <w:rsid w:val="002C2397"/>
    <w:rsid w:val="002C2C08"/>
    <w:rsid w:val="002C420E"/>
    <w:rsid w:val="002C4279"/>
    <w:rsid w:val="002C7614"/>
    <w:rsid w:val="002C7B0B"/>
    <w:rsid w:val="002D0F20"/>
    <w:rsid w:val="002D1DC3"/>
    <w:rsid w:val="002D2AE8"/>
    <w:rsid w:val="002D3471"/>
    <w:rsid w:val="002D5BC2"/>
    <w:rsid w:val="002D6FC7"/>
    <w:rsid w:val="002E0636"/>
    <w:rsid w:val="002E34EF"/>
    <w:rsid w:val="002E41E8"/>
    <w:rsid w:val="002E7093"/>
    <w:rsid w:val="002F2563"/>
    <w:rsid w:val="002F2687"/>
    <w:rsid w:val="002F3B71"/>
    <w:rsid w:val="002F49BE"/>
    <w:rsid w:val="002F6B5A"/>
    <w:rsid w:val="002F73C5"/>
    <w:rsid w:val="00300841"/>
    <w:rsid w:val="00302950"/>
    <w:rsid w:val="00303C1B"/>
    <w:rsid w:val="00303FC7"/>
    <w:rsid w:val="00313C01"/>
    <w:rsid w:val="00315D64"/>
    <w:rsid w:val="0031707A"/>
    <w:rsid w:val="0031752D"/>
    <w:rsid w:val="003204B2"/>
    <w:rsid w:val="003218D0"/>
    <w:rsid w:val="0032281C"/>
    <w:rsid w:val="003265D9"/>
    <w:rsid w:val="00332833"/>
    <w:rsid w:val="00335066"/>
    <w:rsid w:val="00335363"/>
    <w:rsid w:val="0033551B"/>
    <w:rsid w:val="00335959"/>
    <w:rsid w:val="003371C8"/>
    <w:rsid w:val="00343196"/>
    <w:rsid w:val="00343CDF"/>
    <w:rsid w:val="00346893"/>
    <w:rsid w:val="00347507"/>
    <w:rsid w:val="00352C5D"/>
    <w:rsid w:val="0035750A"/>
    <w:rsid w:val="00357601"/>
    <w:rsid w:val="0036083B"/>
    <w:rsid w:val="00361E07"/>
    <w:rsid w:val="00363155"/>
    <w:rsid w:val="00363D33"/>
    <w:rsid w:val="00364257"/>
    <w:rsid w:val="00364A96"/>
    <w:rsid w:val="00366512"/>
    <w:rsid w:val="003675E1"/>
    <w:rsid w:val="003713E4"/>
    <w:rsid w:val="003779C7"/>
    <w:rsid w:val="00380D7E"/>
    <w:rsid w:val="00380D99"/>
    <w:rsid w:val="00381C37"/>
    <w:rsid w:val="0038386B"/>
    <w:rsid w:val="00383C24"/>
    <w:rsid w:val="00385315"/>
    <w:rsid w:val="0038563A"/>
    <w:rsid w:val="00385C70"/>
    <w:rsid w:val="00386ABB"/>
    <w:rsid w:val="00386C9E"/>
    <w:rsid w:val="00386D3D"/>
    <w:rsid w:val="00390B63"/>
    <w:rsid w:val="0039195E"/>
    <w:rsid w:val="0039331E"/>
    <w:rsid w:val="00393FA8"/>
    <w:rsid w:val="00397D4C"/>
    <w:rsid w:val="003A11DF"/>
    <w:rsid w:val="003A1812"/>
    <w:rsid w:val="003A22D4"/>
    <w:rsid w:val="003A2A1A"/>
    <w:rsid w:val="003A4F50"/>
    <w:rsid w:val="003A59AD"/>
    <w:rsid w:val="003A780F"/>
    <w:rsid w:val="003A7835"/>
    <w:rsid w:val="003B5B7D"/>
    <w:rsid w:val="003B6BFB"/>
    <w:rsid w:val="003B6DDD"/>
    <w:rsid w:val="003C0C0E"/>
    <w:rsid w:val="003C1F11"/>
    <w:rsid w:val="003C1FA5"/>
    <w:rsid w:val="003C489E"/>
    <w:rsid w:val="003C49C2"/>
    <w:rsid w:val="003C4F6B"/>
    <w:rsid w:val="003D1A21"/>
    <w:rsid w:val="003D2A6F"/>
    <w:rsid w:val="003D2E23"/>
    <w:rsid w:val="003D4228"/>
    <w:rsid w:val="003D56EC"/>
    <w:rsid w:val="003D7759"/>
    <w:rsid w:val="003E21C6"/>
    <w:rsid w:val="003E2578"/>
    <w:rsid w:val="003E2886"/>
    <w:rsid w:val="003E2C45"/>
    <w:rsid w:val="003E3A62"/>
    <w:rsid w:val="003E55A3"/>
    <w:rsid w:val="003E62EC"/>
    <w:rsid w:val="003E78B8"/>
    <w:rsid w:val="003F0B72"/>
    <w:rsid w:val="003F205D"/>
    <w:rsid w:val="003F243E"/>
    <w:rsid w:val="003F2D86"/>
    <w:rsid w:val="003F3143"/>
    <w:rsid w:val="003F394B"/>
    <w:rsid w:val="0040026D"/>
    <w:rsid w:val="004029A1"/>
    <w:rsid w:val="00405606"/>
    <w:rsid w:val="004058DD"/>
    <w:rsid w:val="00410738"/>
    <w:rsid w:val="00412DA0"/>
    <w:rsid w:val="00414890"/>
    <w:rsid w:val="00414A63"/>
    <w:rsid w:val="00414A8F"/>
    <w:rsid w:val="00416D47"/>
    <w:rsid w:val="00416DC5"/>
    <w:rsid w:val="004171C3"/>
    <w:rsid w:val="00423C28"/>
    <w:rsid w:val="00427ECD"/>
    <w:rsid w:val="004327E0"/>
    <w:rsid w:val="00433123"/>
    <w:rsid w:val="004335C0"/>
    <w:rsid w:val="004343DA"/>
    <w:rsid w:val="00435C80"/>
    <w:rsid w:val="004364AD"/>
    <w:rsid w:val="00436A9E"/>
    <w:rsid w:val="00436ADD"/>
    <w:rsid w:val="00436CFD"/>
    <w:rsid w:val="00437D14"/>
    <w:rsid w:val="00441EE8"/>
    <w:rsid w:val="0044251A"/>
    <w:rsid w:val="00446A0A"/>
    <w:rsid w:val="00446D76"/>
    <w:rsid w:val="00446DBB"/>
    <w:rsid w:val="00450963"/>
    <w:rsid w:val="00450B2A"/>
    <w:rsid w:val="00450F24"/>
    <w:rsid w:val="00452440"/>
    <w:rsid w:val="004540DF"/>
    <w:rsid w:val="00454197"/>
    <w:rsid w:val="00461641"/>
    <w:rsid w:val="0046284F"/>
    <w:rsid w:val="00463AC4"/>
    <w:rsid w:val="00464EBD"/>
    <w:rsid w:val="00465786"/>
    <w:rsid w:val="0046607C"/>
    <w:rsid w:val="00467A57"/>
    <w:rsid w:val="00470D85"/>
    <w:rsid w:val="004725D1"/>
    <w:rsid w:val="00473133"/>
    <w:rsid w:val="0047584E"/>
    <w:rsid w:val="00475974"/>
    <w:rsid w:val="00477700"/>
    <w:rsid w:val="00480E2C"/>
    <w:rsid w:val="00481E9F"/>
    <w:rsid w:val="00483D46"/>
    <w:rsid w:val="00484482"/>
    <w:rsid w:val="004878B4"/>
    <w:rsid w:val="00490F87"/>
    <w:rsid w:val="004926FF"/>
    <w:rsid w:val="00492B46"/>
    <w:rsid w:val="004934E1"/>
    <w:rsid w:val="00493AE5"/>
    <w:rsid w:val="00493CC3"/>
    <w:rsid w:val="00493CDA"/>
    <w:rsid w:val="004A03BE"/>
    <w:rsid w:val="004A0746"/>
    <w:rsid w:val="004A2516"/>
    <w:rsid w:val="004A4335"/>
    <w:rsid w:val="004A4BAB"/>
    <w:rsid w:val="004A585F"/>
    <w:rsid w:val="004A74E2"/>
    <w:rsid w:val="004B4B78"/>
    <w:rsid w:val="004B7467"/>
    <w:rsid w:val="004B7EA8"/>
    <w:rsid w:val="004C0344"/>
    <w:rsid w:val="004C3006"/>
    <w:rsid w:val="004C5241"/>
    <w:rsid w:val="004C7778"/>
    <w:rsid w:val="004D1C5F"/>
    <w:rsid w:val="004D2C5F"/>
    <w:rsid w:val="004D4F6C"/>
    <w:rsid w:val="004E0BCE"/>
    <w:rsid w:val="004E2ACA"/>
    <w:rsid w:val="004E5D40"/>
    <w:rsid w:val="004E6C65"/>
    <w:rsid w:val="004E6DE7"/>
    <w:rsid w:val="004F44AD"/>
    <w:rsid w:val="004F474D"/>
    <w:rsid w:val="00501BC9"/>
    <w:rsid w:val="00503729"/>
    <w:rsid w:val="00504384"/>
    <w:rsid w:val="0050485C"/>
    <w:rsid w:val="00505D91"/>
    <w:rsid w:val="00505EB0"/>
    <w:rsid w:val="00510345"/>
    <w:rsid w:val="00513A30"/>
    <w:rsid w:val="00515529"/>
    <w:rsid w:val="00516539"/>
    <w:rsid w:val="00516AD4"/>
    <w:rsid w:val="00517BB8"/>
    <w:rsid w:val="0052084A"/>
    <w:rsid w:val="00521501"/>
    <w:rsid w:val="00522EC8"/>
    <w:rsid w:val="0052563E"/>
    <w:rsid w:val="005258D2"/>
    <w:rsid w:val="00534925"/>
    <w:rsid w:val="00534FC4"/>
    <w:rsid w:val="00536636"/>
    <w:rsid w:val="00542C8B"/>
    <w:rsid w:val="00544BC5"/>
    <w:rsid w:val="0054546F"/>
    <w:rsid w:val="0054642E"/>
    <w:rsid w:val="00546C87"/>
    <w:rsid w:val="005518FC"/>
    <w:rsid w:val="00552796"/>
    <w:rsid w:val="00553180"/>
    <w:rsid w:val="00555570"/>
    <w:rsid w:val="00555CBA"/>
    <w:rsid w:val="00566AC4"/>
    <w:rsid w:val="005742C3"/>
    <w:rsid w:val="00576E7E"/>
    <w:rsid w:val="00581446"/>
    <w:rsid w:val="00581D04"/>
    <w:rsid w:val="005835CF"/>
    <w:rsid w:val="00585EE5"/>
    <w:rsid w:val="005879F8"/>
    <w:rsid w:val="00590A53"/>
    <w:rsid w:val="00595500"/>
    <w:rsid w:val="005955E8"/>
    <w:rsid w:val="00595D09"/>
    <w:rsid w:val="005963BE"/>
    <w:rsid w:val="005966BB"/>
    <w:rsid w:val="005967AC"/>
    <w:rsid w:val="005A1818"/>
    <w:rsid w:val="005A1A4F"/>
    <w:rsid w:val="005A2222"/>
    <w:rsid w:val="005A3094"/>
    <w:rsid w:val="005A3D75"/>
    <w:rsid w:val="005A4FE5"/>
    <w:rsid w:val="005A5C3F"/>
    <w:rsid w:val="005A7FCA"/>
    <w:rsid w:val="005B11A9"/>
    <w:rsid w:val="005B2950"/>
    <w:rsid w:val="005B5828"/>
    <w:rsid w:val="005C0D05"/>
    <w:rsid w:val="005C6916"/>
    <w:rsid w:val="005C6D41"/>
    <w:rsid w:val="005D02A4"/>
    <w:rsid w:val="005D31FC"/>
    <w:rsid w:val="005D4362"/>
    <w:rsid w:val="005D5A4D"/>
    <w:rsid w:val="005E0CF8"/>
    <w:rsid w:val="005E1961"/>
    <w:rsid w:val="005E2A91"/>
    <w:rsid w:val="005E3905"/>
    <w:rsid w:val="005E449A"/>
    <w:rsid w:val="005E4E05"/>
    <w:rsid w:val="005E5452"/>
    <w:rsid w:val="005E7C73"/>
    <w:rsid w:val="005E7E72"/>
    <w:rsid w:val="005F1146"/>
    <w:rsid w:val="005F6525"/>
    <w:rsid w:val="005F7647"/>
    <w:rsid w:val="005F7E62"/>
    <w:rsid w:val="00600EF3"/>
    <w:rsid w:val="006019C0"/>
    <w:rsid w:val="00601EC1"/>
    <w:rsid w:val="00601F41"/>
    <w:rsid w:val="006053CB"/>
    <w:rsid w:val="0060554C"/>
    <w:rsid w:val="00605D29"/>
    <w:rsid w:val="00606621"/>
    <w:rsid w:val="00606F54"/>
    <w:rsid w:val="00607E40"/>
    <w:rsid w:val="00611FBE"/>
    <w:rsid w:val="00613C85"/>
    <w:rsid w:val="00614AC8"/>
    <w:rsid w:val="00616535"/>
    <w:rsid w:val="00617DEB"/>
    <w:rsid w:val="006200E3"/>
    <w:rsid w:val="00623618"/>
    <w:rsid w:val="00624855"/>
    <w:rsid w:val="0062488E"/>
    <w:rsid w:val="006263E1"/>
    <w:rsid w:val="00626934"/>
    <w:rsid w:val="00627475"/>
    <w:rsid w:val="0063798B"/>
    <w:rsid w:val="00637C4A"/>
    <w:rsid w:val="0064172A"/>
    <w:rsid w:val="00641B20"/>
    <w:rsid w:val="00644DD1"/>
    <w:rsid w:val="0064535C"/>
    <w:rsid w:val="00647BFC"/>
    <w:rsid w:val="006536D7"/>
    <w:rsid w:val="006546A3"/>
    <w:rsid w:val="00656119"/>
    <w:rsid w:val="00660433"/>
    <w:rsid w:val="00661013"/>
    <w:rsid w:val="00662DA7"/>
    <w:rsid w:val="00662E22"/>
    <w:rsid w:val="00664695"/>
    <w:rsid w:val="00665CD1"/>
    <w:rsid w:val="00667166"/>
    <w:rsid w:val="00670D09"/>
    <w:rsid w:val="00672626"/>
    <w:rsid w:val="00672F4D"/>
    <w:rsid w:val="0067389F"/>
    <w:rsid w:val="006749E0"/>
    <w:rsid w:val="006749E8"/>
    <w:rsid w:val="00677756"/>
    <w:rsid w:val="00681829"/>
    <w:rsid w:val="00682126"/>
    <w:rsid w:val="006850F4"/>
    <w:rsid w:val="00685C8A"/>
    <w:rsid w:val="0069014D"/>
    <w:rsid w:val="00693C26"/>
    <w:rsid w:val="006A04D4"/>
    <w:rsid w:val="006A32BF"/>
    <w:rsid w:val="006A39F1"/>
    <w:rsid w:val="006A472D"/>
    <w:rsid w:val="006A4B9D"/>
    <w:rsid w:val="006A5155"/>
    <w:rsid w:val="006A607D"/>
    <w:rsid w:val="006A67A3"/>
    <w:rsid w:val="006B07B9"/>
    <w:rsid w:val="006B0FCA"/>
    <w:rsid w:val="006B10CE"/>
    <w:rsid w:val="006B395B"/>
    <w:rsid w:val="006B3EA8"/>
    <w:rsid w:val="006B446C"/>
    <w:rsid w:val="006B4BFC"/>
    <w:rsid w:val="006C4315"/>
    <w:rsid w:val="006C5FCF"/>
    <w:rsid w:val="006C6279"/>
    <w:rsid w:val="006D27EA"/>
    <w:rsid w:val="006D45E2"/>
    <w:rsid w:val="006D59E3"/>
    <w:rsid w:val="006D5BCC"/>
    <w:rsid w:val="006D5DCB"/>
    <w:rsid w:val="006E1B46"/>
    <w:rsid w:val="006E3368"/>
    <w:rsid w:val="006E3AA9"/>
    <w:rsid w:val="006E4CEA"/>
    <w:rsid w:val="006E52E9"/>
    <w:rsid w:val="006E6E1E"/>
    <w:rsid w:val="006F05AB"/>
    <w:rsid w:val="006F2F92"/>
    <w:rsid w:val="006F5454"/>
    <w:rsid w:val="006F7373"/>
    <w:rsid w:val="007010A4"/>
    <w:rsid w:val="00701ED3"/>
    <w:rsid w:val="00703B44"/>
    <w:rsid w:val="00703EF4"/>
    <w:rsid w:val="00706CA0"/>
    <w:rsid w:val="0071139C"/>
    <w:rsid w:val="00713213"/>
    <w:rsid w:val="0071691B"/>
    <w:rsid w:val="00716C35"/>
    <w:rsid w:val="00721360"/>
    <w:rsid w:val="007266F5"/>
    <w:rsid w:val="007278B3"/>
    <w:rsid w:val="00727C34"/>
    <w:rsid w:val="00733371"/>
    <w:rsid w:val="00733E90"/>
    <w:rsid w:val="00735172"/>
    <w:rsid w:val="00735F14"/>
    <w:rsid w:val="00736AFE"/>
    <w:rsid w:val="00737618"/>
    <w:rsid w:val="00737DC2"/>
    <w:rsid w:val="0074056A"/>
    <w:rsid w:val="00740B9D"/>
    <w:rsid w:val="007418F2"/>
    <w:rsid w:val="00741B3C"/>
    <w:rsid w:val="00742C8A"/>
    <w:rsid w:val="007435CA"/>
    <w:rsid w:val="00751CB9"/>
    <w:rsid w:val="007522DB"/>
    <w:rsid w:val="00752B16"/>
    <w:rsid w:val="007530E9"/>
    <w:rsid w:val="00756C7A"/>
    <w:rsid w:val="00757A00"/>
    <w:rsid w:val="00757B2F"/>
    <w:rsid w:val="00762BF1"/>
    <w:rsid w:val="0076409E"/>
    <w:rsid w:val="00764612"/>
    <w:rsid w:val="0076542F"/>
    <w:rsid w:val="00765CC7"/>
    <w:rsid w:val="00765F0F"/>
    <w:rsid w:val="00771728"/>
    <w:rsid w:val="007723DA"/>
    <w:rsid w:val="007776F7"/>
    <w:rsid w:val="00780382"/>
    <w:rsid w:val="00782E42"/>
    <w:rsid w:val="0078423C"/>
    <w:rsid w:val="00784B69"/>
    <w:rsid w:val="00786BF5"/>
    <w:rsid w:val="007903C8"/>
    <w:rsid w:val="007908A7"/>
    <w:rsid w:val="007916C2"/>
    <w:rsid w:val="007937D0"/>
    <w:rsid w:val="00794AB9"/>
    <w:rsid w:val="00795E68"/>
    <w:rsid w:val="007A09FD"/>
    <w:rsid w:val="007A15FF"/>
    <w:rsid w:val="007A25CE"/>
    <w:rsid w:val="007A5E8B"/>
    <w:rsid w:val="007B4B97"/>
    <w:rsid w:val="007B68EC"/>
    <w:rsid w:val="007B701A"/>
    <w:rsid w:val="007B76C9"/>
    <w:rsid w:val="007C16DE"/>
    <w:rsid w:val="007C349A"/>
    <w:rsid w:val="007C4FA2"/>
    <w:rsid w:val="007C744B"/>
    <w:rsid w:val="007C7854"/>
    <w:rsid w:val="007C7E2F"/>
    <w:rsid w:val="007C7F8C"/>
    <w:rsid w:val="007D2D20"/>
    <w:rsid w:val="007D54A6"/>
    <w:rsid w:val="007E00D7"/>
    <w:rsid w:val="007E0587"/>
    <w:rsid w:val="007E0F66"/>
    <w:rsid w:val="007E2004"/>
    <w:rsid w:val="007E24E2"/>
    <w:rsid w:val="007E3935"/>
    <w:rsid w:val="007E6E52"/>
    <w:rsid w:val="007F5634"/>
    <w:rsid w:val="007F67B0"/>
    <w:rsid w:val="007F77ED"/>
    <w:rsid w:val="00803816"/>
    <w:rsid w:val="00804900"/>
    <w:rsid w:val="00804D2D"/>
    <w:rsid w:val="00806418"/>
    <w:rsid w:val="008067B8"/>
    <w:rsid w:val="00807AB0"/>
    <w:rsid w:val="00810EF9"/>
    <w:rsid w:val="00812056"/>
    <w:rsid w:val="00816C68"/>
    <w:rsid w:val="00823FE7"/>
    <w:rsid w:val="00824FCE"/>
    <w:rsid w:val="00826EC8"/>
    <w:rsid w:val="0083691C"/>
    <w:rsid w:val="00836BC0"/>
    <w:rsid w:val="00837E21"/>
    <w:rsid w:val="00841AA5"/>
    <w:rsid w:val="00846560"/>
    <w:rsid w:val="0084699D"/>
    <w:rsid w:val="00850575"/>
    <w:rsid w:val="008506E9"/>
    <w:rsid w:val="00851F34"/>
    <w:rsid w:val="008567A6"/>
    <w:rsid w:val="0086160D"/>
    <w:rsid w:val="00865324"/>
    <w:rsid w:val="008656A2"/>
    <w:rsid w:val="00865A5E"/>
    <w:rsid w:val="00870BEA"/>
    <w:rsid w:val="00871B98"/>
    <w:rsid w:val="008739C2"/>
    <w:rsid w:val="00874CAE"/>
    <w:rsid w:val="00876C10"/>
    <w:rsid w:val="0088015C"/>
    <w:rsid w:val="008845BC"/>
    <w:rsid w:val="00886EB5"/>
    <w:rsid w:val="00887A23"/>
    <w:rsid w:val="0089031D"/>
    <w:rsid w:val="008918D8"/>
    <w:rsid w:val="008A25B4"/>
    <w:rsid w:val="008A71B6"/>
    <w:rsid w:val="008A7359"/>
    <w:rsid w:val="008B13CB"/>
    <w:rsid w:val="008B3D32"/>
    <w:rsid w:val="008B4163"/>
    <w:rsid w:val="008B4F4C"/>
    <w:rsid w:val="008B5DBE"/>
    <w:rsid w:val="008B640D"/>
    <w:rsid w:val="008C01B8"/>
    <w:rsid w:val="008C1547"/>
    <w:rsid w:val="008C2BEA"/>
    <w:rsid w:val="008C417F"/>
    <w:rsid w:val="008C5756"/>
    <w:rsid w:val="008D038F"/>
    <w:rsid w:val="008D2F2C"/>
    <w:rsid w:val="008D467D"/>
    <w:rsid w:val="008D7BA5"/>
    <w:rsid w:val="008E0D10"/>
    <w:rsid w:val="008E2561"/>
    <w:rsid w:val="008E25C2"/>
    <w:rsid w:val="008E2C37"/>
    <w:rsid w:val="008E391E"/>
    <w:rsid w:val="008E4602"/>
    <w:rsid w:val="008E66D3"/>
    <w:rsid w:val="008F1C33"/>
    <w:rsid w:val="008F21AB"/>
    <w:rsid w:val="008F491B"/>
    <w:rsid w:val="008F70E8"/>
    <w:rsid w:val="008F7471"/>
    <w:rsid w:val="00900C25"/>
    <w:rsid w:val="00906656"/>
    <w:rsid w:val="00913BB4"/>
    <w:rsid w:val="00916AB1"/>
    <w:rsid w:val="00916B4A"/>
    <w:rsid w:val="00916CAD"/>
    <w:rsid w:val="00923A17"/>
    <w:rsid w:val="00925E63"/>
    <w:rsid w:val="00930826"/>
    <w:rsid w:val="00931196"/>
    <w:rsid w:val="00932CA5"/>
    <w:rsid w:val="00933445"/>
    <w:rsid w:val="0093599A"/>
    <w:rsid w:val="00940FCB"/>
    <w:rsid w:val="00941C82"/>
    <w:rsid w:val="00941DDF"/>
    <w:rsid w:val="0094341F"/>
    <w:rsid w:val="009437B3"/>
    <w:rsid w:val="00943CB4"/>
    <w:rsid w:val="009443FB"/>
    <w:rsid w:val="00945645"/>
    <w:rsid w:val="00945C95"/>
    <w:rsid w:val="00950300"/>
    <w:rsid w:val="0095161D"/>
    <w:rsid w:val="00951EC8"/>
    <w:rsid w:val="00953879"/>
    <w:rsid w:val="0095480E"/>
    <w:rsid w:val="00956D31"/>
    <w:rsid w:val="00960A2F"/>
    <w:rsid w:val="0096254F"/>
    <w:rsid w:val="009669D2"/>
    <w:rsid w:val="00966EC7"/>
    <w:rsid w:val="00971D2D"/>
    <w:rsid w:val="00974DBD"/>
    <w:rsid w:val="00975210"/>
    <w:rsid w:val="009753C4"/>
    <w:rsid w:val="0097636B"/>
    <w:rsid w:val="00980AEB"/>
    <w:rsid w:val="00982FEC"/>
    <w:rsid w:val="00984F93"/>
    <w:rsid w:val="00985E9A"/>
    <w:rsid w:val="00986360"/>
    <w:rsid w:val="009865D9"/>
    <w:rsid w:val="00986C25"/>
    <w:rsid w:val="00990EAE"/>
    <w:rsid w:val="009913CC"/>
    <w:rsid w:val="00991951"/>
    <w:rsid w:val="00992228"/>
    <w:rsid w:val="009966D8"/>
    <w:rsid w:val="00997582"/>
    <w:rsid w:val="009A5703"/>
    <w:rsid w:val="009A7A10"/>
    <w:rsid w:val="009B06B7"/>
    <w:rsid w:val="009B0A47"/>
    <w:rsid w:val="009B1260"/>
    <w:rsid w:val="009B2125"/>
    <w:rsid w:val="009B2365"/>
    <w:rsid w:val="009B2369"/>
    <w:rsid w:val="009B3085"/>
    <w:rsid w:val="009B39DE"/>
    <w:rsid w:val="009B6940"/>
    <w:rsid w:val="009C1748"/>
    <w:rsid w:val="009C6697"/>
    <w:rsid w:val="009C7A7C"/>
    <w:rsid w:val="009D00A8"/>
    <w:rsid w:val="009D08FE"/>
    <w:rsid w:val="009D1BB1"/>
    <w:rsid w:val="009D2101"/>
    <w:rsid w:val="009D26FE"/>
    <w:rsid w:val="009D2F3E"/>
    <w:rsid w:val="009D312F"/>
    <w:rsid w:val="009D3F95"/>
    <w:rsid w:val="009E0F30"/>
    <w:rsid w:val="009E304E"/>
    <w:rsid w:val="009E5395"/>
    <w:rsid w:val="009F067A"/>
    <w:rsid w:val="009F1949"/>
    <w:rsid w:val="009F223E"/>
    <w:rsid w:val="009F5E53"/>
    <w:rsid w:val="009F7104"/>
    <w:rsid w:val="009F7D3A"/>
    <w:rsid w:val="00A00522"/>
    <w:rsid w:val="00A04957"/>
    <w:rsid w:val="00A04BDF"/>
    <w:rsid w:val="00A06BA6"/>
    <w:rsid w:val="00A06E89"/>
    <w:rsid w:val="00A11059"/>
    <w:rsid w:val="00A1391D"/>
    <w:rsid w:val="00A1569B"/>
    <w:rsid w:val="00A15926"/>
    <w:rsid w:val="00A1759A"/>
    <w:rsid w:val="00A219E6"/>
    <w:rsid w:val="00A21E48"/>
    <w:rsid w:val="00A24AE7"/>
    <w:rsid w:val="00A32C60"/>
    <w:rsid w:val="00A34D08"/>
    <w:rsid w:val="00A40B80"/>
    <w:rsid w:val="00A42B82"/>
    <w:rsid w:val="00A43687"/>
    <w:rsid w:val="00A4623D"/>
    <w:rsid w:val="00A50409"/>
    <w:rsid w:val="00A506C6"/>
    <w:rsid w:val="00A516C1"/>
    <w:rsid w:val="00A5194B"/>
    <w:rsid w:val="00A53592"/>
    <w:rsid w:val="00A53716"/>
    <w:rsid w:val="00A5546A"/>
    <w:rsid w:val="00A564F9"/>
    <w:rsid w:val="00A57B70"/>
    <w:rsid w:val="00A61C3B"/>
    <w:rsid w:val="00A62FDC"/>
    <w:rsid w:val="00A64A4C"/>
    <w:rsid w:val="00A67A92"/>
    <w:rsid w:val="00A7018C"/>
    <w:rsid w:val="00A71190"/>
    <w:rsid w:val="00A73917"/>
    <w:rsid w:val="00A7449B"/>
    <w:rsid w:val="00A77BC2"/>
    <w:rsid w:val="00A81971"/>
    <w:rsid w:val="00A81E76"/>
    <w:rsid w:val="00A81F1E"/>
    <w:rsid w:val="00A8348A"/>
    <w:rsid w:val="00A8402C"/>
    <w:rsid w:val="00A85C2F"/>
    <w:rsid w:val="00A87328"/>
    <w:rsid w:val="00A90234"/>
    <w:rsid w:val="00A9358D"/>
    <w:rsid w:val="00A95BCD"/>
    <w:rsid w:val="00A96DC3"/>
    <w:rsid w:val="00A97431"/>
    <w:rsid w:val="00AA53FD"/>
    <w:rsid w:val="00AA607F"/>
    <w:rsid w:val="00AA680C"/>
    <w:rsid w:val="00AB2F16"/>
    <w:rsid w:val="00AB5CE4"/>
    <w:rsid w:val="00AC0E15"/>
    <w:rsid w:val="00AC3677"/>
    <w:rsid w:val="00AC5F83"/>
    <w:rsid w:val="00AC643D"/>
    <w:rsid w:val="00AC6E59"/>
    <w:rsid w:val="00AC794A"/>
    <w:rsid w:val="00AD0B8B"/>
    <w:rsid w:val="00AD25D6"/>
    <w:rsid w:val="00AD2616"/>
    <w:rsid w:val="00AD4C61"/>
    <w:rsid w:val="00AD6048"/>
    <w:rsid w:val="00AD6C99"/>
    <w:rsid w:val="00AD7BE4"/>
    <w:rsid w:val="00AE0B38"/>
    <w:rsid w:val="00AE150A"/>
    <w:rsid w:val="00AE20FD"/>
    <w:rsid w:val="00AE6650"/>
    <w:rsid w:val="00AE6AEA"/>
    <w:rsid w:val="00AE7B7D"/>
    <w:rsid w:val="00AE7EA8"/>
    <w:rsid w:val="00AF14DA"/>
    <w:rsid w:val="00AF42F4"/>
    <w:rsid w:val="00AF5ADF"/>
    <w:rsid w:val="00AF77CD"/>
    <w:rsid w:val="00AF7E7C"/>
    <w:rsid w:val="00B003CE"/>
    <w:rsid w:val="00B00D3E"/>
    <w:rsid w:val="00B01ADD"/>
    <w:rsid w:val="00B02FE9"/>
    <w:rsid w:val="00B0348E"/>
    <w:rsid w:val="00B03DBF"/>
    <w:rsid w:val="00B076E3"/>
    <w:rsid w:val="00B07C24"/>
    <w:rsid w:val="00B10FA2"/>
    <w:rsid w:val="00B1141B"/>
    <w:rsid w:val="00B11F7F"/>
    <w:rsid w:val="00B1235B"/>
    <w:rsid w:val="00B1411F"/>
    <w:rsid w:val="00B148C8"/>
    <w:rsid w:val="00B1701B"/>
    <w:rsid w:val="00B20323"/>
    <w:rsid w:val="00B2061D"/>
    <w:rsid w:val="00B220DB"/>
    <w:rsid w:val="00B226A3"/>
    <w:rsid w:val="00B22756"/>
    <w:rsid w:val="00B24D49"/>
    <w:rsid w:val="00B2748B"/>
    <w:rsid w:val="00B27F6D"/>
    <w:rsid w:val="00B3050D"/>
    <w:rsid w:val="00B30941"/>
    <w:rsid w:val="00B33722"/>
    <w:rsid w:val="00B33D6E"/>
    <w:rsid w:val="00B34851"/>
    <w:rsid w:val="00B36AB9"/>
    <w:rsid w:val="00B37DAC"/>
    <w:rsid w:val="00B37F3D"/>
    <w:rsid w:val="00B41D8A"/>
    <w:rsid w:val="00B4205E"/>
    <w:rsid w:val="00B42709"/>
    <w:rsid w:val="00B440A8"/>
    <w:rsid w:val="00B454F7"/>
    <w:rsid w:val="00B5099F"/>
    <w:rsid w:val="00B50A34"/>
    <w:rsid w:val="00B53906"/>
    <w:rsid w:val="00B55B93"/>
    <w:rsid w:val="00B57872"/>
    <w:rsid w:val="00B6004B"/>
    <w:rsid w:val="00B6066D"/>
    <w:rsid w:val="00B62222"/>
    <w:rsid w:val="00B64CDF"/>
    <w:rsid w:val="00B66B14"/>
    <w:rsid w:val="00B7198A"/>
    <w:rsid w:val="00B71DB4"/>
    <w:rsid w:val="00B7320B"/>
    <w:rsid w:val="00B74C21"/>
    <w:rsid w:val="00B75DD6"/>
    <w:rsid w:val="00B75E50"/>
    <w:rsid w:val="00B7671E"/>
    <w:rsid w:val="00B77DB2"/>
    <w:rsid w:val="00B800AF"/>
    <w:rsid w:val="00B805D0"/>
    <w:rsid w:val="00B80A46"/>
    <w:rsid w:val="00B86636"/>
    <w:rsid w:val="00B92154"/>
    <w:rsid w:val="00B929E8"/>
    <w:rsid w:val="00B92E61"/>
    <w:rsid w:val="00B975B9"/>
    <w:rsid w:val="00B97699"/>
    <w:rsid w:val="00B97A08"/>
    <w:rsid w:val="00BA11E3"/>
    <w:rsid w:val="00BA5495"/>
    <w:rsid w:val="00BA6E03"/>
    <w:rsid w:val="00BA710D"/>
    <w:rsid w:val="00BA7A55"/>
    <w:rsid w:val="00BB229D"/>
    <w:rsid w:val="00BB4AF3"/>
    <w:rsid w:val="00BB5754"/>
    <w:rsid w:val="00BB6679"/>
    <w:rsid w:val="00BC0393"/>
    <w:rsid w:val="00BC1FDD"/>
    <w:rsid w:val="00BC2BF2"/>
    <w:rsid w:val="00BC328B"/>
    <w:rsid w:val="00BC3935"/>
    <w:rsid w:val="00BC418E"/>
    <w:rsid w:val="00BC454F"/>
    <w:rsid w:val="00BC4B89"/>
    <w:rsid w:val="00BC570E"/>
    <w:rsid w:val="00BC57AF"/>
    <w:rsid w:val="00BD0EA1"/>
    <w:rsid w:val="00BD4CBF"/>
    <w:rsid w:val="00BD783F"/>
    <w:rsid w:val="00BE29CD"/>
    <w:rsid w:val="00BE3CA9"/>
    <w:rsid w:val="00BE4257"/>
    <w:rsid w:val="00BE5453"/>
    <w:rsid w:val="00BE62D4"/>
    <w:rsid w:val="00BE7070"/>
    <w:rsid w:val="00BF01B8"/>
    <w:rsid w:val="00BF24A2"/>
    <w:rsid w:val="00BF2699"/>
    <w:rsid w:val="00BF7F58"/>
    <w:rsid w:val="00C00B1E"/>
    <w:rsid w:val="00C016A5"/>
    <w:rsid w:val="00C021DD"/>
    <w:rsid w:val="00C033AA"/>
    <w:rsid w:val="00C03CB7"/>
    <w:rsid w:val="00C078C6"/>
    <w:rsid w:val="00C07C80"/>
    <w:rsid w:val="00C10F4F"/>
    <w:rsid w:val="00C12B25"/>
    <w:rsid w:val="00C134F3"/>
    <w:rsid w:val="00C144B6"/>
    <w:rsid w:val="00C14636"/>
    <w:rsid w:val="00C201F4"/>
    <w:rsid w:val="00C206A7"/>
    <w:rsid w:val="00C21AD5"/>
    <w:rsid w:val="00C21D09"/>
    <w:rsid w:val="00C239D7"/>
    <w:rsid w:val="00C23D50"/>
    <w:rsid w:val="00C244FD"/>
    <w:rsid w:val="00C24AB5"/>
    <w:rsid w:val="00C255D6"/>
    <w:rsid w:val="00C25A4A"/>
    <w:rsid w:val="00C261BB"/>
    <w:rsid w:val="00C268F5"/>
    <w:rsid w:val="00C2696A"/>
    <w:rsid w:val="00C2760F"/>
    <w:rsid w:val="00C32C3F"/>
    <w:rsid w:val="00C3392A"/>
    <w:rsid w:val="00C343CA"/>
    <w:rsid w:val="00C357CC"/>
    <w:rsid w:val="00C35978"/>
    <w:rsid w:val="00C35FD5"/>
    <w:rsid w:val="00C3750A"/>
    <w:rsid w:val="00C40945"/>
    <w:rsid w:val="00C409BE"/>
    <w:rsid w:val="00C43471"/>
    <w:rsid w:val="00C4420B"/>
    <w:rsid w:val="00C447DC"/>
    <w:rsid w:val="00C457A8"/>
    <w:rsid w:val="00C458ED"/>
    <w:rsid w:val="00C46139"/>
    <w:rsid w:val="00C512FD"/>
    <w:rsid w:val="00C514A4"/>
    <w:rsid w:val="00C565A2"/>
    <w:rsid w:val="00C56F2D"/>
    <w:rsid w:val="00C5770F"/>
    <w:rsid w:val="00C60DAC"/>
    <w:rsid w:val="00C65BC4"/>
    <w:rsid w:val="00C72460"/>
    <w:rsid w:val="00C72585"/>
    <w:rsid w:val="00C74094"/>
    <w:rsid w:val="00C77A74"/>
    <w:rsid w:val="00C77B7B"/>
    <w:rsid w:val="00C81F3D"/>
    <w:rsid w:val="00C85C80"/>
    <w:rsid w:val="00C87492"/>
    <w:rsid w:val="00C92499"/>
    <w:rsid w:val="00C94A2D"/>
    <w:rsid w:val="00C958AC"/>
    <w:rsid w:val="00C96167"/>
    <w:rsid w:val="00C979E8"/>
    <w:rsid w:val="00C97C99"/>
    <w:rsid w:val="00CA04CF"/>
    <w:rsid w:val="00CA07FA"/>
    <w:rsid w:val="00CA2BFA"/>
    <w:rsid w:val="00CA35F5"/>
    <w:rsid w:val="00CB0ADD"/>
    <w:rsid w:val="00CB2359"/>
    <w:rsid w:val="00CB5684"/>
    <w:rsid w:val="00CB6600"/>
    <w:rsid w:val="00CB72BC"/>
    <w:rsid w:val="00CC1B74"/>
    <w:rsid w:val="00CC5256"/>
    <w:rsid w:val="00CC64A1"/>
    <w:rsid w:val="00CC6D23"/>
    <w:rsid w:val="00CD154E"/>
    <w:rsid w:val="00CD1CF3"/>
    <w:rsid w:val="00CD2C42"/>
    <w:rsid w:val="00CD6EF0"/>
    <w:rsid w:val="00CD70D6"/>
    <w:rsid w:val="00CE19E0"/>
    <w:rsid w:val="00CE502A"/>
    <w:rsid w:val="00CE751F"/>
    <w:rsid w:val="00CE76E4"/>
    <w:rsid w:val="00CF446A"/>
    <w:rsid w:val="00CF72BC"/>
    <w:rsid w:val="00D00C19"/>
    <w:rsid w:val="00D024B3"/>
    <w:rsid w:val="00D02B5F"/>
    <w:rsid w:val="00D0402D"/>
    <w:rsid w:val="00D0614B"/>
    <w:rsid w:val="00D07071"/>
    <w:rsid w:val="00D10D7A"/>
    <w:rsid w:val="00D1435F"/>
    <w:rsid w:val="00D22BBC"/>
    <w:rsid w:val="00D23BFA"/>
    <w:rsid w:val="00D2558C"/>
    <w:rsid w:val="00D27C8C"/>
    <w:rsid w:val="00D34EC9"/>
    <w:rsid w:val="00D34F65"/>
    <w:rsid w:val="00D43E4E"/>
    <w:rsid w:val="00D45339"/>
    <w:rsid w:val="00D46CDF"/>
    <w:rsid w:val="00D47973"/>
    <w:rsid w:val="00D47BBD"/>
    <w:rsid w:val="00D5015A"/>
    <w:rsid w:val="00D51A0D"/>
    <w:rsid w:val="00D52494"/>
    <w:rsid w:val="00D557CE"/>
    <w:rsid w:val="00D55DD3"/>
    <w:rsid w:val="00D5642F"/>
    <w:rsid w:val="00D56C42"/>
    <w:rsid w:val="00D621E0"/>
    <w:rsid w:val="00D642D8"/>
    <w:rsid w:val="00D67814"/>
    <w:rsid w:val="00D67CFF"/>
    <w:rsid w:val="00D70520"/>
    <w:rsid w:val="00D71A14"/>
    <w:rsid w:val="00D71ED4"/>
    <w:rsid w:val="00D7202D"/>
    <w:rsid w:val="00D82762"/>
    <w:rsid w:val="00D831D6"/>
    <w:rsid w:val="00D91B2A"/>
    <w:rsid w:val="00D91BD0"/>
    <w:rsid w:val="00D92AD9"/>
    <w:rsid w:val="00D92F36"/>
    <w:rsid w:val="00D93A87"/>
    <w:rsid w:val="00D94003"/>
    <w:rsid w:val="00D96660"/>
    <w:rsid w:val="00D96B88"/>
    <w:rsid w:val="00D9706A"/>
    <w:rsid w:val="00D97B66"/>
    <w:rsid w:val="00DA0591"/>
    <w:rsid w:val="00DA095A"/>
    <w:rsid w:val="00DA2460"/>
    <w:rsid w:val="00DA35B4"/>
    <w:rsid w:val="00DA43E2"/>
    <w:rsid w:val="00DA6333"/>
    <w:rsid w:val="00DA6616"/>
    <w:rsid w:val="00DA6BC8"/>
    <w:rsid w:val="00DB1A4B"/>
    <w:rsid w:val="00DB27C1"/>
    <w:rsid w:val="00DB3C9D"/>
    <w:rsid w:val="00DB49C3"/>
    <w:rsid w:val="00DB541C"/>
    <w:rsid w:val="00DB651C"/>
    <w:rsid w:val="00DB718D"/>
    <w:rsid w:val="00DC05EB"/>
    <w:rsid w:val="00DC138B"/>
    <w:rsid w:val="00DC6DAE"/>
    <w:rsid w:val="00DC74A6"/>
    <w:rsid w:val="00DC7F5E"/>
    <w:rsid w:val="00DD0954"/>
    <w:rsid w:val="00DD1F33"/>
    <w:rsid w:val="00DD3661"/>
    <w:rsid w:val="00DD43A8"/>
    <w:rsid w:val="00DD64BF"/>
    <w:rsid w:val="00DD6C08"/>
    <w:rsid w:val="00DE183E"/>
    <w:rsid w:val="00DE1BFD"/>
    <w:rsid w:val="00DE2D05"/>
    <w:rsid w:val="00DE55EE"/>
    <w:rsid w:val="00DE6FB8"/>
    <w:rsid w:val="00DF0700"/>
    <w:rsid w:val="00DF13AF"/>
    <w:rsid w:val="00DF2E8F"/>
    <w:rsid w:val="00DF6BED"/>
    <w:rsid w:val="00DF7A56"/>
    <w:rsid w:val="00E0036A"/>
    <w:rsid w:val="00E02E57"/>
    <w:rsid w:val="00E02E5D"/>
    <w:rsid w:val="00E04343"/>
    <w:rsid w:val="00E05F2A"/>
    <w:rsid w:val="00E06A58"/>
    <w:rsid w:val="00E07B67"/>
    <w:rsid w:val="00E11263"/>
    <w:rsid w:val="00E12BB6"/>
    <w:rsid w:val="00E1632D"/>
    <w:rsid w:val="00E168D3"/>
    <w:rsid w:val="00E20247"/>
    <w:rsid w:val="00E20D70"/>
    <w:rsid w:val="00E21A27"/>
    <w:rsid w:val="00E23718"/>
    <w:rsid w:val="00E23962"/>
    <w:rsid w:val="00E270B8"/>
    <w:rsid w:val="00E3060E"/>
    <w:rsid w:val="00E31165"/>
    <w:rsid w:val="00E34E26"/>
    <w:rsid w:val="00E352D3"/>
    <w:rsid w:val="00E36EE7"/>
    <w:rsid w:val="00E376D3"/>
    <w:rsid w:val="00E438B0"/>
    <w:rsid w:val="00E45EA5"/>
    <w:rsid w:val="00E517E2"/>
    <w:rsid w:val="00E51DE0"/>
    <w:rsid w:val="00E55C3D"/>
    <w:rsid w:val="00E60DAB"/>
    <w:rsid w:val="00E63382"/>
    <w:rsid w:val="00E64092"/>
    <w:rsid w:val="00E66174"/>
    <w:rsid w:val="00E7003A"/>
    <w:rsid w:val="00E70AE6"/>
    <w:rsid w:val="00E70BC3"/>
    <w:rsid w:val="00E70FC6"/>
    <w:rsid w:val="00E725DF"/>
    <w:rsid w:val="00E73E6C"/>
    <w:rsid w:val="00E844CF"/>
    <w:rsid w:val="00E84AB8"/>
    <w:rsid w:val="00E8530C"/>
    <w:rsid w:val="00E931BD"/>
    <w:rsid w:val="00E9466F"/>
    <w:rsid w:val="00E9519E"/>
    <w:rsid w:val="00EA0CCE"/>
    <w:rsid w:val="00EA1E39"/>
    <w:rsid w:val="00EA28CE"/>
    <w:rsid w:val="00EA3114"/>
    <w:rsid w:val="00EA41AA"/>
    <w:rsid w:val="00EA4A8F"/>
    <w:rsid w:val="00EA4BD0"/>
    <w:rsid w:val="00EA7925"/>
    <w:rsid w:val="00EB027B"/>
    <w:rsid w:val="00EB1234"/>
    <w:rsid w:val="00EB33B0"/>
    <w:rsid w:val="00EC4F1B"/>
    <w:rsid w:val="00ED028F"/>
    <w:rsid w:val="00ED0334"/>
    <w:rsid w:val="00ED0CB8"/>
    <w:rsid w:val="00ED72E9"/>
    <w:rsid w:val="00ED72EC"/>
    <w:rsid w:val="00EE43E6"/>
    <w:rsid w:val="00EE675D"/>
    <w:rsid w:val="00EF0F27"/>
    <w:rsid w:val="00EF4A6F"/>
    <w:rsid w:val="00EF6D41"/>
    <w:rsid w:val="00F03428"/>
    <w:rsid w:val="00F037D5"/>
    <w:rsid w:val="00F03862"/>
    <w:rsid w:val="00F0564B"/>
    <w:rsid w:val="00F11829"/>
    <w:rsid w:val="00F164A9"/>
    <w:rsid w:val="00F17AAA"/>
    <w:rsid w:val="00F2085B"/>
    <w:rsid w:val="00F21949"/>
    <w:rsid w:val="00F24987"/>
    <w:rsid w:val="00F259A3"/>
    <w:rsid w:val="00F278C3"/>
    <w:rsid w:val="00F3745B"/>
    <w:rsid w:val="00F37D5E"/>
    <w:rsid w:val="00F37F6C"/>
    <w:rsid w:val="00F40CC9"/>
    <w:rsid w:val="00F44054"/>
    <w:rsid w:val="00F443BF"/>
    <w:rsid w:val="00F463EE"/>
    <w:rsid w:val="00F50173"/>
    <w:rsid w:val="00F56C67"/>
    <w:rsid w:val="00F61E67"/>
    <w:rsid w:val="00F6457E"/>
    <w:rsid w:val="00F646B2"/>
    <w:rsid w:val="00F656AA"/>
    <w:rsid w:val="00F657DF"/>
    <w:rsid w:val="00F65909"/>
    <w:rsid w:val="00F67775"/>
    <w:rsid w:val="00F7191F"/>
    <w:rsid w:val="00F721BA"/>
    <w:rsid w:val="00F72A90"/>
    <w:rsid w:val="00F73EE8"/>
    <w:rsid w:val="00F77E1E"/>
    <w:rsid w:val="00F80A65"/>
    <w:rsid w:val="00F81E87"/>
    <w:rsid w:val="00F825D8"/>
    <w:rsid w:val="00F82B9A"/>
    <w:rsid w:val="00F907B6"/>
    <w:rsid w:val="00F9133E"/>
    <w:rsid w:val="00F9134E"/>
    <w:rsid w:val="00F93C45"/>
    <w:rsid w:val="00F94F7E"/>
    <w:rsid w:val="00F96D96"/>
    <w:rsid w:val="00F974CF"/>
    <w:rsid w:val="00FA08C1"/>
    <w:rsid w:val="00FA0CAE"/>
    <w:rsid w:val="00FA2417"/>
    <w:rsid w:val="00FA3330"/>
    <w:rsid w:val="00FA34FB"/>
    <w:rsid w:val="00FA44F3"/>
    <w:rsid w:val="00FB0D3A"/>
    <w:rsid w:val="00FB153F"/>
    <w:rsid w:val="00FB1768"/>
    <w:rsid w:val="00FB1AF0"/>
    <w:rsid w:val="00FB2487"/>
    <w:rsid w:val="00FB29C4"/>
    <w:rsid w:val="00FB7ED5"/>
    <w:rsid w:val="00FC1F23"/>
    <w:rsid w:val="00FC3A25"/>
    <w:rsid w:val="00FC3FF8"/>
    <w:rsid w:val="00FC7199"/>
    <w:rsid w:val="00FD3336"/>
    <w:rsid w:val="00FD6C5D"/>
    <w:rsid w:val="00FD732A"/>
    <w:rsid w:val="00FD77C0"/>
    <w:rsid w:val="00FE336E"/>
    <w:rsid w:val="00FE3C91"/>
    <w:rsid w:val="00FE48B5"/>
    <w:rsid w:val="00FE5DA4"/>
    <w:rsid w:val="00FE7396"/>
    <w:rsid w:val="00FF0B66"/>
    <w:rsid w:val="00FF390B"/>
    <w:rsid w:val="00FF6BA2"/>
    <w:rsid w:val="07E00A0F"/>
    <w:rsid w:val="2584425C"/>
    <w:rsid w:val="55D32650"/>
    <w:rsid w:val="56252250"/>
    <w:rsid w:val="5B0425E2"/>
    <w:rsid w:val="611E204B"/>
    <w:rsid w:val="645C36D4"/>
    <w:rsid w:val="68572369"/>
    <w:rsid w:val="76AE6F1A"/>
    <w:rsid w:val="7D126A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9"/>
    <w:semiHidden/>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spacing w:after="80"/>
      <w:jc w:val="both"/>
    </w:pPr>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
    <w:name w:val="Hyperlink"/>
    <w:basedOn w:val="8"/>
    <w:semiHidden/>
    <w:unhideWhenUsed/>
    <w:qFormat/>
    <w:uiPriority w:val="99"/>
    <w:rPr>
      <w:color w:val="0000FF"/>
      <w:u w:val="single"/>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paragraph" w:customStyle="1" w:styleId="12">
    <w:name w:val="段"/>
    <w:link w:val="13"/>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character" w:customStyle="1" w:styleId="13">
    <w:name w:val="段 Char"/>
    <w:link w:val="12"/>
    <w:qFormat/>
    <w:uiPriority w:val="0"/>
    <w:rPr>
      <w:rFonts w:ascii="宋体" w:hAnsi="Calibri" w:eastAsia="宋体" w:cs="Times New Roman"/>
      <w:kern w:val="0"/>
      <w:szCs w:val="20"/>
    </w:rPr>
  </w:style>
  <w:style w:type="paragraph" w:customStyle="1" w:styleId="14">
    <w:name w:val="ztext-empty-paragraph"/>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5">
    <w:name w:val="List Paragraph"/>
    <w:basedOn w:val="1"/>
    <w:qFormat/>
    <w:uiPriority w:val="34"/>
    <w:pPr>
      <w:ind w:firstLine="420" w:firstLineChars="200"/>
    </w:pPr>
  </w:style>
  <w:style w:type="paragraph" w:customStyle="1" w:styleId="16">
    <w:name w:val="章标题"/>
    <w:next w:val="12"/>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7">
    <w:name w:val="一级条标题"/>
    <w:next w:val="12"/>
    <w:qFormat/>
    <w:uiPriority w:val="0"/>
    <w:pPr>
      <w:tabs>
        <w:tab w:val="left" w:pos="1440"/>
      </w:tabs>
      <w:spacing w:beforeLines="50" w:afterLines="50"/>
      <w:ind w:left="1440" w:hanging="720"/>
      <w:outlineLvl w:val="2"/>
    </w:pPr>
    <w:rPr>
      <w:rFonts w:ascii="黑体" w:hAnsi="Times New Roman" w:eastAsia="黑体" w:cs="Times New Roman"/>
      <w:sz w:val="21"/>
      <w:szCs w:val="21"/>
      <w:lang w:val="en-US" w:eastAsia="zh-CN" w:bidi="ar-SA"/>
    </w:rPr>
  </w:style>
  <w:style w:type="paragraph" w:customStyle="1" w:styleId="18">
    <w:name w:val="二级条标题"/>
    <w:basedOn w:val="17"/>
    <w:next w:val="12"/>
    <w:qFormat/>
    <w:uiPriority w:val="0"/>
    <w:pPr>
      <w:spacing w:before="50" w:after="50"/>
      <w:outlineLvl w:val="3"/>
    </w:pPr>
  </w:style>
  <w:style w:type="character" w:customStyle="1" w:styleId="19">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5F02D-2A96-43CE-9790-70D849C7F8DF}">
  <ds:schemaRefs/>
</ds:datastoreItem>
</file>

<file path=docProps/app.xml><?xml version="1.0" encoding="utf-8"?>
<Properties xmlns="http://schemas.openxmlformats.org/officeDocument/2006/extended-properties" xmlns:vt="http://schemas.openxmlformats.org/officeDocument/2006/docPropsVTypes">
  <Template>Normal</Template>
  <Pages>16</Pages>
  <Words>932</Words>
  <Characters>5318</Characters>
  <Lines>44</Lines>
  <Paragraphs>12</Paragraphs>
  <TotalTime>3</TotalTime>
  <ScaleCrop>false</ScaleCrop>
  <LinksUpToDate>false</LinksUpToDate>
  <CharactersWithSpaces>6238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2020-04-16T08:00:00Z</dcterms:created>
  <dc:creator>CLMB</dc:creator>
  <cp:lastModifiedBy>moon</cp:lastModifiedBy>
  <cp:lastPrinted>2023-06-29T06:20:00Z</cp:lastPrinted>
  <dcterms:modified xsi:type="dcterms:W3CDTF">2023-08-21T08:15:38Z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B4EAAEAF4F044A6D8CF581587DDBF65C_13</vt:lpwstr>
  </property>
</Properties>
</file>