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000000">
      <w:pPr>
        <w:framePr w:wrap="around" w:hAnchor="text" w:y="1"/>
        <w:textAlignment w:val="center"/>
        <w:rPr>
          <w:rFonts w:ascii="黑体" w:eastAsia="黑体" w:hAnsi="Times New Roman"/>
          <w:szCs w:val="21"/>
        </w:rPr>
      </w:pPr>
      <w:r>
        <w:rPr>
          <w:rFonts w:ascii="Times New Roman" w:eastAsia="黑体" w:hAnsi="Times New Roman"/>
          <w:szCs w:val="21"/>
        </w:rPr>
        <w:t>ICS</w:t>
      </w:r>
      <w:r>
        <w:rPr>
          <w:rFonts w:ascii="黑体" w:eastAsia="黑体" w:hAnsi="黑体"/>
          <w:szCs w:val="21"/>
        </w:rPr>
        <w:t> </w:t>
      </w:r>
      <w:r>
        <w:rPr>
          <w:rFonts w:ascii="黑体" w:eastAsia="黑体" w:hAnsi="Times New Roman"/>
          <w:szCs w:val="21"/>
        </w:rPr>
        <w:fldChar w:fldCharType="begin">
          <w:ffData>
            <w:name w:val="BAH"/>
            <w:enabled/>
            <w:calcOnExit w:val="0"/>
            <w:textInput/>
          </w:ffData>
        </w:fldChar>
      </w:r>
      <w:r>
        <w:rPr>
          <w:rFonts w:ascii="黑体" w:eastAsia="黑体" w:hAnsi="Times New Roman"/>
          <w:szCs w:val="21"/>
        </w:rPr>
        <w:instrText xml:space="preserve"> FORMTEXT </w:instrText>
      </w:r>
      <w:r>
        <w:rPr>
          <w:rFonts w:ascii="黑体" w:eastAsia="黑体" w:hAnsi="Times New Roman"/>
          <w:szCs w:val="21"/>
        </w:rPr>
      </w:r>
      <w:r>
        <w:rPr>
          <w:rFonts w:ascii="黑体" w:eastAsia="黑体" w:hAnsi="Times New Roman"/>
          <w:szCs w:val="21"/>
        </w:rPr>
        <w:fldChar w:fldCharType="separate"/>
      </w:r>
      <w:r>
        <w:rPr>
          <w:rFonts w:ascii="黑体" w:eastAsia="黑体" w:hAnsi="Times New Roman"/>
          <w:szCs w:val="21"/>
        </w:rPr>
        <w:t> </w:t>
      </w:r>
      <w:r>
        <w:rPr>
          <w:rFonts w:ascii="黑体" w:eastAsia="黑体" w:hAnsi="Times New Roman" w:hint="eastAsia"/>
          <w:szCs w:val="21"/>
        </w:rPr>
        <w:t>11.220</w:t>
      </w:r>
      <w:r>
        <w:rPr>
          <w:rFonts w:ascii="黑体" w:eastAsia="黑体" w:hAnsi="Times New Roman"/>
          <w:szCs w:val="21"/>
        </w:rPr>
        <w:t>    </w:t>
      </w:r>
      <w:r>
        <w:rPr>
          <w:rFonts w:ascii="黑体" w:eastAsia="黑体" w:hAnsi="Times New Roman"/>
          <w:szCs w:val="21"/>
        </w:rPr>
        <w:fldChar w:fldCharType="end"/>
      </w:r>
    </w:p>
    <w:p w:rsidR="00000000" w:rsidRDefault="00000000">
      <w:pPr>
        <w:framePr w:wrap="around" w:hAnchor="text" w:y="1"/>
        <w:textAlignment w:val="center"/>
        <w:rPr>
          <w:rFonts w:ascii="黑体" w:eastAsia="黑体" w:hAnsi="Times New Roman"/>
          <w:szCs w:val="21"/>
        </w:rPr>
      </w:pPr>
      <w:r>
        <w:rPr>
          <w:rFonts w:ascii="黑体" w:eastAsia="黑体" w:hAnsi="Times New Roman"/>
          <w:szCs w:val="21"/>
        </w:rPr>
        <w:fldChar w:fldCharType="begin">
          <w:ffData>
            <w:name w:val=""/>
            <w:enabled/>
            <w:calcOnExit w:val="0"/>
            <w:textInput/>
          </w:ffData>
        </w:fldChar>
      </w:r>
      <w:r>
        <w:rPr>
          <w:rFonts w:ascii="黑体" w:eastAsia="黑体" w:hAnsi="Times New Roman"/>
          <w:szCs w:val="21"/>
        </w:rPr>
        <w:instrText xml:space="preserve"> FORMTEXT </w:instrText>
      </w:r>
      <w:r w:rsidR="00CC6120">
        <w:rPr>
          <w:rFonts w:ascii="黑体" w:eastAsia="黑体" w:hAnsi="Times New Roman"/>
          <w:szCs w:val="21"/>
        </w:rPr>
      </w:r>
      <w:r>
        <w:rPr>
          <w:rFonts w:ascii="黑体" w:eastAsia="黑体" w:hAnsi="Times New Roman"/>
          <w:szCs w:val="21"/>
        </w:rPr>
        <w:fldChar w:fldCharType="separate"/>
      </w:r>
      <w:r>
        <w:rPr>
          <w:rFonts w:ascii="黑体" w:eastAsia="黑体" w:hAnsi="Times New Roman"/>
          <w:szCs w:val="21"/>
        </w:rPr>
        <w:t> </w:t>
      </w:r>
      <w:r>
        <w:rPr>
          <w:rFonts w:ascii="黑体" w:eastAsia="黑体" w:hAnsi="Times New Roman" w:hint="eastAsia"/>
          <w:szCs w:val="21"/>
        </w:rPr>
        <w:t>CCS B42</w:t>
      </w:r>
      <w:r>
        <w:rPr>
          <w:rFonts w:ascii="黑体" w:eastAsia="黑体" w:hAnsi="Times New Roman"/>
          <w:szCs w:val="21"/>
        </w:rPr>
        <w:t>    </w:t>
      </w:r>
      <w:r>
        <w:rPr>
          <w:rFonts w:ascii="黑体" w:eastAsia="黑体" w:hAnsi="Times New Roman"/>
          <w:szCs w:val="21"/>
        </w:rPr>
        <w:fldChar w:fldCharType="end"/>
      </w:r>
    </w:p>
    <w:tbl>
      <w:tblPr>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000000">
        <w:tc>
          <w:tcPr>
            <w:tcW w:w="9854" w:type="dxa"/>
            <w:tcBorders>
              <w:top w:val="nil"/>
              <w:left w:val="nil"/>
              <w:bottom w:val="nil"/>
              <w:right w:val="nil"/>
            </w:tcBorders>
          </w:tcPr>
          <w:p w:rsidR="00000000" w:rsidRDefault="008179A3">
            <w:pPr>
              <w:framePr w:wrap="around" w:hAnchor="text" w:y="1"/>
              <w:textAlignment w:val="center"/>
              <w:rPr>
                <w:rFonts w:ascii="黑体" w:eastAsia="黑体" w:hAnsi="Times New Roman"/>
                <w:szCs w:val="21"/>
              </w:rPr>
            </w:pPr>
            <w:r>
              <w:rPr>
                <w:rFonts w:ascii="黑体" w:eastAsia="黑体" w:hAnsi="Times New Roman"/>
                <w:noProof/>
                <w:szCs w:val="21"/>
              </w:rPr>
              <mc:AlternateContent>
                <mc:Choice Requires="wps">
                  <w:drawing>
                    <wp:anchor distT="0" distB="0" distL="114300" distR="114300" simplePos="0" relativeHeight="251656192"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4"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198120"/>
                              </a:xfrm>
                              <a:prstGeom prst="rect">
                                <a:avLst/>
                              </a:prstGeom>
                              <a:solidFill>
                                <a:srgbClr val="FFFFFF"/>
                              </a:solidFill>
                              <a:ln w="9525">
                                <a:noFill/>
                              </a:ln>
                            </wps:spPr>
                            <wps:bodyPr wrap="square" upright="1"/>
                          </wps:wsp>
                        </a:graphicData>
                      </a:graphic>
                      <wp14:sizeRelH relativeFrom="page">
                        <wp14:pctWidth>0</wp14:pctWidth>
                      </wp14:sizeRelH>
                      <wp14:sizeRelV relativeFrom="page">
                        <wp14:pctHeight>0</wp14:pctHeight>
                      </wp14:sizeRelV>
                    </wp:anchor>
                  </w:drawing>
                </mc:Choice>
                <mc:Fallback>
                  <w:pict>
                    <v:rect w14:anchorId="2569CF59" id="BAH" o:spid="_x0000_s1026" style="position:absolute;left:0;text-align:left;margin-left:-5.25pt;margin-top:0;width:68.2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" stroked="f"/>
                  </w:pict>
                </mc:Fallback>
              </mc:AlternateContent>
            </w:r>
            <w:r w:rsidR="00000000">
              <w:rPr>
                <w:rFonts w:ascii="黑体" w:eastAsia="黑体" w:hAnsi="Times New Roman"/>
                <w:szCs w:val="21"/>
              </w:rPr>
              <w:fldChar w:fldCharType="begin">
                <w:ffData>
                  <w:name w:val="BAH"/>
                  <w:enabled/>
                  <w:calcOnExit w:val="0"/>
                  <w:textInput/>
                </w:ffData>
              </w:fldChar>
            </w:r>
            <w:bookmarkStart w:id="0" w:name="BAH"/>
            <w:r w:rsidR="00000000">
              <w:rPr>
                <w:rFonts w:ascii="黑体" w:eastAsia="黑体" w:hAnsi="Times New Roman"/>
                <w:szCs w:val="21"/>
              </w:rPr>
              <w:instrText xml:space="preserve"> FORMTEXT </w:instrText>
            </w:r>
            <w:r w:rsidR="00000000">
              <w:rPr>
                <w:rFonts w:ascii="黑体" w:eastAsia="黑体" w:hAnsi="Times New Roman"/>
                <w:szCs w:val="21"/>
              </w:rPr>
            </w:r>
            <w:r w:rsidR="00000000">
              <w:rPr>
                <w:rFonts w:ascii="黑体" w:eastAsia="黑体" w:hAnsi="Times New Roman"/>
                <w:szCs w:val="21"/>
              </w:rPr>
              <w:fldChar w:fldCharType="separate"/>
            </w:r>
            <w:r w:rsidR="00000000">
              <w:rPr>
                <w:rFonts w:ascii="黑体" w:eastAsia="黑体" w:hAnsi="Times New Roman"/>
                <w:szCs w:val="21"/>
              </w:rPr>
              <w:t>     </w:t>
            </w:r>
            <w:r w:rsidR="00000000">
              <w:rPr>
                <w:rFonts w:ascii="黑体" w:eastAsia="黑体" w:hAnsi="Times New Roman"/>
                <w:szCs w:val="21"/>
              </w:rPr>
              <w:fldChar w:fldCharType="end"/>
            </w:r>
            <w:bookmarkEnd w:id="0"/>
          </w:p>
        </w:tc>
      </w:tr>
    </w:tbl>
    <w:p w:rsidR="00000000" w:rsidRDefault="00000000">
      <w:pPr>
        <w:framePr w:w="8534" w:wrap="around" w:vAnchor="page" w:hAnchor="page" w:x="1921" w:y="3001"/>
        <w:spacing w:line="0" w:lineRule="atLeast"/>
        <w:jc w:val="distribute"/>
        <w:rPr>
          <w:rFonts w:ascii="黑体" w:eastAsia="黑体" w:hAnsi="宋体"/>
          <w:spacing w:val="-40"/>
          <w:sz w:val="48"/>
          <w:szCs w:val="52"/>
        </w:rPr>
      </w:pPr>
      <w:r>
        <w:rPr>
          <w:rFonts w:ascii="黑体" w:eastAsia="黑体" w:hAnsi="宋体" w:hint="eastAsia"/>
          <w:spacing w:val="-40"/>
          <w:sz w:val="48"/>
          <w:szCs w:val="52"/>
        </w:rPr>
        <w:t>湖北省毒理学会团体标准</w:t>
      </w:r>
    </w:p>
    <w:p w:rsidR="00000000" w:rsidRDefault="00000000">
      <w:pPr>
        <w:pStyle w:val="21"/>
        <w:framePr w:wrap="around" w:x="1443" w:y="3740"/>
        <w:rPr>
          <w:rFonts w:hAnsi="黑体"/>
        </w:rPr>
      </w:pPr>
      <w:bookmarkStart w:id="1" w:name="_Hlk142052235"/>
      <w:r>
        <w:rPr>
          <w:rFonts w:hAnsi="黑体" w:hint="eastAsia"/>
        </w:rPr>
        <w:t>T</w:t>
      </w:r>
      <w:r>
        <w:rPr>
          <w:rFonts w:hAnsi="黑体"/>
        </w:rPr>
        <w:t>/</w:t>
      </w:r>
      <w:r>
        <w:rPr>
          <w:rFonts w:hAnsi="黑体" w:hint="eastAsia"/>
        </w:rPr>
        <w:t>HBST</w:t>
      </w:r>
      <w:r>
        <w:rPr>
          <w:rFonts w:hAnsi="黑体"/>
        </w:rPr>
        <w:t xml:space="preserve"> 001-2023</w:t>
      </w:r>
    </w:p>
    <w:tbl>
      <w:tblPr>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000000">
        <w:tc>
          <w:tcPr>
            <w:tcW w:w="9356" w:type="dxa"/>
            <w:tcBorders>
              <w:top w:val="nil"/>
              <w:left w:val="nil"/>
              <w:bottom w:val="nil"/>
              <w:right w:val="nil"/>
            </w:tcBorders>
          </w:tcPr>
          <w:bookmarkEnd w:id="1"/>
          <w:p w:rsidR="00000000" w:rsidRDefault="008179A3">
            <w:pPr>
              <w:pStyle w:val="af3"/>
              <w:framePr w:wrap="around" w:x="1443" w:y="3740"/>
            </w:pPr>
            <w:r>
              <w:rPr>
                <w:noProof/>
              </w:rPr>
              <mc:AlternateContent>
                <mc:Choice Requires="wps">
                  <w:drawing>
                    <wp:anchor distT="0" distB="0" distL="114300" distR="114300" simplePos="0" relativeHeight="25165721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228600"/>
                              </a:xfrm>
                              <a:prstGeom prst="rect">
                                <a:avLst/>
                              </a:prstGeom>
                              <a:solidFill>
                                <a:srgbClr val="FFFFFF"/>
                              </a:solidFill>
                              <a:ln w="9525">
                                <a:noFill/>
                              </a:ln>
                            </wps:spPr>
                            <wps:bodyPr wrap="square" upright="1"/>
                          </wps:wsp>
                        </a:graphicData>
                      </a:graphic>
                      <wp14:sizeRelH relativeFrom="page">
                        <wp14:pctWidth>0</wp14:pctWidth>
                      </wp14:sizeRelH>
                      <wp14:sizeRelV relativeFrom="page">
                        <wp14:pctHeight>0</wp14:pctHeight>
                      </wp14:sizeRelV>
                    </wp:anchor>
                  </w:drawing>
                </mc:Choice>
                <mc:Fallback>
                  <w:pict>
                    <v:rect w14:anchorId="2EEB9E57" id="DT" o:spid="_x0000_s1026"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" stroked="f"/>
                  </w:pict>
                </mc:Fallback>
              </mc:AlternateContent>
            </w:r>
            <w:r w:rsidR="00000000">
              <w:fldChar w:fldCharType="begin">
                <w:ffData>
                  <w:name w:val="DT"/>
                  <w:enabled/>
                  <w:calcOnExit w:val="0"/>
                  <w:textInput/>
                </w:ffData>
              </w:fldChar>
            </w:r>
            <w:bookmarkStart w:id="2" w:name="DT"/>
            <w:r w:rsidR="00000000">
              <w:instrText xml:space="preserve"> FORMTEXT </w:instrText>
            </w:r>
            <w:r w:rsidR="00000000">
              <w:fldChar w:fldCharType="separate"/>
            </w:r>
            <w:r w:rsidR="00000000">
              <w:t>     </w:t>
            </w:r>
            <w:r w:rsidR="00000000">
              <w:fldChar w:fldCharType="end"/>
            </w:r>
            <w:bookmarkEnd w:id="2"/>
          </w:p>
        </w:tc>
      </w:tr>
    </w:tbl>
    <w:p w:rsidR="00000000" w:rsidRDefault="00000000">
      <w:pPr>
        <w:pStyle w:val="21"/>
        <w:framePr w:wrap="around" w:x="1443" w:y="3740"/>
        <w:rPr>
          <w:rFonts w:hAnsi="黑体"/>
        </w:rPr>
      </w:pPr>
    </w:p>
    <w:p w:rsidR="00000000" w:rsidRDefault="00000000">
      <w:pPr>
        <w:pStyle w:val="21"/>
        <w:framePr w:wrap="around" w:x="1443" w:y="3740"/>
        <w:rPr>
          <w:rFonts w:hAnsi="黑体"/>
        </w:rPr>
      </w:pPr>
    </w:p>
    <w:p w:rsidR="00000000" w:rsidRDefault="00000000">
      <w:pPr>
        <w:pStyle w:val="af5"/>
        <w:framePr w:wrap="around" w:hAnchor="page" w:x="1800" w:y="14101"/>
      </w:pP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3" w:name="F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rPr>
          <w:rFonts w:hint="eastAsia"/>
        </w:rPr>
        <w:t>发布</w:t>
      </w:r>
      <w:r w:rsidR="008179A3">
        <w:rPr>
          <w:noProof/>
        </w:rPr>
        <mc:AlternateContent>
          <mc:Choice Requires="wps">
            <w:drawing>
              <wp:anchor distT="4294967295" distB="4294967295" distL="114300" distR="114300" simplePos="0" relativeHeight="251658240" behindDoc="0" locked="1" layoutInCell="1" allowOverlap="1">
                <wp:simplePos x="0" y="0"/>
                <wp:positionH relativeFrom="column">
                  <wp:posOffset>-139065</wp:posOffset>
                </wp:positionH>
                <wp:positionV relativeFrom="page">
                  <wp:posOffset>9251949</wp:posOffset>
                </wp:positionV>
                <wp:extent cx="6120130" cy="0"/>
                <wp:effectExtent l="0" t="0" r="0" b="0"/>
                <wp:wrapNone/>
                <wp:docPr id="5"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3486A89" id="直线 10"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10.95pt,728.5pt" to="470.9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">
                <o:lock v:ext="edit" shapetype="f"/>
                <w10:wrap anchory="page"/>
                <w10:anchorlock/>
              </v:line>
            </w:pict>
          </mc:Fallback>
        </mc:AlternateContent>
      </w:r>
    </w:p>
    <w:p w:rsidR="00000000" w:rsidRDefault="008179A3">
      <w:pPr>
        <w:spacing w:line="360" w:lineRule="auto"/>
        <w:ind w:firstLineChars="200" w:firstLine="720"/>
        <w:jc w:val="center"/>
        <w:rPr>
          <w:rFonts w:ascii="宋体" w:hAnsi="宋体" w:hint="eastAsia"/>
          <w:b/>
          <w:bCs/>
          <w:sz w:val="36"/>
          <w:szCs w:val="36"/>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1474" w:footer="1247" w:gutter="0"/>
          <w:cols w:space="720"/>
          <w:docGrid w:type="lines" w:linePitch="312"/>
        </w:sectPr>
      </w:pPr>
      <w:r>
        <w:rPr>
          <w:noProof/>
          <w:sz w:val="36"/>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2172335</wp:posOffset>
                </wp:positionV>
                <wp:extent cx="5765800" cy="635"/>
                <wp:effectExtent l="11430" t="6985" r="13970" b="11430"/>
                <wp:wrapNone/>
                <wp:docPr id="1892038502"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318DD" id="直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71.05pt" to="444.4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">
                <v:fill o:detectmouseclick="t"/>
              </v:line>
            </w:pict>
          </mc:Fallback>
        </mc:AlternateContent>
      </w:r>
    </w:p>
    <w:p w:rsidR="00000000" w:rsidRDefault="00000000">
      <w:pPr>
        <w:pStyle w:val="aff1"/>
        <w:framePr w:wrap="around"/>
      </w:pPr>
      <w:r>
        <w:rPr>
          <w:rFonts w:hint="eastAsia"/>
        </w:rPr>
        <w:t>HBST</w:t>
      </w:r>
    </w:p>
    <w:p w:rsidR="00000000" w:rsidRDefault="00000000">
      <w:pPr>
        <w:spacing w:line="360" w:lineRule="auto"/>
        <w:ind w:firstLineChars="200" w:firstLine="723"/>
        <w:jc w:val="center"/>
        <w:rPr>
          <w:rFonts w:ascii="宋体" w:hAnsi="宋体" w:hint="eastAsia"/>
          <w:b/>
          <w:bCs/>
          <w:sz w:val="36"/>
          <w:szCs w:val="36"/>
        </w:rPr>
      </w:pPr>
    </w:p>
    <w:p w:rsidR="00000000" w:rsidRDefault="00000000">
      <w:pPr>
        <w:framePr w:wrap="around" w:vAnchor="page" w:hAnchor="page" w:x="2010" w:y="6256"/>
        <w:spacing w:line="680" w:lineRule="exact"/>
        <w:jc w:val="center"/>
        <w:textAlignment w:val="center"/>
        <w:rPr>
          <w:rFonts w:ascii="黑体" w:eastAsia="黑体" w:hAnsi="Times New Roman"/>
          <w:sz w:val="52"/>
        </w:rPr>
      </w:pPr>
    </w:p>
    <w:p w:rsidR="00000000" w:rsidRDefault="00000000">
      <w:pPr>
        <w:framePr w:wrap="around" w:vAnchor="page" w:hAnchor="page" w:x="2010" w:y="6256"/>
        <w:spacing w:line="680" w:lineRule="exact"/>
        <w:jc w:val="center"/>
        <w:textAlignment w:val="center"/>
        <w:rPr>
          <w:rFonts w:ascii="黑体" w:eastAsia="黑体" w:hAnsi="Times New Roman" w:hint="eastAsia"/>
          <w:sz w:val="52"/>
        </w:rPr>
      </w:pPr>
      <w:r>
        <w:rPr>
          <w:rFonts w:ascii="黑体" w:eastAsia="黑体" w:hAnsi="Times New Roman" w:hint="eastAsia"/>
          <w:sz w:val="52"/>
        </w:rPr>
        <w:t>兽药食品安全风险评估指导通则</w:t>
      </w:r>
    </w:p>
    <w:p w:rsidR="00000000" w:rsidRDefault="00000000">
      <w:pPr>
        <w:framePr w:wrap="around" w:vAnchor="page" w:hAnchor="page" w:x="2010" w:y="6256"/>
        <w:spacing w:line="360" w:lineRule="auto"/>
        <w:ind w:firstLineChars="200" w:firstLine="560"/>
        <w:jc w:val="center"/>
        <w:rPr>
          <w:rFonts w:ascii="Times New Roman" w:hAnsi="Times New Roman"/>
          <w:sz w:val="28"/>
          <w:szCs w:val="28"/>
        </w:rPr>
      </w:pPr>
      <w:r>
        <w:rPr>
          <w:rFonts w:ascii="Times New Roman" w:hAnsi="Times New Roman"/>
          <w:sz w:val="28"/>
          <w:szCs w:val="28"/>
        </w:rPr>
        <w:t xml:space="preserve">General </w:t>
      </w:r>
      <w:r>
        <w:rPr>
          <w:rFonts w:ascii="Times New Roman" w:hAnsi="Times New Roman" w:hint="eastAsia"/>
          <w:sz w:val="28"/>
          <w:szCs w:val="28"/>
        </w:rPr>
        <w:t>g</w:t>
      </w:r>
      <w:r>
        <w:rPr>
          <w:rFonts w:ascii="Times New Roman" w:hAnsi="Times New Roman"/>
          <w:sz w:val="28"/>
          <w:szCs w:val="28"/>
        </w:rPr>
        <w:t xml:space="preserve">uidelines for </w:t>
      </w:r>
      <w:r>
        <w:rPr>
          <w:rFonts w:ascii="Times New Roman" w:hAnsi="Times New Roman" w:hint="eastAsia"/>
          <w:sz w:val="28"/>
          <w:szCs w:val="28"/>
        </w:rPr>
        <w:t>r</w:t>
      </w:r>
      <w:r>
        <w:rPr>
          <w:rFonts w:ascii="Times New Roman" w:hAnsi="Times New Roman"/>
          <w:sz w:val="28"/>
          <w:szCs w:val="28"/>
        </w:rPr>
        <w:t>isk assessment of veterinary drugs and food safety</w:t>
      </w:r>
    </w:p>
    <w:p w:rsidR="00000000" w:rsidRDefault="00000000">
      <w:pPr>
        <w:framePr w:wrap="around" w:vAnchor="page" w:hAnchor="page" w:x="2010" w:y="6256"/>
        <w:spacing w:line="680" w:lineRule="exact"/>
        <w:jc w:val="center"/>
        <w:textAlignment w:val="center"/>
        <w:rPr>
          <w:rFonts w:ascii="黑体" w:eastAsia="黑体" w:hAnsi="Times New Roman" w:hint="eastAsia"/>
          <w:sz w:val="52"/>
        </w:rPr>
      </w:pPr>
      <w:r>
        <w:rPr>
          <w:rFonts w:ascii="宋体" w:hAnsi="宋体" w:hint="eastAsia"/>
          <w:kern w:val="0"/>
          <w:sz w:val="28"/>
          <w:szCs w:val="28"/>
        </w:rPr>
        <w:t>（征求意见稿）</w:t>
      </w:r>
    </w:p>
    <w:p w:rsidR="00000000" w:rsidRDefault="00000000">
      <w:pPr>
        <w:framePr w:wrap="around" w:vAnchor="page" w:hAnchor="page" w:x="2010" w:y="6256"/>
        <w:spacing w:line="680" w:lineRule="exact"/>
        <w:jc w:val="center"/>
        <w:textAlignment w:val="center"/>
        <w:rPr>
          <w:rFonts w:ascii="黑体" w:eastAsia="黑体" w:hAnsi="Times New Roman" w:hint="eastAsia"/>
          <w:sz w:val="52"/>
        </w:rPr>
      </w:pPr>
    </w:p>
    <w:p w:rsidR="00000000" w:rsidRDefault="00000000">
      <w:pPr>
        <w:pStyle w:val="af7"/>
        <w:framePr w:wrap="around" w:vAnchor="page" w:hAnchor="page" w:x="7789" w:y="14121"/>
      </w:pP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实施</w:t>
      </w:r>
    </w:p>
    <w:p w:rsidR="00000000" w:rsidRDefault="00000000">
      <w:pPr>
        <w:spacing w:line="360" w:lineRule="auto"/>
        <w:ind w:firstLineChars="200" w:firstLine="723"/>
        <w:jc w:val="center"/>
        <w:rPr>
          <w:rFonts w:ascii="宋体" w:hAnsi="宋体" w:hint="eastAsia"/>
          <w:b/>
          <w:bCs/>
          <w:sz w:val="36"/>
          <w:szCs w:val="36"/>
        </w:rPr>
      </w:pPr>
    </w:p>
    <w:p w:rsidR="00000000" w:rsidRDefault="00000000">
      <w:pPr>
        <w:spacing w:line="360" w:lineRule="auto"/>
        <w:ind w:firstLineChars="200" w:firstLine="723"/>
        <w:jc w:val="center"/>
        <w:rPr>
          <w:rFonts w:ascii="宋体" w:hAnsi="宋体" w:hint="eastAsia"/>
          <w:b/>
          <w:bCs/>
          <w:sz w:val="36"/>
          <w:szCs w:val="36"/>
        </w:rPr>
      </w:pPr>
    </w:p>
    <w:p w:rsidR="00000000" w:rsidRDefault="00000000">
      <w:pPr>
        <w:spacing w:line="360" w:lineRule="auto"/>
        <w:ind w:firstLineChars="200" w:firstLine="723"/>
        <w:jc w:val="center"/>
        <w:rPr>
          <w:rFonts w:ascii="宋体" w:hAnsi="宋体" w:hint="eastAsia"/>
          <w:b/>
          <w:bCs/>
          <w:sz w:val="36"/>
          <w:szCs w:val="36"/>
        </w:rPr>
        <w:sectPr w:rsidR="00000000">
          <w:footerReference w:type="default" r:id="rId12"/>
          <w:type w:val="continuous"/>
          <w:pgSz w:w="11906" w:h="16838"/>
          <w:pgMar w:top="1440" w:right="1800" w:bottom="1440" w:left="1800" w:header="1474" w:footer="1247" w:gutter="0"/>
          <w:cols w:space="720"/>
          <w:docGrid w:type="lines" w:linePitch="312"/>
        </w:sectPr>
      </w:pPr>
    </w:p>
    <w:p w:rsidR="00000000" w:rsidRDefault="00000000">
      <w:pPr>
        <w:pStyle w:val="af9"/>
        <w:framePr w:wrap="around" w:vAnchor="page" w:hAnchor="page" w:x="3601" w:y="14761"/>
        <w:jc w:val="both"/>
      </w:pPr>
      <w:r>
        <w:rPr>
          <w:rFonts w:hint="eastAsia"/>
        </w:rPr>
        <w:t>湖北省毒理学会</w:t>
      </w:r>
      <w:r>
        <w:rPr>
          <w:rFonts w:hAnsi="黑体"/>
        </w:rPr>
        <w:t>   </w:t>
      </w:r>
      <w:r>
        <w:rPr>
          <w:rStyle w:val="afc"/>
          <w:rFonts w:hint="eastAsia"/>
        </w:rPr>
        <w:t>发布</w:t>
      </w:r>
    </w:p>
    <w:p w:rsidR="00000000" w:rsidRDefault="00000000">
      <w:pPr>
        <w:spacing w:line="360" w:lineRule="auto"/>
        <w:rPr>
          <w:rFonts w:ascii="Times New Roman" w:hAnsi="Times New Roman" w:hint="eastAsia"/>
          <w:b/>
          <w:bCs/>
          <w:kern w:val="0"/>
          <w:sz w:val="32"/>
          <w:szCs w:val="32"/>
          <w:lang w:val="zh-CN"/>
        </w:rPr>
        <w:sectPr w:rsidR="00000000">
          <w:headerReference w:type="default" r:id="rId13"/>
          <w:type w:val="continuous"/>
          <w:pgSz w:w="11906" w:h="16838"/>
          <w:pgMar w:top="1440" w:right="1800" w:bottom="1440" w:left="1800" w:header="1474" w:footer="1247" w:gutter="0"/>
          <w:cols w:space="720"/>
          <w:docGrid w:type="lines" w:linePitch="312"/>
        </w:sectPr>
      </w:pPr>
    </w:p>
    <w:p w:rsidR="00000000" w:rsidRDefault="00000000">
      <w:pPr>
        <w:pStyle w:val="TOC"/>
        <w:spacing w:before="480" w:afterLines="100" w:after="312"/>
        <w:jc w:val="center"/>
        <w:rPr>
          <w:rFonts w:ascii="黑体" w:eastAsia="黑体" w:hAnsi="黑体"/>
          <w:b/>
          <w:bCs/>
          <w:color w:val="auto"/>
          <w:sz w:val="28"/>
          <w:szCs w:val="28"/>
          <w:lang w:val="zh-CN"/>
        </w:rPr>
      </w:pPr>
      <w:bookmarkStart w:id="4" w:name="_Toc11803"/>
      <w:r>
        <w:rPr>
          <w:rFonts w:ascii="黑体" w:eastAsia="黑体" w:hAnsi="黑体" w:hint="eastAsia"/>
          <w:b/>
          <w:bCs/>
          <w:color w:val="auto"/>
          <w:sz w:val="28"/>
          <w:szCs w:val="28"/>
          <w:lang w:val="zh-CN"/>
        </w:rPr>
        <w:lastRenderedPageBreak/>
        <w:t xml:space="preserve">目 </w:t>
      </w:r>
      <w:r>
        <w:rPr>
          <w:rFonts w:ascii="黑体" w:eastAsia="黑体" w:hAnsi="黑体"/>
          <w:b/>
          <w:bCs/>
          <w:color w:val="auto"/>
          <w:sz w:val="28"/>
          <w:szCs w:val="28"/>
          <w:lang w:val="zh-CN"/>
        </w:rPr>
        <w:t xml:space="preserve"> </w:t>
      </w:r>
      <w:r>
        <w:rPr>
          <w:rFonts w:ascii="黑体" w:eastAsia="黑体" w:hAnsi="黑体" w:hint="eastAsia"/>
          <w:b/>
          <w:bCs/>
          <w:color w:val="auto"/>
          <w:sz w:val="28"/>
          <w:szCs w:val="28"/>
          <w:lang w:val="zh-CN"/>
        </w:rPr>
        <w:t>次</w:t>
      </w:r>
    </w:p>
    <w:p w:rsidR="00000000" w:rsidRDefault="00000000">
      <w:pPr>
        <w:rPr>
          <w:rFonts w:hint="eastAsia"/>
          <w:lang w:val="zh-CN"/>
        </w:rPr>
      </w:pPr>
    </w:p>
    <w:p w:rsidR="00000000" w:rsidRDefault="00000000">
      <w:pPr>
        <w:pStyle w:val="TOC1"/>
        <w:tabs>
          <w:tab w:val="right" w:leader="dot" w:pos="9060"/>
        </w:tabs>
        <w:spacing w:line="360" w:lineRule="exact"/>
        <w:rPr>
          <w:rFonts w:ascii="宋体" w:hAnsi="宋体"/>
          <w:noProof/>
          <w:lang w:val="en-US" w:eastAsia="zh-CN"/>
        </w:rPr>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142055948" w:history="1">
        <w:r>
          <w:rPr>
            <w:rStyle w:val="ad"/>
            <w:rFonts w:ascii="宋体" w:hAnsi="宋体"/>
            <w:noProof/>
            <w:lang w:val="en-US" w:eastAsia="zh-CN"/>
          </w:rPr>
          <w:t>前言</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_Toc142055948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II</w:t>
        </w:r>
        <w:r>
          <w:rPr>
            <w:rFonts w:ascii="宋体" w:hAnsi="宋体"/>
            <w:noProof/>
            <w:lang w:val="en-US" w:eastAsia="zh-CN"/>
          </w:rPr>
          <w:fldChar w:fldCharType="end"/>
        </w:r>
      </w:hyperlink>
    </w:p>
    <w:p w:rsidR="00000000" w:rsidRDefault="00000000">
      <w:pPr>
        <w:pStyle w:val="TOC1"/>
        <w:tabs>
          <w:tab w:val="right" w:leader="dot" w:pos="9060"/>
        </w:tabs>
        <w:spacing w:line="360" w:lineRule="exact"/>
        <w:rPr>
          <w:rFonts w:ascii="宋体" w:hAnsi="宋体"/>
          <w:noProof/>
          <w:lang w:val="en-US" w:eastAsia="zh-CN"/>
        </w:rPr>
      </w:pPr>
      <w:hyperlink w:anchor="_Toc142055949" w:history="1">
        <w:r>
          <w:rPr>
            <w:rStyle w:val="ad"/>
            <w:rFonts w:ascii="宋体" w:hAnsi="宋体" w:cs="黑体"/>
            <w:noProof/>
            <w:lang w:val="en-US" w:eastAsia="zh-CN"/>
          </w:rPr>
          <w:t>1 范围</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_Toc142055949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1</w:t>
        </w:r>
        <w:r>
          <w:rPr>
            <w:rFonts w:ascii="宋体" w:hAnsi="宋体"/>
            <w:noProof/>
            <w:lang w:val="en-US" w:eastAsia="zh-CN"/>
          </w:rPr>
          <w:fldChar w:fldCharType="end"/>
        </w:r>
      </w:hyperlink>
    </w:p>
    <w:p w:rsidR="00000000" w:rsidRDefault="00000000">
      <w:pPr>
        <w:pStyle w:val="TOC1"/>
        <w:tabs>
          <w:tab w:val="right" w:leader="dot" w:pos="9060"/>
        </w:tabs>
        <w:spacing w:line="360" w:lineRule="exact"/>
        <w:rPr>
          <w:rFonts w:ascii="宋体" w:hAnsi="宋体"/>
          <w:noProof/>
          <w:lang w:val="en-US" w:eastAsia="zh-CN"/>
        </w:rPr>
      </w:pPr>
      <w:hyperlink w:anchor="_Toc142055950" w:history="1">
        <w:r>
          <w:rPr>
            <w:rStyle w:val="ad"/>
            <w:rFonts w:ascii="宋体" w:hAnsi="宋体" w:cs="黑体"/>
            <w:noProof/>
            <w:lang w:val="en-US" w:eastAsia="zh-CN"/>
          </w:rPr>
          <w:t>2 规范性引用文件</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_Toc142055950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1</w:t>
        </w:r>
        <w:r>
          <w:rPr>
            <w:rFonts w:ascii="宋体" w:hAnsi="宋体"/>
            <w:noProof/>
            <w:lang w:val="en-US" w:eastAsia="zh-CN"/>
          </w:rPr>
          <w:fldChar w:fldCharType="end"/>
        </w:r>
      </w:hyperlink>
    </w:p>
    <w:p w:rsidR="00000000" w:rsidRDefault="00000000">
      <w:pPr>
        <w:pStyle w:val="TOC1"/>
        <w:tabs>
          <w:tab w:val="right" w:leader="dot" w:pos="9060"/>
        </w:tabs>
        <w:spacing w:line="360" w:lineRule="exact"/>
        <w:rPr>
          <w:rFonts w:ascii="宋体" w:hAnsi="宋体"/>
          <w:noProof/>
          <w:lang w:val="en-US" w:eastAsia="zh-CN"/>
        </w:rPr>
      </w:pPr>
      <w:hyperlink w:anchor="_Toc142055951" w:history="1">
        <w:r>
          <w:rPr>
            <w:rStyle w:val="ad"/>
            <w:rFonts w:ascii="宋体" w:hAnsi="宋体" w:cs="黑体"/>
            <w:noProof/>
            <w:lang w:val="en-US" w:eastAsia="zh-CN"/>
          </w:rPr>
          <w:t>3 术语和定义</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_Toc142055951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1</w:t>
        </w:r>
        <w:r>
          <w:rPr>
            <w:rFonts w:ascii="宋体" w:hAnsi="宋体"/>
            <w:noProof/>
            <w:lang w:val="en-US" w:eastAsia="zh-CN"/>
          </w:rPr>
          <w:fldChar w:fldCharType="end"/>
        </w:r>
      </w:hyperlink>
    </w:p>
    <w:p w:rsidR="00000000" w:rsidRDefault="00000000">
      <w:pPr>
        <w:pStyle w:val="TOC1"/>
        <w:tabs>
          <w:tab w:val="right" w:leader="dot" w:pos="9060"/>
        </w:tabs>
        <w:spacing w:line="360" w:lineRule="exact"/>
        <w:rPr>
          <w:rFonts w:ascii="宋体" w:hAnsi="宋体"/>
          <w:noProof/>
          <w:lang w:val="en-US" w:eastAsia="zh-CN"/>
        </w:rPr>
      </w:pPr>
      <w:hyperlink w:anchor="_Toc142055952" w:history="1">
        <w:r>
          <w:rPr>
            <w:rStyle w:val="ad"/>
            <w:rFonts w:ascii="宋体" w:hAnsi="宋体"/>
            <w:noProof/>
            <w:lang w:val="en-US" w:eastAsia="zh-CN"/>
          </w:rPr>
          <w:t>4 兽药食品安全风险评估的基本内容</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_Toc142055952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2</w:t>
        </w:r>
        <w:r>
          <w:rPr>
            <w:rFonts w:ascii="宋体" w:hAnsi="宋体"/>
            <w:noProof/>
            <w:lang w:val="en-US" w:eastAsia="zh-CN"/>
          </w:rPr>
          <w:fldChar w:fldCharType="end"/>
        </w:r>
      </w:hyperlink>
    </w:p>
    <w:p w:rsidR="00000000" w:rsidRDefault="00000000">
      <w:pPr>
        <w:pStyle w:val="TOC2"/>
        <w:tabs>
          <w:tab w:val="clear" w:pos="8296"/>
          <w:tab w:val="right" w:leader="dot" w:pos="9040"/>
        </w:tabs>
        <w:spacing w:line="360" w:lineRule="exact"/>
        <w:rPr>
          <w:rFonts w:ascii="宋体" w:hAnsi="宋体"/>
          <w:noProof/>
          <w:lang w:val="en-US" w:eastAsia="zh-CN"/>
        </w:rPr>
      </w:pPr>
      <w:hyperlink w:anchor="_Toc142055953" w:history="1">
        <w:r>
          <w:rPr>
            <w:rStyle w:val="ad"/>
            <w:rFonts w:ascii="宋体" w:hAnsi="宋体"/>
            <w:noProof/>
            <w:lang w:val="en-US" w:eastAsia="zh-CN"/>
          </w:rPr>
          <w:t>4.1 危害识别和危害特征描述</w:t>
        </w:r>
        <w:r>
          <w:rPr>
            <w:rFonts w:ascii="宋体" w:hAnsi="宋体"/>
            <w:noProof/>
            <w:lang w:val="en-US" w:eastAsia="zh-CN"/>
          </w:rPr>
          <w:tab/>
        </w:r>
        <w:r>
          <w:rPr>
            <w:rFonts w:ascii="宋体" w:hAnsi="宋体" w:hint="eastAsia"/>
            <w:noProof/>
          </w:rPr>
          <w:t>.......................</w:t>
        </w:r>
        <w:r>
          <w:rPr>
            <w:rFonts w:ascii="宋体" w:hAnsi="宋体"/>
            <w:noProof/>
            <w:lang w:val="en-US" w:eastAsia="zh-CN"/>
          </w:rPr>
          <w:fldChar w:fldCharType="begin"/>
        </w:r>
        <w:r>
          <w:rPr>
            <w:rFonts w:ascii="宋体" w:hAnsi="宋体"/>
            <w:noProof/>
            <w:lang w:val="en-US" w:eastAsia="zh-CN"/>
          </w:rPr>
          <w:instrText xml:space="preserve"> PAGEREF _Toc142055953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2</w:t>
        </w:r>
        <w:r>
          <w:rPr>
            <w:rFonts w:ascii="宋体" w:hAnsi="宋体"/>
            <w:noProof/>
            <w:lang w:val="en-US" w:eastAsia="zh-CN"/>
          </w:rPr>
          <w:fldChar w:fldCharType="end"/>
        </w:r>
      </w:hyperlink>
    </w:p>
    <w:p w:rsidR="00000000" w:rsidRDefault="00000000">
      <w:pPr>
        <w:pStyle w:val="TOC2"/>
        <w:tabs>
          <w:tab w:val="clear" w:pos="8296"/>
          <w:tab w:val="right" w:leader="dot" w:pos="9040"/>
        </w:tabs>
        <w:spacing w:line="360" w:lineRule="exact"/>
        <w:rPr>
          <w:rFonts w:ascii="宋体" w:hAnsi="宋体"/>
          <w:noProof/>
          <w:lang w:val="en-US" w:eastAsia="zh-CN"/>
        </w:rPr>
      </w:pPr>
      <w:hyperlink w:anchor="_Toc142055954" w:history="1">
        <w:r>
          <w:rPr>
            <w:rStyle w:val="ad"/>
            <w:rFonts w:ascii="宋体" w:hAnsi="宋体"/>
            <w:noProof/>
            <w:lang w:val="en-US" w:eastAsia="zh-CN"/>
          </w:rPr>
          <w:t>4.2 暴露评估</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_Toc142055954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5</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55" w:history="1">
        <w:r>
          <w:rPr>
            <w:rStyle w:val="ad"/>
            <w:rFonts w:ascii="宋体" w:hAnsi="宋体"/>
            <w:noProof/>
            <w:lang w:val="en-US" w:eastAsia="zh-CN"/>
          </w:rPr>
          <w:t>4.2.1 定义</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_Toc142055955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5</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56" w:history="1">
        <w:r>
          <w:rPr>
            <w:rStyle w:val="ad"/>
            <w:rFonts w:ascii="宋体" w:hAnsi="宋体"/>
            <w:noProof/>
            <w:lang w:val="en-US" w:eastAsia="zh-CN"/>
          </w:rPr>
          <w:t>4.2.2 范围</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_Toc142055956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5</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57" w:history="1">
        <w:r>
          <w:rPr>
            <w:rStyle w:val="ad"/>
            <w:rFonts w:ascii="宋体" w:hAnsi="宋体"/>
            <w:noProof/>
            <w:lang w:val="en-US" w:eastAsia="zh-CN"/>
          </w:rPr>
          <w:t>4.2.3 数据来源</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_Toc142055957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5</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58" w:history="1">
        <w:r>
          <w:rPr>
            <w:rStyle w:val="ad"/>
            <w:rFonts w:ascii="宋体" w:hAnsi="宋体"/>
            <w:noProof/>
            <w:lang w:val="en-US" w:eastAsia="zh-CN"/>
          </w:rPr>
          <w:t>4.2.4 膳食暴露评估的方法</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_Toc142055958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6</w:t>
        </w:r>
        <w:r>
          <w:rPr>
            <w:rFonts w:ascii="宋体" w:hAnsi="宋体"/>
            <w:noProof/>
            <w:lang w:val="en-US" w:eastAsia="zh-CN"/>
          </w:rPr>
          <w:fldChar w:fldCharType="end"/>
        </w:r>
      </w:hyperlink>
    </w:p>
    <w:p w:rsidR="00000000" w:rsidRDefault="00000000">
      <w:pPr>
        <w:pStyle w:val="TOC2"/>
        <w:tabs>
          <w:tab w:val="clear" w:pos="8296"/>
          <w:tab w:val="right" w:leader="dot" w:pos="9040"/>
        </w:tabs>
        <w:spacing w:line="360" w:lineRule="exact"/>
        <w:rPr>
          <w:rFonts w:ascii="宋体" w:hAnsi="宋体"/>
          <w:noProof/>
          <w:lang w:val="en-US" w:eastAsia="zh-CN"/>
        </w:rPr>
      </w:pPr>
      <w:hyperlink w:anchor="_Toc142055959" w:history="1">
        <w:r>
          <w:rPr>
            <w:rStyle w:val="ad"/>
            <w:rFonts w:ascii="宋体" w:hAnsi="宋体"/>
            <w:noProof/>
            <w:lang w:val="en-US" w:eastAsia="zh-CN"/>
          </w:rPr>
          <w:t>4.3 风险特征描述</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_Toc142055959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6</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60" w:history="1">
        <w:r>
          <w:rPr>
            <w:rStyle w:val="ad"/>
            <w:rFonts w:ascii="宋体" w:hAnsi="宋体"/>
            <w:noProof/>
            <w:lang w:val="en-US" w:eastAsia="zh-CN"/>
          </w:rPr>
          <w:t>4.3.1 定义</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_Toc142055960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6</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61" w:history="1">
        <w:r>
          <w:rPr>
            <w:rStyle w:val="ad"/>
            <w:rFonts w:ascii="宋体" w:hAnsi="宋体"/>
            <w:noProof/>
            <w:lang w:val="en-US" w:eastAsia="zh-CN"/>
          </w:rPr>
          <w:t>4.3.2 联合暴露风险评估</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_Toc142055961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6</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62" w:history="1">
        <w:r>
          <w:rPr>
            <w:rStyle w:val="ad"/>
            <w:rFonts w:ascii="宋体" w:hAnsi="宋体"/>
            <w:noProof/>
            <w:lang w:val="en-US" w:eastAsia="zh-CN"/>
          </w:rPr>
          <w:t>4.3.3 有遗传毒性和致癌性兽药的健康指导值的建立</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_Toc142055962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6</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63" w:history="1">
        <w:r>
          <w:rPr>
            <w:rStyle w:val="ad"/>
            <w:rFonts w:ascii="宋体" w:hAnsi="宋体"/>
            <w:noProof/>
            <w:lang w:val="en-US" w:eastAsia="zh-CN"/>
          </w:rPr>
          <w:t>4.3.4 既有</w:t>
        </w:r>
        <w:bookmarkStart w:id="5" w:name="_Hlt142055988"/>
        <w:bookmarkStart w:id="6" w:name="_Hlt142055987"/>
        <w:r>
          <w:rPr>
            <w:rStyle w:val="ad"/>
            <w:rFonts w:ascii="宋体" w:hAnsi="宋体"/>
            <w:noProof/>
            <w:lang w:val="en-US" w:eastAsia="zh-CN"/>
          </w:rPr>
          <w:t>遗</w:t>
        </w:r>
        <w:bookmarkEnd w:id="5"/>
        <w:bookmarkEnd w:id="6"/>
        <w:r>
          <w:rPr>
            <w:rStyle w:val="ad"/>
            <w:rFonts w:ascii="宋体" w:hAnsi="宋体"/>
            <w:noProof/>
            <w:lang w:val="en-US" w:eastAsia="zh-CN"/>
          </w:rPr>
          <w:t>传毒性又有致癌性化合物的暴露评估</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_Toc142055963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6</w:t>
        </w:r>
        <w:r>
          <w:rPr>
            <w:rFonts w:ascii="宋体" w:hAnsi="宋体"/>
            <w:noProof/>
            <w:lang w:val="en-US" w:eastAsia="zh-CN"/>
          </w:rPr>
          <w:fldChar w:fldCharType="end"/>
        </w:r>
      </w:hyperlink>
    </w:p>
    <w:p w:rsidR="00000000" w:rsidRDefault="00000000">
      <w:pPr>
        <w:pStyle w:val="TOC3"/>
        <w:tabs>
          <w:tab w:val="right" w:leader="dot" w:pos="9060"/>
        </w:tabs>
        <w:spacing w:line="360" w:lineRule="exact"/>
        <w:rPr>
          <w:rFonts w:ascii="宋体" w:hAnsi="宋体"/>
          <w:noProof/>
          <w:lang w:val="en-US" w:eastAsia="zh-CN"/>
        </w:rPr>
      </w:pPr>
      <w:hyperlink w:anchor="_Toc142055964" w:history="1">
        <w:r>
          <w:rPr>
            <w:rStyle w:val="ad"/>
            <w:rFonts w:ascii="宋体" w:hAnsi="宋体"/>
            <w:noProof/>
            <w:lang w:val="en-US" w:eastAsia="zh-CN"/>
          </w:rPr>
          <w:t>4.3.5 风险特征描述的变异性和不确定性</w:t>
        </w:r>
        <w:r>
          <w:rPr>
            <w:rFonts w:ascii="宋体" w:hAnsi="宋体"/>
            <w:noProof/>
            <w:lang w:val="en-US" w:eastAsia="zh-CN"/>
          </w:rPr>
          <w:tab/>
        </w:r>
        <w:r>
          <w:rPr>
            <w:rFonts w:ascii="宋体" w:hAnsi="宋体"/>
            <w:noProof/>
            <w:lang w:val="en-US" w:eastAsia="zh-CN"/>
          </w:rPr>
          <w:fldChar w:fldCharType="begin"/>
        </w:r>
        <w:r>
          <w:rPr>
            <w:rFonts w:ascii="宋体" w:hAnsi="宋体"/>
            <w:noProof/>
            <w:lang w:val="en-US" w:eastAsia="zh-CN"/>
          </w:rPr>
          <w:instrText xml:space="preserve"> PAGEREF _Toc142055964 \h </w:instrText>
        </w:r>
        <w:r w:rsidR="00CC6120">
          <w:rPr>
            <w:rFonts w:ascii="宋体" w:hAnsi="宋体"/>
            <w:noProof/>
            <w:lang w:val="en-US" w:eastAsia="zh-CN"/>
          </w:rPr>
        </w:r>
        <w:r>
          <w:rPr>
            <w:rFonts w:ascii="宋体" w:hAnsi="宋体"/>
            <w:noProof/>
            <w:lang w:val="en-US" w:eastAsia="zh-CN"/>
          </w:rPr>
          <w:fldChar w:fldCharType="separate"/>
        </w:r>
        <w:r w:rsidR="00CC6120">
          <w:rPr>
            <w:rFonts w:ascii="宋体" w:hAnsi="宋体"/>
            <w:noProof/>
            <w:lang w:val="en-US" w:eastAsia="zh-CN"/>
          </w:rPr>
          <w:t>7</w:t>
        </w:r>
        <w:r>
          <w:rPr>
            <w:rFonts w:ascii="宋体" w:hAnsi="宋体"/>
            <w:noProof/>
            <w:lang w:val="en-US" w:eastAsia="zh-CN"/>
          </w:rPr>
          <w:fldChar w:fldCharType="end"/>
        </w:r>
      </w:hyperlink>
    </w:p>
    <w:p w:rsidR="00000000" w:rsidRDefault="00000000">
      <w:pPr>
        <w:spacing w:line="360" w:lineRule="exact"/>
      </w:pPr>
      <w:r>
        <w:rPr>
          <w:rFonts w:ascii="宋体" w:hAnsi="宋体"/>
          <w:lang w:val="zh-CN"/>
        </w:rPr>
        <w:fldChar w:fldCharType="end"/>
      </w:r>
    </w:p>
    <w:p w:rsidR="00000000" w:rsidRDefault="00000000">
      <w:pPr>
        <w:pStyle w:val="aff"/>
        <w:spacing w:line="360" w:lineRule="auto"/>
      </w:pPr>
      <w:bookmarkStart w:id="7" w:name="_Toc142055948"/>
      <w:r>
        <w:rPr>
          <w:rFonts w:hint="eastAsia"/>
        </w:rPr>
        <w:lastRenderedPageBreak/>
        <w:t xml:space="preserve">前  </w:t>
      </w:r>
      <w:r>
        <w:t>言</w:t>
      </w:r>
      <w:bookmarkEnd w:id="4"/>
      <w:bookmarkEnd w:id="7"/>
    </w:p>
    <w:p w:rsidR="00000000" w:rsidRDefault="00000000">
      <w:pPr>
        <w:spacing w:line="360" w:lineRule="exact"/>
        <w:ind w:firstLineChars="200" w:firstLine="420"/>
        <w:rPr>
          <w:rFonts w:ascii="宋体" w:hAnsi="宋体" w:cs="宋体"/>
          <w:szCs w:val="21"/>
        </w:rPr>
      </w:pPr>
      <w:r>
        <w:rPr>
          <w:rFonts w:ascii="宋体" w:hAnsi="宋体" w:cs="宋体"/>
          <w:szCs w:val="21"/>
        </w:rPr>
        <w:t>本文件按照GB/T 1.1-2020《标准化工作导则 第1部分：标准化文件的结构和起草规则》的规定起草。</w:t>
      </w:r>
    </w:p>
    <w:p w:rsidR="00000000" w:rsidRDefault="00000000">
      <w:pPr>
        <w:spacing w:line="360" w:lineRule="exact"/>
        <w:ind w:firstLineChars="200" w:firstLine="420"/>
        <w:rPr>
          <w:rFonts w:ascii="宋体" w:hAnsi="宋体" w:cs="宋体"/>
          <w:szCs w:val="21"/>
        </w:rPr>
      </w:pPr>
      <w:r>
        <w:rPr>
          <w:rFonts w:ascii="宋体" w:hAnsi="宋体" w:cs="宋体"/>
          <w:szCs w:val="21"/>
        </w:rPr>
        <w:t>请注意本文件的某些内容可能涉及专利。本文件的发布机构不承担识别专利的责任。</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本文件由湖北省毒理学会提出。</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本文件由湖北省毒理学会归口。</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本文件起草单位：华中农业大学、湖北省疾病预防控制中心、湖北省兽药监察所</w:t>
      </w:r>
    </w:p>
    <w:p w:rsidR="00000000" w:rsidRDefault="00000000">
      <w:pPr>
        <w:spacing w:line="360" w:lineRule="exact"/>
        <w:ind w:firstLineChars="200" w:firstLine="420"/>
        <w:rPr>
          <w:rFonts w:ascii="宋体" w:hAnsi="宋体" w:cs="宋体"/>
          <w:szCs w:val="21"/>
        </w:rPr>
        <w:sectPr w:rsidR="00000000">
          <w:footerReference w:type="default" r:id="rId14"/>
          <w:pgSz w:w="11906" w:h="16838"/>
          <w:pgMar w:top="1418" w:right="1418" w:bottom="1418" w:left="1418" w:header="851" w:footer="851" w:gutter="0"/>
          <w:pgNumType w:fmt="upperRoman" w:start="1"/>
          <w:cols w:space="720"/>
          <w:docGrid w:type="lines" w:linePitch="312"/>
        </w:sectPr>
      </w:pPr>
      <w:r>
        <w:rPr>
          <w:rFonts w:ascii="宋体" w:hAnsi="宋体" w:cs="宋体" w:hint="eastAsia"/>
          <w:szCs w:val="21"/>
        </w:rPr>
        <w:t>本文件起草人：王旭、郝海红、徐小庆、樊柏林、曾勇、黎炎梅、黄玲利、潘源虎、程古月。</w:t>
      </w:r>
    </w:p>
    <w:p w:rsidR="00000000" w:rsidRDefault="00000000">
      <w:pPr>
        <w:spacing w:line="360" w:lineRule="exact"/>
        <w:jc w:val="center"/>
        <w:rPr>
          <w:rFonts w:ascii="Times New Roman" w:eastAsia="黑体" w:hAnsi="Times New Roman"/>
          <w:sz w:val="36"/>
          <w:szCs w:val="36"/>
        </w:rPr>
      </w:pPr>
    </w:p>
    <w:p w:rsidR="00000000" w:rsidRDefault="00000000">
      <w:pPr>
        <w:spacing w:line="360" w:lineRule="exact"/>
        <w:jc w:val="center"/>
        <w:rPr>
          <w:rFonts w:ascii="Times New Roman" w:eastAsia="黑体" w:hAnsi="Times New Roman"/>
          <w:sz w:val="36"/>
          <w:szCs w:val="36"/>
        </w:rPr>
      </w:pPr>
    </w:p>
    <w:p w:rsidR="00000000" w:rsidRDefault="00000000">
      <w:pPr>
        <w:spacing w:line="360" w:lineRule="exact"/>
        <w:jc w:val="center"/>
        <w:rPr>
          <w:rFonts w:ascii="Times New Roman" w:eastAsia="黑体" w:hAnsi="Times New Roman"/>
          <w:sz w:val="36"/>
          <w:szCs w:val="36"/>
        </w:rPr>
      </w:pPr>
      <w:r>
        <w:rPr>
          <w:rFonts w:ascii="Times New Roman" w:eastAsia="黑体" w:hAnsi="Times New Roman"/>
          <w:sz w:val="36"/>
          <w:szCs w:val="36"/>
        </w:rPr>
        <w:t>兽药食品安全风险评估指导</w:t>
      </w:r>
      <w:r>
        <w:rPr>
          <w:rFonts w:ascii="Times New Roman" w:eastAsia="黑体" w:hAnsi="Times New Roman" w:hint="eastAsia"/>
          <w:sz w:val="36"/>
          <w:szCs w:val="36"/>
        </w:rPr>
        <w:t>通则</w:t>
      </w:r>
    </w:p>
    <w:p w:rsidR="00000000" w:rsidRDefault="00000000">
      <w:pPr>
        <w:spacing w:line="360" w:lineRule="exact"/>
        <w:jc w:val="center"/>
        <w:rPr>
          <w:rFonts w:ascii="Times New Roman" w:eastAsia="黑体" w:hAnsi="Times New Roman" w:hint="eastAsia"/>
          <w:sz w:val="36"/>
          <w:szCs w:val="36"/>
        </w:rPr>
      </w:pPr>
    </w:p>
    <w:p w:rsidR="00000000" w:rsidRDefault="00000000">
      <w:pPr>
        <w:pStyle w:val="1"/>
        <w:spacing w:beforeLines="50" w:before="156" w:afterLines="50" w:after="156" w:line="360" w:lineRule="exact"/>
        <w:rPr>
          <w:rFonts w:ascii="黑体" w:eastAsia="黑体" w:hAnsi="黑体" w:cs="黑体"/>
          <w:b w:val="0"/>
          <w:sz w:val="21"/>
          <w:szCs w:val="21"/>
        </w:rPr>
      </w:pPr>
      <w:bookmarkStart w:id="8" w:name="_Toc142055949"/>
      <w:bookmarkStart w:id="9" w:name="_Toc718"/>
      <w:r>
        <w:rPr>
          <w:rFonts w:ascii="黑体" w:eastAsia="黑体" w:hAnsi="黑体" w:cs="黑体"/>
          <w:b w:val="0"/>
          <w:sz w:val="21"/>
          <w:szCs w:val="21"/>
        </w:rPr>
        <w:t>1 范围</w:t>
      </w:r>
      <w:bookmarkEnd w:id="8"/>
      <w:bookmarkEnd w:id="9"/>
    </w:p>
    <w:p w:rsidR="00000000" w:rsidRDefault="00000000">
      <w:pPr>
        <w:spacing w:line="360" w:lineRule="exact"/>
        <w:ind w:firstLineChars="200" w:firstLine="420"/>
        <w:rPr>
          <w:rFonts w:ascii="宋体" w:hAnsi="宋体" w:cs="宋体"/>
          <w:szCs w:val="21"/>
        </w:rPr>
      </w:pPr>
      <w:r>
        <w:rPr>
          <w:rFonts w:ascii="宋体" w:hAnsi="宋体" w:cs="宋体"/>
          <w:szCs w:val="21"/>
        </w:rPr>
        <w:t>本指导原则主要阐述兽药食品安全风险评估的基本思路和方法，为兽药食品安全风险评估研究提供基本技术指导。</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本指导原则用于兽用化学药品（以下简称兽药）进行食品安全风险评估</w:t>
      </w:r>
      <w:r>
        <w:rPr>
          <w:rFonts w:ascii="宋体" w:hAnsi="宋体" w:cs="宋体"/>
          <w:szCs w:val="21"/>
        </w:rPr>
        <w:t>。</w:t>
      </w:r>
    </w:p>
    <w:p w:rsidR="00000000" w:rsidRDefault="00000000">
      <w:pPr>
        <w:pStyle w:val="1"/>
        <w:spacing w:beforeLines="50" w:before="156" w:afterLines="50" w:after="156" w:line="360" w:lineRule="exact"/>
        <w:rPr>
          <w:rFonts w:ascii="黑体" w:eastAsia="黑体" w:hAnsi="黑体" w:cs="黑体"/>
          <w:b w:val="0"/>
          <w:sz w:val="21"/>
          <w:szCs w:val="21"/>
        </w:rPr>
      </w:pPr>
      <w:bookmarkStart w:id="10" w:name="_Toc142055950"/>
      <w:r>
        <w:rPr>
          <w:rFonts w:ascii="黑体" w:eastAsia="黑体" w:hAnsi="黑体" w:cs="黑体" w:hint="eastAsia"/>
          <w:b w:val="0"/>
          <w:sz w:val="21"/>
          <w:szCs w:val="21"/>
        </w:rPr>
        <w:t xml:space="preserve">2 </w:t>
      </w:r>
      <w:r>
        <w:rPr>
          <w:rFonts w:ascii="黑体" w:eastAsia="黑体" w:hAnsi="黑体" w:cs="黑体"/>
          <w:b w:val="0"/>
          <w:sz w:val="21"/>
          <w:szCs w:val="21"/>
        </w:rPr>
        <w:t>规范性引用文件</w:t>
      </w:r>
      <w:bookmarkEnd w:id="10"/>
    </w:p>
    <w:p w:rsidR="00000000" w:rsidRDefault="00000000">
      <w:pPr>
        <w:spacing w:line="360" w:lineRule="exact"/>
        <w:ind w:firstLineChars="200" w:firstLine="420"/>
        <w:rPr>
          <w:rFonts w:ascii="宋体" w:hAnsi="宋体" w:cs="宋体"/>
          <w:szCs w:val="21"/>
        </w:rPr>
      </w:pPr>
      <w:r>
        <w:rPr>
          <w:rFonts w:ascii="宋体" w:hAnsi="宋体" w:cs="宋体"/>
          <w:szCs w:val="21"/>
        </w:rPr>
        <w:t>下列文件中的内容通过文中的规范性引用而构成本文件必不可少的条款，其中，注明日期的引用文件，仅该日期对应的版本适用于本文件，不注明日期的引用文件，其最新版本(包括所有的修改单)适用于本文件。</w:t>
      </w:r>
    </w:p>
    <w:p w:rsidR="00000000" w:rsidRDefault="00000000">
      <w:pPr>
        <w:spacing w:line="360" w:lineRule="exact"/>
        <w:ind w:firstLineChars="200" w:firstLine="420"/>
        <w:rPr>
          <w:rFonts w:ascii="宋体" w:hAnsi="宋体" w:cs="宋体"/>
          <w:szCs w:val="21"/>
        </w:rPr>
      </w:pPr>
      <w:r>
        <w:rPr>
          <w:rFonts w:ascii="宋体" w:hAnsi="宋体" w:cs="宋体"/>
          <w:szCs w:val="21"/>
        </w:rPr>
        <w:t>FAO.</w:t>
      </w:r>
      <w:r>
        <w:rPr>
          <w:rFonts w:ascii="宋体" w:hAnsi="宋体" w:cs="宋体" w:hint="eastAsia"/>
          <w:szCs w:val="21"/>
        </w:rPr>
        <w:t xml:space="preserve"> </w:t>
      </w:r>
      <w:r>
        <w:rPr>
          <w:rFonts w:ascii="宋体" w:hAnsi="宋体" w:cs="宋体"/>
          <w:szCs w:val="21"/>
        </w:rPr>
        <w:t>Principles and methods for the risk assessment of chemicals in food</w:t>
      </w:r>
    </w:p>
    <w:p w:rsidR="00000000" w:rsidRDefault="00000000">
      <w:pPr>
        <w:spacing w:line="360" w:lineRule="exact"/>
        <w:ind w:firstLineChars="200" w:firstLine="420"/>
        <w:rPr>
          <w:rFonts w:ascii="宋体" w:hAnsi="宋体" w:cs="宋体"/>
          <w:szCs w:val="21"/>
        </w:rPr>
      </w:pPr>
      <w:r>
        <w:rPr>
          <w:rFonts w:ascii="宋体" w:hAnsi="宋体" w:cs="宋体"/>
          <w:szCs w:val="21"/>
        </w:rPr>
        <w:t>W</w:t>
      </w:r>
      <w:r>
        <w:rPr>
          <w:rFonts w:ascii="宋体" w:hAnsi="宋体" w:cs="宋体" w:hint="eastAsia"/>
          <w:szCs w:val="21"/>
        </w:rPr>
        <w:t xml:space="preserve">HO </w:t>
      </w:r>
      <w:r>
        <w:rPr>
          <w:rFonts w:ascii="宋体" w:hAnsi="宋体" w:cs="宋体"/>
          <w:szCs w:val="21"/>
        </w:rPr>
        <w:t>Evaluation of certain veterinary drug residues in food: Fifty-fourth report of the joint FAO/WHO expert committee on food additives</w:t>
      </w:r>
    </w:p>
    <w:p w:rsidR="00000000" w:rsidRDefault="00000000">
      <w:pPr>
        <w:pStyle w:val="1"/>
        <w:spacing w:beforeLines="50" w:before="156" w:afterLines="50" w:after="156" w:line="360" w:lineRule="exact"/>
        <w:rPr>
          <w:rFonts w:ascii="黑体" w:eastAsia="黑体" w:hAnsi="黑体" w:cs="黑体"/>
          <w:b w:val="0"/>
          <w:sz w:val="21"/>
          <w:szCs w:val="21"/>
        </w:rPr>
      </w:pPr>
      <w:bookmarkStart w:id="11" w:name="_Toc13268"/>
      <w:bookmarkStart w:id="12" w:name="_Toc142055951"/>
      <w:r>
        <w:rPr>
          <w:rFonts w:ascii="黑体" w:eastAsia="黑体" w:hAnsi="黑体" w:cs="黑体" w:hint="eastAsia"/>
          <w:b w:val="0"/>
          <w:sz w:val="21"/>
          <w:szCs w:val="21"/>
        </w:rPr>
        <w:t xml:space="preserve">3 </w:t>
      </w:r>
      <w:r>
        <w:rPr>
          <w:rFonts w:ascii="黑体" w:eastAsia="黑体" w:hAnsi="黑体" w:cs="黑体"/>
          <w:b w:val="0"/>
          <w:sz w:val="21"/>
          <w:szCs w:val="21"/>
        </w:rPr>
        <w:t>术语和定义</w:t>
      </w:r>
      <w:bookmarkEnd w:id="11"/>
      <w:bookmarkEnd w:id="12"/>
    </w:p>
    <w:p w:rsidR="00000000" w:rsidRDefault="00000000">
      <w:pPr>
        <w:spacing w:line="360" w:lineRule="exact"/>
        <w:ind w:firstLineChars="200" w:firstLine="420"/>
        <w:rPr>
          <w:rFonts w:ascii="宋体" w:hAnsi="宋体" w:cs="宋体"/>
          <w:szCs w:val="21"/>
        </w:rPr>
      </w:pPr>
      <w:r>
        <w:rPr>
          <w:rFonts w:ascii="宋体" w:hAnsi="宋体" w:cs="宋体"/>
          <w:szCs w:val="21"/>
        </w:rPr>
        <w:t>下列术语和定义适用于本文件。</w:t>
      </w:r>
    </w:p>
    <w:p w:rsidR="00CC6120" w:rsidRDefault="00000000">
      <w:pPr>
        <w:pStyle w:val="aff0"/>
        <w:spacing w:beforeLines="50" w:before="156" w:afterLines="50" w:after="156" w:line="360" w:lineRule="exact"/>
        <w:outlineLvl w:val="9"/>
        <w:rPr>
          <w:rFonts w:hAnsi="黑体"/>
        </w:rPr>
      </w:pPr>
      <w:r>
        <w:rPr>
          <w:rFonts w:hAnsi="黑体" w:hint="eastAsia"/>
        </w:rPr>
        <w:t xml:space="preserve">3.1 </w:t>
      </w:r>
    </w:p>
    <w:p w:rsidR="00000000" w:rsidRDefault="00000000" w:rsidP="00CC6120">
      <w:pPr>
        <w:pStyle w:val="aff0"/>
        <w:spacing w:beforeLines="50" w:before="156" w:afterLines="50" w:after="156" w:line="360" w:lineRule="exact"/>
        <w:ind w:firstLineChars="200" w:firstLine="420"/>
        <w:outlineLvl w:val="9"/>
        <w:rPr>
          <w:rFonts w:hAnsi="黑体" w:hint="eastAsia"/>
        </w:rPr>
      </w:pPr>
      <w:r>
        <w:rPr>
          <w:rFonts w:hAnsi="黑体" w:hint="eastAsia"/>
        </w:rPr>
        <w:t>兽用化学药品</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指用于预防和治疗动物疾病的化学物质及其制剂。</w:t>
      </w:r>
    </w:p>
    <w:p w:rsidR="00CC6120" w:rsidRDefault="00000000">
      <w:pPr>
        <w:pStyle w:val="aff0"/>
        <w:spacing w:beforeLines="50" w:before="156" w:afterLines="50" w:after="156" w:line="360" w:lineRule="exact"/>
        <w:outlineLvl w:val="9"/>
        <w:rPr>
          <w:rFonts w:hAnsi="黑体"/>
        </w:rPr>
      </w:pPr>
      <w:r>
        <w:rPr>
          <w:rFonts w:hAnsi="黑体" w:hint="eastAsia"/>
        </w:rPr>
        <w:t xml:space="preserve">3.2 </w:t>
      </w:r>
    </w:p>
    <w:p w:rsidR="00000000" w:rsidRDefault="00000000" w:rsidP="00CC6120">
      <w:pPr>
        <w:pStyle w:val="aff0"/>
        <w:spacing w:beforeLines="50" w:before="156" w:afterLines="50" w:after="156" w:line="360" w:lineRule="exact"/>
        <w:ind w:firstLineChars="200" w:firstLine="420"/>
        <w:outlineLvl w:val="9"/>
        <w:rPr>
          <w:rFonts w:hAnsi="黑体" w:hint="eastAsia"/>
          <w:szCs w:val="21"/>
        </w:rPr>
      </w:pPr>
      <w:r>
        <w:rPr>
          <w:rFonts w:hAnsi="黑体" w:hint="eastAsia"/>
          <w:szCs w:val="21"/>
        </w:rPr>
        <w:t>剂量-反应关系 Dose-response relationship</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指一个生物、系统或(亚)人群摄入或吸收某种物质的量与其发生的针对该物质的毒理学改变之间的关系。</w:t>
      </w:r>
    </w:p>
    <w:p w:rsidR="00CC6120" w:rsidRDefault="00000000">
      <w:pPr>
        <w:pStyle w:val="aff0"/>
        <w:spacing w:beforeLines="50" w:before="156" w:afterLines="50" w:after="156" w:line="360" w:lineRule="exact"/>
        <w:outlineLvl w:val="9"/>
        <w:rPr>
          <w:rFonts w:hAnsi="黑体"/>
        </w:rPr>
      </w:pPr>
      <w:r>
        <w:rPr>
          <w:rFonts w:hAnsi="黑体" w:hint="eastAsia"/>
        </w:rPr>
        <w:t xml:space="preserve">3.3 </w:t>
      </w:r>
    </w:p>
    <w:p w:rsidR="00000000" w:rsidRDefault="00000000" w:rsidP="00CC6120">
      <w:pPr>
        <w:pStyle w:val="aff0"/>
        <w:spacing w:beforeLines="50" w:before="156" w:afterLines="50" w:after="156" w:line="360" w:lineRule="exact"/>
        <w:ind w:firstLineChars="200" w:firstLine="420"/>
        <w:outlineLvl w:val="9"/>
        <w:rPr>
          <w:rFonts w:hAnsi="黑体" w:hint="eastAsia"/>
          <w:szCs w:val="21"/>
        </w:rPr>
      </w:pPr>
      <w:r>
        <w:rPr>
          <w:rFonts w:hAnsi="黑体"/>
          <w:szCs w:val="21"/>
        </w:rPr>
        <w:t>最大无作用剂量</w:t>
      </w:r>
      <w:r>
        <w:rPr>
          <w:rFonts w:hAnsi="黑体" w:hint="eastAsia"/>
          <w:szCs w:val="21"/>
        </w:rPr>
        <w:t xml:space="preserve"> </w:t>
      </w:r>
      <w:r>
        <w:rPr>
          <w:rFonts w:hAnsi="黑体"/>
          <w:szCs w:val="21"/>
        </w:rPr>
        <w:t>No Observed Effect Levels</w:t>
      </w:r>
      <w:r>
        <w:rPr>
          <w:rFonts w:hAnsi="黑体" w:hint="eastAsia"/>
          <w:szCs w:val="21"/>
        </w:rPr>
        <w:t xml:space="preserve">, </w:t>
      </w:r>
      <w:r>
        <w:rPr>
          <w:rFonts w:hAnsi="黑体"/>
          <w:szCs w:val="21"/>
        </w:rPr>
        <w:t>NOAEL</w:t>
      </w:r>
    </w:p>
    <w:p w:rsidR="00000000" w:rsidRDefault="00000000">
      <w:pPr>
        <w:spacing w:line="360" w:lineRule="exact"/>
        <w:ind w:firstLineChars="200" w:firstLine="420"/>
        <w:rPr>
          <w:rFonts w:ascii="宋体" w:hAnsi="宋体" w:cs="宋体"/>
          <w:szCs w:val="21"/>
        </w:rPr>
      </w:pPr>
      <w:r>
        <w:rPr>
          <w:rFonts w:ascii="宋体" w:hAnsi="宋体" w:cs="宋体"/>
          <w:szCs w:val="21"/>
        </w:rPr>
        <w:t>在一定时间内，一种外源化学物按一定方式或途径与机体接触，用最灵敏的实验方法和观察指标，未能观察到任何对机体的损害作用的最高剂量</w:t>
      </w:r>
      <w:r>
        <w:rPr>
          <w:rFonts w:ascii="宋体" w:hAnsi="宋体" w:cs="宋体" w:hint="eastAsia"/>
          <w:szCs w:val="21"/>
        </w:rPr>
        <w:t>。</w:t>
      </w:r>
    </w:p>
    <w:p w:rsidR="00CC6120" w:rsidRDefault="00000000">
      <w:pPr>
        <w:pStyle w:val="aff0"/>
        <w:spacing w:beforeLines="50" w:before="156" w:afterLines="50" w:after="156" w:line="360" w:lineRule="exact"/>
        <w:outlineLvl w:val="9"/>
        <w:rPr>
          <w:rFonts w:hAnsi="黑体"/>
        </w:rPr>
      </w:pPr>
      <w:r>
        <w:rPr>
          <w:rFonts w:hAnsi="黑体" w:hint="eastAsia"/>
        </w:rPr>
        <w:t>3</w:t>
      </w:r>
      <w:r>
        <w:rPr>
          <w:rFonts w:hAnsi="黑体"/>
        </w:rPr>
        <w:t>.</w:t>
      </w:r>
      <w:r>
        <w:rPr>
          <w:rFonts w:hAnsi="黑体" w:hint="eastAsia"/>
        </w:rPr>
        <w:t xml:space="preserve">4 </w:t>
      </w:r>
    </w:p>
    <w:p w:rsidR="00000000" w:rsidRDefault="00000000" w:rsidP="00CC6120">
      <w:pPr>
        <w:pStyle w:val="aff0"/>
        <w:spacing w:beforeLines="50" w:before="156" w:afterLines="50" w:after="156" w:line="360" w:lineRule="exact"/>
        <w:ind w:firstLineChars="200" w:firstLine="420"/>
        <w:outlineLvl w:val="9"/>
        <w:rPr>
          <w:rFonts w:hAnsi="黑体" w:hint="eastAsia"/>
          <w:szCs w:val="21"/>
        </w:rPr>
      </w:pPr>
      <w:r>
        <w:rPr>
          <w:rFonts w:hAnsi="黑体"/>
          <w:szCs w:val="21"/>
        </w:rPr>
        <w:t>每日允许摄入量</w:t>
      </w:r>
      <w:r>
        <w:rPr>
          <w:rFonts w:hAnsi="黑体" w:hint="eastAsia"/>
          <w:szCs w:val="21"/>
        </w:rPr>
        <w:t xml:space="preserve"> </w:t>
      </w:r>
      <w:r>
        <w:rPr>
          <w:rFonts w:hAnsi="黑体"/>
          <w:szCs w:val="21"/>
        </w:rPr>
        <w:t>Acceptable Daily Intake</w:t>
      </w:r>
      <w:r>
        <w:rPr>
          <w:rFonts w:hAnsi="黑体" w:hint="eastAsia"/>
          <w:szCs w:val="21"/>
        </w:rPr>
        <w:t xml:space="preserve">, </w:t>
      </w:r>
      <w:r>
        <w:rPr>
          <w:rFonts w:hAnsi="黑体"/>
          <w:szCs w:val="21"/>
        </w:rPr>
        <w:t>ADI</w:t>
      </w:r>
    </w:p>
    <w:p w:rsidR="00000000" w:rsidRDefault="00000000">
      <w:pPr>
        <w:spacing w:line="360" w:lineRule="exact"/>
        <w:ind w:firstLineChars="200" w:firstLine="420"/>
        <w:rPr>
          <w:rFonts w:ascii="宋体" w:hAnsi="宋体" w:cs="宋体"/>
          <w:szCs w:val="21"/>
        </w:rPr>
      </w:pPr>
      <w:r>
        <w:rPr>
          <w:rFonts w:ascii="宋体" w:hAnsi="宋体" w:cs="宋体"/>
          <w:szCs w:val="21"/>
        </w:rPr>
        <w:t>人或动物终生每日摄入某种化学物质</w:t>
      </w:r>
      <w:r>
        <w:rPr>
          <w:rFonts w:ascii="宋体" w:hAnsi="宋体" w:cs="宋体" w:hint="eastAsia"/>
          <w:szCs w:val="21"/>
        </w:rPr>
        <w:t>(</w:t>
      </w:r>
      <w:r>
        <w:rPr>
          <w:rFonts w:ascii="宋体" w:hAnsi="宋体" w:cs="宋体"/>
          <w:szCs w:val="21"/>
        </w:rPr>
        <w:t>食品添加剂、农药等</w:t>
      </w:r>
      <w:r>
        <w:rPr>
          <w:rFonts w:ascii="宋体" w:hAnsi="宋体" w:cs="宋体" w:hint="eastAsia"/>
          <w:szCs w:val="21"/>
        </w:rPr>
        <w:t>)</w:t>
      </w:r>
      <w:r>
        <w:rPr>
          <w:rFonts w:ascii="宋体" w:hAnsi="宋体" w:cs="宋体"/>
          <w:szCs w:val="21"/>
        </w:rPr>
        <w:t>，对健康无任何已知不良效应的剂</w:t>
      </w:r>
      <w:r>
        <w:rPr>
          <w:rFonts w:ascii="宋体" w:hAnsi="宋体" w:cs="宋体"/>
          <w:szCs w:val="21"/>
        </w:rPr>
        <w:lastRenderedPageBreak/>
        <w:t>量，以每千克体重摄入该化学物质的毫克数来表示，简写为毫克/千克</w:t>
      </w:r>
      <w:r>
        <w:rPr>
          <w:rFonts w:ascii="宋体" w:hAnsi="宋体" w:cs="宋体" w:hint="eastAsia"/>
          <w:szCs w:val="21"/>
        </w:rPr>
        <w:t>(</w:t>
      </w:r>
      <w:r>
        <w:rPr>
          <w:rFonts w:ascii="宋体" w:hAnsi="宋体" w:cs="宋体"/>
          <w:szCs w:val="21"/>
        </w:rPr>
        <w:t>体重</w:t>
      </w:r>
      <w:r>
        <w:rPr>
          <w:rFonts w:ascii="宋体" w:hAnsi="宋体" w:cs="宋体" w:hint="eastAsia"/>
          <w:szCs w:val="21"/>
        </w:rPr>
        <w:t>)</w:t>
      </w:r>
      <w:r>
        <w:rPr>
          <w:rFonts w:ascii="宋体" w:hAnsi="宋体" w:cs="宋体"/>
          <w:szCs w:val="21"/>
        </w:rPr>
        <w:t>。</w:t>
      </w:r>
    </w:p>
    <w:p w:rsidR="00CC6120" w:rsidRDefault="00000000">
      <w:pPr>
        <w:pStyle w:val="aff0"/>
        <w:spacing w:beforeLines="50" w:before="156" w:afterLines="50" w:after="156" w:line="360" w:lineRule="exact"/>
        <w:outlineLvl w:val="9"/>
        <w:rPr>
          <w:rFonts w:hAnsi="黑体"/>
        </w:rPr>
      </w:pPr>
      <w:r>
        <w:rPr>
          <w:rFonts w:hAnsi="黑体" w:hint="eastAsia"/>
        </w:rPr>
        <w:t>3</w:t>
      </w:r>
      <w:r>
        <w:rPr>
          <w:rFonts w:hAnsi="黑体"/>
        </w:rPr>
        <w:t>.</w:t>
      </w:r>
      <w:r>
        <w:rPr>
          <w:rFonts w:hAnsi="黑体" w:hint="eastAsia"/>
        </w:rPr>
        <w:t xml:space="preserve">5 </w:t>
      </w:r>
    </w:p>
    <w:p w:rsidR="00000000" w:rsidRDefault="00000000" w:rsidP="00CC6120">
      <w:pPr>
        <w:pStyle w:val="aff0"/>
        <w:spacing w:beforeLines="50" w:before="156" w:afterLines="50" w:after="156" w:line="360" w:lineRule="exact"/>
        <w:ind w:firstLineChars="200" w:firstLine="420"/>
        <w:outlineLvl w:val="9"/>
        <w:rPr>
          <w:rFonts w:hAnsi="黑体" w:hint="eastAsia"/>
          <w:szCs w:val="21"/>
        </w:rPr>
      </w:pPr>
      <w:r>
        <w:rPr>
          <w:rFonts w:hAnsi="黑体"/>
          <w:szCs w:val="21"/>
        </w:rPr>
        <w:t>最大残留限量</w:t>
      </w:r>
      <w:r>
        <w:rPr>
          <w:rFonts w:hAnsi="黑体" w:hint="eastAsia"/>
          <w:szCs w:val="21"/>
        </w:rPr>
        <w:t xml:space="preserve"> </w:t>
      </w:r>
      <w:r>
        <w:rPr>
          <w:rFonts w:hAnsi="黑体"/>
          <w:szCs w:val="21"/>
        </w:rPr>
        <w:t>Maximum Residue Limits</w:t>
      </w:r>
      <w:r>
        <w:rPr>
          <w:rFonts w:hAnsi="黑体" w:hint="eastAsia"/>
          <w:szCs w:val="21"/>
        </w:rPr>
        <w:t xml:space="preserve">, </w:t>
      </w:r>
      <w:r>
        <w:rPr>
          <w:rFonts w:hAnsi="黑体"/>
          <w:szCs w:val="21"/>
        </w:rPr>
        <w:t>MRL</w:t>
      </w:r>
    </w:p>
    <w:p w:rsidR="00000000" w:rsidRDefault="00000000">
      <w:pPr>
        <w:spacing w:line="360" w:lineRule="exact"/>
        <w:ind w:firstLineChars="200" w:firstLine="420"/>
        <w:rPr>
          <w:rFonts w:ascii="宋体" w:hAnsi="宋体" w:cs="宋体"/>
          <w:szCs w:val="21"/>
        </w:rPr>
      </w:pPr>
      <w:r>
        <w:rPr>
          <w:rFonts w:ascii="宋体" w:hAnsi="宋体" w:cs="宋体"/>
          <w:szCs w:val="21"/>
        </w:rPr>
        <w:t>对食品动物用药后产生的允许存在于食品表面或内部的该兽药残留的最高量。</w:t>
      </w:r>
    </w:p>
    <w:p w:rsidR="00CC6120" w:rsidRDefault="00000000">
      <w:pPr>
        <w:pStyle w:val="aff0"/>
        <w:spacing w:beforeLines="50" w:before="156" w:afterLines="50" w:after="156" w:line="360" w:lineRule="exact"/>
        <w:outlineLvl w:val="9"/>
        <w:rPr>
          <w:rFonts w:hAnsi="黑体"/>
        </w:rPr>
      </w:pPr>
      <w:r>
        <w:rPr>
          <w:rFonts w:hAnsi="黑体"/>
        </w:rPr>
        <w:t>3.</w:t>
      </w:r>
      <w:r>
        <w:rPr>
          <w:rFonts w:hAnsi="黑体" w:hint="eastAsia"/>
        </w:rPr>
        <w:t>6</w:t>
      </w:r>
      <w:r>
        <w:rPr>
          <w:rFonts w:hAnsi="黑体"/>
        </w:rPr>
        <w:t xml:space="preserve"> </w:t>
      </w:r>
    </w:p>
    <w:p w:rsidR="00000000" w:rsidRDefault="00000000" w:rsidP="00CC6120">
      <w:pPr>
        <w:pStyle w:val="aff0"/>
        <w:spacing w:beforeLines="50" w:before="156" w:afterLines="50" w:after="156" w:line="360" w:lineRule="exact"/>
        <w:ind w:firstLineChars="200" w:firstLine="420"/>
        <w:outlineLvl w:val="9"/>
        <w:rPr>
          <w:rFonts w:hAnsi="黑体"/>
          <w:szCs w:val="21"/>
        </w:rPr>
      </w:pPr>
      <w:r>
        <w:rPr>
          <w:rFonts w:hAnsi="黑体"/>
          <w:szCs w:val="21"/>
        </w:rPr>
        <w:t>健康指导值 Health-based guidance values, HBGV</w:t>
      </w:r>
    </w:p>
    <w:p w:rsidR="00000000" w:rsidRDefault="00000000">
      <w:pPr>
        <w:spacing w:line="360" w:lineRule="exact"/>
        <w:ind w:firstLineChars="200" w:firstLine="420"/>
        <w:rPr>
          <w:rFonts w:ascii="宋体" w:hAnsi="宋体" w:cs="宋体"/>
          <w:szCs w:val="21"/>
        </w:rPr>
      </w:pPr>
      <w:r>
        <w:rPr>
          <w:rFonts w:ascii="宋体" w:hAnsi="宋体" w:cs="宋体"/>
          <w:szCs w:val="21"/>
        </w:rPr>
        <w:t>指人类在一定时期内(终生或24小时)摄入某种(或某些)物质，而不产生可检测到健康危害的安全限值，通常以每千克体重的摄入量表示。</w:t>
      </w:r>
    </w:p>
    <w:p w:rsidR="00CC6120" w:rsidRDefault="00000000">
      <w:pPr>
        <w:pStyle w:val="aff0"/>
        <w:spacing w:beforeLines="50" w:before="156" w:afterLines="50" w:after="156" w:line="360" w:lineRule="exact"/>
        <w:outlineLvl w:val="9"/>
        <w:rPr>
          <w:rFonts w:hAnsi="黑体"/>
        </w:rPr>
      </w:pPr>
      <w:r>
        <w:rPr>
          <w:rFonts w:hAnsi="黑体"/>
        </w:rPr>
        <w:t>3.</w:t>
      </w:r>
      <w:r>
        <w:rPr>
          <w:rFonts w:hAnsi="黑体" w:hint="eastAsia"/>
        </w:rPr>
        <w:t>7</w:t>
      </w:r>
      <w:r>
        <w:rPr>
          <w:rFonts w:hAnsi="黑体"/>
        </w:rPr>
        <w:t xml:space="preserve"> </w:t>
      </w:r>
    </w:p>
    <w:p w:rsidR="00000000" w:rsidRDefault="00000000" w:rsidP="00CC6120">
      <w:pPr>
        <w:pStyle w:val="aff0"/>
        <w:spacing w:beforeLines="50" w:before="156" w:afterLines="50" w:after="156" w:line="360" w:lineRule="exact"/>
        <w:ind w:firstLineChars="200" w:firstLine="420"/>
        <w:outlineLvl w:val="9"/>
        <w:rPr>
          <w:rFonts w:hAnsi="黑体"/>
          <w:szCs w:val="21"/>
        </w:rPr>
      </w:pPr>
      <w:r>
        <w:rPr>
          <w:rFonts w:hAnsi="黑体"/>
          <w:szCs w:val="21"/>
        </w:rPr>
        <w:t>分离点 Point of departure, POD</w:t>
      </w:r>
    </w:p>
    <w:p w:rsidR="00000000" w:rsidRDefault="00000000">
      <w:pPr>
        <w:spacing w:line="360" w:lineRule="exact"/>
        <w:ind w:firstLineChars="200" w:firstLine="420"/>
        <w:rPr>
          <w:rFonts w:ascii="宋体" w:hAnsi="宋体" w:cs="宋体"/>
          <w:szCs w:val="21"/>
        </w:rPr>
      </w:pPr>
      <w:r>
        <w:rPr>
          <w:rFonts w:ascii="宋体" w:hAnsi="宋体" w:cs="宋体" w:hint="eastAsia"/>
          <w:szCs w:val="21"/>
        </w:rPr>
        <w:t>指从人群资料或实验动物的观察指标的剂量-反应关系得到的剂量值，即剂量-反应曲线上的效应起始点或参考点，用于外推健康指导值，如未观察到有害作用剂量和基准剂量等。</w:t>
      </w:r>
    </w:p>
    <w:p w:rsidR="00CC6120" w:rsidRDefault="00000000">
      <w:pPr>
        <w:pStyle w:val="aff0"/>
        <w:spacing w:beforeLines="50" w:before="156" w:afterLines="50" w:after="156" w:line="360" w:lineRule="exact"/>
        <w:outlineLvl w:val="9"/>
        <w:rPr>
          <w:rFonts w:hAnsi="黑体"/>
        </w:rPr>
      </w:pPr>
      <w:r>
        <w:rPr>
          <w:rFonts w:hAnsi="黑体"/>
        </w:rPr>
        <w:t>3.</w:t>
      </w:r>
      <w:r>
        <w:rPr>
          <w:rFonts w:hAnsi="黑体" w:hint="eastAsia"/>
        </w:rPr>
        <w:t>8</w:t>
      </w:r>
      <w:r>
        <w:rPr>
          <w:rFonts w:hAnsi="黑体"/>
        </w:rPr>
        <w:t xml:space="preserve"> </w:t>
      </w:r>
    </w:p>
    <w:p w:rsidR="00000000" w:rsidRDefault="00000000" w:rsidP="00CC6120">
      <w:pPr>
        <w:pStyle w:val="aff0"/>
        <w:spacing w:beforeLines="50" w:before="156" w:afterLines="50" w:after="156" w:line="360" w:lineRule="exact"/>
        <w:ind w:firstLineChars="200" w:firstLine="420"/>
        <w:outlineLvl w:val="9"/>
        <w:rPr>
          <w:rFonts w:hAnsi="黑体"/>
          <w:szCs w:val="21"/>
        </w:rPr>
      </w:pPr>
      <w:r>
        <w:rPr>
          <w:rFonts w:hAnsi="黑体"/>
          <w:szCs w:val="21"/>
        </w:rPr>
        <w:t>最小观察到有害作用剂量 Lowest-observed-adverse-effect level, LOAEL</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指在规定的条件下，化学物引起人群或实验动物组织形态功能、生长发育等产生有害效应的最小作用剂量。</w:t>
      </w:r>
    </w:p>
    <w:p w:rsidR="00CC6120" w:rsidRDefault="00000000">
      <w:pPr>
        <w:pStyle w:val="aff0"/>
        <w:spacing w:beforeLines="50" w:before="156" w:afterLines="50" w:after="156" w:line="360" w:lineRule="exact"/>
        <w:outlineLvl w:val="9"/>
        <w:rPr>
          <w:rFonts w:hAnsi="黑体"/>
        </w:rPr>
      </w:pPr>
      <w:r>
        <w:rPr>
          <w:rFonts w:hAnsi="黑体"/>
        </w:rPr>
        <w:t>3.</w:t>
      </w:r>
      <w:r>
        <w:rPr>
          <w:rFonts w:hAnsi="黑体" w:hint="eastAsia"/>
        </w:rPr>
        <w:t>9</w:t>
      </w:r>
      <w:r>
        <w:rPr>
          <w:rFonts w:hAnsi="黑体"/>
        </w:rPr>
        <w:t xml:space="preserve"> </w:t>
      </w:r>
    </w:p>
    <w:p w:rsidR="00000000" w:rsidRDefault="00000000" w:rsidP="00CC6120">
      <w:pPr>
        <w:pStyle w:val="aff0"/>
        <w:spacing w:beforeLines="50" w:before="156" w:afterLines="50" w:after="156" w:line="360" w:lineRule="exact"/>
        <w:ind w:firstLineChars="200" w:firstLine="420"/>
        <w:outlineLvl w:val="9"/>
        <w:rPr>
          <w:rFonts w:hAnsi="黑体"/>
          <w:szCs w:val="21"/>
        </w:rPr>
      </w:pPr>
      <w:r>
        <w:rPr>
          <w:rFonts w:hAnsi="黑体"/>
          <w:szCs w:val="21"/>
        </w:rPr>
        <w:t>基准剂量 Benchmark dose, BMD</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指依据剂量-反应关系研究的结果，利用统计学模型求得的化学物引起某种特定反应的改变或较低健康风险发生率(通常计量资料为5%，计数资料为10%)的剂量。其95%可信限区间下限值为基准剂量下限(Benchmark dose lower, BMDL)。</w:t>
      </w:r>
    </w:p>
    <w:p w:rsidR="00CC6120" w:rsidRDefault="00000000">
      <w:pPr>
        <w:pStyle w:val="aff0"/>
        <w:spacing w:beforeLines="50" w:before="156" w:afterLines="50" w:after="156" w:line="360" w:lineRule="exact"/>
        <w:outlineLvl w:val="9"/>
        <w:rPr>
          <w:rFonts w:hAnsi="黑体"/>
        </w:rPr>
      </w:pPr>
      <w:r>
        <w:rPr>
          <w:rFonts w:hAnsi="黑体"/>
        </w:rPr>
        <w:t>3.</w:t>
      </w:r>
      <w:r>
        <w:rPr>
          <w:rFonts w:hAnsi="黑体" w:hint="eastAsia"/>
        </w:rPr>
        <w:t>10</w:t>
      </w:r>
      <w:r>
        <w:rPr>
          <w:rFonts w:hAnsi="黑体"/>
        </w:rPr>
        <w:t xml:space="preserve"> </w:t>
      </w:r>
    </w:p>
    <w:p w:rsidR="00000000" w:rsidRDefault="00000000" w:rsidP="00CC6120">
      <w:pPr>
        <w:pStyle w:val="aff0"/>
        <w:spacing w:beforeLines="50" w:before="156" w:afterLines="50" w:after="156" w:line="360" w:lineRule="exact"/>
        <w:ind w:firstLineChars="200" w:firstLine="420"/>
        <w:outlineLvl w:val="9"/>
        <w:rPr>
          <w:rFonts w:hAnsi="黑体"/>
          <w:szCs w:val="21"/>
        </w:rPr>
      </w:pPr>
      <w:r>
        <w:rPr>
          <w:rFonts w:hAnsi="黑体"/>
          <w:szCs w:val="21"/>
        </w:rPr>
        <w:t>不确定系数 Uncertainty factor, UF</w:t>
      </w:r>
    </w:p>
    <w:p w:rsidR="00000000" w:rsidRDefault="00000000">
      <w:pPr>
        <w:spacing w:line="360" w:lineRule="exact"/>
        <w:ind w:firstLineChars="200" w:firstLine="420"/>
        <w:rPr>
          <w:rFonts w:ascii="宋体" w:hAnsi="宋体" w:cs="宋体"/>
          <w:szCs w:val="21"/>
        </w:rPr>
      </w:pPr>
      <w:r>
        <w:rPr>
          <w:rFonts w:ascii="宋体" w:hAnsi="宋体" w:cs="宋体" w:hint="eastAsia"/>
          <w:szCs w:val="21"/>
        </w:rPr>
        <w:t>指在制订健康指导值时，用于将实验动物数据外推到人(假定人最为敏感)或将部分个体数据外推到一般人群时的系数。</w:t>
      </w:r>
    </w:p>
    <w:p w:rsidR="00000000" w:rsidRDefault="00000000">
      <w:pPr>
        <w:pStyle w:val="1"/>
        <w:spacing w:beforeLines="50" w:before="156" w:afterLines="50" w:after="156" w:line="360" w:lineRule="exact"/>
        <w:rPr>
          <w:rFonts w:ascii="黑体" w:eastAsia="黑体" w:hAnsi="黑体"/>
          <w:b w:val="0"/>
          <w:bCs w:val="0"/>
          <w:sz w:val="21"/>
          <w:szCs w:val="21"/>
        </w:rPr>
      </w:pPr>
      <w:bookmarkStart w:id="13" w:name="_Toc27761"/>
      <w:bookmarkStart w:id="14" w:name="_Toc142055952"/>
      <w:r>
        <w:rPr>
          <w:rFonts w:ascii="黑体" w:eastAsia="黑体" w:hAnsi="黑体" w:hint="eastAsia"/>
          <w:b w:val="0"/>
          <w:bCs w:val="0"/>
          <w:sz w:val="21"/>
          <w:szCs w:val="21"/>
        </w:rPr>
        <w:t xml:space="preserve">4 </w:t>
      </w:r>
      <w:r>
        <w:rPr>
          <w:rFonts w:ascii="黑体" w:eastAsia="黑体" w:hAnsi="黑体"/>
          <w:b w:val="0"/>
          <w:bCs w:val="0"/>
          <w:sz w:val="21"/>
          <w:szCs w:val="21"/>
        </w:rPr>
        <w:t>兽药食品安全风险评估的基本内容</w:t>
      </w:r>
      <w:bookmarkEnd w:id="13"/>
      <w:bookmarkEnd w:id="14"/>
    </w:p>
    <w:p w:rsidR="00000000" w:rsidRDefault="00000000">
      <w:pPr>
        <w:pStyle w:val="aff0"/>
        <w:spacing w:beforeLines="50" w:before="156" w:afterLines="50" w:after="156" w:line="360" w:lineRule="exact"/>
        <w:rPr>
          <w:rFonts w:hAnsi="黑体"/>
        </w:rPr>
      </w:pPr>
      <w:bookmarkStart w:id="15" w:name="_Toc142055953"/>
      <w:bookmarkStart w:id="16" w:name="_Toc18675"/>
      <w:r>
        <w:rPr>
          <w:rFonts w:hAnsi="黑体" w:hint="eastAsia"/>
        </w:rPr>
        <w:t>4</w:t>
      </w:r>
      <w:r>
        <w:rPr>
          <w:rFonts w:hAnsi="黑体"/>
        </w:rPr>
        <w:t>.1</w:t>
      </w:r>
      <w:r>
        <w:rPr>
          <w:rFonts w:hAnsi="黑体" w:hint="eastAsia"/>
        </w:rPr>
        <w:t xml:space="preserve"> </w:t>
      </w:r>
      <w:r>
        <w:rPr>
          <w:rFonts w:hAnsi="黑体"/>
        </w:rPr>
        <w:t>危害识别和危害特征描述</w:t>
      </w:r>
      <w:bookmarkEnd w:id="15"/>
      <w:bookmarkEnd w:id="16"/>
    </w:p>
    <w:p w:rsidR="00000000" w:rsidRDefault="00000000">
      <w:pPr>
        <w:spacing w:beforeLines="50" w:before="156" w:afterLines="50" w:after="156" w:line="360" w:lineRule="exact"/>
        <w:rPr>
          <w:rStyle w:val="10"/>
          <w:rFonts w:ascii="黑体" w:eastAsia="黑体" w:hAnsi="黑体" w:hint="eastAsia"/>
          <w:b w:val="0"/>
          <w:bCs w:val="0"/>
          <w:sz w:val="21"/>
          <w:szCs w:val="21"/>
        </w:rPr>
      </w:pPr>
      <w:r>
        <w:rPr>
          <w:rFonts w:ascii="黑体" w:eastAsia="黑体" w:hAnsi="黑体" w:hint="eastAsia"/>
          <w:szCs w:val="21"/>
        </w:rPr>
        <w:t xml:space="preserve">4.1.1 </w:t>
      </w:r>
      <w:bookmarkStart w:id="17" w:name="_Toc21902"/>
      <w:r>
        <w:rPr>
          <w:rStyle w:val="10"/>
          <w:rFonts w:ascii="黑体" w:eastAsia="黑体" w:hAnsi="黑体"/>
          <w:b w:val="0"/>
          <w:bCs w:val="0"/>
          <w:sz w:val="21"/>
          <w:szCs w:val="21"/>
        </w:rPr>
        <w:t>毒理学和人体实验</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4.1.1.1 毒理学试验分类</w:t>
      </w:r>
      <w:bookmarkEnd w:id="17"/>
    </w:p>
    <w:p w:rsidR="00000000" w:rsidRDefault="00000000">
      <w:pPr>
        <w:spacing w:line="360" w:lineRule="exact"/>
        <w:ind w:firstLineChars="200" w:firstLine="420"/>
        <w:rPr>
          <w:rFonts w:ascii="宋体" w:hAnsi="宋体" w:cs="宋体" w:hint="eastAsia"/>
          <w:szCs w:val="21"/>
        </w:rPr>
      </w:pPr>
      <w:r>
        <w:rPr>
          <w:rFonts w:ascii="宋体" w:hAnsi="宋体" w:cs="宋体"/>
          <w:szCs w:val="21"/>
        </w:rPr>
        <w:lastRenderedPageBreak/>
        <w:t>毒理学试验大致可分为两类：一是体外试验，用来自实验动物或人体的器官、细胞或组织进行培养并开展的试验；二是体内试验，利用实验动物或人体进行。虽然没有一种动物种属能够完全代表人类，但动物试验是评价食品中化学物质潜在毒性的有效手段。在动物试验中，应尽可能采用3R原则(减少、优化和替代)。实验动物种属和毒理学试验剂量的选择和确定可由试验初期开展的物质吸收、分布、代谢和排泄(ADME)等方面的研究来综合确定。</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4.1.1.2 毒理学试验项目</w:t>
      </w:r>
    </w:p>
    <w:p w:rsidR="00000000" w:rsidRDefault="00000000">
      <w:pPr>
        <w:spacing w:line="360" w:lineRule="exact"/>
        <w:ind w:firstLineChars="200" w:firstLine="420"/>
        <w:rPr>
          <w:rFonts w:ascii="宋体" w:hAnsi="宋体" w:cs="宋体"/>
          <w:szCs w:val="21"/>
        </w:rPr>
      </w:pPr>
      <w:r>
        <w:rPr>
          <w:rFonts w:ascii="宋体" w:hAnsi="宋体" w:cs="宋体"/>
          <w:szCs w:val="21"/>
        </w:rPr>
        <w:t>兽药食品安全风险评估中的毒理学试验项目取决于待评估兽药的性质和使用情况。为了获得对某一特定物质的风险评估结论，并不一定需要进行所有毒理学试验。为了评价物质的系统毒性，通常进行短期和长期毒性试验，以明确毒性靶器官，同时可能提示是否需要进行其他或更特异的毒性试验(例如神经毒性或免疫毒性)，要检测受试物对一系列毒性观察终点(包据行为</w:t>
      </w:r>
      <w:r>
        <w:rPr>
          <w:rFonts w:ascii="宋体" w:hAnsi="宋体" w:cs="宋体" w:hint="eastAsia"/>
          <w:szCs w:val="21"/>
        </w:rPr>
        <w:t>、</w:t>
      </w:r>
      <w:r>
        <w:rPr>
          <w:rFonts w:ascii="宋体" w:hAnsi="宋体" w:cs="宋体"/>
          <w:szCs w:val="21"/>
        </w:rPr>
        <w:t>功能</w:t>
      </w:r>
      <w:r>
        <w:rPr>
          <w:rFonts w:ascii="宋体" w:hAnsi="宋体" w:cs="宋体" w:hint="eastAsia"/>
          <w:szCs w:val="21"/>
        </w:rPr>
        <w:t>、</w:t>
      </w:r>
      <w:r>
        <w:rPr>
          <w:rFonts w:ascii="宋体" w:hAnsi="宋体" w:cs="宋体"/>
          <w:szCs w:val="21"/>
        </w:rPr>
        <w:t>生物化学和病理学)的效应。通常情况下，试验使用两个种属、两个性别的动物，啮齿类和非啮齿类动物各一种或两种，以最大限度地发现可能的影响(危害识别)。长期试验通常包括两种啮齿类动物的致癌试验。在个案分析的基础上可以用替代试验来替代一种啮齿类动物的实验；致癌试验的替代方法有多种，包括肿瘤的启动/促进模型，新生小鼠模型和转基因小鼠模型等。这些替代试验的肿瘤生成反应得到增强，因此可以缩短试验周期。</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4.1.1.2 剂量选择</w:t>
      </w:r>
    </w:p>
    <w:p w:rsidR="00000000" w:rsidRDefault="00000000">
      <w:pPr>
        <w:spacing w:line="360" w:lineRule="exact"/>
        <w:ind w:firstLineChars="200" w:firstLine="420"/>
        <w:rPr>
          <w:rFonts w:ascii="宋体" w:hAnsi="宋体" w:cs="宋体"/>
          <w:szCs w:val="21"/>
        </w:rPr>
      </w:pPr>
      <w:r>
        <w:rPr>
          <w:rFonts w:ascii="宋体" w:hAnsi="宋体" w:cs="宋体"/>
          <w:szCs w:val="21"/>
        </w:rPr>
        <w:t>剂量选择应该考虑预期的人类暴露情况、暴露频率以及持续时间。对食品中存在的物质，动物试验中的给药方式通常是掺入饲料中、灌胃或饮水。理想情况下，设计的剂量水平应该是最高剂量组出现毒性效应而无死亡或严重损伤，而最低剂量组则无不良反应，并呈现出随着剂量的增加而毒性效应加强的趋势。试验设计应足以确定危害特征描述的参考点或分离点(point of departure, POD)，例如未观察到不良作用水平或基准剂量(BMD)，是</w:t>
      </w:r>
      <w:r>
        <w:rPr>
          <w:rFonts w:ascii="宋体" w:hAnsi="宋体" w:cs="宋体" w:hint="eastAsia"/>
          <w:szCs w:val="21"/>
        </w:rPr>
        <w:t>在基线水平基础上，引起特定外加风险发生的剂量95%可信限的下限值，可利用PROAST和BMDS等软件获得</w:t>
      </w:r>
      <w:r>
        <w:rPr>
          <w:rFonts w:ascii="宋体" w:hAnsi="宋体" w:cs="宋体"/>
          <w:szCs w:val="21"/>
        </w:rPr>
        <w:t>。</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4.1.1.3 试验设计</w:t>
      </w:r>
    </w:p>
    <w:p w:rsidR="00000000" w:rsidRDefault="00000000">
      <w:pPr>
        <w:spacing w:line="360" w:lineRule="exact"/>
        <w:ind w:firstLineChars="200" w:firstLine="420"/>
        <w:rPr>
          <w:rFonts w:ascii="宋体" w:hAnsi="宋体" w:cs="宋体"/>
          <w:szCs w:val="21"/>
        </w:rPr>
      </w:pPr>
      <w:r>
        <w:rPr>
          <w:rFonts w:ascii="宋体" w:hAnsi="宋体" w:cs="宋体"/>
          <w:szCs w:val="21"/>
        </w:rPr>
        <w:t>对所有试验设计中均应仔细考虑剂量组间隔、试验分组、受试物最大剂量、各试验组包含的雌雄动物数、对照组的选择、受试物给予方案、确认给予剂量与设定剂量的一致性和受试物的真实摄入量(例如，饲料的适口性、饲料的损耗)。</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4.1.1.4 遗传毒性</w:t>
      </w:r>
    </w:p>
    <w:p w:rsidR="00000000" w:rsidRDefault="00000000">
      <w:pPr>
        <w:spacing w:line="360" w:lineRule="exact"/>
        <w:ind w:firstLineChars="200" w:firstLine="420"/>
        <w:rPr>
          <w:rFonts w:ascii="宋体" w:hAnsi="宋体" w:cs="宋体" w:hint="eastAsia"/>
          <w:szCs w:val="21"/>
        </w:rPr>
      </w:pPr>
      <w:r>
        <w:rPr>
          <w:rFonts w:ascii="宋体" w:hAnsi="宋体" w:cs="宋体"/>
          <w:szCs w:val="21"/>
        </w:rPr>
        <w:t>兽药潜在遗传毒性可采用体内外遗传试验进行评价。在兽药的遗传毒性试验中，需要采用一组试验进行检测，尽可能防止在遗传毒性检测中出现假阴性和假阳性结果。</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4.1.1.4.1 </w:t>
      </w:r>
      <w:r>
        <w:rPr>
          <w:rFonts w:ascii="宋体" w:hAnsi="宋体" w:cs="宋体"/>
          <w:b/>
          <w:bCs/>
        </w:rPr>
        <w:t>遗传学终点分类</w:t>
      </w:r>
    </w:p>
    <w:p w:rsidR="00000000" w:rsidRDefault="00000000">
      <w:pPr>
        <w:spacing w:line="360" w:lineRule="exact"/>
        <w:ind w:firstLineChars="200" w:firstLine="420"/>
        <w:rPr>
          <w:rFonts w:ascii="宋体" w:hAnsi="宋体" w:cs="宋体" w:hint="eastAsia"/>
          <w:szCs w:val="21"/>
        </w:rPr>
      </w:pPr>
      <w:r>
        <w:rPr>
          <w:rFonts w:ascii="宋体" w:hAnsi="宋体" w:cs="宋体"/>
          <w:szCs w:val="21"/>
        </w:rPr>
        <w:t>遗传毒性试验的遗传学终点为5类，即</w:t>
      </w:r>
      <w:r>
        <w:rPr>
          <w:rFonts w:ascii="宋体" w:hAnsi="宋体" w:cs="宋体"/>
          <w:szCs w:val="21"/>
        </w:rPr>
        <w:fldChar w:fldCharType="begin"/>
      </w:r>
      <w:r>
        <w:rPr>
          <w:rFonts w:ascii="宋体" w:hAnsi="宋体" w:cs="宋体"/>
          <w:szCs w:val="21"/>
        </w:rPr>
        <w:instrText xml:space="preserve"> = 1 \* GB3 </w:instrText>
      </w:r>
      <w:r>
        <w:rPr>
          <w:rFonts w:ascii="宋体" w:hAnsi="宋体" w:cs="宋体"/>
          <w:szCs w:val="21"/>
        </w:rPr>
        <w:fldChar w:fldCharType="separate"/>
      </w:r>
      <w:r>
        <w:rPr>
          <w:rFonts w:ascii="宋体" w:hAnsi="宋体" w:cs="宋体"/>
          <w:szCs w:val="21"/>
        </w:rPr>
        <w:t>①</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DNA完整性改变</w:t>
      </w:r>
      <w:r>
        <w:rPr>
          <w:rFonts w:ascii="宋体" w:hAnsi="宋体" w:cs="宋体" w:hint="eastAsia"/>
          <w:szCs w:val="21"/>
        </w:rPr>
        <w:t>(</w:t>
      </w:r>
      <w:r>
        <w:rPr>
          <w:rFonts w:ascii="宋体" w:hAnsi="宋体" w:cs="宋体"/>
          <w:szCs w:val="21"/>
        </w:rPr>
        <w:t>断裂、交联、形成加合物</w:t>
      </w:r>
      <w:r>
        <w:rPr>
          <w:rFonts w:ascii="宋体" w:hAnsi="宋体" w:cs="宋体" w:hint="eastAsia"/>
          <w:szCs w:val="21"/>
        </w:rPr>
        <w:t>)</w:t>
      </w:r>
      <w:r>
        <w:rPr>
          <w:rFonts w:ascii="宋体" w:hAnsi="宋体" w:cs="宋体"/>
          <w:szCs w:val="21"/>
        </w:rPr>
        <w:t>；</w:t>
      </w:r>
      <w:r>
        <w:rPr>
          <w:rFonts w:ascii="宋体" w:hAnsi="宋体" w:cs="宋体"/>
          <w:szCs w:val="21"/>
        </w:rPr>
        <w:fldChar w:fldCharType="begin"/>
      </w:r>
      <w:r>
        <w:rPr>
          <w:rFonts w:ascii="宋体" w:hAnsi="宋体" w:cs="宋体"/>
          <w:szCs w:val="21"/>
        </w:rPr>
        <w:instrText xml:space="preserve"> = 2 \* GB3 </w:instrText>
      </w:r>
      <w:r>
        <w:rPr>
          <w:rFonts w:ascii="宋体" w:hAnsi="宋体" w:cs="宋体"/>
          <w:szCs w:val="21"/>
        </w:rPr>
        <w:fldChar w:fldCharType="separate"/>
      </w:r>
      <w:r>
        <w:rPr>
          <w:rFonts w:ascii="宋体" w:hAnsi="宋体" w:cs="宋体"/>
          <w:szCs w:val="21"/>
        </w:rPr>
        <w:t>②</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DNA重排或交换；</w:t>
      </w:r>
      <w:r>
        <w:rPr>
          <w:rFonts w:ascii="宋体" w:hAnsi="宋体" w:cs="宋体"/>
          <w:szCs w:val="21"/>
        </w:rPr>
        <w:fldChar w:fldCharType="begin"/>
      </w:r>
      <w:r>
        <w:rPr>
          <w:rFonts w:ascii="宋体" w:hAnsi="宋体" w:cs="宋体"/>
          <w:szCs w:val="21"/>
        </w:rPr>
        <w:instrText xml:space="preserve"> = 3 \* GB3 </w:instrText>
      </w:r>
      <w:r>
        <w:rPr>
          <w:rFonts w:ascii="宋体" w:hAnsi="宋体" w:cs="宋体"/>
          <w:szCs w:val="21"/>
        </w:rPr>
        <w:fldChar w:fldCharType="separate"/>
      </w:r>
      <w:r>
        <w:rPr>
          <w:rFonts w:ascii="宋体" w:hAnsi="宋体" w:cs="宋体"/>
          <w:szCs w:val="21"/>
        </w:rPr>
        <w:t>③</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DNA碱基序列的改变；</w:t>
      </w:r>
      <w:r>
        <w:rPr>
          <w:rFonts w:ascii="宋体" w:hAnsi="宋体" w:cs="宋体"/>
          <w:szCs w:val="21"/>
        </w:rPr>
        <w:fldChar w:fldCharType="begin"/>
      </w:r>
      <w:r>
        <w:rPr>
          <w:rFonts w:ascii="宋体" w:hAnsi="宋体" w:cs="宋体"/>
          <w:szCs w:val="21"/>
        </w:rPr>
        <w:instrText xml:space="preserve"> = 4 \* GB3 </w:instrText>
      </w:r>
      <w:r>
        <w:rPr>
          <w:rFonts w:ascii="宋体" w:hAnsi="宋体" w:cs="宋体"/>
          <w:szCs w:val="21"/>
        </w:rPr>
        <w:fldChar w:fldCharType="separate"/>
      </w:r>
      <w:r>
        <w:rPr>
          <w:rFonts w:ascii="宋体" w:hAnsi="宋体" w:cs="宋体"/>
          <w:szCs w:val="21"/>
        </w:rPr>
        <w:t>④</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染色体完整性的改变；</w:t>
      </w:r>
      <w:r>
        <w:rPr>
          <w:rFonts w:ascii="宋体" w:hAnsi="宋体" w:cs="宋体"/>
          <w:szCs w:val="21"/>
        </w:rPr>
        <w:fldChar w:fldCharType="begin"/>
      </w:r>
      <w:r>
        <w:rPr>
          <w:rFonts w:ascii="宋体" w:hAnsi="宋体" w:cs="宋体"/>
          <w:szCs w:val="21"/>
        </w:rPr>
        <w:instrText xml:space="preserve"> = 5 \* GB3 </w:instrText>
      </w:r>
      <w:r>
        <w:rPr>
          <w:rFonts w:ascii="宋体" w:hAnsi="宋体" w:cs="宋体"/>
          <w:szCs w:val="21"/>
        </w:rPr>
        <w:fldChar w:fldCharType="separate"/>
      </w:r>
      <w:r>
        <w:rPr>
          <w:rFonts w:ascii="宋体" w:hAnsi="宋体" w:cs="宋体"/>
          <w:szCs w:val="21"/>
        </w:rPr>
        <w:t>⑤</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染色体分离改变。</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4.1.1.4.2</w:t>
      </w:r>
      <w:r>
        <w:rPr>
          <w:rFonts w:ascii="宋体" w:hAnsi="宋体" w:cs="宋体"/>
          <w:b/>
          <w:bCs/>
        </w:rPr>
        <w:t xml:space="preserve"> 遗传毒性试验组合原则</w:t>
      </w:r>
    </w:p>
    <w:p w:rsidR="00000000" w:rsidRDefault="00000000">
      <w:pPr>
        <w:spacing w:line="360" w:lineRule="exact"/>
        <w:ind w:firstLineChars="200" w:firstLine="420"/>
        <w:rPr>
          <w:rFonts w:ascii="宋体" w:hAnsi="宋体" w:cs="宋体"/>
          <w:szCs w:val="21"/>
        </w:rPr>
      </w:pPr>
      <w:r>
        <w:rPr>
          <w:rFonts w:ascii="宋体" w:hAnsi="宋体" w:cs="宋体"/>
          <w:szCs w:val="21"/>
        </w:rPr>
        <w:lastRenderedPageBreak/>
        <w:t>遗传毒性试验组合原则有4个：</w:t>
      </w:r>
      <w:r>
        <w:rPr>
          <w:rFonts w:ascii="宋体" w:hAnsi="宋体" w:cs="宋体"/>
          <w:szCs w:val="21"/>
        </w:rPr>
        <w:fldChar w:fldCharType="begin"/>
      </w:r>
      <w:r>
        <w:rPr>
          <w:rFonts w:ascii="宋体" w:hAnsi="宋体" w:cs="宋体"/>
          <w:szCs w:val="21"/>
        </w:rPr>
        <w:instrText xml:space="preserve"> = 1 \* GB3 </w:instrText>
      </w:r>
      <w:r>
        <w:rPr>
          <w:rFonts w:ascii="宋体" w:hAnsi="宋体" w:cs="宋体"/>
          <w:szCs w:val="21"/>
        </w:rPr>
        <w:fldChar w:fldCharType="separate"/>
      </w:r>
      <w:r>
        <w:rPr>
          <w:rFonts w:ascii="宋体" w:hAnsi="宋体" w:cs="宋体"/>
          <w:szCs w:val="21"/>
        </w:rPr>
        <w:t>①</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应包含5类遗传终点的原则，可选择细菌回复突变试验、微核试验、细菌DNA修复试验和姐妹染色单体交换试验等4种致突变试验；</w:t>
      </w:r>
      <w:r>
        <w:rPr>
          <w:rFonts w:ascii="宋体" w:hAnsi="宋体" w:cs="宋体"/>
          <w:szCs w:val="21"/>
        </w:rPr>
        <w:fldChar w:fldCharType="begin"/>
      </w:r>
      <w:r>
        <w:rPr>
          <w:rFonts w:ascii="宋体" w:hAnsi="宋体" w:cs="宋体"/>
          <w:szCs w:val="21"/>
        </w:rPr>
        <w:instrText xml:space="preserve"> = 2 \* GB3 </w:instrText>
      </w:r>
      <w:r>
        <w:rPr>
          <w:rFonts w:ascii="宋体" w:hAnsi="宋体" w:cs="宋体"/>
          <w:szCs w:val="21"/>
        </w:rPr>
        <w:fldChar w:fldCharType="separate"/>
      </w:r>
      <w:r>
        <w:rPr>
          <w:rFonts w:ascii="宋体" w:hAnsi="宋体" w:cs="宋体"/>
          <w:szCs w:val="21"/>
        </w:rPr>
        <w:t>②</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包含原核生物和真核生物的原则，试验指示生物包括若干进化阶段的物种，可观察兽药对不同系统发育的多种生物体的致突变性，更具有说服力；</w:t>
      </w:r>
      <w:r>
        <w:rPr>
          <w:rFonts w:ascii="宋体" w:hAnsi="宋体" w:cs="宋体"/>
          <w:szCs w:val="21"/>
        </w:rPr>
        <w:fldChar w:fldCharType="begin"/>
      </w:r>
      <w:r>
        <w:rPr>
          <w:rFonts w:ascii="宋体" w:hAnsi="宋体" w:cs="宋体"/>
          <w:szCs w:val="21"/>
        </w:rPr>
        <w:instrText xml:space="preserve"> = 3 \* GB3 </w:instrText>
      </w:r>
      <w:r>
        <w:rPr>
          <w:rFonts w:ascii="宋体" w:hAnsi="宋体" w:cs="宋体"/>
          <w:szCs w:val="21"/>
        </w:rPr>
        <w:fldChar w:fldCharType="separate"/>
      </w:r>
      <w:r>
        <w:rPr>
          <w:rFonts w:ascii="宋体" w:hAnsi="宋体" w:cs="宋体"/>
          <w:szCs w:val="21"/>
        </w:rPr>
        <w:t>③</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包含体内试验与体外试验的原则；</w:t>
      </w:r>
      <w:r>
        <w:rPr>
          <w:rFonts w:ascii="宋体" w:hAnsi="宋体" w:cs="宋体"/>
          <w:szCs w:val="21"/>
        </w:rPr>
        <w:fldChar w:fldCharType="begin"/>
      </w:r>
      <w:r>
        <w:rPr>
          <w:rFonts w:ascii="宋体" w:hAnsi="宋体" w:cs="宋体"/>
          <w:szCs w:val="21"/>
        </w:rPr>
        <w:instrText xml:space="preserve"> = 4 \* GB3 </w:instrText>
      </w:r>
      <w:r>
        <w:rPr>
          <w:rFonts w:ascii="宋体" w:hAnsi="宋体" w:cs="宋体"/>
          <w:szCs w:val="21"/>
        </w:rPr>
        <w:fldChar w:fldCharType="separate"/>
      </w:r>
      <w:r>
        <w:rPr>
          <w:rFonts w:ascii="宋体" w:hAnsi="宋体" w:cs="宋体"/>
          <w:szCs w:val="21"/>
        </w:rPr>
        <w:t>④</w:t>
      </w:r>
      <w:r>
        <w:rPr>
          <w:rFonts w:ascii="宋体" w:hAnsi="宋体" w:cs="宋体"/>
          <w:szCs w:val="21"/>
        </w:rPr>
        <w:fldChar w:fldCharType="end"/>
      </w:r>
      <w:r>
        <w:rPr>
          <w:rFonts w:ascii="宋体" w:hAnsi="宋体" w:cs="宋体" w:hint="eastAsia"/>
          <w:szCs w:val="21"/>
        </w:rPr>
        <w:t xml:space="preserve"> </w:t>
      </w:r>
      <w:r>
        <w:rPr>
          <w:rFonts w:ascii="宋体" w:hAnsi="宋体" w:cs="宋体"/>
          <w:szCs w:val="21"/>
        </w:rPr>
        <w:t>包含体细胞和生殖细胞的原则。要判定某种化合物是否具有遗传毒性需根据现有数据进行综合评定。如果没有特殊原因(如结构因素，持续的人群暴露等)，且所有体外遗传毒性试验结果均为阴性，则可以判定该受试化合物没有遗传毒性。若有大于或等于一个体外遗传毒性试验结果为阳性，就需要进行体内遗传毒性试验进一步判定。</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4.1.1.5</w:t>
      </w:r>
      <w:r>
        <w:rPr>
          <w:rFonts w:ascii="宋体" w:hAnsi="宋体" w:cs="宋体"/>
          <w:b/>
          <w:bCs/>
        </w:rPr>
        <w:t xml:space="preserve"> </w:t>
      </w:r>
      <w:r>
        <w:rPr>
          <w:rFonts w:ascii="宋体" w:hAnsi="宋体" w:cs="宋体" w:hint="eastAsia"/>
          <w:b/>
          <w:bCs/>
        </w:rPr>
        <w:t>生殖毒性</w:t>
      </w:r>
    </w:p>
    <w:p w:rsidR="00000000" w:rsidRDefault="00000000">
      <w:pPr>
        <w:spacing w:line="360" w:lineRule="exact"/>
        <w:ind w:firstLineChars="200" w:firstLine="420"/>
        <w:rPr>
          <w:rFonts w:ascii="宋体" w:hAnsi="宋体" w:cs="宋体" w:hint="eastAsia"/>
          <w:szCs w:val="21"/>
        </w:rPr>
      </w:pPr>
      <w:r>
        <w:rPr>
          <w:rFonts w:ascii="宋体" w:hAnsi="宋体" w:cs="宋体"/>
          <w:szCs w:val="21"/>
        </w:rPr>
        <w:t>兽药的生殖毒性研究有助于揭示其对雄性和雌性生殖功能或能力的损害和对后代的有害影响。</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4.1.1.6 发育毒性</w:t>
      </w:r>
    </w:p>
    <w:p w:rsidR="00000000" w:rsidRDefault="00000000">
      <w:pPr>
        <w:spacing w:line="360" w:lineRule="exact"/>
        <w:ind w:firstLineChars="200" w:firstLine="420"/>
        <w:rPr>
          <w:rFonts w:ascii="宋体" w:hAnsi="宋体" w:cs="宋体"/>
          <w:szCs w:val="21"/>
        </w:rPr>
      </w:pPr>
      <w:r>
        <w:rPr>
          <w:rFonts w:ascii="宋体" w:hAnsi="宋体" w:cs="宋体"/>
          <w:szCs w:val="21"/>
        </w:rPr>
        <w:t>兽药的发育毒性有助于揭示出生前暴露于受试物、发育成为成体之前</w:t>
      </w:r>
      <w:r>
        <w:rPr>
          <w:rFonts w:ascii="宋体" w:hAnsi="宋体" w:cs="宋体" w:hint="eastAsia"/>
          <w:szCs w:val="21"/>
        </w:rPr>
        <w:t>(</w:t>
      </w:r>
      <w:r>
        <w:rPr>
          <w:rFonts w:ascii="宋体" w:hAnsi="宋体" w:cs="宋体"/>
          <w:szCs w:val="21"/>
        </w:rPr>
        <w:t>包括胚期、胎期以及出生后</w:t>
      </w:r>
      <w:r>
        <w:rPr>
          <w:rFonts w:ascii="宋体" w:hAnsi="宋体" w:cs="宋体" w:hint="eastAsia"/>
          <w:szCs w:val="21"/>
        </w:rPr>
        <w:t>)</w:t>
      </w:r>
      <w:r>
        <w:rPr>
          <w:rFonts w:ascii="宋体" w:hAnsi="宋体" w:cs="宋体"/>
          <w:szCs w:val="21"/>
        </w:rPr>
        <w:t>出现的有害作用，表现为发育生物体的结构异常、生长改变、功能缺陷和死亡。</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4.1.1.7 干扰营养吸收、损伤神经、免疫等系统的兽药食品安全风险评估</w:t>
      </w:r>
    </w:p>
    <w:p w:rsidR="00000000" w:rsidRDefault="00000000">
      <w:pPr>
        <w:spacing w:line="360" w:lineRule="exact"/>
        <w:ind w:firstLineChars="200" w:firstLine="420"/>
        <w:rPr>
          <w:rFonts w:ascii="宋体" w:hAnsi="宋体" w:cs="宋体"/>
          <w:szCs w:val="21"/>
        </w:rPr>
      </w:pPr>
      <w:r>
        <w:rPr>
          <w:rFonts w:ascii="宋体" w:hAnsi="宋体" w:cs="宋体"/>
          <w:szCs w:val="21"/>
        </w:rPr>
        <w:t>除了开展急性毒性、遗传毒性、短期毒性、长期毒性、繁殖</w:t>
      </w:r>
      <w:r>
        <w:rPr>
          <w:rFonts w:ascii="宋体" w:hAnsi="宋体" w:cs="宋体" w:hint="eastAsia"/>
          <w:szCs w:val="21"/>
        </w:rPr>
        <w:t>致畸</w:t>
      </w:r>
      <w:r>
        <w:rPr>
          <w:rFonts w:ascii="宋体" w:hAnsi="宋体" w:cs="宋体"/>
          <w:szCs w:val="21"/>
        </w:rPr>
        <w:t>毒性和致癌试验外，对于一些可能具有干扰营养吸收、损伤神经、免疫等系统的兽药，有必要对其开展相应的毒性效应、毒性机制或作用模式的研究，这将有助于该兽药的食品安全风险评估的推进。</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4.1.1.8 </w:t>
      </w:r>
      <w:r>
        <w:rPr>
          <w:rFonts w:ascii="宋体" w:hAnsi="宋体" w:cs="宋体"/>
          <w:b/>
          <w:bCs/>
        </w:rPr>
        <w:t>毒理学试验终点的评估</w:t>
      </w:r>
      <w:bookmarkStart w:id="18" w:name="_Hlk39766435"/>
    </w:p>
    <w:p w:rsidR="00000000" w:rsidRDefault="00000000">
      <w:pPr>
        <w:spacing w:line="360" w:lineRule="exact"/>
        <w:ind w:firstLineChars="200" w:firstLine="420"/>
        <w:rPr>
          <w:rFonts w:ascii="宋体" w:hAnsi="宋体" w:cs="宋体"/>
          <w:szCs w:val="21"/>
        </w:rPr>
      </w:pPr>
      <w:r>
        <w:rPr>
          <w:rFonts w:ascii="宋体" w:hAnsi="宋体" w:cs="宋体"/>
          <w:szCs w:val="21"/>
        </w:rPr>
        <w:t>兽药食品安全风险评估中常采用证据权重方法评估毒理学试验终点，它是对所有可利用研究中获得的数据进行研究。不同研究中的剂量-反应关系的证据和结果的相似性都会增加危害特征描述的权重。</w:t>
      </w:r>
      <w:bookmarkEnd w:id="18"/>
    </w:p>
    <w:p w:rsidR="00000000" w:rsidRDefault="00000000">
      <w:pPr>
        <w:spacing w:beforeLines="50" w:before="156" w:afterLines="50" w:after="156" w:line="360" w:lineRule="exact"/>
        <w:rPr>
          <w:rFonts w:ascii="黑体" w:eastAsia="黑体" w:hAnsi="黑体"/>
          <w:szCs w:val="21"/>
        </w:rPr>
      </w:pPr>
      <w:bookmarkStart w:id="19" w:name="_Toc717"/>
      <w:r>
        <w:rPr>
          <w:rFonts w:ascii="黑体" w:eastAsia="黑体" w:hAnsi="黑体" w:hint="eastAsia"/>
          <w:szCs w:val="21"/>
        </w:rPr>
        <w:t xml:space="preserve">4.1.2 </w:t>
      </w:r>
      <w:bookmarkEnd w:id="19"/>
      <w:r>
        <w:rPr>
          <w:rFonts w:ascii="黑体" w:eastAsia="黑体" w:hAnsi="黑体" w:hint="eastAsia"/>
          <w:szCs w:val="21"/>
        </w:rPr>
        <w:t>剂量-反应评估</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4.1.2.1 </w:t>
      </w:r>
      <w:r>
        <w:rPr>
          <w:rFonts w:ascii="宋体" w:hAnsi="宋体" w:cs="宋体"/>
          <w:b/>
          <w:bCs/>
        </w:rPr>
        <w:t>剂量-反应评估的主要作用</w:t>
      </w:r>
    </w:p>
    <w:p w:rsidR="00000000" w:rsidRDefault="00000000">
      <w:pPr>
        <w:spacing w:line="360" w:lineRule="exact"/>
        <w:ind w:firstLineChars="200" w:firstLine="420"/>
        <w:rPr>
          <w:rFonts w:ascii="宋体" w:hAnsi="宋体" w:cs="宋体"/>
          <w:szCs w:val="21"/>
        </w:rPr>
      </w:pPr>
      <w:r>
        <w:rPr>
          <w:rFonts w:ascii="宋体" w:hAnsi="宋体" w:cs="宋体"/>
          <w:szCs w:val="21"/>
        </w:rPr>
        <w:t>形成风险评估意见，推导出健康指导值。</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4.1.2.2 </w:t>
      </w:r>
      <w:r>
        <w:rPr>
          <w:rFonts w:ascii="宋体" w:hAnsi="宋体" w:cs="宋体"/>
          <w:b/>
          <w:bCs/>
        </w:rPr>
        <w:t>剂量-反应评估的首要内容</w:t>
      </w:r>
    </w:p>
    <w:p w:rsidR="00000000" w:rsidRDefault="00000000">
      <w:pPr>
        <w:spacing w:line="360" w:lineRule="exact"/>
        <w:ind w:firstLineChars="200" w:firstLine="420"/>
        <w:rPr>
          <w:rFonts w:ascii="宋体" w:hAnsi="宋体" w:cs="宋体"/>
          <w:szCs w:val="21"/>
        </w:rPr>
      </w:pPr>
      <w:r>
        <w:rPr>
          <w:rFonts w:ascii="宋体" w:hAnsi="宋体" w:cs="宋体"/>
          <w:szCs w:val="21"/>
        </w:rPr>
        <w:t>确定剂量与反应之间的关系。如果有相关证据表明剂量与反应之间存在因果关系，那么就需要提供可靠的试验数据。在解释试验数据时，要说明暴露剂量的增加与不产生任何效应的暴露水平、效应属性以及效应发生率或严重程度的增加</w:t>
      </w:r>
      <w:r>
        <w:rPr>
          <w:rFonts w:ascii="宋体" w:hAnsi="宋体" w:cs="宋体" w:hint="eastAsia"/>
          <w:szCs w:val="21"/>
        </w:rPr>
        <w:t>之间</w:t>
      </w:r>
      <w:r>
        <w:rPr>
          <w:rFonts w:ascii="宋体" w:hAnsi="宋体" w:cs="宋体"/>
          <w:szCs w:val="21"/>
        </w:rPr>
        <w:t>的关系。</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4.1.2.3 </w:t>
      </w:r>
      <w:r>
        <w:rPr>
          <w:rFonts w:ascii="宋体" w:hAnsi="宋体" w:cs="宋体"/>
          <w:b/>
          <w:bCs/>
        </w:rPr>
        <w:t>建立剂量-反应模型的基本步骤</w:t>
      </w:r>
    </w:p>
    <w:p w:rsidR="00000000" w:rsidRDefault="00000000">
      <w:pPr>
        <w:spacing w:line="360" w:lineRule="exact"/>
        <w:ind w:firstLineChars="200" w:firstLine="420"/>
        <w:rPr>
          <w:rFonts w:ascii="宋体" w:hAnsi="宋体" w:cs="宋体"/>
          <w:szCs w:val="21"/>
        </w:rPr>
      </w:pPr>
      <w:r>
        <w:rPr>
          <w:rFonts w:ascii="宋体" w:hAnsi="宋体" w:cs="宋体"/>
          <w:szCs w:val="21"/>
        </w:rPr>
        <w:t>数据选择、模型选择、统计关联、数据分析、结果的实施与评价。在对数据进行分析时，通过某一方法对剂量-反应的数据建模，模型建立后既可预测在特定剂量下的反应水平，也可预测引起一定反应水平所需的剂量。</w:t>
      </w:r>
    </w:p>
    <w:p w:rsidR="00000000" w:rsidRDefault="00000000">
      <w:pPr>
        <w:spacing w:beforeLines="50" w:before="156" w:afterLines="50" w:after="156" w:line="360" w:lineRule="exact"/>
        <w:rPr>
          <w:rFonts w:ascii="黑体" w:eastAsia="黑体" w:hAnsi="黑体"/>
          <w:szCs w:val="21"/>
        </w:rPr>
      </w:pPr>
      <w:bookmarkStart w:id="20" w:name="_Toc5516"/>
      <w:r>
        <w:rPr>
          <w:rFonts w:ascii="黑体" w:eastAsia="黑体" w:hAnsi="黑体" w:hint="eastAsia"/>
          <w:szCs w:val="21"/>
        </w:rPr>
        <w:lastRenderedPageBreak/>
        <w:t xml:space="preserve">4.1.3 </w:t>
      </w:r>
      <w:bookmarkEnd w:id="20"/>
      <w:r>
        <w:rPr>
          <w:rFonts w:ascii="黑体" w:eastAsia="黑体" w:hAnsi="黑体"/>
          <w:szCs w:val="21"/>
        </w:rPr>
        <w:t>获得健康指导值的方法</w:t>
      </w:r>
    </w:p>
    <w:p w:rsidR="00000000" w:rsidRDefault="00000000">
      <w:pPr>
        <w:spacing w:line="360" w:lineRule="exact"/>
        <w:ind w:firstLineChars="200" w:firstLine="420"/>
        <w:rPr>
          <w:rFonts w:ascii="宋体" w:hAnsi="宋体" w:cs="宋体"/>
          <w:szCs w:val="21"/>
        </w:rPr>
      </w:pPr>
      <w:r>
        <w:rPr>
          <w:rFonts w:ascii="宋体" w:hAnsi="宋体" w:cs="宋体"/>
          <w:szCs w:val="21"/>
        </w:rPr>
        <w:t>健康指导值是由在最相关物种中进行的最相关终点的剂量-反应评估推导出来的。确定NOAEL或观察到不良作用的最低水平(LOAEL)作为POD是获得健康指导值最常用的方法。另外还有一些其它方法，例如：计算暴露限值(MOE)、用基准剂量单侧可信限的下限(BMDL)作为POD等。</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4.1.3.1 </w:t>
      </w:r>
      <w:r>
        <w:rPr>
          <w:rFonts w:ascii="黑体" w:eastAsia="黑体" w:hAnsi="黑体"/>
          <w:szCs w:val="21"/>
        </w:rPr>
        <w:t>每日允许摄入量</w:t>
      </w:r>
      <w:r>
        <w:rPr>
          <w:rFonts w:ascii="黑体" w:eastAsia="黑体" w:hAnsi="黑体" w:hint="eastAsia"/>
          <w:szCs w:val="21"/>
        </w:rPr>
        <w:t>(</w:t>
      </w:r>
      <w:r>
        <w:rPr>
          <w:rFonts w:ascii="宋体" w:hAnsi="宋体" w:cs="宋体"/>
          <w:b/>
          <w:bCs/>
        </w:rPr>
        <w:t>ADIs</w:t>
      </w:r>
      <w:r>
        <w:rPr>
          <w:rFonts w:ascii="宋体" w:hAnsi="宋体" w:cs="宋体" w:hint="eastAsia"/>
          <w:b/>
          <w:bCs/>
        </w:rPr>
        <w:t>)</w:t>
      </w:r>
      <w:r>
        <w:rPr>
          <w:rFonts w:ascii="宋体" w:hAnsi="宋体" w:cs="宋体"/>
          <w:b/>
          <w:bCs/>
        </w:rPr>
        <w:t>的建立</w:t>
      </w:r>
    </w:p>
    <w:p w:rsidR="00000000" w:rsidRDefault="00000000">
      <w:pPr>
        <w:spacing w:line="360" w:lineRule="exact"/>
        <w:ind w:firstLineChars="200" w:firstLine="420"/>
        <w:rPr>
          <w:rFonts w:ascii="宋体" w:hAnsi="宋体" w:cs="宋体"/>
          <w:szCs w:val="21"/>
        </w:rPr>
      </w:pPr>
      <w:r>
        <w:rPr>
          <w:rFonts w:ascii="宋体" w:hAnsi="宋体" w:cs="宋体"/>
          <w:szCs w:val="21"/>
        </w:rPr>
        <w:t>ADIs是以最敏感物种的最低NOAEL为基础建立的食品添加剂及食品中兽药残留的健康指导值，用每公斤体重摄入的量(如毫克)来表示，其范围从0到某一上限，通常用含1位有效数字的数值表示。</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4.1.3.2 </w:t>
      </w:r>
      <w:r>
        <w:rPr>
          <w:rFonts w:ascii="黑体" w:eastAsia="黑体" w:hAnsi="黑体"/>
          <w:szCs w:val="21"/>
        </w:rPr>
        <w:t>最大无作用剂量</w:t>
      </w:r>
      <w:r>
        <w:rPr>
          <w:rFonts w:ascii="黑体" w:eastAsia="黑体" w:hAnsi="黑体" w:hint="eastAsia"/>
          <w:szCs w:val="21"/>
        </w:rPr>
        <w:t>(</w:t>
      </w:r>
      <w:r>
        <w:rPr>
          <w:rFonts w:ascii="宋体" w:hAnsi="宋体" w:cs="宋体" w:hint="eastAsia"/>
          <w:b/>
          <w:bCs/>
        </w:rPr>
        <w:t>NOAEL)的确定</w:t>
      </w:r>
    </w:p>
    <w:p w:rsidR="00000000" w:rsidRDefault="00000000">
      <w:pPr>
        <w:spacing w:line="360" w:lineRule="exact"/>
        <w:ind w:firstLineChars="200" w:firstLine="420"/>
        <w:rPr>
          <w:rFonts w:ascii="宋体" w:hAnsi="宋体" w:cs="宋体" w:hint="eastAsia"/>
          <w:szCs w:val="21"/>
        </w:rPr>
      </w:pPr>
      <w:r>
        <w:rPr>
          <w:rFonts w:ascii="宋体" w:hAnsi="宋体" w:cs="宋体"/>
          <w:szCs w:val="21"/>
        </w:rPr>
        <w:t>选择适当的数据和确定NOAEL是经由NOAEL方法获得健康指导值的关键步骤。由于毒性试验资料从实验动物外推到人类以及人类个体之间的差异都存在不确定性，因此在计算健康指导值时可以采用安全系数(或不确定系数)作为一个保守的安全界值。数据的不确定系数是利用种属或人群在毒效或毒代动力学方面的差异数据推导出来的，也被称为化学特异性调节因子。</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4.1.3.3 </w:t>
      </w:r>
      <w:r>
        <w:rPr>
          <w:rFonts w:ascii="黑体" w:eastAsia="黑体" w:hAnsi="黑体"/>
          <w:szCs w:val="21"/>
        </w:rPr>
        <w:t>基准剂量</w:t>
      </w:r>
      <w:r>
        <w:rPr>
          <w:rFonts w:ascii="黑体" w:eastAsia="黑体" w:hAnsi="黑体" w:hint="eastAsia"/>
          <w:szCs w:val="21"/>
        </w:rPr>
        <w:t>(</w:t>
      </w:r>
      <w:r>
        <w:rPr>
          <w:rFonts w:ascii="宋体" w:hAnsi="宋体" w:cs="宋体"/>
          <w:b/>
          <w:bCs/>
        </w:rPr>
        <w:t>BMD</w:t>
      </w:r>
      <w:r>
        <w:rPr>
          <w:rFonts w:ascii="宋体" w:hAnsi="宋体" w:cs="宋体" w:hint="eastAsia"/>
          <w:b/>
          <w:bCs/>
        </w:rPr>
        <w:t>)</w:t>
      </w:r>
      <w:r>
        <w:rPr>
          <w:rFonts w:ascii="宋体" w:hAnsi="宋体" w:cs="宋体"/>
          <w:b/>
          <w:bCs/>
        </w:rPr>
        <w:t>方法</w:t>
      </w:r>
    </w:p>
    <w:p w:rsidR="00000000" w:rsidRDefault="00000000">
      <w:pPr>
        <w:spacing w:line="360" w:lineRule="exact"/>
        <w:ind w:firstLineChars="200" w:firstLine="420"/>
        <w:rPr>
          <w:rFonts w:ascii="宋体" w:hAnsi="宋体" w:cs="宋体"/>
          <w:szCs w:val="21"/>
        </w:rPr>
      </w:pPr>
      <w:r>
        <w:rPr>
          <w:rFonts w:ascii="宋体" w:hAnsi="宋体" w:cs="宋体"/>
          <w:szCs w:val="21"/>
        </w:rPr>
        <w:t>BMD方法也可用来获得健康指导值，是NOAEL的替代方法。BMD方法可以确定风险评估中可以测量的低效应的暴露水平或POD的反应水平。该方法在统计分析中能够使用所有的剂量-反应数据，可以量化信息的不确定性。高度不确定性的数据(如样本量较小或组内个体差异大</w:t>
      </w:r>
      <w:r>
        <w:rPr>
          <w:rFonts w:ascii="宋体" w:hAnsi="宋体" w:cs="宋体" w:hint="eastAsia"/>
          <w:szCs w:val="21"/>
        </w:rPr>
        <w:t>等</w:t>
      </w:r>
      <w:r>
        <w:rPr>
          <w:rFonts w:ascii="宋体" w:hAnsi="宋体" w:cs="宋体"/>
          <w:szCs w:val="21"/>
        </w:rPr>
        <w:t>)可通过较低的健康指导值来反应。</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 xml:space="preserve">4.1.3.4 </w:t>
      </w:r>
      <w:r>
        <w:rPr>
          <w:rFonts w:ascii="宋体" w:hAnsi="宋体" w:cs="宋体"/>
          <w:b/>
          <w:bCs/>
        </w:rPr>
        <w:t>建立健康指导值的范围</w:t>
      </w:r>
    </w:p>
    <w:p w:rsidR="00000000" w:rsidRDefault="00000000">
      <w:pPr>
        <w:spacing w:line="360" w:lineRule="exact"/>
        <w:ind w:firstLineChars="200" w:firstLine="420"/>
        <w:rPr>
          <w:rFonts w:ascii="宋体" w:hAnsi="宋体" w:cs="宋体" w:hint="eastAsia"/>
          <w:szCs w:val="21"/>
        </w:rPr>
      </w:pPr>
      <w:r>
        <w:rPr>
          <w:rFonts w:ascii="宋体" w:hAnsi="宋体" w:cs="宋体"/>
          <w:szCs w:val="21"/>
        </w:rPr>
        <w:t>最好能覆盖整个人群。因为它通常是以最敏感的关键指标为基础进行建立的，可以有效保护最敏感的亚人群。但实际上，最敏感的关键指标往往不是同一亚人群。因此在某些情况下需要针对发育毒性和亚人群的观察终点来确定第二个健康指导值(或较高的健康指导值)。</w:t>
      </w:r>
      <w:bookmarkStart w:id="21" w:name="_Toc4809"/>
    </w:p>
    <w:p w:rsidR="00000000" w:rsidRDefault="00000000">
      <w:pPr>
        <w:pStyle w:val="aff0"/>
        <w:spacing w:beforeLines="50" w:before="156" w:afterLines="50" w:after="156" w:line="360" w:lineRule="exact"/>
        <w:rPr>
          <w:rFonts w:hAnsi="黑体"/>
        </w:rPr>
      </w:pPr>
      <w:bookmarkStart w:id="22" w:name="_Toc142055954"/>
      <w:r>
        <w:rPr>
          <w:rFonts w:hAnsi="黑体" w:hint="eastAsia"/>
        </w:rPr>
        <w:t>4</w:t>
      </w:r>
      <w:r>
        <w:rPr>
          <w:rFonts w:hAnsi="黑体"/>
        </w:rPr>
        <w:t>.2 暴露评估</w:t>
      </w:r>
      <w:bookmarkEnd w:id="21"/>
      <w:bookmarkEnd w:id="22"/>
    </w:p>
    <w:p w:rsidR="00000000" w:rsidRDefault="00000000">
      <w:pPr>
        <w:spacing w:beforeLines="50" w:before="156" w:afterLines="50" w:after="156" w:line="360" w:lineRule="exact"/>
        <w:outlineLvl w:val="2"/>
        <w:rPr>
          <w:rFonts w:ascii="黑体" w:eastAsia="黑体" w:hAnsi="黑体"/>
          <w:szCs w:val="21"/>
        </w:rPr>
      </w:pPr>
      <w:bookmarkStart w:id="23" w:name="_Toc142055955"/>
      <w:r>
        <w:rPr>
          <w:rFonts w:ascii="黑体" w:eastAsia="黑体" w:hAnsi="黑体" w:hint="eastAsia"/>
          <w:szCs w:val="21"/>
        </w:rPr>
        <w:t>4.2.1 定义</w:t>
      </w:r>
      <w:bookmarkEnd w:id="23"/>
    </w:p>
    <w:p w:rsidR="00000000" w:rsidRDefault="00000000">
      <w:pPr>
        <w:spacing w:line="360" w:lineRule="exact"/>
        <w:ind w:firstLineChars="200" w:firstLine="420"/>
        <w:rPr>
          <w:rFonts w:ascii="宋体" w:hAnsi="宋体" w:cs="宋体" w:hint="eastAsia"/>
          <w:szCs w:val="21"/>
        </w:rPr>
      </w:pPr>
      <w:r>
        <w:rPr>
          <w:rFonts w:ascii="宋体" w:hAnsi="宋体" w:cs="宋体"/>
          <w:szCs w:val="21"/>
        </w:rPr>
        <w:t>暴露评估是在动物组织中检测出兽药残留后，按照国际统一规定的食物消费系数，计算出估计摄入量(Estimated Daily Intake, EDI)，并与ADI进行比较，从而判断MRL制订是否合理。</w:t>
      </w:r>
    </w:p>
    <w:p w:rsidR="00000000" w:rsidRDefault="00000000">
      <w:pPr>
        <w:spacing w:beforeLines="50" w:before="156" w:afterLines="50" w:after="156" w:line="360" w:lineRule="exact"/>
        <w:outlineLvl w:val="2"/>
        <w:rPr>
          <w:rFonts w:ascii="黑体" w:eastAsia="黑体" w:hAnsi="黑体"/>
          <w:szCs w:val="21"/>
        </w:rPr>
      </w:pPr>
      <w:bookmarkStart w:id="24" w:name="_Toc142055956"/>
      <w:r>
        <w:rPr>
          <w:rFonts w:ascii="黑体" w:eastAsia="黑体" w:hAnsi="黑体" w:hint="eastAsia"/>
          <w:szCs w:val="21"/>
        </w:rPr>
        <w:t>4.2.2 范围</w:t>
      </w:r>
      <w:bookmarkEnd w:id="24"/>
    </w:p>
    <w:p w:rsidR="00000000" w:rsidRDefault="00000000">
      <w:pPr>
        <w:spacing w:line="360" w:lineRule="exact"/>
        <w:ind w:firstLineChars="200" w:firstLine="420"/>
        <w:rPr>
          <w:rFonts w:ascii="宋体" w:hAnsi="宋体" w:cs="宋体"/>
          <w:szCs w:val="21"/>
        </w:rPr>
      </w:pPr>
      <w:r>
        <w:rPr>
          <w:rFonts w:ascii="宋体" w:hAnsi="宋体" w:cs="宋体"/>
          <w:szCs w:val="21"/>
        </w:rPr>
        <w:t>膳食暴露评估不仅要覆盖一般人群还要覆盖重点人群，其中重点人群包括对受试化合物的危害比较敏感以及相比一般人来说暴露水平有显著差异的人群，例如素食者、婴儿、儿童、孕妇和老年人。</w:t>
      </w:r>
    </w:p>
    <w:p w:rsidR="00000000" w:rsidRDefault="00000000">
      <w:pPr>
        <w:spacing w:beforeLines="50" w:before="156" w:afterLines="50" w:after="156" w:line="360" w:lineRule="exact"/>
        <w:outlineLvl w:val="2"/>
        <w:rPr>
          <w:rFonts w:ascii="黑体" w:eastAsia="黑体" w:hAnsi="黑体"/>
          <w:szCs w:val="21"/>
        </w:rPr>
      </w:pPr>
      <w:bookmarkStart w:id="25" w:name="_Toc142055957"/>
      <w:r>
        <w:rPr>
          <w:rFonts w:ascii="黑体" w:eastAsia="黑体" w:hAnsi="黑体" w:hint="eastAsia"/>
          <w:szCs w:val="21"/>
        </w:rPr>
        <w:t>4.2.3 数据来源</w:t>
      </w:r>
      <w:bookmarkEnd w:id="25"/>
    </w:p>
    <w:p w:rsidR="00000000" w:rsidRDefault="00000000">
      <w:pPr>
        <w:spacing w:beforeLines="50" w:before="156" w:afterLines="50" w:after="156" w:line="360" w:lineRule="exact"/>
        <w:rPr>
          <w:rFonts w:ascii="宋体" w:hAnsi="宋体" w:cs="宋体"/>
          <w:b/>
          <w:bCs/>
        </w:rPr>
      </w:pPr>
      <w:r>
        <w:rPr>
          <w:rFonts w:ascii="宋体" w:hAnsi="宋体" w:cs="宋体" w:hint="eastAsia"/>
          <w:b/>
          <w:bCs/>
        </w:rPr>
        <w:lastRenderedPageBreak/>
        <w:t xml:space="preserve">4.2.3.1 </w:t>
      </w:r>
      <w:r>
        <w:rPr>
          <w:rFonts w:ascii="宋体" w:hAnsi="宋体" w:cs="宋体"/>
          <w:b/>
          <w:bCs/>
        </w:rPr>
        <w:t>食品中化合物含量的数据来源</w:t>
      </w:r>
    </w:p>
    <w:p w:rsidR="00000000" w:rsidRDefault="00000000">
      <w:pPr>
        <w:spacing w:line="360" w:lineRule="exact"/>
        <w:ind w:firstLineChars="200" w:firstLine="420"/>
        <w:rPr>
          <w:rFonts w:ascii="宋体" w:hAnsi="宋体" w:cs="宋体"/>
          <w:szCs w:val="21"/>
        </w:rPr>
      </w:pPr>
      <w:r>
        <w:rPr>
          <w:rFonts w:ascii="宋体" w:hAnsi="宋体" w:cs="宋体"/>
          <w:szCs w:val="21"/>
        </w:rPr>
        <w:t>该数据来源多样，即包括建议的最大残留限量、总膳食研究、数据库、监测数据、兽药残留消除试验，也可以来源于科学文献。最精确的数据通常源于检测即食状态的食物所得到的结果。通过调查获取食物中的化合物含量时需要有效的采样计划和分析方法。常用的食物分析方法有两类，一是对混合食物的样品进行分析，二是对单一食物的样品进行分析。</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4.2.3.2 食物消费资料的获取</w:t>
      </w:r>
    </w:p>
    <w:p w:rsidR="00000000" w:rsidRDefault="00000000">
      <w:pPr>
        <w:spacing w:line="360" w:lineRule="exact"/>
        <w:ind w:firstLineChars="200" w:firstLine="420"/>
        <w:rPr>
          <w:rFonts w:ascii="宋体" w:hAnsi="宋体" w:cs="宋体"/>
          <w:szCs w:val="21"/>
        </w:rPr>
      </w:pPr>
      <w:r>
        <w:rPr>
          <w:rFonts w:ascii="宋体" w:hAnsi="宋体" w:cs="宋体"/>
          <w:szCs w:val="21"/>
        </w:rPr>
        <w:t>从食物平衡表中可以获得食物消费资料</w:t>
      </w:r>
      <w:r>
        <w:rPr>
          <w:rFonts w:ascii="宋体" w:hAnsi="宋体" w:cs="宋体" w:hint="eastAsia"/>
          <w:szCs w:val="21"/>
        </w:rPr>
        <w:t>，</w:t>
      </w:r>
      <w:r>
        <w:rPr>
          <w:rFonts w:ascii="宋体" w:hAnsi="宋体" w:cs="宋体"/>
          <w:szCs w:val="21"/>
        </w:rPr>
        <w:t>这些数据资料均是来源于我国食物生产、损失和使用情况的国家统计资料。膳食分类是基于食物平衡表建立的，并通过人均食物消费量表示。膳食暴露评估中使用的含量的数据格式应与食物消费的数据格式相匹配。</w:t>
      </w:r>
    </w:p>
    <w:p w:rsidR="00000000" w:rsidRDefault="00000000">
      <w:pPr>
        <w:spacing w:beforeLines="50" w:before="156" w:afterLines="50" w:after="156" w:line="360" w:lineRule="exact"/>
        <w:outlineLvl w:val="2"/>
        <w:rPr>
          <w:rFonts w:ascii="黑体" w:eastAsia="黑体" w:hAnsi="黑体"/>
          <w:szCs w:val="21"/>
        </w:rPr>
      </w:pPr>
      <w:bookmarkStart w:id="26" w:name="_Toc142055958"/>
      <w:r>
        <w:rPr>
          <w:rFonts w:ascii="黑体" w:eastAsia="黑体" w:hAnsi="黑体" w:hint="eastAsia"/>
          <w:szCs w:val="21"/>
        </w:rPr>
        <w:t xml:space="preserve">4.2.4 </w:t>
      </w:r>
      <w:r>
        <w:rPr>
          <w:rFonts w:ascii="黑体" w:eastAsia="黑体" w:hAnsi="黑体"/>
          <w:szCs w:val="21"/>
        </w:rPr>
        <w:t>膳食暴露评估的方法</w:t>
      </w:r>
      <w:bookmarkEnd w:id="26"/>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4.2.4.1</w:t>
      </w:r>
      <w:r>
        <w:rPr>
          <w:rFonts w:ascii="宋体" w:hAnsi="宋体" w:cs="宋体"/>
          <w:b/>
          <w:bCs/>
        </w:rPr>
        <w:t>对消费者暴露的全分布进行描述</w:t>
      </w:r>
    </w:p>
    <w:p w:rsidR="00000000" w:rsidRDefault="00000000">
      <w:pPr>
        <w:spacing w:line="360" w:lineRule="exact"/>
        <w:ind w:firstLineChars="200" w:firstLine="420"/>
        <w:rPr>
          <w:rFonts w:ascii="宋体" w:hAnsi="宋体" w:cs="宋体" w:hint="eastAsia"/>
          <w:szCs w:val="21"/>
        </w:rPr>
      </w:pPr>
      <w:r>
        <w:rPr>
          <w:rFonts w:ascii="宋体" w:hAnsi="宋体" w:cs="宋体" w:hint="eastAsia"/>
          <w:szCs w:val="21"/>
        </w:rPr>
        <w:t>该</w:t>
      </w:r>
      <w:r>
        <w:rPr>
          <w:rFonts w:ascii="宋体" w:hAnsi="宋体" w:cs="宋体"/>
          <w:szCs w:val="21"/>
        </w:rPr>
        <w:t>方法要求数据能反映出简单的食物经验分布估计，可以用数据集建立概率模型、随机采样(蒙特卡洛模拟法)、分层采样和拉丁超正方体模型。</w:t>
      </w:r>
    </w:p>
    <w:p w:rsidR="00000000" w:rsidRDefault="00000000">
      <w:pPr>
        <w:spacing w:beforeLines="50" w:before="156" w:afterLines="50" w:after="156" w:line="360" w:lineRule="exact"/>
        <w:rPr>
          <w:rFonts w:ascii="宋体" w:hAnsi="宋体" w:cs="宋体"/>
          <w:b/>
          <w:bCs/>
        </w:rPr>
      </w:pPr>
      <w:r>
        <w:rPr>
          <w:rFonts w:ascii="宋体" w:hAnsi="宋体" w:cs="宋体" w:hint="eastAsia"/>
          <w:b/>
          <w:bCs/>
        </w:rPr>
        <w:t>4.2.4.2 单一的点估计</w:t>
      </w:r>
    </w:p>
    <w:p w:rsidR="00000000" w:rsidRDefault="00000000">
      <w:pPr>
        <w:spacing w:line="360" w:lineRule="exact"/>
        <w:ind w:firstLineChars="200" w:firstLine="420"/>
        <w:rPr>
          <w:rFonts w:ascii="宋体" w:hAnsi="宋体" w:cs="宋体"/>
          <w:szCs w:val="21"/>
        </w:rPr>
      </w:pPr>
      <w:r>
        <w:rPr>
          <w:rFonts w:ascii="宋体" w:hAnsi="宋体" w:cs="宋体" w:hint="eastAsia"/>
          <w:szCs w:val="21"/>
        </w:rPr>
        <w:t>该</w:t>
      </w:r>
      <w:r>
        <w:rPr>
          <w:rFonts w:ascii="宋体" w:hAnsi="宋体" w:cs="宋体"/>
          <w:szCs w:val="21"/>
        </w:rPr>
        <w:t>方法可以描述一些消费者的暴露参数(如人群的平均暴露水平)，但只是一个单一的数值。点估计的方法有三种：一是筛选法；二是以对消费量进行粗略估计的暴露评估方法，例如理论最大添加每日摄入量(TAMDI)和其它膳食模型；三是依靠实际食物消费数据以及食品中化合物含量数据的精确暴露评估方法，例如双份饭研究、个体食物选择性研究和总膳食研究</w:t>
      </w:r>
      <w:r>
        <w:rPr>
          <w:rFonts w:ascii="宋体" w:hAnsi="宋体" w:cs="宋体" w:hint="eastAsia"/>
          <w:szCs w:val="21"/>
        </w:rPr>
        <w:t>等</w:t>
      </w:r>
      <w:r>
        <w:rPr>
          <w:rFonts w:ascii="宋体" w:hAnsi="宋体" w:cs="宋体"/>
          <w:szCs w:val="21"/>
        </w:rPr>
        <w:t>。</w:t>
      </w:r>
    </w:p>
    <w:p w:rsidR="00000000" w:rsidRDefault="00000000">
      <w:pPr>
        <w:pStyle w:val="aff0"/>
        <w:spacing w:beforeLines="50" w:before="156" w:afterLines="50" w:after="156" w:line="360" w:lineRule="exact"/>
        <w:rPr>
          <w:rFonts w:hAnsi="黑体"/>
        </w:rPr>
      </w:pPr>
      <w:bookmarkStart w:id="27" w:name="_Toc11218"/>
      <w:bookmarkStart w:id="28" w:name="_Toc142055959"/>
      <w:r>
        <w:rPr>
          <w:rFonts w:hAnsi="黑体" w:hint="eastAsia"/>
        </w:rPr>
        <w:t>4</w:t>
      </w:r>
      <w:r>
        <w:rPr>
          <w:rFonts w:hAnsi="黑体"/>
        </w:rPr>
        <w:t>.3 风险特征描述</w:t>
      </w:r>
      <w:bookmarkEnd w:id="27"/>
      <w:bookmarkEnd w:id="28"/>
    </w:p>
    <w:p w:rsidR="00000000" w:rsidRDefault="00000000">
      <w:pPr>
        <w:spacing w:beforeLines="50" w:before="156" w:afterLines="50" w:after="156" w:line="360" w:lineRule="exact"/>
        <w:outlineLvl w:val="2"/>
        <w:rPr>
          <w:rFonts w:ascii="黑体" w:eastAsia="黑体" w:hAnsi="黑体" w:hint="eastAsia"/>
          <w:szCs w:val="21"/>
        </w:rPr>
      </w:pPr>
      <w:bookmarkStart w:id="29" w:name="_Toc142055960"/>
      <w:r>
        <w:rPr>
          <w:rFonts w:ascii="黑体" w:eastAsia="黑体" w:hAnsi="黑体" w:hint="eastAsia"/>
          <w:szCs w:val="21"/>
        </w:rPr>
        <w:t xml:space="preserve">4.3.1 </w:t>
      </w:r>
      <w:bookmarkEnd w:id="29"/>
      <w:r>
        <w:rPr>
          <w:rFonts w:ascii="黑体" w:eastAsia="黑体" w:hAnsi="黑体" w:hint="eastAsia"/>
          <w:szCs w:val="21"/>
        </w:rPr>
        <w:t>要求</w:t>
      </w:r>
    </w:p>
    <w:p w:rsidR="00000000" w:rsidRDefault="00000000">
      <w:pPr>
        <w:spacing w:line="360" w:lineRule="exact"/>
        <w:ind w:firstLineChars="200" w:firstLine="420"/>
        <w:rPr>
          <w:rFonts w:ascii="宋体" w:hAnsi="宋体" w:cs="宋体"/>
          <w:szCs w:val="21"/>
        </w:rPr>
      </w:pPr>
      <w:r>
        <w:rPr>
          <w:rFonts w:ascii="宋体" w:hAnsi="宋体" w:cs="宋体"/>
          <w:szCs w:val="21"/>
        </w:rPr>
        <w:t>风险特征描述是整合危害特征描述和暴露评估的信息之后，向风险管理者提出合理建议。</w:t>
      </w:r>
    </w:p>
    <w:p w:rsidR="00000000" w:rsidRDefault="00000000">
      <w:pPr>
        <w:spacing w:beforeLines="50" w:before="156" w:afterLines="50" w:after="156" w:line="360" w:lineRule="exact"/>
        <w:outlineLvl w:val="2"/>
        <w:rPr>
          <w:rFonts w:ascii="黑体" w:eastAsia="黑体" w:hAnsi="黑体"/>
          <w:szCs w:val="21"/>
        </w:rPr>
      </w:pPr>
      <w:bookmarkStart w:id="30" w:name="_Toc142055961"/>
      <w:r>
        <w:rPr>
          <w:rFonts w:ascii="黑体" w:eastAsia="黑体" w:hAnsi="黑体" w:hint="eastAsia"/>
          <w:szCs w:val="21"/>
        </w:rPr>
        <w:t>4.3.2 联合暴露风险评估</w:t>
      </w:r>
      <w:bookmarkEnd w:id="30"/>
    </w:p>
    <w:p w:rsidR="00000000" w:rsidRDefault="00000000">
      <w:pPr>
        <w:spacing w:line="360" w:lineRule="exact"/>
        <w:ind w:firstLineChars="200" w:firstLine="420"/>
        <w:rPr>
          <w:rFonts w:ascii="宋体" w:hAnsi="宋体" w:cs="宋体"/>
          <w:szCs w:val="21"/>
        </w:rPr>
      </w:pPr>
      <w:r>
        <w:rPr>
          <w:rFonts w:ascii="宋体" w:hAnsi="宋体" w:cs="宋体"/>
          <w:szCs w:val="21"/>
        </w:rPr>
        <w:t>混合兽药所引起的联合暴露风险日益引起人们的关注。某些以混合物形式存在的兽药，应对其进行食品安全风险评估，并根据受试混合物的资料建立兽药残留的ADI值。毒性当量因子法(TEF)是评估兽药剂量相加作用时的一种常用方法，它将兽药混合物中的每种成分与指示化合物的毒性相比较，用来计算其暴露量。</w:t>
      </w:r>
    </w:p>
    <w:p w:rsidR="00000000" w:rsidRDefault="00000000">
      <w:pPr>
        <w:spacing w:beforeLines="50" w:before="156" w:afterLines="50" w:after="156" w:line="360" w:lineRule="exact"/>
        <w:outlineLvl w:val="2"/>
        <w:rPr>
          <w:rFonts w:ascii="黑体" w:eastAsia="黑体" w:hAnsi="黑体"/>
          <w:szCs w:val="21"/>
        </w:rPr>
      </w:pPr>
      <w:bookmarkStart w:id="31" w:name="_Toc142055962"/>
      <w:r>
        <w:rPr>
          <w:rFonts w:ascii="黑体" w:eastAsia="黑体" w:hAnsi="黑体" w:hint="eastAsia"/>
          <w:szCs w:val="21"/>
        </w:rPr>
        <w:t>4.3.3 有遗传毒性和致癌性兽药的健康指导值的建立</w:t>
      </w:r>
      <w:bookmarkEnd w:id="31"/>
    </w:p>
    <w:p w:rsidR="00000000" w:rsidRDefault="00000000">
      <w:pPr>
        <w:spacing w:line="360" w:lineRule="exact"/>
        <w:ind w:firstLineChars="200" w:firstLine="420"/>
        <w:rPr>
          <w:rFonts w:ascii="宋体" w:hAnsi="宋体" w:cs="宋体"/>
          <w:szCs w:val="21"/>
        </w:rPr>
      </w:pPr>
      <w:r>
        <w:rPr>
          <w:rFonts w:ascii="宋体" w:hAnsi="宋体" w:cs="宋体"/>
          <w:szCs w:val="21"/>
        </w:rPr>
        <w:t>一般认为有遗传毒性和致癌性的兽药可以不设定其健康指导值，因为它在任何暴露水平都会有不同程度的风险并且没有阈值剂量，但是对那些可通过非遗传毒性机制来诱导实验动物发生癌症的有阈值的化合物，可设定健康指导值。</w:t>
      </w:r>
    </w:p>
    <w:p w:rsidR="00000000" w:rsidRDefault="00000000">
      <w:pPr>
        <w:spacing w:beforeLines="50" w:before="156" w:afterLines="50" w:after="156" w:line="360" w:lineRule="exact"/>
        <w:outlineLvl w:val="2"/>
        <w:rPr>
          <w:rFonts w:ascii="黑体" w:eastAsia="黑体" w:hAnsi="黑体"/>
          <w:szCs w:val="21"/>
        </w:rPr>
      </w:pPr>
      <w:bookmarkStart w:id="32" w:name="_Toc142055963"/>
      <w:r>
        <w:rPr>
          <w:rFonts w:ascii="黑体" w:eastAsia="黑体" w:hAnsi="黑体" w:hint="eastAsia"/>
          <w:szCs w:val="21"/>
        </w:rPr>
        <w:t>4.3.4</w:t>
      </w:r>
      <w:r>
        <w:rPr>
          <w:rFonts w:ascii="黑体" w:eastAsia="黑体" w:hAnsi="黑体"/>
          <w:szCs w:val="21"/>
        </w:rPr>
        <w:t xml:space="preserve"> </w:t>
      </w:r>
      <w:r>
        <w:rPr>
          <w:rFonts w:ascii="黑体" w:eastAsia="黑体" w:hAnsi="黑体" w:hint="eastAsia"/>
          <w:szCs w:val="21"/>
        </w:rPr>
        <w:t>既有遗传毒性又有致癌性化合物的暴露评估</w:t>
      </w:r>
      <w:bookmarkEnd w:id="32"/>
    </w:p>
    <w:p w:rsidR="00000000" w:rsidRDefault="00000000">
      <w:pPr>
        <w:spacing w:line="360" w:lineRule="exact"/>
        <w:ind w:firstLineChars="200" w:firstLine="420"/>
        <w:rPr>
          <w:rFonts w:ascii="宋体" w:hAnsi="宋体" w:cs="宋体"/>
          <w:szCs w:val="21"/>
        </w:rPr>
      </w:pPr>
      <w:r>
        <w:rPr>
          <w:rFonts w:ascii="宋体" w:hAnsi="宋体" w:cs="宋体"/>
          <w:szCs w:val="21"/>
        </w:rPr>
        <w:lastRenderedPageBreak/>
        <w:t>既有遗传毒性又有致癌性的化合物，一般不适合作为兽药。对这类化合物的暴露评估与其它类型的污染物相同。风险特征描述可采取三种不同的形式：①</w:t>
      </w:r>
      <w:r>
        <w:rPr>
          <w:rFonts w:ascii="宋体" w:hAnsi="宋体" w:cs="宋体" w:hint="eastAsia"/>
          <w:szCs w:val="21"/>
        </w:rPr>
        <w:t xml:space="preserve"> </w:t>
      </w:r>
      <w:r>
        <w:rPr>
          <w:rFonts w:ascii="宋体" w:hAnsi="宋体" w:cs="宋体"/>
          <w:szCs w:val="21"/>
        </w:rPr>
        <w:t>计算人体估计暴露量与引起较低但确定的肿瘤发生率通常来自于动物实验剂量之间的MOE；②</w:t>
      </w:r>
      <w:r>
        <w:rPr>
          <w:rFonts w:ascii="宋体" w:hAnsi="宋体" w:cs="宋体" w:hint="eastAsia"/>
          <w:szCs w:val="21"/>
        </w:rPr>
        <w:t xml:space="preserve"> </w:t>
      </w:r>
      <w:r>
        <w:rPr>
          <w:rFonts w:ascii="宋体" w:hAnsi="宋体" w:cs="宋体"/>
          <w:szCs w:val="21"/>
        </w:rPr>
        <w:t>用超出动物实验中观测剂量范围的剂量-反应分析来计算与预定的肿瘤发生率(例如一生中癌症风险增加百万分之一)有关的理论暴露量或与人体估计暴露值有关的理论肿瘤发生率；③</w:t>
      </w:r>
      <w:r>
        <w:rPr>
          <w:rFonts w:ascii="宋体" w:hAnsi="宋体" w:cs="宋体" w:hint="eastAsia"/>
          <w:szCs w:val="21"/>
        </w:rPr>
        <w:t xml:space="preserve"> </w:t>
      </w:r>
      <w:r>
        <w:rPr>
          <w:rFonts w:ascii="宋体" w:hAnsi="宋体" w:cs="宋体"/>
          <w:szCs w:val="21"/>
        </w:rPr>
        <w:t>由POD (如BMDL)进行的线性低剂量外推。这三种方法中第三种由POD进行的线性低剂量外推和MOE是最实用和有效的。既有致癌性又有遗传毒性的化合物的有关建议应以估计的MOE为依据提出，在给风险管理者提供建议时，应同时指出用于计算MOE数据时所固有的优缺点，并附上针对MOE解释的建议。</w:t>
      </w:r>
    </w:p>
    <w:p w:rsidR="00000000" w:rsidRDefault="00000000">
      <w:pPr>
        <w:spacing w:beforeLines="50" w:before="156" w:afterLines="50" w:after="156" w:line="360" w:lineRule="exact"/>
        <w:outlineLvl w:val="2"/>
        <w:rPr>
          <w:rFonts w:ascii="黑体" w:eastAsia="黑体" w:hAnsi="黑体"/>
          <w:szCs w:val="21"/>
        </w:rPr>
      </w:pPr>
      <w:bookmarkStart w:id="33" w:name="_Toc142055964"/>
      <w:r>
        <w:rPr>
          <w:rFonts w:ascii="黑体" w:eastAsia="黑体" w:hAnsi="黑体" w:hint="eastAsia"/>
          <w:szCs w:val="21"/>
        </w:rPr>
        <w:t>4.3.5</w:t>
      </w:r>
      <w:r>
        <w:rPr>
          <w:rFonts w:ascii="黑体" w:eastAsia="黑体" w:hAnsi="黑体"/>
          <w:szCs w:val="21"/>
        </w:rPr>
        <w:t xml:space="preserve"> </w:t>
      </w:r>
      <w:r>
        <w:rPr>
          <w:rFonts w:ascii="黑体" w:eastAsia="黑体" w:hAnsi="黑体" w:hint="eastAsia"/>
          <w:szCs w:val="21"/>
        </w:rPr>
        <w:t>风险特征描述的变异性和不确定性</w:t>
      </w:r>
      <w:bookmarkEnd w:id="33"/>
    </w:p>
    <w:p w:rsidR="00000000" w:rsidRDefault="00000000">
      <w:pPr>
        <w:spacing w:line="360" w:lineRule="exact"/>
        <w:ind w:firstLineChars="200" w:firstLine="420"/>
        <w:rPr>
          <w:rFonts w:ascii="宋体" w:hAnsi="宋体" w:cs="宋体"/>
          <w:szCs w:val="21"/>
        </w:rPr>
      </w:pPr>
      <w:r>
        <w:rPr>
          <w:rFonts w:ascii="宋体" w:hAnsi="宋体" w:cs="宋体"/>
          <w:szCs w:val="21"/>
        </w:rPr>
        <w:t>风险特征描述应考虑到变异性和不确定性，并加以描述。这两者虽然都可以用概率分布进行描述，但其实他们是不同的概念。变异性的模型使用的是一种描述性统计分析，它可以得到一个针对人群而不是针对个体的模型。例如人群膳食暴露变异性的特征描述，可以通过获得更多的信息改善，但是这种变异性无法消除。随着现有信息的数量和质量的提升可以使不确定性降低；风险特征描述应包括对暴露和健康效应不确定性的描述性评价。对那些不确定性影响程度最大的因素(如浓度或食物消费数据)可采用敏感性分析这种定量技术来发现。</w:t>
      </w:r>
    </w:p>
    <w:p w:rsidR="00000000" w:rsidRPr="00CC6120" w:rsidRDefault="00000000" w:rsidP="00CC6120">
      <w:pPr>
        <w:pStyle w:val="1"/>
        <w:spacing w:beforeLines="50" w:before="156" w:afterLines="50" w:after="156" w:line="360" w:lineRule="exact"/>
        <w:rPr>
          <w:rFonts w:ascii="黑体" w:eastAsia="黑体" w:hAnsi="黑体" w:hint="eastAsia"/>
          <w:b w:val="0"/>
          <w:bCs w:val="0"/>
          <w:sz w:val="21"/>
          <w:szCs w:val="21"/>
        </w:rPr>
      </w:pPr>
      <w:r w:rsidRPr="00CC6120">
        <w:rPr>
          <w:rFonts w:ascii="黑体" w:eastAsia="黑体" w:hAnsi="黑体" w:hint="eastAsia"/>
          <w:b w:val="0"/>
          <w:bCs w:val="0"/>
          <w:sz w:val="21"/>
          <w:szCs w:val="21"/>
        </w:rPr>
        <w:t>参考文献</w:t>
      </w:r>
    </w:p>
    <w:p w:rsidR="00000000" w:rsidRDefault="00000000">
      <w:pPr>
        <w:spacing w:line="360" w:lineRule="exact"/>
        <w:ind w:firstLineChars="200" w:firstLine="420"/>
        <w:rPr>
          <w:rFonts w:ascii="宋体" w:hAnsi="宋体" w:cs="宋体" w:hint="eastAsia"/>
          <w:szCs w:val="21"/>
        </w:rPr>
      </w:pPr>
      <w:r>
        <w:rPr>
          <w:rFonts w:ascii="宋体" w:hAnsi="宋体" w:cs="宋体"/>
          <w:szCs w:val="21"/>
        </w:rPr>
        <w:t>VICH</w:t>
      </w:r>
      <w:r>
        <w:rPr>
          <w:rFonts w:ascii="宋体" w:hAnsi="宋体" w:cs="宋体" w:hint="eastAsia"/>
          <w:szCs w:val="21"/>
        </w:rPr>
        <w:t xml:space="preserve"> G</w:t>
      </w:r>
      <w:r>
        <w:rPr>
          <w:rFonts w:ascii="宋体" w:hAnsi="宋体" w:cs="宋体"/>
          <w:szCs w:val="21"/>
        </w:rPr>
        <w:t>uideline on environmental impact assessment (eias) for veterinary medicinal products-phase Ⅰ</w:t>
      </w:r>
    </w:p>
    <w:p w:rsidR="005257F2" w:rsidRDefault="00000000" w:rsidP="00CC6120">
      <w:pPr>
        <w:spacing w:line="360" w:lineRule="exact"/>
        <w:ind w:firstLineChars="200" w:firstLine="420"/>
        <w:rPr>
          <w:rFonts w:ascii="宋体" w:hAnsi="宋体" w:cs="宋体"/>
          <w:szCs w:val="21"/>
        </w:rPr>
      </w:pPr>
      <w:r>
        <w:rPr>
          <w:rFonts w:ascii="宋体" w:hAnsi="宋体" w:cs="宋体"/>
          <w:szCs w:val="21"/>
        </w:rPr>
        <w:t>EMA</w:t>
      </w:r>
      <w:r>
        <w:rPr>
          <w:rFonts w:ascii="宋体" w:hAnsi="宋体" w:cs="宋体" w:hint="eastAsia"/>
          <w:szCs w:val="21"/>
        </w:rPr>
        <w:t xml:space="preserve"> </w:t>
      </w:r>
      <w:r>
        <w:rPr>
          <w:rFonts w:ascii="宋体" w:hAnsi="宋体" w:cs="宋体"/>
          <w:szCs w:val="21"/>
        </w:rPr>
        <w:t>Environmental risk assessment for veterinary medicinal products other than GMO-containing and immunological products</w:t>
      </w:r>
    </w:p>
    <w:sectPr w:rsidR="005257F2">
      <w:footerReference w:type="default" r:id="rId15"/>
      <w:pgSz w:w="11906" w:h="16838"/>
      <w:pgMar w:top="1418" w:right="1418" w:bottom="1418" w:left="1418"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0F50" w:rsidRDefault="00DE0F50">
      <w:r>
        <w:separator/>
      </w:r>
    </w:p>
  </w:endnote>
  <w:endnote w:type="continuationSeparator" w:id="0">
    <w:p w:rsidR="00DE0F50" w:rsidRDefault="00DE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CC6120">
    <w:pPr>
      <w:pStyle w:val="a7"/>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6120" w:rsidRDefault="00CC612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6120" w:rsidRDefault="00CC612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a7"/>
      <w:jc w:val="center"/>
    </w:pPr>
    <w:r>
      <w:fldChar w:fldCharType="begin"/>
    </w:r>
    <w:r>
      <w:instrText>PAGE   \* MERGEFORMAT</w:instrText>
    </w:r>
    <w:r>
      <w:fldChar w:fldCharType="separate"/>
    </w:r>
    <w:r>
      <w:rPr>
        <w:lang w:val="zh-CN"/>
      </w:rPr>
      <w:t>2</w:t>
    </w:r>
    <w:r>
      <w:fldChar w:fldCharType="end"/>
    </w:r>
  </w:p>
  <w:p w:rsidR="00000000" w:rsidRDefault="00000000">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CC6120">
    <w:pPr>
      <w:pStyle w:val="a7"/>
      <w:jc w:val="right"/>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CC6120">
    <w:pPr>
      <w:pStyle w:val="a7"/>
      <w:jc w:val="right"/>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0F50" w:rsidRDefault="00DE0F50">
      <w:r>
        <w:separator/>
      </w:r>
    </w:p>
  </w:footnote>
  <w:footnote w:type="continuationSeparator" w:id="0">
    <w:p w:rsidR="00DE0F50" w:rsidRDefault="00DE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CC6120">
    <w:pPr>
      <w:pStyle w:val="afe"/>
      <w:jc w:val="left"/>
      <w:rPr>
        <w:rFonts w:hint="eastAsia"/>
      </w:rPr>
    </w:pPr>
    <w:r>
      <w:t>T/HBST 001-2023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a9"/>
      <w:pBdr>
        <w:bottom w:val="none" w:sz="0" w:space="1" w:color="auto"/>
      </w:pBdr>
      <w:jc w:val="right"/>
      <w:rPr>
        <w:rFonts w:ascii="Times New Roman" w:hAnsi="Times New Roma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6120" w:rsidRDefault="00CC612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CC6120">
    <w:pPr>
      <w:pStyle w:val="afe"/>
      <w:rPr>
        <w:rFonts w:hint="eastAsia"/>
      </w:rPr>
    </w:pPr>
    <w:r>
      <w:t>T/HBST 001-2023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ZiYjkzMTgyMjZkNWE0Mzk5NWFhNDJlZTIxOTVmNDgifQ=="/>
  </w:docVars>
  <w:rsids>
    <w:rsidRoot w:val="00172A27"/>
    <w:rsid w:val="00026840"/>
    <w:rsid w:val="0003506B"/>
    <w:rsid w:val="000361C1"/>
    <w:rsid w:val="00047DC8"/>
    <w:rsid w:val="00067390"/>
    <w:rsid w:val="00087880"/>
    <w:rsid w:val="000C53EC"/>
    <w:rsid w:val="000C5D3D"/>
    <w:rsid w:val="000C77BE"/>
    <w:rsid w:val="000F1159"/>
    <w:rsid w:val="000F22F1"/>
    <w:rsid w:val="0014056B"/>
    <w:rsid w:val="00143111"/>
    <w:rsid w:val="00150AEE"/>
    <w:rsid w:val="00164D72"/>
    <w:rsid w:val="00166287"/>
    <w:rsid w:val="00172A27"/>
    <w:rsid w:val="00175B5D"/>
    <w:rsid w:val="00196280"/>
    <w:rsid w:val="001A72D3"/>
    <w:rsid w:val="001D5E3D"/>
    <w:rsid w:val="001D6FF9"/>
    <w:rsid w:val="002162B4"/>
    <w:rsid w:val="00266CB3"/>
    <w:rsid w:val="002A5536"/>
    <w:rsid w:val="002A5907"/>
    <w:rsid w:val="002D085E"/>
    <w:rsid w:val="00301947"/>
    <w:rsid w:val="00315D0C"/>
    <w:rsid w:val="003272B0"/>
    <w:rsid w:val="003E7D70"/>
    <w:rsid w:val="004113D5"/>
    <w:rsid w:val="0044371F"/>
    <w:rsid w:val="00444655"/>
    <w:rsid w:val="00496188"/>
    <w:rsid w:val="004B3D76"/>
    <w:rsid w:val="004C1B8C"/>
    <w:rsid w:val="004E4817"/>
    <w:rsid w:val="005257F2"/>
    <w:rsid w:val="00561EEC"/>
    <w:rsid w:val="00563617"/>
    <w:rsid w:val="00592E6F"/>
    <w:rsid w:val="005B435D"/>
    <w:rsid w:val="00616F44"/>
    <w:rsid w:val="006654A0"/>
    <w:rsid w:val="006D7A4E"/>
    <w:rsid w:val="006E6810"/>
    <w:rsid w:val="00724EBB"/>
    <w:rsid w:val="0075643D"/>
    <w:rsid w:val="007C627C"/>
    <w:rsid w:val="007D7839"/>
    <w:rsid w:val="00815A30"/>
    <w:rsid w:val="008179A3"/>
    <w:rsid w:val="00821611"/>
    <w:rsid w:val="00827ED8"/>
    <w:rsid w:val="00830C81"/>
    <w:rsid w:val="00836A38"/>
    <w:rsid w:val="00844DF7"/>
    <w:rsid w:val="00846CD6"/>
    <w:rsid w:val="0085377D"/>
    <w:rsid w:val="0086123A"/>
    <w:rsid w:val="00876B76"/>
    <w:rsid w:val="0088309C"/>
    <w:rsid w:val="00894C1A"/>
    <w:rsid w:val="008C5ADD"/>
    <w:rsid w:val="008D6A5C"/>
    <w:rsid w:val="00901177"/>
    <w:rsid w:val="009015AD"/>
    <w:rsid w:val="00913239"/>
    <w:rsid w:val="00960628"/>
    <w:rsid w:val="00966CE3"/>
    <w:rsid w:val="00987BB7"/>
    <w:rsid w:val="009C00FC"/>
    <w:rsid w:val="009D29DA"/>
    <w:rsid w:val="009F506D"/>
    <w:rsid w:val="00A028A1"/>
    <w:rsid w:val="00A37FDF"/>
    <w:rsid w:val="00A53045"/>
    <w:rsid w:val="00A66E6F"/>
    <w:rsid w:val="00A709F2"/>
    <w:rsid w:val="00AB12AF"/>
    <w:rsid w:val="00AE28E5"/>
    <w:rsid w:val="00AE7B20"/>
    <w:rsid w:val="00B03BC6"/>
    <w:rsid w:val="00B40E1D"/>
    <w:rsid w:val="00B96CAA"/>
    <w:rsid w:val="00C14DBD"/>
    <w:rsid w:val="00C56EBC"/>
    <w:rsid w:val="00C60059"/>
    <w:rsid w:val="00C60DAE"/>
    <w:rsid w:val="00C613B8"/>
    <w:rsid w:val="00C8306F"/>
    <w:rsid w:val="00C85C0B"/>
    <w:rsid w:val="00CC6120"/>
    <w:rsid w:val="00CD5C24"/>
    <w:rsid w:val="00CE58D7"/>
    <w:rsid w:val="00CE66C2"/>
    <w:rsid w:val="00CF1E51"/>
    <w:rsid w:val="00D17380"/>
    <w:rsid w:val="00D77C30"/>
    <w:rsid w:val="00DD2536"/>
    <w:rsid w:val="00DE0F50"/>
    <w:rsid w:val="00DF08E9"/>
    <w:rsid w:val="00E46F05"/>
    <w:rsid w:val="00E511DA"/>
    <w:rsid w:val="00E61D17"/>
    <w:rsid w:val="00E974A9"/>
    <w:rsid w:val="00EA3083"/>
    <w:rsid w:val="00EE51ED"/>
    <w:rsid w:val="00EF6F39"/>
    <w:rsid w:val="00F033C6"/>
    <w:rsid w:val="00F03EC3"/>
    <w:rsid w:val="00F9402A"/>
    <w:rsid w:val="00FB5573"/>
    <w:rsid w:val="00FD24F2"/>
    <w:rsid w:val="01967DCC"/>
    <w:rsid w:val="02F96633"/>
    <w:rsid w:val="039E565E"/>
    <w:rsid w:val="04051239"/>
    <w:rsid w:val="046C750A"/>
    <w:rsid w:val="04DD7F22"/>
    <w:rsid w:val="054A3BD8"/>
    <w:rsid w:val="057448C8"/>
    <w:rsid w:val="05805F8C"/>
    <w:rsid w:val="05C02ABE"/>
    <w:rsid w:val="05D6427E"/>
    <w:rsid w:val="062C7B3B"/>
    <w:rsid w:val="06395150"/>
    <w:rsid w:val="063B6996"/>
    <w:rsid w:val="06BD621D"/>
    <w:rsid w:val="06E0088A"/>
    <w:rsid w:val="071409ED"/>
    <w:rsid w:val="071D34DD"/>
    <w:rsid w:val="07EE6CAA"/>
    <w:rsid w:val="08643578"/>
    <w:rsid w:val="096A1B88"/>
    <w:rsid w:val="097430E9"/>
    <w:rsid w:val="0A7B4C77"/>
    <w:rsid w:val="0A85091A"/>
    <w:rsid w:val="0B9B5F95"/>
    <w:rsid w:val="0BA06DED"/>
    <w:rsid w:val="0BDB744F"/>
    <w:rsid w:val="0CDD2D53"/>
    <w:rsid w:val="0D7A67F4"/>
    <w:rsid w:val="0D8B27AF"/>
    <w:rsid w:val="0DA25D4B"/>
    <w:rsid w:val="0DD56120"/>
    <w:rsid w:val="0E1946DC"/>
    <w:rsid w:val="0EC56195"/>
    <w:rsid w:val="10505F32"/>
    <w:rsid w:val="10E8340E"/>
    <w:rsid w:val="11363BCC"/>
    <w:rsid w:val="11B76268"/>
    <w:rsid w:val="11E42DD6"/>
    <w:rsid w:val="1202500A"/>
    <w:rsid w:val="12902616"/>
    <w:rsid w:val="12B65235"/>
    <w:rsid w:val="130D0171"/>
    <w:rsid w:val="131A3751"/>
    <w:rsid w:val="13CC177B"/>
    <w:rsid w:val="14060DE1"/>
    <w:rsid w:val="14072DAB"/>
    <w:rsid w:val="142851FC"/>
    <w:rsid w:val="142E381C"/>
    <w:rsid w:val="145C4EA5"/>
    <w:rsid w:val="14AC117B"/>
    <w:rsid w:val="15604521"/>
    <w:rsid w:val="15DD5B72"/>
    <w:rsid w:val="15E52C78"/>
    <w:rsid w:val="16133C89"/>
    <w:rsid w:val="165A18B8"/>
    <w:rsid w:val="172A6D70"/>
    <w:rsid w:val="174F484D"/>
    <w:rsid w:val="17577BA6"/>
    <w:rsid w:val="179C380B"/>
    <w:rsid w:val="18147845"/>
    <w:rsid w:val="18AC52C0"/>
    <w:rsid w:val="1AB377E9"/>
    <w:rsid w:val="1AC83BF1"/>
    <w:rsid w:val="1B102A59"/>
    <w:rsid w:val="1C161DDD"/>
    <w:rsid w:val="1C374F62"/>
    <w:rsid w:val="1D666D95"/>
    <w:rsid w:val="1DE957CB"/>
    <w:rsid w:val="1DEB1048"/>
    <w:rsid w:val="1E0F2F88"/>
    <w:rsid w:val="1E110AAE"/>
    <w:rsid w:val="1E256308"/>
    <w:rsid w:val="1E334FC7"/>
    <w:rsid w:val="1E470974"/>
    <w:rsid w:val="1E6D7724"/>
    <w:rsid w:val="1E7828DC"/>
    <w:rsid w:val="1EAC576E"/>
    <w:rsid w:val="1F1D7927"/>
    <w:rsid w:val="1F3507CD"/>
    <w:rsid w:val="204B2369"/>
    <w:rsid w:val="20544C1B"/>
    <w:rsid w:val="206550E2"/>
    <w:rsid w:val="20D41F61"/>
    <w:rsid w:val="22310FEB"/>
    <w:rsid w:val="225605C5"/>
    <w:rsid w:val="229E48DB"/>
    <w:rsid w:val="23563407"/>
    <w:rsid w:val="246B4024"/>
    <w:rsid w:val="247D62D9"/>
    <w:rsid w:val="24E9171A"/>
    <w:rsid w:val="26A05D37"/>
    <w:rsid w:val="26BD782F"/>
    <w:rsid w:val="27304253"/>
    <w:rsid w:val="283755B5"/>
    <w:rsid w:val="29414FA3"/>
    <w:rsid w:val="29680A73"/>
    <w:rsid w:val="299C7365"/>
    <w:rsid w:val="2A0F1D7D"/>
    <w:rsid w:val="2A331DAD"/>
    <w:rsid w:val="2A495A74"/>
    <w:rsid w:val="2A9E7B6E"/>
    <w:rsid w:val="2AA61387"/>
    <w:rsid w:val="2AF6240B"/>
    <w:rsid w:val="2B527D99"/>
    <w:rsid w:val="2C610E53"/>
    <w:rsid w:val="2CC82C80"/>
    <w:rsid w:val="2D88240F"/>
    <w:rsid w:val="2E1534BA"/>
    <w:rsid w:val="2F77273B"/>
    <w:rsid w:val="30721FE8"/>
    <w:rsid w:val="32861E45"/>
    <w:rsid w:val="32FF13C6"/>
    <w:rsid w:val="331F4D38"/>
    <w:rsid w:val="33727F33"/>
    <w:rsid w:val="341D04ED"/>
    <w:rsid w:val="35044A71"/>
    <w:rsid w:val="36DD4C46"/>
    <w:rsid w:val="36E44867"/>
    <w:rsid w:val="36F2350F"/>
    <w:rsid w:val="375F68D7"/>
    <w:rsid w:val="37F963E3"/>
    <w:rsid w:val="3873382F"/>
    <w:rsid w:val="38EF77E6"/>
    <w:rsid w:val="39565AB7"/>
    <w:rsid w:val="39FF1CAB"/>
    <w:rsid w:val="3A1A4D37"/>
    <w:rsid w:val="3A271F90"/>
    <w:rsid w:val="3A314864"/>
    <w:rsid w:val="3A3E27D3"/>
    <w:rsid w:val="3A5E69D2"/>
    <w:rsid w:val="3AB660D7"/>
    <w:rsid w:val="3ABF58EF"/>
    <w:rsid w:val="3BD056AD"/>
    <w:rsid w:val="3C151342"/>
    <w:rsid w:val="3C6D114E"/>
    <w:rsid w:val="3CBE7FB1"/>
    <w:rsid w:val="3CD72A6B"/>
    <w:rsid w:val="3D7824A0"/>
    <w:rsid w:val="3D8878A0"/>
    <w:rsid w:val="3DCE0312"/>
    <w:rsid w:val="3E167422"/>
    <w:rsid w:val="3E5B04D8"/>
    <w:rsid w:val="3EC86B10"/>
    <w:rsid w:val="406E36E7"/>
    <w:rsid w:val="40953369"/>
    <w:rsid w:val="4096079D"/>
    <w:rsid w:val="40DD0533"/>
    <w:rsid w:val="410F0A26"/>
    <w:rsid w:val="4190745A"/>
    <w:rsid w:val="421A58D4"/>
    <w:rsid w:val="42925DB2"/>
    <w:rsid w:val="42B45D29"/>
    <w:rsid w:val="42BF022A"/>
    <w:rsid w:val="43710941"/>
    <w:rsid w:val="43BA7E80"/>
    <w:rsid w:val="43F263DD"/>
    <w:rsid w:val="4436451B"/>
    <w:rsid w:val="448A2C01"/>
    <w:rsid w:val="4494753F"/>
    <w:rsid w:val="44A44004"/>
    <w:rsid w:val="44B03CBD"/>
    <w:rsid w:val="455B692F"/>
    <w:rsid w:val="456F4704"/>
    <w:rsid w:val="45B24076"/>
    <w:rsid w:val="46357180"/>
    <w:rsid w:val="475F5678"/>
    <w:rsid w:val="47716305"/>
    <w:rsid w:val="48226315"/>
    <w:rsid w:val="489C7244"/>
    <w:rsid w:val="494669D8"/>
    <w:rsid w:val="49571065"/>
    <w:rsid w:val="496B110B"/>
    <w:rsid w:val="49BC54C3"/>
    <w:rsid w:val="4B133808"/>
    <w:rsid w:val="4C383261"/>
    <w:rsid w:val="4C433C79"/>
    <w:rsid w:val="4DA90454"/>
    <w:rsid w:val="4F5368C9"/>
    <w:rsid w:val="4F766114"/>
    <w:rsid w:val="4FCE7CFE"/>
    <w:rsid w:val="4FE9121A"/>
    <w:rsid w:val="50697A27"/>
    <w:rsid w:val="50982C20"/>
    <w:rsid w:val="50F53785"/>
    <w:rsid w:val="50FE0AB7"/>
    <w:rsid w:val="51573B9E"/>
    <w:rsid w:val="51DA69F7"/>
    <w:rsid w:val="51F021AD"/>
    <w:rsid w:val="52505830"/>
    <w:rsid w:val="526B3F2A"/>
    <w:rsid w:val="53986FA1"/>
    <w:rsid w:val="5436167A"/>
    <w:rsid w:val="545F7ABE"/>
    <w:rsid w:val="549C5409"/>
    <w:rsid w:val="54A86D6F"/>
    <w:rsid w:val="54BF40B9"/>
    <w:rsid w:val="55050666"/>
    <w:rsid w:val="554D04C2"/>
    <w:rsid w:val="56530F5D"/>
    <w:rsid w:val="565A4DA5"/>
    <w:rsid w:val="565C2507"/>
    <w:rsid w:val="56AB6FEB"/>
    <w:rsid w:val="56D2100B"/>
    <w:rsid w:val="570A3D11"/>
    <w:rsid w:val="575C02E5"/>
    <w:rsid w:val="57F239CD"/>
    <w:rsid w:val="58160494"/>
    <w:rsid w:val="582232DD"/>
    <w:rsid w:val="58B101BD"/>
    <w:rsid w:val="5923510B"/>
    <w:rsid w:val="59480B21"/>
    <w:rsid w:val="59861649"/>
    <w:rsid w:val="599B7036"/>
    <w:rsid w:val="5A0A5DD6"/>
    <w:rsid w:val="5A771648"/>
    <w:rsid w:val="5B4B66A7"/>
    <w:rsid w:val="5B743E4F"/>
    <w:rsid w:val="5B8322E4"/>
    <w:rsid w:val="5BFD6B22"/>
    <w:rsid w:val="5C624CB5"/>
    <w:rsid w:val="5CD00E19"/>
    <w:rsid w:val="5D4F626D"/>
    <w:rsid w:val="5E216F2D"/>
    <w:rsid w:val="5E765FFF"/>
    <w:rsid w:val="5F1020E1"/>
    <w:rsid w:val="5FA23411"/>
    <w:rsid w:val="601479AF"/>
    <w:rsid w:val="601C525F"/>
    <w:rsid w:val="605060C1"/>
    <w:rsid w:val="60765F74"/>
    <w:rsid w:val="60A56859"/>
    <w:rsid w:val="613A7578"/>
    <w:rsid w:val="613B49F1"/>
    <w:rsid w:val="61623082"/>
    <w:rsid w:val="61671D60"/>
    <w:rsid w:val="625D030C"/>
    <w:rsid w:val="62FD472A"/>
    <w:rsid w:val="632F44FB"/>
    <w:rsid w:val="637F5A87"/>
    <w:rsid w:val="63862972"/>
    <w:rsid w:val="63901A42"/>
    <w:rsid w:val="63D538F9"/>
    <w:rsid w:val="63DF2BDE"/>
    <w:rsid w:val="63FF42E8"/>
    <w:rsid w:val="649B244D"/>
    <w:rsid w:val="64C139A4"/>
    <w:rsid w:val="65257F68"/>
    <w:rsid w:val="65393A14"/>
    <w:rsid w:val="65442AE4"/>
    <w:rsid w:val="658729D1"/>
    <w:rsid w:val="65B33ED3"/>
    <w:rsid w:val="65BB267B"/>
    <w:rsid w:val="65D73958"/>
    <w:rsid w:val="6773145F"/>
    <w:rsid w:val="67A96C2F"/>
    <w:rsid w:val="69344C1E"/>
    <w:rsid w:val="693B7D5A"/>
    <w:rsid w:val="69A47FF6"/>
    <w:rsid w:val="6A060422"/>
    <w:rsid w:val="6A620445"/>
    <w:rsid w:val="6AD9782B"/>
    <w:rsid w:val="6AED3D13"/>
    <w:rsid w:val="6B15591F"/>
    <w:rsid w:val="6BB67B6C"/>
    <w:rsid w:val="6C1C0317"/>
    <w:rsid w:val="6D2C1208"/>
    <w:rsid w:val="6D535020"/>
    <w:rsid w:val="6E63518D"/>
    <w:rsid w:val="6FEC6252"/>
    <w:rsid w:val="6FFB0243"/>
    <w:rsid w:val="70253CA6"/>
    <w:rsid w:val="70AA51D2"/>
    <w:rsid w:val="710B6BAC"/>
    <w:rsid w:val="71186BD3"/>
    <w:rsid w:val="71E13469"/>
    <w:rsid w:val="72A00CEB"/>
    <w:rsid w:val="733F301B"/>
    <w:rsid w:val="734737A0"/>
    <w:rsid w:val="73776C12"/>
    <w:rsid w:val="738301F8"/>
    <w:rsid w:val="73E3796C"/>
    <w:rsid w:val="74281823"/>
    <w:rsid w:val="74FF330C"/>
    <w:rsid w:val="75263FB5"/>
    <w:rsid w:val="75501031"/>
    <w:rsid w:val="75653772"/>
    <w:rsid w:val="75BE484A"/>
    <w:rsid w:val="75EF1C4E"/>
    <w:rsid w:val="76522B87"/>
    <w:rsid w:val="76BD0ED5"/>
    <w:rsid w:val="76C27D0D"/>
    <w:rsid w:val="76E86A63"/>
    <w:rsid w:val="770519A8"/>
    <w:rsid w:val="77905715"/>
    <w:rsid w:val="78216CB5"/>
    <w:rsid w:val="786D349E"/>
    <w:rsid w:val="78A43AFB"/>
    <w:rsid w:val="79144124"/>
    <w:rsid w:val="7A5944E4"/>
    <w:rsid w:val="7AD46261"/>
    <w:rsid w:val="7BA07EF1"/>
    <w:rsid w:val="7CAC20C0"/>
    <w:rsid w:val="7CB023B6"/>
    <w:rsid w:val="7D0523BD"/>
    <w:rsid w:val="7D4D5E56"/>
    <w:rsid w:val="7E576F8D"/>
    <w:rsid w:val="7EEB6921"/>
    <w:rsid w:val="7F855747"/>
    <w:rsid w:val="7FAC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73E971-3374-4390-A243-0D7F79B3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toc 4" w:uiPriority="39" w:unhideWhenUsed="1"/>
    <w:lsdException w:name="header"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link w:val="30"/>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Calibri" w:eastAsia="宋体" w:hAnsi="Calibri" w:cs="Times New Roman"/>
      <w:b/>
      <w:bCs/>
      <w:kern w:val="44"/>
      <w:sz w:val="44"/>
      <w:szCs w:val="44"/>
    </w:rPr>
  </w:style>
  <w:style w:type="character" w:customStyle="1" w:styleId="30">
    <w:name w:val="标题 3 字符"/>
    <w:link w:val="3"/>
    <w:qFormat/>
    <w:rPr>
      <w:rFonts w:ascii="宋体" w:eastAsia="宋体" w:hAnsi="宋体" w:cs="Times New Roman" w:hint="eastAsia"/>
      <w:b/>
      <w:kern w:val="0"/>
      <w:sz w:val="27"/>
      <w:szCs w:val="27"/>
    </w:rPr>
  </w:style>
  <w:style w:type="paragraph" w:styleId="a3">
    <w:name w:val="annotation text"/>
    <w:basedOn w:val="a"/>
    <w:link w:val="a4"/>
    <w:pPr>
      <w:jc w:val="left"/>
    </w:pPr>
  </w:style>
  <w:style w:type="character" w:customStyle="1" w:styleId="a4">
    <w:name w:val="批注文字 字符"/>
    <w:link w:val="a3"/>
    <w:qFormat/>
    <w:rPr>
      <w:rFonts w:ascii="Calibri" w:eastAsia="宋体" w:hAnsi="Calibri" w:cs="Times New Roman"/>
      <w:kern w:val="2"/>
      <w:sz w:val="21"/>
      <w:szCs w:val="24"/>
    </w:rPr>
  </w:style>
  <w:style w:type="paragraph" w:styleId="TOC3">
    <w:name w:val="toc 3"/>
    <w:basedOn w:val="a"/>
    <w:next w:val="a"/>
    <w:uiPriority w:val="39"/>
    <w:unhideWhenUsed/>
    <w:pPr>
      <w:ind w:leftChars="400" w:left="840"/>
    </w:pPr>
    <w:rPr>
      <w:szCs w:val="22"/>
    </w:rPr>
  </w:style>
  <w:style w:type="paragraph" w:styleId="a5">
    <w:name w:val="Balloon Text"/>
    <w:basedOn w:val="a"/>
    <w:link w:val="a6"/>
    <w:qFormat/>
    <w:rPr>
      <w:sz w:val="18"/>
      <w:szCs w:val="18"/>
    </w:rPr>
  </w:style>
  <w:style w:type="character" w:customStyle="1" w:styleId="a6">
    <w:name w:val="批注框文本 字符"/>
    <w:link w:val="a5"/>
    <w:rPr>
      <w:rFonts w:ascii="Calibri" w:eastAsia="宋体" w:hAnsi="Calibri" w:cs="Times New Roman"/>
      <w:kern w:val="2"/>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character" w:customStyle="1" w:styleId="a8">
    <w:name w:val="页脚 字符"/>
    <w:link w:val="a7"/>
    <w:uiPriority w:val="99"/>
    <w:qFormat/>
    <w:rPr>
      <w:rFonts w:ascii="Calibri" w:eastAsia="宋体" w:hAnsi="Calibri" w:cs="Times New Roman"/>
      <w:kern w:val="2"/>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qFormat/>
    <w:rPr>
      <w:rFonts w:ascii="Calibri" w:eastAsia="宋体" w:hAnsi="Calibri" w:cs="Times New Roman"/>
      <w:kern w:val="2"/>
      <w:sz w:val="18"/>
      <w:szCs w:val="18"/>
    </w:rPr>
  </w:style>
  <w:style w:type="paragraph" w:styleId="TOC1">
    <w:name w:val="toc 1"/>
    <w:basedOn w:val="a"/>
    <w:next w:val="a"/>
    <w:uiPriority w:val="39"/>
    <w:unhideWhenUsed/>
    <w:rPr>
      <w:szCs w:val="22"/>
    </w:rPr>
  </w:style>
  <w:style w:type="paragraph" w:styleId="TOC4">
    <w:name w:val="toc 4"/>
    <w:basedOn w:val="a"/>
    <w:next w:val="a"/>
    <w:uiPriority w:val="39"/>
    <w:unhideWhenUsed/>
    <w:pPr>
      <w:ind w:leftChars="600" w:left="1260"/>
    </w:pPr>
    <w:rPr>
      <w:szCs w:val="22"/>
    </w:rPr>
  </w:style>
  <w:style w:type="paragraph" w:styleId="TOC2">
    <w:name w:val="toc 2"/>
    <w:basedOn w:val="a"/>
    <w:next w:val="a"/>
    <w:uiPriority w:val="39"/>
    <w:unhideWhenUsed/>
    <w:pPr>
      <w:tabs>
        <w:tab w:val="left" w:pos="840"/>
        <w:tab w:val="left" w:pos="1251"/>
        <w:tab w:val="right" w:leader="dot" w:pos="8296"/>
      </w:tabs>
      <w:adjustRightInd w:val="0"/>
      <w:snapToGrid w:val="0"/>
      <w:ind w:leftChars="200" w:left="420"/>
    </w:pPr>
    <w:rPr>
      <w:szCs w:val="22"/>
    </w:rPr>
  </w:style>
  <w:style w:type="paragraph" w:styleId="ab">
    <w:name w:val="annotation subject"/>
    <w:basedOn w:val="a3"/>
    <w:next w:val="a3"/>
    <w:link w:val="ac"/>
    <w:qFormat/>
    <w:rPr>
      <w:b/>
      <w:bCs/>
    </w:rPr>
  </w:style>
  <w:style w:type="character" w:customStyle="1" w:styleId="ac">
    <w:name w:val="批注主题 字符"/>
    <w:link w:val="ab"/>
    <w:rPr>
      <w:rFonts w:ascii="Calibri" w:eastAsia="宋体" w:hAnsi="Calibri" w:cs="Times New Roman"/>
      <w:b/>
      <w:bCs/>
      <w:kern w:val="2"/>
      <w:sz w:val="21"/>
      <w:szCs w:val="24"/>
    </w:rPr>
  </w:style>
  <w:style w:type="character" w:styleId="ad">
    <w:name w:val="Hyperlink"/>
    <w:uiPriority w:val="99"/>
    <w:unhideWhenUsed/>
    <w:qFormat/>
    <w:rPr>
      <w:color w:val="0563C1"/>
      <w:u w:val="single"/>
    </w:rPr>
  </w:style>
  <w:style w:type="character" w:styleId="ae">
    <w:name w:val="annotation reference"/>
    <w:rPr>
      <w:sz w:val="21"/>
      <w:szCs w:val="21"/>
    </w:rPr>
  </w:style>
  <w:style w:type="character" w:customStyle="1" w:styleId="2">
    <w:name w:val="正文文本 (2)_"/>
    <w:link w:val="20"/>
    <w:qFormat/>
    <w:rPr>
      <w:rFonts w:ascii="MingLiU" w:eastAsia="MingLiU" w:hAnsi="MingLiU" w:cs="MingLiU"/>
      <w:sz w:val="14"/>
      <w:szCs w:val="14"/>
      <w:u w:val="none"/>
    </w:rPr>
  </w:style>
  <w:style w:type="paragraph" w:customStyle="1" w:styleId="20">
    <w:name w:val="正文文本 (2)"/>
    <w:basedOn w:val="a"/>
    <w:link w:val="2"/>
    <w:qFormat/>
    <w:pPr>
      <w:shd w:val="clear" w:color="auto" w:fill="FFFFFF"/>
      <w:spacing w:after="180" w:line="0" w:lineRule="atLeast"/>
    </w:pPr>
    <w:rPr>
      <w:rFonts w:ascii="MingLiU" w:eastAsia="MingLiU" w:hAnsi="MingLiU" w:cs="MingLiU"/>
      <w:sz w:val="14"/>
      <w:szCs w:val="14"/>
    </w:rPr>
  </w:style>
  <w:style w:type="character" w:customStyle="1" w:styleId="25pt">
    <w:name w:val="正文文本 (2) + 间距 5 pt"/>
    <w:qFormat/>
    <w:rPr>
      <w:rFonts w:ascii="MingLiU" w:eastAsia="MingLiU" w:hAnsi="MingLiU" w:cs="MingLiU"/>
      <w:color w:val="000000"/>
      <w:spacing w:val="110"/>
      <w:w w:val="100"/>
      <w:position w:val="0"/>
      <w:sz w:val="14"/>
      <w:szCs w:val="14"/>
      <w:u w:val="none"/>
      <w:lang w:val="zh-TW" w:eastAsia="zh-TW" w:bidi="zh-TW"/>
    </w:rPr>
  </w:style>
  <w:style w:type="character" w:customStyle="1" w:styleId="2ArialUnicodeMS">
    <w:name w:val="正文文本 (2) + Arial Unicode MS"/>
    <w:qFormat/>
    <w:rPr>
      <w:rFonts w:ascii="Arial Unicode MS" w:eastAsia="Arial Unicode MS" w:hAnsi="Arial Unicode MS" w:cs="Arial Unicode MS"/>
      <w:color w:val="000000"/>
      <w:spacing w:val="0"/>
      <w:w w:val="100"/>
      <w:position w:val="0"/>
      <w:sz w:val="14"/>
      <w:szCs w:val="14"/>
      <w:u w:val="none"/>
      <w:lang w:val="en-US" w:eastAsia="en-US" w:bidi="en-US"/>
    </w:rPr>
  </w:style>
  <w:style w:type="character" w:customStyle="1" w:styleId="22pt">
    <w:name w:val="正文文本 (2) + 间距 2 pt"/>
    <w:qFormat/>
    <w:rPr>
      <w:rFonts w:ascii="MingLiU" w:eastAsia="MingLiU" w:hAnsi="MingLiU" w:cs="MingLiU"/>
      <w:color w:val="000000"/>
      <w:spacing w:val="40"/>
      <w:w w:val="100"/>
      <w:position w:val="0"/>
      <w:sz w:val="14"/>
      <w:szCs w:val="14"/>
      <w:u w:val="none"/>
      <w:lang w:val="zh-TW" w:eastAsia="zh-TW" w:bidi="zh-TW"/>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
    <w:name w:val="List Paragraph"/>
    <w:basedOn w:val="a"/>
    <w:uiPriority w:val="34"/>
    <w:qFormat/>
    <w:pPr>
      <w:ind w:firstLineChars="200" w:firstLine="420"/>
    </w:pPr>
  </w:style>
  <w:style w:type="paragraph" w:customStyle="1" w:styleId="31">
    <w:name w:val="正文文本 (3)"/>
    <w:basedOn w:val="a"/>
    <w:qFormat/>
    <w:pPr>
      <w:shd w:val="clear" w:color="auto" w:fill="FFFFFF"/>
      <w:spacing w:after="240" w:line="0" w:lineRule="atLeast"/>
    </w:pPr>
    <w:rPr>
      <w:rFonts w:ascii="MingLiU" w:eastAsia="MingLiU" w:hAnsi="MingLiU" w:cs="MingLiU"/>
      <w:i/>
      <w:iCs/>
      <w:spacing w:val="-10"/>
      <w:sz w:val="13"/>
      <w:szCs w:val="13"/>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a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1">
    <w:name w:val="标准标志"/>
    <w:next w:val="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2">
    <w:name w:val="其他标准称谓"/>
    <w:next w:val="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3">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5">
    <w:name w:val="其他发布日期"/>
    <w:qFormat/>
    <w:pPr>
      <w:framePr w:wrap="around" w:vAnchor="page" w:hAnchor="text" w:x="1419" w:y="1"/>
    </w:pPr>
    <w:rPr>
      <w:rFonts w:eastAsia="黑体"/>
      <w:sz w:val="28"/>
    </w:rPr>
  </w:style>
  <w:style w:type="paragraph" w:customStyle="1" w:styleId="af6">
    <w:name w:val="发布日期"/>
    <w:qFormat/>
    <w:pPr>
      <w:framePr w:w="3997" w:h="471" w:hRule="exact" w:vSpace="181" w:wrap="around" w:hAnchor="page" w:x="7089" w:y="14097" w:anchorLock="1"/>
    </w:pPr>
    <w:rPr>
      <w:rFonts w:eastAsia="黑体"/>
      <w:sz w:val="28"/>
    </w:rPr>
  </w:style>
  <w:style w:type="paragraph" w:customStyle="1" w:styleId="af7">
    <w:name w:val="其他实施日期"/>
    <w:qFormat/>
    <w:pPr>
      <w:framePr w:wrap="around" w:hAnchor="text" w:y="1"/>
      <w:jc w:val="right"/>
    </w:pPr>
    <w:rPr>
      <w:rFonts w:eastAsia="黑体"/>
      <w:sz w:val="28"/>
    </w:rPr>
  </w:style>
  <w:style w:type="paragraph" w:customStyle="1" w:styleId="af8">
    <w:name w:val="实施日期"/>
    <w:qFormat/>
    <w:pPr>
      <w:framePr w:wrap="around" w:vAnchor="page" w:hAnchor="text" w:y="1"/>
      <w:jc w:val="right"/>
    </w:pPr>
    <w:rPr>
      <w:rFonts w:eastAsia="黑体"/>
      <w:sz w:val="28"/>
    </w:rPr>
  </w:style>
  <w:style w:type="paragraph" w:customStyle="1" w:styleId="af9">
    <w:name w:val="其他发布部门"/>
    <w:qFormat/>
    <w:pPr>
      <w:framePr w:wrap="around" w:hAnchor="text" w:y="15310"/>
      <w:spacing w:line="0" w:lineRule="atLeast"/>
      <w:jc w:val="center"/>
    </w:pPr>
    <w:rPr>
      <w:rFonts w:ascii="黑体" w:eastAsia="黑体"/>
      <w:spacing w:val="20"/>
      <w:w w:val="135"/>
      <w:sz w:val="28"/>
    </w:rPr>
  </w:style>
  <w:style w:type="paragraph" w:customStyle="1" w:styleId="afa">
    <w:name w:val="发布部门"/>
    <w:next w:val="afb"/>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b">
    <w:name w:val="段"/>
    <w:qFormat/>
    <w:pPr>
      <w:tabs>
        <w:tab w:val="center" w:pos="4201"/>
        <w:tab w:val="right" w:leader="dot" w:pos="9298"/>
      </w:tabs>
      <w:autoSpaceDE w:val="0"/>
      <w:autoSpaceDN w:val="0"/>
      <w:ind w:firstLineChars="200" w:firstLine="420"/>
      <w:jc w:val="both"/>
    </w:pPr>
    <w:rPr>
      <w:rFonts w:ascii="宋体"/>
      <w:sz w:val="21"/>
    </w:rPr>
  </w:style>
  <w:style w:type="character" w:customStyle="1" w:styleId="afc">
    <w:name w:val="发布"/>
    <w:qFormat/>
    <w:rPr>
      <w:rFonts w:ascii="黑体" w:eastAsia="黑体"/>
      <w:spacing w:val="85"/>
      <w:w w:val="100"/>
      <w:position w:val="3"/>
      <w:sz w:val="28"/>
      <w:szCs w:val="28"/>
    </w:rPr>
  </w:style>
  <w:style w:type="paragraph" w:styleId="afd">
    <w:name w:val="Revision"/>
    <w:uiPriority w:val="99"/>
    <w:unhideWhenUsed/>
    <w:rPr>
      <w:rFonts w:ascii="Calibri" w:hAnsi="Calibri"/>
      <w:kern w:val="2"/>
      <w:sz w:val="21"/>
      <w:szCs w:val="24"/>
    </w:rPr>
  </w:style>
  <w:style w:type="paragraph" w:customStyle="1" w:styleId="afe">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
    <w:name w:val="前言、引言标题"/>
    <w:next w:val="afb"/>
    <w:qFormat/>
    <w:pPr>
      <w:keepNext/>
      <w:pageBreakBefore/>
      <w:shd w:val="clear" w:color="FFFFFF" w:fill="FFFFFF"/>
      <w:spacing w:before="640" w:after="560"/>
      <w:jc w:val="center"/>
      <w:outlineLvl w:val="0"/>
    </w:pPr>
    <w:rPr>
      <w:rFonts w:ascii="黑体" w:eastAsia="黑体"/>
      <w:sz w:val="32"/>
    </w:rPr>
  </w:style>
  <w:style w:type="character" w:customStyle="1" w:styleId="11">
    <w:name w:val="标题 1 字符1"/>
    <w:qFormat/>
    <w:rPr>
      <w:rFonts w:eastAsia="黑体"/>
      <w:bCs/>
      <w:kern w:val="44"/>
      <w:sz w:val="21"/>
      <w:szCs w:val="44"/>
    </w:rPr>
  </w:style>
  <w:style w:type="paragraph" w:customStyle="1" w:styleId="aff0">
    <w:name w:val="章标题"/>
    <w:next w:val="afb"/>
    <w:qFormat/>
    <w:pPr>
      <w:spacing w:beforeLines="100" w:afterLines="100"/>
      <w:jc w:val="both"/>
      <w:outlineLvl w:val="1"/>
    </w:pPr>
    <w:rPr>
      <w:rFonts w:ascii="黑体" w:eastAsia="黑体"/>
      <w:sz w:val="21"/>
    </w:rPr>
  </w:style>
  <w:style w:type="paragraph" w:customStyle="1" w:styleId="aff1">
    <w:name w:val="其他标准标志"/>
    <w:basedOn w:val="af1"/>
    <w:qFormat/>
    <w:pPr>
      <w:framePr w:w="6101" w:wrap="around" w:vAnchor="page" w:hAnchor="page" w:x="4673" w:y="942"/>
    </w:pPr>
    <w:rPr>
      <w:w w:val="130"/>
    </w:rPr>
  </w:style>
  <w:style w:type="paragraph" w:styleId="TOC">
    <w:name w:val="TOC Heading"/>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Links>
    <vt:vector size="102" baseType="variant">
      <vt:variant>
        <vt:i4>1048639</vt:i4>
      </vt:variant>
      <vt:variant>
        <vt:i4>131</vt:i4>
      </vt:variant>
      <vt:variant>
        <vt:i4>0</vt:i4>
      </vt:variant>
      <vt:variant>
        <vt:i4>5</vt:i4>
      </vt:variant>
      <vt:variant>
        <vt:lpwstr/>
      </vt:variant>
      <vt:variant>
        <vt:lpwstr>_Toc142055964</vt:lpwstr>
      </vt:variant>
      <vt:variant>
        <vt:i4>1048639</vt:i4>
      </vt:variant>
      <vt:variant>
        <vt:i4>125</vt:i4>
      </vt:variant>
      <vt:variant>
        <vt:i4>0</vt:i4>
      </vt:variant>
      <vt:variant>
        <vt:i4>5</vt:i4>
      </vt:variant>
      <vt:variant>
        <vt:lpwstr/>
      </vt:variant>
      <vt:variant>
        <vt:lpwstr>_Toc142055963</vt:lpwstr>
      </vt:variant>
      <vt:variant>
        <vt:i4>1048639</vt:i4>
      </vt:variant>
      <vt:variant>
        <vt:i4>119</vt:i4>
      </vt:variant>
      <vt:variant>
        <vt:i4>0</vt:i4>
      </vt:variant>
      <vt:variant>
        <vt:i4>5</vt:i4>
      </vt:variant>
      <vt:variant>
        <vt:lpwstr/>
      </vt:variant>
      <vt:variant>
        <vt:lpwstr>_Toc142055962</vt:lpwstr>
      </vt:variant>
      <vt:variant>
        <vt:i4>1048639</vt:i4>
      </vt:variant>
      <vt:variant>
        <vt:i4>113</vt:i4>
      </vt:variant>
      <vt:variant>
        <vt:i4>0</vt:i4>
      </vt:variant>
      <vt:variant>
        <vt:i4>5</vt:i4>
      </vt:variant>
      <vt:variant>
        <vt:lpwstr/>
      </vt:variant>
      <vt:variant>
        <vt:lpwstr>_Toc142055961</vt:lpwstr>
      </vt:variant>
      <vt:variant>
        <vt:i4>1048639</vt:i4>
      </vt:variant>
      <vt:variant>
        <vt:i4>107</vt:i4>
      </vt:variant>
      <vt:variant>
        <vt:i4>0</vt:i4>
      </vt:variant>
      <vt:variant>
        <vt:i4>5</vt:i4>
      </vt:variant>
      <vt:variant>
        <vt:lpwstr/>
      </vt:variant>
      <vt:variant>
        <vt:lpwstr>_Toc142055960</vt:lpwstr>
      </vt:variant>
      <vt:variant>
        <vt:i4>1245247</vt:i4>
      </vt:variant>
      <vt:variant>
        <vt:i4>101</vt:i4>
      </vt:variant>
      <vt:variant>
        <vt:i4>0</vt:i4>
      </vt:variant>
      <vt:variant>
        <vt:i4>5</vt:i4>
      </vt:variant>
      <vt:variant>
        <vt:lpwstr/>
      </vt:variant>
      <vt:variant>
        <vt:lpwstr>_Toc142055959</vt:lpwstr>
      </vt:variant>
      <vt:variant>
        <vt:i4>1245247</vt:i4>
      </vt:variant>
      <vt:variant>
        <vt:i4>95</vt:i4>
      </vt:variant>
      <vt:variant>
        <vt:i4>0</vt:i4>
      </vt:variant>
      <vt:variant>
        <vt:i4>5</vt:i4>
      </vt:variant>
      <vt:variant>
        <vt:lpwstr/>
      </vt:variant>
      <vt:variant>
        <vt:lpwstr>_Toc142055958</vt:lpwstr>
      </vt:variant>
      <vt:variant>
        <vt:i4>1245247</vt:i4>
      </vt:variant>
      <vt:variant>
        <vt:i4>89</vt:i4>
      </vt:variant>
      <vt:variant>
        <vt:i4>0</vt:i4>
      </vt:variant>
      <vt:variant>
        <vt:i4>5</vt:i4>
      </vt:variant>
      <vt:variant>
        <vt:lpwstr/>
      </vt:variant>
      <vt:variant>
        <vt:lpwstr>_Toc142055957</vt:lpwstr>
      </vt:variant>
      <vt:variant>
        <vt:i4>1245247</vt:i4>
      </vt:variant>
      <vt:variant>
        <vt:i4>83</vt:i4>
      </vt:variant>
      <vt:variant>
        <vt:i4>0</vt:i4>
      </vt:variant>
      <vt:variant>
        <vt:i4>5</vt:i4>
      </vt:variant>
      <vt:variant>
        <vt:lpwstr/>
      </vt:variant>
      <vt:variant>
        <vt:lpwstr>_Toc142055956</vt:lpwstr>
      </vt:variant>
      <vt:variant>
        <vt:i4>1245247</vt:i4>
      </vt:variant>
      <vt:variant>
        <vt:i4>77</vt:i4>
      </vt:variant>
      <vt:variant>
        <vt:i4>0</vt:i4>
      </vt:variant>
      <vt:variant>
        <vt:i4>5</vt:i4>
      </vt:variant>
      <vt:variant>
        <vt:lpwstr/>
      </vt:variant>
      <vt:variant>
        <vt:lpwstr>_Toc142055955</vt:lpwstr>
      </vt:variant>
      <vt:variant>
        <vt:i4>1245247</vt:i4>
      </vt:variant>
      <vt:variant>
        <vt:i4>71</vt:i4>
      </vt:variant>
      <vt:variant>
        <vt:i4>0</vt:i4>
      </vt:variant>
      <vt:variant>
        <vt:i4>5</vt:i4>
      </vt:variant>
      <vt:variant>
        <vt:lpwstr/>
      </vt:variant>
      <vt:variant>
        <vt:lpwstr>_Toc142055954</vt:lpwstr>
      </vt:variant>
      <vt:variant>
        <vt:i4>1245247</vt:i4>
      </vt:variant>
      <vt:variant>
        <vt:i4>65</vt:i4>
      </vt:variant>
      <vt:variant>
        <vt:i4>0</vt:i4>
      </vt:variant>
      <vt:variant>
        <vt:i4>5</vt:i4>
      </vt:variant>
      <vt:variant>
        <vt:lpwstr/>
      </vt:variant>
      <vt:variant>
        <vt:lpwstr>_Toc142055953</vt:lpwstr>
      </vt:variant>
      <vt:variant>
        <vt:i4>1245247</vt:i4>
      </vt:variant>
      <vt:variant>
        <vt:i4>59</vt:i4>
      </vt:variant>
      <vt:variant>
        <vt:i4>0</vt:i4>
      </vt:variant>
      <vt:variant>
        <vt:i4>5</vt:i4>
      </vt:variant>
      <vt:variant>
        <vt:lpwstr/>
      </vt:variant>
      <vt:variant>
        <vt:lpwstr>_Toc142055952</vt:lpwstr>
      </vt:variant>
      <vt:variant>
        <vt:i4>1245247</vt:i4>
      </vt:variant>
      <vt:variant>
        <vt:i4>53</vt:i4>
      </vt:variant>
      <vt:variant>
        <vt:i4>0</vt:i4>
      </vt:variant>
      <vt:variant>
        <vt:i4>5</vt:i4>
      </vt:variant>
      <vt:variant>
        <vt:lpwstr/>
      </vt:variant>
      <vt:variant>
        <vt:lpwstr>_Toc142055951</vt:lpwstr>
      </vt:variant>
      <vt:variant>
        <vt:i4>1245247</vt:i4>
      </vt:variant>
      <vt:variant>
        <vt:i4>47</vt:i4>
      </vt:variant>
      <vt:variant>
        <vt:i4>0</vt:i4>
      </vt:variant>
      <vt:variant>
        <vt:i4>5</vt:i4>
      </vt:variant>
      <vt:variant>
        <vt:lpwstr/>
      </vt:variant>
      <vt:variant>
        <vt:lpwstr>_Toc142055950</vt:lpwstr>
      </vt:variant>
      <vt:variant>
        <vt:i4>1179711</vt:i4>
      </vt:variant>
      <vt:variant>
        <vt:i4>41</vt:i4>
      </vt:variant>
      <vt:variant>
        <vt:i4>0</vt:i4>
      </vt:variant>
      <vt:variant>
        <vt:i4>5</vt:i4>
      </vt:variant>
      <vt:variant>
        <vt:lpwstr/>
      </vt:variant>
      <vt:variant>
        <vt:lpwstr>_Toc142055949</vt:lpwstr>
      </vt:variant>
      <vt:variant>
        <vt:i4>1179711</vt:i4>
      </vt:variant>
      <vt:variant>
        <vt:i4>35</vt:i4>
      </vt:variant>
      <vt:variant>
        <vt:i4>0</vt:i4>
      </vt:variant>
      <vt:variant>
        <vt:i4>5</vt:i4>
      </vt:variant>
      <vt:variant>
        <vt:lpwstr/>
      </vt:variant>
      <vt:variant>
        <vt:lpwstr>_Toc142055948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大千世界玺而有你</dc:creator>
  <cp:keywords/>
  <cp:lastModifiedBy>杨 文祥</cp:lastModifiedBy>
  <cp:revision>2</cp:revision>
  <dcterms:created xsi:type="dcterms:W3CDTF">2023-08-09T01:14:00Z</dcterms:created>
  <dcterms:modified xsi:type="dcterms:W3CDTF">2023-08-09T01:14:00Z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B2EDB0393C0B402CBE87048ED6F22F82_13</vt:lpwstr>
  </property>
</Properties>
</file>