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E781B5A" w14:textId="77777777" w:rsidTr="00215ADD">
        <w:tc>
          <w:tcPr>
            <w:tcW w:w="509" w:type="dxa"/>
          </w:tcPr>
          <w:p w14:paraId="0E6CD03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7CB6A7" w14:textId="4501C2B5"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760A67" w:rsidRPr="00672BFD">
              <w:rPr>
                <w:rFonts w:ascii="黑体" w:eastAsia="黑体" w:hAnsi="黑体"/>
                <w:sz w:val="21"/>
                <w:szCs w:val="21"/>
              </w:rPr>
            </w:r>
            <w:r w:rsidRPr="00672BFD">
              <w:rPr>
                <w:rFonts w:ascii="黑体" w:eastAsia="黑体" w:hAnsi="黑体"/>
                <w:sz w:val="21"/>
                <w:szCs w:val="21"/>
              </w:rPr>
              <w:fldChar w:fldCharType="separate"/>
            </w:r>
            <w:r w:rsidR="00760A6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24D2BA48" w14:textId="77777777" w:rsidTr="00215ADD">
        <w:tc>
          <w:tcPr>
            <w:tcW w:w="509" w:type="dxa"/>
          </w:tcPr>
          <w:p w14:paraId="10BE411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0484214" w14:textId="77777777" w:rsidTr="008A173B">
              <w:trPr>
                <w:trHeight w:hRule="exact" w:val="1021"/>
              </w:trPr>
              <w:tc>
                <w:tcPr>
                  <w:tcW w:w="9242" w:type="dxa"/>
                  <w:vAlign w:val="center"/>
                </w:tcPr>
                <w:p w14:paraId="6DD49AEC" w14:textId="67EF391B" w:rsidR="000F4050" w:rsidRDefault="007B6032" w:rsidP="00760A67">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CFFFAB" wp14:editId="04902163">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85D7369" wp14:editId="24214F9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60A67" w:rsidRPr="00760A67">
                    <w:t>QH</w:t>
                  </w:r>
                  <w:r w:rsidR="00760A67">
                    <w:t>NY</w:t>
                  </w:r>
                  <w:r w:rsidR="009C3257">
                    <w:fldChar w:fldCharType="end"/>
                  </w:r>
                  <w:bookmarkEnd w:id="1"/>
                </w:p>
              </w:tc>
            </w:tr>
          </w:tbl>
          <w:p w14:paraId="3F1BB3EF"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4341298F" w14:textId="078A3C0A"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760A67" w:rsidRPr="001A4CF3">
        <w:rPr>
          <w:rFonts w:ascii="黑体" w:eastAsia="黑体"/>
          <w:b w:val="0"/>
          <w:w w:val="100"/>
          <w:sz w:val="48"/>
        </w:rPr>
      </w:r>
      <w:r w:rsidRPr="001A4CF3">
        <w:rPr>
          <w:rFonts w:ascii="黑体" w:eastAsia="黑体"/>
          <w:b w:val="0"/>
          <w:w w:val="100"/>
          <w:sz w:val="48"/>
        </w:rPr>
        <w:fldChar w:fldCharType="separate"/>
      </w:r>
      <w:r w:rsidR="00760A67" w:rsidRPr="00760A67">
        <w:rPr>
          <w:rFonts w:ascii="黑体" w:eastAsia="黑体" w:hint="eastAsia"/>
          <w:b w:val="0"/>
          <w:w w:val="100"/>
          <w:sz w:val="48"/>
        </w:rPr>
        <w:t>琼海市优质农业品牌开发服务协会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5E41EC7"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0B7D8B3E" w14:textId="22EA91AF"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760A67" w:rsidRPr="001E4882">
        <w:rPr>
          <w:rFonts w:hAnsi="黑体"/>
        </w:rPr>
      </w:r>
      <w:r w:rsidRPr="001E4882">
        <w:rPr>
          <w:rFonts w:hAnsi="黑体"/>
        </w:rPr>
        <w:fldChar w:fldCharType="separate"/>
      </w:r>
      <w:r w:rsidR="00760A67">
        <w:rPr>
          <w:rFonts w:hAnsi="黑体"/>
        </w:rPr>
        <w:t>代替 T/XXX</w:t>
      </w:r>
      <w:r w:rsidRPr="001E4882">
        <w:rPr>
          <w:rFonts w:hAnsi="黑体"/>
        </w:rPr>
        <w:fldChar w:fldCharType="end"/>
      </w:r>
      <w:bookmarkEnd w:id="8"/>
    </w:p>
    <w:p w14:paraId="6A537FE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CF6785F" wp14:editId="0674904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2D5E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05F55A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464D39D" w14:textId="434A1F68"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06154">
        <w:t>琼海石斑鱼</w:t>
      </w:r>
      <w:r>
        <w:fldChar w:fldCharType="end"/>
      </w:r>
      <w:bookmarkEnd w:id="9"/>
    </w:p>
    <w:p w14:paraId="2B16E482" w14:textId="77777777" w:rsidR="00815419" w:rsidRPr="00815419" w:rsidRDefault="00815419" w:rsidP="00324EDD">
      <w:pPr>
        <w:framePr w:w="9639" w:h="6974" w:hRule="exact" w:wrap="around" w:vAnchor="page" w:hAnchor="page" w:x="1419" w:y="6408" w:anchorLock="1"/>
        <w:ind w:left="-1418"/>
      </w:pPr>
    </w:p>
    <w:p w14:paraId="28492B17" w14:textId="6C241AF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84D18">
        <w:rPr>
          <w:rFonts w:eastAsia="黑体" w:hint="eastAsia"/>
          <w:noProof/>
          <w:szCs w:val="28"/>
        </w:rPr>
        <w:t>点击此处添加标准名称的英文译名</w:t>
      </w:r>
      <w:r>
        <w:rPr>
          <w:rFonts w:eastAsia="黑体"/>
          <w:noProof/>
          <w:szCs w:val="28"/>
        </w:rPr>
        <w:fldChar w:fldCharType="end"/>
      </w:r>
      <w:bookmarkEnd w:id="10"/>
    </w:p>
    <w:p w14:paraId="1A06DF5C" w14:textId="77777777" w:rsidR="00815419" w:rsidRPr="00324EDD" w:rsidRDefault="00815419" w:rsidP="00324EDD">
      <w:pPr>
        <w:framePr w:w="9639" w:h="6974" w:hRule="exact" w:wrap="around" w:vAnchor="page" w:hAnchor="page" w:x="1419" w:y="6408" w:anchorLock="1"/>
        <w:spacing w:line="760" w:lineRule="exact"/>
        <w:ind w:left="-1418"/>
      </w:pPr>
    </w:p>
    <w:p w14:paraId="14B3834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5BFC668" w14:textId="06CEC55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60A67">
        <w:rPr>
          <w:noProof/>
          <w:sz w:val="24"/>
          <w:szCs w:val="28"/>
        </w:rPr>
      </w:r>
      <w:r w:rsidR="00000000">
        <w:rPr>
          <w:noProof/>
          <w:sz w:val="24"/>
          <w:szCs w:val="28"/>
        </w:rPr>
        <w:fldChar w:fldCharType="separate"/>
      </w:r>
      <w:r>
        <w:rPr>
          <w:noProof/>
          <w:sz w:val="24"/>
          <w:szCs w:val="28"/>
        </w:rPr>
        <w:fldChar w:fldCharType="end"/>
      </w:r>
      <w:bookmarkEnd w:id="11"/>
    </w:p>
    <w:p w14:paraId="692B638A" w14:textId="1E86E8F2"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760A67">
        <w:rPr>
          <w:noProof/>
          <w:sz w:val="21"/>
          <w:szCs w:val="28"/>
        </w:rPr>
      </w:r>
      <w:r>
        <w:rPr>
          <w:noProof/>
          <w:sz w:val="21"/>
          <w:szCs w:val="28"/>
        </w:rPr>
        <w:fldChar w:fldCharType="separate"/>
      </w:r>
      <w:r w:rsidR="00760A67">
        <w:rPr>
          <w:noProof/>
          <w:sz w:val="21"/>
          <w:szCs w:val="28"/>
        </w:rPr>
        <w:t> </w:t>
      </w:r>
      <w:r w:rsidR="00760A67">
        <w:rPr>
          <w:noProof/>
          <w:sz w:val="21"/>
          <w:szCs w:val="28"/>
        </w:rPr>
        <w:t> </w:t>
      </w:r>
      <w:r w:rsidR="00760A67">
        <w:rPr>
          <w:noProof/>
          <w:sz w:val="21"/>
          <w:szCs w:val="28"/>
        </w:rPr>
        <w:t> </w:t>
      </w:r>
      <w:r w:rsidR="00760A67">
        <w:rPr>
          <w:noProof/>
          <w:sz w:val="21"/>
          <w:szCs w:val="28"/>
        </w:rPr>
        <w:t> </w:t>
      </w:r>
      <w:r w:rsidR="00760A67">
        <w:rPr>
          <w:noProof/>
          <w:sz w:val="21"/>
          <w:szCs w:val="28"/>
        </w:rPr>
        <w:t> </w:t>
      </w:r>
      <w:r>
        <w:rPr>
          <w:noProof/>
          <w:sz w:val="21"/>
          <w:szCs w:val="28"/>
        </w:rPr>
        <w:fldChar w:fldCharType="end"/>
      </w:r>
      <w:bookmarkEnd w:id="12"/>
    </w:p>
    <w:p w14:paraId="40968438"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95B1F1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7C407B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6692CA8"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BE30ACF" w14:textId="77777777"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0D0D83A" wp14:editId="2704056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197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200E50A" w14:textId="77777777" w:rsidR="00584D18" w:rsidRDefault="00584D18" w:rsidP="00584D18">
      <w:pPr>
        <w:pStyle w:val="a6"/>
        <w:spacing w:before="900" w:after="360"/>
      </w:pPr>
      <w:bookmarkStart w:id="21" w:name="BookMark2"/>
      <w:r w:rsidRPr="00584D18">
        <w:rPr>
          <w:spacing w:val="320"/>
        </w:rPr>
        <w:lastRenderedPageBreak/>
        <w:t>前</w:t>
      </w:r>
      <w:r>
        <w:t>言</w:t>
      </w:r>
    </w:p>
    <w:p w14:paraId="4EC8C300" w14:textId="77777777" w:rsidR="00584D18" w:rsidRDefault="00584D18" w:rsidP="00584D18">
      <w:pPr>
        <w:pStyle w:val="affffb"/>
        <w:ind w:firstLine="420"/>
      </w:pPr>
      <w:r>
        <w:rPr>
          <w:rFonts w:hint="eastAsia"/>
        </w:rPr>
        <w:t>本文件按照GB/T 1.1—2020《标准化工作导则  第1部分：标准化文件的结构和起草规则》的规定起草。</w:t>
      </w:r>
    </w:p>
    <w:p w14:paraId="699A2346" w14:textId="77777777" w:rsidR="00584D18" w:rsidRPr="00584D18" w:rsidRDefault="00584D18" w:rsidP="00584D18">
      <w:pPr>
        <w:pStyle w:val="affffb"/>
        <w:ind w:firstLine="420"/>
      </w:pPr>
    </w:p>
    <w:p w14:paraId="162B22A8" w14:textId="77777777" w:rsidR="00760A67" w:rsidRDefault="00760A67" w:rsidP="00760A67">
      <w:pPr>
        <w:pStyle w:val="affffb"/>
        <w:ind w:firstLine="420"/>
      </w:pPr>
      <w:r>
        <w:rPr>
          <w:rFonts w:hint="eastAsia"/>
        </w:rPr>
        <w:t>本文件由琼海市优质农业品牌开发服务协会提出。</w:t>
      </w:r>
    </w:p>
    <w:p w14:paraId="0FDD3C3C" w14:textId="77777777" w:rsidR="00760A67" w:rsidRDefault="00760A67" w:rsidP="00760A67">
      <w:pPr>
        <w:pStyle w:val="affffb"/>
        <w:ind w:firstLine="420"/>
      </w:pPr>
      <w:r>
        <w:rPr>
          <w:rFonts w:hint="eastAsia"/>
        </w:rPr>
        <w:t>本文件由琼海市优质农业品牌开发服务协会归口。</w:t>
      </w:r>
    </w:p>
    <w:p w14:paraId="355C7BED" w14:textId="77777777" w:rsidR="00760A67" w:rsidRDefault="00760A67" w:rsidP="00760A67">
      <w:pPr>
        <w:pStyle w:val="affffb"/>
        <w:ind w:firstLine="420"/>
      </w:pPr>
      <w:r>
        <w:rPr>
          <w:rFonts w:hint="eastAsia"/>
        </w:rPr>
        <w:t>本文件起草单位：琼海市优质农业品牌开发服务协会、海南智行科技服务有限公司、海南永准质检技术服务有限公司。</w:t>
      </w:r>
    </w:p>
    <w:p w14:paraId="380AFA6E" w14:textId="77777777" w:rsidR="00760A67" w:rsidRDefault="00760A67" w:rsidP="00760A67">
      <w:pPr>
        <w:pStyle w:val="affffb"/>
        <w:ind w:firstLine="420"/>
      </w:pPr>
      <w:r>
        <w:rPr>
          <w:rFonts w:hint="eastAsia"/>
        </w:rPr>
        <w:t>本文件主要起草人：陈丁胜、唐海云、黄健泓、罗腾。</w:t>
      </w:r>
    </w:p>
    <w:p w14:paraId="0054D721" w14:textId="73317D11" w:rsidR="00584D18" w:rsidRPr="00760A67" w:rsidRDefault="00584D18" w:rsidP="00584D18">
      <w:pPr>
        <w:pStyle w:val="affffb"/>
        <w:ind w:firstLine="420"/>
        <w:sectPr w:rsidR="00584D18" w:rsidRPr="00760A67" w:rsidSect="00584D18">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0022A8FB"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CB9496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8D9649C90714AE190C65F728AD12832"/>
        </w:placeholder>
      </w:sdtPr>
      <w:sdtContent>
        <w:bookmarkStart w:id="23" w:name="NEW_STAND_NAME" w:displacedByCustomXml="prev"/>
        <w:p w14:paraId="7B40B772" w14:textId="52768663" w:rsidR="00F26B7E" w:rsidRPr="00F26B7E" w:rsidRDefault="00584D18" w:rsidP="00906154">
          <w:pPr>
            <w:pStyle w:val="afffffffff8"/>
            <w:spacing w:beforeLines="1" w:before="2" w:afterLines="220" w:after="528"/>
          </w:pPr>
          <w:r>
            <w:rPr>
              <w:rFonts w:hint="eastAsia"/>
            </w:rPr>
            <w:t>琼海石斑鱼</w:t>
          </w:r>
        </w:p>
      </w:sdtContent>
    </w:sdt>
    <w:bookmarkEnd w:id="23" w:displacedByCustomXml="prev"/>
    <w:p w14:paraId="7CCA9B41"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02DBB356" w14:textId="38C015C3" w:rsidR="00645154" w:rsidRDefault="00645154"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本标准规定了琼海石斑鱼的术语和定义、要求、试验方法、检验规则以及标志、包装、运输与贮存。</w:t>
      </w:r>
    </w:p>
    <w:p w14:paraId="153481A0" w14:textId="3030C3A3" w:rsidR="00645154" w:rsidRDefault="00645154" w:rsidP="008B0C9C">
      <w:pPr>
        <w:pStyle w:val="affffb"/>
        <w:ind w:firstLine="420"/>
      </w:pPr>
      <w:r>
        <w:rPr>
          <w:rFonts w:hint="eastAsia"/>
        </w:rPr>
        <w:t>本标准适用于琼海石斑鱼。</w:t>
      </w:r>
    </w:p>
    <w:p w14:paraId="04985B5A" w14:textId="417B939A" w:rsidR="00E2552F" w:rsidRDefault="00645154"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2D844A94F0A49D8B9D74319F8CF12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3F5453D"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B8DE9A" w14:textId="5AF79DE0" w:rsidR="004933EC" w:rsidRDefault="004933EC" w:rsidP="00F65893">
      <w:pPr>
        <w:pStyle w:val="affffb"/>
        <w:ind w:firstLine="420"/>
      </w:pPr>
      <w:r>
        <w:rPr>
          <w:rFonts w:hint="eastAsia"/>
        </w:rPr>
        <w:t>G</w:t>
      </w:r>
      <w:r>
        <w:t xml:space="preserve">B/T 191 </w:t>
      </w:r>
      <w:r>
        <w:rPr>
          <w:rFonts w:hint="eastAsia"/>
        </w:rPr>
        <w:t>包装储存图示标志</w:t>
      </w:r>
    </w:p>
    <w:p w14:paraId="536E222E" w14:textId="270505B6" w:rsidR="00AA6EC9" w:rsidRDefault="00DC747D" w:rsidP="00F65893">
      <w:pPr>
        <w:pStyle w:val="affffb"/>
        <w:ind w:firstLine="420"/>
      </w:pPr>
      <w:r>
        <w:rPr>
          <w:rFonts w:hint="eastAsia"/>
        </w:rPr>
        <w:t>G</w:t>
      </w:r>
      <w:r>
        <w:t xml:space="preserve">B 5009.11 </w:t>
      </w:r>
      <w:r>
        <w:rPr>
          <w:rFonts w:hint="eastAsia"/>
        </w:rPr>
        <w:t>食品中总砷及无机砷的测定</w:t>
      </w:r>
    </w:p>
    <w:p w14:paraId="4948C218" w14:textId="0FD81AE9" w:rsidR="00DC747D" w:rsidRPr="008A57E6" w:rsidRDefault="00DC747D" w:rsidP="00DC747D">
      <w:pPr>
        <w:pStyle w:val="affffb"/>
        <w:ind w:firstLine="420"/>
      </w:pPr>
      <w:r>
        <w:rPr>
          <w:rFonts w:hint="eastAsia"/>
        </w:rPr>
        <w:t>G</w:t>
      </w:r>
      <w:r>
        <w:t xml:space="preserve">B 5009.12 </w:t>
      </w:r>
      <w:r>
        <w:rPr>
          <w:rFonts w:hint="eastAsia"/>
        </w:rPr>
        <w:t>食品中铅的测定</w:t>
      </w:r>
    </w:p>
    <w:p w14:paraId="48C00393" w14:textId="358E0FBD" w:rsidR="00DC747D" w:rsidRPr="008A57E6" w:rsidRDefault="00DC747D" w:rsidP="00DC747D">
      <w:pPr>
        <w:pStyle w:val="affffb"/>
        <w:ind w:firstLine="420"/>
      </w:pPr>
      <w:r>
        <w:rPr>
          <w:rFonts w:hint="eastAsia"/>
        </w:rPr>
        <w:t>G</w:t>
      </w:r>
      <w:r>
        <w:t xml:space="preserve">B 5009.15 </w:t>
      </w:r>
      <w:r>
        <w:rPr>
          <w:rFonts w:hint="eastAsia"/>
        </w:rPr>
        <w:t>食品中镉的测定</w:t>
      </w:r>
    </w:p>
    <w:p w14:paraId="033B8F41" w14:textId="13F7CED9" w:rsidR="00DC747D" w:rsidRPr="008A57E6" w:rsidRDefault="00DC747D" w:rsidP="00DC747D">
      <w:pPr>
        <w:pStyle w:val="affffb"/>
        <w:ind w:firstLine="420"/>
      </w:pPr>
      <w:r>
        <w:rPr>
          <w:rFonts w:hint="eastAsia"/>
        </w:rPr>
        <w:t>G</w:t>
      </w:r>
      <w:r>
        <w:t xml:space="preserve">B 5009.17 </w:t>
      </w:r>
      <w:r>
        <w:rPr>
          <w:rFonts w:hint="eastAsia"/>
        </w:rPr>
        <w:t>食品中总汞的测定</w:t>
      </w:r>
    </w:p>
    <w:p w14:paraId="56ABE829" w14:textId="32FA5C42" w:rsidR="00DC747D" w:rsidRPr="00DC747D" w:rsidRDefault="00C00CFA" w:rsidP="00F65893">
      <w:pPr>
        <w:pStyle w:val="affffb"/>
        <w:ind w:firstLine="420"/>
      </w:pPr>
      <w:r>
        <w:rPr>
          <w:rFonts w:hint="eastAsia"/>
        </w:rPr>
        <w:t>S</w:t>
      </w:r>
      <w:r>
        <w:t xml:space="preserve">C/T 3016 </w:t>
      </w:r>
      <w:r>
        <w:rPr>
          <w:rFonts w:hint="eastAsia"/>
        </w:rPr>
        <w:t>水产品抽样方法</w:t>
      </w:r>
    </w:p>
    <w:p w14:paraId="43222391"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3444D12DD3BD41198AD5022A63126F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FBB37E3" w14:textId="503DF396" w:rsidR="003C010C" w:rsidRDefault="00645154" w:rsidP="00BA263B">
          <w:pPr>
            <w:pStyle w:val="affffb"/>
            <w:ind w:firstLine="420"/>
          </w:pPr>
          <w:r>
            <w:t>下列术语和定义适用于本文件。</w:t>
          </w:r>
        </w:p>
      </w:sdtContent>
    </w:sdt>
    <w:p w14:paraId="1C5BBA83" w14:textId="511179DA" w:rsidR="004B3E93" w:rsidRDefault="00645154" w:rsidP="00645154">
      <w:pPr>
        <w:pStyle w:val="affd"/>
        <w:spacing w:before="120" w:after="120"/>
      </w:pPr>
      <w:r>
        <w:rPr>
          <w:rFonts w:hint="eastAsia"/>
        </w:rPr>
        <w:t>琼海石斑鱼</w:t>
      </w:r>
    </w:p>
    <w:p w14:paraId="060EEC2A" w14:textId="424B41CA" w:rsidR="002A1260" w:rsidRPr="00645154" w:rsidRDefault="00906154" w:rsidP="00653FED">
      <w:pPr>
        <w:pStyle w:val="affffb"/>
        <w:ind w:firstLine="420"/>
      </w:pPr>
      <w:r>
        <w:t>产于本标准规定范围的海南省</w:t>
      </w:r>
      <w:r>
        <w:rPr>
          <w:rFonts w:hint="eastAsia"/>
        </w:rPr>
        <w:t>琼海市</w:t>
      </w:r>
      <w:r>
        <w:t>的</w:t>
      </w:r>
      <w:r>
        <w:rPr>
          <w:rFonts w:hint="eastAsia"/>
        </w:rPr>
        <w:t>石斑鱼</w:t>
      </w:r>
      <w:r>
        <w:t>。</w:t>
      </w:r>
    </w:p>
    <w:p w14:paraId="0586C00F" w14:textId="3BAAB2F6" w:rsidR="001D212F" w:rsidRPr="00906154" w:rsidRDefault="00906154" w:rsidP="00E60C63">
      <w:pPr>
        <w:pStyle w:val="affffb"/>
        <w:ind w:firstLine="420"/>
        <w:rPr>
          <w:rFonts w:hint="eastAsia"/>
        </w:rPr>
      </w:pPr>
      <w:r w:rsidRPr="00906154">
        <w:t>石斑鱼生长在热带和亚热带海区，喜栖息于潮流缓慢、透明度不大的岩礁缝隙或珊瑚丛洞穴，根据渔业资源的生态分类，属于岩礁、珊瑚礁鱼类</w:t>
      </w:r>
      <w:r>
        <w:rPr>
          <w:rFonts w:hint="eastAsia"/>
        </w:rPr>
        <w:t>。</w:t>
      </w:r>
      <w:r w:rsidRPr="00906154">
        <w:t>海南养殖的石斑鱼品种主要有珍珠龙胆、青斑、衫虎斑、东星斑、老鼠斑等</w:t>
      </w:r>
      <w:r>
        <w:rPr>
          <w:rFonts w:hint="eastAsia"/>
        </w:rPr>
        <w:t>。</w:t>
      </w:r>
    </w:p>
    <w:p w14:paraId="1D82A6CA" w14:textId="79BB89B5" w:rsidR="007A5D3A" w:rsidRDefault="009D5C55" w:rsidP="00D04C59">
      <w:pPr>
        <w:pStyle w:val="affc"/>
        <w:spacing w:before="240" w:after="240"/>
      </w:pPr>
      <w:r>
        <w:rPr>
          <w:rFonts w:hint="eastAsia"/>
        </w:rPr>
        <w:t>要求</w:t>
      </w:r>
    </w:p>
    <w:p w14:paraId="722CA6FA" w14:textId="382153D9" w:rsidR="009D5C55" w:rsidRDefault="009D5C55" w:rsidP="009D5C55">
      <w:pPr>
        <w:pStyle w:val="affd"/>
        <w:spacing w:before="120" w:after="120"/>
      </w:pPr>
      <w:r>
        <w:rPr>
          <w:rFonts w:hint="eastAsia"/>
        </w:rPr>
        <w:t>感官要求</w:t>
      </w:r>
    </w:p>
    <w:p w14:paraId="1F594DDC" w14:textId="19B866E6" w:rsidR="009D5C55" w:rsidRDefault="009D5C55" w:rsidP="009D5C55">
      <w:pPr>
        <w:pStyle w:val="affffb"/>
        <w:ind w:firstLine="420"/>
      </w:pPr>
      <w:r>
        <w:rPr>
          <w:rFonts w:hint="eastAsia"/>
        </w:rPr>
        <w:t>应符合表1的规定</w:t>
      </w:r>
    </w:p>
    <w:p w14:paraId="663D87C2" w14:textId="440B1B28" w:rsidR="009D5C55" w:rsidRDefault="009D5C55" w:rsidP="009D5C55">
      <w:pPr>
        <w:pStyle w:val="aff2"/>
        <w:spacing w:before="120" w:after="120"/>
      </w:pPr>
      <w:r>
        <w:rPr>
          <w:rFonts w:hint="eastAsia"/>
        </w:rPr>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7217"/>
      </w:tblGrid>
      <w:tr w:rsidR="00936B14" w14:paraId="2C661996" w14:textId="77777777" w:rsidTr="00936B14">
        <w:trPr>
          <w:tblHeader/>
          <w:jc w:val="center"/>
        </w:trPr>
        <w:tc>
          <w:tcPr>
            <w:tcW w:w="2117" w:type="dxa"/>
            <w:tcBorders>
              <w:top w:val="single" w:sz="8" w:space="0" w:color="auto"/>
              <w:bottom w:val="single" w:sz="8" w:space="0" w:color="auto"/>
            </w:tcBorders>
            <w:shd w:val="clear" w:color="auto" w:fill="auto"/>
            <w:vAlign w:val="center"/>
          </w:tcPr>
          <w:p w14:paraId="68F128B4" w14:textId="0BDF6944" w:rsidR="00936B14" w:rsidRDefault="00936B14" w:rsidP="00936B14">
            <w:pPr>
              <w:pStyle w:val="afffffffff9"/>
            </w:pPr>
            <w:r>
              <w:rPr>
                <w:rFonts w:hint="eastAsia"/>
              </w:rPr>
              <w:t>项目</w:t>
            </w:r>
          </w:p>
        </w:tc>
        <w:tc>
          <w:tcPr>
            <w:tcW w:w="7217" w:type="dxa"/>
            <w:tcBorders>
              <w:top w:val="single" w:sz="8" w:space="0" w:color="auto"/>
              <w:bottom w:val="single" w:sz="8" w:space="0" w:color="auto"/>
            </w:tcBorders>
            <w:shd w:val="clear" w:color="auto" w:fill="auto"/>
            <w:vAlign w:val="center"/>
          </w:tcPr>
          <w:p w14:paraId="06B36CEB" w14:textId="01348F36" w:rsidR="00936B14" w:rsidRDefault="00936B14" w:rsidP="00936B14">
            <w:pPr>
              <w:pStyle w:val="afffffffff9"/>
            </w:pPr>
            <w:r>
              <w:rPr>
                <w:rFonts w:hint="eastAsia"/>
              </w:rPr>
              <w:t>要求</w:t>
            </w:r>
          </w:p>
        </w:tc>
      </w:tr>
      <w:tr w:rsidR="00936B14" w14:paraId="6B9D11F2" w14:textId="77777777" w:rsidTr="00936B14">
        <w:trPr>
          <w:jc w:val="center"/>
        </w:trPr>
        <w:tc>
          <w:tcPr>
            <w:tcW w:w="2117" w:type="dxa"/>
            <w:tcBorders>
              <w:top w:val="single" w:sz="8" w:space="0" w:color="auto"/>
            </w:tcBorders>
            <w:shd w:val="clear" w:color="auto" w:fill="auto"/>
            <w:vAlign w:val="center"/>
          </w:tcPr>
          <w:p w14:paraId="63F05B65" w14:textId="5C2FADC2" w:rsidR="00936B14" w:rsidRDefault="00936B14" w:rsidP="00936B14">
            <w:pPr>
              <w:pStyle w:val="afffffffff9"/>
            </w:pPr>
            <w:r>
              <w:rPr>
                <w:rFonts w:hint="eastAsia"/>
              </w:rPr>
              <w:t>外观</w:t>
            </w:r>
          </w:p>
        </w:tc>
        <w:tc>
          <w:tcPr>
            <w:tcW w:w="7217" w:type="dxa"/>
            <w:tcBorders>
              <w:top w:val="single" w:sz="8" w:space="0" w:color="auto"/>
            </w:tcBorders>
            <w:shd w:val="clear" w:color="auto" w:fill="auto"/>
            <w:vAlign w:val="center"/>
          </w:tcPr>
          <w:p w14:paraId="16EF0B9C" w14:textId="46B3D495" w:rsidR="00936B14" w:rsidRDefault="009750C6" w:rsidP="00936B14">
            <w:pPr>
              <w:pStyle w:val="afffffffff9"/>
            </w:pPr>
            <w:r>
              <w:rPr>
                <w:rFonts w:hint="eastAsia"/>
              </w:rPr>
              <w:t>体态匀称，无畸形，鳞被完整，体表有光泽、斑点清晰，眼球饱满，角膜清晰。</w:t>
            </w:r>
          </w:p>
        </w:tc>
      </w:tr>
      <w:tr w:rsidR="00936B14" w14:paraId="02C707D8" w14:textId="77777777" w:rsidTr="00936B14">
        <w:trPr>
          <w:jc w:val="center"/>
        </w:trPr>
        <w:tc>
          <w:tcPr>
            <w:tcW w:w="2117" w:type="dxa"/>
            <w:shd w:val="clear" w:color="auto" w:fill="auto"/>
            <w:vAlign w:val="center"/>
          </w:tcPr>
          <w:p w14:paraId="03C66C8D" w14:textId="3ED8DDE8" w:rsidR="00936B14" w:rsidRDefault="00936B14" w:rsidP="00936B14">
            <w:pPr>
              <w:pStyle w:val="afffffffff9"/>
            </w:pPr>
            <w:r>
              <w:rPr>
                <w:rFonts w:hint="eastAsia"/>
              </w:rPr>
              <w:t>气味</w:t>
            </w:r>
          </w:p>
        </w:tc>
        <w:tc>
          <w:tcPr>
            <w:tcW w:w="7217" w:type="dxa"/>
            <w:shd w:val="clear" w:color="auto" w:fill="auto"/>
            <w:vAlign w:val="center"/>
          </w:tcPr>
          <w:p w14:paraId="6E3F059B" w14:textId="2D2C04B8" w:rsidR="00936B14" w:rsidRDefault="009750C6" w:rsidP="00936B14">
            <w:pPr>
              <w:pStyle w:val="afffffffff9"/>
            </w:pPr>
            <w:r>
              <w:rPr>
                <w:rFonts w:hint="eastAsia"/>
              </w:rPr>
              <w:t>具有石斑鱼特有的气味，无异味。</w:t>
            </w:r>
          </w:p>
        </w:tc>
      </w:tr>
      <w:tr w:rsidR="00936B14" w14:paraId="40F95E02" w14:textId="77777777" w:rsidTr="00936B14">
        <w:trPr>
          <w:jc w:val="center"/>
        </w:trPr>
        <w:tc>
          <w:tcPr>
            <w:tcW w:w="2117" w:type="dxa"/>
            <w:shd w:val="clear" w:color="auto" w:fill="auto"/>
            <w:vAlign w:val="center"/>
          </w:tcPr>
          <w:p w14:paraId="288498C0" w14:textId="0DE65D7E" w:rsidR="00936B14" w:rsidRDefault="00936B14" w:rsidP="00936B14">
            <w:pPr>
              <w:pStyle w:val="afffffffff9"/>
            </w:pPr>
            <w:r>
              <w:rPr>
                <w:rFonts w:hint="eastAsia"/>
              </w:rPr>
              <w:t>组织</w:t>
            </w:r>
          </w:p>
        </w:tc>
        <w:tc>
          <w:tcPr>
            <w:tcW w:w="7217" w:type="dxa"/>
            <w:shd w:val="clear" w:color="auto" w:fill="auto"/>
            <w:vAlign w:val="center"/>
          </w:tcPr>
          <w:p w14:paraId="01E4C8D6" w14:textId="4C2A27C5" w:rsidR="00936B14" w:rsidRDefault="009750C6" w:rsidP="00936B14">
            <w:pPr>
              <w:pStyle w:val="afffffffff9"/>
            </w:pPr>
            <w:r>
              <w:rPr>
                <w:rFonts w:hint="eastAsia"/>
              </w:rPr>
              <w:t>肌肉紧实，有弹性，内脏清晰、无腐烂。</w:t>
            </w:r>
          </w:p>
        </w:tc>
      </w:tr>
      <w:tr w:rsidR="00936B14" w14:paraId="0376FCD5" w14:textId="77777777" w:rsidTr="00936B14">
        <w:trPr>
          <w:jc w:val="center"/>
        </w:trPr>
        <w:tc>
          <w:tcPr>
            <w:tcW w:w="2117" w:type="dxa"/>
            <w:shd w:val="clear" w:color="auto" w:fill="auto"/>
            <w:vAlign w:val="center"/>
          </w:tcPr>
          <w:p w14:paraId="39984946" w14:textId="5B1B6D65" w:rsidR="00936B14" w:rsidRDefault="00936B14" w:rsidP="00936B14">
            <w:pPr>
              <w:pStyle w:val="afffffffff9"/>
            </w:pPr>
            <w:r>
              <w:rPr>
                <w:rFonts w:hint="eastAsia"/>
              </w:rPr>
              <w:t>水煮试验</w:t>
            </w:r>
          </w:p>
        </w:tc>
        <w:tc>
          <w:tcPr>
            <w:tcW w:w="7217" w:type="dxa"/>
            <w:shd w:val="clear" w:color="auto" w:fill="auto"/>
            <w:vAlign w:val="center"/>
          </w:tcPr>
          <w:p w14:paraId="223FC50B" w14:textId="677EC178" w:rsidR="00936B14" w:rsidRDefault="009750C6" w:rsidP="00936B14">
            <w:pPr>
              <w:pStyle w:val="afffffffff9"/>
            </w:pPr>
            <w:r>
              <w:rPr>
                <w:rFonts w:hint="eastAsia"/>
              </w:rPr>
              <w:t>具有石斑鱼固有的香味，口感紧密有弹性，滋味鲜美。</w:t>
            </w:r>
          </w:p>
        </w:tc>
      </w:tr>
      <w:tr w:rsidR="009750C6" w14:paraId="647219A4" w14:textId="77777777" w:rsidTr="00C23CC2">
        <w:trPr>
          <w:jc w:val="center"/>
        </w:trPr>
        <w:tc>
          <w:tcPr>
            <w:tcW w:w="9334" w:type="dxa"/>
            <w:gridSpan w:val="2"/>
            <w:shd w:val="clear" w:color="auto" w:fill="auto"/>
            <w:vAlign w:val="center"/>
          </w:tcPr>
          <w:p w14:paraId="2FF85217" w14:textId="08F4AAEB" w:rsidR="009750C6" w:rsidRDefault="009750C6" w:rsidP="00936B14">
            <w:pPr>
              <w:pStyle w:val="afffffffff9"/>
            </w:pPr>
            <w:r>
              <w:rPr>
                <w:rFonts w:hint="eastAsia"/>
              </w:rPr>
              <w:t>注：当外观、气味、组织不能判定产品质量时，进行水煮试验。</w:t>
            </w:r>
          </w:p>
        </w:tc>
      </w:tr>
    </w:tbl>
    <w:p w14:paraId="6C3643E6" w14:textId="77777777" w:rsidR="009D5C55" w:rsidRDefault="009D5C55" w:rsidP="009D5C55">
      <w:pPr>
        <w:pStyle w:val="affffb"/>
        <w:ind w:firstLine="420"/>
      </w:pPr>
    </w:p>
    <w:p w14:paraId="2270B074" w14:textId="77777777" w:rsidR="00936B14" w:rsidRDefault="00936B14" w:rsidP="009D5C55">
      <w:pPr>
        <w:pStyle w:val="affffb"/>
        <w:ind w:firstLine="420"/>
      </w:pPr>
    </w:p>
    <w:p w14:paraId="1E30D915" w14:textId="6509AA71" w:rsidR="009D5C55" w:rsidRDefault="009750C6" w:rsidP="009750C6">
      <w:pPr>
        <w:pStyle w:val="affd"/>
        <w:spacing w:before="120" w:after="120"/>
      </w:pPr>
      <w:r>
        <w:rPr>
          <w:rFonts w:hint="eastAsia"/>
        </w:rPr>
        <w:t>安全指标</w:t>
      </w:r>
    </w:p>
    <w:p w14:paraId="4D9673B4" w14:textId="111C0715" w:rsidR="009750C6" w:rsidRDefault="009750C6" w:rsidP="009750C6">
      <w:pPr>
        <w:pStyle w:val="affffb"/>
        <w:ind w:firstLine="420"/>
      </w:pPr>
      <w:r>
        <w:rPr>
          <w:rFonts w:hint="eastAsia"/>
        </w:rPr>
        <w:t>安全指标应符合表</w:t>
      </w:r>
      <w:r>
        <w:t>2</w:t>
      </w:r>
      <w:r>
        <w:rPr>
          <w:rFonts w:hint="eastAsia"/>
        </w:rPr>
        <w:t>规定。</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6792"/>
      </w:tblGrid>
      <w:tr w:rsidR="009750C6" w14:paraId="32DE8A79" w14:textId="77777777" w:rsidTr="009750C6">
        <w:trPr>
          <w:tblHeader/>
          <w:jc w:val="center"/>
        </w:trPr>
        <w:tc>
          <w:tcPr>
            <w:tcW w:w="2542" w:type="dxa"/>
            <w:tcBorders>
              <w:top w:val="single" w:sz="8" w:space="0" w:color="auto"/>
              <w:bottom w:val="single" w:sz="8" w:space="0" w:color="auto"/>
            </w:tcBorders>
            <w:shd w:val="clear" w:color="auto" w:fill="auto"/>
            <w:vAlign w:val="center"/>
          </w:tcPr>
          <w:p w14:paraId="3A8C4247" w14:textId="177DD70A" w:rsidR="009750C6" w:rsidRDefault="009750C6" w:rsidP="009750C6">
            <w:pPr>
              <w:pStyle w:val="afffffffff9"/>
            </w:pPr>
            <w:r>
              <w:rPr>
                <w:rFonts w:hint="eastAsia"/>
              </w:rPr>
              <w:t>项目</w:t>
            </w:r>
          </w:p>
        </w:tc>
        <w:tc>
          <w:tcPr>
            <w:tcW w:w="6792" w:type="dxa"/>
            <w:tcBorders>
              <w:top w:val="single" w:sz="8" w:space="0" w:color="auto"/>
              <w:bottom w:val="single" w:sz="8" w:space="0" w:color="auto"/>
            </w:tcBorders>
            <w:shd w:val="clear" w:color="auto" w:fill="auto"/>
            <w:vAlign w:val="center"/>
          </w:tcPr>
          <w:p w14:paraId="31D77CE1" w14:textId="7B12FE14" w:rsidR="009750C6" w:rsidRDefault="009750C6" w:rsidP="009750C6">
            <w:pPr>
              <w:pStyle w:val="afffffffff9"/>
            </w:pPr>
            <w:r>
              <w:rPr>
                <w:rFonts w:hint="eastAsia"/>
              </w:rPr>
              <w:t>指标</w:t>
            </w:r>
          </w:p>
        </w:tc>
      </w:tr>
      <w:tr w:rsidR="009750C6" w14:paraId="479A0BC9" w14:textId="77777777" w:rsidTr="009750C6">
        <w:trPr>
          <w:jc w:val="center"/>
        </w:trPr>
        <w:tc>
          <w:tcPr>
            <w:tcW w:w="2542" w:type="dxa"/>
            <w:tcBorders>
              <w:top w:val="single" w:sz="8" w:space="0" w:color="auto"/>
            </w:tcBorders>
            <w:shd w:val="clear" w:color="auto" w:fill="auto"/>
            <w:vAlign w:val="center"/>
          </w:tcPr>
          <w:p w14:paraId="1E73096B" w14:textId="06AE98A5" w:rsidR="009750C6" w:rsidRDefault="00956F62" w:rsidP="009750C6">
            <w:pPr>
              <w:pStyle w:val="afffffffff9"/>
            </w:pPr>
            <w:r>
              <w:rPr>
                <w:rFonts w:hint="eastAsia"/>
              </w:rPr>
              <w:t>汞（以Hg计），mg/kg</w:t>
            </w:r>
          </w:p>
        </w:tc>
        <w:tc>
          <w:tcPr>
            <w:tcW w:w="6792" w:type="dxa"/>
            <w:tcBorders>
              <w:top w:val="single" w:sz="8" w:space="0" w:color="auto"/>
            </w:tcBorders>
            <w:shd w:val="clear" w:color="auto" w:fill="auto"/>
            <w:vAlign w:val="center"/>
          </w:tcPr>
          <w:p w14:paraId="3E3D0FF5" w14:textId="79C7B242" w:rsidR="009750C6" w:rsidRDefault="00DC747D" w:rsidP="009750C6">
            <w:pPr>
              <w:pStyle w:val="afffffffff9"/>
            </w:pPr>
            <w:r w:rsidRPr="00DC747D">
              <w:rPr>
                <w:rFonts w:hint="eastAsia"/>
              </w:rPr>
              <w:t>≤</w:t>
            </w:r>
            <w:r>
              <w:rPr>
                <w:rFonts w:hint="eastAsia"/>
              </w:rPr>
              <w:t>1</w:t>
            </w:r>
            <w:r>
              <w:t>.0</w:t>
            </w:r>
          </w:p>
        </w:tc>
      </w:tr>
      <w:tr w:rsidR="009750C6" w14:paraId="37D14463" w14:textId="77777777" w:rsidTr="009750C6">
        <w:trPr>
          <w:jc w:val="center"/>
        </w:trPr>
        <w:tc>
          <w:tcPr>
            <w:tcW w:w="2542" w:type="dxa"/>
            <w:shd w:val="clear" w:color="auto" w:fill="auto"/>
            <w:vAlign w:val="center"/>
          </w:tcPr>
          <w:p w14:paraId="7BC2F96E" w14:textId="4EA2BF31" w:rsidR="009750C6" w:rsidRDefault="00D0241B" w:rsidP="009750C6">
            <w:pPr>
              <w:pStyle w:val="afffffffff9"/>
            </w:pPr>
            <w:r>
              <w:rPr>
                <w:rFonts w:hint="eastAsia"/>
              </w:rPr>
              <w:t>无机砷（以As计），mg/kg</w:t>
            </w:r>
          </w:p>
        </w:tc>
        <w:tc>
          <w:tcPr>
            <w:tcW w:w="6792" w:type="dxa"/>
            <w:shd w:val="clear" w:color="auto" w:fill="auto"/>
            <w:vAlign w:val="center"/>
          </w:tcPr>
          <w:p w14:paraId="01E7E1E2" w14:textId="777C7D76" w:rsidR="009750C6" w:rsidRDefault="00DC747D" w:rsidP="009750C6">
            <w:pPr>
              <w:pStyle w:val="afffffffff9"/>
            </w:pPr>
            <w:r w:rsidRPr="00DC747D">
              <w:rPr>
                <w:rFonts w:hint="eastAsia"/>
              </w:rPr>
              <w:t>≤</w:t>
            </w:r>
            <w:r>
              <w:t>0.5</w:t>
            </w:r>
          </w:p>
        </w:tc>
      </w:tr>
      <w:tr w:rsidR="009750C6" w14:paraId="698B4136" w14:textId="77777777" w:rsidTr="009750C6">
        <w:trPr>
          <w:jc w:val="center"/>
        </w:trPr>
        <w:tc>
          <w:tcPr>
            <w:tcW w:w="2542" w:type="dxa"/>
            <w:shd w:val="clear" w:color="auto" w:fill="auto"/>
            <w:vAlign w:val="center"/>
          </w:tcPr>
          <w:p w14:paraId="72396706" w14:textId="586BAED6" w:rsidR="009750C6" w:rsidRDefault="00D0241B" w:rsidP="009750C6">
            <w:pPr>
              <w:pStyle w:val="afffffffff9"/>
            </w:pPr>
            <w:r>
              <w:rPr>
                <w:rFonts w:hint="eastAsia"/>
              </w:rPr>
              <w:lastRenderedPageBreak/>
              <w:t>铅（以Pb计），mg/kg</w:t>
            </w:r>
          </w:p>
        </w:tc>
        <w:tc>
          <w:tcPr>
            <w:tcW w:w="6792" w:type="dxa"/>
            <w:shd w:val="clear" w:color="auto" w:fill="auto"/>
            <w:vAlign w:val="center"/>
          </w:tcPr>
          <w:p w14:paraId="1F3258F4" w14:textId="6536E853" w:rsidR="009750C6" w:rsidRDefault="00DC747D" w:rsidP="009750C6">
            <w:pPr>
              <w:pStyle w:val="afffffffff9"/>
            </w:pPr>
            <w:r w:rsidRPr="00DC747D">
              <w:rPr>
                <w:rFonts w:hint="eastAsia"/>
              </w:rPr>
              <w:t>≤</w:t>
            </w:r>
            <w:r>
              <w:t>0.5</w:t>
            </w:r>
          </w:p>
        </w:tc>
      </w:tr>
      <w:tr w:rsidR="009750C6" w14:paraId="01DC25FA" w14:textId="77777777" w:rsidTr="009750C6">
        <w:trPr>
          <w:jc w:val="center"/>
        </w:trPr>
        <w:tc>
          <w:tcPr>
            <w:tcW w:w="2542" w:type="dxa"/>
            <w:shd w:val="clear" w:color="auto" w:fill="auto"/>
            <w:vAlign w:val="center"/>
          </w:tcPr>
          <w:p w14:paraId="1E5193C7" w14:textId="1FD81F56" w:rsidR="009750C6" w:rsidRDefault="00D0241B" w:rsidP="009750C6">
            <w:pPr>
              <w:pStyle w:val="afffffffff9"/>
            </w:pPr>
            <w:r>
              <w:rPr>
                <w:rFonts w:hint="eastAsia"/>
              </w:rPr>
              <w:t>镉（以Cd计），mg/kg</w:t>
            </w:r>
          </w:p>
        </w:tc>
        <w:tc>
          <w:tcPr>
            <w:tcW w:w="6792" w:type="dxa"/>
            <w:shd w:val="clear" w:color="auto" w:fill="auto"/>
            <w:vAlign w:val="center"/>
          </w:tcPr>
          <w:p w14:paraId="3A9F06FF" w14:textId="68673872" w:rsidR="009750C6" w:rsidRDefault="00DC747D" w:rsidP="009750C6">
            <w:pPr>
              <w:pStyle w:val="afffffffff9"/>
            </w:pPr>
            <w:r w:rsidRPr="00DC747D">
              <w:rPr>
                <w:rFonts w:hint="eastAsia"/>
              </w:rPr>
              <w:t>≤</w:t>
            </w:r>
            <w:r>
              <w:rPr>
                <w:rFonts w:hint="eastAsia"/>
              </w:rPr>
              <w:t>1</w:t>
            </w:r>
            <w:r>
              <w:t>.0</w:t>
            </w:r>
          </w:p>
        </w:tc>
      </w:tr>
      <w:tr w:rsidR="00D0241B" w14:paraId="705D68C1" w14:textId="77777777" w:rsidTr="008931AC">
        <w:trPr>
          <w:jc w:val="center"/>
        </w:trPr>
        <w:tc>
          <w:tcPr>
            <w:tcW w:w="9334" w:type="dxa"/>
            <w:gridSpan w:val="2"/>
            <w:shd w:val="clear" w:color="auto" w:fill="auto"/>
            <w:vAlign w:val="center"/>
          </w:tcPr>
          <w:p w14:paraId="08F66A6C" w14:textId="7C5B1AD7" w:rsidR="00D0241B" w:rsidRDefault="00D0241B" w:rsidP="009750C6">
            <w:pPr>
              <w:pStyle w:val="afffffffff9"/>
            </w:pPr>
            <w:r>
              <w:rPr>
                <w:rFonts w:hint="eastAsia"/>
              </w:rPr>
              <w:t>注：其他</w:t>
            </w:r>
            <w:r w:rsidR="00DC747D">
              <w:rPr>
                <w:rFonts w:hint="eastAsia"/>
              </w:rPr>
              <w:t>兽药，农药应符合国家有关规定。</w:t>
            </w:r>
          </w:p>
        </w:tc>
      </w:tr>
    </w:tbl>
    <w:p w14:paraId="36178C77" w14:textId="77777777" w:rsidR="009750C6" w:rsidRDefault="009750C6" w:rsidP="009750C6">
      <w:pPr>
        <w:pStyle w:val="affffb"/>
        <w:ind w:firstLine="420"/>
      </w:pPr>
    </w:p>
    <w:p w14:paraId="1B6B053F" w14:textId="55BED846" w:rsidR="009750C6" w:rsidRDefault="00DC747D" w:rsidP="00DC747D">
      <w:pPr>
        <w:pStyle w:val="affc"/>
        <w:spacing w:before="240" w:after="240"/>
      </w:pPr>
      <w:r>
        <w:rPr>
          <w:rFonts w:hint="eastAsia"/>
        </w:rPr>
        <w:t>试验方法</w:t>
      </w:r>
    </w:p>
    <w:p w14:paraId="58244485" w14:textId="5A414CA8" w:rsidR="00DC747D" w:rsidRDefault="00DC747D" w:rsidP="00DC747D">
      <w:pPr>
        <w:pStyle w:val="affd"/>
        <w:spacing w:before="120" w:after="120"/>
      </w:pPr>
      <w:r>
        <w:rPr>
          <w:rFonts w:hint="eastAsia"/>
        </w:rPr>
        <w:t>感官检验</w:t>
      </w:r>
    </w:p>
    <w:p w14:paraId="3CC91893" w14:textId="425A367A" w:rsidR="00DC747D" w:rsidRDefault="00DC747D" w:rsidP="00DC747D">
      <w:pPr>
        <w:pStyle w:val="afffffffff1"/>
      </w:pPr>
      <w:r>
        <w:rPr>
          <w:rFonts w:hint="eastAsia"/>
        </w:rPr>
        <w:t>在光线充足、无异味、清洁的环境中，将整条鱼置于不锈钢工作台上，按4</w:t>
      </w:r>
      <w:r>
        <w:t>.1</w:t>
      </w:r>
      <w:r>
        <w:rPr>
          <w:rFonts w:hint="eastAsia"/>
        </w:rPr>
        <w:t>条进行逐项检验。</w:t>
      </w:r>
    </w:p>
    <w:p w14:paraId="10C5603A" w14:textId="445F9385" w:rsidR="00DC747D" w:rsidRDefault="00DC747D" w:rsidP="00DC747D">
      <w:pPr>
        <w:pStyle w:val="afffffffff1"/>
      </w:pPr>
      <w:r>
        <w:rPr>
          <w:rFonts w:hint="eastAsia"/>
        </w:rPr>
        <w:t>水煮试验：在容器中加入5</w:t>
      </w:r>
      <w:r>
        <w:t>00</w:t>
      </w:r>
      <w:r>
        <w:rPr>
          <w:rFonts w:hint="eastAsia"/>
        </w:rPr>
        <w:t>m</w:t>
      </w:r>
      <w:r>
        <w:t>L</w:t>
      </w:r>
      <w:r>
        <w:rPr>
          <w:rFonts w:hint="eastAsia"/>
        </w:rPr>
        <w:t>饮用水，取约1</w:t>
      </w:r>
      <w:r>
        <w:t>50</w:t>
      </w:r>
      <w:r>
        <w:rPr>
          <w:rFonts w:hint="eastAsia"/>
        </w:rPr>
        <w:t>g</w:t>
      </w:r>
      <w:r w:rsidR="0058312A">
        <w:rPr>
          <w:rFonts w:hint="eastAsia"/>
        </w:rPr>
        <w:t>石斑鱼，清水洗净切块放于容器中，煮5min后打开容器盖，闻气味，品尝肉质。</w:t>
      </w:r>
    </w:p>
    <w:p w14:paraId="71FE4CFB" w14:textId="16F69837" w:rsidR="0058312A" w:rsidRDefault="0058312A" w:rsidP="0058312A">
      <w:pPr>
        <w:pStyle w:val="affd"/>
        <w:spacing w:before="120" w:after="120"/>
      </w:pPr>
      <w:r>
        <w:rPr>
          <w:rFonts w:hint="eastAsia"/>
        </w:rPr>
        <w:t>汞的测定</w:t>
      </w:r>
    </w:p>
    <w:p w14:paraId="067831DF" w14:textId="4484BAF3" w:rsidR="0058312A" w:rsidRDefault="0058312A" w:rsidP="0058312A">
      <w:pPr>
        <w:pStyle w:val="affffb"/>
        <w:ind w:firstLine="420"/>
      </w:pPr>
      <w:r>
        <w:rPr>
          <w:rFonts w:hint="eastAsia"/>
        </w:rPr>
        <w:t>按G</w:t>
      </w:r>
      <w:r>
        <w:t>B 5009.17</w:t>
      </w:r>
      <w:r>
        <w:rPr>
          <w:rFonts w:hint="eastAsia"/>
        </w:rPr>
        <w:t>的规定执行。</w:t>
      </w:r>
    </w:p>
    <w:p w14:paraId="7F2B1027" w14:textId="3B686FCC" w:rsidR="0058312A" w:rsidRDefault="0058312A" w:rsidP="0058312A">
      <w:pPr>
        <w:pStyle w:val="affd"/>
        <w:spacing w:before="120" w:after="120"/>
      </w:pPr>
      <w:r>
        <w:rPr>
          <w:rFonts w:hint="eastAsia"/>
        </w:rPr>
        <w:t>无机砷的测定</w:t>
      </w:r>
    </w:p>
    <w:p w14:paraId="4932DE0A" w14:textId="13D6C7AB" w:rsidR="0058312A" w:rsidRDefault="0058312A" w:rsidP="0058312A">
      <w:pPr>
        <w:pStyle w:val="affffb"/>
        <w:ind w:firstLine="420"/>
      </w:pPr>
      <w:r>
        <w:rPr>
          <w:rFonts w:hint="eastAsia"/>
        </w:rPr>
        <w:t>按G</w:t>
      </w:r>
      <w:r>
        <w:t>B 5009.11</w:t>
      </w:r>
      <w:r>
        <w:rPr>
          <w:rFonts w:hint="eastAsia"/>
        </w:rPr>
        <w:t>的规定执行。</w:t>
      </w:r>
    </w:p>
    <w:p w14:paraId="440BE272" w14:textId="63CAA01F" w:rsidR="0058312A" w:rsidRDefault="00D81F85" w:rsidP="00D81F85">
      <w:pPr>
        <w:pStyle w:val="affd"/>
        <w:spacing w:before="120" w:after="120"/>
      </w:pPr>
      <w:r>
        <w:rPr>
          <w:rFonts w:hint="eastAsia"/>
        </w:rPr>
        <w:t>铅的测定</w:t>
      </w:r>
    </w:p>
    <w:p w14:paraId="39BA33E9" w14:textId="3140CE71" w:rsidR="00D81F85" w:rsidRDefault="00D81F85" w:rsidP="00D81F85">
      <w:pPr>
        <w:pStyle w:val="affffb"/>
        <w:ind w:firstLine="420"/>
      </w:pPr>
      <w:r>
        <w:rPr>
          <w:rFonts w:hint="eastAsia"/>
        </w:rPr>
        <w:t>按G</w:t>
      </w:r>
      <w:r>
        <w:t>B 5009.12</w:t>
      </w:r>
      <w:r>
        <w:rPr>
          <w:rFonts w:hint="eastAsia"/>
        </w:rPr>
        <w:t>的规定执行。</w:t>
      </w:r>
    </w:p>
    <w:p w14:paraId="504EEA5B" w14:textId="78100267" w:rsidR="00D81F85" w:rsidRDefault="00D81F85" w:rsidP="00D81F85">
      <w:pPr>
        <w:pStyle w:val="affd"/>
        <w:spacing w:before="120" w:after="120"/>
      </w:pPr>
      <w:r>
        <w:rPr>
          <w:rFonts w:hint="eastAsia"/>
        </w:rPr>
        <w:t>镉的测定</w:t>
      </w:r>
    </w:p>
    <w:p w14:paraId="557997B5" w14:textId="4CCE2430" w:rsidR="00D81F85" w:rsidRDefault="00D81F85" w:rsidP="00D81F85">
      <w:pPr>
        <w:pStyle w:val="affffb"/>
        <w:ind w:firstLine="420"/>
      </w:pPr>
      <w:r>
        <w:rPr>
          <w:rFonts w:hint="eastAsia"/>
        </w:rPr>
        <w:t>按G</w:t>
      </w:r>
      <w:r>
        <w:t>B 5009.15</w:t>
      </w:r>
      <w:r>
        <w:rPr>
          <w:rFonts w:hint="eastAsia"/>
        </w:rPr>
        <w:t>的规定执行。</w:t>
      </w:r>
    </w:p>
    <w:p w14:paraId="6933FC6C" w14:textId="2C60C03F" w:rsidR="00D81F85" w:rsidRDefault="00D81F85" w:rsidP="00D81F85">
      <w:pPr>
        <w:pStyle w:val="affc"/>
        <w:spacing w:before="240" w:after="240"/>
      </w:pPr>
      <w:r>
        <w:rPr>
          <w:rFonts w:hint="eastAsia"/>
        </w:rPr>
        <w:t>检验规则</w:t>
      </w:r>
    </w:p>
    <w:p w14:paraId="5C249550" w14:textId="236CB690" w:rsidR="00D81F85" w:rsidRDefault="00C00CFA" w:rsidP="00C00CFA">
      <w:pPr>
        <w:pStyle w:val="affd"/>
        <w:spacing w:before="120" w:after="120"/>
      </w:pPr>
      <w:r>
        <w:rPr>
          <w:rFonts w:hint="eastAsia"/>
        </w:rPr>
        <w:t>组批规则</w:t>
      </w:r>
    </w:p>
    <w:p w14:paraId="29340DC2" w14:textId="493B8624" w:rsidR="00C00CFA" w:rsidRDefault="00C00CFA" w:rsidP="00C00CFA">
      <w:pPr>
        <w:pStyle w:val="affffb"/>
        <w:ind w:firstLine="420"/>
      </w:pPr>
      <w:r>
        <w:rPr>
          <w:rFonts w:hint="eastAsia"/>
        </w:rPr>
        <w:t>以同一鱼池、同一网箱或同一养殖场中养殖条件相同的产品为同一组批。</w:t>
      </w:r>
    </w:p>
    <w:p w14:paraId="2852D4D8" w14:textId="7B449AFB" w:rsidR="00C00CFA" w:rsidRDefault="00C00CFA" w:rsidP="00C00CFA">
      <w:pPr>
        <w:pStyle w:val="affd"/>
        <w:spacing w:before="120" w:after="120"/>
      </w:pPr>
      <w:r>
        <w:rPr>
          <w:rFonts w:hint="eastAsia"/>
        </w:rPr>
        <w:t>抽样方法</w:t>
      </w:r>
    </w:p>
    <w:p w14:paraId="146AC75E" w14:textId="73DD0D9C" w:rsidR="00C00CFA" w:rsidRDefault="00C00CFA" w:rsidP="00C00CFA">
      <w:pPr>
        <w:pStyle w:val="affffb"/>
        <w:ind w:firstLine="420"/>
      </w:pPr>
      <w:r>
        <w:rPr>
          <w:rFonts w:hint="eastAsia"/>
        </w:rPr>
        <w:t>按S</w:t>
      </w:r>
      <w:r>
        <w:t>C/T 3016</w:t>
      </w:r>
      <w:r>
        <w:rPr>
          <w:rFonts w:hint="eastAsia"/>
        </w:rPr>
        <w:t>的规定执行。</w:t>
      </w:r>
    </w:p>
    <w:p w14:paraId="2E21D8A8" w14:textId="7B6E13F7" w:rsidR="004933EC" w:rsidRDefault="004933EC" w:rsidP="004933EC">
      <w:pPr>
        <w:pStyle w:val="affd"/>
        <w:spacing w:before="120" w:after="120"/>
      </w:pPr>
      <w:r>
        <w:rPr>
          <w:rFonts w:hint="eastAsia"/>
        </w:rPr>
        <w:t>出厂检验</w:t>
      </w:r>
    </w:p>
    <w:p w14:paraId="7BEF2295" w14:textId="4526A060" w:rsidR="00D81F85" w:rsidRDefault="004933EC" w:rsidP="00D81F85">
      <w:pPr>
        <w:pStyle w:val="affffb"/>
        <w:ind w:firstLine="420"/>
      </w:pPr>
      <w:r>
        <w:t>每批产品出厂前，应由生产方按本标准进行感官检验，符合感官要求后方可出厂销售。</w:t>
      </w:r>
    </w:p>
    <w:p w14:paraId="5D0A3F2D" w14:textId="546DB678" w:rsidR="004933EC" w:rsidRDefault="004933EC" w:rsidP="004933EC">
      <w:pPr>
        <w:pStyle w:val="affd"/>
        <w:spacing w:before="120" w:after="120"/>
      </w:pPr>
      <w:r>
        <w:rPr>
          <w:rFonts w:hint="eastAsia"/>
        </w:rPr>
        <w:t>型式检验</w:t>
      </w:r>
    </w:p>
    <w:p w14:paraId="79001686" w14:textId="77777777" w:rsidR="004933EC" w:rsidRDefault="004933EC" w:rsidP="004933EC">
      <w:pPr>
        <w:pStyle w:val="affffb"/>
        <w:ind w:firstLine="420"/>
      </w:pPr>
      <w:r>
        <w:t xml:space="preserve">产品型式检验的项目包括本文件要求的全部项目。正常生产时，应满足至少一年一次，如有下列情 形之一，也应进行型式检验。 </w:t>
      </w:r>
    </w:p>
    <w:p w14:paraId="7449569B" w14:textId="2891A515" w:rsidR="004933EC" w:rsidRDefault="004933EC" w:rsidP="004933EC">
      <w:pPr>
        <w:pStyle w:val="affffb"/>
        <w:ind w:firstLine="420"/>
      </w:pPr>
      <w:r>
        <w:t>a) 受到污染，</w:t>
      </w:r>
      <w:r>
        <w:rPr>
          <w:rFonts w:hint="eastAsia"/>
        </w:rPr>
        <w:t>石斑鱼</w:t>
      </w:r>
      <w:r>
        <w:t>生长环境发生变化，可能会影响</w:t>
      </w:r>
      <w:r>
        <w:rPr>
          <w:rFonts w:hint="eastAsia"/>
        </w:rPr>
        <w:t>石斑鱼</w:t>
      </w:r>
      <w:r>
        <w:t xml:space="preserve">的质量时； </w:t>
      </w:r>
    </w:p>
    <w:p w14:paraId="75DD50F0" w14:textId="7DE27903" w:rsidR="004933EC" w:rsidRDefault="004933EC" w:rsidP="004933EC">
      <w:pPr>
        <w:pStyle w:val="affffb"/>
        <w:ind w:firstLine="420"/>
      </w:pPr>
      <w:r>
        <w:t>b) 食品安全监管部门要求进行型式检验时。</w:t>
      </w:r>
    </w:p>
    <w:p w14:paraId="5B986BE1" w14:textId="05765B12" w:rsidR="004933EC" w:rsidRDefault="004933EC" w:rsidP="004933EC">
      <w:pPr>
        <w:pStyle w:val="affd"/>
        <w:spacing w:before="120" w:after="120"/>
      </w:pPr>
      <w:r>
        <w:rPr>
          <w:rFonts w:hint="eastAsia"/>
        </w:rPr>
        <w:t>判定规则</w:t>
      </w:r>
    </w:p>
    <w:p w14:paraId="524C49C0" w14:textId="77777777" w:rsidR="004933EC" w:rsidRDefault="004933EC" w:rsidP="004933EC">
      <w:pPr>
        <w:pStyle w:val="afffffffff1"/>
      </w:pPr>
      <w:r>
        <w:t xml:space="preserve">型式检验结果符合本文件要求，判为合格品。 </w:t>
      </w:r>
    </w:p>
    <w:p w14:paraId="3A7FB7D7" w14:textId="44DE2680" w:rsidR="004933EC" w:rsidRDefault="004933EC" w:rsidP="004933EC">
      <w:pPr>
        <w:pStyle w:val="afffffffff1"/>
      </w:pPr>
      <w:r>
        <w:t>若检验结果有指标不符合，可以加倍抽样复验，复验结果若还不符合，即判为不合格品，不得 出厂。</w:t>
      </w:r>
    </w:p>
    <w:p w14:paraId="2E8A37B9" w14:textId="06AF6A7C" w:rsidR="004933EC" w:rsidRPr="004933EC" w:rsidRDefault="004933EC" w:rsidP="004933EC">
      <w:pPr>
        <w:pStyle w:val="affc"/>
        <w:spacing w:before="240" w:after="240"/>
      </w:pPr>
      <w:r>
        <w:rPr>
          <w:rFonts w:hint="eastAsia"/>
        </w:rPr>
        <w:t>标志、包装、运输和贮存</w:t>
      </w:r>
    </w:p>
    <w:p w14:paraId="2BA3434D" w14:textId="77777777" w:rsidR="00E6676F" w:rsidRDefault="00E6676F" w:rsidP="00E6676F">
      <w:pPr>
        <w:pStyle w:val="affd"/>
        <w:spacing w:before="120" w:after="120"/>
      </w:pPr>
      <w:r w:rsidRPr="00E6676F">
        <w:t xml:space="preserve">标志 </w:t>
      </w:r>
    </w:p>
    <w:p w14:paraId="5C2F32D8" w14:textId="0CF84607" w:rsidR="00E6676F" w:rsidRDefault="00E6676F" w:rsidP="0058312A">
      <w:pPr>
        <w:pStyle w:val="affffb"/>
        <w:ind w:firstLine="420"/>
      </w:pPr>
      <w:r w:rsidRPr="00E6676F">
        <w:lastRenderedPageBreak/>
        <w:t xml:space="preserve">标识应符合GB/T 191规定。 </w:t>
      </w:r>
    </w:p>
    <w:p w14:paraId="5547CD77" w14:textId="77777777" w:rsidR="00E6676F" w:rsidRDefault="00E6676F" w:rsidP="00E6676F">
      <w:pPr>
        <w:pStyle w:val="affd"/>
        <w:spacing w:before="120" w:after="120"/>
      </w:pPr>
      <w:r w:rsidRPr="00E6676F">
        <w:t xml:space="preserve">包装 </w:t>
      </w:r>
    </w:p>
    <w:p w14:paraId="4B679C83" w14:textId="7FA62672" w:rsidR="00E6676F" w:rsidRDefault="00E6676F" w:rsidP="0058312A">
      <w:pPr>
        <w:pStyle w:val="affffb"/>
        <w:ind w:firstLine="420"/>
      </w:pPr>
      <w:r w:rsidRPr="00E6676F">
        <w:t xml:space="preserve">包装形式可分为袋装、箱装，所用的包装材料应洁净、无毒、无味。活体水产品应带水包装， 密封严密，不渗漏。若活体水产品无水包装时，可根据需要加入辅助控温材料以保证鲜活。 </w:t>
      </w:r>
    </w:p>
    <w:p w14:paraId="58C2370B" w14:textId="77777777" w:rsidR="00E6676F" w:rsidRDefault="00E6676F" w:rsidP="00E6676F">
      <w:pPr>
        <w:pStyle w:val="affd"/>
        <w:spacing w:before="120" w:after="120"/>
      </w:pPr>
      <w:r w:rsidRPr="00E6676F">
        <w:t xml:space="preserve">运输 </w:t>
      </w:r>
    </w:p>
    <w:p w14:paraId="6081ABB8" w14:textId="65FD6999" w:rsidR="00E6676F" w:rsidRDefault="00E6676F" w:rsidP="00E6676F">
      <w:pPr>
        <w:pStyle w:val="afffffffff1"/>
      </w:pPr>
      <w:r w:rsidRPr="00E6676F">
        <w:t xml:space="preserve">运输工具应保持清洁，避免日晒雨淋，不得与其他有害物质一同运输。 </w:t>
      </w:r>
    </w:p>
    <w:p w14:paraId="662751D9" w14:textId="54254D2F" w:rsidR="00E6676F" w:rsidRDefault="00E6676F" w:rsidP="00E6676F">
      <w:pPr>
        <w:pStyle w:val="afffffffff1"/>
      </w:pPr>
      <w:r w:rsidRPr="00E6676F">
        <w:t xml:space="preserve">长途运输时，可适当加入少量海水，同时保持车厢内温度不能过高。 </w:t>
      </w:r>
    </w:p>
    <w:p w14:paraId="6DBE9A66" w14:textId="097A9F45" w:rsidR="00E6676F" w:rsidRDefault="00E6676F" w:rsidP="00E6676F">
      <w:pPr>
        <w:pStyle w:val="afffffffff1"/>
      </w:pPr>
      <w:r w:rsidRPr="00E6676F">
        <w:t xml:space="preserve">装卸时应小心，轻拿轻放，避免重压。 </w:t>
      </w:r>
    </w:p>
    <w:p w14:paraId="5DE7CE66" w14:textId="77777777" w:rsidR="00E6676F" w:rsidRDefault="00E6676F" w:rsidP="00E6676F">
      <w:pPr>
        <w:pStyle w:val="affd"/>
        <w:spacing w:before="120" w:after="120"/>
      </w:pPr>
      <w:r w:rsidRPr="00E6676F">
        <w:t xml:space="preserve">贮存 </w:t>
      </w:r>
    </w:p>
    <w:p w14:paraId="43E48229" w14:textId="4EEC04D5" w:rsidR="0058312A" w:rsidRDefault="00E6676F" w:rsidP="0058312A">
      <w:pPr>
        <w:pStyle w:val="affffb"/>
        <w:ind w:firstLine="420"/>
      </w:pPr>
      <w:r w:rsidRPr="00E6676F">
        <w:t>活体</w:t>
      </w:r>
      <w:r>
        <w:rPr>
          <w:rFonts w:hint="eastAsia"/>
        </w:rPr>
        <w:t>石斑鱼</w:t>
      </w:r>
      <w:r w:rsidRPr="00E6676F">
        <w:t>应在原生存的水体中保存，并置于清洁、阴凉、通风处，并保持良好透气性</w:t>
      </w:r>
      <w:r>
        <w:rPr>
          <w:rFonts w:hint="eastAsia"/>
        </w:rPr>
        <w:t>。</w:t>
      </w:r>
    </w:p>
    <w:p w14:paraId="16102880" w14:textId="12A29E15" w:rsidR="00E6676F" w:rsidRPr="0058312A" w:rsidRDefault="00E6676F" w:rsidP="00E6676F">
      <w:pPr>
        <w:pStyle w:val="affffb"/>
        <w:ind w:firstLineChars="0" w:firstLine="0"/>
        <w:jc w:val="center"/>
      </w:pPr>
      <w:bookmarkStart w:id="44" w:name="BookMark8"/>
      <w:bookmarkEnd w:id="22"/>
      <w:r>
        <w:rPr>
          <w:rFonts w:hint="eastAsia"/>
        </w:rPr>
        <w:drawing>
          <wp:inline distT="0" distB="0" distL="0" distR="0" wp14:anchorId="03975669" wp14:editId="0D0CE734">
            <wp:extent cx="1485900" cy="317500"/>
            <wp:effectExtent l="0" t="0" r="0" b="6350"/>
            <wp:docPr id="1357857172" name="图片 1"/>
            <wp:cNvGraphicFramePr/>
            <a:graphic xmlns:a="http://schemas.openxmlformats.org/drawingml/2006/main">
              <a:graphicData uri="http://schemas.openxmlformats.org/drawingml/2006/picture">
                <pic:pic xmlns:pic="http://schemas.openxmlformats.org/drawingml/2006/picture">
                  <pic:nvPicPr>
                    <pic:cNvPr id="1357857172"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E6676F" w:rsidRPr="0058312A"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BB6A" w14:textId="77777777" w:rsidR="00144310" w:rsidRDefault="00144310" w:rsidP="00D86DB7">
      <w:r>
        <w:separator/>
      </w:r>
    </w:p>
    <w:p w14:paraId="56059218" w14:textId="77777777" w:rsidR="00144310" w:rsidRDefault="00144310"/>
    <w:p w14:paraId="2EC29297" w14:textId="77777777" w:rsidR="00144310" w:rsidRDefault="00144310"/>
  </w:endnote>
  <w:endnote w:type="continuationSeparator" w:id="0">
    <w:p w14:paraId="010C8803" w14:textId="77777777" w:rsidR="00144310" w:rsidRDefault="00144310" w:rsidP="00D86DB7">
      <w:r>
        <w:continuationSeparator/>
      </w:r>
    </w:p>
    <w:p w14:paraId="58CA7E15" w14:textId="77777777" w:rsidR="00144310" w:rsidRDefault="00144310"/>
    <w:p w14:paraId="6B53BECC" w14:textId="77777777" w:rsidR="00144310" w:rsidRDefault="00144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485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84BE"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004"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1733" w14:textId="77777777" w:rsidR="00144310" w:rsidRDefault="00144310" w:rsidP="00D86DB7">
      <w:r>
        <w:separator/>
      </w:r>
    </w:p>
  </w:footnote>
  <w:footnote w:type="continuationSeparator" w:id="0">
    <w:p w14:paraId="104DB9ED" w14:textId="77777777" w:rsidR="00144310" w:rsidRDefault="00144310" w:rsidP="00D86DB7">
      <w:r>
        <w:continuationSeparator/>
      </w:r>
    </w:p>
    <w:p w14:paraId="10E275CB" w14:textId="77777777" w:rsidR="00144310" w:rsidRDefault="00144310"/>
    <w:p w14:paraId="5ACDA52A" w14:textId="77777777" w:rsidR="00144310" w:rsidRDefault="00144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37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39EF"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54D5" w14:textId="168C5AE5"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84D18">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0293" w14:textId="44A40C6A" w:rsidR="00D84FA1" w:rsidRPr="00D84FA1" w:rsidRDefault="00D84FA1" w:rsidP="00A2271D">
    <w:pPr>
      <w:pStyle w:val="afffff0"/>
    </w:pPr>
    <w:r>
      <w:fldChar w:fldCharType="begin"/>
    </w:r>
    <w:r>
      <w:instrText xml:space="preserve"> STYLEREF  标准文件_文件编号  \* MERGEFORMAT </w:instrText>
    </w:r>
    <w:r>
      <w:fldChar w:fldCharType="separate"/>
    </w:r>
    <w:r w:rsidR="00906154">
      <w:t>T/XXX XXXX</w:t>
    </w:r>
    <w:r w:rsidR="00906154">
      <w:t>—</w:t>
    </w:r>
    <w:r w:rsidR="0090615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Gbz5mFmpXqREiNUj3i4Y7L4PvtBf4auS495qaBnO7NJIEM+LhQUMwjRyTKfV5AcAOMZDlt6vd+aawhdWhPDF/A==" w:salt="nRCQQNfFBHx7FaPFPG25s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1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310"/>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70A"/>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4E8"/>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3EC"/>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12A"/>
    <w:rsid w:val="005836A8"/>
    <w:rsid w:val="0058409C"/>
    <w:rsid w:val="00584262"/>
    <w:rsid w:val="00584D18"/>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15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A67"/>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154"/>
    <w:rsid w:val="009062E6"/>
    <w:rsid w:val="00911BE5"/>
    <w:rsid w:val="00913CA9"/>
    <w:rsid w:val="009145AE"/>
    <w:rsid w:val="009146CE"/>
    <w:rsid w:val="00914CA7"/>
    <w:rsid w:val="00915C3E"/>
    <w:rsid w:val="009161A8"/>
    <w:rsid w:val="009245AE"/>
    <w:rsid w:val="009245F5"/>
    <w:rsid w:val="009249EC"/>
    <w:rsid w:val="009273B3"/>
    <w:rsid w:val="009305B5"/>
    <w:rsid w:val="00936B14"/>
    <w:rsid w:val="009378DD"/>
    <w:rsid w:val="009429D5"/>
    <w:rsid w:val="00942BF1"/>
    <w:rsid w:val="00945180"/>
    <w:rsid w:val="00945428"/>
    <w:rsid w:val="0094607B"/>
    <w:rsid w:val="00953604"/>
    <w:rsid w:val="0095496B"/>
    <w:rsid w:val="00956F62"/>
    <w:rsid w:val="00960F1E"/>
    <w:rsid w:val="009610DC"/>
    <w:rsid w:val="00961490"/>
    <w:rsid w:val="0096381A"/>
    <w:rsid w:val="00965E04"/>
    <w:rsid w:val="009674AD"/>
    <w:rsid w:val="00970CDC"/>
    <w:rsid w:val="009750C6"/>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C55"/>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CFA"/>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41B"/>
    <w:rsid w:val="00D0321C"/>
    <w:rsid w:val="00D035EC"/>
    <w:rsid w:val="00D04C59"/>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1F85"/>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47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76F"/>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0155"/>
  <w15:docId w15:val="{8ABDDA28-3DCF-4425-8EC0-7BCF0A80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9649C90714AE190C65F728AD12832"/>
        <w:category>
          <w:name w:val="常规"/>
          <w:gallery w:val="placeholder"/>
        </w:category>
        <w:types>
          <w:type w:val="bbPlcHdr"/>
        </w:types>
        <w:behaviors>
          <w:behavior w:val="content"/>
        </w:behaviors>
        <w:guid w:val="{65C7E59B-9EAB-477F-B3C5-DDDD73A20250}"/>
      </w:docPartPr>
      <w:docPartBody>
        <w:p w:rsidR="0059195A" w:rsidRDefault="00000000">
          <w:pPr>
            <w:pStyle w:val="C8D9649C90714AE190C65F728AD12832"/>
          </w:pPr>
          <w:r w:rsidRPr="00751A05">
            <w:rPr>
              <w:rStyle w:val="a3"/>
              <w:rFonts w:hint="eastAsia"/>
            </w:rPr>
            <w:t>单击或点击此处输入文字。</w:t>
          </w:r>
        </w:p>
      </w:docPartBody>
    </w:docPart>
    <w:docPart>
      <w:docPartPr>
        <w:name w:val="72D844A94F0A49D8B9D74319F8CF1272"/>
        <w:category>
          <w:name w:val="常规"/>
          <w:gallery w:val="placeholder"/>
        </w:category>
        <w:types>
          <w:type w:val="bbPlcHdr"/>
        </w:types>
        <w:behaviors>
          <w:behavior w:val="content"/>
        </w:behaviors>
        <w:guid w:val="{110350EF-A1F7-4681-A1A8-07908E72B65F}"/>
      </w:docPartPr>
      <w:docPartBody>
        <w:p w:rsidR="0059195A" w:rsidRDefault="00000000">
          <w:pPr>
            <w:pStyle w:val="72D844A94F0A49D8B9D74319F8CF1272"/>
          </w:pPr>
          <w:r w:rsidRPr="00FB6243">
            <w:rPr>
              <w:rStyle w:val="a3"/>
              <w:rFonts w:hint="eastAsia"/>
            </w:rPr>
            <w:t>选择一项。</w:t>
          </w:r>
        </w:p>
      </w:docPartBody>
    </w:docPart>
    <w:docPart>
      <w:docPartPr>
        <w:name w:val="3444D12DD3BD41198AD5022A63126F99"/>
        <w:category>
          <w:name w:val="常规"/>
          <w:gallery w:val="placeholder"/>
        </w:category>
        <w:types>
          <w:type w:val="bbPlcHdr"/>
        </w:types>
        <w:behaviors>
          <w:behavior w:val="content"/>
        </w:behaviors>
        <w:guid w:val="{CCB7A3CD-5644-42E6-A8A0-0518B83ABDB4}"/>
      </w:docPartPr>
      <w:docPartBody>
        <w:p w:rsidR="0059195A" w:rsidRDefault="00000000">
          <w:pPr>
            <w:pStyle w:val="3444D12DD3BD41198AD5022A63126F9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CA"/>
    <w:rsid w:val="0016079A"/>
    <w:rsid w:val="004127CA"/>
    <w:rsid w:val="0059195A"/>
    <w:rsid w:val="00CB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D9649C90714AE190C65F728AD12832">
    <w:name w:val="C8D9649C90714AE190C65F728AD12832"/>
    <w:pPr>
      <w:widowControl w:val="0"/>
      <w:jc w:val="both"/>
    </w:pPr>
  </w:style>
  <w:style w:type="paragraph" w:customStyle="1" w:styleId="72D844A94F0A49D8B9D74319F8CF1272">
    <w:name w:val="72D844A94F0A49D8B9D74319F8CF1272"/>
    <w:pPr>
      <w:widowControl w:val="0"/>
      <w:jc w:val="both"/>
    </w:pPr>
  </w:style>
  <w:style w:type="paragraph" w:customStyle="1" w:styleId="3444D12DD3BD41198AD5022A63126F99">
    <w:name w:val="3444D12DD3BD41198AD5022A63126F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95</TotalTime>
  <Pages>5</Pages>
  <Words>322</Words>
  <Characters>1838</Characters>
  <Application>Microsoft Office Word</Application>
  <DocSecurity>0</DocSecurity>
  <Lines>15</Lines>
  <Paragraphs>4</Paragraphs>
  <ScaleCrop>false</ScaleCrop>
  <Company>PCMI</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符志刚</dc:creator>
  <cp:keywords/>
  <dc:description>&lt;config cover="true" show_menu="true" version="1.0.0" doctype="SDKXY"&gt;_x000d_
&lt;/config&gt;</dc:description>
  <cp:lastModifiedBy>腾 罗</cp:lastModifiedBy>
  <cp:revision>9</cp:revision>
  <cp:lastPrinted>2021-02-02T08:22:00Z</cp:lastPrinted>
  <dcterms:created xsi:type="dcterms:W3CDTF">2023-07-30T00:20:00Z</dcterms:created>
  <dcterms:modified xsi:type="dcterms:W3CDTF">2023-08-01T09:00:00Z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