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6"/>
              <w:framePr w:wrap="notBeside" w:vAnchor="page" w:hAnchor="page" w:x="1372" w:y="568"/>
              <w:tabs>
                <w:tab w:val="clear" w:pos="4153"/>
                <w:tab w:val="clear" w:pos="8306"/>
              </w:tabs>
              <w:spacing w:line="240" w:lineRule="auto"/>
              <w:jc w:val="left"/>
              <w:rPr>
                <w:rFonts w:ascii="黑体" w:hAnsi="黑体" w:eastAsia="黑体" w:cs="黑体"/>
                <w:kern w:val="0"/>
                <w:sz w:val="21"/>
                <w:szCs w:val="21"/>
              </w:rPr>
            </w:pPr>
            <w:r>
              <w:rPr>
                <w:rFonts w:ascii="黑体" w:hAnsi="黑体" w:eastAsia="黑体" w:cs="黑体"/>
                <w:kern w:val="0"/>
                <w:sz w:val="21"/>
                <w:szCs w:val="21"/>
              </w:rPr>
              <w:t>ICS</w:t>
            </w:r>
          </w:p>
        </w:tc>
        <w:tc>
          <w:tcPr>
            <w:tcW w:w="8855" w:type="dxa"/>
          </w:tcPr>
          <w:p>
            <w:pPr>
              <w:pStyle w:val="6"/>
              <w:framePr w:wrap="notBeside" w:vAnchor="page" w:hAnchor="page" w:x="1372" w:y="568"/>
              <w:tabs>
                <w:tab w:val="clear" w:pos="4153"/>
                <w:tab w:val="clear" w:pos="8306"/>
              </w:tabs>
              <w:spacing w:line="240" w:lineRule="auto"/>
              <w:jc w:val="both"/>
              <w:rPr>
                <w:rFonts w:ascii="黑体" w:hAnsi="黑体" w:eastAsia="黑体" w:cs="黑体"/>
                <w:kern w:val="0"/>
                <w:sz w:val="21"/>
                <w:szCs w:val="21"/>
              </w:rPr>
            </w:pPr>
            <w:r>
              <w:rPr>
                <w:rFonts w:ascii="黑体" w:hAnsi="黑体" w:eastAsia="黑体" w:cs="黑体"/>
                <w:kern w:val="0"/>
                <w:sz w:val="21"/>
                <w:szCs w:val="21"/>
              </w:rPr>
              <w:fldChar w:fldCharType="begin">
                <w:ffData>
                  <w:name w:val="ICS"/>
                  <w:enabled/>
                  <w:calcOnExit w:val="0"/>
                  <w:textInput>
                    <w:default w:val="67.040"/>
                  </w:textInput>
                </w:ffData>
              </w:fldChar>
            </w:r>
            <w:bookmarkStart w:id="0" w:name="ICS"/>
            <w:r>
              <w:rPr>
                <w:rFonts w:ascii="黑体" w:hAnsi="黑体" w:eastAsia="黑体" w:cs="黑体"/>
                <w:kern w:val="0"/>
                <w:sz w:val="21"/>
                <w:szCs w:val="21"/>
              </w:rPr>
              <w:instrText xml:space="preserve"> FORMTEXT </w:instrText>
            </w:r>
            <w:r>
              <w:rPr>
                <w:rFonts w:ascii="黑体" w:hAnsi="黑体" w:eastAsia="黑体" w:cs="黑体"/>
                <w:kern w:val="0"/>
                <w:sz w:val="21"/>
                <w:szCs w:val="21"/>
              </w:rPr>
              <w:fldChar w:fldCharType="separate"/>
            </w:r>
            <w:r>
              <w:rPr>
                <w:rFonts w:ascii="黑体" w:hAnsi="黑体" w:eastAsia="黑体" w:cs="黑体"/>
                <w:kern w:val="0"/>
                <w:sz w:val="21"/>
                <w:szCs w:val="21"/>
              </w:rPr>
              <w:t>67.040</w:t>
            </w:r>
            <w:r>
              <w:rPr>
                <w:rFonts w:ascii="黑体" w:hAnsi="黑体" w:eastAsia="黑体" w:cs="黑体"/>
                <w:kern w:val="0"/>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6"/>
              <w:framePr w:wrap="notBeside" w:vAnchor="page" w:hAnchor="page" w:x="1372" w:y="568"/>
              <w:tabs>
                <w:tab w:val="clear" w:pos="4153"/>
                <w:tab w:val="clear" w:pos="8306"/>
              </w:tabs>
              <w:spacing w:before="40" w:line="240" w:lineRule="auto"/>
              <w:jc w:val="left"/>
              <w:rPr>
                <w:rFonts w:ascii="黑体" w:hAnsi="黑体" w:eastAsia="黑体" w:cs="黑体"/>
                <w:kern w:val="0"/>
                <w:sz w:val="21"/>
                <w:szCs w:val="21"/>
              </w:rPr>
            </w:pPr>
            <w:r>
              <w:rPr>
                <w:rFonts w:ascii="黑体" w:hAnsi="黑体" w:eastAsia="黑体" w:cs="黑体"/>
                <w:kern w:val="0"/>
                <w:sz w:val="21"/>
                <w:szCs w:val="21"/>
              </w:rPr>
              <w:t>CCS</w:t>
            </w:r>
          </w:p>
        </w:tc>
        <w:tc>
          <w:tcPr>
            <w:tcW w:w="8855" w:type="dxa"/>
          </w:tcPr>
          <w:tbl>
            <w:tblPr>
              <w:tblStyle w:val="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17"/>
                    <w:framePr w:wrap="notBeside" w:vAnchor="page" w:hAnchor="page" w:x="1372" w:y="568"/>
                    <w:ind w:left="420" w:right="624"/>
                    <w:rPr>
                      <w:rFonts w:ascii="黑体" w:hAnsi="黑体" w:eastAsia="黑体" w:cs="黑体"/>
                      <w:sz w:val="21"/>
                      <w:szCs w:val="21"/>
                    </w:rPr>
                  </w:pPr>
                </w:p>
              </w:tc>
            </w:tr>
          </w:tbl>
          <w:p>
            <w:pPr>
              <w:pStyle w:val="6"/>
              <w:framePr w:wrap="notBeside" w:vAnchor="page" w:hAnchor="page" w:x="1372" w:y="568"/>
              <w:tabs>
                <w:tab w:val="clear" w:pos="4153"/>
                <w:tab w:val="clear" w:pos="8306"/>
              </w:tabs>
              <w:spacing w:before="40" w:line="240" w:lineRule="auto"/>
              <w:jc w:val="left"/>
              <w:rPr>
                <w:rFonts w:ascii="黑体" w:hAnsi="黑体" w:eastAsia="黑体" w:cs="黑体"/>
                <w:kern w:val="0"/>
                <w:sz w:val="21"/>
                <w:szCs w:val="21"/>
              </w:rPr>
            </w:pPr>
            <w:r>
              <w:rPr>
                <w:rFonts w:ascii="黑体" w:hAnsi="黑体" w:eastAsia="黑体" w:cs="黑体"/>
                <w:kern w:val="0"/>
                <w:sz w:val="21"/>
                <w:szCs w:val="21"/>
              </w:rPr>
              <w:fldChar w:fldCharType="begin">
                <w:ffData>
                  <w:name w:val="CSDN"/>
                  <w:enabled/>
                  <w:calcOnExit w:val="0"/>
                  <w:textInput>
                    <w:default w:val="X 10"/>
                  </w:textInput>
                </w:ffData>
              </w:fldChar>
            </w:r>
            <w:bookmarkStart w:id="1" w:name="CSDN"/>
            <w:r>
              <w:rPr>
                <w:rFonts w:ascii="黑体" w:hAnsi="黑体" w:eastAsia="黑体" w:cs="黑体"/>
                <w:kern w:val="0"/>
                <w:sz w:val="21"/>
                <w:szCs w:val="21"/>
              </w:rPr>
              <w:instrText xml:space="preserve"> FORMTEXT </w:instrText>
            </w:r>
            <w:r>
              <w:rPr>
                <w:rFonts w:ascii="黑体" w:hAnsi="黑体" w:eastAsia="黑体" w:cs="黑体"/>
                <w:kern w:val="0"/>
                <w:sz w:val="21"/>
                <w:szCs w:val="21"/>
              </w:rPr>
              <w:fldChar w:fldCharType="separate"/>
            </w:r>
            <w:r>
              <w:rPr>
                <w:rFonts w:ascii="黑体" w:hAnsi="黑体" w:eastAsia="黑体" w:cs="黑体"/>
                <w:kern w:val="0"/>
                <w:sz w:val="21"/>
                <w:szCs w:val="21"/>
              </w:rPr>
              <w:t>X 10</w:t>
            </w:r>
            <w:r>
              <w:rPr>
                <w:rFonts w:ascii="黑体" w:hAnsi="黑体" w:eastAsia="黑体" w:cs="黑体"/>
                <w:kern w:val="0"/>
                <w:sz w:val="21"/>
                <w:szCs w:val="21"/>
              </w:rPr>
              <w:fldChar w:fldCharType="end"/>
            </w:r>
            <w:bookmarkEnd w:id="1"/>
          </w:p>
        </w:tc>
      </w:tr>
    </w:tbl>
    <w:p>
      <w:pPr>
        <w:pStyle w:val="18"/>
        <w:framePr w:w="9639" w:h="624" w:hRule="exact" w:hSpace="181" w:vSpace="181" w:wrap="around" w:hAnchor="page" w:x="1305" w:y="2269"/>
        <w:rPr>
          <w:rFonts w:ascii="Times New Roman" w:eastAsia="黑体"/>
          <w:b w:val="0"/>
          <w:bCs w:val="0"/>
          <w:w w:val="100"/>
          <w:sz w:val="48"/>
          <w:szCs w:val="48"/>
        </w:rPr>
      </w:pPr>
      <w:bookmarkStart w:id="2" w:name="_Hlk26473981"/>
      <w:r>
        <w:rPr>
          <w:rFonts w:ascii="Times New Roman" w:eastAsia="黑体"/>
          <w:b w:val="0"/>
          <w:w w:val="100"/>
          <w:sz w:val="48"/>
        </w:rPr>
        <w:t>团体</w:t>
      </w:r>
      <w:r>
        <w:rPr>
          <w:rFonts w:ascii="Times New Roman" w:eastAsia="黑体"/>
          <w:b w:val="0"/>
          <w:bCs w:val="0"/>
          <w:w w:val="100"/>
          <w:sz w:val="48"/>
          <w:szCs w:val="48"/>
        </w:rPr>
        <w:t>标准</w:t>
      </w:r>
    </w:p>
    <w:bookmarkEnd w:id="2"/>
    <w:p>
      <w:pPr>
        <w:pStyle w:val="38"/>
        <w:rPr>
          <w:rFonts w:ascii="Times New Roman"/>
        </w:rPr>
      </w:pPr>
      <w:r>
        <w:rPr>
          <w:rFonts w:hAnsi="黑体" w:cs="黑体"/>
        </w:rPr>
        <w:t>T/</w:t>
      </w:r>
      <w:bookmarkStart w:id="3" w:name="NSTD_CODE_F"/>
      <w:r>
        <w:rPr>
          <w:rFonts w:hAnsi="黑体" w:cs="黑体"/>
        </w:rPr>
        <w:fldChar w:fldCharType="begin">
          <w:ffData>
            <w:name w:val="文字1"/>
            <w:enabled/>
            <w:calcOnExit w:val="0"/>
            <w:textInput>
              <w:default w:val="FDSA"/>
            </w:textInput>
          </w:ffData>
        </w:fldChar>
      </w:r>
      <w:bookmarkStart w:id="4" w:name="文字1"/>
      <w:r>
        <w:rPr>
          <w:rFonts w:hAnsi="黑体" w:cs="黑体"/>
        </w:rPr>
        <w:instrText xml:space="preserve"> FORMTEXT </w:instrText>
      </w:r>
      <w:r>
        <w:rPr>
          <w:rFonts w:hAnsi="黑体" w:cs="黑体"/>
        </w:rPr>
        <w:fldChar w:fldCharType="separate"/>
      </w:r>
      <w:r>
        <w:rPr>
          <w:rFonts w:hAnsi="黑体" w:cs="黑体"/>
        </w:rPr>
        <w:t>FDSA</w:t>
      </w:r>
      <w:r>
        <w:rPr>
          <w:rFonts w:hAnsi="黑体" w:cs="黑体"/>
        </w:rPr>
        <w:fldChar w:fldCharType="end"/>
      </w:r>
      <w:bookmarkEnd w:id="3"/>
      <w:bookmarkEnd w:id="4"/>
      <w:r>
        <w:rPr>
          <w:rFonts w:hint="eastAsia" w:hAnsi="黑体" w:cs="黑体"/>
          <w:lang w:val="en-US" w:eastAsia="zh-CN"/>
        </w:rPr>
        <w:t xml:space="preserve"> </w:t>
      </w:r>
      <w:r>
        <w:rPr>
          <w:rFonts w:hAnsi="黑体" w:cs="黑体"/>
        </w:rPr>
        <w:fldChar w:fldCharType="begin">
          <w:ffData>
            <w:enabled/>
            <w:calcOnExit w:val="0"/>
            <w:textInput>
              <w:default w:val="XXX"/>
            </w:textInput>
          </w:ffData>
        </w:fldChar>
      </w:r>
      <w:r>
        <w:rPr>
          <w:rFonts w:hAnsi="黑体" w:cs="黑体"/>
        </w:rPr>
        <w:instrText xml:space="preserve"> FORMTEXT </w:instrText>
      </w:r>
      <w:r>
        <w:rPr>
          <w:rFonts w:hAnsi="黑体" w:cs="黑体"/>
        </w:rPr>
        <w:fldChar w:fldCharType="separate"/>
      </w:r>
      <w:r>
        <w:rPr>
          <w:rFonts w:hAnsi="黑体" w:cs="黑体"/>
        </w:rPr>
        <w:t>XXX</w:t>
      </w:r>
      <w:r>
        <w:rPr>
          <w:rFonts w:hAnsi="黑体" w:cs="黑体"/>
        </w:rPr>
        <w:fldChar w:fldCharType="end"/>
      </w:r>
      <w:r>
        <w:rPr>
          <w:rFonts w:hAnsi="黑体" w:cs="黑体"/>
        </w:rPr>
        <w:t>—2023</w:t>
      </w:r>
    </w:p>
    <w:p>
      <w:pPr>
        <w:pStyle w:val="39"/>
        <w:rPr>
          <w:rFonts w:ascii="Times New Roman"/>
        </w:rPr>
      </w:pPr>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2700020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60288;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lPJWNugBAAC4AwAADgAAAGRycy9lMm9Eb2MueG1srVOx&#10;jhMxEO2R+AfLPdkkKCdYZXNFoqM5INIdH+B4vVkL22N5nOzmJ/gBJDqoKOn5mzs+g7E3CcfRXMEW&#10;lscz82bem9n5ZW8N26uAGlzFJ6MxZ8pJqLXbVvzD7dWLV5xhFK4WBpyq+EEhv1w8fzbvfKmm0IKp&#10;VWAE4rDsfMXbGH1ZFChbZQWOwCtHzgaCFZHMsC3qIDpCt6aYjscXRQeh9gGkQqTX1eDkR8TwFEBo&#10;Gi3VCuTOKhcH1KCMiEQJW+2RL3K3TaNkfN80qCIzFSemMZ9UhO6bdBaLuSi3QfhWy2ML4iktPOJk&#10;hXZU9Ay1ElGwXdD/QFktAyA0cSTBFgORrAixmIwfaXPTCq8yF5Ia/Vl0/H+w8t1+HZiuKz7jzAlL&#10;A7///OPu09dfP7/Qef/9G5slkTqPJcUu3TokmrJ3N/4a5EdkDpatcFuVm709eEKYpIzir5RkoKdS&#10;m+4t1BQjdhGyYn0TbIIkLVifB3M4D0b1kUl6vJiQOi9pZvLkK0R5SvQB4xsFlqVLxY12STNRiv01&#10;xtSIKE8h6dnBlTYmz9041lX89Ww6ywkIRtfJmcIwbDdLE9hepM3JX2ZFnodhAXauHooYl/JUXrpj&#10;5RPrQb8N1Id1OElDA829HZcvbcxDOwv454db/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iPM&#10;2AAAAAwBAAAPAAAAAAAAAAEAIAAAACIAAABkcnMvZG93bnJldi54bWxQSwECFAAUAAAACACHTuJA&#10;lPJWNugBAAC4AwAADgAAAAAAAAABACAAAAAnAQAAZHJzL2Uyb0RvYy54bWxQSwUGAAAAAAYABgBZ&#10;AQAAgQUAAAAA&#10;">
                <v:fill on="f" focussize="0,0"/>
                <v:stroke color="#000000" joinstyle="round"/>
                <v:imagedata o:title=""/>
                <o:lock v:ext="edit" aspectratio="f"/>
              </v:line>
            </w:pict>
          </mc:Fallback>
        </mc:AlternateContent>
      </w:r>
    </w:p>
    <w:p>
      <w:pPr>
        <w:pStyle w:val="18"/>
        <w:framePr w:w="9639" w:h="6976" w:hRule="exact" w:hSpace="0" w:vSpace="0" w:wrap="around" w:hAnchor="page" w:y="6408"/>
        <w:jc w:val="center"/>
        <w:rPr>
          <w:rFonts w:ascii="Times New Roman" w:eastAsia="黑体"/>
          <w:b w:val="0"/>
          <w:bCs w:val="0"/>
          <w:w w:val="100"/>
        </w:rPr>
      </w:pPr>
    </w:p>
    <w:p>
      <w:pPr>
        <w:pStyle w:val="40"/>
        <w:framePr w:h="6974" w:hRule="exact" w:wrap="around" w:x="1419" w:anchorLock="1"/>
        <w:spacing w:line="240" w:lineRule="auto"/>
        <w:jc w:val="center"/>
        <w:rPr>
          <w:rFonts w:ascii="Times New Roman" w:hAnsi="Times New Roman"/>
        </w:rPr>
      </w:pPr>
      <w:r>
        <w:rPr>
          <w:rFonts w:hint="eastAsia" w:ascii="Times New Roman" w:hAnsi="Times New Roman"/>
        </w:rPr>
        <w:t>胶原蛋白肽饮料</w:t>
      </w:r>
    </w:p>
    <w:p>
      <w:pPr>
        <w:pStyle w:val="30"/>
        <w:framePr w:w="9639" w:h="6974" w:hRule="exact" w:wrap="around" w:vAnchor="page" w:hAnchor="page" w:x="1419" w:y="6408" w:anchorLock="1"/>
        <w:spacing w:before="157" w:beforeLines="50" w:after="157" w:afterLines="50" w:line="240" w:lineRule="auto"/>
        <w:jc w:val="center"/>
        <w:textAlignment w:val="bottom"/>
        <w:rPr>
          <w:rFonts w:ascii="黑体" w:hAnsi="黑体" w:eastAsia="黑体" w:cs="黑体"/>
          <w:sz w:val="28"/>
          <w:szCs w:val="28"/>
        </w:rPr>
      </w:pPr>
      <w:r>
        <w:rPr>
          <w:rFonts w:ascii="黑体" w:hAnsi="黑体" w:eastAsia="黑体" w:cs="黑体"/>
          <w:color w:val="000000"/>
          <w:sz w:val="28"/>
          <w:szCs w:val="28"/>
        </w:rPr>
        <w:t>Collage peptide Drink</w:t>
      </w:r>
    </w:p>
    <w:p>
      <w:pPr>
        <w:pStyle w:val="30"/>
        <w:framePr w:w="9639" w:h="6974" w:hRule="exact" w:wrap="around" w:vAnchor="page" w:hAnchor="page" w:x="1419" w:y="6408" w:anchorLock="1"/>
        <w:spacing w:before="180" w:line="240" w:lineRule="atLeast"/>
        <w:jc w:val="center"/>
        <w:textAlignment w:val="bottom"/>
        <w:rPr>
          <w:sz w:val="21"/>
          <w:szCs w:val="28"/>
        </w:rPr>
      </w:pPr>
    </w:p>
    <w:p>
      <w:pPr>
        <w:pStyle w:val="30"/>
        <w:framePr w:w="9639" w:h="6974" w:hRule="exact" w:wrap="around" w:vAnchor="page" w:hAnchor="page" w:x="1419" w:y="6408" w:anchorLock="1"/>
        <w:spacing w:before="180" w:line="240" w:lineRule="atLeast"/>
        <w:jc w:val="center"/>
        <w:textAlignment w:val="bottom"/>
        <w:rPr>
          <w:rFonts w:hint="eastAsia" w:eastAsia="宋体"/>
          <w:sz w:val="21"/>
          <w:szCs w:val="28"/>
          <w:lang w:eastAsia="zh-CN"/>
        </w:rPr>
      </w:pPr>
      <w:r>
        <w:rPr>
          <w:rFonts w:hint="eastAsia"/>
          <w:sz w:val="21"/>
          <w:szCs w:val="28"/>
          <w:lang w:val="en-US" w:eastAsia="zh-CN"/>
        </w:rPr>
        <w:t>（征求意见稿）</w:t>
      </w:r>
    </w:p>
    <w:p>
      <w:pPr>
        <w:pStyle w:val="30"/>
        <w:framePr w:w="9639" w:h="6974" w:hRule="exact" w:wrap="around" w:vAnchor="page" w:hAnchor="page" w:x="1419" w:y="6408" w:anchorLock="1"/>
        <w:spacing w:before="720" w:beforeLines="300" w:after="72" w:afterLines="30" w:line="240" w:lineRule="auto"/>
        <w:textAlignment w:val="bottom"/>
        <w:rPr>
          <w:b/>
          <w:sz w:val="21"/>
          <w:szCs w:val="28"/>
        </w:rPr>
      </w:pPr>
    </w:p>
    <w:p>
      <w:pPr>
        <w:pStyle w:val="36"/>
        <w:framePr w:wrap="around" w:y="14176"/>
        <w:rPr>
          <w:rFonts w:hint="eastAsia" w:ascii="黑体" w:hAnsi="黑体" w:cs="黑体"/>
        </w:rPr>
      </w:pPr>
      <w:r>
        <w:rPr>
          <w:rFonts w:hint="eastAsia" w:ascii="黑体" w:hAnsi="黑体" w:cs="黑体"/>
          <w:highlight w:val="lightGray"/>
        </w:rPr>
        <w:t>2023</w:t>
      </w:r>
      <w:r>
        <w:rPr>
          <w:rFonts w:hint="eastAsia" w:ascii="黑体" w:hAnsi="黑体" w:cs="黑体"/>
        </w:rPr>
        <w:t>-</w:t>
      </w:r>
      <w:r>
        <w:rPr>
          <w:rFonts w:hint="eastAsia" w:ascii="黑体" w:hAnsi="黑体" w:cs="黑体"/>
        </w:rPr>
        <w:fldChar w:fldCharType="begin">
          <w:ffData>
            <w:name w:val="PLSH_DATE_M"/>
            <w:enabled/>
            <w:calcOnExit w:val="0"/>
            <w:textInput>
              <w:default w:val="XX"/>
              <w:maxLength w:val="2"/>
            </w:textInput>
          </w:ffData>
        </w:fldChar>
      </w:r>
      <w:bookmarkStart w:id="5" w:name="PLSH_DATE_M"/>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XX</w:t>
      </w:r>
      <w:r>
        <w:rPr>
          <w:rFonts w:hint="eastAsia" w:ascii="黑体" w:hAnsi="黑体" w:cs="黑体"/>
        </w:rPr>
        <w:fldChar w:fldCharType="end"/>
      </w:r>
      <w:bookmarkEnd w:id="5"/>
      <w:r>
        <w:rPr>
          <w:rFonts w:hint="eastAsia" w:ascii="黑体" w:hAnsi="黑体" w:cs="黑体"/>
        </w:rPr>
        <w:t>-</w:t>
      </w:r>
      <w:r>
        <w:rPr>
          <w:rFonts w:hint="eastAsia" w:ascii="黑体" w:hAnsi="黑体" w:cs="黑体"/>
        </w:rPr>
        <w:fldChar w:fldCharType="begin">
          <w:ffData>
            <w:name w:val="PLSH_DATE_D"/>
            <w:enabled/>
            <w:calcOnExit w:val="0"/>
            <w:textInput>
              <w:default w:val="XX"/>
              <w:maxLength w:val="2"/>
            </w:textInput>
          </w:ffData>
        </w:fldChar>
      </w:r>
      <w:bookmarkStart w:id="6" w:name="PLSH_DATE_D"/>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XX</w:t>
      </w:r>
      <w:r>
        <w:rPr>
          <w:rFonts w:hint="eastAsia" w:ascii="黑体" w:hAnsi="黑体" w:cs="黑体"/>
        </w:rPr>
        <w:fldChar w:fldCharType="end"/>
      </w:r>
      <w:bookmarkEnd w:id="6"/>
      <w:r>
        <w:rPr>
          <w:rFonts w:hint="eastAsia" w:ascii="黑体" w:hAnsi="黑体" w:cs="黑体"/>
        </w:rPr>
        <w:t>发布</w:t>
      </w:r>
    </w:p>
    <w:p>
      <w:pPr>
        <w:pStyle w:val="37"/>
        <w:framePr w:wrap="around" w:y="14176"/>
        <w:rPr>
          <w:rFonts w:hint="eastAsia" w:ascii="黑体" w:hAnsi="黑体" w:cs="黑体"/>
        </w:rPr>
      </w:pPr>
      <w:r>
        <w:rPr>
          <w:rFonts w:hint="eastAsia" w:ascii="黑体" w:hAnsi="黑体" w:cs="黑体"/>
          <w:highlight w:val="lightGray"/>
        </w:rPr>
        <w:t>2023</w:t>
      </w:r>
      <w:r>
        <w:rPr>
          <w:rFonts w:hint="eastAsia" w:ascii="黑体" w:hAnsi="黑体" w:cs="黑体"/>
        </w:rPr>
        <w:t>-</w:t>
      </w:r>
      <w:r>
        <w:rPr>
          <w:rFonts w:hint="eastAsia" w:ascii="黑体" w:hAnsi="黑体" w:cs="黑体"/>
        </w:rPr>
        <w:fldChar w:fldCharType="begin">
          <w:ffData>
            <w:name w:val="PLSH_DATE_M"/>
            <w:enabled/>
            <w:calcOnExit w:val="0"/>
            <w:textInput>
              <w:default w:val="XX"/>
              <w:maxLength w:val="2"/>
            </w:textInput>
          </w:ffData>
        </w:fldChar>
      </w:r>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XX</w:t>
      </w:r>
      <w:r>
        <w:rPr>
          <w:rFonts w:hint="eastAsia" w:ascii="黑体" w:hAnsi="黑体" w:cs="黑体"/>
        </w:rPr>
        <w:fldChar w:fldCharType="end"/>
      </w:r>
      <w:r>
        <w:rPr>
          <w:rFonts w:hint="eastAsia" w:ascii="黑体" w:hAnsi="黑体" w:cs="黑体"/>
        </w:rPr>
        <w:t>-</w:t>
      </w:r>
      <w:r>
        <w:rPr>
          <w:rFonts w:hint="eastAsia" w:ascii="黑体" w:hAnsi="黑体" w:cs="黑体"/>
        </w:rPr>
        <w:fldChar w:fldCharType="begin">
          <w:ffData>
            <w:name w:val="PLSH_DATE_D"/>
            <w:enabled/>
            <w:calcOnExit w:val="0"/>
            <w:textInput>
              <w:default w:val="XX"/>
              <w:maxLength w:val="2"/>
            </w:textInput>
          </w:ffData>
        </w:fldChar>
      </w:r>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XX</w:t>
      </w:r>
      <w:r>
        <w:rPr>
          <w:rFonts w:hint="eastAsia" w:ascii="黑体" w:hAnsi="黑体" w:cs="黑体"/>
        </w:rPr>
        <w:fldChar w:fldCharType="end"/>
      </w:r>
      <w:r>
        <w:rPr>
          <w:rFonts w:hint="eastAsia" w:ascii="黑体" w:hAnsi="黑体" w:cs="黑体"/>
        </w:rPr>
        <w:t>实施</w:t>
      </w:r>
    </w:p>
    <w:p>
      <w:pPr>
        <w:pStyle w:val="31"/>
        <w:framePr w:h="584" w:hRule="exact" w:hSpace="181" w:vSpace="181" w:wrap="around" w:vAnchor="page" w:hAnchor="page" w:x="2404" w:y="15092"/>
        <w:rPr>
          <w:rFonts w:ascii="Times New Roman"/>
          <w:sz w:val="28"/>
          <w:szCs w:val="28"/>
        </w:rPr>
      </w:pPr>
      <w:r>
        <w:rPr>
          <w:rFonts w:hint="eastAsia" w:ascii="黑体" w:hAnsi="黑体" w:cs="黑体"/>
          <w:w w:val="100"/>
          <w:sz w:val="28"/>
        </w:rPr>
        <w:fldChar w:fldCharType="begin">
          <w:ffData>
            <w:name w:val="fm"/>
            <w:enabled/>
            <w:calcOnExit w:val="0"/>
            <w:textInput>
              <w:default w:val="中国食品药品企业质量安全促进会"/>
            </w:textInput>
          </w:ffData>
        </w:fldChar>
      </w:r>
      <w:bookmarkStart w:id="7" w:name="fm"/>
      <w:r>
        <w:rPr>
          <w:rFonts w:hint="eastAsia" w:ascii="黑体" w:hAnsi="黑体" w:cs="黑体"/>
          <w:w w:val="100"/>
          <w:sz w:val="28"/>
        </w:rPr>
        <w:instrText xml:space="preserve"> FORMTEXT </w:instrText>
      </w:r>
      <w:r>
        <w:rPr>
          <w:rFonts w:hint="eastAsia" w:ascii="黑体" w:hAnsi="黑体" w:cs="黑体"/>
          <w:w w:val="100"/>
          <w:sz w:val="28"/>
        </w:rPr>
        <w:fldChar w:fldCharType="separate"/>
      </w:r>
      <w:r>
        <w:rPr>
          <w:rFonts w:hint="eastAsia" w:ascii="黑体" w:hAnsi="黑体" w:cs="黑体"/>
          <w:w w:val="100"/>
          <w:sz w:val="28"/>
        </w:rPr>
        <w:t>中国食品药品企业质量安全促进会</w:t>
      </w:r>
      <w:r>
        <w:rPr>
          <w:rFonts w:hint="eastAsia" w:ascii="黑体" w:hAnsi="黑体" w:cs="黑体"/>
          <w:w w:val="100"/>
          <w:sz w:val="28"/>
        </w:rPr>
        <w:fldChar w:fldCharType="end"/>
      </w:r>
      <w:bookmarkEnd w:id="7"/>
      <w:r>
        <w:rPr>
          <w:rFonts w:ascii="Times New Roman"/>
          <w:w w:val="100"/>
          <w:sz w:val="28"/>
        </w:rPr>
        <w:t>  </w:t>
      </w:r>
      <w:r>
        <w:rPr>
          <w:rStyle w:val="46"/>
          <w:rFonts w:ascii="Times New Roman"/>
        </w:rPr>
        <w:t>发布</w:t>
      </w:r>
    </w:p>
    <w:p>
      <w:pPr>
        <w:rPr>
          <w:rFonts w:ascii="Times New Roman" w:hAnsi="Times New Roman"/>
          <w:sz w:val="28"/>
          <w:szCs w:val="28"/>
        </w:rPr>
        <w:sectPr>
          <w:headerReference r:id="rId7" w:type="first"/>
          <w:footerReference r:id="rId9" w:type="first"/>
          <w:headerReference r:id="rId5" w:type="default"/>
          <w:headerReference r:id="rId6" w:type="even"/>
          <w:footerReference r:id="rId8" w:type="even"/>
          <w:pgSz w:w="11906" w:h="16838"/>
          <w:pgMar w:top="567" w:right="1134" w:bottom="1134" w:left="1134" w:header="1418" w:footer="1134"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9252585</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1312;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y621y6AEAALgDAAAOAAAAZHJzL2Uyb0RvYy54bWytU8Fu&#10;EzEQvSPxD5bvZJPQVrDKpodE5VIgUssHTLzerIXtsWwnm/wEP4DEDU4cufdvKJ/B2JsNpVx6YA+W&#10;xzPzZt6b2dnl3mi2kz4otBWfjMacSSuwVnZT8Q+3Vy9ecRYi2Bo0Wlnxgwz8cv782axzpZxii7qW&#10;nhGIDWXnKt7G6MqiCKKVBsIInbTkbNAbiGT6TVF76Ajd6GI6Hl8UHfraeRQyBHpd9k5+RPRPAcSm&#10;UUIuUWyNtLFH9VJDJEqhVS7wee62aaSI75smyMh0xYlpzCcVofs6ncV8BuXGg2uVOLYAT2nhEScD&#10;ylLRE9QSIrCtV/9AGSU8BmziSKApeiJZEWIxGT/S5qYFJzMXkjq4k+jh/8GKd7uVZ6qu+BlnFgwN&#10;/P7zj5+fvv66+0Ln/fdv7CyJ1LlQUuzCrnyiKfb2xl2j+BiYxUULdiNzs7cHRwiTlFH8lZKM4KjU&#10;unuLNcXANmJWbN94kyBJC7bPgzmcBiP3kQl6vJiQOi9pZmLwFVAOic6H+EaiYelSca1s0gxK2F2H&#10;mBqBcghJzxavlNZ57tqyruKvz6fnOSGgVnVyprDgN+uF9mwHaXPyl1mR52GYx62t+yLapjyZl+5Y&#10;eWDd67fG+rDygzQ00NzbcfnSxjy0s4B/frj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mp0YvX&#10;AAAADgEAAA8AAAAAAAAAAQAgAAAAIgAAAGRycy9kb3ducmV2LnhtbFBLAQIUABQAAAAIAIdO4kAy&#10;621y6AEAALgDAAAOAAAAAAAAAAEAIAAAACYBAABkcnMvZTJvRG9jLnhtbFBLBQYAAAAABgAGAFkB&#10;AACABQAAAAA=&#10;">
                <v:fill on="f" focussize="0,0"/>
                <v:stroke color="#000000" joinstyle="round"/>
                <v:imagedata o:title=""/>
                <o:lock v:ext="edit" aspectratio="f"/>
                <w10:anchorlock/>
              </v:line>
            </w:pict>
          </mc:Fallback>
        </mc:AlternateContent>
      </w:r>
    </w:p>
    <w:p>
      <w:pPr>
        <w:pStyle w:val="24"/>
        <w:spacing w:before="850" w:after="680" w:afterLines="0"/>
        <w:rPr>
          <w:rFonts w:ascii="Times New Roman" w:hAnsi="Times New Roman"/>
        </w:rPr>
      </w:pPr>
      <w:bookmarkStart w:id="8" w:name="BookMark1"/>
      <w:bookmarkStart w:id="9" w:name="_Toc106365611"/>
      <w:bookmarkStart w:id="10" w:name="_Toc107841983"/>
      <w:bookmarkStart w:id="11" w:name="_Toc107842051"/>
      <w:bookmarkStart w:id="12" w:name="_Toc108566363"/>
      <w:bookmarkStart w:id="13" w:name="_Toc106365557"/>
      <w:bookmarkStart w:id="14" w:name="_Toc107842722"/>
      <w:bookmarkStart w:id="15" w:name="_Toc112825828"/>
      <w:bookmarkStart w:id="16" w:name="_Toc106365706"/>
      <w:r>
        <w:rPr>
          <w:rFonts w:ascii="Times New Roman" w:hAnsi="Times New Roman"/>
          <w:spacing w:val="320"/>
        </w:rPr>
        <w:t>目</w:t>
      </w:r>
      <w:r>
        <w:rPr>
          <w:rFonts w:ascii="Times New Roman" w:hAnsi="Times New Roman"/>
        </w:rPr>
        <w:t>次</w:t>
      </w:r>
    </w:p>
    <w:p>
      <w:pPr>
        <w:pStyle w:val="7"/>
        <w:tabs>
          <w:tab w:val="right" w:leader="dot" w:pos="9344"/>
        </w:tabs>
        <w:spacing w:before="79" w:beforeLines="25" w:after="79" w:afterLines="25" w:line="240" w:lineRule="auto"/>
        <w:jc w:val="left"/>
        <w:rPr>
          <w:rFonts w:hAnsi="宋体" w:cs="宋体"/>
        </w:rPr>
      </w:pPr>
      <w:r>
        <w:rPr>
          <w:rFonts w:hint="eastAsia" w:hAnsi="宋体" w:cs="宋体"/>
        </w:rPr>
        <w:fldChar w:fldCharType="begin"/>
      </w:r>
      <w:r>
        <w:rPr>
          <w:rFonts w:hint="eastAsia" w:hAnsi="宋体" w:cs="宋体"/>
        </w:rPr>
        <w:instrText xml:space="preserve"> TOC \o "1-1" \h </w:instrText>
      </w:r>
      <w:r>
        <w:rPr>
          <w:rFonts w:hint="eastAsia" w:hAnsi="宋体" w:cs="宋体"/>
        </w:rPr>
        <w:fldChar w:fldCharType="separate"/>
      </w:r>
      <w:r>
        <w:fldChar w:fldCharType="begin"/>
      </w:r>
      <w:r>
        <w:instrText xml:space="preserve"> HYPERLINK \l "_Toc121174721" </w:instrText>
      </w:r>
      <w:r>
        <w:fldChar w:fldCharType="separate"/>
      </w:r>
      <w:r>
        <w:rPr>
          <w:rFonts w:hint="eastAsia"/>
        </w:rPr>
        <w:t>前言</w:t>
      </w:r>
      <w:r>
        <w:tab/>
      </w:r>
      <w:r>
        <w:rPr>
          <w:rFonts w:hint="eastAsia"/>
        </w:rPr>
        <w:fldChar w:fldCharType="begin"/>
      </w:r>
      <w:r>
        <w:instrText xml:space="preserve"> PAGEREF _Toc121174721 \h </w:instrText>
      </w:r>
      <w:r>
        <w:rPr>
          <w:rFonts w:hint="eastAsia"/>
        </w:rPr>
        <w:fldChar w:fldCharType="separate"/>
      </w:r>
      <w:r>
        <w:t>II</w:t>
      </w:r>
      <w:r>
        <w:rPr>
          <w:rFonts w:hint="eastAsia"/>
        </w:rPr>
        <w:fldChar w:fldCharType="end"/>
      </w:r>
      <w:r>
        <w:rPr>
          <w:rFonts w:hint="eastAsia"/>
        </w:rPr>
        <w:fldChar w:fldCharType="end"/>
      </w:r>
    </w:p>
    <w:p>
      <w:pPr>
        <w:pStyle w:val="7"/>
        <w:tabs>
          <w:tab w:val="right" w:leader="dot" w:pos="9344"/>
        </w:tabs>
        <w:spacing w:before="79" w:beforeLines="25" w:after="79" w:afterLines="25" w:line="240" w:lineRule="auto"/>
        <w:jc w:val="left"/>
        <w:rPr>
          <w:rFonts w:hAnsi="宋体" w:cs="宋体"/>
        </w:rPr>
      </w:pPr>
      <w:r>
        <w:fldChar w:fldCharType="begin"/>
      </w:r>
      <w:r>
        <w:instrText xml:space="preserve"> HYPERLINK \l "_Toc121174722" </w:instrText>
      </w:r>
      <w:r>
        <w:fldChar w:fldCharType="separate"/>
      </w:r>
      <w:r>
        <w:rPr>
          <w:rStyle w:val="11"/>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_Toc121174722 \h </w:instrText>
      </w:r>
      <w:r>
        <w:rPr>
          <w:rFonts w:hint="eastAsia" w:hAnsi="宋体" w:cs="宋体"/>
        </w:rPr>
        <w:fldChar w:fldCharType="separate"/>
      </w:r>
      <w:r>
        <w:rPr>
          <w:rFonts w:hAnsi="宋体" w:cs="宋体"/>
        </w:rPr>
        <w:t>3</w:t>
      </w:r>
      <w:r>
        <w:rPr>
          <w:rFonts w:hint="eastAsia" w:hAnsi="宋体" w:cs="宋体"/>
        </w:rPr>
        <w:fldChar w:fldCharType="end"/>
      </w:r>
      <w:r>
        <w:rPr>
          <w:rFonts w:hint="eastAsia" w:hAnsi="宋体" w:cs="宋体"/>
        </w:rPr>
        <w:fldChar w:fldCharType="end"/>
      </w:r>
    </w:p>
    <w:p>
      <w:pPr>
        <w:pStyle w:val="7"/>
        <w:tabs>
          <w:tab w:val="right" w:leader="dot" w:pos="9344"/>
        </w:tabs>
        <w:spacing w:before="79" w:beforeLines="25" w:after="79" w:afterLines="25" w:line="240" w:lineRule="auto"/>
        <w:jc w:val="left"/>
        <w:rPr>
          <w:rFonts w:hAnsi="宋体" w:cs="宋体"/>
        </w:rPr>
      </w:pPr>
      <w:r>
        <w:fldChar w:fldCharType="begin"/>
      </w:r>
      <w:r>
        <w:instrText xml:space="preserve"> HYPERLINK \l "_Toc121174723" </w:instrText>
      </w:r>
      <w:r>
        <w:fldChar w:fldCharType="separate"/>
      </w:r>
      <w:r>
        <w:rPr>
          <w:rStyle w:val="11"/>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_Toc121174723 \h </w:instrText>
      </w:r>
      <w:r>
        <w:rPr>
          <w:rFonts w:hint="eastAsia" w:hAnsi="宋体" w:cs="宋体"/>
        </w:rPr>
        <w:fldChar w:fldCharType="separate"/>
      </w:r>
      <w:r>
        <w:rPr>
          <w:rFonts w:hAnsi="宋体" w:cs="宋体"/>
        </w:rPr>
        <w:t>3</w:t>
      </w:r>
      <w:r>
        <w:rPr>
          <w:rFonts w:hint="eastAsia" w:hAnsi="宋体" w:cs="宋体"/>
        </w:rPr>
        <w:fldChar w:fldCharType="end"/>
      </w:r>
      <w:r>
        <w:rPr>
          <w:rFonts w:hint="eastAsia" w:hAnsi="宋体" w:cs="宋体"/>
        </w:rPr>
        <w:fldChar w:fldCharType="end"/>
      </w:r>
    </w:p>
    <w:p>
      <w:pPr>
        <w:pStyle w:val="7"/>
        <w:tabs>
          <w:tab w:val="right" w:leader="dot" w:pos="9344"/>
        </w:tabs>
        <w:spacing w:before="79" w:beforeLines="25" w:after="79" w:afterLines="25" w:line="240" w:lineRule="auto"/>
        <w:jc w:val="left"/>
        <w:rPr>
          <w:rFonts w:hAnsi="宋体" w:cs="宋体"/>
        </w:rPr>
      </w:pPr>
      <w:r>
        <w:fldChar w:fldCharType="begin"/>
      </w:r>
      <w:r>
        <w:instrText xml:space="preserve"> HYPERLINK \l "_Toc121174724" </w:instrText>
      </w:r>
      <w:r>
        <w:fldChar w:fldCharType="separate"/>
      </w:r>
      <w:r>
        <w:rPr>
          <w:rStyle w:val="11"/>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_Toc121174724 \h </w:instrText>
      </w:r>
      <w:r>
        <w:rPr>
          <w:rFonts w:hint="eastAsia" w:hAnsi="宋体" w:cs="宋体"/>
        </w:rPr>
        <w:fldChar w:fldCharType="separate"/>
      </w:r>
      <w:r>
        <w:rPr>
          <w:rFonts w:hAnsi="宋体" w:cs="宋体"/>
        </w:rPr>
        <w:t>3</w:t>
      </w:r>
      <w:r>
        <w:rPr>
          <w:rFonts w:hint="eastAsia" w:hAnsi="宋体" w:cs="宋体"/>
        </w:rPr>
        <w:fldChar w:fldCharType="end"/>
      </w:r>
      <w:r>
        <w:rPr>
          <w:rFonts w:hint="eastAsia" w:hAnsi="宋体" w:cs="宋体"/>
        </w:rPr>
        <w:fldChar w:fldCharType="end"/>
      </w:r>
    </w:p>
    <w:p>
      <w:pPr>
        <w:pStyle w:val="7"/>
        <w:tabs>
          <w:tab w:val="right" w:leader="dot" w:pos="9344"/>
        </w:tabs>
        <w:spacing w:before="79" w:beforeLines="25" w:after="79" w:afterLines="25" w:line="240" w:lineRule="auto"/>
        <w:jc w:val="left"/>
        <w:rPr>
          <w:rFonts w:hAnsi="宋体" w:cs="宋体"/>
        </w:rPr>
      </w:pPr>
      <w:r>
        <w:fldChar w:fldCharType="begin"/>
      </w:r>
      <w:r>
        <w:instrText xml:space="preserve"> HYPERLINK \l "_Toc121174725" </w:instrText>
      </w:r>
      <w:r>
        <w:fldChar w:fldCharType="separate"/>
      </w:r>
      <w:r>
        <w:rPr>
          <w:rStyle w:val="11"/>
          <w:rFonts w:hint="eastAsia" w:hAnsi="宋体" w:cs="宋体"/>
        </w:rPr>
        <w:t>4 技术要求</w:t>
      </w:r>
      <w:r>
        <w:rPr>
          <w:rFonts w:hint="eastAsia" w:hAnsi="宋体" w:cs="宋体"/>
        </w:rPr>
        <w:tab/>
      </w:r>
      <w:r>
        <w:rPr>
          <w:rFonts w:hint="default" w:hAnsi="宋体" w:cs="宋体"/>
        </w:rPr>
        <w:t>4</w:t>
      </w:r>
      <w:r>
        <w:rPr>
          <w:rFonts w:hint="eastAsia" w:hAnsi="宋体" w:cs="宋体"/>
        </w:rPr>
        <w:fldChar w:fldCharType="end"/>
      </w:r>
    </w:p>
    <w:p>
      <w:pPr>
        <w:pStyle w:val="7"/>
        <w:tabs>
          <w:tab w:val="right" w:leader="dot" w:pos="9344"/>
        </w:tabs>
        <w:spacing w:before="79" w:beforeLines="25" w:after="79" w:afterLines="25" w:line="240" w:lineRule="auto"/>
        <w:jc w:val="left"/>
        <w:rPr>
          <w:rFonts w:hAnsi="宋体" w:cs="宋体"/>
        </w:rPr>
      </w:pPr>
      <w:r>
        <w:rPr>
          <w:rFonts w:hint="eastAsia" w:hAnsi="宋体" w:cs="宋体"/>
        </w:rPr>
        <w:t>5 检验规则</w:t>
      </w:r>
      <w:r>
        <w:fldChar w:fldCharType="begin"/>
      </w:r>
      <w:r>
        <w:instrText xml:space="preserve"> HYPERLINK \l "_Toc121174726" </w:instrText>
      </w:r>
      <w:r>
        <w:fldChar w:fldCharType="separate"/>
      </w:r>
      <w:r>
        <w:rPr>
          <w:rFonts w:hint="eastAsia" w:hAnsi="宋体" w:cs="宋体"/>
        </w:rPr>
        <w:tab/>
      </w:r>
      <w:r>
        <w:rPr>
          <w:rFonts w:hint="eastAsia" w:hAnsi="宋体" w:cs="宋体"/>
        </w:rPr>
        <w:t>5</w:t>
      </w:r>
      <w:r>
        <w:rPr>
          <w:rFonts w:hint="eastAsia" w:hAnsi="宋体" w:cs="宋体"/>
        </w:rPr>
        <w:fldChar w:fldCharType="end"/>
      </w:r>
    </w:p>
    <w:p>
      <w:pPr>
        <w:pStyle w:val="7"/>
        <w:tabs>
          <w:tab w:val="right" w:leader="dot" w:pos="9344"/>
        </w:tabs>
        <w:spacing w:before="79" w:beforeLines="25" w:after="79" w:afterLines="25" w:line="240" w:lineRule="auto"/>
        <w:jc w:val="left"/>
        <w:rPr>
          <w:rFonts w:hAnsi="宋体" w:cs="宋体"/>
        </w:rPr>
      </w:pPr>
      <w:r>
        <w:rPr>
          <w:rFonts w:hint="eastAsia" w:hAnsi="宋体" w:cs="宋体"/>
        </w:rPr>
        <w:t>6 标签、标志、包装、运输、贮存及保质期</w:t>
      </w:r>
      <w:r>
        <w:fldChar w:fldCharType="begin"/>
      </w:r>
      <w:r>
        <w:instrText xml:space="preserve"> HYPERLINK \l "_Toc121174726" </w:instrText>
      </w:r>
      <w:r>
        <w:fldChar w:fldCharType="separate"/>
      </w:r>
      <w:r>
        <w:rPr>
          <w:rFonts w:hint="eastAsia" w:hAnsi="宋体" w:cs="宋体"/>
        </w:rPr>
        <w:tab/>
      </w:r>
      <w:r>
        <w:rPr>
          <w:rFonts w:hint="default" w:hAnsi="宋体" w:cs="宋体"/>
        </w:rPr>
        <w:t>5</w:t>
      </w:r>
      <w:r>
        <w:rPr>
          <w:rFonts w:hint="eastAsia" w:hAnsi="宋体" w:cs="宋体"/>
        </w:rPr>
        <w:fldChar w:fldCharType="end"/>
      </w:r>
    </w:p>
    <w:p>
      <w:pPr>
        <w:pStyle w:val="24"/>
        <w:spacing w:before="79" w:beforeLines="25" w:after="79" w:afterLines="25"/>
        <w:jc w:val="left"/>
        <w:rPr>
          <w:rFonts w:ascii="Times New Roman" w:hAnsi="Times New Roman"/>
        </w:rPr>
        <w:sectPr>
          <w:headerReference r:id="rId10" w:type="first"/>
          <w:footerReference r:id="rId13" w:type="first"/>
          <w:footerReference r:id="rId11" w:type="default"/>
          <w:footerReference r:id="rId12" w:type="even"/>
          <w:pgSz w:w="11906" w:h="16838"/>
          <w:pgMar w:top="1928" w:right="1134" w:bottom="1134" w:left="1417" w:header="1418" w:footer="1134" w:gutter="283"/>
          <w:pgNumType w:fmt="upperRoman" w:start="1"/>
          <w:cols w:space="0" w:num="1"/>
          <w:formProt w:val="0"/>
          <w:titlePg/>
          <w:rtlGutter w:val="0"/>
          <w:docGrid w:linePitch="312" w:charSpace="0"/>
        </w:sectPr>
      </w:pPr>
      <w:r>
        <w:rPr>
          <w:rFonts w:hint="eastAsia" w:ascii="宋体" w:hAnsi="宋体" w:eastAsia="宋体" w:cs="宋体"/>
          <w:sz w:val="21"/>
        </w:rPr>
        <w:fldChar w:fldCharType="end"/>
      </w:r>
    </w:p>
    <w:bookmarkEnd w:id="8"/>
    <w:p>
      <w:pPr>
        <w:pStyle w:val="23"/>
        <w:spacing w:before="850" w:after="680" w:afterLines="0"/>
        <w:rPr>
          <w:rFonts w:ascii="Times New Roman"/>
        </w:rPr>
      </w:pPr>
      <w:bookmarkStart w:id="17" w:name="_Toc121174721"/>
      <w:bookmarkStart w:id="18" w:name="BookMark2"/>
      <w:r>
        <w:rPr>
          <w:rFonts w:ascii="Times New Roman"/>
          <w:spacing w:val="320"/>
        </w:rPr>
        <w:t>前</w:t>
      </w:r>
      <w:r>
        <w:rPr>
          <w:rFonts w:ascii="Times New Roman"/>
        </w:rPr>
        <w:t>言</w:t>
      </w:r>
      <w:bookmarkEnd w:id="9"/>
      <w:bookmarkEnd w:id="10"/>
      <w:bookmarkEnd w:id="11"/>
      <w:bookmarkEnd w:id="12"/>
      <w:bookmarkEnd w:id="13"/>
      <w:bookmarkEnd w:id="14"/>
      <w:bookmarkEnd w:id="15"/>
      <w:bookmarkEnd w:id="16"/>
      <w:bookmarkEnd w:id="17"/>
    </w:p>
    <w:p>
      <w:pPr>
        <w:pStyle w:val="20"/>
        <w:ind w:firstLine="420"/>
        <w:rPr>
          <w:rFonts w:hAnsi="宋体" w:cs="宋体"/>
        </w:rPr>
      </w:pPr>
      <w:r>
        <w:rPr>
          <w:rFonts w:hint="eastAsia" w:hAnsi="宋体" w:cs="宋体"/>
        </w:rPr>
        <w:t>本文件按照GB/T 1.1—2020《标准化工作导则 第1部分：标准化文件的结构和起草规则》的规定起草。</w:t>
      </w:r>
    </w:p>
    <w:p>
      <w:pPr>
        <w:pStyle w:val="20"/>
        <w:ind w:firstLine="420"/>
        <w:rPr>
          <w:rFonts w:hAnsi="宋体" w:cs="宋体"/>
          <w:strike/>
        </w:rPr>
      </w:pPr>
      <w:r>
        <w:rPr>
          <w:rFonts w:hint="eastAsia" w:hAnsi="宋体" w:cs="宋体"/>
        </w:rPr>
        <w:t>请注意本文件的某些内容可能涉及专利。本文件的发布机构不承担识别专利的责任。</w:t>
      </w:r>
    </w:p>
    <w:p>
      <w:pPr>
        <w:pStyle w:val="20"/>
        <w:ind w:firstLine="420"/>
        <w:rPr>
          <w:rFonts w:hAnsi="宋体" w:cs="宋体"/>
        </w:rPr>
      </w:pPr>
      <w:r>
        <w:rPr>
          <w:rFonts w:hint="eastAsia" w:hAnsi="宋体" w:cs="宋体"/>
        </w:rPr>
        <w:t>本文件由                 提出。</w:t>
      </w:r>
    </w:p>
    <w:p>
      <w:pPr>
        <w:pStyle w:val="20"/>
        <w:ind w:firstLine="420"/>
        <w:rPr>
          <w:rFonts w:hAnsi="宋体" w:cs="宋体"/>
        </w:rPr>
      </w:pPr>
      <w:r>
        <w:rPr>
          <w:rFonts w:hint="eastAsia" w:hAnsi="宋体" w:cs="宋体"/>
        </w:rPr>
        <w:t>本文件由中国食品药品企业质量安全促进会归口。</w:t>
      </w:r>
    </w:p>
    <w:p>
      <w:pPr>
        <w:pStyle w:val="20"/>
        <w:ind w:firstLine="420"/>
        <w:rPr>
          <w:rFonts w:hAnsi="宋体" w:cs="宋体"/>
        </w:rPr>
      </w:pPr>
      <w:r>
        <w:rPr>
          <w:rFonts w:hint="eastAsia" w:hAnsi="宋体" w:cs="宋体"/>
        </w:rPr>
        <w:t>本文件起草单位：</w:t>
      </w:r>
    </w:p>
    <w:p>
      <w:pPr>
        <w:pStyle w:val="20"/>
        <w:ind w:firstLine="420"/>
        <w:rPr>
          <w:rFonts w:hAnsi="宋体" w:cs="宋体"/>
        </w:rPr>
      </w:pPr>
      <w:r>
        <w:rPr>
          <w:rFonts w:hint="eastAsia" w:hAnsi="宋体" w:cs="宋体"/>
        </w:rPr>
        <w:t xml:space="preserve">本文件主要起草人： </w:t>
      </w:r>
    </w:p>
    <w:p>
      <w:pPr>
        <w:pStyle w:val="20"/>
        <w:ind w:firstLine="420"/>
        <w:rPr>
          <w:rFonts w:hAnsi="宋体" w:cs="宋体"/>
        </w:rPr>
        <w:sectPr>
          <w:pgSz w:w="11906" w:h="16838"/>
          <w:pgMar w:top="1928" w:right="1134" w:bottom="1134" w:left="1417" w:header="1418" w:footer="1134" w:gutter="283"/>
          <w:pgNumType w:fmt="upperRoman"/>
          <w:cols w:space="0" w:num="1"/>
          <w:formProt w:val="0"/>
          <w:rtlGutter w:val="0"/>
          <w:docGrid w:linePitch="312" w:charSpace="0"/>
        </w:sectPr>
      </w:pPr>
    </w:p>
    <w:bookmarkEnd w:id="18"/>
    <w:p>
      <w:pPr>
        <w:spacing w:line="20" w:lineRule="exact"/>
        <w:jc w:val="center"/>
        <w:rPr>
          <w:rFonts w:ascii="Times New Roman" w:hAnsi="Times New Roman" w:eastAsia="黑体"/>
          <w:sz w:val="32"/>
          <w:szCs w:val="32"/>
        </w:rPr>
      </w:pPr>
      <w:bookmarkStart w:id="19"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placeholder>
          <w:docPart w:val="8ABBA00787794062A9E4FCB43F180EF6"/>
        </w:placeholder>
      </w:sdtPr>
      <w:sdtEndPr>
        <w:rPr>
          <w:rFonts w:hint="eastAsia" w:ascii="黑体" w:hAnsi="黑体" w:cs="黑体"/>
        </w:rPr>
      </w:sdtEndPr>
      <w:sdtContent>
        <w:p>
          <w:pPr>
            <w:pStyle w:val="34"/>
            <w:spacing w:before="850" w:after="680" w:line="240" w:lineRule="auto"/>
            <w:rPr>
              <w:rFonts w:cs="黑体"/>
            </w:rPr>
          </w:pPr>
          <w:bookmarkStart w:id="20" w:name="NEW_STAND_NAME"/>
          <w:r>
            <w:rPr>
              <w:rFonts w:hint="eastAsia" w:cs="黑体"/>
            </w:rPr>
            <w:t>胶原蛋白肽饮料</w:t>
          </w:r>
        </w:p>
      </w:sdtContent>
    </w:sdt>
    <w:bookmarkEnd w:id="20"/>
    <w:p>
      <w:pPr>
        <w:pStyle w:val="28"/>
        <w:keepNext w:val="0"/>
        <w:keepLines w:val="0"/>
        <w:pageBreakBefore w:val="0"/>
        <w:widowControl/>
        <w:numPr>
          <w:ilvl w:val="0"/>
          <w:numId w:val="0"/>
        </w:numPr>
        <w:kinsoku/>
        <w:wordWrap/>
        <w:overflowPunct/>
        <w:topLinePunct w:val="0"/>
        <w:autoSpaceDE/>
        <w:autoSpaceDN/>
        <w:bidi w:val="0"/>
        <w:adjustRightInd/>
        <w:snapToGrid/>
        <w:spacing w:before="240" w:after="240"/>
        <w:jc w:val="left"/>
        <w:textAlignment w:val="auto"/>
        <w:rPr>
          <w:rFonts w:hAnsi="黑体" w:cs="黑体"/>
        </w:rPr>
      </w:pPr>
      <w:bookmarkStart w:id="21" w:name="_Toc17233325"/>
      <w:bookmarkStart w:id="22" w:name="_Toc26986530"/>
      <w:bookmarkStart w:id="23" w:name="_Toc107842052"/>
      <w:bookmarkStart w:id="24" w:name="_Toc26718930"/>
      <w:bookmarkStart w:id="25" w:name="_Toc107841984"/>
      <w:bookmarkStart w:id="26" w:name="_Toc24884218"/>
      <w:bookmarkStart w:id="27" w:name="_Toc107842723"/>
      <w:bookmarkStart w:id="28" w:name="_Toc17233333"/>
      <w:bookmarkStart w:id="29" w:name="_Toc26648465"/>
      <w:bookmarkStart w:id="30" w:name="_Toc106365707"/>
      <w:bookmarkStart w:id="31" w:name="_Toc112825829"/>
      <w:bookmarkStart w:id="32" w:name="_Toc121174722"/>
      <w:bookmarkStart w:id="33" w:name="_Toc24884211"/>
      <w:bookmarkStart w:id="34" w:name="_Toc26986771"/>
      <w:bookmarkStart w:id="35" w:name="_Toc97192964"/>
      <w:bookmarkStart w:id="36" w:name="_Toc106365612"/>
      <w:bookmarkStart w:id="37" w:name="_Toc106361445"/>
      <w:bookmarkStart w:id="38" w:name="_Toc106365558"/>
      <w:bookmarkStart w:id="39" w:name="_Toc108566364"/>
      <w:r>
        <w:rPr>
          <w:rFonts w:hint="eastAsia" w:hAnsi="黑体" w:cs="黑体"/>
        </w:rPr>
        <w:t>1</w:t>
      </w:r>
      <w:r>
        <w:rPr>
          <w:rFonts w:hint="eastAsia" w:hAnsi="黑体" w:cs="黑体"/>
          <w:lang w:val="en-US" w:eastAsia="zh-CN"/>
        </w:rPr>
        <w:t xml:space="preserve"> </w:t>
      </w:r>
      <w:r>
        <w:rPr>
          <w:rFonts w:hint="eastAsia" w:hAnsi="黑体" w:cs="黑体"/>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keepNext w:val="0"/>
        <w:keepLines w:val="0"/>
        <w:pageBreakBefore w:val="0"/>
        <w:widowControl w:val="0"/>
        <w:numPr>
          <w:ilvl w:val="255"/>
          <w:numId w:val="0"/>
        </w:numPr>
        <w:kinsoku/>
        <w:wordWrap/>
        <w:overflowPunct/>
        <w:topLinePunct w:val="0"/>
        <w:autoSpaceDE/>
        <w:autoSpaceDN/>
        <w:bidi w:val="0"/>
        <w:adjustRightInd w:val="0"/>
        <w:snapToGrid/>
        <w:spacing w:beforeLines="0" w:line="240" w:lineRule="auto"/>
        <w:ind w:firstLine="420" w:firstLineChars="200"/>
        <w:jc w:val="left"/>
        <w:textAlignment w:val="auto"/>
        <w:rPr>
          <w:rFonts w:ascii="宋体" w:hAnsi="宋体" w:cs="宋体"/>
          <w:b w:val="0"/>
          <w:bCs w:val="0"/>
        </w:rPr>
      </w:pPr>
      <w:bookmarkStart w:id="40" w:name="_Hlk107843470"/>
      <w:bookmarkStart w:id="41" w:name="_Toc17233326"/>
      <w:bookmarkStart w:id="42" w:name="_Toc24884219"/>
      <w:bookmarkStart w:id="43" w:name="_Toc26648466"/>
      <w:bookmarkStart w:id="44" w:name="_Toc17233334"/>
      <w:bookmarkStart w:id="45" w:name="_Toc24884212"/>
      <w:r>
        <w:rPr>
          <w:rFonts w:ascii="宋体" w:hAnsi="宋体" w:cs="宋体"/>
          <w:b w:val="0"/>
          <w:bCs w:val="0"/>
        </w:rPr>
        <w:t>本</w:t>
      </w:r>
      <w:r>
        <w:rPr>
          <w:rFonts w:hint="eastAsia" w:ascii="宋体" w:hAnsi="宋体" w:cs="宋体"/>
          <w:b w:val="0"/>
          <w:bCs w:val="0"/>
        </w:rPr>
        <w:t>标准规定了胶原蛋白肽饮料的术语和定义、技术要求、试验方法、检验规则和标签标识、包装、运输、储存。</w:t>
      </w:r>
    </w:p>
    <w:p>
      <w:pPr>
        <w:keepNext w:val="0"/>
        <w:keepLines w:val="0"/>
        <w:pageBreakBefore w:val="0"/>
        <w:widowControl w:val="0"/>
        <w:numPr>
          <w:ilvl w:val="255"/>
          <w:numId w:val="0"/>
        </w:numPr>
        <w:kinsoku/>
        <w:wordWrap/>
        <w:overflowPunct/>
        <w:topLinePunct w:val="0"/>
        <w:autoSpaceDE/>
        <w:autoSpaceDN/>
        <w:bidi w:val="0"/>
        <w:adjustRightInd w:val="0"/>
        <w:snapToGrid/>
        <w:spacing w:before="0" w:beforeLines="0" w:line="240" w:lineRule="auto"/>
        <w:ind w:firstLine="420" w:firstLineChars="200"/>
        <w:jc w:val="left"/>
        <w:textAlignment w:val="auto"/>
        <w:rPr>
          <w:rFonts w:hint="eastAsia" w:ascii="宋体" w:hAnsi="宋体" w:cs="宋体"/>
          <w:b w:val="0"/>
          <w:bCs w:val="0"/>
        </w:rPr>
      </w:pPr>
      <w:r>
        <w:rPr>
          <w:rFonts w:hint="eastAsia" w:ascii="宋体" w:hAnsi="宋体" w:cs="宋体"/>
          <w:b w:val="0"/>
          <w:bCs w:val="0"/>
        </w:rPr>
        <w:t>本标准适用于3.1 规定的胶原蛋白肽饮料。</w:t>
      </w:r>
    </w:p>
    <w:bookmarkEnd w:id="40"/>
    <w:p>
      <w:pPr>
        <w:pStyle w:val="28"/>
        <w:keepNext w:val="0"/>
        <w:keepLines w:val="0"/>
        <w:pageBreakBefore w:val="0"/>
        <w:widowControl/>
        <w:numPr>
          <w:ilvl w:val="0"/>
          <w:numId w:val="0"/>
        </w:numPr>
        <w:kinsoku/>
        <w:wordWrap/>
        <w:overflowPunct/>
        <w:topLinePunct w:val="0"/>
        <w:autoSpaceDE/>
        <w:autoSpaceDN/>
        <w:bidi w:val="0"/>
        <w:adjustRightInd/>
        <w:snapToGrid/>
        <w:spacing w:before="240" w:after="240"/>
        <w:jc w:val="left"/>
        <w:textAlignment w:val="auto"/>
        <w:rPr>
          <w:rFonts w:hAnsi="黑体" w:cs="黑体"/>
        </w:rPr>
      </w:pPr>
      <w:bookmarkStart w:id="46" w:name="_Toc106365559"/>
      <w:bookmarkStart w:id="47" w:name="_Toc106365613"/>
      <w:bookmarkStart w:id="48" w:name="_Toc107841985"/>
      <w:bookmarkStart w:id="49" w:name="_Toc26718931"/>
      <w:bookmarkStart w:id="50" w:name="_Toc108566365"/>
      <w:bookmarkStart w:id="51" w:name="_Toc106365708"/>
      <w:bookmarkStart w:id="52" w:name="_Toc97192965"/>
      <w:bookmarkStart w:id="53" w:name="_Toc107842724"/>
      <w:bookmarkStart w:id="54" w:name="_Toc26986531"/>
      <w:bookmarkStart w:id="55" w:name="_Toc106361446"/>
      <w:bookmarkStart w:id="56" w:name="_Toc107842053"/>
      <w:bookmarkStart w:id="57" w:name="_Toc121174723"/>
      <w:bookmarkStart w:id="58" w:name="_Toc112825830"/>
      <w:bookmarkStart w:id="59" w:name="_Toc26986772"/>
      <w:r>
        <w:rPr>
          <w:rFonts w:hint="eastAsia" w:hAnsi="黑体" w:cs="黑体"/>
        </w:rPr>
        <w:t>2</w:t>
      </w:r>
      <w:r>
        <w:rPr>
          <w:rFonts w:hint="eastAsia" w:hAnsi="黑体" w:cs="黑体"/>
          <w:lang w:val="en-US" w:eastAsia="zh-CN"/>
        </w:rPr>
        <w:t xml:space="preserve"> </w:t>
      </w:r>
      <w:r>
        <w:rPr>
          <w:rFonts w:hint="eastAsia" w:hAnsi="黑体" w:cs="黑体"/>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Fonts w:ascii="Times New Roman"/>
        </w:rPr>
        <w:id w:val="715848253"/>
        <w:placeholder>
          <w:docPart w:val="A62F4A8B28DD41F9A8E779C1BC5B2D7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宋体" w:cs="宋体"/>
        </w:rPr>
      </w:sdtEndPr>
      <w:sdtContent>
        <w:p>
          <w:pPr>
            <w:pStyle w:val="20"/>
            <w:keepNext w:val="0"/>
            <w:keepLines w:val="0"/>
            <w:pageBreakBefore w:val="0"/>
            <w:widowControl/>
            <w:kinsoku/>
            <w:wordWrap/>
            <w:overflowPunct/>
            <w:topLinePunct w:val="0"/>
            <w:autoSpaceDE w:val="0"/>
            <w:autoSpaceDN w:val="0"/>
            <w:bidi w:val="0"/>
            <w:adjustRightInd/>
            <w:snapToGrid/>
            <w:ind w:firstLine="420"/>
            <w:textAlignment w:val="auto"/>
            <w:rPr>
              <w:rFonts w:hAnsi="宋体" w:cs="宋体"/>
            </w:rPr>
          </w:pPr>
          <w:r>
            <w:rPr>
              <w:rFonts w:hint="eastAsia"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0"/>
        <w:keepNext w:val="0"/>
        <w:keepLines w:val="0"/>
        <w:pageBreakBefore w:val="0"/>
        <w:widowControl/>
        <w:kinsoku/>
        <w:wordWrap/>
        <w:overflowPunct/>
        <w:topLinePunct w:val="0"/>
        <w:autoSpaceDE w:val="0"/>
        <w:autoSpaceDN w:val="0"/>
        <w:bidi w:val="0"/>
        <w:adjustRightInd/>
        <w:snapToGrid/>
        <w:ind w:left="409" w:leftChars="195" w:firstLine="0" w:firstLineChars="0"/>
        <w:textAlignment w:val="auto"/>
      </w:pPr>
      <w:bookmarkStart w:id="60" w:name="OLE_LINK12"/>
      <w:r>
        <w:rPr>
          <w:rFonts w:hint="eastAsia"/>
        </w:rPr>
        <w:t>GB/T 191</w:t>
      </w:r>
      <w:r>
        <w:t xml:space="preserve"> 包装储运图示标志</w:t>
      </w:r>
    </w:p>
    <w:p>
      <w:pPr>
        <w:pStyle w:val="20"/>
        <w:keepNext w:val="0"/>
        <w:keepLines w:val="0"/>
        <w:pageBreakBefore w:val="0"/>
        <w:widowControl/>
        <w:kinsoku/>
        <w:wordWrap/>
        <w:overflowPunct/>
        <w:topLinePunct w:val="0"/>
        <w:autoSpaceDE w:val="0"/>
        <w:autoSpaceDN w:val="0"/>
        <w:bidi w:val="0"/>
        <w:adjustRightInd/>
        <w:snapToGrid/>
        <w:ind w:left="409" w:leftChars="195" w:firstLine="0" w:firstLineChars="0"/>
        <w:textAlignment w:val="auto"/>
        <w:rPr>
          <w:rFonts w:hAnsi="宋体" w:cs="宋体"/>
        </w:rPr>
      </w:pPr>
      <w:r>
        <w:rPr>
          <w:rFonts w:hAnsi="宋体" w:cs="宋体"/>
        </w:rPr>
        <w:t xml:space="preserve">GB 2760 </w:t>
      </w:r>
      <w:r>
        <w:rPr>
          <w:rFonts w:hint="eastAsia" w:hAnsi="宋体" w:cs="宋体"/>
        </w:rPr>
        <w:t>食品安全国家标准</w:t>
      </w:r>
      <w:r>
        <w:rPr>
          <w:rFonts w:hAnsi="宋体" w:cs="宋体"/>
        </w:rPr>
        <w:t xml:space="preserve"> </w:t>
      </w:r>
      <w:r>
        <w:rPr>
          <w:rFonts w:hint="eastAsia" w:hAnsi="宋体" w:cs="宋体"/>
        </w:rPr>
        <w:t>食品添加剂使用标准</w:t>
      </w:r>
      <w:r>
        <w:rPr>
          <w:rFonts w:hAnsi="宋体" w:cs="宋体"/>
        </w:rPr>
        <w:br w:type="textWrapping"/>
      </w:r>
      <w:r>
        <w:rPr>
          <w:rFonts w:hAnsi="宋体" w:cs="宋体"/>
        </w:rPr>
        <w:t xml:space="preserve">GB </w:t>
      </w:r>
      <w:r>
        <w:rPr>
          <w:rFonts w:hint="eastAsia" w:hAnsi="宋体" w:cs="宋体"/>
        </w:rPr>
        <w:t>2761</w:t>
      </w:r>
      <w:r>
        <w:rPr>
          <w:rFonts w:hAnsi="宋体" w:cs="宋体"/>
        </w:rPr>
        <w:t xml:space="preserve"> 食品安全国家标准 食品中真菌毒素限量</w:t>
      </w:r>
      <w:r>
        <w:rPr>
          <w:rFonts w:hAnsi="宋体" w:cs="宋体"/>
        </w:rPr>
        <w:br w:type="textWrapping"/>
      </w:r>
      <w:r>
        <w:rPr>
          <w:rFonts w:hAnsi="宋体" w:cs="宋体"/>
        </w:rPr>
        <w:t>GB 2762 食品安全国家标准 食品中污染物限量</w:t>
      </w:r>
    </w:p>
    <w:p>
      <w:pPr>
        <w:pStyle w:val="20"/>
        <w:keepNext w:val="0"/>
        <w:keepLines w:val="0"/>
        <w:pageBreakBefore w:val="0"/>
        <w:widowControl/>
        <w:kinsoku/>
        <w:wordWrap/>
        <w:overflowPunct/>
        <w:topLinePunct w:val="0"/>
        <w:autoSpaceDE w:val="0"/>
        <w:autoSpaceDN w:val="0"/>
        <w:bidi w:val="0"/>
        <w:adjustRightInd/>
        <w:snapToGrid/>
        <w:ind w:left="409" w:leftChars="195" w:firstLine="0" w:firstLineChars="0"/>
        <w:textAlignment w:val="auto"/>
        <w:rPr>
          <w:rFonts w:hAnsi="宋体" w:cs="宋体"/>
        </w:rPr>
      </w:pPr>
      <w:r>
        <w:rPr>
          <w:rFonts w:hint="eastAsia" w:hAnsi="宋体" w:cs="宋体"/>
        </w:rPr>
        <w:t xml:space="preserve">GB 4789.1 食品安全国家标准  食品微生物学检验 </w:t>
      </w:r>
      <w:r>
        <w:rPr>
          <w:rFonts w:hAnsi="宋体" w:cs="宋体"/>
        </w:rPr>
        <w:t xml:space="preserve"> </w:t>
      </w:r>
      <w:r>
        <w:rPr>
          <w:rFonts w:hint="eastAsia" w:hAnsi="宋体" w:cs="宋体"/>
        </w:rPr>
        <w:t>总则</w:t>
      </w:r>
    </w:p>
    <w:p>
      <w:pPr>
        <w:pStyle w:val="20"/>
        <w:keepNext w:val="0"/>
        <w:keepLines w:val="0"/>
        <w:pageBreakBefore w:val="0"/>
        <w:widowControl/>
        <w:kinsoku/>
        <w:wordWrap/>
        <w:overflowPunct/>
        <w:topLinePunct w:val="0"/>
        <w:autoSpaceDE w:val="0"/>
        <w:autoSpaceDN w:val="0"/>
        <w:bidi w:val="0"/>
        <w:adjustRightInd/>
        <w:snapToGrid/>
        <w:ind w:firstLine="409" w:firstLineChars="195"/>
        <w:textAlignment w:val="auto"/>
        <w:rPr>
          <w:rFonts w:hAnsi="宋体" w:cs="宋体"/>
        </w:rPr>
      </w:pPr>
      <w:r>
        <w:rPr>
          <w:rFonts w:hint="eastAsia" w:hAnsi="宋体" w:cs="宋体"/>
        </w:rPr>
        <w:t xml:space="preserve">GB 4789.2 食品安全国家标准  食品微生物学检验  菌落总数测定 </w:t>
      </w:r>
    </w:p>
    <w:p>
      <w:pPr>
        <w:pStyle w:val="20"/>
        <w:keepNext w:val="0"/>
        <w:keepLines w:val="0"/>
        <w:pageBreakBefore w:val="0"/>
        <w:widowControl/>
        <w:kinsoku/>
        <w:wordWrap/>
        <w:overflowPunct/>
        <w:topLinePunct w:val="0"/>
        <w:autoSpaceDE w:val="0"/>
        <w:autoSpaceDN w:val="0"/>
        <w:bidi w:val="0"/>
        <w:adjustRightInd/>
        <w:snapToGrid/>
        <w:ind w:firstLine="409" w:firstLineChars="195"/>
        <w:textAlignment w:val="auto"/>
        <w:rPr>
          <w:rFonts w:hAnsi="宋体" w:cs="宋体"/>
        </w:rPr>
      </w:pPr>
      <w:r>
        <w:rPr>
          <w:rFonts w:hint="eastAsia" w:hAnsi="宋体" w:cs="宋体"/>
        </w:rPr>
        <w:t>GB 4789.3 食品安全国家标准  食品微生物学检验  大肠菌群计数</w:t>
      </w:r>
    </w:p>
    <w:p>
      <w:pPr>
        <w:pStyle w:val="20"/>
        <w:keepNext w:val="0"/>
        <w:keepLines w:val="0"/>
        <w:pageBreakBefore w:val="0"/>
        <w:widowControl/>
        <w:kinsoku/>
        <w:wordWrap/>
        <w:overflowPunct/>
        <w:topLinePunct w:val="0"/>
        <w:autoSpaceDE w:val="0"/>
        <w:autoSpaceDN w:val="0"/>
        <w:bidi w:val="0"/>
        <w:adjustRightInd/>
        <w:snapToGrid/>
        <w:ind w:left="409" w:leftChars="195" w:firstLine="0" w:firstLineChars="0"/>
        <w:textAlignment w:val="auto"/>
        <w:rPr>
          <w:rFonts w:hAnsi="宋体" w:cs="宋体"/>
        </w:rPr>
      </w:pPr>
      <w:r>
        <w:rPr>
          <w:rFonts w:hAnsi="宋体" w:cs="宋体"/>
        </w:rPr>
        <w:t>GB 5749 生活饮用水卫生标准</w:t>
      </w:r>
      <w:r>
        <w:rPr>
          <w:rFonts w:hAnsi="宋体" w:cs="宋体"/>
        </w:rPr>
        <w:br w:type="textWrapping"/>
      </w:r>
      <w:r>
        <w:rPr>
          <w:rFonts w:hAnsi="宋体" w:cs="宋体"/>
        </w:rPr>
        <w:t xml:space="preserve">GB 7101 </w:t>
      </w:r>
      <w:r>
        <w:rPr>
          <w:rFonts w:hint="eastAsia" w:hAnsi="宋体" w:cs="宋体"/>
        </w:rPr>
        <w:t>食品安全国家标准</w:t>
      </w:r>
      <w:r>
        <w:rPr>
          <w:rFonts w:hAnsi="宋体" w:cs="宋体"/>
        </w:rPr>
        <w:t xml:space="preserve"> </w:t>
      </w:r>
      <w:r>
        <w:rPr>
          <w:rFonts w:hint="eastAsia" w:hAnsi="宋体" w:cs="宋体"/>
        </w:rPr>
        <w:t>饮料</w:t>
      </w:r>
      <w:r>
        <w:rPr>
          <w:rFonts w:hAnsi="宋体" w:cs="宋体"/>
        </w:rPr>
        <w:br w:type="textWrapping"/>
      </w:r>
      <w:r>
        <w:rPr>
          <w:rFonts w:hAnsi="宋体" w:cs="宋体"/>
        </w:rPr>
        <w:t xml:space="preserve">GB 7718 </w:t>
      </w:r>
      <w:r>
        <w:rPr>
          <w:rFonts w:hint="eastAsia" w:hAnsi="宋体" w:cs="宋体"/>
        </w:rPr>
        <w:t>食品安全国家标准</w:t>
      </w:r>
      <w:r>
        <w:rPr>
          <w:rFonts w:hAnsi="宋体" w:cs="宋体"/>
        </w:rPr>
        <w:t xml:space="preserve"> </w:t>
      </w:r>
      <w:r>
        <w:rPr>
          <w:rFonts w:hint="eastAsia" w:hAnsi="宋体" w:cs="宋体"/>
        </w:rPr>
        <w:t>预包装食品标签通则</w:t>
      </w:r>
    </w:p>
    <w:p>
      <w:pPr>
        <w:pStyle w:val="20"/>
        <w:keepNext w:val="0"/>
        <w:keepLines w:val="0"/>
        <w:pageBreakBefore w:val="0"/>
        <w:widowControl/>
        <w:kinsoku/>
        <w:wordWrap/>
        <w:overflowPunct/>
        <w:topLinePunct w:val="0"/>
        <w:autoSpaceDE w:val="0"/>
        <w:autoSpaceDN w:val="0"/>
        <w:bidi w:val="0"/>
        <w:adjustRightInd/>
        <w:snapToGrid/>
        <w:ind w:left="420" w:leftChars="200" w:firstLine="0" w:firstLineChars="0"/>
        <w:textAlignment w:val="auto"/>
        <w:rPr>
          <w:rFonts w:hAnsi="宋体" w:cs="宋体"/>
        </w:rPr>
      </w:pPr>
      <w:bookmarkStart w:id="61" w:name="OLE_LINK18"/>
      <w:r>
        <w:rPr>
          <w:rFonts w:hint="eastAsia" w:hAnsi="宋体" w:cs="宋体"/>
        </w:rPr>
        <w:t>GB/T 9695.23</w:t>
      </w:r>
      <w:bookmarkEnd w:id="61"/>
      <w:r>
        <w:rPr>
          <w:rFonts w:hint="eastAsia" w:hAnsi="宋体" w:cs="宋体"/>
        </w:rPr>
        <w:t xml:space="preserve"> 肉与肉制品 羟脯氨酸含量测定</w:t>
      </w:r>
      <w:r>
        <w:br w:type="textWrapping"/>
      </w:r>
      <w:r>
        <w:rPr>
          <w:rFonts w:hint="eastAsia" w:hAnsi="宋体" w:cs="宋体"/>
        </w:rPr>
        <w:t>GB 14880 食品安全国家标准 食品营养强化剂使用标准</w:t>
      </w:r>
    </w:p>
    <w:p>
      <w:pPr>
        <w:pStyle w:val="20"/>
        <w:keepNext w:val="0"/>
        <w:keepLines w:val="0"/>
        <w:pageBreakBefore w:val="0"/>
        <w:widowControl/>
        <w:kinsoku/>
        <w:wordWrap/>
        <w:overflowPunct/>
        <w:topLinePunct w:val="0"/>
        <w:autoSpaceDE w:val="0"/>
        <w:autoSpaceDN w:val="0"/>
        <w:bidi w:val="0"/>
        <w:adjustRightInd/>
        <w:snapToGrid/>
        <w:ind w:left="420" w:leftChars="200" w:firstLine="0" w:firstLineChars="0"/>
        <w:textAlignment w:val="auto"/>
        <w:rPr>
          <w:rFonts w:hAnsi="宋体" w:cs="宋体"/>
        </w:rPr>
      </w:pPr>
      <w:r>
        <w:rPr>
          <w:rFonts w:hAnsi="宋体" w:cs="宋体"/>
        </w:rPr>
        <w:t>GB 14881 食品安全国家标准 食品生产通用卫生规范</w:t>
      </w:r>
      <w:r>
        <w:br w:type="textWrapping"/>
      </w:r>
      <w:r>
        <w:rPr>
          <w:rFonts w:hAnsi="宋体" w:cs="宋体"/>
        </w:rPr>
        <w:t xml:space="preserve">GB/T 22729 </w:t>
      </w:r>
      <w:r>
        <w:rPr>
          <w:rFonts w:hint="eastAsia" w:hAnsi="宋体" w:cs="宋体"/>
        </w:rPr>
        <w:t>海洋鱼低聚肽粉</w:t>
      </w:r>
    </w:p>
    <w:p>
      <w:pPr>
        <w:pStyle w:val="20"/>
        <w:keepNext w:val="0"/>
        <w:keepLines w:val="0"/>
        <w:pageBreakBefore w:val="0"/>
        <w:widowControl/>
        <w:kinsoku/>
        <w:wordWrap/>
        <w:overflowPunct/>
        <w:topLinePunct w:val="0"/>
        <w:autoSpaceDE w:val="0"/>
        <w:autoSpaceDN w:val="0"/>
        <w:bidi w:val="0"/>
        <w:adjustRightInd/>
        <w:snapToGrid/>
        <w:ind w:left="420" w:leftChars="200" w:firstLine="0" w:firstLineChars="0"/>
        <w:textAlignment w:val="auto"/>
        <w:rPr>
          <w:rFonts w:hAnsi="宋体" w:cs="宋体"/>
        </w:rPr>
      </w:pPr>
      <w:r>
        <w:rPr>
          <w:rFonts w:hAnsi="宋体" w:cs="宋体"/>
        </w:rPr>
        <w:t>GB 29921 食品安全国家标准 预包装食品中致病菌限量</w:t>
      </w:r>
      <w:r>
        <w:rPr>
          <w:rFonts w:hAnsi="宋体" w:cs="宋体"/>
        </w:rPr>
        <w:br w:type="textWrapping"/>
      </w:r>
      <w:r>
        <w:rPr>
          <w:rFonts w:hAnsi="宋体" w:cs="宋体"/>
        </w:rPr>
        <w:t xml:space="preserve">GB 28050 </w:t>
      </w:r>
      <w:r>
        <w:rPr>
          <w:rFonts w:hint="eastAsia" w:hAnsi="宋体" w:cs="宋体"/>
        </w:rPr>
        <w:t>食品安全国家标准</w:t>
      </w:r>
      <w:r>
        <w:rPr>
          <w:rFonts w:hAnsi="宋体" w:cs="宋体"/>
        </w:rPr>
        <w:t xml:space="preserve"> </w:t>
      </w:r>
      <w:r>
        <w:rPr>
          <w:rFonts w:hint="eastAsia" w:hAnsi="宋体" w:cs="宋体"/>
        </w:rPr>
        <w:t>预包装食品营养标签通则</w:t>
      </w:r>
      <w:r>
        <w:rPr>
          <w:rFonts w:hAnsi="宋体" w:cs="宋体"/>
        </w:rPr>
        <w:br w:type="textWrapping"/>
      </w:r>
      <w:r>
        <w:rPr>
          <w:rFonts w:hAnsi="宋体" w:cs="宋体"/>
        </w:rPr>
        <w:t xml:space="preserve">GB 31645 </w:t>
      </w:r>
      <w:r>
        <w:rPr>
          <w:rFonts w:hint="eastAsia" w:hAnsi="宋体" w:cs="宋体"/>
        </w:rPr>
        <w:t>食品安全国家标准</w:t>
      </w:r>
      <w:r>
        <w:rPr>
          <w:rFonts w:hAnsi="宋体" w:cs="宋体"/>
        </w:rPr>
        <w:t xml:space="preserve"> </w:t>
      </w:r>
      <w:r>
        <w:rPr>
          <w:rFonts w:hint="eastAsia" w:hAnsi="宋体" w:cs="宋体"/>
        </w:rPr>
        <w:t>胶原蛋白肽</w:t>
      </w:r>
      <w:bookmarkEnd w:id="60"/>
    </w:p>
    <w:p>
      <w:pPr>
        <w:pStyle w:val="20"/>
        <w:keepNext w:val="0"/>
        <w:keepLines w:val="0"/>
        <w:pageBreakBefore w:val="0"/>
        <w:widowControl/>
        <w:kinsoku/>
        <w:wordWrap/>
        <w:overflowPunct/>
        <w:topLinePunct w:val="0"/>
        <w:autoSpaceDE w:val="0"/>
        <w:autoSpaceDN w:val="0"/>
        <w:bidi w:val="0"/>
        <w:adjustRightInd/>
        <w:snapToGrid/>
        <w:ind w:left="409" w:leftChars="195" w:firstLine="0" w:firstLineChars="0"/>
        <w:textAlignment w:val="auto"/>
        <w:rPr>
          <w:rFonts w:hAnsi="宋体" w:cs="宋体"/>
        </w:rPr>
      </w:pPr>
      <w:r>
        <w:t xml:space="preserve">JJF 1070 </w:t>
      </w:r>
      <w:r>
        <w:rPr>
          <w:rFonts w:hint="eastAsia"/>
        </w:rPr>
        <w:t>定量包装商品净含量计量检验规则</w:t>
      </w:r>
      <w:r>
        <w:br w:type="textWrapping"/>
      </w:r>
      <w:r>
        <w:rPr>
          <w:rFonts w:hint="eastAsia" w:hAnsi="宋体" w:cs="宋体"/>
        </w:rPr>
        <w:t>国家质量监督检验检疫总局令 (2005)第 75 号《定量包装商品计量监督管理办法》</w:t>
      </w:r>
    </w:p>
    <w:p>
      <w:pPr>
        <w:pStyle w:val="28"/>
        <w:numPr>
          <w:ilvl w:val="0"/>
          <w:numId w:val="0"/>
        </w:numPr>
        <w:spacing w:before="240" w:after="240"/>
        <w:jc w:val="left"/>
        <w:rPr>
          <w:rFonts w:hAnsi="黑体" w:cs="黑体"/>
        </w:rPr>
      </w:pPr>
      <w:bookmarkStart w:id="62" w:name="_Toc107842054"/>
      <w:bookmarkStart w:id="63" w:name="_Toc106365709"/>
      <w:bookmarkStart w:id="64" w:name="_Toc108566366"/>
      <w:bookmarkStart w:id="65" w:name="_Toc121174724"/>
      <w:bookmarkStart w:id="66" w:name="_Toc107841986"/>
      <w:bookmarkStart w:id="67" w:name="_Toc107842725"/>
      <w:bookmarkStart w:id="68" w:name="_Toc106365560"/>
      <w:bookmarkStart w:id="69" w:name="_Toc97192966"/>
      <w:bookmarkStart w:id="70" w:name="_Toc112825831"/>
      <w:bookmarkStart w:id="71" w:name="_Toc106361447"/>
      <w:bookmarkStart w:id="72" w:name="_Toc106365614"/>
      <w:r>
        <w:rPr>
          <w:rFonts w:hint="eastAsia" w:hAnsi="黑体" w:cs="黑体"/>
        </w:rPr>
        <w:t>3 术语和定义</w:t>
      </w:r>
      <w:bookmarkEnd w:id="62"/>
      <w:bookmarkEnd w:id="63"/>
      <w:bookmarkEnd w:id="64"/>
      <w:bookmarkEnd w:id="65"/>
      <w:bookmarkEnd w:id="66"/>
      <w:bookmarkEnd w:id="67"/>
      <w:bookmarkEnd w:id="68"/>
      <w:bookmarkEnd w:id="69"/>
      <w:bookmarkEnd w:id="70"/>
      <w:bookmarkEnd w:id="71"/>
      <w:bookmarkEnd w:id="72"/>
    </w:p>
    <w:sdt>
      <w:sdtPr>
        <w:rPr>
          <w:rFonts w:ascii="Times New Roman"/>
        </w:rPr>
        <w:id w:val="-1909835108"/>
        <w:placeholder>
          <w:docPart w:val="ACBF11D3E5B4403C8C0E9A44B3D309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宋体" w:cs="宋体"/>
        </w:rPr>
      </w:sdtEndPr>
      <w:sdtContent>
        <w:p>
          <w:pPr>
            <w:pStyle w:val="20"/>
            <w:keepNext w:val="0"/>
            <w:keepLines w:val="0"/>
            <w:pageBreakBefore w:val="0"/>
            <w:widowControl/>
            <w:kinsoku/>
            <w:wordWrap/>
            <w:overflowPunct/>
            <w:topLinePunct w:val="0"/>
            <w:autoSpaceDE w:val="0"/>
            <w:autoSpaceDN w:val="0"/>
            <w:bidi w:val="0"/>
            <w:adjustRightInd/>
            <w:snapToGrid/>
            <w:ind w:firstLine="420"/>
            <w:textAlignment w:val="auto"/>
            <w:rPr>
              <w:rFonts w:hAnsi="宋体" w:cs="宋体"/>
            </w:rPr>
          </w:pPr>
          <w:bookmarkStart w:id="73" w:name="_Toc26986532"/>
          <w:bookmarkEnd w:id="73"/>
          <w:r>
            <w:rPr>
              <w:rFonts w:hint="eastAsia" w:hAnsi="宋体" w:cs="宋体"/>
            </w:rPr>
            <w:t>下列术语和定义适用于本文件。</w:t>
          </w:r>
        </w:p>
      </w:sdtContent>
    </w:sdt>
    <w:p>
      <w:pPr>
        <w:pStyle w:val="29"/>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firstLine="0" w:firstLineChars="0"/>
        <w:textAlignment w:val="auto"/>
        <w:rPr>
          <w:rFonts w:ascii="宋体" w:hAnsi="宋体" w:eastAsia="宋体" w:cs="宋体"/>
        </w:rPr>
      </w:pPr>
      <w:bookmarkStart w:id="74" w:name="_Toc106365561"/>
      <w:bookmarkEnd w:id="74"/>
      <w:bookmarkStart w:id="75" w:name="OLE_LINK9"/>
      <w:bookmarkStart w:id="76" w:name="_Toc106361448"/>
      <w:bookmarkStart w:id="77" w:name="_Hlk121175611"/>
      <w:bookmarkStart w:id="78" w:name="_Toc103107422"/>
      <w:bookmarkStart w:id="79" w:name="_Toc103105128"/>
      <w:bookmarkStart w:id="80" w:name="_Toc103107545"/>
      <w:bookmarkStart w:id="81" w:name="_Toc103105563"/>
      <w:r>
        <w:rPr>
          <w:rFonts w:hint="eastAsia" w:hAnsi="黑体" w:cs="黑体"/>
          <w:lang w:val="en-US" w:eastAsia="zh-CN"/>
        </w:rPr>
        <w:t xml:space="preserve">3.1 </w:t>
      </w:r>
      <w:r>
        <w:rPr>
          <w:rFonts w:hint="eastAsia" w:hAnsi="黑体" w:cs="黑体"/>
        </w:rPr>
        <w:t>胶原蛋白</w:t>
      </w:r>
      <w:bookmarkEnd w:id="75"/>
      <w:r>
        <w:rPr>
          <w:rFonts w:hint="eastAsia" w:hAnsi="黑体" w:cs="黑体"/>
        </w:rPr>
        <w:t>肽饮料</w:t>
      </w:r>
    </w:p>
    <w:p>
      <w:pPr>
        <w:pStyle w:val="29"/>
        <w:keepNext w:val="0"/>
        <w:keepLines w:val="0"/>
        <w:pageBreakBefore w:val="0"/>
        <w:numPr>
          <w:ilvl w:val="0"/>
          <w:numId w:val="0"/>
        </w:numPr>
        <w:kinsoku/>
        <w:wordWrap/>
        <w:overflowPunct/>
        <w:topLinePunct w:val="0"/>
        <w:autoSpaceDE/>
        <w:autoSpaceDN/>
        <w:bidi w:val="0"/>
        <w:snapToGrid/>
        <w:spacing w:beforeLines="0" w:afterLines="0" w:line="240" w:lineRule="auto"/>
        <w:ind w:firstLine="420" w:firstLineChars="200"/>
        <w:textAlignment w:val="auto"/>
        <w:outlineLvl w:val="9"/>
        <w:rPr>
          <w:rFonts w:ascii="Calibri" w:hAnsi="Calibri" w:eastAsia="宋体"/>
          <w:kern w:val="2"/>
          <w:szCs w:val="21"/>
        </w:rPr>
      </w:pPr>
      <w:r>
        <w:rPr>
          <w:rFonts w:hint="eastAsia" w:ascii="宋体" w:hAnsi="宋体" w:eastAsia="宋体" w:cs="宋体"/>
        </w:rPr>
        <w:t>以胶原蛋白肽为原料，添加或不添加水及适量辅料经相应工艺加工配</w:t>
      </w:r>
      <w:r>
        <w:rPr>
          <w:rFonts w:hint="eastAsia" w:ascii="Calibri" w:hAnsi="Calibri" w:eastAsia="宋体"/>
          <w:kern w:val="2"/>
          <w:szCs w:val="21"/>
        </w:rPr>
        <w:t>制而成的满足胶原蛋白肽</w:t>
      </w:r>
      <w:r>
        <w:rPr>
          <w:rFonts w:hint="eastAsia" w:ascii="Calibri" w:hAnsi="Calibri" w:eastAsia="宋体"/>
          <w:kern w:val="2"/>
          <w:szCs w:val="21"/>
          <w:lang w:val="en-US" w:eastAsia="zh-Hans"/>
        </w:rPr>
        <w:t>添加</w:t>
      </w:r>
      <w:r>
        <w:rPr>
          <w:rFonts w:hint="eastAsia" w:ascii="Calibri" w:hAnsi="Calibri" w:eastAsia="宋体"/>
          <w:kern w:val="2"/>
          <w:szCs w:val="21"/>
        </w:rPr>
        <w:t>量</w:t>
      </w:r>
      <w:r>
        <w:rPr>
          <w:rFonts w:hint="eastAsia" w:ascii="Calibri" w:hAnsi="Calibri" w:eastAsia="宋体"/>
          <w:kern w:val="2"/>
          <w:szCs w:val="21"/>
          <w:lang w:val="en-US" w:eastAsia="zh-Hans"/>
        </w:rPr>
        <w:t>要求</w:t>
      </w:r>
      <w:r>
        <w:rPr>
          <w:rFonts w:hint="eastAsia" w:ascii="Calibri" w:hAnsi="Calibri" w:eastAsia="宋体"/>
          <w:kern w:val="2"/>
          <w:szCs w:val="21"/>
        </w:rPr>
        <w:t>的饮料制品。也可称为</w:t>
      </w:r>
      <w:bookmarkStart w:id="82" w:name="_Hlk140834623"/>
      <w:r>
        <w:rPr>
          <w:rFonts w:hint="eastAsia" w:ascii="Calibri" w:hAnsi="Calibri" w:eastAsia="宋体"/>
          <w:kern w:val="2"/>
          <w:szCs w:val="21"/>
        </w:rPr>
        <w:t>胶原蛋白肽</w:t>
      </w:r>
      <w:bookmarkEnd w:id="82"/>
      <w:r>
        <w:rPr>
          <w:rFonts w:hint="eastAsia" w:ascii="Calibri" w:hAnsi="Calibri" w:eastAsia="宋体"/>
          <w:kern w:val="2"/>
          <w:szCs w:val="21"/>
        </w:rPr>
        <w:t>饮品。</w:t>
      </w:r>
    </w:p>
    <w:p>
      <w:pPr>
        <w:keepNext w:val="0"/>
        <w:keepLines w:val="0"/>
        <w:pageBreakBefore w:val="0"/>
        <w:kinsoku/>
        <w:wordWrap/>
        <w:overflowPunct/>
        <w:topLinePunct w:val="0"/>
        <w:autoSpaceDE/>
        <w:autoSpaceDN/>
        <w:bidi w:val="0"/>
        <w:snapToGrid/>
        <w:spacing w:beforeLines="0" w:afterLines="0" w:line="240" w:lineRule="auto"/>
        <w:ind w:firstLine="420" w:firstLineChars="200"/>
        <w:textAlignment w:val="auto"/>
      </w:pPr>
      <w:r>
        <w:rPr>
          <w:rFonts w:hint="eastAsia"/>
        </w:rPr>
        <w:t>胶原蛋白肽</w:t>
      </w:r>
      <w:r>
        <w:rPr>
          <w:rFonts w:hint="eastAsia" w:ascii="宋体" w:hAnsi="宋体" w:cs="宋体"/>
        </w:rPr>
        <w:t>液体饮品：胶原蛋白肽添加量≥2g/100ml；</w:t>
      </w:r>
      <w:r>
        <w:rPr>
          <w:rFonts w:hint="eastAsia"/>
        </w:rPr>
        <w:t>胶原蛋白肽</w:t>
      </w:r>
      <w:r>
        <w:rPr>
          <w:rFonts w:hint="eastAsia" w:ascii="宋体" w:hAnsi="宋体" w:cs="宋体"/>
        </w:rPr>
        <w:t>固体饮品：胶原蛋白肽添加量≥10g/100g。</w:t>
      </w:r>
    </w:p>
    <w:p>
      <w:pPr>
        <w:pStyle w:val="29"/>
        <w:keepNext w:val="0"/>
        <w:keepLines w:val="0"/>
        <w:pageBreakBefore w:val="0"/>
        <w:widowControl/>
        <w:numPr>
          <w:ilvl w:val="0"/>
          <w:numId w:val="0"/>
        </w:numPr>
        <w:kinsoku/>
        <w:wordWrap/>
        <w:overflowPunct/>
        <w:topLinePunct w:val="0"/>
        <w:autoSpaceDE/>
        <w:autoSpaceDN/>
        <w:bidi w:val="0"/>
        <w:adjustRightInd/>
        <w:snapToGrid/>
        <w:spacing w:before="240" w:beforeLines="100" w:after="240" w:afterLines="100" w:line="240" w:lineRule="auto"/>
        <w:textAlignment w:val="auto"/>
        <w:rPr>
          <w:rFonts w:hAnsi="黑体" w:cs="黑体"/>
        </w:rPr>
      </w:pPr>
      <w:r>
        <w:rPr>
          <w:rFonts w:hint="eastAsia" w:hAnsi="黑体" w:cs="黑体"/>
        </w:rPr>
        <w:t>4 技术要求</w:t>
      </w:r>
      <w:bookmarkEnd w:id="76"/>
      <w:bookmarkEnd w:id="77"/>
      <w:bookmarkStart w:id="83" w:name="_Toc106365568"/>
      <w:bookmarkStart w:id="84" w:name="_Toc106361449"/>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ascii="宋体" w:hAnsi="宋体" w:cs="宋体"/>
        </w:rPr>
      </w:pPr>
      <w:r>
        <w:rPr>
          <w:rFonts w:hint="eastAsia" w:ascii="黑体" w:hAnsi="黑体" w:eastAsia="黑体" w:cs="黑体"/>
        </w:rPr>
        <w:t>4.1 原辅料要求</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lang w:eastAsia="zh-Hans"/>
        </w:rPr>
      </w:pPr>
      <w:r>
        <w:rPr>
          <w:rFonts w:hint="eastAsia"/>
        </w:rPr>
        <w:t>胶原蛋白肽应符合</w:t>
      </w:r>
      <w:r>
        <w:t>GB 31645</w:t>
      </w:r>
      <w:r>
        <w:rPr>
          <w:rFonts w:hint="eastAsia"/>
        </w:rPr>
        <w:t>等相关标准和法规且胶原蛋白肽总平均分子量≤</w:t>
      </w:r>
      <w:r>
        <w:t>5000Da</w:t>
      </w:r>
      <w:r>
        <w:rPr>
          <w:rFonts w:hint="eastAsia"/>
          <w:lang w:eastAsia="zh-Hans"/>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lang w:val="en-US" w:eastAsia="zh-Hans"/>
        </w:rPr>
      </w:pPr>
      <w:r>
        <w:rPr>
          <w:rFonts w:hint="eastAsia"/>
        </w:rPr>
        <w:t>食品添加剂应选用GB 2760中允许使用的食品添加剂，还应符合相应的食品添加剂的产品</w:t>
      </w:r>
      <w:r>
        <w:rPr>
          <w:rFonts w:hint="eastAsia"/>
          <w:lang w:val="en-US" w:eastAsia="zh-Hans"/>
        </w:rPr>
        <w:t>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lang w:eastAsia="zh-Hans"/>
        </w:rPr>
      </w:pPr>
      <w:r>
        <w:rPr>
          <w:rFonts w:hint="eastAsia"/>
          <w:lang w:val="en-US" w:eastAsia="zh-CN"/>
        </w:rPr>
        <w:t>其他原辅料应符合相关标准和法规。</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eastAsia="黑体" w:cs="黑体"/>
        </w:rPr>
      </w:pPr>
      <w:r>
        <w:rPr>
          <w:rFonts w:hint="eastAsia" w:ascii="黑体" w:hAnsi="黑体" w:eastAsia="黑体" w:cs="黑体"/>
        </w:rPr>
        <w:t>4.2 感官要求</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textAlignment w:val="auto"/>
      </w:pPr>
      <w:r>
        <w:rPr>
          <w:rFonts w:hint="eastAsia" w:ascii="宋体" w:hAnsi="宋体" w:cs="宋体"/>
        </w:rPr>
        <w:t>感官要求应符合表1规定。</w:t>
      </w:r>
      <w:r>
        <w:rPr>
          <w:rFonts w:hint="eastAsia" w:ascii="宋体" w:hAnsi="宋体" w:cs="宋体"/>
        </w:rPr>
        <w:br w:type="textWrapping"/>
      </w:r>
      <w:r>
        <w:rPr>
          <w:rFonts w:hint="eastAsia"/>
        </w:rPr>
        <w:t xml:space="preserve"> </w:t>
      </w:r>
      <w:r>
        <w:t xml:space="preserve">  </w:t>
      </w:r>
      <w:r>
        <w:rPr>
          <w:rFonts w:hint="eastAsia" w:ascii="黑体" w:hAnsi="黑体" w:eastAsia="黑体" w:cs="黑体"/>
          <w:kern w:val="0"/>
          <w:szCs w:val="20"/>
        </w:rPr>
        <w:t xml:space="preserve">                                 表1</w:t>
      </w:r>
      <w:r>
        <w:rPr>
          <w:rFonts w:hint="eastAsia" w:ascii="黑体" w:hAnsi="黑体" w:eastAsia="黑体" w:cs="黑体"/>
          <w:kern w:val="0"/>
          <w:szCs w:val="20"/>
          <w:lang w:val="en-US" w:eastAsia="zh-CN"/>
        </w:rPr>
        <w:t xml:space="preserve"> </w:t>
      </w:r>
      <w:r>
        <w:rPr>
          <w:rFonts w:hint="eastAsia" w:ascii="黑体" w:hAnsi="黑体" w:eastAsia="黑体" w:cs="黑体"/>
          <w:kern w:val="0"/>
          <w:szCs w:val="20"/>
        </w:rPr>
        <w:t>感官指标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2536"/>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13" w:type="dxa"/>
            <w:vAlign w:val="center"/>
          </w:tcPr>
          <w:p>
            <w:pPr>
              <w:pStyle w:val="20"/>
              <w:ind w:firstLine="0" w:firstLineChars="0"/>
              <w:jc w:val="center"/>
              <w:rPr>
                <w:rFonts w:hAnsi="宋体" w:cs="宋体"/>
                <w:sz w:val="18"/>
                <w:szCs w:val="18"/>
              </w:rPr>
            </w:pPr>
            <w:r>
              <w:rPr>
                <w:rFonts w:hint="eastAsia" w:hAnsi="宋体" w:cs="宋体"/>
                <w:sz w:val="18"/>
                <w:szCs w:val="18"/>
              </w:rPr>
              <w:t>项目</w:t>
            </w:r>
          </w:p>
        </w:tc>
        <w:tc>
          <w:tcPr>
            <w:tcW w:w="2551" w:type="dxa"/>
            <w:vAlign w:val="center"/>
          </w:tcPr>
          <w:p>
            <w:pPr>
              <w:pStyle w:val="20"/>
              <w:ind w:firstLine="0" w:firstLineChars="0"/>
              <w:jc w:val="center"/>
              <w:rPr>
                <w:rFonts w:hAnsi="宋体" w:cs="宋体"/>
                <w:sz w:val="18"/>
                <w:szCs w:val="18"/>
              </w:rPr>
            </w:pPr>
            <w:r>
              <w:rPr>
                <w:rFonts w:hint="eastAsia" w:hAnsi="宋体" w:cs="宋体"/>
                <w:sz w:val="18"/>
                <w:szCs w:val="18"/>
              </w:rPr>
              <w:t>要求</w:t>
            </w:r>
          </w:p>
        </w:tc>
        <w:tc>
          <w:tcPr>
            <w:tcW w:w="5380" w:type="dxa"/>
            <w:vAlign w:val="center"/>
          </w:tcPr>
          <w:p>
            <w:pPr>
              <w:pStyle w:val="20"/>
              <w:ind w:firstLine="0" w:firstLineChars="0"/>
              <w:jc w:val="center"/>
              <w:rPr>
                <w:rFonts w:hAnsi="宋体" w:cs="宋体"/>
                <w:sz w:val="18"/>
                <w:szCs w:val="18"/>
              </w:rPr>
            </w:pPr>
            <w:r>
              <w:rPr>
                <w:rFonts w:hint="eastAsia" w:hAnsi="宋体" w:cs="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13" w:type="dxa"/>
            <w:vAlign w:val="center"/>
          </w:tcPr>
          <w:p>
            <w:pPr>
              <w:pStyle w:val="20"/>
              <w:ind w:firstLine="0" w:firstLineChars="0"/>
              <w:jc w:val="center"/>
              <w:rPr>
                <w:rFonts w:hAnsi="宋体" w:cs="宋体"/>
                <w:sz w:val="18"/>
                <w:szCs w:val="18"/>
              </w:rPr>
            </w:pPr>
            <w:r>
              <w:rPr>
                <w:rFonts w:hint="eastAsia" w:hAnsi="宋体" w:cs="宋体"/>
                <w:sz w:val="18"/>
                <w:szCs w:val="18"/>
              </w:rPr>
              <w:t>色泽</w:t>
            </w:r>
          </w:p>
        </w:tc>
        <w:tc>
          <w:tcPr>
            <w:tcW w:w="2551" w:type="dxa"/>
            <w:vAlign w:val="center"/>
          </w:tcPr>
          <w:p>
            <w:pPr>
              <w:pStyle w:val="20"/>
              <w:ind w:firstLine="0" w:firstLineChars="0"/>
              <w:jc w:val="left"/>
              <w:rPr>
                <w:rFonts w:hAnsi="宋体" w:cs="宋体"/>
                <w:sz w:val="18"/>
                <w:szCs w:val="18"/>
              </w:rPr>
            </w:pPr>
            <w:r>
              <w:rPr>
                <w:rFonts w:hint="eastAsia" w:hAnsi="宋体" w:cs="宋体"/>
                <w:sz w:val="18"/>
                <w:szCs w:val="18"/>
              </w:rPr>
              <w:t>具有该产品应有的色泽</w:t>
            </w:r>
          </w:p>
        </w:tc>
        <w:tc>
          <w:tcPr>
            <w:tcW w:w="5380" w:type="dxa"/>
            <w:vMerge w:val="restart"/>
            <w:vAlign w:val="center"/>
          </w:tcPr>
          <w:p>
            <w:pPr>
              <w:pStyle w:val="20"/>
              <w:ind w:firstLine="0" w:firstLineChars="0"/>
              <w:jc w:val="left"/>
              <w:rPr>
                <w:rFonts w:hAnsi="宋体" w:cs="宋体"/>
                <w:sz w:val="18"/>
                <w:szCs w:val="18"/>
                <w:lang w:eastAsia="zh-Hans"/>
              </w:rPr>
            </w:pPr>
            <w:r>
              <w:rPr>
                <w:rFonts w:hint="eastAsia" w:hAnsi="宋体" w:cs="宋体"/>
                <w:sz w:val="18"/>
                <w:szCs w:val="18"/>
              </w:rPr>
              <w:t>液体饮料</w:t>
            </w:r>
            <w:r>
              <w:rPr>
                <w:rFonts w:hint="eastAsia" w:hAnsi="宋体" w:cs="宋体"/>
                <w:sz w:val="18"/>
                <w:szCs w:val="18"/>
                <w:lang w:eastAsia="zh-Hans"/>
              </w:rPr>
              <w:t>：</w:t>
            </w:r>
            <w:r>
              <w:rPr>
                <w:rFonts w:hAnsi="宋体" w:cs="宋体"/>
                <w:sz w:val="18"/>
                <w:szCs w:val="18"/>
              </w:rPr>
              <w:t>取约 50 ml混合均匀的被测样品置于无色透明的容器中</w:t>
            </w:r>
            <w:r>
              <w:rPr>
                <w:rFonts w:hint="eastAsia" w:hAnsi="宋体" w:cs="宋体"/>
                <w:sz w:val="18"/>
                <w:szCs w:val="18"/>
                <w:lang w:eastAsia="zh-Hans"/>
              </w:rPr>
              <w:t>，</w:t>
            </w:r>
            <w:r>
              <w:rPr>
                <w:rFonts w:hAnsi="宋体" w:cs="宋体"/>
                <w:sz w:val="18"/>
                <w:szCs w:val="18"/>
              </w:rPr>
              <w:t>在自然光下观察色泽</w:t>
            </w:r>
            <w:r>
              <w:rPr>
                <w:rFonts w:hint="eastAsia" w:hAnsi="宋体" w:cs="宋体"/>
                <w:sz w:val="18"/>
                <w:szCs w:val="18"/>
                <w:lang w:eastAsia="zh-Hans"/>
              </w:rPr>
              <w:t>，</w:t>
            </w:r>
            <w:r>
              <w:rPr>
                <w:rFonts w:hAnsi="宋体" w:cs="宋体"/>
                <w:sz w:val="18"/>
                <w:szCs w:val="18"/>
              </w:rPr>
              <w:t>鉴别气味</w:t>
            </w:r>
            <w:r>
              <w:rPr>
                <w:rFonts w:hint="eastAsia" w:hAnsi="宋体" w:cs="宋体"/>
                <w:sz w:val="18"/>
                <w:szCs w:val="18"/>
                <w:lang w:eastAsia="zh-Hans"/>
              </w:rPr>
              <w:t>，</w:t>
            </w:r>
            <w:r>
              <w:rPr>
                <w:rFonts w:hAnsi="宋体" w:cs="宋体"/>
                <w:sz w:val="18"/>
                <w:szCs w:val="18"/>
              </w:rPr>
              <w:t>用温开水</w:t>
            </w:r>
            <w:r>
              <w:rPr>
                <w:rFonts w:hint="eastAsia" w:hAnsi="宋体" w:cs="宋体"/>
                <w:sz w:val="18"/>
                <w:szCs w:val="18"/>
              </w:rPr>
              <w:t>漱口</w:t>
            </w:r>
            <w:r>
              <w:rPr>
                <w:rFonts w:hint="eastAsia" w:hAnsi="宋体" w:cs="宋体"/>
                <w:sz w:val="18"/>
                <w:szCs w:val="18"/>
                <w:lang w:eastAsia="zh-Hans"/>
              </w:rPr>
              <w:t>，</w:t>
            </w:r>
            <w:r>
              <w:rPr>
                <w:rFonts w:hAnsi="宋体" w:cs="宋体"/>
                <w:sz w:val="18"/>
                <w:szCs w:val="18"/>
              </w:rPr>
              <w:t>品尝滋味</w:t>
            </w:r>
            <w:r>
              <w:rPr>
                <w:rFonts w:hint="eastAsia" w:hAnsi="宋体" w:cs="宋体"/>
                <w:sz w:val="18"/>
                <w:szCs w:val="18"/>
                <w:lang w:eastAsia="zh-Hans"/>
              </w:rPr>
              <w:t>，</w:t>
            </w:r>
            <w:r>
              <w:rPr>
                <w:rFonts w:hAnsi="宋体" w:cs="宋体"/>
                <w:sz w:val="18"/>
                <w:szCs w:val="18"/>
              </w:rPr>
              <w:t>检查其有无外来异物</w:t>
            </w:r>
            <w:r>
              <w:rPr>
                <w:rFonts w:hint="eastAsia" w:hAnsi="宋体" w:cs="宋体"/>
                <w:sz w:val="18"/>
                <w:szCs w:val="18"/>
                <w:lang w:eastAsia="zh-Hans"/>
              </w:rPr>
              <w:t>。</w:t>
            </w:r>
            <w:r>
              <w:rPr>
                <w:rFonts w:hAnsi="宋体" w:cs="宋体"/>
                <w:sz w:val="18"/>
                <w:szCs w:val="18"/>
              </w:rPr>
              <w:t xml:space="preserve">                                               </w:t>
            </w:r>
            <w:r>
              <w:rPr>
                <w:rFonts w:hint="eastAsia" w:hAnsi="宋体" w:cs="宋体"/>
                <w:sz w:val="18"/>
                <w:szCs w:val="18"/>
              </w:rPr>
              <w:t>固体饮料</w:t>
            </w:r>
            <w:r>
              <w:rPr>
                <w:rFonts w:hint="eastAsia" w:hAnsi="宋体" w:cs="宋体"/>
                <w:sz w:val="18"/>
                <w:szCs w:val="18"/>
                <w:lang w:eastAsia="zh-Hans"/>
              </w:rPr>
              <w:t>：</w:t>
            </w:r>
            <w:r>
              <w:rPr>
                <w:rFonts w:hAnsi="宋体" w:cs="宋体"/>
                <w:sz w:val="18"/>
                <w:szCs w:val="18"/>
              </w:rPr>
              <w:t xml:space="preserve">取 5 g </w:t>
            </w:r>
            <w:r>
              <w:rPr>
                <w:rFonts w:hint="eastAsia" w:hAnsi="宋体" w:cs="宋体"/>
                <w:sz w:val="18"/>
                <w:szCs w:val="18"/>
              </w:rPr>
              <w:t>左右的被测样品置于洁净的白色瓷盘中在自然光线下观察其色泽和外观形态</w:t>
            </w:r>
            <w:r>
              <w:rPr>
                <w:rFonts w:hint="eastAsia" w:hAnsi="宋体" w:cs="宋体"/>
                <w:sz w:val="18"/>
                <w:szCs w:val="18"/>
                <w:lang w:eastAsia="zh-Hans"/>
              </w:rPr>
              <w:t>；</w:t>
            </w:r>
            <w:r>
              <w:rPr>
                <w:rFonts w:hAnsi="宋体" w:cs="宋体"/>
                <w:sz w:val="18"/>
                <w:szCs w:val="18"/>
              </w:rPr>
              <w:t>按标签标示的冲调方法制备样品</w:t>
            </w:r>
            <w:r>
              <w:rPr>
                <w:rFonts w:hint="eastAsia" w:hAnsi="宋体" w:cs="宋体"/>
                <w:sz w:val="18"/>
                <w:szCs w:val="18"/>
                <w:lang w:eastAsia="zh-Hans"/>
              </w:rPr>
              <w:t>，</w:t>
            </w:r>
            <w:r>
              <w:rPr>
                <w:rFonts w:hAnsi="宋体" w:cs="宋体"/>
                <w:sz w:val="18"/>
                <w:szCs w:val="18"/>
              </w:rPr>
              <w:t>倒入无色透明的容器中</w:t>
            </w:r>
            <w:r>
              <w:rPr>
                <w:rFonts w:hint="eastAsia" w:hAnsi="宋体" w:cs="宋体"/>
                <w:sz w:val="18"/>
                <w:szCs w:val="18"/>
                <w:lang w:eastAsia="zh-Hans"/>
              </w:rPr>
              <w:t>，</w:t>
            </w:r>
            <w:r>
              <w:rPr>
                <w:rFonts w:hAnsi="宋体" w:cs="宋体"/>
                <w:sz w:val="18"/>
                <w:szCs w:val="18"/>
              </w:rPr>
              <w:t>在自然光下观察色泽</w:t>
            </w:r>
            <w:r>
              <w:rPr>
                <w:rFonts w:hint="eastAsia" w:hAnsi="宋体" w:cs="宋体"/>
                <w:sz w:val="18"/>
                <w:szCs w:val="18"/>
                <w:lang w:eastAsia="zh-Hans"/>
              </w:rPr>
              <w:t>，</w:t>
            </w:r>
            <w:r>
              <w:rPr>
                <w:rFonts w:hAnsi="宋体" w:cs="宋体"/>
                <w:sz w:val="18"/>
                <w:szCs w:val="18"/>
              </w:rPr>
              <w:t>鉴别气味</w:t>
            </w:r>
            <w:r>
              <w:rPr>
                <w:rFonts w:hint="eastAsia" w:hAnsi="宋体" w:cs="宋体"/>
                <w:sz w:val="18"/>
                <w:szCs w:val="18"/>
                <w:lang w:eastAsia="zh-Hans"/>
              </w:rPr>
              <w:t>，</w:t>
            </w:r>
            <w:r>
              <w:rPr>
                <w:rFonts w:hAnsi="宋体" w:cs="宋体"/>
                <w:sz w:val="18"/>
                <w:szCs w:val="18"/>
              </w:rPr>
              <w:t>用温开水漱口</w:t>
            </w:r>
            <w:r>
              <w:rPr>
                <w:rFonts w:hint="eastAsia" w:hAnsi="宋体" w:cs="宋体"/>
                <w:sz w:val="18"/>
                <w:szCs w:val="18"/>
                <w:lang w:eastAsia="zh-Hans"/>
              </w:rPr>
              <w:t>，</w:t>
            </w:r>
            <w:r>
              <w:rPr>
                <w:rFonts w:hAnsi="宋体" w:cs="宋体"/>
                <w:sz w:val="18"/>
                <w:szCs w:val="18"/>
              </w:rPr>
              <w:t>品尝滋味</w:t>
            </w:r>
            <w:r>
              <w:rPr>
                <w:rFonts w:hint="eastAsia" w:hAnsi="宋体" w:cs="宋体"/>
                <w:sz w:val="18"/>
                <w:szCs w:val="18"/>
                <w:lang w:eastAsia="zh-Hans"/>
              </w:rPr>
              <w:t>，</w:t>
            </w:r>
            <w:r>
              <w:rPr>
                <w:rFonts w:hAnsi="宋体" w:cs="宋体"/>
                <w:sz w:val="18"/>
                <w:szCs w:val="18"/>
              </w:rPr>
              <w:t>检查其有无外来异物</w:t>
            </w:r>
            <w:r>
              <w:rPr>
                <w:rFonts w:hint="eastAsia" w:hAnsi="宋体" w:cs="宋体"/>
                <w:sz w:val="18"/>
                <w:szCs w:val="1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3" w:type="dxa"/>
            <w:vAlign w:val="center"/>
          </w:tcPr>
          <w:p>
            <w:pPr>
              <w:pStyle w:val="20"/>
              <w:ind w:firstLine="0" w:firstLineChars="0"/>
              <w:jc w:val="center"/>
              <w:rPr>
                <w:rFonts w:hAnsi="宋体" w:cs="宋体"/>
                <w:sz w:val="18"/>
                <w:szCs w:val="18"/>
              </w:rPr>
            </w:pPr>
            <w:r>
              <w:rPr>
                <w:rFonts w:hint="eastAsia" w:hAnsi="宋体" w:cs="宋体"/>
                <w:sz w:val="18"/>
                <w:szCs w:val="18"/>
              </w:rPr>
              <w:t>滋味、气味</w:t>
            </w:r>
          </w:p>
        </w:tc>
        <w:tc>
          <w:tcPr>
            <w:tcW w:w="2551" w:type="dxa"/>
            <w:vAlign w:val="center"/>
          </w:tcPr>
          <w:p>
            <w:pPr>
              <w:pStyle w:val="20"/>
              <w:ind w:firstLine="0" w:firstLineChars="0"/>
              <w:jc w:val="left"/>
              <w:rPr>
                <w:rFonts w:hAnsi="宋体" w:cs="宋体"/>
                <w:sz w:val="18"/>
                <w:szCs w:val="18"/>
              </w:rPr>
            </w:pPr>
            <w:r>
              <w:rPr>
                <w:rFonts w:hint="eastAsia" w:hAnsi="宋体" w:cs="宋体"/>
                <w:sz w:val="18"/>
                <w:szCs w:val="18"/>
              </w:rPr>
              <w:t>具有该产品应有的滋味、气味，无异味、无异嗅</w:t>
            </w:r>
          </w:p>
        </w:tc>
        <w:tc>
          <w:tcPr>
            <w:tcW w:w="5380" w:type="dxa"/>
            <w:vMerge w:val="continue"/>
            <w:vAlign w:val="center"/>
          </w:tcPr>
          <w:p>
            <w:pPr>
              <w:pStyle w:val="20"/>
              <w:ind w:firstLine="0" w:firstLineChars="0"/>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413" w:type="dxa"/>
            <w:vAlign w:val="center"/>
          </w:tcPr>
          <w:p>
            <w:pPr>
              <w:pStyle w:val="20"/>
              <w:ind w:firstLine="0" w:firstLineChars="0"/>
              <w:jc w:val="center"/>
              <w:rPr>
                <w:rFonts w:hAnsi="宋体" w:cs="宋体"/>
                <w:sz w:val="18"/>
                <w:szCs w:val="18"/>
              </w:rPr>
            </w:pPr>
            <w:r>
              <w:rPr>
                <w:rFonts w:hint="eastAsia" w:hAnsi="宋体" w:cs="宋体"/>
                <w:sz w:val="18"/>
                <w:szCs w:val="18"/>
              </w:rPr>
              <w:t>组织状态</w:t>
            </w:r>
          </w:p>
        </w:tc>
        <w:tc>
          <w:tcPr>
            <w:tcW w:w="2551" w:type="dxa"/>
            <w:vAlign w:val="center"/>
          </w:tcPr>
          <w:p>
            <w:pPr>
              <w:pStyle w:val="20"/>
              <w:ind w:firstLine="0" w:firstLineChars="0"/>
              <w:jc w:val="left"/>
              <w:rPr>
                <w:rFonts w:hAnsi="宋体" w:cs="宋体"/>
                <w:sz w:val="18"/>
                <w:szCs w:val="18"/>
              </w:rPr>
            </w:pPr>
            <w:r>
              <w:rPr>
                <w:rFonts w:hint="eastAsia" w:hAnsi="宋体" w:cs="宋体"/>
                <w:sz w:val="18"/>
                <w:szCs w:val="18"/>
              </w:rPr>
              <w:t>具有该产品应有的状态，允许有少量沉淀，无正常视力可见外来杂质、异物</w:t>
            </w:r>
          </w:p>
        </w:tc>
        <w:tc>
          <w:tcPr>
            <w:tcW w:w="5380" w:type="dxa"/>
            <w:vMerge w:val="continue"/>
            <w:vAlign w:val="center"/>
          </w:tcPr>
          <w:p>
            <w:pPr>
              <w:pStyle w:val="20"/>
              <w:ind w:firstLine="0" w:firstLineChars="0"/>
              <w:jc w:val="center"/>
              <w:rPr>
                <w:rFonts w:hAnsi="宋体" w:cs="宋体"/>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eastAsia="黑体" w:cs="黑体"/>
        </w:rPr>
      </w:pPr>
      <w:r>
        <w:rPr>
          <w:rFonts w:hint="eastAsia" w:ascii="黑体" w:hAnsi="黑体" w:eastAsia="黑体" w:cs="黑体"/>
          <w:color w:val="000000"/>
        </w:rPr>
        <w:t xml:space="preserve">4.3 </w:t>
      </w:r>
      <w:r>
        <w:rPr>
          <w:rFonts w:hint="eastAsia" w:ascii="黑体" w:hAnsi="黑体" w:eastAsia="黑体" w:cs="黑体"/>
        </w:rPr>
        <w:t>理化指标</w:t>
      </w:r>
    </w:p>
    <w:p>
      <w:pPr>
        <w:pStyle w:val="29"/>
        <w:numPr>
          <w:ilvl w:val="0"/>
          <w:numId w:val="0"/>
        </w:numPr>
        <w:spacing w:before="157" w:after="157"/>
        <w:ind w:firstLine="420" w:firstLineChars="200"/>
        <w:outlineLvl w:val="9"/>
        <w:rPr>
          <w:rFonts w:hAnsi="黑体" w:cs="黑体"/>
        </w:rPr>
      </w:pPr>
      <w:r>
        <w:rPr>
          <w:rFonts w:hint="eastAsia" w:ascii="宋体" w:hAnsi="宋体" w:eastAsia="宋体" w:cs="宋体"/>
        </w:rPr>
        <w:t>理化指标</w:t>
      </w:r>
      <w:r>
        <w:rPr>
          <w:rFonts w:ascii="宋体" w:hAnsi="宋体" w:eastAsia="宋体" w:cs="宋体"/>
        </w:rPr>
        <w:t>应符合表</w:t>
      </w:r>
      <w:r>
        <w:rPr>
          <w:rFonts w:hint="eastAsia" w:ascii="宋体" w:hAnsi="宋体" w:eastAsia="宋体" w:cs="宋体"/>
        </w:rPr>
        <w:t>2</w:t>
      </w:r>
      <w:r>
        <w:rPr>
          <w:rFonts w:ascii="宋体" w:hAnsi="宋体" w:eastAsia="宋体" w:cs="宋体"/>
        </w:rPr>
        <w:t>规定</w:t>
      </w:r>
      <w:r>
        <w:rPr>
          <w:rFonts w:hint="eastAsia" w:ascii="宋体" w:hAnsi="宋体" w:eastAsia="宋体" w:cs="宋体"/>
        </w:rPr>
        <w:t>。</w:t>
      </w:r>
      <w:r>
        <w:rPr>
          <w:rFonts w:ascii="宋体" w:hAnsi="宋体" w:eastAsia="宋体" w:cs="宋体"/>
        </w:rPr>
        <w:br w:type="textWrapping"/>
      </w:r>
      <w:r>
        <w:rPr>
          <w:rFonts w:hint="eastAsia" w:hAnsi="黑体" w:cs="黑体"/>
        </w:rPr>
        <w:t xml:space="preserve">  </w:t>
      </w:r>
      <w:r>
        <w:rPr>
          <w:rFonts w:hAnsi="黑体" w:cs="黑体"/>
        </w:rPr>
        <w:t xml:space="preserve">                               </w:t>
      </w:r>
      <w:r>
        <w:rPr>
          <w:rFonts w:hint="eastAsia" w:hAnsi="黑体" w:cs="黑体"/>
        </w:rPr>
        <w:t xml:space="preserve">  表2</w:t>
      </w:r>
      <w:r>
        <w:rPr>
          <w:rFonts w:hint="eastAsia" w:hAnsi="黑体" w:cs="黑体"/>
          <w:lang w:val="en-US" w:eastAsia="zh-CN"/>
        </w:rPr>
        <w:t xml:space="preserve"> </w:t>
      </w:r>
      <w:r>
        <w:rPr>
          <w:rFonts w:hint="eastAsia" w:hAnsi="黑体" w:cs="黑体"/>
        </w:rPr>
        <w:t>理化指标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8"/>
        <w:gridCol w:w="2113"/>
        <w:gridCol w:w="4077"/>
        <w:tblGridChange w:id="0">
          <w:tblGrid>
            <w:gridCol w:w="3098"/>
            <w:gridCol w:w="16"/>
            <w:gridCol w:w="2097"/>
            <w:gridCol w:w="29"/>
            <w:gridCol w:w="4048"/>
            <w:gridCol w:w="5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114" w:type="dxa"/>
            <w:vAlign w:val="center"/>
          </w:tcPr>
          <w:p>
            <w:pPr>
              <w:pStyle w:val="29"/>
              <w:numPr>
                <w:ilvl w:val="0"/>
                <w:numId w:val="0"/>
              </w:numPr>
              <w:spacing w:before="0" w:beforeLines="0" w:after="0" w:afterLines="0"/>
              <w:jc w:val="center"/>
              <w:outlineLvl w:val="9"/>
              <w:rPr>
                <w:rFonts w:ascii="宋体" w:hAnsi="宋体" w:eastAsia="宋体" w:cs="宋体"/>
                <w:sz w:val="18"/>
                <w:szCs w:val="18"/>
              </w:rPr>
            </w:pPr>
            <w:r>
              <w:rPr>
                <w:rFonts w:hint="eastAsia" w:ascii="宋体" w:hAnsi="宋体" w:eastAsia="宋体" w:cs="宋体"/>
                <w:sz w:val="18"/>
                <w:szCs w:val="18"/>
              </w:rPr>
              <w:t>项目</w:t>
            </w:r>
          </w:p>
        </w:tc>
        <w:tc>
          <w:tcPr>
            <w:tcW w:w="2126" w:type="dxa"/>
            <w:vAlign w:val="center"/>
          </w:tcPr>
          <w:p>
            <w:pPr>
              <w:pStyle w:val="29"/>
              <w:numPr>
                <w:ilvl w:val="0"/>
                <w:numId w:val="0"/>
              </w:numPr>
              <w:spacing w:before="0" w:beforeLines="0" w:after="0" w:afterLines="0"/>
              <w:jc w:val="center"/>
              <w:outlineLvl w:val="9"/>
              <w:rPr>
                <w:rFonts w:ascii="宋体" w:hAnsi="宋体" w:eastAsia="宋体" w:cs="宋体"/>
                <w:sz w:val="18"/>
                <w:szCs w:val="18"/>
              </w:rPr>
            </w:pPr>
            <w:r>
              <w:rPr>
                <w:rFonts w:hint="eastAsia" w:ascii="宋体" w:hAnsi="宋体" w:eastAsia="宋体" w:cs="宋体"/>
                <w:sz w:val="18"/>
                <w:szCs w:val="18"/>
              </w:rPr>
              <w:t>指标</w:t>
            </w:r>
          </w:p>
        </w:tc>
        <w:tc>
          <w:tcPr>
            <w:tcW w:w="4104" w:type="dxa"/>
            <w:vAlign w:val="center"/>
          </w:tcPr>
          <w:p>
            <w:pPr>
              <w:pStyle w:val="29"/>
              <w:numPr>
                <w:ilvl w:val="0"/>
                <w:numId w:val="0"/>
              </w:numPr>
              <w:spacing w:before="0" w:beforeLines="0" w:after="0" w:afterLines="0"/>
              <w:jc w:val="center"/>
              <w:outlineLvl w:val="9"/>
              <w:rPr>
                <w:rFonts w:ascii="宋体" w:hAnsi="宋体" w:eastAsia="宋体" w:cs="宋体"/>
                <w:sz w:val="18"/>
                <w:szCs w:val="18"/>
              </w:rPr>
            </w:pPr>
            <w:r>
              <w:rPr>
                <w:rFonts w:hint="eastAsia" w:ascii="宋体" w:hAnsi="宋体" w:eastAsia="宋体" w:cs="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4" w:type="dxa"/>
            <w:vAlign w:val="center"/>
          </w:tcPr>
          <w:p>
            <w:pPr>
              <w:pStyle w:val="29"/>
              <w:numPr>
                <w:ilvl w:val="0"/>
                <w:numId w:val="0"/>
              </w:numPr>
              <w:spacing w:before="0" w:beforeLines="0" w:after="0" w:afterLines="0"/>
              <w:jc w:val="left"/>
              <w:outlineLvl w:val="9"/>
              <w:rPr>
                <w:rFonts w:ascii="宋体" w:hAnsi="宋体" w:eastAsia="宋体" w:cs="宋体"/>
                <w:sz w:val="18"/>
                <w:szCs w:val="18"/>
                <w:vertAlign w:val="superscript"/>
              </w:rPr>
            </w:pPr>
            <w:r>
              <w:rPr>
                <w:rFonts w:hint="eastAsia" w:ascii="宋体" w:hAnsi="宋体" w:eastAsia="宋体" w:cs="宋体"/>
                <w:sz w:val="18"/>
                <w:szCs w:val="18"/>
              </w:rPr>
              <w:t>总氮（以干基计）</w:t>
            </w:r>
            <w:r>
              <w:rPr>
                <w:rFonts w:ascii="宋体" w:hAnsi="宋体" w:eastAsia="宋体" w:cs="宋体"/>
                <w:sz w:val="18"/>
                <w:szCs w:val="18"/>
              </w:rPr>
              <w:t>(g/100g）</w:t>
            </w:r>
            <w:r>
              <w:rPr>
                <w:rFonts w:hint="eastAsia" w:ascii="宋体" w:hAnsi="宋体" w:eastAsia="宋体" w:cs="宋体"/>
                <w:sz w:val="18"/>
                <w:szCs w:val="18"/>
                <w:vertAlign w:val="superscript"/>
              </w:rPr>
              <w:t>a</w:t>
            </w:r>
          </w:p>
        </w:tc>
        <w:tc>
          <w:tcPr>
            <w:tcW w:w="2126" w:type="dxa"/>
            <w:vAlign w:val="center"/>
          </w:tcPr>
          <w:p>
            <w:pPr>
              <w:pStyle w:val="29"/>
              <w:numPr>
                <w:ilvl w:val="0"/>
                <w:numId w:val="0"/>
              </w:numPr>
              <w:spacing w:before="0" w:beforeLines="0" w:after="0" w:afterLines="0"/>
              <w:jc w:val="center"/>
              <w:outlineLvl w:val="9"/>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5</w:t>
            </w:r>
          </w:p>
        </w:tc>
        <w:tc>
          <w:tcPr>
            <w:tcW w:w="4104" w:type="dxa"/>
            <w:vMerge w:val="restart"/>
            <w:vAlign w:val="center"/>
          </w:tcPr>
          <w:p>
            <w:pPr>
              <w:pStyle w:val="29"/>
              <w:numPr>
                <w:ilvl w:val="0"/>
                <w:numId w:val="0"/>
              </w:numPr>
              <w:spacing w:before="0" w:beforeLines="0" w:after="0" w:afterLines="0"/>
              <w:jc w:val="left"/>
              <w:outlineLvl w:val="9"/>
              <w:rPr>
                <w:rFonts w:ascii="宋体" w:hAnsi="宋体" w:eastAsia="宋体" w:cs="宋体"/>
                <w:sz w:val="18"/>
                <w:szCs w:val="18"/>
              </w:rPr>
            </w:pPr>
            <w:r>
              <w:rPr>
                <w:rFonts w:ascii="宋体" w:hAnsi="宋体" w:eastAsia="宋体" w:cs="宋体"/>
                <w:sz w:val="18"/>
                <w:szCs w:val="18"/>
              </w:rPr>
              <w:t>按GB 5009.5规定的方法测定。测定结果不进行蛋白质系数换算，以总氮质量分数表示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4" w:type="dxa"/>
            <w:vAlign w:val="center"/>
          </w:tcPr>
          <w:p>
            <w:pPr>
              <w:pStyle w:val="29"/>
              <w:numPr>
                <w:ilvl w:val="0"/>
                <w:numId w:val="0"/>
              </w:numPr>
              <w:spacing w:before="0" w:beforeLines="0" w:after="0" w:afterLines="0"/>
              <w:ind w:firstLine="0" w:firstLineChars="0"/>
              <w:jc w:val="left"/>
              <w:outlineLvl w:val="9"/>
              <w:rPr>
                <w:rFonts w:ascii="宋体" w:hAnsi="宋体" w:eastAsia="宋体" w:cs="宋体"/>
                <w:sz w:val="18"/>
                <w:szCs w:val="18"/>
              </w:rPr>
            </w:pPr>
            <w:r>
              <w:rPr>
                <w:rFonts w:hint="eastAsia" w:ascii="宋体" w:hAnsi="宋体" w:eastAsia="宋体" w:cs="宋体"/>
                <w:sz w:val="18"/>
                <w:szCs w:val="18"/>
              </w:rPr>
              <w:t>总氮</w:t>
            </w:r>
            <w:r>
              <w:rPr>
                <w:rFonts w:ascii="宋体" w:hAnsi="宋体" w:eastAsia="宋体" w:cs="宋体"/>
                <w:sz w:val="18"/>
                <w:szCs w:val="18"/>
              </w:rPr>
              <w:t>(g/100ml）</w:t>
            </w:r>
            <w:r>
              <w:rPr>
                <w:rFonts w:hint="eastAsia" w:ascii="宋体" w:hAnsi="宋体" w:eastAsia="宋体" w:cs="宋体"/>
                <w:sz w:val="18"/>
                <w:szCs w:val="18"/>
                <w:vertAlign w:val="superscript"/>
              </w:rPr>
              <w:t>b</w:t>
            </w:r>
          </w:p>
        </w:tc>
        <w:tc>
          <w:tcPr>
            <w:tcW w:w="2126" w:type="dxa"/>
            <w:vAlign w:val="center"/>
          </w:tcPr>
          <w:p>
            <w:pPr>
              <w:pStyle w:val="29"/>
              <w:numPr>
                <w:ilvl w:val="0"/>
                <w:numId w:val="0"/>
              </w:numPr>
              <w:spacing w:before="0" w:beforeLines="0" w:after="0" w:afterLines="0"/>
              <w:jc w:val="center"/>
              <w:outlineLvl w:val="9"/>
              <w:rPr>
                <w:rFonts w:ascii="宋体" w:hAnsi="宋体" w:eastAsia="宋体" w:cs="宋体"/>
                <w:sz w:val="18"/>
                <w:szCs w:val="18"/>
              </w:rPr>
            </w:pPr>
            <w:r>
              <w:rPr>
                <w:rFonts w:hint="eastAsia" w:ascii="宋体" w:hAnsi="宋体" w:eastAsia="宋体" w:cs="宋体"/>
                <w:sz w:val="18"/>
                <w:szCs w:val="18"/>
              </w:rPr>
              <w:t>≥</w:t>
            </w:r>
            <w:r>
              <w:rPr>
                <w:rFonts w:ascii="宋体" w:hAnsi="宋体" w:eastAsia="宋体" w:cs="宋体"/>
                <w:sz w:val="18"/>
                <w:szCs w:val="18"/>
              </w:rPr>
              <w:t>0.</w:t>
            </w:r>
            <w:r>
              <w:rPr>
                <w:rFonts w:hint="eastAsia" w:ascii="宋体" w:hAnsi="宋体" w:eastAsia="宋体" w:cs="宋体"/>
                <w:sz w:val="18"/>
                <w:szCs w:val="18"/>
              </w:rPr>
              <w:t>3</w:t>
            </w:r>
          </w:p>
        </w:tc>
        <w:tc>
          <w:tcPr>
            <w:tcW w:w="4104" w:type="dxa"/>
            <w:vMerge w:val="continue"/>
            <w:vAlign w:val="center"/>
          </w:tcPr>
          <w:p>
            <w:pPr>
              <w:pStyle w:val="29"/>
              <w:numPr>
                <w:ilvl w:val="0"/>
                <w:numId w:val="0"/>
              </w:numPr>
              <w:spacing w:before="0" w:beforeLines="0" w:after="0" w:afterLines="0"/>
              <w:jc w:val="left"/>
              <w:outlineLvl w:val="9"/>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4" w:type="dxa"/>
            <w:vAlign w:val="center"/>
          </w:tcPr>
          <w:p>
            <w:pPr>
              <w:pStyle w:val="29"/>
              <w:numPr>
                <w:ilvl w:val="0"/>
                <w:numId w:val="0"/>
              </w:numPr>
              <w:spacing w:before="0" w:beforeLines="0" w:after="0" w:afterLines="0"/>
              <w:ind w:firstLine="0" w:firstLineChars="0"/>
              <w:jc w:val="left"/>
              <w:outlineLvl w:val="9"/>
              <w:rPr>
                <w:rFonts w:ascii="宋体" w:hAnsi="宋体" w:eastAsia="宋体" w:cs="宋体"/>
                <w:sz w:val="18"/>
                <w:szCs w:val="18"/>
              </w:rPr>
            </w:pPr>
            <w:r>
              <w:rPr>
                <w:rFonts w:hint="eastAsia" w:ascii="宋体" w:hAnsi="宋体" w:eastAsia="宋体" w:cs="宋体"/>
                <w:sz w:val="18"/>
                <w:szCs w:val="18"/>
              </w:rPr>
              <w:t>羟脯氨酸（</w:t>
            </w:r>
            <w:r>
              <w:rPr>
                <w:rFonts w:ascii="宋体" w:hAnsi="宋体" w:eastAsia="宋体" w:cs="宋体"/>
                <w:sz w:val="18"/>
                <w:szCs w:val="18"/>
              </w:rPr>
              <w:t>g/100g）</w:t>
            </w:r>
            <w:r>
              <w:rPr>
                <w:rFonts w:hint="eastAsia" w:ascii="宋体" w:hAnsi="宋体" w:eastAsia="宋体" w:cs="宋体"/>
                <w:sz w:val="18"/>
                <w:szCs w:val="18"/>
                <w:vertAlign w:val="superscript"/>
              </w:rPr>
              <w:t>a</w:t>
            </w:r>
          </w:p>
        </w:tc>
        <w:tc>
          <w:tcPr>
            <w:tcW w:w="2126" w:type="dxa"/>
            <w:vAlign w:val="center"/>
          </w:tcPr>
          <w:p>
            <w:pPr>
              <w:pStyle w:val="29"/>
              <w:numPr>
                <w:ilvl w:val="0"/>
                <w:numId w:val="0"/>
              </w:numPr>
              <w:spacing w:before="0" w:beforeLines="0" w:after="0" w:afterLines="0"/>
              <w:jc w:val="center"/>
              <w:outlineLvl w:val="9"/>
              <w:rPr>
                <w:rFonts w:ascii="宋体" w:hAnsi="宋体" w:eastAsia="宋体" w:cs="宋体"/>
                <w:sz w:val="18"/>
                <w:szCs w:val="18"/>
              </w:rPr>
            </w:pPr>
            <w:r>
              <w:rPr>
                <w:rFonts w:hint="eastAsia" w:ascii="宋体" w:hAnsi="宋体" w:eastAsia="宋体" w:cs="宋体"/>
                <w:sz w:val="18"/>
                <w:szCs w:val="18"/>
              </w:rPr>
              <w:t>≥</w:t>
            </w:r>
            <w:r>
              <w:rPr>
                <w:rFonts w:ascii="宋体" w:hAnsi="宋体" w:eastAsia="宋体" w:cs="宋体"/>
                <w:sz w:val="18"/>
                <w:szCs w:val="18"/>
              </w:rPr>
              <w:t>0.3</w:t>
            </w:r>
          </w:p>
        </w:tc>
        <w:tc>
          <w:tcPr>
            <w:tcW w:w="4104" w:type="dxa"/>
            <w:vMerge w:val="restart"/>
            <w:vAlign w:val="center"/>
          </w:tcPr>
          <w:p>
            <w:pPr>
              <w:pStyle w:val="29"/>
              <w:numPr>
                <w:ilvl w:val="0"/>
                <w:numId w:val="0"/>
              </w:numPr>
              <w:spacing w:before="0" w:beforeLines="0" w:after="0" w:afterLines="0"/>
              <w:jc w:val="left"/>
              <w:outlineLvl w:val="9"/>
              <w:rPr>
                <w:rFonts w:ascii="宋体" w:hAnsi="宋体" w:eastAsia="宋体" w:cs="宋体"/>
                <w:sz w:val="18"/>
                <w:szCs w:val="18"/>
              </w:rPr>
            </w:pPr>
            <w:r>
              <w:rPr>
                <w:rFonts w:ascii="宋体" w:hAnsi="宋体" w:eastAsia="宋体" w:cs="宋体"/>
                <w:sz w:val="18"/>
                <w:szCs w:val="18"/>
              </w:rPr>
              <w:t>按GB/T 9695.23规定的方法测定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4" w:type="dxa"/>
            <w:vAlign w:val="center"/>
          </w:tcPr>
          <w:p>
            <w:pPr>
              <w:pStyle w:val="29"/>
              <w:numPr>
                <w:ilvl w:val="0"/>
                <w:numId w:val="0"/>
              </w:numPr>
              <w:spacing w:before="0" w:beforeLines="0" w:after="0" w:afterLines="0"/>
              <w:ind w:firstLine="0" w:firstLineChars="0"/>
              <w:jc w:val="left"/>
              <w:outlineLvl w:val="9"/>
              <w:rPr>
                <w:rFonts w:ascii="宋体" w:hAnsi="宋体" w:eastAsia="宋体" w:cs="宋体"/>
                <w:sz w:val="18"/>
                <w:szCs w:val="18"/>
              </w:rPr>
            </w:pPr>
            <w:r>
              <w:rPr>
                <w:rFonts w:hint="eastAsia" w:ascii="宋体" w:hAnsi="宋体" w:eastAsia="宋体" w:cs="宋体"/>
                <w:sz w:val="18"/>
                <w:szCs w:val="18"/>
              </w:rPr>
              <w:t>羟脯氨酸（</w:t>
            </w:r>
            <w:r>
              <w:rPr>
                <w:rFonts w:ascii="宋体" w:hAnsi="宋体" w:eastAsia="宋体" w:cs="宋体"/>
                <w:sz w:val="18"/>
                <w:szCs w:val="18"/>
              </w:rPr>
              <w:t>g/100ml）</w:t>
            </w:r>
            <w:r>
              <w:rPr>
                <w:rFonts w:hint="eastAsia" w:ascii="宋体" w:hAnsi="宋体" w:eastAsia="宋体" w:cs="宋体"/>
                <w:sz w:val="18"/>
                <w:szCs w:val="18"/>
                <w:vertAlign w:val="superscript"/>
              </w:rPr>
              <w:t>b</w:t>
            </w:r>
          </w:p>
        </w:tc>
        <w:tc>
          <w:tcPr>
            <w:tcW w:w="2126" w:type="dxa"/>
            <w:vAlign w:val="center"/>
          </w:tcPr>
          <w:p>
            <w:pPr>
              <w:pStyle w:val="29"/>
              <w:numPr>
                <w:ilvl w:val="0"/>
                <w:numId w:val="0"/>
              </w:numPr>
              <w:spacing w:before="0" w:beforeLines="0" w:after="0" w:afterLines="0"/>
              <w:jc w:val="center"/>
              <w:outlineLvl w:val="9"/>
              <w:rPr>
                <w:rFonts w:ascii="宋体" w:hAnsi="宋体" w:eastAsia="宋体" w:cs="宋体"/>
                <w:sz w:val="18"/>
                <w:szCs w:val="18"/>
              </w:rPr>
            </w:pPr>
            <w:r>
              <w:rPr>
                <w:rFonts w:hint="eastAsia" w:ascii="宋体" w:hAnsi="宋体" w:eastAsia="宋体" w:cs="宋体"/>
                <w:sz w:val="18"/>
                <w:szCs w:val="18"/>
              </w:rPr>
              <w:t>≥</w:t>
            </w:r>
            <w:r>
              <w:rPr>
                <w:rFonts w:ascii="宋体" w:hAnsi="宋体" w:eastAsia="宋体" w:cs="宋体"/>
                <w:sz w:val="18"/>
                <w:szCs w:val="18"/>
              </w:rPr>
              <w:t>0.0</w:t>
            </w:r>
            <w:r>
              <w:rPr>
                <w:rFonts w:hint="eastAsia" w:ascii="宋体" w:hAnsi="宋体" w:eastAsia="宋体" w:cs="宋体"/>
                <w:sz w:val="18"/>
                <w:szCs w:val="18"/>
              </w:rPr>
              <w:t>6</w:t>
            </w:r>
          </w:p>
        </w:tc>
        <w:tc>
          <w:tcPr>
            <w:tcW w:w="4104" w:type="dxa"/>
            <w:vMerge w:val="continue"/>
            <w:vAlign w:val="center"/>
          </w:tcPr>
          <w:p>
            <w:pPr>
              <w:pStyle w:val="29"/>
              <w:numPr>
                <w:ilvl w:val="0"/>
                <w:numId w:val="0"/>
              </w:numPr>
              <w:spacing w:before="0" w:beforeLines="0" w:after="0" w:afterLines="0"/>
              <w:jc w:val="left"/>
              <w:outlineLvl w:val="9"/>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4" w:type="dxa"/>
            <w:vAlign w:val="center"/>
          </w:tcPr>
          <w:p>
            <w:pPr>
              <w:pStyle w:val="29"/>
              <w:numPr>
                <w:ilvl w:val="0"/>
                <w:numId w:val="0"/>
              </w:numPr>
              <w:spacing w:before="0" w:beforeLines="0" w:after="0" w:afterLines="0"/>
              <w:ind w:firstLine="0" w:firstLineChars="0"/>
              <w:jc w:val="left"/>
              <w:outlineLvl w:val="9"/>
              <w:rPr>
                <w:rFonts w:ascii="宋体" w:hAnsi="宋体" w:eastAsia="宋体" w:cs="宋体"/>
                <w:sz w:val="18"/>
                <w:szCs w:val="18"/>
              </w:rPr>
            </w:pPr>
            <w:r>
              <w:rPr>
                <w:rFonts w:hint="eastAsia" w:ascii="宋体" w:hAnsi="宋体" w:eastAsia="宋体" w:cs="宋体"/>
                <w:sz w:val="18"/>
                <w:szCs w:val="18"/>
              </w:rPr>
              <w:t>水分（</w:t>
            </w:r>
            <w:r>
              <w:rPr>
                <w:rFonts w:ascii="宋体" w:hAnsi="宋体" w:eastAsia="宋体" w:cs="宋体"/>
                <w:sz w:val="18"/>
                <w:szCs w:val="18"/>
              </w:rPr>
              <w:t>g/100g）</w:t>
            </w:r>
            <w:r>
              <w:rPr>
                <w:rFonts w:ascii="宋体" w:hAnsi="宋体" w:eastAsia="宋体" w:cs="宋体"/>
                <w:sz w:val="18"/>
                <w:szCs w:val="18"/>
                <w:vertAlign w:val="superscript"/>
              </w:rPr>
              <w:t>c</w:t>
            </w:r>
          </w:p>
        </w:tc>
        <w:tc>
          <w:tcPr>
            <w:tcW w:w="2126" w:type="dxa"/>
            <w:vAlign w:val="center"/>
          </w:tcPr>
          <w:p>
            <w:pPr>
              <w:pStyle w:val="29"/>
              <w:numPr>
                <w:ilvl w:val="0"/>
                <w:numId w:val="0"/>
              </w:numPr>
              <w:spacing w:before="0" w:beforeLines="0" w:after="0" w:afterLines="0"/>
              <w:jc w:val="center"/>
              <w:outlineLvl w:val="9"/>
              <w:rPr>
                <w:rFonts w:ascii="宋体" w:hAnsi="宋体" w:eastAsia="宋体" w:cs="宋体"/>
                <w:sz w:val="18"/>
                <w:szCs w:val="18"/>
              </w:rPr>
            </w:pPr>
            <w:r>
              <w:rPr>
                <w:rFonts w:hint="eastAsia" w:ascii="宋体" w:hAnsi="宋体" w:eastAsia="宋体" w:cs="宋体"/>
                <w:sz w:val="18"/>
                <w:szCs w:val="18"/>
              </w:rPr>
              <w:t>≤7.0</w:t>
            </w:r>
          </w:p>
        </w:tc>
        <w:tc>
          <w:tcPr>
            <w:tcW w:w="4104" w:type="dxa"/>
            <w:vAlign w:val="center"/>
          </w:tcPr>
          <w:p>
            <w:pPr>
              <w:pStyle w:val="29"/>
              <w:numPr>
                <w:ilvl w:val="0"/>
                <w:numId w:val="0"/>
              </w:numPr>
              <w:spacing w:before="0" w:beforeLines="0" w:after="0" w:afterLines="0"/>
              <w:jc w:val="left"/>
              <w:outlineLvl w:val="9"/>
              <w:rPr>
                <w:rFonts w:ascii="宋体" w:hAnsi="宋体" w:eastAsia="宋体" w:cs="宋体"/>
                <w:sz w:val="18"/>
                <w:szCs w:val="18"/>
              </w:rPr>
            </w:pPr>
            <w:r>
              <w:rPr>
                <w:rFonts w:ascii="宋体" w:hAnsi="宋体" w:eastAsia="宋体" w:cs="宋体"/>
                <w:sz w:val="18"/>
                <w:szCs w:val="18"/>
              </w:rPr>
              <w:t>按GB 5009.</w:t>
            </w:r>
            <w:r>
              <w:rPr>
                <w:rFonts w:hint="eastAsia" w:ascii="宋体" w:hAnsi="宋体" w:eastAsia="宋体" w:cs="宋体"/>
                <w:sz w:val="18"/>
                <w:szCs w:val="18"/>
              </w:rPr>
              <w:t>3</w:t>
            </w:r>
            <w:r>
              <w:rPr>
                <w:rFonts w:ascii="宋体" w:hAnsi="宋体" w:eastAsia="宋体" w:cs="宋体"/>
                <w:sz w:val="18"/>
                <w:szCs w:val="18"/>
              </w:rPr>
              <w:t>规定的方法测定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3"/>
            <w:vAlign w:val="center"/>
          </w:tcPr>
          <w:p>
            <w:pPr>
              <w:pStyle w:val="29"/>
              <w:numPr>
                <w:ilvl w:val="0"/>
                <w:numId w:val="0"/>
              </w:numPr>
              <w:spacing w:before="0" w:beforeLines="0" w:after="0" w:afterLines="0"/>
              <w:ind w:left="399" w:leftChars="190" w:firstLine="0" w:firstLineChars="0"/>
              <w:jc w:val="left"/>
              <w:outlineLvl w:val="9"/>
              <w:rPr>
                <w:rFonts w:ascii="宋体" w:hAnsi="宋体" w:eastAsia="宋体" w:cs="宋体"/>
                <w:sz w:val="18"/>
                <w:szCs w:val="18"/>
              </w:rPr>
            </w:pPr>
            <w:r>
              <w:rPr>
                <w:rFonts w:hint="eastAsia" w:ascii="宋体" w:hAnsi="宋体" w:eastAsia="宋体" w:cs="宋体"/>
                <w:sz w:val="18"/>
                <w:szCs w:val="18"/>
                <w:vertAlign w:val="superscript"/>
              </w:rPr>
              <w:t>a</w:t>
            </w:r>
            <w:r>
              <w:rPr>
                <w:rFonts w:hint="eastAsia" w:ascii="宋体" w:hAnsi="宋体" w:eastAsia="宋体" w:cs="宋体"/>
                <w:sz w:val="18"/>
                <w:szCs w:val="18"/>
              </w:rPr>
              <w:t>为固体饮料指标要求；</w:t>
            </w:r>
            <w:r>
              <w:rPr>
                <w:rFonts w:ascii="宋体" w:hAnsi="宋体" w:eastAsia="宋体" w:cs="宋体"/>
                <w:sz w:val="18"/>
                <w:szCs w:val="18"/>
              </w:rPr>
              <w:br w:type="textWrapping"/>
            </w:r>
            <w:r>
              <w:rPr>
                <w:rFonts w:ascii="宋体" w:hAnsi="宋体" w:eastAsia="宋体" w:cs="宋体"/>
                <w:sz w:val="18"/>
                <w:szCs w:val="18"/>
                <w:vertAlign w:val="superscript"/>
              </w:rPr>
              <w:t>b</w:t>
            </w:r>
            <w:r>
              <w:rPr>
                <w:rFonts w:hint="eastAsia" w:ascii="宋体" w:hAnsi="宋体" w:eastAsia="宋体" w:cs="宋体"/>
                <w:sz w:val="18"/>
                <w:szCs w:val="18"/>
              </w:rPr>
              <w:t>为液体饮料指标要求;</w:t>
            </w:r>
            <w:r>
              <w:rPr>
                <w:rFonts w:ascii="宋体" w:hAnsi="宋体" w:eastAsia="宋体" w:cs="宋体"/>
                <w:sz w:val="18"/>
                <w:szCs w:val="18"/>
              </w:rPr>
              <w:br w:type="textWrapping"/>
            </w:r>
            <w:r>
              <w:rPr>
                <w:rFonts w:hint="eastAsia" w:ascii="宋体" w:hAnsi="宋体" w:eastAsia="宋体" w:cs="宋体"/>
                <w:sz w:val="18"/>
                <w:szCs w:val="18"/>
                <w:vertAlign w:val="superscript"/>
              </w:rPr>
              <w:t>c</w:t>
            </w:r>
            <w:r>
              <w:rPr>
                <w:rFonts w:hint="eastAsia" w:ascii="宋体" w:hAnsi="宋体" w:eastAsia="宋体" w:cs="宋体"/>
                <w:sz w:val="18"/>
                <w:szCs w:val="18"/>
              </w:rPr>
              <w:t>仅为固体饮料指标要求。</w:t>
            </w:r>
          </w:p>
        </w:tc>
      </w:tr>
    </w:tbl>
    <w:p>
      <w:pPr>
        <w:pStyle w:val="29"/>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textAlignment w:val="auto"/>
        <w:rPr>
          <w:rFonts w:ascii="Times New Roman"/>
        </w:rPr>
      </w:pPr>
      <w:r>
        <w:rPr>
          <w:rFonts w:hint="eastAsia" w:hAnsi="黑体" w:cs="黑体"/>
        </w:rPr>
        <w:t>4.4 污染物限量和真菌毒素限量</w:t>
      </w:r>
    </w:p>
    <w:p>
      <w:pPr>
        <w:pStyle w:val="29"/>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textAlignment w:val="auto"/>
        <w:rPr>
          <w:rFonts w:hint="eastAsia" w:ascii="宋体" w:hAnsi="宋体" w:eastAsia="宋体"/>
          <w:lang w:eastAsia="zh-Hans"/>
        </w:rPr>
      </w:pPr>
      <w:r>
        <w:rPr>
          <w:rFonts w:hint="eastAsia" w:hAnsi="黑体" w:cs="黑体"/>
        </w:rPr>
        <w:t xml:space="preserve">4.4.1 </w:t>
      </w:r>
      <w:r>
        <w:rPr>
          <w:rFonts w:hint="eastAsia" w:ascii="宋体" w:hAnsi="宋体" w:eastAsia="宋体"/>
        </w:rPr>
        <w:t>污染物限量应符合GB 2762的规定</w:t>
      </w:r>
      <w:r>
        <w:rPr>
          <w:rFonts w:hint="eastAsia" w:ascii="宋体" w:hAnsi="宋体" w:eastAsia="宋体"/>
          <w:lang w:eastAsia="zh-Hans"/>
        </w:rPr>
        <w:t>。</w:t>
      </w:r>
      <w:r>
        <w:rPr>
          <w:rFonts w:ascii="宋体" w:hAnsi="宋体" w:eastAsia="宋体"/>
        </w:rPr>
        <w:br w:type="textWrapping"/>
      </w:r>
      <w:r>
        <w:rPr>
          <w:rFonts w:hint="eastAsia" w:hAnsi="黑体" w:cs="黑体"/>
        </w:rPr>
        <w:t xml:space="preserve">4.4.2 </w:t>
      </w:r>
      <w:r>
        <w:rPr>
          <w:rFonts w:hint="eastAsia" w:ascii="宋体" w:hAnsi="宋体" w:eastAsia="宋体"/>
        </w:rPr>
        <w:t>真菌毒素限量应符合G</w:t>
      </w:r>
      <w:r>
        <w:rPr>
          <w:rFonts w:ascii="宋体" w:hAnsi="宋体" w:eastAsia="宋体"/>
        </w:rPr>
        <w:t xml:space="preserve">B </w:t>
      </w:r>
      <w:r>
        <w:rPr>
          <w:rFonts w:hint="eastAsia" w:ascii="宋体" w:hAnsi="宋体" w:eastAsia="宋体"/>
        </w:rPr>
        <w:t>2761的规定</w:t>
      </w:r>
      <w:r>
        <w:rPr>
          <w:rFonts w:hint="eastAsia" w:ascii="宋体" w:hAnsi="宋体" w:eastAsia="宋体"/>
          <w:lang w:eastAsia="zh-Hans"/>
        </w:rPr>
        <w:t>。</w:t>
      </w:r>
    </w:p>
    <w:p>
      <w:pPr>
        <w:pStyle w:val="29"/>
        <w:numPr>
          <w:ilvl w:val="0"/>
          <w:numId w:val="0"/>
        </w:numPr>
        <w:autoSpaceDE/>
        <w:autoSpaceDN/>
        <w:spacing w:before="120" w:after="120"/>
        <w:rPr>
          <w:rFonts w:hint="eastAsia" w:hAnsi="黑体"/>
        </w:rPr>
      </w:pPr>
      <w:r>
        <w:rPr>
          <w:rFonts w:hint="eastAsia" w:hAnsi="黑体"/>
        </w:rPr>
        <w:t>4.</w:t>
      </w:r>
      <w:r>
        <w:rPr>
          <w:rFonts w:hAnsi="黑体"/>
        </w:rPr>
        <w:t xml:space="preserve">5 </w:t>
      </w:r>
      <w:r>
        <w:rPr>
          <w:rFonts w:hint="eastAsia" w:hAnsi="黑体"/>
        </w:rPr>
        <w:t>微生物限量</w:t>
      </w:r>
    </w:p>
    <w:p>
      <w:pPr>
        <w:ind w:firstLine="420" w:firstLineChars="200"/>
        <w:rPr>
          <w:rFonts w:hint="default"/>
          <w:lang w:eastAsia="zh-Hans"/>
        </w:rPr>
      </w:pPr>
      <w:r>
        <w:rPr>
          <w:rFonts w:hint="default" w:ascii="Calibri" w:hAnsi="Calibri" w:eastAsia="宋体" w:cs="Times New Roman"/>
        </w:rPr>
        <w:t>微生物限量应符合GB 7101的规定</w:t>
      </w:r>
      <w:r>
        <w:rPr>
          <w:rFonts w:hint="default" w:ascii="Calibri" w:hAnsi="Calibri" w:eastAsia="宋体" w:cs="Times New Roman"/>
          <w:lang w:eastAsia="zh-Hans"/>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left="0" w:firstLine="0" w:firstLineChars="0"/>
        <w:textAlignment w:val="auto"/>
        <w:rPr>
          <w:rFonts w:hint="eastAsia" w:ascii="宋体" w:hAnsi="宋体" w:cs="宋体"/>
        </w:rPr>
      </w:pPr>
      <w:r>
        <w:rPr>
          <w:rFonts w:hint="eastAsia" w:ascii="黑体" w:hAnsi="黑体" w:eastAsia="黑体" w:cs="黑体"/>
        </w:rPr>
        <w:t>4.6 食品添加剂和食品营养强化剂</w:t>
      </w:r>
      <w:r>
        <w:rPr>
          <w:rFonts w:hint="eastAsia" w:ascii="黑体" w:hAnsi="黑体" w:eastAsia="黑体" w:cs="黑体"/>
        </w:rPr>
        <w:br w:type="textWrapping"/>
      </w:r>
      <w:r>
        <w:rPr>
          <w:rFonts w:hint="eastAsia" w:ascii="黑体" w:hAnsi="黑体" w:eastAsia="黑体" w:cs="黑体"/>
        </w:rPr>
        <w:t xml:space="preserve">4.6.1 </w:t>
      </w:r>
      <w:r>
        <w:rPr>
          <w:rFonts w:hint="eastAsia" w:ascii="宋体" w:hAnsi="宋体" w:eastAsia="宋体" w:cs="宋体"/>
        </w:rPr>
        <w:t>食品添加剂的使用应符合GB 2760的规定。</w:t>
      </w:r>
      <w:bookmarkStart w:id="89" w:name="_GoBack"/>
      <w:bookmarkEnd w:id="89"/>
      <w:r>
        <w:rPr>
          <w:rFonts w:hint="eastAsia" w:ascii="宋体" w:hAnsi="宋体" w:eastAsia="宋体" w:cs="宋体"/>
        </w:rPr>
        <w:br w:type="textWrapping"/>
      </w:r>
      <w:r>
        <w:rPr>
          <w:rFonts w:hint="eastAsia" w:ascii="黑体" w:hAnsi="黑体" w:eastAsia="黑体" w:cs="黑体"/>
        </w:rPr>
        <w:t xml:space="preserve">4.6.2 </w:t>
      </w:r>
      <w:r>
        <w:rPr>
          <w:rFonts w:hint="eastAsia" w:ascii="宋体" w:hAnsi="宋体" w:eastAsia="宋体" w:cs="宋体"/>
        </w:rPr>
        <w:t>食品营养强化剂的使用应符合GB 14880的规定。</w:t>
      </w: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firstLine="0" w:firstLineChars="0"/>
        <w:textAlignment w:val="auto"/>
        <w:outlineLvl w:val="9"/>
        <w:rPr>
          <w:rFonts w:hint="eastAsia" w:ascii="黑体" w:hAnsi="黑体"/>
          <w:b w:val="0"/>
          <w:bCs w:val="0"/>
          <w:kern w:val="0"/>
          <w:szCs w:val="20"/>
        </w:rPr>
      </w:pPr>
      <w:r>
        <w:rPr>
          <w:rFonts w:hint="eastAsia" w:ascii="黑体" w:hAnsi="黑体"/>
          <w:b w:val="0"/>
          <w:bCs w:val="0"/>
          <w:kern w:val="0"/>
          <w:szCs w:val="20"/>
        </w:rPr>
        <w:t>4</w:t>
      </w:r>
      <w:r>
        <w:rPr>
          <w:rFonts w:ascii="黑体" w:hAnsi="黑体"/>
          <w:b w:val="0"/>
          <w:bCs w:val="0"/>
          <w:kern w:val="0"/>
          <w:szCs w:val="20"/>
        </w:rPr>
        <w:t xml:space="preserve">.7 </w:t>
      </w:r>
      <w:r>
        <w:rPr>
          <w:rFonts w:hint="eastAsia" w:ascii="黑体" w:hAnsi="黑体"/>
          <w:b w:val="0"/>
          <w:bCs w:val="0"/>
          <w:kern w:val="0"/>
          <w:szCs w:val="20"/>
        </w:rPr>
        <w:t>净含量</w:t>
      </w:r>
    </w:p>
    <w:p>
      <w:pPr>
        <w:keepNext/>
        <w:keepLines/>
        <w:pageBreakBefore w:val="0"/>
        <w:widowControl w:val="0"/>
        <w:kinsoku/>
        <w:wordWrap/>
        <w:overflowPunct/>
        <w:topLinePunct w:val="0"/>
        <w:autoSpaceDE/>
        <w:autoSpaceDN/>
        <w:bidi w:val="0"/>
        <w:adjustRightInd w:val="0"/>
        <w:snapToGrid/>
        <w:spacing w:before="0" w:beforeLines="0" w:after="0" w:afterLines="0" w:line="240" w:lineRule="auto"/>
        <w:ind w:left="0" w:leftChars="0" w:firstLine="420" w:firstLineChars="200"/>
        <w:textAlignment w:val="auto"/>
        <w:outlineLvl w:val="9"/>
        <w:rPr>
          <w:rFonts w:ascii="宋体" w:hAnsi="宋体" w:eastAsia="宋体"/>
          <w:b w:val="0"/>
          <w:bCs w:val="0"/>
          <w:kern w:val="0"/>
          <w:sz w:val="21"/>
          <w:szCs w:val="20"/>
        </w:rPr>
      </w:pPr>
      <w:r>
        <w:rPr>
          <w:rFonts w:hint="eastAsia" w:ascii="宋体" w:hAnsi="宋体" w:eastAsia="宋体"/>
          <w:b w:val="0"/>
          <w:bCs w:val="0"/>
          <w:kern w:val="0"/>
          <w:sz w:val="21"/>
          <w:szCs w:val="20"/>
        </w:rPr>
        <w:t>应符合《定量包装商品计量监督管理办法》的规定，净含量检验按JJF1070规定执行。</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ind w:left="0" w:firstLine="0" w:firstLineChars="0"/>
        <w:textAlignment w:val="auto"/>
        <w:rPr>
          <w:rFonts w:hint="eastAsia" w:ascii="黑体" w:hAnsi="黑体"/>
          <w:b w:val="0"/>
          <w:bCs w:val="0"/>
          <w:kern w:val="0"/>
          <w:sz w:val="21"/>
          <w:szCs w:val="20"/>
        </w:rPr>
      </w:pPr>
      <w:r>
        <w:rPr>
          <w:rFonts w:hint="eastAsia" w:ascii="黑体" w:hAnsi="黑体"/>
          <w:b w:val="0"/>
          <w:bCs w:val="0"/>
          <w:kern w:val="0"/>
          <w:sz w:val="21"/>
          <w:szCs w:val="20"/>
        </w:rPr>
        <w:t>4</w:t>
      </w:r>
      <w:r>
        <w:rPr>
          <w:rFonts w:ascii="黑体" w:hAnsi="黑体"/>
          <w:b w:val="0"/>
          <w:bCs w:val="0"/>
          <w:kern w:val="0"/>
          <w:sz w:val="21"/>
          <w:szCs w:val="20"/>
        </w:rPr>
        <w:t>.</w:t>
      </w:r>
      <w:r>
        <w:rPr>
          <w:rFonts w:hint="eastAsia" w:ascii="黑体" w:hAnsi="黑体"/>
          <w:b w:val="0"/>
          <w:bCs w:val="0"/>
          <w:kern w:val="0"/>
          <w:sz w:val="21"/>
          <w:szCs w:val="20"/>
        </w:rPr>
        <w:t>8生产加工过程的卫生要求</w:t>
      </w:r>
    </w:p>
    <w:p>
      <w:pPr>
        <w:keepNext/>
        <w:keepLines/>
        <w:pageBreakBefore w:val="0"/>
        <w:widowControl w:val="0"/>
        <w:kinsoku/>
        <w:wordWrap/>
        <w:overflowPunct/>
        <w:topLinePunct w:val="0"/>
        <w:autoSpaceDE/>
        <w:autoSpaceDN/>
        <w:bidi w:val="0"/>
        <w:adjustRightInd w:val="0"/>
        <w:snapToGrid/>
        <w:spacing w:before="0" w:beforeLines="0" w:after="0" w:afterLines="0" w:line="240" w:lineRule="auto"/>
        <w:ind w:left="0" w:leftChars="0" w:firstLine="420" w:firstLineChars="200"/>
        <w:textAlignment w:val="auto"/>
        <w:outlineLvl w:val="9"/>
        <w:rPr>
          <w:rFonts w:ascii="Times New Roman"/>
        </w:rPr>
      </w:pPr>
      <w:r>
        <w:rPr>
          <w:rFonts w:hint="eastAsia" w:ascii="宋体" w:hAnsi="宋体" w:eastAsia="宋体"/>
          <w:b w:val="0"/>
          <w:bCs w:val="0"/>
          <w:kern w:val="0"/>
          <w:sz w:val="21"/>
          <w:szCs w:val="20"/>
        </w:rPr>
        <w:t>生产加工过程的卫生要求应符合GB 14881的规定。</w:t>
      </w:r>
    </w:p>
    <w:p>
      <w:pPr>
        <w:pStyle w:val="28"/>
        <w:keepNext w:val="0"/>
        <w:keepLines w:val="0"/>
        <w:pageBreakBefore w:val="0"/>
        <w:widowControl/>
        <w:numPr>
          <w:ilvl w:val="0"/>
          <w:numId w:val="0"/>
        </w:numPr>
        <w:kinsoku/>
        <w:wordWrap/>
        <w:overflowPunct/>
        <w:topLinePunct w:val="0"/>
        <w:autoSpaceDE/>
        <w:autoSpaceDN/>
        <w:bidi w:val="0"/>
        <w:adjustRightInd/>
        <w:snapToGrid/>
        <w:spacing w:before="240" w:after="240"/>
        <w:textAlignment w:val="auto"/>
        <w:rPr>
          <w:rFonts w:hAnsi="黑体"/>
        </w:rPr>
      </w:pPr>
      <w:r>
        <w:rPr>
          <w:rFonts w:hint="eastAsia" w:hAnsi="黑体"/>
        </w:rPr>
        <w:t>5 检验规则</w:t>
      </w: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hAnsi="黑体" w:cs="黑体"/>
        </w:rPr>
      </w:pPr>
      <w:r>
        <w:rPr>
          <w:rFonts w:hint="eastAsia" w:hAnsi="黑体" w:cs="黑体"/>
        </w:rPr>
        <w:t>5.1 检验分类</w:t>
      </w: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Ansi="黑体" w:cs="黑体"/>
        </w:rPr>
      </w:pPr>
      <w:r>
        <w:rPr>
          <w:rFonts w:hAnsi="黑体"/>
        </w:rPr>
        <w:t>5.</w:t>
      </w:r>
      <w:r>
        <w:rPr>
          <w:rFonts w:hint="eastAsia" w:hAnsi="黑体"/>
        </w:rPr>
        <w:t>1.1</w:t>
      </w:r>
      <w:r>
        <w:rPr>
          <w:rFonts w:hAnsi="黑体"/>
        </w:rPr>
        <w:t xml:space="preserve"> </w:t>
      </w:r>
      <w:r>
        <w:rPr>
          <w:rFonts w:hint="eastAsia" w:hAnsi="黑体"/>
        </w:rPr>
        <w:t>出厂检验</w:t>
      </w: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firstLine="420" w:firstLineChars="200"/>
        <w:textAlignment w:val="auto"/>
        <w:outlineLvl w:val="9"/>
        <w:rPr>
          <w:rFonts w:ascii="宋体" w:hAnsi="宋体" w:eastAsia="宋体"/>
        </w:rPr>
      </w:pPr>
      <w:r>
        <w:rPr>
          <w:rFonts w:hint="eastAsia" w:ascii="宋体" w:hAnsi="宋体" w:eastAsia="宋体"/>
        </w:rPr>
        <w:t>每批产品应经公司质检部门检验合格，出具合格证后方可出厂。</w:t>
      </w:r>
      <w:bookmarkStart w:id="85" w:name="_Hlk129356105"/>
      <w:r>
        <w:rPr>
          <w:rFonts w:hint="eastAsia" w:ascii="宋体" w:hAnsi="宋体" w:eastAsia="宋体"/>
        </w:rPr>
        <w:t>出厂检验的项目包括感官要求、总氮、</w:t>
      </w:r>
      <w:bookmarkStart w:id="86" w:name="_Hlk129355840"/>
      <w:r>
        <w:rPr>
          <w:rFonts w:hint="eastAsia" w:ascii="宋体" w:hAnsi="宋体" w:eastAsia="宋体"/>
        </w:rPr>
        <w:t>水分、</w:t>
      </w:r>
      <w:bookmarkEnd w:id="86"/>
      <w:r>
        <w:rPr>
          <w:rFonts w:hint="eastAsia" w:ascii="宋体" w:hAnsi="宋体" w:eastAsia="宋体"/>
        </w:rPr>
        <w:t>菌落总数、大肠菌群、净含量。</w:t>
      </w:r>
      <w:r>
        <w:rPr>
          <w:rFonts w:ascii="宋体" w:hAnsi="宋体" w:eastAsia="宋体"/>
        </w:rPr>
        <w:br w:type="textWrapping"/>
      </w:r>
      <w:bookmarkEnd w:id="85"/>
      <w:r>
        <w:rPr>
          <w:rFonts w:hAnsi="黑体" w:cs="Times New Roman"/>
        </w:rPr>
        <w:t xml:space="preserve">5.1.2 </w:t>
      </w:r>
      <w:r>
        <w:rPr>
          <w:rFonts w:hint="default" w:hAnsi="黑体" w:cs="Times New Roman"/>
        </w:rPr>
        <w:t>型式检验</w:t>
      </w:r>
    </w:p>
    <w:p>
      <w:pPr>
        <w:pStyle w:val="29"/>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420" w:firstLineChars="200"/>
        <w:textAlignment w:val="auto"/>
        <w:rPr>
          <w:rFonts w:ascii="宋体" w:hAnsi="宋体" w:eastAsia="宋体"/>
        </w:rPr>
      </w:pPr>
      <w:r>
        <w:rPr>
          <w:rFonts w:hint="eastAsia" w:ascii="宋体" w:hAnsi="宋体" w:eastAsia="宋体"/>
        </w:rPr>
        <w:t>型式检验项目为本标准规定的全部项目。</w:t>
      </w:r>
    </w:p>
    <w:p>
      <w:pPr>
        <w:pStyle w:val="29"/>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420" w:firstLineChars="200"/>
        <w:textAlignment w:val="auto"/>
        <w:rPr>
          <w:rFonts w:ascii="宋体" w:hAnsi="宋体" w:eastAsia="宋体"/>
        </w:rPr>
      </w:pPr>
      <w:r>
        <w:rPr>
          <w:rFonts w:hint="eastAsia" w:ascii="宋体" w:hAnsi="宋体" w:eastAsia="宋体"/>
        </w:rPr>
        <w:t>正常生产时应每6个月进行一次型式检验。此外有下列情况之一时，应进行型式检验:</w:t>
      </w:r>
    </w:p>
    <w:p>
      <w:pPr>
        <w:pStyle w:val="29"/>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420" w:firstLineChars="200"/>
        <w:textAlignment w:val="auto"/>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新产品试制鉴定时;</w:t>
      </w:r>
    </w:p>
    <w:p>
      <w:pPr>
        <w:pStyle w:val="29"/>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200"/>
        <w:textAlignment w:val="auto"/>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正式投产后</w:t>
      </w:r>
      <w:r>
        <w:rPr>
          <w:rFonts w:hint="eastAsia" w:ascii="宋体" w:hAnsi="宋体" w:eastAsia="宋体"/>
          <w:lang w:eastAsia="zh-Hans"/>
        </w:rPr>
        <w:t>，</w:t>
      </w:r>
      <w:r>
        <w:rPr>
          <w:rFonts w:hint="eastAsia" w:ascii="宋体" w:hAnsi="宋体" w:eastAsia="宋体"/>
        </w:rPr>
        <w:t>如原料</w:t>
      </w:r>
      <w:r>
        <w:rPr>
          <w:rFonts w:hint="eastAsia" w:ascii="宋体" w:hAnsi="宋体" w:eastAsia="宋体"/>
          <w:lang w:eastAsia="zh-Hans"/>
        </w:rPr>
        <w:t>、</w:t>
      </w:r>
      <w:r>
        <w:rPr>
          <w:rFonts w:hint="eastAsia" w:ascii="宋体" w:hAnsi="宋体" w:eastAsia="宋体"/>
        </w:rPr>
        <w:t>供应商或产地有较大改变，可能影响产品质量时;</w:t>
      </w:r>
      <w:r>
        <w:rPr>
          <w:rFonts w:ascii="宋体" w:hAnsi="宋体" w:eastAsia="宋体"/>
        </w:rPr>
        <w:br w:type="textWrapping"/>
      </w:r>
      <w:r>
        <w:rPr>
          <w:rFonts w:ascii="宋体" w:hAnsi="宋体" w:eastAsia="宋体"/>
        </w:rPr>
        <w:t xml:space="preserve">c) </w:t>
      </w:r>
      <w:r>
        <w:rPr>
          <w:rFonts w:hint="eastAsia" w:ascii="宋体" w:hAnsi="宋体" w:eastAsia="宋体"/>
        </w:rPr>
        <w:t>停产三个月以上，恢复生产时;</w:t>
      </w:r>
    </w:p>
    <w:p>
      <w:pPr>
        <w:pStyle w:val="29"/>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420" w:firstLineChars="200"/>
        <w:textAlignment w:val="auto"/>
        <w:rPr>
          <w:rFonts w:ascii="宋体" w:hAnsi="宋体" w:eastAsia="宋体"/>
        </w:rPr>
      </w:pPr>
      <w:r>
        <w:rPr>
          <w:rFonts w:ascii="宋体" w:hAnsi="宋体" w:eastAsia="宋体"/>
        </w:rPr>
        <w:t xml:space="preserve">d) </w:t>
      </w:r>
      <w:r>
        <w:rPr>
          <w:rFonts w:hint="eastAsia" w:ascii="宋体" w:hAnsi="宋体" w:eastAsia="宋体"/>
        </w:rPr>
        <w:t>出厂检验结果与前一次检验结果有较大差异时;</w:t>
      </w:r>
    </w:p>
    <w:p>
      <w:pPr>
        <w:pStyle w:val="29"/>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420" w:firstLineChars="200"/>
        <w:textAlignment w:val="auto"/>
        <w:rPr>
          <w:rFonts w:ascii="Times New Roman"/>
        </w:rPr>
      </w:pPr>
      <w:r>
        <w:rPr>
          <w:rFonts w:ascii="宋体" w:hAnsi="宋体" w:eastAsia="宋体"/>
        </w:rPr>
        <w:t xml:space="preserve">e) </w:t>
      </w:r>
      <w:r>
        <w:rPr>
          <w:rFonts w:hint="eastAsia" w:ascii="宋体" w:hAnsi="宋体" w:eastAsia="宋体"/>
        </w:rPr>
        <w:t>国家质量监督部门提出要求时。</w:t>
      </w:r>
    </w:p>
    <w:p>
      <w:pPr>
        <w:pStyle w:val="29"/>
        <w:keepNext w:val="0"/>
        <w:keepLines w:val="0"/>
        <w:pageBreakBefore w:val="0"/>
        <w:widowControl/>
        <w:numPr>
          <w:ilvl w:val="0"/>
          <w:numId w:val="0"/>
        </w:numPr>
        <w:kinsoku/>
        <w:wordWrap/>
        <w:overflowPunct/>
        <w:topLinePunct w:val="0"/>
        <w:autoSpaceDE/>
        <w:autoSpaceDN/>
        <w:bidi w:val="0"/>
        <w:adjustRightInd/>
        <w:snapToGrid/>
        <w:spacing w:before="120" w:after="120"/>
        <w:textAlignment w:val="auto"/>
        <w:rPr>
          <w:rFonts w:hAnsi="黑体" w:cs="黑体"/>
        </w:rPr>
      </w:pPr>
      <w:r>
        <w:rPr>
          <w:rFonts w:hAnsi="黑体" w:cs="黑体"/>
        </w:rPr>
        <w:t xml:space="preserve">5.2 </w:t>
      </w:r>
      <w:r>
        <w:rPr>
          <w:rFonts w:hint="eastAsia" w:hAnsi="黑体" w:cs="黑体"/>
        </w:rPr>
        <w:t>组批和抽样</w:t>
      </w:r>
    </w:p>
    <w:p>
      <w:pPr>
        <w:pStyle w:val="29"/>
        <w:keepNext w:val="0"/>
        <w:keepLines w:val="0"/>
        <w:pageBreakBefore w:val="0"/>
        <w:widowControl/>
        <w:numPr>
          <w:ilvl w:val="0"/>
          <w:numId w:val="0"/>
        </w:numPr>
        <w:kinsoku/>
        <w:wordWrap/>
        <w:overflowPunct/>
        <w:topLinePunct w:val="0"/>
        <w:bidi w:val="0"/>
        <w:adjustRightInd/>
        <w:snapToGrid/>
        <w:spacing w:before="157" w:beforeLines="50" w:after="157" w:afterLines="50"/>
        <w:textAlignment w:val="auto"/>
        <w:rPr>
          <w:rFonts w:hAnsi="黑体" w:cs="黑体"/>
        </w:rPr>
      </w:pPr>
      <w:r>
        <w:rPr>
          <w:rFonts w:hAnsi="黑体" w:cs="黑体"/>
        </w:rPr>
        <w:t xml:space="preserve">5.2.1 </w:t>
      </w:r>
      <w:r>
        <w:rPr>
          <w:rFonts w:hint="eastAsia" w:hAnsi="黑体" w:cs="黑体"/>
        </w:rPr>
        <w:t>组批</w:t>
      </w:r>
    </w:p>
    <w:p>
      <w:pPr>
        <w:pStyle w:val="29"/>
        <w:keepNext w:val="0"/>
        <w:keepLines w:val="0"/>
        <w:pageBreakBefore w:val="0"/>
        <w:widowControl/>
        <w:numPr>
          <w:ilvl w:val="0"/>
          <w:numId w:val="0"/>
        </w:numPr>
        <w:kinsoku/>
        <w:wordWrap/>
        <w:overflowPunct/>
        <w:topLinePunct w:val="0"/>
        <w:bidi w:val="0"/>
        <w:adjustRightInd/>
        <w:snapToGrid/>
        <w:spacing w:beforeLines="0" w:afterLines="0"/>
        <w:ind w:firstLine="420" w:firstLineChars="200"/>
        <w:textAlignment w:val="auto"/>
        <w:outlineLvl w:val="9"/>
        <w:rPr>
          <w:rFonts w:ascii="宋体" w:hAnsi="宋体" w:eastAsia="宋体"/>
        </w:rPr>
      </w:pPr>
      <w:bookmarkStart w:id="87" w:name="_Hlk129356016"/>
      <w:r>
        <w:rPr>
          <w:rFonts w:ascii="宋体" w:hAnsi="宋体" w:eastAsia="宋体"/>
        </w:rPr>
        <w:t>由生产企业的质量管理部门按照其相应的规则确定产品的批次</w:t>
      </w:r>
      <w:r>
        <w:rPr>
          <w:rFonts w:hint="eastAsia" w:ascii="宋体" w:hAnsi="宋体" w:eastAsia="宋体"/>
        </w:rPr>
        <w:t>。</w:t>
      </w:r>
    </w:p>
    <w:bookmarkEnd w:id="87"/>
    <w:p>
      <w:pPr>
        <w:pStyle w:val="29"/>
        <w:keepNext w:val="0"/>
        <w:keepLines w:val="0"/>
        <w:pageBreakBefore w:val="0"/>
        <w:widowControl/>
        <w:numPr>
          <w:ilvl w:val="0"/>
          <w:numId w:val="0"/>
        </w:numPr>
        <w:kinsoku/>
        <w:wordWrap/>
        <w:overflowPunct/>
        <w:topLinePunct w:val="0"/>
        <w:bidi w:val="0"/>
        <w:adjustRightInd/>
        <w:snapToGrid/>
        <w:spacing w:before="157" w:beforeLines="50" w:after="157" w:afterLines="50"/>
        <w:ind w:firstLine="0" w:firstLineChars="0"/>
        <w:textAlignment w:val="auto"/>
        <w:rPr>
          <w:rFonts w:ascii="黑体" w:hAnsi="黑体" w:eastAsia="黑体" w:cs="黑体"/>
        </w:rPr>
      </w:pPr>
      <w:r>
        <w:rPr>
          <w:rFonts w:ascii="黑体" w:hAnsi="黑体" w:eastAsia="黑体" w:cs="黑体"/>
        </w:rPr>
        <w:t xml:space="preserve">5.2.2 </w:t>
      </w:r>
      <w:r>
        <w:rPr>
          <w:rFonts w:hint="default" w:ascii="黑体" w:hAnsi="黑体" w:eastAsia="黑体" w:cs="黑体"/>
        </w:rPr>
        <w:t>抽样</w:t>
      </w:r>
    </w:p>
    <w:p>
      <w:pPr>
        <w:pStyle w:val="2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420" w:firstLineChars="200"/>
        <w:textAlignment w:val="auto"/>
        <w:outlineLvl w:val="9"/>
        <w:rPr>
          <w:rFonts w:hint="eastAsia" w:ascii="宋体" w:hAnsi="宋体" w:eastAsia="宋体"/>
        </w:rPr>
      </w:pPr>
      <w:r>
        <w:rPr>
          <w:rFonts w:hint="eastAsia" w:ascii="宋体" w:hAnsi="宋体" w:eastAsia="宋体"/>
        </w:rPr>
        <w:t>每批产品中随机抽取至少12个最小独立包装（液体饮料总体积不少于2 L；固体饮料总净含量不少于500ｇ)分别用于感官要求、理化要求、菌落总数、大肠菌群</w:t>
      </w:r>
      <w:r>
        <w:rPr>
          <w:rFonts w:hint="eastAsia" w:ascii="宋体" w:hAnsi="宋体" w:eastAsia="宋体"/>
          <w:lang w:val="en-US" w:eastAsia="zh-Hans"/>
        </w:rPr>
        <w:t>检验</w:t>
      </w:r>
      <w:r>
        <w:rPr>
          <w:rFonts w:hint="eastAsia" w:ascii="宋体" w:hAnsi="宋体" w:eastAsia="宋体"/>
        </w:rPr>
        <w:t>以及留样。</w:t>
      </w: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Ansi="黑体" w:cs="黑体"/>
        </w:rPr>
      </w:pPr>
      <w:r>
        <w:rPr>
          <w:rFonts w:hAnsi="黑体" w:cs="黑体"/>
        </w:rPr>
        <w:t>5.</w:t>
      </w:r>
      <w:r>
        <w:rPr>
          <w:rFonts w:hint="default" w:hAnsi="黑体" w:cs="黑体"/>
        </w:rPr>
        <w:t>3 判定规则</w:t>
      </w:r>
    </w:p>
    <w:p>
      <w:pPr>
        <w:pStyle w:val="33"/>
        <w:keepNext w:val="0"/>
        <w:keepLines w:val="0"/>
        <w:pageBreakBefore w:val="0"/>
        <w:numPr>
          <w:ilvl w:val="255"/>
          <w:numId w:val="0"/>
        </w:numPr>
        <w:kinsoku/>
        <w:wordWrap/>
        <w:overflowPunct/>
        <w:topLinePunct w:val="0"/>
        <w:autoSpaceDE/>
        <w:autoSpaceDN/>
        <w:bidi w:val="0"/>
        <w:adjustRightInd/>
        <w:snapToGrid/>
        <w:spacing w:beforeLines="0" w:afterLines="0"/>
        <w:textAlignment w:val="auto"/>
      </w:pPr>
      <w:r>
        <w:rPr>
          <w:rFonts w:ascii="黑体" w:hAnsi="黑体" w:eastAsia="黑体" w:cs="黑体"/>
        </w:rPr>
        <w:t xml:space="preserve">5.3.1 </w:t>
      </w:r>
      <w:r>
        <w:rPr>
          <w:rFonts w:hint="eastAsia"/>
        </w:rPr>
        <w:t>检验项目全部符合本文件要求时，则判定为合格品。</w:t>
      </w:r>
    </w:p>
    <w:p>
      <w:pPr>
        <w:pStyle w:val="33"/>
        <w:keepNext w:val="0"/>
        <w:keepLines w:val="0"/>
        <w:pageBreakBefore w:val="0"/>
        <w:numPr>
          <w:ilvl w:val="255"/>
          <w:numId w:val="0"/>
        </w:numPr>
        <w:kinsoku/>
        <w:wordWrap/>
        <w:overflowPunct/>
        <w:topLinePunct w:val="0"/>
        <w:autoSpaceDE/>
        <w:autoSpaceDN/>
        <w:bidi w:val="0"/>
        <w:adjustRightInd/>
        <w:snapToGrid/>
        <w:spacing w:beforeLines="0" w:afterLines="0"/>
        <w:textAlignment w:val="auto"/>
      </w:pPr>
      <w:r>
        <w:rPr>
          <w:rFonts w:ascii="黑体" w:hAnsi="黑体" w:eastAsia="黑体" w:cs="黑体"/>
        </w:rPr>
        <w:t xml:space="preserve">5.3.2 </w:t>
      </w:r>
      <w:r>
        <w:rPr>
          <w:rFonts w:hint="eastAsia" w:hAnsi="宋体"/>
        </w:rPr>
        <w:t>微生物指标中有一项不合格时，则判为该批产品不合格，并不得复检。</w:t>
      </w:r>
    </w:p>
    <w:p>
      <w:pPr>
        <w:pStyle w:val="29"/>
        <w:keepNext w:val="0"/>
        <w:keepLines w:val="0"/>
        <w:pageBreakBefore w:val="0"/>
        <w:numPr>
          <w:ilvl w:val="0"/>
          <w:numId w:val="0"/>
        </w:numPr>
        <w:kinsoku/>
        <w:wordWrap/>
        <w:overflowPunct/>
        <w:topLinePunct w:val="0"/>
        <w:autoSpaceDE/>
        <w:autoSpaceDN/>
        <w:bidi w:val="0"/>
        <w:adjustRightInd/>
        <w:snapToGrid/>
        <w:spacing w:beforeLines="0" w:afterLines="0"/>
        <w:textAlignment w:val="auto"/>
        <w:outlineLvl w:val="9"/>
        <w:rPr>
          <w:rFonts w:hint="eastAsia" w:ascii="宋体" w:hAnsi="宋体" w:eastAsia="宋体"/>
        </w:rPr>
      </w:pPr>
      <w:r>
        <w:rPr>
          <w:rFonts w:hint="eastAsia" w:hAnsi="黑体" w:cs="黑体"/>
        </w:rPr>
        <w:t xml:space="preserve">5.3.3 </w:t>
      </w:r>
      <w:r>
        <w:rPr>
          <w:rFonts w:hint="eastAsia" w:ascii="宋体" w:hAnsi="宋体" w:eastAsia="宋体"/>
        </w:rPr>
        <w:t>其余指标不合格，可在同批产品中加倍抽样，对不合格项目进行复检，以复检结果为准。复检后如仍有一项不合格的，则判该批产品不合格。</w:t>
      </w:r>
    </w:p>
    <w:p>
      <w:pPr>
        <w:pStyle w:val="29"/>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textAlignment w:val="auto"/>
        <w:rPr>
          <w:rFonts w:hAnsi="黑体"/>
          <w:b/>
          <w:bCs/>
        </w:rPr>
      </w:pPr>
      <w:r>
        <w:rPr>
          <w:rFonts w:hAnsi="黑体"/>
          <w:bCs/>
        </w:rPr>
        <w:t xml:space="preserve">6 </w:t>
      </w:r>
      <w:r>
        <w:rPr>
          <w:rFonts w:hint="eastAsia" w:hAnsi="黑体"/>
        </w:rPr>
        <w:t>标签、标识、包装、运输、贮存及保质期</w:t>
      </w:r>
    </w:p>
    <w:p>
      <w:pPr>
        <w:pStyle w:val="28"/>
        <w:keepNext w:val="0"/>
        <w:keepLines w:val="0"/>
        <w:pageBreakBefore w:val="0"/>
        <w:widowControl/>
        <w:numPr>
          <w:ilvl w:val="0"/>
          <w:numId w:val="0"/>
        </w:numPr>
        <w:kinsoku/>
        <w:wordWrap/>
        <w:overflowPunct/>
        <w:topLinePunct w:val="0"/>
        <w:autoSpaceDE/>
        <w:autoSpaceDN/>
        <w:bidi w:val="0"/>
        <w:adjustRightInd/>
        <w:snapToGrid/>
        <w:spacing w:before="120" w:beforeLines="50" w:after="120" w:afterLines="50"/>
        <w:textAlignment w:val="auto"/>
        <w:rPr>
          <w:rFonts w:hAnsi="黑体"/>
        </w:rPr>
      </w:pPr>
      <w:r>
        <w:rPr>
          <w:rFonts w:hAnsi="黑体"/>
        </w:rPr>
        <w:t>6</w:t>
      </w:r>
      <w:r>
        <w:rPr>
          <w:rFonts w:hint="eastAsia" w:hAnsi="黑体"/>
        </w:rPr>
        <w:t>.1</w:t>
      </w:r>
      <w:r>
        <w:rPr>
          <w:rFonts w:hAnsi="黑体"/>
        </w:rPr>
        <w:t xml:space="preserve"> 标签、</w:t>
      </w:r>
      <w:r>
        <w:rPr>
          <w:rFonts w:hint="eastAsia" w:hAnsi="黑体"/>
        </w:rPr>
        <w:t>标</w:t>
      </w:r>
      <w:r>
        <w:rPr>
          <w:rFonts w:hAnsi="黑体"/>
        </w:rPr>
        <w:t>志</w:t>
      </w:r>
    </w:p>
    <w:p>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outlineLvl w:val="9"/>
        <w:rPr>
          <w:rFonts w:ascii="Times New Roman"/>
        </w:rPr>
      </w:pPr>
      <w:r>
        <w:rPr>
          <w:rFonts w:hint="eastAsia" w:hAnsi="黑体" w:cs="黑体"/>
          <w:szCs w:val="21"/>
        </w:rPr>
        <w:t xml:space="preserve">6.1.1 </w:t>
      </w:r>
      <w:r>
        <w:rPr>
          <w:rFonts w:hint="eastAsia" w:ascii="宋体" w:hAnsi="宋体" w:eastAsia="宋体"/>
          <w:szCs w:val="21"/>
        </w:rPr>
        <w:t>产品标签应符合GB 7718、GB 28050的要求。</w:t>
      </w:r>
      <w:r>
        <w:rPr>
          <w:rFonts w:ascii="宋体" w:hAnsi="宋体" w:eastAsia="宋体"/>
          <w:szCs w:val="21"/>
        </w:rPr>
        <w:br w:type="textWrapping"/>
      </w:r>
      <w:r>
        <w:rPr>
          <w:rFonts w:hint="eastAsia" w:hAnsi="黑体" w:cs="黑体"/>
          <w:szCs w:val="21"/>
        </w:rPr>
        <w:t xml:space="preserve">6.1.2 </w:t>
      </w:r>
      <w:r>
        <w:rPr>
          <w:rFonts w:hint="eastAsia" w:ascii="宋体" w:hAnsi="宋体" w:eastAsia="宋体" w:cs="宋体"/>
          <w:szCs w:val="21"/>
        </w:rPr>
        <w:t>产品</w:t>
      </w:r>
      <w:r>
        <w:rPr>
          <w:rFonts w:hint="eastAsia" w:ascii="宋体" w:hAnsi="宋体" w:eastAsia="宋体"/>
          <w:szCs w:val="21"/>
        </w:rPr>
        <w:t>包装储运图示标志应符合GB/T 191的规定</w:t>
      </w:r>
      <w:r>
        <w:rPr>
          <w:rFonts w:hint="eastAsia" w:ascii="宋体" w:hAnsi="宋体" w:eastAsia="宋体"/>
          <w:szCs w:val="21"/>
          <w:lang w:eastAsia="zh-Hans"/>
        </w:rPr>
        <w:t>。</w:t>
      </w:r>
      <w:r>
        <w:rPr>
          <w:rFonts w:ascii="宋体" w:hAnsi="宋体" w:eastAsia="宋体"/>
          <w:szCs w:val="21"/>
        </w:rPr>
        <w:br w:type="textWrapping"/>
      </w:r>
      <w:r>
        <w:rPr>
          <w:rFonts w:hint="eastAsia" w:hAnsi="黑体" w:cs="黑体"/>
          <w:szCs w:val="21"/>
        </w:rPr>
        <w:t xml:space="preserve">6.1.3 </w:t>
      </w:r>
      <w:r>
        <w:rPr>
          <w:rFonts w:hint="eastAsia" w:ascii="宋体" w:hAnsi="宋体" w:eastAsia="宋体"/>
          <w:szCs w:val="21"/>
        </w:rPr>
        <w:t>产品包装应标示胶原蛋白肽原料添加量及添加的胶原蛋白肽分子量。</w:t>
      </w:r>
      <w:r>
        <w:rPr>
          <w:rFonts w:hint="eastAsia" w:ascii="宋体" w:hAnsi="宋体" w:eastAsia="宋体" w:cs="宋体"/>
          <w:color w:val="000000"/>
          <w:szCs w:val="21"/>
        </w:rPr>
        <w:t>　</w:t>
      </w:r>
    </w:p>
    <w:p>
      <w:pPr>
        <w:pStyle w:val="29"/>
        <w:keepNext w:val="0"/>
        <w:keepLines w:val="0"/>
        <w:pageBreakBefore w:val="0"/>
        <w:widowControl/>
        <w:numPr>
          <w:ilvl w:val="0"/>
          <w:numId w:val="0"/>
        </w:numPr>
        <w:kinsoku/>
        <w:wordWrap/>
        <w:overflowPunct/>
        <w:topLinePunct w:val="0"/>
        <w:autoSpaceDE/>
        <w:autoSpaceDN/>
        <w:bidi w:val="0"/>
        <w:adjustRightInd/>
        <w:snapToGrid/>
        <w:spacing w:before="120" w:after="120"/>
        <w:ind w:left="0" w:firstLine="0" w:firstLineChars="0"/>
        <w:textAlignment w:val="auto"/>
        <w:rPr>
          <w:rFonts w:hint="eastAsia" w:hAnsi="黑体"/>
        </w:rPr>
      </w:pPr>
      <w:r>
        <w:rPr>
          <w:rFonts w:hint="eastAsia" w:hAnsi="黑体"/>
        </w:rPr>
        <w:t>6.2 包装</w:t>
      </w:r>
    </w:p>
    <w:p>
      <w:pPr>
        <w:pStyle w:val="2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ascii="宋体" w:hAnsi="宋体" w:eastAsia="宋体" w:cs="宋体"/>
        </w:rPr>
      </w:pPr>
      <w:r>
        <w:rPr>
          <w:rFonts w:hint="eastAsia" w:ascii="宋体" w:hAnsi="宋体" w:eastAsia="宋体" w:cs="宋体"/>
        </w:rPr>
        <w:t>产品的包装应符合国家食品安全标准和相关规定要求的食品包装用材料。</w:t>
      </w:r>
    </w:p>
    <w:p>
      <w:pPr>
        <w:pStyle w:val="29"/>
        <w:keepNext w:val="0"/>
        <w:keepLines w:val="0"/>
        <w:pageBreakBefore w:val="0"/>
        <w:widowControl/>
        <w:numPr>
          <w:ilvl w:val="0"/>
          <w:numId w:val="0"/>
        </w:numPr>
        <w:kinsoku/>
        <w:wordWrap/>
        <w:overflowPunct/>
        <w:topLinePunct w:val="0"/>
        <w:autoSpaceDE/>
        <w:autoSpaceDN/>
        <w:bidi w:val="0"/>
        <w:adjustRightInd/>
        <w:snapToGrid/>
        <w:spacing w:before="120" w:after="120"/>
        <w:textAlignment w:val="auto"/>
        <w:rPr>
          <w:rFonts w:hAnsi="黑体"/>
        </w:rPr>
      </w:pPr>
      <w:r>
        <w:rPr>
          <w:rFonts w:hint="eastAsia" w:hAnsi="黑体"/>
        </w:rPr>
        <w:t>6.3 运输</w:t>
      </w:r>
    </w:p>
    <w:p>
      <w:pPr>
        <w:pStyle w:val="29"/>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420" w:firstLineChars="200"/>
        <w:textAlignment w:val="auto"/>
        <w:outlineLvl w:val="9"/>
        <w:rPr>
          <w:rFonts w:ascii="宋体" w:hAnsi="宋体" w:eastAsia="宋体"/>
        </w:rPr>
      </w:pPr>
      <w:r>
        <w:rPr>
          <w:rFonts w:hint="eastAsia" w:ascii="宋体" w:hAnsi="宋体" w:eastAsia="宋体"/>
        </w:rPr>
        <w:t>产品运输应使用符合卫生要求的运输工具和容器，应避免日晒、雨淋，不得与其他有毒、有害物品及易污染物品混装、混运。</w:t>
      </w:r>
    </w:p>
    <w:p>
      <w:pPr>
        <w:pStyle w:val="29"/>
        <w:keepNext w:val="0"/>
        <w:keepLines w:val="0"/>
        <w:pageBreakBefore w:val="0"/>
        <w:widowControl/>
        <w:numPr>
          <w:ilvl w:val="0"/>
          <w:numId w:val="0"/>
        </w:numPr>
        <w:kinsoku/>
        <w:wordWrap/>
        <w:overflowPunct/>
        <w:topLinePunct w:val="0"/>
        <w:autoSpaceDE/>
        <w:autoSpaceDN/>
        <w:bidi w:val="0"/>
        <w:adjustRightInd/>
        <w:snapToGrid/>
        <w:spacing w:before="120" w:after="120"/>
        <w:textAlignment w:val="auto"/>
        <w:rPr>
          <w:rFonts w:hAnsi="黑体"/>
        </w:rPr>
      </w:pPr>
      <w:r>
        <w:rPr>
          <w:rFonts w:hint="eastAsia" w:hAnsi="黑体"/>
        </w:rPr>
        <w:t>6.4 贮存</w:t>
      </w:r>
    </w:p>
    <w:p>
      <w:pPr>
        <w:pStyle w:val="29"/>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420" w:firstLineChars="200"/>
        <w:textAlignment w:val="auto"/>
        <w:outlineLvl w:val="9"/>
        <w:rPr>
          <w:rFonts w:ascii="宋体" w:hAnsi="宋体" w:eastAsia="宋体"/>
        </w:rPr>
      </w:pPr>
      <w:r>
        <w:rPr>
          <w:rFonts w:hint="eastAsia" w:ascii="宋体" w:hAnsi="宋体" w:eastAsia="宋体" w:cs="宋体"/>
        </w:rPr>
        <w:t>产品应在阴凉、干燥、清洁、通风、无鼠虫害的仓库内贮存。避免日晒雨淋、防止受潮受热。产品应堆放在垫板上，应离墙、离地并与屋顶保持一定距离，垛与垛之间应留有适当间隔。不得与有毒、有害、易腐污染物一起存放。</w:t>
      </w:r>
      <w:bookmarkEnd w:id="19"/>
      <w:bookmarkEnd w:id="78"/>
      <w:bookmarkEnd w:id="79"/>
      <w:bookmarkEnd w:id="80"/>
      <w:bookmarkEnd w:id="81"/>
      <w:bookmarkEnd w:id="83"/>
      <w:bookmarkEnd w:id="84"/>
      <w:bookmarkStart w:id="88" w:name="BookMark8"/>
      <w:r>
        <w:rPr>
          <w:rFonts w:hint="eastAsia" w:ascii="宋体" w:hAnsi="宋体" w:eastAsia="宋体" w:cs="宋体"/>
        </w:rPr>
        <w:br w:type="textWrapping"/>
      </w:r>
    </w:p>
    <w:bookmarkEnd w:id="88"/>
    <w:p>
      <w:pPr>
        <w:pStyle w:val="20"/>
        <w:ind w:firstLine="420"/>
        <w:jc w:val="center"/>
        <w:rPr>
          <w:rFonts w:ascii="Times New Roman"/>
        </w:rPr>
      </w:pPr>
      <w:r>
        <w:rPr>
          <w:rFonts w:ascii="Times New Roman"/>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1485900" cy="317500"/>
                    </a:xfrm>
                    <a:prstGeom prst="rect">
                      <a:avLst/>
                    </a:prstGeom>
                  </pic:spPr>
                </pic:pic>
              </a:graphicData>
            </a:graphic>
          </wp:inline>
        </w:drawing>
      </w:r>
    </w:p>
    <w:p/>
    <w:sectPr>
      <w:footerReference r:id="rId14" w:type="default"/>
      <w:footerReference r:id="rId15" w:type="even"/>
      <w:pgSz w:w="11906" w:h="16838"/>
      <w:pgMar w:top="1928" w:right="1134" w:bottom="1134" w:left="1417" w:header="1418" w:footer="1134" w:gutter="283"/>
      <w:pgNumType w:fmt="decimal" w:start="1"/>
      <w:cols w:space="0" w:num="1"/>
      <w:formProt w:val="0"/>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cs="宋体"/>
      </w:rPr>
    </w:pPr>
    <w:r>
      <w:rPr>
        <w:rFonts w:hint="eastAsia" w:ascii="宋体" w:hAnsi="宋体" w:cs="宋体"/>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cs="宋体"/>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cs="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cs="宋体"/>
      </w:rPr>
    </w:pPr>
    <w:r>
      <w:rPr>
        <w:rFonts w:hint="eastAsia" w:ascii="宋体" w:hAnsi="宋体" w:cs="宋体"/>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default" w:ascii="黑体" w:hAnsi="黑体" w:eastAsia="黑体"/>
        <w:sz w:val="21"/>
        <w:szCs w:val="21"/>
        <w:lang w:val="en-US" w:eastAsia="zh-CN"/>
      </w:rPr>
    </w:pPr>
    <w:r>
      <w:rPr>
        <w:rFonts w:hint="eastAsia" w:ascii="黑体" w:hAnsi="黑体" w:eastAsia="黑体"/>
        <w:sz w:val="21"/>
        <w:szCs w:val="21"/>
        <w:lang w:val="en-US" w:eastAsia="zh-CN"/>
      </w:rPr>
      <w:t>T/FDSA ×××—2023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T/FDSA ×××—2023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default" w:ascii="黑体" w:hAnsi="黑体" w:eastAsia="黑体" w:cs="黑体"/>
        <w:sz w:val="21"/>
        <w:szCs w:val="21"/>
      </w:rPr>
    </w:pPr>
    <w:r>
      <w:rPr>
        <w:rFonts w:hint="eastAsia" w:ascii="黑体" w:hAnsi="黑体" w:eastAsia="黑体" w:cs="黑体"/>
        <w:sz w:val="21"/>
        <w:szCs w:val="21"/>
        <w:lang w:val="en-US" w:eastAsia="zh-CN"/>
      </w:rPr>
      <w:t>T/FDSA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23"/>
      <w:lvlText w:val="%1"/>
      <w:lvlJc w:val="left"/>
      <w:pPr>
        <w:ind w:left="425" w:hanging="425"/>
      </w:pPr>
      <w:rPr>
        <w:rFonts w:hint="eastAsia"/>
      </w:rPr>
    </w:lvl>
    <w:lvl w:ilvl="1" w:tentative="0">
      <w:start w:val="1"/>
      <w:numFmt w:val="decimal"/>
      <w:pStyle w:val="41"/>
      <w:suff w:val="nothing"/>
      <w:lvlText w:val="%10.%2 "/>
      <w:lvlJc w:val="left"/>
      <w:pPr>
        <w:ind w:left="0" w:firstLine="0"/>
      </w:pPr>
      <w:rPr>
        <w:rFonts w:hint="eastAsia" w:ascii="黑体" w:eastAsia="黑体" w:hAnsiTheme="minorHAnsi"/>
        <w:b w:val="0"/>
        <w:i w:val="0"/>
        <w:sz w:val="21"/>
      </w:rPr>
    </w:lvl>
    <w:lvl w:ilvl="2" w:tentative="0">
      <w:start w:val="1"/>
      <w:numFmt w:val="decimal"/>
      <w:pStyle w:val="42"/>
      <w:suff w:val="nothing"/>
      <w:lvlText w:val="%10.%2.%3 "/>
      <w:lvlJc w:val="left"/>
      <w:pPr>
        <w:ind w:left="0" w:firstLine="0"/>
      </w:pPr>
      <w:rPr>
        <w:rFonts w:hint="eastAsia" w:ascii="黑体" w:eastAsia="黑体" w:hAnsiTheme="minorHAnsi"/>
        <w:b w:val="0"/>
        <w:i w:val="0"/>
        <w:sz w:val="21"/>
      </w:rPr>
    </w:lvl>
    <w:lvl w:ilvl="3" w:tentative="0">
      <w:start w:val="1"/>
      <w:numFmt w:val="decimal"/>
      <w:pStyle w:val="43"/>
      <w:suff w:val="nothing"/>
      <w:lvlText w:val="%10.%2.%3.%4 "/>
      <w:lvlJc w:val="left"/>
      <w:pPr>
        <w:ind w:left="0" w:firstLine="0"/>
      </w:pPr>
      <w:rPr>
        <w:rFonts w:hint="eastAsia" w:ascii="黑体" w:eastAsia="黑体" w:hAnsiTheme="minorHAnsi"/>
        <w:b w:val="0"/>
        <w:i w:val="0"/>
        <w:sz w:val="21"/>
      </w:rPr>
    </w:lvl>
    <w:lvl w:ilvl="4" w:tentative="0">
      <w:start w:val="1"/>
      <w:numFmt w:val="decimal"/>
      <w:pStyle w:val="44"/>
      <w:suff w:val="nothing"/>
      <w:lvlText w:val="%10.%2.%3.%4.%5 "/>
      <w:lvlJc w:val="left"/>
      <w:pPr>
        <w:ind w:left="0" w:firstLine="0"/>
      </w:pPr>
      <w:rPr>
        <w:rFonts w:hint="eastAsia" w:ascii="黑体" w:eastAsia="黑体" w:hAnsiTheme="minorHAnsi"/>
        <w:b w:val="0"/>
        <w:i w:val="0"/>
        <w:sz w:val="21"/>
      </w:rPr>
    </w:lvl>
    <w:lvl w:ilvl="5" w:tentative="0">
      <w:start w:val="1"/>
      <w:numFmt w:val="decimal"/>
      <w:pStyle w:val="4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CEA2025"/>
    <w:multiLevelType w:val="multilevel"/>
    <w:tmpl w:val="6CEA2025"/>
    <w:lvl w:ilvl="0" w:tentative="0">
      <w:start w:val="1"/>
      <w:numFmt w:val="none"/>
      <w:pStyle w:val="32"/>
      <w:suff w:val="nothing"/>
      <w:lvlText w:val="%1"/>
      <w:lvlJc w:val="left"/>
      <w:pPr>
        <w:ind w:left="0" w:firstLine="0"/>
      </w:pPr>
      <w:rPr>
        <w:rFonts w:hint="eastAsia"/>
      </w:rPr>
    </w:lvl>
    <w:lvl w:ilvl="1" w:tentative="0">
      <w:start w:val="1"/>
      <w:numFmt w:val="decimal"/>
      <w:pStyle w:val="28"/>
      <w:suff w:val="nothing"/>
      <w:lvlText w:val="%1%2　"/>
      <w:lvlJc w:val="left"/>
      <w:pPr>
        <w:ind w:left="0" w:firstLine="0"/>
      </w:pPr>
      <w:rPr>
        <w:rFonts w:hint="eastAsia" w:ascii="黑体" w:eastAsia="黑体"/>
        <w:b w:val="0"/>
        <w:i w:val="0"/>
        <w:sz w:val="21"/>
      </w:rPr>
    </w:lvl>
    <w:lvl w:ilvl="2" w:tentative="0">
      <w:start w:val="1"/>
      <w:numFmt w:val="decimal"/>
      <w:pStyle w:val="2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2"/>
      <w:suff w:val="nothing"/>
      <w:lvlText w:val="%1%2.%3.%4　"/>
      <w:lvlJc w:val="left"/>
      <w:pPr>
        <w:ind w:left="5246" w:firstLine="0"/>
      </w:pPr>
      <w:rPr>
        <w:rFonts w:hint="eastAsia" w:ascii="黑体" w:eastAsia="黑体"/>
        <w:b w:val="0"/>
        <w:i w:val="0"/>
        <w:sz w:val="21"/>
      </w:rPr>
    </w:lvl>
    <w:lvl w:ilvl="4" w:tentative="0">
      <w:start w:val="1"/>
      <w:numFmt w:val="decimal"/>
      <w:pStyle w:val="25"/>
      <w:suff w:val="nothing"/>
      <w:lvlText w:val="%1%2.%3.%4.%5　"/>
      <w:lvlJc w:val="left"/>
      <w:pPr>
        <w:ind w:left="0" w:firstLine="0"/>
      </w:pPr>
      <w:rPr>
        <w:rFonts w:hint="eastAsia" w:ascii="黑体" w:eastAsia="黑体"/>
        <w:b w:val="0"/>
        <w:i w:val="0"/>
        <w:sz w:val="21"/>
      </w:rPr>
    </w:lvl>
    <w:lvl w:ilvl="5" w:tentative="0">
      <w:start w:val="1"/>
      <w:numFmt w:val="decimal"/>
      <w:pStyle w:val="26"/>
      <w:suff w:val="nothing"/>
      <w:lvlText w:val="%1%2.%3.%4.%5.%6　"/>
      <w:lvlJc w:val="left"/>
      <w:pPr>
        <w:ind w:left="0" w:firstLine="0"/>
      </w:pPr>
      <w:rPr>
        <w:rFonts w:hint="eastAsia" w:ascii="黑体" w:eastAsia="黑体"/>
        <w:b w:val="0"/>
        <w:i w:val="0"/>
        <w:sz w:val="21"/>
      </w:rPr>
    </w:lvl>
    <w:lvl w:ilvl="6" w:tentative="0">
      <w:start w:val="1"/>
      <w:numFmt w:val="decimal"/>
      <w:pStyle w:val="2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MWU4NjE2ZThjZWFmNTIyNjY1N2Y2MGM4NGU0YzgifQ=="/>
  </w:docVars>
  <w:rsids>
    <w:rsidRoot w:val="00CD4C7B"/>
    <w:rsid w:val="0008419C"/>
    <w:rsid w:val="001176A1"/>
    <w:rsid w:val="00124678"/>
    <w:rsid w:val="00170ED5"/>
    <w:rsid w:val="0018179C"/>
    <w:rsid w:val="001D13EB"/>
    <w:rsid w:val="001E224D"/>
    <w:rsid w:val="00241CE1"/>
    <w:rsid w:val="002B0954"/>
    <w:rsid w:val="002E38BC"/>
    <w:rsid w:val="003244C8"/>
    <w:rsid w:val="00357971"/>
    <w:rsid w:val="003A76F7"/>
    <w:rsid w:val="003B6DDD"/>
    <w:rsid w:val="004137ED"/>
    <w:rsid w:val="00483A51"/>
    <w:rsid w:val="004C3EE0"/>
    <w:rsid w:val="00505D72"/>
    <w:rsid w:val="00505F6D"/>
    <w:rsid w:val="00516FF5"/>
    <w:rsid w:val="005473E3"/>
    <w:rsid w:val="005653B0"/>
    <w:rsid w:val="005A443D"/>
    <w:rsid w:val="005C2EC6"/>
    <w:rsid w:val="005F0496"/>
    <w:rsid w:val="00626447"/>
    <w:rsid w:val="0064495E"/>
    <w:rsid w:val="006B1B5D"/>
    <w:rsid w:val="006F64B1"/>
    <w:rsid w:val="007269A7"/>
    <w:rsid w:val="007D2A11"/>
    <w:rsid w:val="008E31F4"/>
    <w:rsid w:val="008F481D"/>
    <w:rsid w:val="009405B8"/>
    <w:rsid w:val="009E3032"/>
    <w:rsid w:val="009F1A76"/>
    <w:rsid w:val="00A27E5B"/>
    <w:rsid w:val="00A32835"/>
    <w:rsid w:val="00A32A72"/>
    <w:rsid w:val="00AD1CD2"/>
    <w:rsid w:val="00AE5E96"/>
    <w:rsid w:val="00B416EB"/>
    <w:rsid w:val="00B4301F"/>
    <w:rsid w:val="00B64631"/>
    <w:rsid w:val="00B76C56"/>
    <w:rsid w:val="00BE4C18"/>
    <w:rsid w:val="00C0346F"/>
    <w:rsid w:val="00C103F8"/>
    <w:rsid w:val="00C309E3"/>
    <w:rsid w:val="00C3369E"/>
    <w:rsid w:val="00C36217"/>
    <w:rsid w:val="00C4181A"/>
    <w:rsid w:val="00C86FC2"/>
    <w:rsid w:val="00CD4C7B"/>
    <w:rsid w:val="00CD7CF2"/>
    <w:rsid w:val="00D83E5E"/>
    <w:rsid w:val="00E22DE1"/>
    <w:rsid w:val="00E54BF0"/>
    <w:rsid w:val="00EA5BE7"/>
    <w:rsid w:val="00F5526A"/>
    <w:rsid w:val="00F868CE"/>
    <w:rsid w:val="00FA4CD3"/>
    <w:rsid w:val="0BFF933B"/>
    <w:rsid w:val="137038B3"/>
    <w:rsid w:val="17B5E1C4"/>
    <w:rsid w:val="17F6EC37"/>
    <w:rsid w:val="1A0103D9"/>
    <w:rsid w:val="1CEA31B9"/>
    <w:rsid w:val="1CFD10EE"/>
    <w:rsid w:val="1DFD5EB6"/>
    <w:rsid w:val="21BE0F4D"/>
    <w:rsid w:val="2DCDC0E5"/>
    <w:rsid w:val="2FDFED38"/>
    <w:rsid w:val="369E36FB"/>
    <w:rsid w:val="37DD39F9"/>
    <w:rsid w:val="37DD54D8"/>
    <w:rsid w:val="3BBA14A4"/>
    <w:rsid w:val="3EEF23FA"/>
    <w:rsid w:val="3F427F24"/>
    <w:rsid w:val="417E7959"/>
    <w:rsid w:val="45875DAE"/>
    <w:rsid w:val="473B4AE0"/>
    <w:rsid w:val="4765254A"/>
    <w:rsid w:val="4AADFD5E"/>
    <w:rsid w:val="4EBAF955"/>
    <w:rsid w:val="4F75ACBA"/>
    <w:rsid w:val="59805488"/>
    <w:rsid w:val="5ADE6EA5"/>
    <w:rsid w:val="5AE47C99"/>
    <w:rsid w:val="5AFE6FBA"/>
    <w:rsid w:val="5BBE8B73"/>
    <w:rsid w:val="5CFD3087"/>
    <w:rsid w:val="5DA54794"/>
    <w:rsid w:val="66E8D668"/>
    <w:rsid w:val="6E7F3CA7"/>
    <w:rsid w:val="6FFBE1CF"/>
    <w:rsid w:val="6FFC1506"/>
    <w:rsid w:val="6FFDE486"/>
    <w:rsid w:val="71FF9620"/>
    <w:rsid w:val="72F2AC8F"/>
    <w:rsid w:val="72FFF99F"/>
    <w:rsid w:val="73F194BE"/>
    <w:rsid w:val="78FFE6A1"/>
    <w:rsid w:val="795739A8"/>
    <w:rsid w:val="7BC762C5"/>
    <w:rsid w:val="7BFF708D"/>
    <w:rsid w:val="7CD79EF5"/>
    <w:rsid w:val="7DB73B8B"/>
    <w:rsid w:val="7DC5BD4D"/>
    <w:rsid w:val="7E6F24CD"/>
    <w:rsid w:val="7E8B3829"/>
    <w:rsid w:val="7EAF18E7"/>
    <w:rsid w:val="7F7D1A05"/>
    <w:rsid w:val="7F9BF752"/>
    <w:rsid w:val="7FFE1C7C"/>
    <w:rsid w:val="7FFF3152"/>
    <w:rsid w:val="8DE37DBF"/>
    <w:rsid w:val="9FEF8725"/>
    <w:rsid w:val="A35E50B9"/>
    <w:rsid w:val="A97EDC8C"/>
    <w:rsid w:val="B3EFF1B5"/>
    <w:rsid w:val="BE3FB410"/>
    <w:rsid w:val="BEAF8A60"/>
    <w:rsid w:val="BF7BFF7D"/>
    <w:rsid w:val="BFD68434"/>
    <w:rsid w:val="BFDCBAAD"/>
    <w:rsid w:val="BFDD4C4A"/>
    <w:rsid w:val="BFFDCA1E"/>
    <w:rsid w:val="BFFF6A63"/>
    <w:rsid w:val="CA3FAA02"/>
    <w:rsid w:val="CBFE12B2"/>
    <w:rsid w:val="CEDB1BFE"/>
    <w:rsid w:val="CEFB380F"/>
    <w:rsid w:val="D555FC75"/>
    <w:rsid w:val="D7EE70C8"/>
    <w:rsid w:val="DCFF331D"/>
    <w:rsid w:val="DD390B53"/>
    <w:rsid w:val="DE7F30C1"/>
    <w:rsid w:val="DE96CA12"/>
    <w:rsid w:val="DFDF1963"/>
    <w:rsid w:val="E5FB0355"/>
    <w:rsid w:val="E6DFC28C"/>
    <w:rsid w:val="E8A3181A"/>
    <w:rsid w:val="EEB3C400"/>
    <w:rsid w:val="EEF66318"/>
    <w:rsid w:val="F33F4B44"/>
    <w:rsid w:val="F5F5F50E"/>
    <w:rsid w:val="F73355C7"/>
    <w:rsid w:val="F7F54E0F"/>
    <w:rsid w:val="F7F57088"/>
    <w:rsid w:val="FA4F8630"/>
    <w:rsid w:val="FB3701D2"/>
    <w:rsid w:val="FBEF1E81"/>
    <w:rsid w:val="FBF3C93D"/>
    <w:rsid w:val="FEE7E6D5"/>
    <w:rsid w:val="FEFDA14F"/>
    <w:rsid w:val="FF7D1FE4"/>
    <w:rsid w:val="FF7DD642"/>
    <w:rsid w:val="FF9BAF72"/>
    <w:rsid w:val="FFB6D286"/>
    <w:rsid w:val="FFBD83B3"/>
    <w:rsid w:val="FFED2531"/>
    <w:rsid w:val="FFF6C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5"/>
    <w:unhideWhenUsed/>
    <w:qFormat/>
    <w:uiPriority w:val="1"/>
    <w:pPr>
      <w:spacing w:after="120"/>
    </w:pPr>
  </w:style>
  <w:style w:type="paragraph" w:styleId="4">
    <w:name w:val="annotation text"/>
    <w:basedOn w:val="1"/>
    <w:link w:val="16"/>
    <w:qFormat/>
    <w:uiPriority w:val="0"/>
    <w:pPr>
      <w:adjustRightInd/>
      <w:spacing w:line="240" w:lineRule="auto"/>
      <w:jc w:val="left"/>
    </w:pPr>
    <w:rPr>
      <w:rFonts w:ascii="Times New Roman" w:hAnsi="Times New Roman"/>
      <w:szCs w:val="24"/>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rPr>
      <w:rFonts w:ascii="宋体"/>
    </w:rPr>
  </w:style>
  <w:style w:type="table" w:styleId="9">
    <w:name w:val="Table Grid"/>
    <w:basedOn w:val="8"/>
    <w:qFormat/>
    <w:uiPriority w:val="3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rFonts w:ascii="宋体" w:hAnsi="Times New Roman" w:eastAsia="宋体"/>
      <w:color w:val="auto"/>
      <w:spacing w:val="0"/>
      <w:w w:val="100"/>
      <w:position w:val="0"/>
      <w:sz w:val="21"/>
      <w:u w:val="none"/>
      <w:vertAlign w:val="baseline"/>
    </w:rPr>
  </w:style>
  <w:style w:type="character" w:customStyle="1" w:styleId="12">
    <w:name w:val="页眉 字符"/>
    <w:basedOn w:val="10"/>
    <w:link w:val="6"/>
    <w:qFormat/>
    <w:uiPriority w:val="99"/>
    <w:rPr>
      <w:kern w:val="0"/>
      <w:sz w:val="18"/>
      <w:szCs w:val="18"/>
      <w14:ligatures w14:val="none"/>
    </w:rPr>
  </w:style>
  <w:style w:type="character" w:customStyle="1" w:styleId="13">
    <w:name w:val="页脚 字符"/>
    <w:basedOn w:val="10"/>
    <w:link w:val="5"/>
    <w:qFormat/>
    <w:uiPriority w:val="99"/>
    <w:rPr>
      <w:kern w:val="0"/>
      <w:sz w:val="18"/>
      <w:szCs w:val="18"/>
      <w14:ligatures w14:val="none"/>
    </w:rPr>
  </w:style>
  <w:style w:type="character" w:customStyle="1" w:styleId="14">
    <w:name w:val="标题 2 字符"/>
    <w:basedOn w:val="10"/>
    <w:link w:val="3"/>
    <w:qFormat/>
    <w:uiPriority w:val="0"/>
    <w:rPr>
      <w:rFonts w:ascii="Arial" w:hAnsi="Arial" w:eastAsia="黑体"/>
      <w:b/>
      <w:bCs/>
      <w:sz w:val="32"/>
      <w:szCs w:val="32"/>
      <w14:ligatures w14:val="none"/>
    </w:rPr>
  </w:style>
  <w:style w:type="character" w:customStyle="1" w:styleId="15">
    <w:name w:val="正文文本 字符"/>
    <w:basedOn w:val="10"/>
    <w:link w:val="2"/>
    <w:qFormat/>
    <w:uiPriority w:val="1"/>
    <w:rPr>
      <w:rFonts w:ascii="Calibri" w:hAnsi="Calibri" w:eastAsia="宋体"/>
      <w:sz w:val="21"/>
      <w:szCs w:val="21"/>
      <w14:ligatures w14:val="none"/>
    </w:rPr>
  </w:style>
  <w:style w:type="character" w:customStyle="1" w:styleId="16">
    <w:name w:val="批注文字 字符"/>
    <w:basedOn w:val="10"/>
    <w:link w:val="4"/>
    <w:qFormat/>
    <w:uiPriority w:val="0"/>
    <w:rPr>
      <w:rFonts w:eastAsia="宋体"/>
      <w:sz w:val="21"/>
      <w:szCs w:val="24"/>
      <w14:ligatures w14:val="none"/>
    </w:rPr>
  </w:style>
  <w:style w:type="paragraph" w:customStyle="1" w:styleId="1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0">
    <w:name w:val="标准文件_段"/>
    <w:link w:val="3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2">
    <w:name w:val="标准文件_二级条标题"/>
    <w:next w:val="20"/>
    <w:qFormat/>
    <w:uiPriority w:val="0"/>
    <w:pPr>
      <w:widowControl w:val="0"/>
      <w:numPr>
        <w:ilvl w:val="3"/>
        <w:numId w:val="1"/>
      </w:numPr>
      <w:spacing w:beforeLines="50" w:afterLines="50"/>
      <w:ind w:left="0"/>
      <w:jc w:val="both"/>
      <w:outlineLvl w:val="2"/>
    </w:pPr>
    <w:rPr>
      <w:rFonts w:ascii="黑体" w:hAnsi="Times New Roman" w:eastAsia="黑体" w:cs="Times New Roman"/>
      <w:sz w:val="21"/>
      <w:lang w:val="en-US" w:eastAsia="zh-CN" w:bidi="ar-SA"/>
    </w:rPr>
  </w:style>
  <w:style w:type="paragraph" w:customStyle="1" w:styleId="23">
    <w:name w:val="标准文件_前言、引言标题"/>
    <w:next w:val="1"/>
    <w:qFormat/>
    <w:uiPriority w:val="0"/>
    <w:pPr>
      <w:numPr>
        <w:ilvl w:val="0"/>
        <w:numId w:val="2"/>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24">
    <w:name w:val="标准文件_目录标题"/>
    <w:basedOn w:val="1"/>
    <w:qFormat/>
    <w:uiPriority w:val="0"/>
    <w:pPr>
      <w:spacing w:before="480" w:afterLines="150" w:line="240" w:lineRule="auto"/>
      <w:jc w:val="center"/>
    </w:pPr>
    <w:rPr>
      <w:rFonts w:ascii="黑体" w:eastAsia="黑体"/>
      <w:sz w:val="32"/>
    </w:rPr>
  </w:style>
  <w:style w:type="paragraph" w:customStyle="1" w:styleId="25">
    <w:name w:val="标准文件_三级条标题"/>
    <w:basedOn w:val="22"/>
    <w:next w:val="20"/>
    <w:qFormat/>
    <w:uiPriority w:val="0"/>
    <w:pPr>
      <w:widowControl/>
      <w:numPr>
        <w:ilvl w:val="4"/>
      </w:numPr>
      <w:outlineLvl w:val="3"/>
    </w:pPr>
  </w:style>
  <w:style w:type="paragraph" w:customStyle="1" w:styleId="26">
    <w:name w:val="标准文件_四级条标题"/>
    <w:next w:val="20"/>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27">
    <w:name w:val="标准文件_五级条标题"/>
    <w:next w:val="20"/>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28">
    <w:name w:val="标准文件_章标题"/>
    <w:next w:val="20"/>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9">
    <w:name w:val="标准文件_一级条标题"/>
    <w:basedOn w:val="28"/>
    <w:next w:val="20"/>
    <w:qFormat/>
    <w:uiPriority w:val="0"/>
    <w:pPr>
      <w:numPr>
        <w:ilvl w:val="2"/>
      </w:numPr>
      <w:spacing w:beforeLines="50" w:afterLines="50"/>
      <w:outlineLvl w:val="1"/>
    </w:pPr>
  </w:style>
  <w:style w:type="paragraph" w:customStyle="1" w:styleId="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31">
    <w:name w:val="其他发布部门"/>
    <w:basedOn w:val="1"/>
    <w:qFormat/>
    <w:uiPriority w:val="0"/>
    <w:pPr>
      <w:framePr w:w="7433" w:h="585" w:hRule="exact" w:hSpace="180" w:vSpace="180" w:wrap="around" w:vAnchor="margin" w:hAnchor="margin" w:xAlign="center" w:y="14401" w:anchorLock="1"/>
      <w:widowControl/>
      <w:adjustRightInd/>
      <w:spacing w:line="0" w:lineRule="atLeast"/>
      <w:jc w:val="center"/>
    </w:pPr>
    <w:rPr>
      <w:rFonts w:ascii="黑体" w:hAnsi="Times New Roman" w:eastAsia="黑体"/>
      <w:w w:val="135"/>
      <w:kern w:val="0"/>
      <w:sz w:val="36"/>
      <w:szCs w:val="20"/>
    </w:rPr>
  </w:style>
  <w:style w:type="paragraph" w:customStyle="1" w:styleId="32">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3">
    <w:name w:val="标准文件_二级无标题"/>
    <w:basedOn w:val="22"/>
    <w:qFormat/>
    <w:uiPriority w:val="0"/>
    <w:pPr>
      <w:spacing w:beforeLines="0" w:afterLines="0"/>
      <w:outlineLvl w:val="9"/>
    </w:pPr>
    <w:rPr>
      <w:rFonts w:ascii="宋体" w:eastAsia="宋体"/>
    </w:rPr>
  </w:style>
  <w:style w:type="paragraph" w:customStyle="1" w:styleId="34">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character" w:customStyle="1" w:styleId="35">
    <w:name w:val="标准文件_段 Char"/>
    <w:link w:val="20"/>
    <w:qFormat/>
    <w:uiPriority w:val="0"/>
    <w:rPr>
      <w:rFonts w:ascii="宋体" w:eastAsia="宋体"/>
      <w:kern w:val="0"/>
      <w:sz w:val="21"/>
      <w14:ligatures w14:val="none"/>
    </w:rPr>
  </w:style>
  <w:style w:type="paragraph" w:customStyle="1" w:styleId="36">
    <w:name w:val="其他发布日期"/>
    <w:basedOn w:val="1"/>
    <w:qFormat/>
    <w:uiPriority w:val="0"/>
    <w:pPr>
      <w:framePr w:w="3997" w:h="471" w:hRule="exact" w:vSpace="181" w:wrap="around" w:vAnchor="page" w:hAnchor="page" w:x="1419" w:y="14097" w:anchorLock="1"/>
      <w:widowControl/>
      <w:adjustRightInd/>
      <w:spacing w:line="240" w:lineRule="auto"/>
      <w:jc w:val="left"/>
    </w:pPr>
    <w:rPr>
      <w:rFonts w:ascii="Times New Roman" w:hAnsi="Times New Roman" w:eastAsia="黑体"/>
      <w:kern w:val="0"/>
      <w:sz w:val="28"/>
      <w:szCs w:val="20"/>
    </w:rPr>
  </w:style>
  <w:style w:type="paragraph" w:customStyle="1" w:styleId="37">
    <w:name w:val="其他实施日期"/>
    <w:basedOn w:val="1"/>
    <w:qFormat/>
    <w:uiPriority w:val="0"/>
    <w:pPr>
      <w:framePr w:w="3997" w:h="471" w:hRule="exact" w:vSpace="181" w:wrap="around" w:vAnchor="page" w:hAnchor="page" w:x="7089" w:y="14097" w:anchorLock="1"/>
      <w:widowControl/>
      <w:adjustRightInd/>
      <w:spacing w:line="240" w:lineRule="auto"/>
      <w:jc w:val="right"/>
    </w:pPr>
    <w:rPr>
      <w:rFonts w:ascii="Times New Roman" w:hAnsi="Times New Roman" w:eastAsia="黑体"/>
      <w:kern w:val="0"/>
      <w:sz w:val="28"/>
      <w:szCs w:val="20"/>
    </w:rPr>
  </w:style>
  <w:style w:type="paragraph" w:customStyle="1" w:styleId="38">
    <w:name w:val="标准文件_文件编号"/>
    <w:basedOn w:val="2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39">
    <w:name w:val="标准文件_替换文件编号"/>
    <w:basedOn w:val="38"/>
    <w:qFormat/>
    <w:uiPriority w:val="0"/>
    <w:pPr>
      <w:spacing w:before="57"/>
    </w:pPr>
    <w:rPr>
      <w:sz w:val="21"/>
    </w:rPr>
  </w:style>
  <w:style w:type="paragraph" w:customStyle="1" w:styleId="40">
    <w:name w:val="标准文件_文件名称"/>
    <w:basedOn w:val="20"/>
    <w:next w:val="2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41">
    <w:name w:val="标准文件_引言一级条标题"/>
    <w:basedOn w:val="20"/>
    <w:next w:val="20"/>
    <w:qFormat/>
    <w:uiPriority w:val="0"/>
    <w:pPr>
      <w:numPr>
        <w:ilvl w:val="1"/>
        <w:numId w:val="2"/>
      </w:numPr>
      <w:tabs>
        <w:tab w:val="left" w:pos="360"/>
      </w:tabs>
      <w:spacing w:beforeLines="50" w:afterLines="50"/>
      <w:ind w:firstLine="200" w:firstLineChars="0"/>
    </w:pPr>
    <w:rPr>
      <w:rFonts w:ascii="黑体" w:eastAsia="黑体"/>
    </w:rPr>
  </w:style>
  <w:style w:type="paragraph" w:customStyle="1" w:styleId="42">
    <w:name w:val="标准文件_引言二级条标题"/>
    <w:basedOn w:val="20"/>
    <w:next w:val="20"/>
    <w:qFormat/>
    <w:uiPriority w:val="0"/>
    <w:pPr>
      <w:numPr>
        <w:ilvl w:val="2"/>
        <w:numId w:val="2"/>
      </w:numPr>
      <w:tabs>
        <w:tab w:val="left" w:pos="360"/>
      </w:tabs>
      <w:spacing w:beforeLines="50" w:afterLines="50"/>
      <w:ind w:firstLine="200" w:firstLineChars="0"/>
    </w:pPr>
    <w:rPr>
      <w:rFonts w:ascii="黑体" w:eastAsia="黑体"/>
    </w:rPr>
  </w:style>
  <w:style w:type="paragraph" w:customStyle="1" w:styleId="43">
    <w:name w:val="标准文件_引言三级条标题"/>
    <w:basedOn w:val="20"/>
    <w:next w:val="20"/>
    <w:qFormat/>
    <w:uiPriority w:val="0"/>
    <w:pPr>
      <w:numPr>
        <w:ilvl w:val="3"/>
        <w:numId w:val="2"/>
      </w:numPr>
      <w:tabs>
        <w:tab w:val="left" w:pos="360"/>
      </w:tabs>
      <w:spacing w:beforeLines="50" w:afterLines="50"/>
      <w:ind w:firstLine="200" w:firstLineChars="0"/>
    </w:pPr>
    <w:rPr>
      <w:rFonts w:ascii="黑体" w:eastAsia="黑体"/>
    </w:rPr>
  </w:style>
  <w:style w:type="paragraph" w:customStyle="1" w:styleId="44">
    <w:name w:val="标准文件_引言四级条标题"/>
    <w:basedOn w:val="20"/>
    <w:next w:val="20"/>
    <w:qFormat/>
    <w:uiPriority w:val="0"/>
    <w:pPr>
      <w:numPr>
        <w:ilvl w:val="4"/>
        <w:numId w:val="2"/>
      </w:numPr>
      <w:tabs>
        <w:tab w:val="left" w:pos="360"/>
      </w:tabs>
      <w:spacing w:beforeLines="50" w:afterLines="50"/>
      <w:ind w:firstLine="200" w:firstLineChars="0"/>
    </w:pPr>
    <w:rPr>
      <w:rFonts w:ascii="黑体" w:eastAsia="黑体"/>
    </w:rPr>
  </w:style>
  <w:style w:type="paragraph" w:customStyle="1" w:styleId="45">
    <w:name w:val="标准文件_引言五级条标题"/>
    <w:basedOn w:val="20"/>
    <w:next w:val="20"/>
    <w:qFormat/>
    <w:uiPriority w:val="0"/>
    <w:pPr>
      <w:numPr>
        <w:ilvl w:val="5"/>
        <w:numId w:val="2"/>
      </w:numPr>
      <w:tabs>
        <w:tab w:val="left" w:pos="360"/>
      </w:tabs>
      <w:spacing w:beforeLines="50" w:afterLines="50"/>
      <w:ind w:firstLine="200" w:firstLineChars="0"/>
    </w:pPr>
    <w:rPr>
      <w:rFonts w:ascii="黑体" w:eastAsia="黑体"/>
    </w:rPr>
  </w:style>
  <w:style w:type="character" w:customStyle="1" w:styleId="46">
    <w:name w:val="发布"/>
    <w:basedOn w:val="10"/>
    <w:qFormat/>
    <w:uiPriority w:val="0"/>
    <w:rPr>
      <w:rFonts w:ascii="黑体" w:eastAsia="黑体"/>
      <w:spacing w:val="85"/>
      <w:w w:val="100"/>
      <w:position w:val="3"/>
      <w:sz w:val="28"/>
      <w:szCs w:val="28"/>
    </w:rPr>
  </w:style>
  <w:style w:type="paragraph" w:customStyle="1" w:styleId="47">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8">
    <w:name w:val="段 Char"/>
    <w:basedOn w:val="10"/>
    <w:link w:val="47"/>
    <w:qFormat/>
    <w:uiPriority w:val="0"/>
    <w:rPr>
      <w:rFonts w:ascii="宋体" w:eastAsia="宋体"/>
      <w:kern w:val="0"/>
      <w:sz w:val="21"/>
      <w14:ligatures w14:val="none"/>
    </w:rPr>
  </w:style>
  <w:style w:type="character" w:customStyle="1" w:styleId="49">
    <w:name w:val="cf01"/>
    <w:basedOn w:val="10"/>
    <w:uiPriority w:val="0"/>
    <w:rPr>
      <w:rFonts w:hint="eastAsia" w:ascii="Microsoft YaHei UI" w:hAnsi="Microsoft YaHei UI" w:eastAsia="Microsoft YaHei UI"/>
      <w:sz w:val="18"/>
      <w:szCs w:val="18"/>
    </w:rPr>
  </w:style>
  <w:style w:type="paragraph" w:customStyle="1" w:styleId="50">
    <w:name w:val="Revision"/>
    <w:hidden/>
    <w:unhideWhenUsed/>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ABBA00787794062A9E4FCB43F180EF6"/>
        <w:style w:val=""/>
        <w:category>
          <w:name w:val="常规"/>
          <w:gallery w:val="placeholder"/>
        </w:category>
        <w:types>
          <w:type w:val="bbPlcHdr"/>
        </w:types>
        <w:behaviors>
          <w:behavior w:val="content"/>
        </w:behaviors>
        <w:description w:val=""/>
        <w:guid w:val="{3F85F858-065B-4D39-96A1-FFF14A3D5A40}"/>
      </w:docPartPr>
      <w:docPartBody>
        <w:p>
          <w:pPr>
            <w:pStyle w:val="5"/>
          </w:pPr>
          <w:r>
            <w:rPr>
              <w:rStyle w:val="4"/>
              <w:rFonts w:hint="eastAsia"/>
            </w:rPr>
            <w:t>单击或点击此处输入文字。</w:t>
          </w:r>
        </w:p>
      </w:docPartBody>
    </w:docPart>
    <w:docPart>
      <w:docPartPr>
        <w:name w:val="A62F4A8B28DD41F9A8E779C1BC5B2D71"/>
        <w:style w:val=""/>
        <w:category>
          <w:name w:val="常规"/>
          <w:gallery w:val="placeholder"/>
        </w:category>
        <w:types>
          <w:type w:val="bbPlcHdr"/>
        </w:types>
        <w:behaviors>
          <w:behavior w:val="content"/>
        </w:behaviors>
        <w:description w:val=""/>
        <w:guid w:val="{5E11F78A-A5D3-4AAA-B70F-A5EDE3EC2499}"/>
      </w:docPartPr>
      <w:docPartBody>
        <w:p>
          <w:pPr>
            <w:pStyle w:val="6"/>
          </w:pPr>
          <w:r>
            <w:rPr>
              <w:rStyle w:val="4"/>
              <w:rFonts w:hint="eastAsia"/>
            </w:rPr>
            <w:t>选择一项。</w:t>
          </w:r>
        </w:p>
      </w:docPartBody>
    </w:docPart>
    <w:docPart>
      <w:docPartPr>
        <w:name w:val="ACBF11D3E5B4403C8C0E9A44B3D3092E"/>
        <w:style w:val=""/>
        <w:category>
          <w:name w:val="常规"/>
          <w:gallery w:val="placeholder"/>
        </w:category>
        <w:types>
          <w:type w:val="bbPlcHdr"/>
        </w:types>
        <w:behaviors>
          <w:behavior w:val="content"/>
        </w:behaviors>
        <w:description w:val=""/>
        <w:guid w:val="{50C85446-A32F-4B60-9138-7B46C1BEB8D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4F"/>
    <w:rsid w:val="002A2FE3"/>
    <w:rsid w:val="00372DAE"/>
    <w:rsid w:val="005855A3"/>
    <w:rsid w:val="0059185E"/>
    <w:rsid w:val="006D6ACA"/>
    <w:rsid w:val="00750D4F"/>
    <w:rsid w:val="007B738C"/>
    <w:rsid w:val="00887A47"/>
    <w:rsid w:val="008C0B3D"/>
    <w:rsid w:val="009732EB"/>
    <w:rsid w:val="009E4171"/>
    <w:rsid w:val="00AB2218"/>
    <w:rsid w:val="00C646C9"/>
    <w:rsid w:val="00D0395B"/>
    <w:rsid w:val="00D2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ABBA00787794062A9E4FCB43F180EF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62F4A8B28DD41F9A8E779C1BC5B2D7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CBF11D3E5B4403C8C0E9A44B3D3092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566</Words>
  <Characters>3232</Characters>
  <Lines>1</Lines>
  <Paragraphs>1</Paragraphs>
  <TotalTime>11</TotalTime>
  <ScaleCrop>false</ScaleCrop>
  <LinksUpToDate>false</LinksUpToDate>
  <CharactersWithSpaces>3791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2023-03-13T00:27:00Z</dcterms:created>
  <dc:creator>孙 维维</dc:creator>
  <cp:lastModifiedBy>WPS_1656656451</cp:lastModifiedBy>
  <dcterms:modified xsi:type="dcterms:W3CDTF">2023-07-28T06:42:50Z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3D6D9CDF779049B195FDA91B0BA9BA3F_13</vt:lpwstr>
  </property>
</Properties>
</file>