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江苏省数字金融协会团体标准征求意见汇总处理表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江苏省绿色融资主体认定评价标准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 xml:space="preserve">       项目编号：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14"/>
        <w:tblW w:w="13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727"/>
        <w:gridCol w:w="4600"/>
        <w:gridCol w:w="1060"/>
        <w:gridCol w:w="1644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章节/编号</w:t>
            </w:r>
          </w:p>
        </w:tc>
        <w:tc>
          <w:tcPr>
            <w:tcW w:w="7327" w:type="dxa"/>
            <w:gridSpan w:val="2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单位、姓名、电话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修改情况（采纳/不采纳）</w:t>
            </w:r>
          </w:p>
        </w:tc>
        <w:tc>
          <w:tcPr>
            <w:tcW w:w="2362" w:type="dxa"/>
            <w:vMerge w:val="restart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原稿</w:t>
            </w: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改为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</w:p>
        </w:tc>
        <w:tc>
          <w:tcPr>
            <w:tcW w:w="2362" w:type="dxa"/>
            <w:vMerge w:val="continue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 规范性引用文件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</w:pPr>
            <w:r>
              <w:rPr>
                <w:rFonts w:hint="eastAsia"/>
              </w:rPr>
              <w:t>—</w:t>
            </w:r>
            <w:r>
              <w:t>《产业结构调整指导目录（2019年本）（发改</w:t>
            </w:r>
            <w:r>
              <w:rPr>
                <w:rFonts w:hint="eastAsia"/>
              </w:rPr>
              <w:t>〔</w:t>
            </w:r>
            <w:r>
              <w:t>2019</w:t>
            </w:r>
            <w:r>
              <w:rPr>
                <w:rFonts w:hint="eastAsia"/>
              </w:rPr>
              <w:t>〕</w:t>
            </w:r>
            <w:r>
              <w:t>29号文）</w:t>
            </w:r>
          </w:p>
          <w:p>
            <w:pPr>
              <w:pStyle w:val="22"/>
              <w:bidi w:val="0"/>
            </w:pPr>
            <w:r>
              <w:rPr>
                <w:rFonts w:hint="eastAsia"/>
              </w:rPr>
              <w:t>—</w:t>
            </w:r>
            <w:r>
              <w:t>《绿色产业指导目录（2019年版）》（发改环资</w:t>
            </w:r>
            <w:r>
              <w:rPr>
                <w:rFonts w:hint="eastAsia"/>
              </w:rPr>
              <w:t>〔</w:t>
            </w:r>
            <w:r>
              <w:t>2019</w:t>
            </w:r>
            <w:r>
              <w:rPr>
                <w:rFonts w:hint="eastAsia"/>
              </w:rPr>
              <w:t>〕</w:t>
            </w:r>
            <w:r>
              <w:t>293 号文）</w:t>
            </w:r>
          </w:p>
          <w:p>
            <w:pPr>
              <w:pStyle w:val="22"/>
              <w:bidi w:val="0"/>
              <w:rPr>
                <w:rFonts w:hint="eastAsia"/>
              </w:rPr>
            </w:pP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—</w:t>
            </w:r>
            <w:r>
              <w:t>《产业结构调整指导目录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pStyle w:val="22"/>
              <w:bidi w:val="0"/>
            </w:pPr>
            <w:r>
              <w:rPr>
                <w:rFonts w:hint="eastAsia"/>
              </w:rPr>
              <w:t>—</w:t>
            </w:r>
            <w:r>
              <w:t>《绿色产业指导目录》</w:t>
            </w:r>
          </w:p>
          <w:p>
            <w:pPr>
              <w:pStyle w:val="22"/>
              <w:bidi w:val="0"/>
            </w:pPr>
            <w:r>
              <w:rPr>
                <w:rFonts w:hint="eastAsia"/>
              </w:rPr>
              <w:t>—《绿色低碳技术专利分类体系》（国知办函规字〔2022〕1044号）</w:t>
            </w:r>
          </w:p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—《国家发展改革委办公厅关于印发第三批10个行业企业温室气体核算方法与报告指南（试行）的通知》（发改办气候〔2015〕1722号）</w:t>
            </w:r>
          </w:p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—《</w:t>
            </w:r>
            <w:r>
              <w:rPr>
                <w:rFonts w:hint="eastAsia"/>
              </w:rPr>
              <w:t>国家发展改革委办公厅关于印发第二批4个行业企业温室气体排放核算方法与报告指南（试行）的通知</w:t>
            </w:r>
            <w:r>
              <w:rPr>
                <w:rFonts w:hint="eastAsia"/>
                <w:lang w:eastAsia="zh-CN"/>
              </w:rPr>
              <w:t>》（发改办气候〔2014〕2920号）</w:t>
            </w:r>
          </w:p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—《国家发展改革委办公厅关于印发首批10个行业企业温室气体排放核算方法与报告指南（试行）的通知》（发改办气候〔2013〕2526号）</w:t>
            </w:r>
          </w:p>
          <w:p>
            <w:pPr>
              <w:pStyle w:val="22"/>
              <w:bidi w:val="0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 绿色产业</w:t>
            </w:r>
          </w:p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6.绿色企业认定标准</w:t>
            </w:r>
          </w:p>
          <w:p>
            <w:pPr>
              <w:pStyle w:val="2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8.绿色项目认定标准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</w:pPr>
            <w:r>
              <w:t>《产业结构调整指导目录（2019年本）（发改</w:t>
            </w:r>
            <w:r>
              <w:rPr>
                <w:rFonts w:hint="eastAsia"/>
              </w:rPr>
              <w:t>〔</w:t>
            </w:r>
            <w:r>
              <w:t>2019</w:t>
            </w:r>
            <w:r>
              <w:rPr>
                <w:rFonts w:hint="eastAsia"/>
              </w:rPr>
              <w:t>〕</w:t>
            </w:r>
            <w:r>
              <w:t>29号文）</w:t>
            </w:r>
          </w:p>
          <w:p>
            <w:pPr>
              <w:pStyle w:val="22"/>
              <w:bidi w:val="0"/>
            </w:pPr>
            <w:r>
              <w:t>《绿色产业指导目录（2019年版）》（发改环资</w:t>
            </w:r>
            <w:r>
              <w:rPr>
                <w:rFonts w:hint="eastAsia"/>
              </w:rPr>
              <w:t>〔</w:t>
            </w:r>
            <w:r>
              <w:t>2019</w:t>
            </w:r>
            <w:r>
              <w:rPr>
                <w:rFonts w:hint="eastAsia"/>
              </w:rPr>
              <w:t>〕</w:t>
            </w:r>
            <w:r>
              <w:t>293 号文）</w:t>
            </w:r>
          </w:p>
          <w:p>
            <w:pPr>
              <w:pStyle w:val="22"/>
              <w:bidi w:val="0"/>
              <w:rPr>
                <w:rFonts w:hint="eastAsia"/>
              </w:rPr>
            </w:pP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—</w:t>
            </w:r>
            <w:r>
              <w:t>《产业结构调整指导目录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pStyle w:val="22"/>
              <w:bidi w:val="0"/>
            </w:pPr>
            <w:r>
              <w:rPr>
                <w:rFonts w:hint="eastAsia"/>
              </w:rPr>
              <w:t>—</w:t>
            </w:r>
            <w:r>
              <w:t>《绿色产业指导目录》</w:t>
            </w:r>
          </w:p>
          <w:p>
            <w:pPr>
              <w:pStyle w:val="22"/>
              <w:bidi w:val="0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4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B.2评价系统（附注2）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碳减排数据可以是经过第三方碳核查机构认证的数据，或者是申请单位提供可佐证参数由绿金平台换算成碳排放数据，或者在立项相关材料中披露相关减排数据，后两种情况评分分别进行x0.8，x0.5调整。</w:t>
            </w:r>
          </w:p>
          <w:p>
            <w:pPr>
              <w:pStyle w:val="22"/>
              <w:bidi w:val="0"/>
              <w:rPr>
                <w:rFonts w:hint="eastAsia"/>
              </w:rPr>
            </w:pP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  <w:t>不采纳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考虑到不同平台碳核算执行标准、相关资质、核算结果呈现形式等差异会影响后期认定评价结果，不采纳关于接入第三方平台核算的专家意见，统一在省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绿金平台进行核算。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7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表C.1 主要能源品种折算系数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eastAsia="zh-CN"/>
              </w:rPr>
              <w:drawing>
                <wp:inline distT="0" distB="0" distL="114300" distR="114300">
                  <wp:extent cx="1137920" cy="1566545"/>
                  <wp:effectExtent l="0" t="0" r="5080" b="8255"/>
                  <wp:docPr id="1" name="图片 1" descr="1687747658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877476586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eastAsia="zh-CN"/>
              </w:rPr>
              <w:drawing>
                <wp:inline distT="0" distB="0" distL="114300" distR="114300">
                  <wp:extent cx="1956435" cy="1423035"/>
                  <wp:effectExtent l="0" t="0" r="12065" b="12065"/>
                  <wp:docPr id="4" name="图片 4" descr="1687771866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877718665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2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C.5 绿色电力使用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绿色电力使用为企业</w:t>
            </w:r>
            <w:r>
              <w:rPr>
                <w:rFonts w:hint="eastAsia"/>
                <w:lang w:val="en-US" w:eastAsia="zh-CN"/>
              </w:rPr>
              <w:t>绿色电力的</w:t>
            </w:r>
            <w:r>
              <w:rPr>
                <w:rFonts w:hint="eastAsia"/>
              </w:rPr>
              <w:t>消耗量与总体电力消耗量的比值</w:t>
            </w: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绿色电力使用为企业</w:t>
            </w:r>
            <w:r>
              <w:rPr>
                <w:rFonts w:hint="eastAsia"/>
                <w:lang w:val="en-US" w:eastAsia="zh-CN"/>
              </w:rPr>
              <w:t>的分布式光伏、长期绿色电力采购协议、绿色电力证书等形式绿色电力</w:t>
            </w:r>
            <w:r>
              <w:rPr>
                <w:rFonts w:hint="eastAsia"/>
              </w:rPr>
              <w:t>消耗量与总体电力消耗量的比值</w:t>
            </w: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标题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Identification and Evaluation Standards of </w:t>
            </w:r>
          </w:p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Green Financing Entity for Jiangsu Province</w:t>
            </w: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Identification and Evaluation Standards of </w:t>
            </w:r>
          </w:p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Green Financing Entity for Jiangsu Province</w:t>
            </w:r>
          </w:p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(Draft for Comments)</w:t>
            </w:r>
          </w:p>
          <w:p>
            <w:pPr>
              <w:pStyle w:val="22"/>
              <w:bidi w:val="0"/>
              <w:rPr>
                <w:rFonts w:hint="eastAsia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1）、规范性 引用文件； 2）、6绿色企 业认证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《产业结构调整指导目录（ 2019 年本）（ 发改〔 2019〕 29 号文）</w:t>
            </w: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《产业结构调整指导目录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5认定评价流程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只有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绿色认定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的融资主体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才可被纳入绿色融资主体评价范围</w:t>
            </w: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只有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融资主体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才可被纳入绿色融资主体评价范围</w:t>
            </w: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已在4.4绿色融资主体认定中给出解释，为便于理解，后文中修改了“绿色认定”的表述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5认定评价流程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绿色企业库或绿色项目库</w:t>
            </w: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绿色企业库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绿色项目库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6的绿色企业认 定标准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来自相应绿色产业的营业收入占比超过 50%（含），或来自相应绿色产业的营业收入 占比在 30%（含）至 50%，且高于其他产业收入占比</w:t>
            </w:r>
          </w:p>
        </w:tc>
        <w:tc>
          <w:tcPr>
            <w:tcW w:w="4600" w:type="dxa"/>
            <w:vAlign w:val="center"/>
          </w:tcPr>
          <w:p>
            <w:pPr>
              <w:pStyle w:val="22"/>
              <w:bidi w:val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来自相应绿色产业的营业收入占比超过 50%（含）；来自相应绿色产业的营业收 入占比在 30%（含）至 50%，且高于其他产业收入占比</w:t>
            </w: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exact"/>
          <w:jc w:val="center"/>
        </w:trPr>
        <w:tc>
          <w:tcPr>
            <w:tcW w:w="1570" w:type="dxa"/>
            <w:vAlign w:val="center"/>
          </w:tcPr>
          <w:p>
            <w:pPr>
              <w:pStyle w:val="22"/>
              <w:bidi w:val="0"/>
              <w:rPr>
                <w:rFonts w:hint="eastAsia"/>
              </w:rPr>
            </w:pPr>
            <w:r>
              <w:rPr>
                <w:rFonts w:hint="eastAsia"/>
              </w:rPr>
              <w:t>表A.1</w:t>
            </w:r>
          </w:p>
        </w:tc>
        <w:tc>
          <w:tcPr>
            <w:tcW w:w="2727" w:type="dxa"/>
            <w:vAlign w:val="center"/>
          </w:tcPr>
          <w:p>
            <w:pPr>
              <w:pStyle w:val="22"/>
              <w:numPr>
                <w:ilvl w:val="0"/>
                <w:numId w:val="5"/>
              </w:numPr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建立制度，并通 过第三方认定</w:t>
            </w:r>
          </w:p>
          <w:p>
            <w:pPr>
              <w:pStyle w:val="22"/>
              <w:numPr>
                <w:ilvl w:val="0"/>
                <w:numId w:val="5"/>
              </w:numPr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大于等于25%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含）</w:t>
            </w:r>
          </w:p>
        </w:tc>
        <w:tc>
          <w:tcPr>
            <w:tcW w:w="4600" w:type="dxa"/>
            <w:vAlign w:val="center"/>
          </w:tcPr>
          <w:p>
            <w:pPr>
              <w:pStyle w:val="22"/>
              <w:numPr>
                <w:ilvl w:val="0"/>
                <w:numId w:val="6"/>
              </w:numPr>
              <w:bidi w:val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建立</w:t>
            </w:r>
            <w:r>
              <w:rPr>
                <w:rFonts w:hint="eastAsia"/>
                <w:lang w:val="en-US" w:eastAsia="zh-CN"/>
              </w:rPr>
              <w:t>有关</w:t>
            </w:r>
            <w:r>
              <w:rPr>
                <w:rFonts w:hint="eastAsia"/>
              </w:rPr>
              <w:t>制度，并通过第三方认定</w:t>
            </w:r>
          </w:p>
          <w:p>
            <w:pPr>
              <w:pStyle w:val="22"/>
              <w:numPr>
                <w:ilvl w:val="0"/>
                <w:numId w:val="6"/>
              </w:numPr>
              <w:bidi w:val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大于等于25%</w:t>
            </w:r>
          </w:p>
        </w:tc>
        <w:tc>
          <w:tcPr>
            <w:tcW w:w="1060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江苏省联合征信有限公司 谭师林 17361806097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bidi w:val="0"/>
              <w:ind w:firstLine="0" w:firstLineChars="0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2362" w:type="dxa"/>
            <w:vAlign w:val="center"/>
          </w:tcPr>
          <w:p>
            <w:pPr>
              <w:pStyle w:val="22"/>
              <w:bidi w:val="0"/>
              <w:rPr>
                <w:rFonts w:hint="eastAsia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B331E"/>
    <w:multiLevelType w:val="singleLevel"/>
    <w:tmpl w:val="965B331E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D86AAC38"/>
    <w:multiLevelType w:val="singleLevel"/>
    <w:tmpl w:val="D86AAC38"/>
    <w:lvl w:ilvl="0" w:tentative="0">
      <w:start w:val="1"/>
      <w:numFmt w:val="decimal"/>
      <w:pStyle w:val="21"/>
      <w:lvlText w:val="图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b/>
        <w:sz w:val="24"/>
      </w:rPr>
    </w:lvl>
  </w:abstractNum>
  <w:abstractNum w:abstractNumId="2">
    <w:nsid w:val="DF3FF4AD"/>
    <w:multiLevelType w:val="multilevel"/>
    <w:tmpl w:val="DF3FF4AD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5" w:hanging="575"/>
      </w:pPr>
      <w:rPr>
        <w:rFonts w:hint="default" w:ascii="Times New Roman" w:hAnsi="Times New Roman" w:eastAsia="宋体" w:cs="Times New Roman"/>
        <w:b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 w:ascii="Times New Roman" w:hAnsi="Times New Roman" w:eastAsia="宋体" w:cs="Times New Roman"/>
        <w:b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 w:ascii="Times New Roman" w:hAnsi="Times New Roman" w:eastAsia="宋体" w:cs="Times New Roman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E12E1CA4"/>
    <w:multiLevelType w:val="singleLevel"/>
    <w:tmpl w:val="E12E1CA4"/>
    <w:lvl w:ilvl="0" w:tentative="0">
      <w:start w:val="1"/>
      <w:numFmt w:val="decimal"/>
      <w:pStyle w:val="23"/>
      <w:suff w:val="nothing"/>
      <w:lvlText w:val="%1）"/>
      <w:lvlJc w:val="left"/>
    </w:lvl>
  </w:abstractNum>
  <w:abstractNum w:abstractNumId="4">
    <w:nsid w:val="0BA71250"/>
    <w:multiLevelType w:val="singleLevel"/>
    <w:tmpl w:val="0BA71250"/>
    <w:lvl w:ilvl="0" w:tentative="0">
      <w:start w:val="1"/>
      <w:numFmt w:val="decimal"/>
      <w:pStyle w:val="20"/>
      <w:lvlText w:val="表%1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Times New Roman" w:hAnsi="Times New Roman" w:eastAsia="宋体" w:cs="Times New Roman"/>
        <w:b/>
        <w:sz w:val="24"/>
        <w:szCs w:val="24"/>
      </w:rPr>
    </w:lvl>
  </w:abstractNum>
  <w:abstractNum w:abstractNumId="5">
    <w:nsid w:val="1079F812"/>
    <w:multiLevelType w:val="singleLevel"/>
    <w:tmpl w:val="1079F812"/>
    <w:lvl w:ilvl="0" w:tentative="0">
      <w:start w:val="1"/>
      <w:numFmt w:val="decimal"/>
      <w:suff w:val="space"/>
      <w:lvlText w:val="%1）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Mzg1MzA0NjM2YzQ0NzFjOTZjODhmYTg3NzY2ODAifQ=="/>
  </w:docVars>
  <w:rsids>
    <w:rsidRoot w:val="6BE617D3"/>
    <w:rsid w:val="00C11035"/>
    <w:rsid w:val="012A70BA"/>
    <w:rsid w:val="01861A0D"/>
    <w:rsid w:val="038E27B9"/>
    <w:rsid w:val="043B60F4"/>
    <w:rsid w:val="075E3B21"/>
    <w:rsid w:val="08976298"/>
    <w:rsid w:val="0B2030EF"/>
    <w:rsid w:val="130361C9"/>
    <w:rsid w:val="138129C4"/>
    <w:rsid w:val="142E65C5"/>
    <w:rsid w:val="14376075"/>
    <w:rsid w:val="14AA0EF6"/>
    <w:rsid w:val="18F51BCB"/>
    <w:rsid w:val="1A076A68"/>
    <w:rsid w:val="1A2867E8"/>
    <w:rsid w:val="1B7857D7"/>
    <w:rsid w:val="1D34441D"/>
    <w:rsid w:val="1DA32633"/>
    <w:rsid w:val="1E8D66D5"/>
    <w:rsid w:val="1F501C8A"/>
    <w:rsid w:val="1FA47017"/>
    <w:rsid w:val="1FB301D4"/>
    <w:rsid w:val="204C4020"/>
    <w:rsid w:val="20ED2D01"/>
    <w:rsid w:val="24A845B4"/>
    <w:rsid w:val="258921FC"/>
    <w:rsid w:val="25F425B4"/>
    <w:rsid w:val="261C238F"/>
    <w:rsid w:val="262E14F5"/>
    <w:rsid w:val="2744443E"/>
    <w:rsid w:val="276A7481"/>
    <w:rsid w:val="28217DC5"/>
    <w:rsid w:val="291300A1"/>
    <w:rsid w:val="2BE62485"/>
    <w:rsid w:val="2C2F2A9F"/>
    <w:rsid w:val="2EFE6A29"/>
    <w:rsid w:val="31E0115F"/>
    <w:rsid w:val="321C3628"/>
    <w:rsid w:val="33030ED0"/>
    <w:rsid w:val="33D66CC0"/>
    <w:rsid w:val="3518484F"/>
    <w:rsid w:val="38AE5971"/>
    <w:rsid w:val="395E2D66"/>
    <w:rsid w:val="3B227097"/>
    <w:rsid w:val="3D5C4E49"/>
    <w:rsid w:val="3D861C0E"/>
    <w:rsid w:val="3F984734"/>
    <w:rsid w:val="3FFF220B"/>
    <w:rsid w:val="41002899"/>
    <w:rsid w:val="412C1C94"/>
    <w:rsid w:val="424E1AC6"/>
    <w:rsid w:val="42E57C88"/>
    <w:rsid w:val="43792A18"/>
    <w:rsid w:val="440B7145"/>
    <w:rsid w:val="453A4479"/>
    <w:rsid w:val="45CE5ED6"/>
    <w:rsid w:val="46CD42D1"/>
    <w:rsid w:val="47213472"/>
    <w:rsid w:val="476B419D"/>
    <w:rsid w:val="491F5EC6"/>
    <w:rsid w:val="4E826BDB"/>
    <w:rsid w:val="537F71C8"/>
    <w:rsid w:val="5454390C"/>
    <w:rsid w:val="550E52A5"/>
    <w:rsid w:val="55E81E7D"/>
    <w:rsid w:val="593613EB"/>
    <w:rsid w:val="598E3CFA"/>
    <w:rsid w:val="5A925F07"/>
    <w:rsid w:val="5BFE0EDF"/>
    <w:rsid w:val="5C174477"/>
    <w:rsid w:val="5C33763B"/>
    <w:rsid w:val="5CB525A2"/>
    <w:rsid w:val="5D7E7156"/>
    <w:rsid w:val="5FA93400"/>
    <w:rsid w:val="60BA78EA"/>
    <w:rsid w:val="60D8036A"/>
    <w:rsid w:val="61B75E7F"/>
    <w:rsid w:val="62337403"/>
    <w:rsid w:val="641B498A"/>
    <w:rsid w:val="64E479CD"/>
    <w:rsid w:val="698C025D"/>
    <w:rsid w:val="6BE617D3"/>
    <w:rsid w:val="6CDC6D84"/>
    <w:rsid w:val="6CF71884"/>
    <w:rsid w:val="6ECF311E"/>
    <w:rsid w:val="70645DE9"/>
    <w:rsid w:val="70A13532"/>
    <w:rsid w:val="735127E9"/>
    <w:rsid w:val="74993B11"/>
    <w:rsid w:val="74B72C97"/>
    <w:rsid w:val="76DF3D5E"/>
    <w:rsid w:val="7B2460DF"/>
    <w:rsid w:val="7C8342AD"/>
    <w:rsid w:val="7CBE1606"/>
    <w:rsid w:val="7CF76237"/>
    <w:rsid w:val="7FB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paragraph" w:styleId="2">
    <w:name w:val="heading 1"/>
    <w:next w:val="1"/>
    <w:link w:val="18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jc w:val="left"/>
      <w:outlineLvl w:val="0"/>
    </w:pPr>
    <w:rPr>
      <w:rFonts w:ascii="Times New Roman" w:hAnsi="Times New Roman" w:eastAsia="宋体" w:cstheme="minorBidi"/>
      <w:b/>
      <w:kern w:val="44"/>
      <w:sz w:val="32"/>
    </w:rPr>
  </w:style>
  <w:style w:type="paragraph" w:styleId="3">
    <w:name w:val="heading 2"/>
    <w:basedOn w:val="2"/>
    <w:next w:val="1"/>
    <w:link w:val="17"/>
    <w:semiHidden/>
    <w:unhideWhenUsed/>
    <w:qFormat/>
    <w:uiPriority w:val="0"/>
    <w:pPr>
      <w:keepNext/>
      <w:keepLines/>
      <w:numPr>
        <w:ilvl w:val="1"/>
      </w:numPr>
      <w:spacing w:beforeLines="0" w:beforeAutospacing="0" w:afterLines="0" w:afterAutospacing="0" w:line="360" w:lineRule="auto"/>
      <w:ind w:left="0" w:firstLine="0" w:firstLineChars="0"/>
      <w:jc w:val="left"/>
      <w:outlineLvl w:val="1"/>
    </w:pPr>
    <w:rPr>
      <w:sz w:val="28"/>
    </w:rPr>
  </w:style>
  <w:style w:type="paragraph" w:styleId="4">
    <w:name w:val="heading 3"/>
    <w:basedOn w:val="3"/>
    <w:next w:val="1"/>
    <w:semiHidden/>
    <w:unhideWhenUsed/>
    <w:qFormat/>
    <w:uiPriority w:val="0"/>
    <w:pPr>
      <w:keepNext/>
      <w:keepLines/>
      <w:numPr>
        <w:ilvl w:val="2"/>
      </w:numPr>
      <w:tabs>
        <w:tab w:val="left" w:pos="0"/>
      </w:tabs>
      <w:spacing w:beforeLines="0" w:beforeAutospacing="0" w:afterLines="0" w:afterAutospacing="0" w:line="360" w:lineRule="auto"/>
      <w:ind w:left="0" w:firstLine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0" w:firstLine="0" w:firstLineChars="0"/>
      <w:outlineLvl w:val="3"/>
    </w:pPr>
    <w:rPr>
      <w:rFonts w:ascii="Times New Roman" w:hAnsi="Times New Roman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标题 2 Char"/>
    <w:link w:val="3"/>
    <w:qFormat/>
    <w:uiPriority w:val="0"/>
    <w:rPr>
      <w:rFonts w:ascii="Times New Roman" w:hAnsi="Times New Roman" w:eastAsia="宋体"/>
      <w:b/>
      <w:sz w:val="28"/>
    </w:rPr>
  </w:style>
  <w:style w:type="character" w:customStyle="1" w:styleId="18">
    <w:name w:val="标题 1 Char"/>
    <w:link w:val="2"/>
    <w:qFormat/>
    <w:uiPriority w:val="0"/>
    <w:rPr>
      <w:rFonts w:ascii="Times New Roman" w:hAnsi="Times New Roman" w:eastAsia="宋体"/>
      <w:b/>
      <w:kern w:val="44"/>
      <w:sz w:val="32"/>
    </w:rPr>
  </w:style>
  <w:style w:type="paragraph" w:customStyle="1" w:styleId="19">
    <w:name w:val="图标备注"/>
    <w:basedOn w:val="1"/>
    <w:qFormat/>
    <w:uiPriority w:val="0"/>
    <w:pPr>
      <w:spacing w:line="240" w:lineRule="auto"/>
      <w:ind w:firstLine="0" w:firstLineChars="0"/>
    </w:pPr>
    <w:rPr>
      <w:rFonts w:eastAsia="仿宋"/>
    </w:rPr>
  </w:style>
  <w:style w:type="paragraph" w:customStyle="1" w:styleId="20">
    <w:name w:val="表格标题"/>
    <w:basedOn w:val="1"/>
    <w:qFormat/>
    <w:uiPriority w:val="0"/>
    <w:pPr>
      <w:numPr>
        <w:ilvl w:val="0"/>
        <w:numId w:val="2"/>
      </w:numPr>
      <w:spacing w:line="240" w:lineRule="auto"/>
      <w:ind w:left="0" w:firstLine="0" w:firstLineChars="0"/>
      <w:jc w:val="center"/>
    </w:pPr>
    <w:rPr>
      <w:rFonts w:hint="eastAsia" w:eastAsia="宋体"/>
      <w:b/>
    </w:rPr>
  </w:style>
  <w:style w:type="paragraph" w:customStyle="1" w:styleId="21">
    <w:name w:val="图标题"/>
    <w:basedOn w:val="1"/>
    <w:qFormat/>
    <w:uiPriority w:val="0"/>
    <w:pPr>
      <w:numPr>
        <w:ilvl w:val="0"/>
        <w:numId w:val="3"/>
      </w:numPr>
      <w:spacing w:line="240" w:lineRule="auto"/>
      <w:ind w:firstLine="0" w:firstLineChars="0"/>
      <w:jc w:val="center"/>
    </w:pPr>
    <w:rPr>
      <w:rFonts w:hint="eastAsia"/>
      <w:b/>
    </w:rPr>
  </w:style>
  <w:style w:type="paragraph" w:customStyle="1" w:styleId="22">
    <w:name w:val="表内格式"/>
    <w:basedOn w:val="1"/>
    <w:qFormat/>
    <w:uiPriority w:val="0"/>
    <w:pPr>
      <w:spacing w:line="240" w:lineRule="auto"/>
      <w:ind w:firstLine="0" w:firstLineChars="0"/>
      <w:jc w:val="both"/>
    </w:pPr>
  </w:style>
  <w:style w:type="paragraph" w:customStyle="1" w:styleId="23">
    <w:name w:val="大标题"/>
    <w:basedOn w:val="1"/>
    <w:qFormat/>
    <w:uiPriority w:val="0"/>
    <w:pPr>
      <w:numPr>
        <w:ilvl w:val="0"/>
        <w:numId w:val="4"/>
      </w:numPr>
      <w:jc w:val="center"/>
    </w:pPr>
    <w:rPr>
      <w:rFonts w:hint="eastAsia" w:cs="Times New Roman"/>
      <w:b/>
      <w:sz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1333</Words>
  <Characters>1691</Characters>
  <Lines>0</Lines>
  <Paragraphs>0</Paragraphs>
  <TotalTime>1</TotalTime>
  <ScaleCrop>false</ScaleCrop>
  <LinksUpToDate>false</LinksUpToDate>
  <CharactersWithSpaces>1793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2023-03-24T06:31:00Z</dcterms:created>
  <dc:creator>谭师林</dc:creator>
  <cp:lastModifiedBy>谭师林</cp:lastModifiedBy>
  <dcterms:modified xsi:type="dcterms:W3CDTF">2023-07-24T02:28:24Z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EF41965B72074557A587D2D44F483D26</vt:lpwstr>
  </property>
</Properties>
</file>