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4"/>
        <w:framePr w:w="7713" w:wrap="around" w:x="2340" w:y="2791"/>
        <w:rPr>
          <w:rFonts w:ascii="Times New Roman" w:hAnsi="Times New Roman"/>
          <w:sz w:val="84"/>
          <w:szCs w:val="84"/>
        </w:rPr>
      </w:pPr>
      <w:r>
        <w:rPr>
          <w:rFonts w:hint="eastAsia" w:ascii="Times New Roman" w:hAnsi="Times New Roman"/>
          <w:sz w:val="84"/>
          <w:szCs w:val="84"/>
        </w:rPr>
        <w:t>团体标准</w:t>
      </w:r>
    </w:p>
    <w:p>
      <w:pPr>
        <w:pStyle w:val="97"/>
        <w:framePr w:wrap="around" w:x="1517" w:y="3901"/>
        <w:rPr>
          <w:rFonts w:hint="default" w:eastAsia="黑体"/>
          <w:sz w:val="36"/>
          <w:szCs w:val="36"/>
          <w:lang w:val="en-US" w:eastAsia="zh-CN"/>
        </w:rPr>
      </w:pPr>
      <w:r>
        <w:rPr>
          <w:rFonts w:hint="eastAsia" w:ascii="Times New Roman"/>
          <w:sz w:val="36"/>
          <w:szCs w:val="36"/>
        </w:rPr>
        <w:t>T</w:t>
      </w:r>
      <w:r>
        <w:rPr>
          <w:rFonts w:ascii="Times New Roman"/>
          <w:sz w:val="36"/>
          <w:szCs w:val="36"/>
        </w:rPr>
        <w:t>/</w:t>
      </w:r>
      <w:r>
        <w:rPr>
          <w:rFonts w:hint="eastAsia" w:ascii="Times New Roman"/>
          <w:sz w:val="36"/>
          <w:szCs w:val="36"/>
          <w:lang w:val="en-US" w:eastAsia="zh-CN"/>
        </w:rPr>
        <w:t>SSF 0002</w:t>
      </w:r>
      <w:r>
        <w:rPr>
          <w:rFonts w:hint="eastAsia"/>
          <w:sz w:val="36"/>
          <w:szCs w:val="36"/>
        </w:rPr>
        <w:t>—</w:t>
      </w:r>
      <w:r>
        <w:rPr>
          <w:rFonts w:hint="eastAsia"/>
          <w:sz w:val="36"/>
          <w:szCs w:val="36"/>
          <w:lang w:val="en-US" w:eastAsia="zh-CN"/>
        </w:rPr>
        <w:t>2023</w:t>
      </w:r>
    </w:p>
    <w:tbl>
      <w:tblPr>
        <w:tblStyle w:val="35"/>
        <w:tblW w:w="93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pPr>
              <w:pStyle w:val="87"/>
              <w:framePr w:wrap="around" w:x="1517" w:y="3901"/>
            </w:pPr>
          </w:p>
        </w:tc>
      </w:tr>
    </w:tbl>
    <w:p>
      <w:pPr>
        <w:pStyle w:val="97"/>
        <w:framePr w:wrap="around" w:x="1517" w:y="3901"/>
      </w:pPr>
    </w:p>
    <w:p>
      <w:pPr>
        <w:pStyle w:val="97"/>
        <w:framePr w:wrap="around" w:x="1517" w:y="3901"/>
      </w:pPr>
    </w:p>
    <w:p>
      <w:pPr>
        <w:pStyle w:val="101"/>
        <w:framePr w:wrap="around"/>
      </w:pPr>
      <w:r>
        <w:rPr>
          <w:rFonts w:hint="eastAsia"/>
        </w:rPr>
        <w:t>冻海水鱼片</w:t>
      </w:r>
    </w:p>
    <w:p>
      <w:pPr>
        <w:pStyle w:val="101"/>
        <w:framePr w:wrap="around"/>
        <w:rPr>
          <w:rFonts w:ascii="Times New Roman"/>
          <w:sz w:val="96"/>
          <w:szCs w:val="24"/>
        </w:rPr>
      </w:pPr>
      <w:r>
        <w:rPr>
          <w:rFonts w:ascii="Times New Roman"/>
          <w:kern w:val="2"/>
          <w:sz w:val="28"/>
          <w:szCs w:val="40"/>
        </w:rPr>
        <w:t>Frozen marine fish fillets</w:t>
      </w:r>
    </w:p>
    <w:p>
      <w:pPr>
        <w:pStyle w:val="101"/>
        <w:framePr w:wrap="around"/>
        <w:rPr>
          <w:rFonts w:ascii="Times New Roman"/>
          <w:sz w:val="28"/>
          <w:szCs w:val="28"/>
        </w:rPr>
      </w:pPr>
      <w:r>
        <w:rPr>
          <w:rFonts w:hint="eastAsia" w:ascii="Times New Roman"/>
          <w:sz w:val="28"/>
          <w:szCs w:val="28"/>
        </w:rPr>
        <w:t>（</w:t>
      </w:r>
      <w:r>
        <w:rPr>
          <w:rFonts w:hint="eastAsia" w:ascii="Times New Roman"/>
          <w:sz w:val="28"/>
          <w:szCs w:val="28"/>
          <w:lang w:val="en-US" w:eastAsia="zh-CN"/>
        </w:rPr>
        <w:t>征求意见稿</w:t>
      </w:r>
      <w:r>
        <w:rPr>
          <w:rFonts w:hint="eastAsia" w:ascii="Times New Roman"/>
          <w:sz w:val="28"/>
          <w:szCs w:val="28"/>
        </w:rPr>
        <w:t>）</w:t>
      </w:r>
    </w:p>
    <w:p>
      <w:pPr>
        <w:pStyle w:val="101"/>
        <w:framePr w:wrap="around"/>
        <w:rPr>
          <w:rFonts w:ascii="Times New Roman"/>
          <w:sz w:val="28"/>
          <w:szCs w:val="28"/>
        </w:rPr>
      </w:pPr>
    </w:p>
    <w:p>
      <w:pPr>
        <w:pStyle w:val="107"/>
        <w:framePr w:wrap="around"/>
        <w:ind w:right="2119" w:rightChars="1009"/>
        <w:jc w:val="both"/>
        <w:rPr>
          <w:color w:val="FF0000"/>
        </w:rPr>
      </w:pPr>
    </w:p>
    <w:tbl>
      <w:tblPr>
        <w:tblStyle w:val="35"/>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06"/>
              <w:framePr w:wrap="around"/>
            </w:pPr>
            <w:r>
              <mc:AlternateContent>
                <mc:Choice Requires="wps">
                  <w:drawing>
                    <wp:anchor distT="0" distB="0" distL="114300" distR="114300" simplePos="0" relativeHeight="251660288"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30"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RQ" o:spid="_x0000_s1026" o:spt="1" style="position:absolute;left:0pt;margin-left:173.3pt;margin-top:45.15pt;height:20pt;width:150pt;z-index:-251656192;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JrpLVAAAACgEAAA8AAAAAAAAAAQAgAAAA&#10;IgAAAGRycy9kb3ducmV2LnhtbFBLAQIUABQAAAAIAIdO4kAghpa8DgIAACwEAAAOAAAAAAAAAAEA&#10;IAAAACQBAABkcnMvZTJvRG9jLnhtbFBLBQYAAAAABgAGAFkBAACkBQAAAAA=&#10;">
                      <v:fill on="t" focussize="0,0"/>
                      <v:stroke on="f"/>
                      <v:imagedata o:title=""/>
                      <o:lock v:ext="edit" aspectratio="f"/>
                      <v:textbox>
                        <w:txbxContent>
                          <w:p/>
                        </w:txbxContent>
                      </v:textbox>
                      <w10:anchorlock/>
                    </v:rect>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2454910</wp:posOffset>
                      </wp:positionH>
                      <wp:positionV relativeFrom="paragraph">
                        <wp:posOffset>255905</wp:posOffset>
                      </wp:positionV>
                      <wp:extent cx="1270000" cy="304800"/>
                      <wp:effectExtent l="0" t="0" r="0" b="0"/>
                      <wp:wrapNone/>
                      <wp:docPr id="29"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rect id="LB" o:spid="_x0000_s1026" o:spt="1" style="position:absolute;left:0pt;margin-left:193.3pt;margin-top:20.15pt;height:24pt;width:100pt;z-index:-251657216;mso-width-relative:page;mso-height-relative:page;" fillcolor="#FFFFFF" filled="t" stroked="f" coordsize="21600,21600" o:gfxdata="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4Yvl1gAAAAkBAAAPAAAAAAAAAAEAIAAA&#10;ACIAAABkcnMvZG93bnJldi54bWxQSwECFAAUAAAACACHTuJA3l/vDg4CAAAsBAAADgAAAAAAAAAB&#10;ACAAAAAlAQAAZHJzL2Uyb0RvYy54bWxQSwUGAAAAAAYABgBZAQAApQUAAAAA&#10;">
                      <v:fill on="t" focussize="0,0"/>
                      <v:stroke on="f"/>
                      <v:imagedata o:title=""/>
                      <o:lock v:ext="edit" aspectratio="f"/>
                      <v:textbox>
                        <w:txbxContent>
                          <w:p/>
                        </w:txbxContent>
                      </v:textbox>
                    </v:rect>
                  </w:pict>
                </mc:Fallback>
              </mc:AlternateConten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pPr>
              <w:pStyle w:val="119"/>
              <w:framePr w:wrap="around"/>
            </w:pPr>
          </w:p>
        </w:tc>
      </w:tr>
    </w:tbl>
    <w:p>
      <w:pPr>
        <w:pStyle w:val="58"/>
        <w:framePr w:wrap="around" w:hAnchor="page" w:x="1381" w:y="12781"/>
      </w:pPr>
      <w:r>
        <w:rPr>
          <w:rFonts w:hint="eastAsia" w:ascii="黑体"/>
        </w:rPr>
        <w:t>XXXX-XX-XX</w:t>
      </w:r>
      <w:r>
        <w:rPr>
          <w:rFonts w:hint="eastAsia"/>
        </w:rPr>
        <w:t>发布</w:t>
      </w:r>
    </w:p>
    <w:p>
      <w:pPr>
        <w:pStyle w:val="141"/>
        <w:framePr w:wrap="around" w:hAnchor="page" w:x="6943" w:y="12730"/>
      </w:pPr>
      <w:r>
        <w:rPr>
          <w:rFonts w:hint="eastAsia" w:ascii="黑体"/>
        </w:rPr>
        <w:t>XXXX-XX-XX</w:t>
      </w:r>
      <w:r>
        <w:rPr>
          <w:rFonts w:hint="eastAsia"/>
        </w:rPr>
        <w:t>实施</w:t>
      </w:r>
    </w:p>
    <w:p>
      <w:pPr>
        <w:pStyle w:val="134"/>
        <w:framePr w:wrap="around" w:x="2218" w:y="13735"/>
        <w:rPr>
          <w:spacing w:val="0"/>
        </w:rPr>
      </w:pPr>
      <w:r>
        <w:rPr>
          <w:rFonts w:hint="eastAsia" w:hAnsi="黑体"/>
          <w:sz w:val="30"/>
          <w:szCs w:val="30"/>
        </w:rPr>
        <w:t xml:space="preserve">山东水产学会 </w:t>
      </w:r>
      <w:r>
        <w:rPr>
          <w:rStyle w:val="44"/>
          <w:rFonts w:hint="eastAsia"/>
          <w:spacing w:val="0"/>
        </w:rPr>
        <w:t>发布</w:t>
      </w:r>
    </w:p>
    <w:p>
      <w:pPr>
        <w:pStyle w:val="25"/>
        <w:ind w:firstLine="0" w:firstLineChars="0"/>
        <w:sectPr>
          <w:headerReference r:id="rId3" w:type="even"/>
          <w:footerReference r:id="rId4" w:type="even"/>
          <w:pgSz w:w="11906" w:h="16838"/>
          <w:pgMar w:top="567" w:right="850" w:bottom="1134" w:left="1418" w:header="0" w:footer="0" w:gutter="0"/>
          <w:pgNumType w:start="1"/>
          <w:cols w:space="72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-76835</wp:posOffset>
                </wp:positionH>
                <wp:positionV relativeFrom="paragraph">
                  <wp:posOffset>8173085</wp:posOffset>
                </wp:positionV>
                <wp:extent cx="6120130" cy="0"/>
                <wp:effectExtent l="0" t="0" r="0" b="0"/>
                <wp:wrapNone/>
                <wp:docPr id="28" name="Line 1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5" o:spid="_x0000_s1026" o:spt="20" style="position:absolute;left:0pt;margin-left:-6.05pt;margin-top:643.55pt;height:0pt;width:481.9pt;z-index:251662336;mso-width-relative:page;mso-height-relative:page;" filled="f" stroked="t" coordsize="21600,21600" o:gfxdata="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ue4Wg2AAAAA0BAAAPAAAAAAAAAAEAIAAAACIAAABkcnMv&#10;ZG93bnJldi54bWxQSwECFAAUAAAACACHTuJAkYE3ZMoBAAChAwAADgAAAAAAAAABACAAAAAnAQAA&#10;ZHJzL2Uyb0RvYy54bWxQSwUGAAAAAAYABgBZAQAAY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2686685</wp:posOffset>
                </wp:positionV>
                <wp:extent cx="6120130" cy="0"/>
                <wp:effectExtent l="0" t="0" r="0" b="0"/>
                <wp:wrapNone/>
                <wp:docPr id="27" name="直线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直线 11" o:spid="_x0000_s1026" o:spt="20" style="position:absolute;left:0pt;margin-left:-9.05pt;margin-top:211.55pt;height:0pt;width:481.9pt;z-index:251661312;mso-width-relative:page;mso-height-relative:page;" filled="f" stroked="t" coordsize="21600,21600" o:gfxdata="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2ki+4tgAAAALAQAADwAAAAAAAAAB&#10;ACAAAAAiAAAAZHJzL2Rvd25yZXYueG1sUEsBAhQAFAAAAAgAh07iQJKOyHnXAQAAowMAAA4AAAAA&#10;AAAAAQAgAAAAJwEAAGRycy9lMm9Eb2MueG1sUEsFBgAAAAAGAAYAWQEAAHAFAAAAAA==&#10;">
                <v:fill on="f" focussize="0,0"/>
                <v:stroke color="#000000" joinstyle="round"/>
                <v:imagedata o:title=""/>
                <o:lock v:ext="edit" aspectratio="f"/>
              </v:line>
            </w:pict>
          </mc:Fallback>
        </mc:AlternateContent>
      </w:r>
    </w:p>
    <w:p>
      <w:pPr>
        <w:pStyle w:val="158"/>
        <w:spacing w:before="900" w:after="468"/>
      </w:pPr>
      <w:r>
        <w:rPr>
          <w:spacing w:val="320"/>
        </w:rPr>
        <w:t>前</w:t>
      </w:r>
      <w:r>
        <w:t>言</w:t>
      </w:r>
    </w:p>
    <w:p>
      <w:pPr>
        <w:pStyle w:val="156"/>
        <w:ind w:firstLine="420"/>
      </w:pPr>
      <w:r>
        <w:rPr>
          <w:rFonts w:hint="eastAsia"/>
        </w:rPr>
        <w:t>本文件按照GB/T 1.1—2020《标准化工作导则  第1部分：标准化文件的结构和起草规则》的规定起草。</w:t>
      </w:r>
    </w:p>
    <w:p>
      <w:pPr>
        <w:pStyle w:val="156"/>
        <w:ind w:firstLine="420"/>
      </w:pPr>
      <w:r>
        <w:rPr>
          <w:rFonts w:hint="eastAsia"/>
        </w:rPr>
        <w:t>请注意本文件的某些内容可能涉及专利。本文件的发布机构不承担识别专利的责任。</w:t>
      </w:r>
    </w:p>
    <w:p>
      <w:pPr>
        <w:pStyle w:val="156"/>
        <w:ind w:firstLine="420"/>
      </w:pPr>
      <w:r>
        <w:rPr>
          <w:rFonts w:hint="eastAsia"/>
        </w:rPr>
        <w:t>本文件由</w:t>
      </w:r>
      <w:r>
        <w:rPr>
          <w:rFonts w:hint="eastAsia" w:hAnsi="宋体"/>
          <w:bCs/>
          <w:szCs w:val="21"/>
        </w:rPr>
        <w:t>山东水产学会</w:t>
      </w:r>
      <w:r>
        <w:rPr>
          <w:rFonts w:hint="eastAsia"/>
        </w:rPr>
        <w:t>提出并归口。</w:t>
      </w:r>
    </w:p>
    <w:p>
      <w:pPr>
        <w:pStyle w:val="156"/>
        <w:ind w:firstLine="420"/>
      </w:pPr>
      <w:r>
        <w:rPr>
          <w:rFonts w:hint="eastAsia"/>
        </w:rPr>
        <w:t>本文件起草单位：</w:t>
      </w:r>
      <w:r>
        <w:rPr>
          <w:rFonts w:hint="eastAsia" w:hAnsi="宋体"/>
          <w:bCs/>
          <w:szCs w:val="21"/>
        </w:rPr>
        <w:t>山东省海洋资源与环境研究院、山东美佳集团有限公司、中国海洋大学、烟台市蓬莱区水产技术推广中心。</w:t>
      </w:r>
    </w:p>
    <w:p>
      <w:pPr>
        <w:pStyle w:val="156"/>
        <w:ind w:firstLine="420"/>
      </w:pPr>
      <w:r>
        <w:rPr>
          <w:rFonts w:hint="eastAsia"/>
        </w:rPr>
        <w:t>本文件主要起草人：</w:t>
      </w:r>
      <w:r>
        <w:rPr>
          <w:rFonts w:hint="eastAsia" w:hAnsi="宋体"/>
          <w:bCs/>
          <w:szCs w:val="21"/>
        </w:rPr>
        <w:t>张健、赵云苹、郭晓华、曹立民、董浩、矫春娜、刘芳、王共明、井月欣、刘京熙、陈建强、刘昕、赵长春。</w:t>
      </w:r>
    </w:p>
    <w:p>
      <w:pPr>
        <w:pStyle w:val="156"/>
        <w:ind w:firstLine="420"/>
      </w:pPr>
    </w:p>
    <w:p>
      <w:pPr>
        <w:pStyle w:val="85"/>
        <w:sectPr>
          <w:headerReference r:id="rId5" w:type="default"/>
          <w:footerReference r:id="rId6" w:type="default"/>
          <w:pgSz w:w="11906" w:h="16838"/>
          <w:pgMar w:top="567" w:right="1134" w:bottom="1134" w:left="1418" w:header="1418" w:footer="1134" w:gutter="0"/>
          <w:pgNumType w:fmt="upperRoman" w:start="1"/>
          <w:cols w:space="720" w:num="1"/>
          <w:formProt w:val="0"/>
          <w:docGrid w:type="lines" w:linePitch="312" w:charSpace="0"/>
        </w:sectPr>
      </w:pPr>
    </w:p>
    <w:p>
      <w:pPr>
        <w:pStyle w:val="137"/>
        <w:numPr>
          <w:ilvl w:val="255"/>
          <w:numId w:val="0"/>
        </w:numPr>
        <w:spacing w:line="276" w:lineRule="auto"/>
        <w:ind w:firstLine="420"/>
        <w:rPr>
          <w:rFonts w:asciiTheme="majorEastAsia" w:hAnsiTheme="majorEastAsia" w:eastAsiaTheme="majorEastAsia"/>
        </w:rPr>
        <w:sectPr>
          <w:headerReference r:id="rId7" w:type="default"/>
          <w:footerReference r:id="rId9" w:type="default"/>
          <w:headerReference r:id="rId8" w:type="even"/>
          <w:footerReference r:id="rId10" w:type="even"/>
          <w:type w:val="continuous"/>
          <w:pgSz w:w="11906" w:h="16838"/>
          <w:pgMar w:top="1418" w:right="1134" w:bottom="1134" w:left="1418" w:header="1418" w:footer="1134" w:gutter="0"/>
          <w:pgNumType w:start="1"/>
          <w:cols w:space="720" w:num="1"/>
          <w:formProt w:val="0"/>
          <w:docGrid w:type="lines" w:linePitch="312" w:charSpace="0"/>
        </w:sectPr>
      </w:pPr>
    </w:p>
    <w:sdt>
      <w:sdtPr>
        <w:tag w:val="NEW_STAND_NAME"/>
        <w:id w:val="595910757"/>
        <w:placeholder>
          <w:docPart w:val="5C837505B91343A3B1E29A745622746D"/>
        </w:placeholder>
      </w:sdtPr>
      <w:sdtContent>
        <w:p>
          <w:pPr>
            <w:pStyle w:val="177"/>
            <w:spacing w:before="2" w:beforeLines="1" w:after="528" w:afterLines="220"/>
          </w:pPr>
          <w:bookmarkStart w:id="0" w:name="NEW_STAND_NAME"/>
          <w:r>
            <w:rPr>
              <w:rFonts w:hint="eastAsia"/>
            </w:rPr>
            <w:t>冻海水鱼片</w:t>
          </w:r>
        </w:p>
      </w:sdtContent>
    </w:sdt>
    <w:bookmarkEnd w:id="0"/>
    <w:p>
      <w:pPr>
        <w:pStyle w:val="168"/>
        <w:spacing w:before="240" w:after="240"/>
      </w:pPr>
      <w:bookmarkStart w:id="1" w:name="_Toc97192964"/>
      <w:bookmarkStart w:id="2" w:name="_Toc26718930"/>
      <w:bookmarkStart w:id="3" w:name="_Toc24884211"/>
      <w:bookmarkStart w:id="4" w:name="_Toc26986771"/>
      <w:bookmarkStart w:id="5" w:name="_Toc26648465"/>
      <w:bookmarkStart w:id="6" w:name="_Toc17233325"/>
      <w:bookmarkStart w:id="7" w:name="_Toc17233333"/>
      <w:bookmarkStart w:id="8" w:name="_Toc24884218"/>
      <w:bookmarkStart w:id="9" w:name="_Toc26986530"/>
      <w:r>
        <w:rPr>
          <w:rFonts w:hint="eastAsia"/>
        </w:rPr>
        <w:t>范围</w:t>
      </w:r>
      <w:bookmarkEnd w:id="1"/>
      <w:bookmarkEnd w:id="2"/>
      <w:bookmarkEnd w:id="3"/>
      <w:bookmarkEnd w:id="4"/>
      <w:bookmarkEnd w:id="5"/>
      <w:bookmarkEnd w:id="6"/>
      <w:bookmarkEnd w:id="7"/>
      <w:bookmarkEnd w:id="8"/>
      <w:bookmarkEnd w:id="9"/>
    </w:p>
    <w:p>
      <w:pPr>
        <w:pStyle w:val="156"/>
        <w:ind w:firstLine="420"/>
        <w:rPr>
          <w:szCs w:val="21"/>
        </w:rPr>
      </w:pPr>
      <w:bookmarkStart w:id="10" w:name="_Toc17233326"/>
      <w:bookmarkStart w:id="11" w:name="_Toc17233334"/>
      <w:bookmarkStart w:id="12" w:name="_Toc24884212"/>
      <w:bookmarkStart w:id="13" w:name="_Toc24884219"/>
      <w:bookmarkStart w:id="14" w:name="_Toc26648466"/>
      <w:r>
        <w:rPr>
          <w:rFonts w:hint="eastAsia" w:ascii="Times New Roman"/>
          <w:szCs w:val="21"/>
        </w:rPr>
        <w:t>本文件规定了冻海水鱼片的原料、加工用水、食品添加剂、加工条件、感官、理化指标和净含量等要求，描述了相应的试验方法，给出了检验规则，同时规定了标识、包装、运输和贮存要求</w:t>
      </w:r>
      <w:r>
        <w:rPr>
          <w:szCs w:val="21"/>
        </w:rPr>
        <w:t>。</w:t>
      </w:r>
    </w:p>
    <w:p>
      <w:pPr>
        <w:pStyle w:val="156"/>
        <w:ind w:firstLine="420"/>
        <w:rPr>
          <w:rFonts w:ascii="Times New Roman"/>
          <w:szCs w:val="21"/>
        </w:rPr>
      </w:pPr>
      <w:r>
        <w:rPr>
          <w:rFonts w:hint="eastAsia" w:ascii="Times New Roman"/>
          <w:szCs w:val="21"/>
        </w:rPr>
        <w:t>本文件适用于冻海水鱼片生产者声明产品符合性，或作为生产者与采购方签署贸易合同的依据，也可作为市场监管或认证机构认证的依据。</w:t>
      </w:r>
    </w:p>
    <w:p>
      <w:pPr>
        <w:pStyle w:val="168"/>
        <w:spacing w:before="240" w:after="240"/>
      </w:pPr>
      <w:bookmarkStart w:id="15" w:name="_Toc26986531"/>
      <w:bookmarkStart w:id="16" w:name="_Toc26718931"/>
      <w:bookmarkStart w:id="17" w:name="_Toc26986772"/>
      <w:bookmarkStart w:id="18" w:name="_Toc97192965"/>
      <w:r>
        <w:rPr>
          <w:rFonts w:hint="eastAsia"/>
        </w:rPr>
        <w:t>规范性引用文件</w:t>
      </w:r>
      <w:bookmarkEnd w:id="10"/>
      <w:bookmarkEnd w:id="11"/>
      <w:bookmarkEnd w:id="12"/>
      <w:bookmarkEnd w:id="13"/>
      <w:bookmarkEnd w:id="14"/>
      <w:bookmarkEnd w:id="15"/>
      <w:bookmarkEnd w:id="16"/>
      <w:bookmarkEnd w:id="17"/>
      <w:bookmarkEnd w:id="18"/>
    </w:p>
    <w:sdt>
      <w:sdtPr>
        <w:rPr>
          <w:rFonts w:hint="eastAsia"/>
        </w:rPr>
        <w:id w:val="715848253"/>
        <w:placeholder>
          <w:docPart w:val="70C9D05BD0B0442F8E68A76FCD75155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156"/>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ind w:firstLine="420" w:firstLineChars="200"/>
        <w:rPr>
          <w:rFonts w:ascii="宋体" w:hAnsi="宋体"/>
        </w:rPr>
      </w:pPr>
      <w:r>
        <w:rPr>
          <w:rFonts w:hint="eastAsia" w:ascii="宋体" w:hAnsi="宋体"/>
        </w:rPr>
        <w:t>GB/T 191  包装储运图示标志</w:t>
      </w:r>
    </w:p>
    <w:p>
      <w:pPr>
        <w:ind w:firstLine="420" w:firstLineChars="200"/>
        <w:rPr>
          <w:rFonts w:ascii="宋体" w:hAnsi="宋体"/>
        </w:rPr>
      </w:pPr>
      <w:r>
        <w:rPr>
          <w:rFonts w:ascii="宋体" w:hAnsi="宋体"/>
        </w:rPr>
        <w:t xml:space="preserve">GB 2733 </w:t>
      </w:r>
      <w:r>
        <w:rPr>
          <w:rFonts w:hint="eastAsia" w:ascii="宋体" w:hAnsi="宋体"/>
        </w:rPr>
        <w:t xml:space="preserve"> 食品安全国家标准  鲜、冻动物性水产品</w:t>
      </w:r>
    </w:p>
    <w:p>
      <w:pPr>
        <w:ind w:firstLine="420" w:firstLineChars="200"/>
        <w:rPr>
          <w:rFonts w:ascii="宋体" w:hAnsi="宋体"/>
        </w:rPr>
      </w:pPr>
      <w:r>
        <w:rPr>
          <w:rFonts w:hint="eastAsia" w:ascii="宋体" w:hAnsi="宋体"/>
        </w:rPr>
        <w:t>GB 2760  食品安全国家标准  食品添加剂使用标准</w:t>
      </w:r>
    </w:p>
    <w:p>
      <w:pPr>
        <w:ind w:firstLine="420" w:firstLineChars="200"/>
        <w:rPr>
          <w:rFonts w:ascii="宋体" w:hAnsi="宋体"/>
        </w:rPr>
      </w:pPr>
      <w:r>
        <w:rPr>
          <w:rFonts w:hint="eastAsia" w:ascii="宋体" w:hAnsi="宋体"/>
        </w:rPr>
        <w:t>GB 5009.3  食品安全国家标准 食品中水分的测定</w:t>
      </w:r>
    </w:p>
    <w:p>
      <w:pPr>
        <w:ind w:firstLine="420" w:firstLineChars="200"/>
        <w:rPr>
          <w:rFonts w:ascii="宋体" w:hAnsi="宋体"/>
        </w:rPr>
      </w:pPr>
      <w:r>
        <w:rPr>
          <w:rFonts w:ascii="宋体" w:hAnsi="宋体"/>
        </w:rPr>
        <w:t>GB 5749</w:t>
      </w:r>
      <w:r>
        <w:rPr>
          <w:rFonts w:hint="eastAsia" w:ascii="宋体" w:hAnsi="宋体"/>
        </w:rPr>
        <w:t xml:space="preserve">  </w:t>
      </w:r>
      <w:r>
        <w:rPr>
          <w:rFonts w:ascii="宋体" w:hAnsi="宋体"/>
        </w:rPr>
        <w:t>生活饮用水卫生标准</w:t>
      </w:r>
    </w:p>
    <w:p>
      <w:pPr>
        <w:ind w:firstLine="420" w:firstLineChars="200"/>
        <w:rPr>
          <w:rFonts w:ascii="宋体" w:hAnsi="宋体"/>
        </w:rPr>
      </w:pPr>
      <w:r>
        <w:rPr>
          <w:rFonts w:hint="eastAsia" w:ascii="宋体" w:hAnsi="宋体"/>
        </w:rPr>
        <w:t>GB 20941  食品安全国家标准  水产制品生产卫生规范</w:t>
      </w:r>
    </w:p>
    <w:p>
      <w:pPr>
        <w:ind w:firstLine="420" w:firstLineChars="200"/>
        <w:rPr>
          <w:rFonts w:ascii="宋体" w:hAnsi="宋体"/>
        </w:rPr>
      </w:pPr>
      <w:r>
        <w:rPr>
          <w:rFonts w:hint="eastAsia" w:ascii="宋体" w:hAnsi="宋体"/>
        </w:rPr>
        <w:t>GB/T 30891  水产品抽样规范</w:t>
      </w:r>
    </w:p>
    <w:p>
      <w:pPr>
        <w:ind w:firstLine="420" w:firstLineChars="200"/>
        <w:rPr>
          <w:rFonts w:ascii="宋体" w:hAnsi="宋体"/>
        </w:rPr>
      </w:pPr>
      <w:r>
        <w:rPr>
          <w:rFonts w:hint="eastAsia" w:ascii="宋体" w:hAnsi="宋体"/>
        </w:rPr>
        <w:t xml:space="preserve">GB/T 36193-2018 </w:t>
      </w:r>
      <w:r>
        <w:rPr>
          <w:rFonts w:ascii="宋体" w:hAnsi="宋体"/>
        </w:rPr>
        <w:t xml:space="preserve"> </w:t>
      </w:r>
      <w:r>
        <w:rPr>
          <w:rFonts w:hint="eastAsia" w:ascii="宋体" w:hAnsi="宋体"/>
        </w:rPr>
        <w:t>水产品加工术语</w:t>
      </w:r>
    </w:p>
    <w:p>
      <w:pPr>
        <w:ind w:firstLine="420" w:firstLineChars="200"/>
        <w:jc w:val="left"/>
        <w:rPr>
          <w:rFonts w:ascii="宋体" w:hAnsi="宋体"/>
        </w:rPr>
      </w:pPr>
      <w:r>
        <w:rPr>
          <w:rFonts w:hint="eastAsia" w:ascii="宋体" w:hAnsi="宋体"/>
        </w:rPr>
        <w:t>SC/T 3017  冷冻水产品净含量的测定</w:t>
      </w:r>
    </w:p>
    <w:p>
      <w:pPr>
        <w:ind w:firstLine="420" w:firstLineChars="200"/>
        <w:jc w:val="left"/>
        <w:rPr>
          <w:rFonts w:ascii="宋体" w:hAnsi="宋体"/>
        </w:rPr>
      </w:pPr>
      <w:r>
        <w:rPr>
          <w:rFonts w:hint="eastAsia" w:ascii="宋体" w:hAnsi="宋体"/>
        </w:rPr>
        <w:t>SC/T 3035  水产品包装、标识通则</w:t>
      </w:r>
    </w:p>
    <w:p>
      <w:pPr>
        <w:ind w:firstLine="420" w:firstLineChars="200"/>
        <w:jc w:val="left"/>
        <w:rPr>
          <w:rFonts w:ascii="宋体" w:hAnsi="宋体"/>
        </w:rPr>
      </w:pPr>
      <w:r>
        <w:rPr>
          <w:rFonts w:hint="eastAsia" w:ascii="宋体" w:hAnsi="宋体"/>
        </w:rPr>
        <w:t>SC/T 3054  冷冻水产品冰衣限量</w:t>
      </w:r>
    </w:p>
    <w:p>
      <w:pPr>
        <w:ind w:firstLine="420" w:firstLineChars="200"/>
        <w:jc w:val="left"/>
        <w:rPr>
          <w:rFonts w:ascii="宋体" w:hAnsi="宋体"/>
        </w:rPr>
      </w:pPr>
      <w:bookmarkStart w:id="19" w:name="_Hlk139440632"/>
      <w:r>
        <w:rPr>
          <w:rFonts w:hint="eastAsia" w:ascii="宋体" w:hAnsi="宋体"/>
        </w:rPr>
        <w:t>JJF 1070-</w:t>
      </w:r>
      <w:r>
        <w:rPr>
          <w:rFonts w:ascii="宋体" w:hAnsi="宋体"/>
        </w:rPr>
        <w:t>2005</w:t>
      </w:r>
      <w:r>
        <w:rPr>
          <w:rFonts w:hint="eastAsia" w:ascii="宋体" w:hAnsi="宋体"/>
        </w:rPr>
        <w:t xml:space="preserve"> </w:t>
      </w:r>
      <w:bookmarkEnd w:id="19"/>
      <w:r>
        <w:rPr>
          <w:rFonts w:hint="eastAsia" w:ascii="宋体" w:hAnsi="宋体"/>
        </w:rPr>
        <w:t xml:space="preserve"> </w:t>
      </w:r>
      <w:r>
        <w:rPr>
          <w:rFonts w:ascii="宋体" w:hAnsi="宋体"/>
        </w:rPr>
        <w:t>定量包装商品净含量计量检验规则</w:t>
      </w:r>
    </w:p>
    <w:p>
      <w:pPr>
        <w:pStyle w:val="168"/>
        <w:spacing w:before="240" w:after="240"/>
      </w:pPr>
      <w:bookmarkStart w:id="20" w:name="_Toc97192966"/>
      <w:r>
        <w:rPr>
          <w:rFonts w:hint="eastAsia"/>
          <w:szCs w:val="21"/>
        </w:rPr>
        <w:t>术语和定义</w:t>
      </w:r>
      <w:bookmarkEnd w:id="20"/>
    </w:p>
    <w:sdt>
      <w:sdtPr>
        <w:id w:val="-1909835108"/>
        <w:placeholder>
          <w:docPart w:val="78E838330696434992583680ED0BD688"/>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156"/>
            <w:ind w:firstLine="420"/>
          </w:pPr>
          <w:bookmarkStart w:id="21" w:name="_Toc26986532"/>
          <w:bookmarkEnd w:id="21"/>
          <w:r>
            <w:rPr>
              <w:rFonts w:hint="eastAsia"/>
            </w:rPr>
            <w:t>GB/T 36193</w:t>
          </w:r>
          <w:r>
            <w:t>界定的以及下列术语和定义适用于本文件。</w:t>
          </w:r>
        </w:p>
      </w:sdtContent>
    </w:sdt>
    <w:p>
      <w:pPr>
        <w:pStyle w:val="169"/>
        <w:spacing w:before="120" w:after="120"/>
      </w:pPr>
    </w:p>
    <w:p>
      <w:pPr>
        <w:pStyle w:val="156"/>
        <w:ind w:firstLine="420"/>
        <w:rPr>
          <w:rFonts w:ascii="黑体" w:hAnsi="黑体" w:eastAsia="黑体" w:cs="宋体"/>
          <w:szCs w:val="21"/>
        </w:rPr>
      </w:pPr>
      <w:r>
        <w:rPr>
          <w:rFonts w:hint="eastAsia" w:ascii="黑体" w:hAnsi="黑体" w:eastAsia="黑体" w:cs="宋体"/>
          <w:szCs w:val="21"/>
        </w:rPr>
        <w:t>单冻  individual quick freezing；IQF</w:t>
      </w:r>
    </w:p>
    <w:p>
      <w:pPr>
        <w:pStyle w:val="156"/>
        <w:ind w:firstLine="420"/>
      </w:pPr>
      <w:r>
        <w:rPr>
          <w:rFonts w:hint="eastAsia"/>
        </w:rPr>
        <w:t>单体速冻</w:t>
      </w:r>
    </w:p>
    <w:p>
      <w:pPr>
        <w:pStyle w:val="156"/>
        <w:ind w:firstLine="420"/>
      </w:pPr>
      <w:r>
        <w:rPr>
          <w:rFonts w:hint="eastAsia"/>
        </w:rPr>
        <w:t>单个水产品在互相不黏结的情况下快速冻结的方法。</w:t>
      </w:r>
    </w:p>
    <w:p>
      <w:pPr>
        <w:pStyle w:val="156"/>
        <w:ind w:firstLine="420"/>
      </w:pPr>
      <w:r>
        <w:rPr>
          <w:rFonts w:hint="eastAsia"/>
        </w:rPr>
        <w:t>[来源:GB/T 36193-2018，6.15]</w:t>
      </w:r>
    </w:p>
    <w:p>
      <w:pPr>
        <w:pStyle w:val="169"/>
        <w:spacing w:before="120" w:after="120"/>
      </w:pPr>
    </w:p>
    <w:p>
      <w:pPr>
        <w:pStyle w:val="156"/>
        <w:ind w:firstLine="420"/>
        <w:rPr>
          <w:rFonts w:ascii="黑体" w:hAnsi="黑体" w:eastAsia="黑体" w:cs="宋体"/>
          <w:szCs w:val="21"/>
        </w:rPr>
      </w:pPr>
      <w:r>
        <w:rPr>
          <w:rFonts w:hint="eastAsia" w:ascii="黑体" w:hAnsi="黑体" w:eastAsia="黑体" w:cs="宋体"/>
          <w:szCs w:val="21"/>
        </w:rPr>
        <w:t>冻海水鱼片   frozen marine fish fillet</w:t>
      </w:r>
    </w:p>
    <w:p>
      <w:pPr>
        <w:pStyle w:val="156"/>
        <w:ind w:firstLine="420"/>
      </w:pPr>
      <w:r>
        <w:t>以</w:t>
      </w:r>
      <w:r>
        <w:rPr>
          <w:rFonts w:hint="eastAsia"/>
        </w:rPr>
        <w:t>新鲜或冷冻的</w:t>
      </w:r>
      <w:r>
        <w:t>海水鱼为原料</w:t>
      </w:r>
      <w:r>
        <w:rPr>
          <w:rFonts w:hint="eastAsia"/>
        </w:rPr>
        <w:t>，经去头、去内脏、剖片、去刺/不去刺、修整、速冻、镀冰衣/不镀冰衣等工序</w:t>
      </w:r>
      <w:r>
        <w:t>加工制成的</w:t>
      </w:r>
      <w:r>
        <w:rPr>
          <w:rFonts w:hint="eastAsia"/>
        </w:rPr>
        <w:t>非即食产品</w:t>
      </w:r>
      <w:r>
        <w:t>。</w:t>
      </w:r>
    </w:p>
    <w:p>
      <w:pPr>
        <w:pStyle w:val="169"/>
        <w:spacing w:before="120" w:after="120"/>
      </w:pPr>
    </w:p>
    <w:p>
      <w:pPr>
        <w:pStyle w:val="156"/>
        <w:ind w:firstLine="420"/>
        <w:rPr>
          <w:rFonts w:ascii="黑体" w:hAnsi="黑体" w:eastAsia="黑体" w:cs="宋体"/>
          <w:szCs w:val="21"/>
        </w:rPr>
      </w:pPr>
      <w:r>
        <w:rPr>
          <w:rFonts w:hint="eastAsia" w:ascii="黑体" w:hAnsi="黑体" w:eastAsia="黑体" w:cs="宋体"/>
          <w:szCs w:val="21"/>
        </w:rPr>
        <w:t xml:space="preserve">镀冰衣  </w:t>
      </w:r>
      <w:r>
        <w:rPr>
          <w:rFonts w:ascii="黑体" w:hAnsi="黑体" w:eastAsia="黑体" w:cs="宋体"/>
          <w:szCs w:val="21"/>
        </w:rPr>
        <w:t>glazing</w:t>
      </w:r>
    </w:p>
    <w:p>
      <w:pPr>
        <w:ind w:firstLine="420" w:firstLineChars="200"/>
      </w:pPr>
      <w:r>
        <w:rPr>
          <w:rFonts w:hint="eastAsia"/>
        </w:rPr>
        <w:t>包冰衣</w:t>
      </w:r>
    </w:p>
    <w:p>
      <w:pPr>
        <w:ind w:firstLine="420" w:firstLineChars="200"/>
      </w:pPr>
      <w:r>
        <w:rPr>
          <w:rFonts w:hint="eastAsia"/>
        </w:rPr>
        <w:t>用清洁海水、饮用水或加入允许使用的食品添加剂的饮用水喷洒或浸泡冷冻产品，在其表面均匀包裹一层冰膜的方式。</w:t>
      </w:r>
    </w:p>
    <w:p>
      <w:pPr>
        <w:pStyle w:val="156"/>
        <w:ind w:firstLine="420"/>
        <w:rPr>
          <w:rFonts w:ascii="黑体" w:hAnsi="黑体" w:eastAsia="黑体"/>
          <w:szCs w:val="21"/>
        </w:rPr>
      </w:pPr>
      <w:r>
        <w:rPr>
          <w:rFonts w:hint="eastAsia"/>
        </w:rPr>
        <w:t>[来源:GB/T 36193-2018，6.19]</w:t>
      </w:r>
    </w:p>
    <w:p>
      <w:pPr>
        <w:pStyle w:val="169"/>
        <w:spacing w:before="120" w:after="120"/>
      </w:pPr>
    </w:p>
    <w:p>
      <w:pPr>
        <w:pStyle w:val="156"/>
        <w:ind w:firstLine="420"/>
        <w:rPr>
          <w:rFonts w:ascii="黑体" w:hAnsi="黑体" w:eastAsia="黑体" w:cs="宋体"/>
          <w:szCs w:val="21"/>
        </w:rPr>
      </w:pPr>
      <w:r>
        <w:rPr>
          <w:rFonts w:hint="eastAsia" w:ascii="黑体" w:hAnsi="黑体" w:eastAsia="黑体" w:cs="宋体"/>
          <w:szCs w:val="21"/>
        </w:rPr>
        <w:t xml:space="preserve">干耗  </w:t>
      </w:r>
      <w:r>
        <w:rPr>
          <w:rFonts w:ascii="黑体" w:hAnsi="黑体" w:eastAsia="黑体" w:cs="宋体"/>
          <w:szCs w:val="21"/>
        </w:rPr>
        <w:t>dehydration</w:t>
      </w:r>
    </w:p>
    <w:p>
      <w:pPr>
        <w:pStyle w:val="156"/>
        <w:ind w:firstLine="420"/>
      </w:pPr>
      <w:r>
        <w:rPr>
          <w:rFonts w:hint="eastAsia"/>
        </w:rPr>
        <w:t>冷冻水产品在冻藏过程中由于蒸发失去水分，表面出现异常的白色或黄色，并渗透到表层以下，影响水产品外观和品质的现象。</w:t>
      </w:r>
    </w:p>
    <w:p>
      <w:pPr>
        <w:pStyle w:val="156"/>
        <w:ind w:firstLine="420"/>
      </w:pPr>
      <w:r>
        <w:rPr>
          <w:rFonts w:hint="eastAsia"/>
        </w:rPr>
        <w:t>[来源:GB/T 36193-2018，6.21]</w:t>
      </w:r>
    </w:p>
    <w:p>
      <w:pPr>
        <w:pStyle w:val="169"/>
        <w:spacing w:before="120" w:after="120"/>
      </w:pPr>
    </w:p>
    <w:p>
      <w:pPr>
        <w:pStyle w:val="156"/>
        <w:ind w:firstLine="420"/>
        <w:rPr>
          <w:rFonts w:ascii="黑体" w:hAnsi="黑体" w:eastAsia="黑体" w:cs="宋体"/>
          <w:szCs w:val="21"/>
        </w:rPr>
      </w:pPr>
      <w:r>
        <w:rPr>
          <w:rFonts w:hint="eastAsia" w:ascii="黑体" w:hAnsi="黑体" w:eastAsia="黑体" w:cs="宋体"/>
          <w:szCs w:val="21"/>
        </w:rPr>
        <w:t>块冻</w:t>
      </w:r>
      <w:r>
        <w:rPr>
          <w:rFonts w:ascii="黑体" w:hAnsi="黑体" w:eastAsia="黑体" w:cs="宋体"/>
          <w:szCs w:val="21"/>
        </w:rPr>
        <w:t xml:space="preserve">  </w:t>
      </w:r>
      <w:bookmarkStart w:id="22" w:name="OLE_LINK1"/>
      <w:r>
        <w:rPr>
          <w:rFonts w:ascii="黑体" w:hAnsi="黑体" w:eastAsia="黑体" w:cs="宋体"/>
          <w:szCs w:val="21"/>
        </w:rPr>
        <w:t>b</w:t>
      </w:r>
      <w:r>
        <w:rPr>
          <w:rFonts w:hint="eastAsia" w:ascii="黑体" w:hAnsi="黑体" w:eastAsia="黑体" w:cs="宋体"/>
          <w:szCs w:val="21"/>
        </w:rPr>
        <w:t xml:space="preserve">lock quick </w:t>
      </w:r>
      <w:r>
        <w:rPr>
          <w:rFonts w:ascii="黑体" w:hAnsi="黑体" w:eastAsia="黑体" w:cs="宋体"/>
          <w:szCs w:val="21"/>
        </w:rPr>
        <w:t>freezing</w:t>
      </w:r>
      <w:bookmarkEnd w:id="22"/>
      <w:r>
        <w:rPr>
          <w:rFonts w:hint="eastAsia" w:ascii="黑体" w:hAnsi="黑体" w:eastAsia="黑体" w:cs="宋体"/>
          <w:szCs w:val="21"/>
        </w:rPr>
        <w:t>；BQF</w:t>
      </w:r>
    </w:p>
    <w:p>
      <w:pPr>
        <w:pStyle w:val="156"/>
        <w:ind w:firstLine="420"/>
      </w:pPr>
      <w:r>
        <w:rPr>
          <w:rFonts w:hint="eastAsia"/>
        </w:rPr>
        <w:t>多个鱼片排列整齐, 并形成一定的形状，快速冻结为一个整体的方法。</w:t>
      </w:r>
    </w:p>
    <w:p>
      <w:pPr>
        <w:pStyle w:val="168"/>
        <w:spacing w:before="240" w:after="240"/>
      </w:pPr>
      <w:r>
        <w:rPr>
          <w:rFonts w:hint="eastAsia"/>
        </w:rPr>
        <w:t>分类</w:t>
      </w:r>
    </w:p>
    <w:p>
      <w:pPr>
        <w:pStyle w:val="156"/>
        <w:ind w:firstLine="420"/>
      </w:pPr>
      <w:r>
        <w:rPr>
          <w:rFonts w:hint="eastAsia"/>
        </w:rPr>
        <w:t>按冷冻形式分单冻、块冻两类；其中单冻产品分镀冰衣、不镀冰衣两类。</w:t>
      </w:r>
    </w:p>
    <w:p>
      <w:pPr>
        <w:pStyle w:val="168"/>
        <w:spacing w:before="240" w:after="240"/>
      </w:pPr>
      <w:r>
        <w:rPr>
          <w:rFonts w:hint="eastAsia"/>
        </w:rPr>
        <w:t>要求</w:t>
      </w:r>
    </w:p>
    <w:p>
      <w:pPr>
        <w:pStyle w:val="169"/>
        <w:spacing w:before="120" w:after="120"/>
      </w:pPr>
      <w:r>
        <w:rPr>
          <w:rFonts w:hint="eastAsia"/>
        </w:rPr>
        <w:t>原料鱼</w:t>
      </w:r>
    </w:p>
    <w:p>
      <w:pPr>
        <w:pStyle w:val="156"/>
        <w:ind w:firstLine="420"/>
      </w:pPr>
      <w:r>
        <w:rPr>
          <w:rFonts w:ascii="Times New Roman"/>
          <w:szCs w:val="21"/>
        </w:rPr>
        <w:t>应符合</w:t>
      </w:r>
      <w:r>
        <w:rPr>
          <w:rFonts w:hAnsi="宋体"/>
          <w:szCs w:val="21"/>
        </w:rPr>
        <w:t>GB</w:t>
      </w:r>
      <w:r>
        <w:rPr>
          <w:rFonts w:hint="eastAsia" w:hAnsi="宋体"/>
          <w:szCs w:val="21"/>
        </w:rPr>
        <w:t xml:space="preserve"> 2733</w:t>
      </w:r>
      <w:r>
        <w:rPr>
          <w:rFonts w:hint="eastAsia" w:ascii="Times New Roman"/>
          <w:szCs w:val="21"/>
        </w:rPr>
        <w:t>的规定</w:t>
      </w:r>
      <w:r>
        <w:rPr>
          <w:rFonts w:ascii="Times New Roman"/>
          <w:szCs w:val="21"/>
        </w:rPr>
        <w:t>。</w:t>
      </w:r>
    </w:p>
    <w:p>
      <w:pPr>
        <w:pStyle w:val="169"/>
        <w:spacing w:before="120" w:after="120"/>
      </w:pPr>
      <w:r>
        <w:rPr>
          <w:rFonts w:hint="eastAsia"/>
        </w:rPr>
        <w:t>加工用水</w:t>
      </w:r>
    </w:p>
    <w:p>
      <w:pPr>
        <w:pStyle w:val="156"/>
        <w:ind w:firstLine="420"/>
        <w:rPr>
          <w:rFonts w:hAnsi="宋体"/>
        </w:rPr>
      </w:pPr>
      <w:r>
        <w:rPr>
          <w:rFonts w:hint="eastAsia" w:hAnsi="宋体"/>
        </w:rPr>
        <w:t>应</w:t>
      </w:r>
      <w:r>
        <w:rPr>
          <w:rFonts w:hAnsi="宋体"/>
        </w:rPr>
        <w:t>符合GB 5749的</w:t>
      </w:r>
      <w:r>
        <w:rPr>
          <w:rFonts w:hint="eastAsia" w:hAnsi="宋体"/>
        </w:rPr>
        <w:t>规定。</w:t>
      </w:r>
    </w:p>
    <w:p>
      <w:pPr>
        <w:pStyle w:val="169"/>
        <w:spacing w:before="120" w:after="120"/>
        <w:rPr>
          <w:rFonts w:hAnsi="黑体"/>
        </w:rPr>
      </w:pPr>
      <w:r>
        <w:rPr>
          <w:rFonts w:hint="eastAsia" w:hAnsi="黑体"/>
        </w:rPr>
        <w:t>食品添加剂</w:t>
      </w:r>
    </w:p>
    <w:p>
      <w:pPr>
        <w:pStyle w:val="156"/>
        <w:ind w:firstLine="420"/>
      </w:pPr>
      <w:r>
        <w:rPr>
          <w:rFonts w:hint="eastAsia" w:hAnsi="宋体"/>
          <w:szCs w:val="21"/>
        </w:rPr>
        <w:t>应符合GB 2760的规定。</w:t>
      </w:r>
    </w:p>
    <w:p>
      <w:pPr>
        <w:pStyle w:val="169"/>
        <w:spacing w:before="120" w:after="120"/>
      </w:pPr>
      <w:r>
        <w:rPr>
          <w:rFonts w:hint="eastAsia"/>
        </w:rPr>
        <w:t>加工条件要求</w:t>
      </w:r>
    </w:p>
    <w:p>
      <w:pPr>
        <w:pStyle w:val="156"/>
        <w:ind w:firstLine="420"/>
      </w:pPr>
      <w:r>
        <w:rPr>
          <w:rFonts w:hint="eastAsia"/>
        </w:rPr>
        <w:t>厂区环境、厂房和车间、设备与设施、卫生管理、生产过程的食品安全控制、管理制度和人员等应符合GB 20941的规定。</w:t>
      </w:r>
    </w:p>
    <w:p>
      <w:pPr>
        <w:pStyle w:val="169"/>
        <w:spacing w:before="120" w:after="120"/>
      </w:pPr>
      <w:r>
        <w:rPr>
          <w:rFonts w:hint="eastAsia"/>
        </w:rPr>
        <w:t>感官要求</w:t>
      </w:r>
    </w:p>
    <w:p>
      <w:pPr>
        <w:pStyle w:val="164"/>
        <w:spacing w:before="120" w:after="120"/>
      </w:pPr>
      <w:r>
        <w:rPr>
          <w:rFonts w:hint="eastAsia"/>
        </w:rPr>
        <w:t>冻品感官要求</w:t>
      </w:r>
    </w:p>
    <w:p>
      <w:pPr>
        <w:pStyle w:val="156"/>
        <w:ind w:firstLine="420"/>
      </w:pPr>
      <w:r>
        <w:rPr>
          <w:rFonts w:hint="eastAsia"/>
        </w:rPr>
        <w:t>应符合表1的规定。</w:t>
      </w:r>
    </w:p>
    <w:p>
      <w:pPr>
        <w:pStyle w:val="171"/>
        <w:spacing w:before="120" w:after="120"/>
      </w:pPr>
      <w:r>
        <w:rPr>
          <w:rFonts w:hint="eastAsia"/>
        </w:rPr>
        <w:t>冻品感官要求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19"/>
        <w:gridCol w:w="7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319" w:type="dxa"/>
            <w:tcBorders>
              <w:top w:val="single" w:color="auto" w:sz="8" w:space="0"/>
              <w:left w:val="single" w:color="auto" w:sz="8" w:space="0"/>
              <w:bottom w:val="single" w:color="auto" w:sz="8" w:space="0"/>
            </w:tcBorders>
            <w:vAlign w:val="center"/>
          </w:tcPr>
          <w:p>
            <w:pPr>
              <w:pStyle w:val="156"/>
              <w:ind w:firstLine="0" w:firstLineChars="0"/>
              <w:jc w:val="center"/>
              <w:rPr>
                <w:sz w:val="18"/>
                <w:szCs w:val="18"/>
              </w:rPr>
            </w:pPr>
            <w:bookmarkStart w:id="23" w:name="_Hlk139293333"/>
            <w:r>
              <w:rPr>
                <w:rFonts w:hint="eastAsia"/>
                <w:sz w:val="18"/>
                <w:szCs w:val="18"/>
              </w:rPr>
              <w:t>类别</w:t>
            </w:r>
          </w:p>
        </w:tc>
        <w:tc>
          <w:tcPr>
            <w:tcW w:w="7005" w:type="dxa"/>
            <w:tcBorders>
              <w:top w:val="single" w:color="auto" w:sz="8" w:space="0"/>
              <w:bottom w:val="single" w:color="auto" w:sz="8" w:space="0"/>
              <w:right w:val="single" w:color="auto" w:sz="8" w:space="0"/>
            </w:tcBorders>
            <w:vAlign w:val="center"/>
          </w:tcPr>
          <w:p>
            <w:pPr>
              <w:pStyle w:val="156"/>
              <w:ind w:firstLine="0" w:firstLineChars="0"/>
              <w:jc w:val="center"/>
              <w:rPr>
                <w:sz w:val="18"/>
                <w:szCs w:val="18"/>
              </w:rPr>
            </w:pPr>
            <w:r>
              <w:rPr>
                <w:rFonts w:hint="eastAsia"/>
                <w:sz w:val="18"/>
                <w:szCs w:val="18"/>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2319" w:type="dxa"/>
            <w:tcBorders>
              <w:top w:val="single" w:color="auto" w:sz="8" w:space="0"/>
              <w:left w:val="single" w:color="auto" w:sz="8" w:space="0"/>
            </w:tcBorders>
            <w:vAlign w:val="center"/>
          </w:tcPr>
          <w:p>
            <w:pPr>
              <w:pStyle w:val="156"/>
              <w:ind w:firstLine="0" w:firstLineChars="0"/>
              <w:jc w:val="center"/>
              <w:rPr>
                <w:sz w:val="18"/>
                <w:szCs w:val="18"/>
              </w:rPr>
            </w:pPr>
            <w:r>
              <w:rPr>
                <w:rFonts w:hint="eastAsia"/>
                <w:sz w:val="18"/>
                <w:szCs w:val="18"/>
              </w:rPr>
              <w:t>单冻</w:t>
            </w:r>
          </w:p>
        </w:tc>
        <w:tc>
          <w:tcPr>
            <w:tcW w:w="7005" w:type="dxa"/>
            <w:tcBorders>
              <w:top w:val="single" w:color="auto" w:sz="8" w:space="0"/>
              <w:right w:val="single" w:color="auto" w:sz="8" w:space="0"/>
            </w:tcBorders>
            <w:vAlign w:val="center"/>
          </w:tcPr>
          <w:p>
            <w:pPr>
              <w:spacing w:line="276" w:lineRule="auto"/>
              <w:ind w:firstLine="180" w:firstLineChars="100"/>
              <w:jc w:val="left"/>
              <w:rPr>
                <w:rFonts w:ascii="宋体"/>
                <w:sz w:val="18"/>
                <w:szCs w:val="18"/>
              </w:rPr>
            </w:pPr>
            <w:r>
              <w:rPr>
                <w:rFonts w:hint="eastAsia" w:ascii="宋体"/>
                <w:sz w:val="18"/>
                <w:szCs w:val="18"/>
              </w:rPr>
              <w:t>产品完整，色泽正常；个体间易分离；无明显干耗、变形、返霜</w:t>
            </w:r>
            <w:r>
              <w:rPr>
                <w:rFonts w:hint="eastAsia" w:ascii="宋体"/>
                <w:sz w:val="20"/>
                <w:szCs w:val="20"/>
                <w:vertAlign w:val="superscript"/>
              </w:rPr>
              <w:t>a</w:t>
            </w:r>
          </w:p>
          <w:p>
            <w:pPr>
              <w:spacing w:line="276" w:lineRule="auto"/>
              <w:ind w:firstLine="180" w:firstLineChars="100"/>
              <w:jc w:val="left"/>
              <w:rPr>
                <w:rFonts w:ascii="宋体"/>
                <w:sz w:val="18"/>
                <w:szCs w:val="18"/>
              </w:rPr>
            </w:pPr>
            <w:r>
              <w:rPr>
                <w:rFonts w:hint="eastAsia" w:ascii="宋体"/>
                <w:sz w:val="18"/>
                <w:szCs w:val="18"/>
              </w:rPr>
              <w:t>镀冰衣产品的冰衣应清洁并均匀包覆产品</w:t>
            </w:r>
          </w:p>
          <w:p>
            <w:pPr>
              <w:spacing w:line="276" w:lineRule="auto"/>
              <w:ind w:firstLine="180" w:firstLineChars="100"/>
              <w:jc w:val="left"/>
              <w:rPr>
                <w:rFonts w:ascii="宋体"/>
                <w:sz w:val="18"/>
                <w:szCs w:val="18"/>
              </w:rPr>
            </w:pPr>
            <w:r>
              <w:rPr>
                <w:rFonts w:hint="eastAsia" w:ascii="宋体"/>
                <w:sz w:val="18"/>
                <w:szCs w:val="18"/>
              </w:rPr>
              <w:t>真空包装产品的包装袋无破损、漏气、胀气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319" w:type="dxa"/>
            <w:tcBorders>
              <w:left w:val="single" w:color="auto" w:sz="8" w:space="0"/>
            </w:tcBorders>
            <w:vAlign w:val="center"/>
          </w:tcPr>
          <w:p>
            <w:pPr>
              <w:pStyle w:val="156"/>
              <w:ind w:firstLine="0" w:firstLineChars="0"/>
              <w:jc w:val="center"/>
              <w:rPr>
                <w:sz w:val="18"/>
                <w:szCs w:val="18"/>
              </w:rPr>
            </w:pPr>
            <w:r>
              <w:rPr>
                <w:rFonts w:hint="eastAsia"/>
                <w:sz w:val="18"/>
                <w:szCs w:val="18"/>
              </w:rPr>
              <w:t>块冻</w:t>
            </w:r>
          </w:p>
        </w:tc>
        <w:tc>
          <w:tcPr>
            <w:tcW w:w="7005" w:type="dxa"/>
            <w:tcBorders>
              <w:right w:val="single" w:color="auto" w:sz="8" w:space="0"/>
            </w:tcBorders>
            <w:vAlign w:val="center"/>
          </w:tcPr>
          <w:p>
            <w:pPr>
              <w:spacing w:line="276" w:lineRule="auto"/>
              <w:ind w:firstLine="180" w:firstLineChars="100"/>
              <w:jc w:val="left"/>
              <w:rPr>
                <w:rFonts w:ascii="宋体"/>
                <w:sz w:val="18"/>
                <w:szCs w:val="18"/>
              </w:rPr>
            </w:pPr>
            <w:r>
              <w:rPr>
                <w:rFonts w:hint="eastAsia" w:ascii="宋体"/>
                <w:sz w:val="18"/>
                <w:szCs w:val="18"/>
              </w:rPr>
              <w:t>冻块平整不破碎；无干耗、无变形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9324" w:type="dxa"/>
            <w:gridSpan w:val="2"/>
            <w:tcBorders>
              <w:left w:val="single" w:color="auto" w:sz="8" w:space="0"/>
              <w:bottom w:val="single" w:color="auto" w:sz="8" w:space="0"/>
              <w:right w:val="single" w:color="auto" w:sz="8" w:space="0"/>
            </w:tcBorders>
            <w:vAlign w:val="center"/>
          </w:tcPr>
          <w:p>
            <w:pPr>
              <w:pStyle w:val="156"/>
              <w:ind w:firstLine="180" w:firstLineChars="100"/>
              <w:rPr>
                <w:sz w:val="18"/>
                <w:szCs w:val="18"/>
              </w:rPr>
            </w:pPr>
            <w:r>
              <w:rPr>
                <w:rFonts w:hint="eastAsia"/>
                <w:sz w:val="18"/>
                <w:szCs w:val="18"/>
                <w:vertAlign w:val="superscript"/>
              </w:rPr>
              <w:t>a</w:t>
            </w:r>
            <w:r>
              <w:rPr>
                <w:rFonts w:hint="eastAsia"/>
                <w:sz w:val="18"/>
                <w:szCs w:val="18"/>
              </w:rPr>
              <w:t>指冷冻食品在冷库中贮存一段时间后，出现明显的游离态霜晶的现象。</w:t>
            </w:r>
          </w:p>
        </w:tc>
      </w:tr>
      <w:bookmarkEnd w:id="23"/>
    </w:tbl>
    <w:p>
      <w:pPr>
        <w:pStyle w:val="164"/>
        <w:spacing w:before="120" w:after="120"/>
      </w:pPr>
      <w:r>
        <w:rPr>
          <w:rFonts w:hint="eastAsia"/>
        </w:rPr>
        <w:t>解冻后样品感官要求</w:t>
      </w:r>
    </w:p>
    <w:p>
      <w:pPr>
        <w:pStyle w:val="156"/>
        <w:ind w:firstLine="420"/>
        <w:rPr>
          <w:rFonts w:hAnsi="宋体"/>
        </w:rPr>
      </w:pPr>
      <w:r>
        <w:rPr>
          <w:rFonts w:hint="eastAsia" w:hAnsi="宋体"/>
        </w:rPr>
        <w:t>应符合表2的规定。</w:t>
      </w:r>
    </w:p>
    <w:p>
      <w:pPr>
        <w:pStyle w:val="156"/>
        <w:ind w:firstLine="420"/>
        <w:rPr>
          <w:rFonts w:hAnsi="宋体"/>
        </w:rPr>
      </w:pPr>
    </w:p>
    <w:p>
      <w:pPr>
        <w:pStyle w:val="156"/>
        <w:ind w:firstLine="420"/>
        <w:rPr>
          <w:rFonts w:hAnsi="宋体"/>
        </w:rPr>
      </w:pPr>
    </w:p>
    <w:p>
      <w:pPr>
        <w:pStyle w:val="156"/>
        <w:ind w:firstLine="420"/>
        <w:rPr>
          <w:rFonts w:hAnsi="宋体"/>
        </w:rPr>
      </w:pPr>
    </w:p>
    <w:p>
      <w:pPr>
        <w:pStyle w:val="171"/>
        <w:spacing w:before="120" w:after="120"/>
      </w:pPr>
      <w:r>
        <w:rPr>
          <w:rFonts w:hint="eastAsia"/>
        </w:rPr>
        <w:t>解冻后样品感官要求</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08"/>
        <w:gridCol w:w="6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tcBorders>
              <w:top w:val="single" w:color="auto" w:sz="8" w:space="0"/>
              <w:bottom w:val="single" w:color="auto" w:sz="8" w:space="0"/>
            </w:tcBorders>
            <w:vAlign w:val="center"/>
          </w:tcPr>
          <w:p>
            <w:pPr>
              <w:pStyle w:val="156"/>
              <w:ind w:firstLine="0" w:firstLineChars="0"/>
              <w:jc w:val="center"/>
              <w:rPr>
                <w:sz w:val="18"/>
                <w:szCs w:val="18"/>
              </w:rPr>
            </w:pPr>
            <w:r>
              <w:rPr>
                <w:rFonts w:hint="eastAsia"/>
                <w:sz w:val="18"/>
                <w:szCs w:val="18"/>
              </w:rPr>
              <w:t>项目</w:t>
            </w:r>
          </w:p>
        </w:tc>
        <w:tc>
          <w:tcPr>
            <w:tcW w:w="6216" w:type="dxa"/>
            <w:tcBorders>
              <w:top w:val="single" w:color="auto" w:sz="8" w:space="0"/>
              <w:bottom w:val="single" w:color="auto" w:sz="8" w:space="0"/>
            </w:tcBorders>
            <w:vAlign w:val="center"/>
          </w:tcPr>
          <w:p>
            <w:pPr>
              <w:pStyle w:val="156"/>
              <w:ind w:firstLine="0" w:firstLineChars="0"/>
              <w:jc w:val="center"/>
              <w:rPr>
                <w:sz w:val="18"/>
                <w:szCs w:val="18"/>
              </w:rPr>
            </w:pPr>
            <w:r>
              <w:rPr>
                <w:rFonts w:hint="eastAsia"/>
                <w:sz w:val="18"/>
                <w:szCs w:val="18"/>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tcBorders>
              <w:top w:val="single" w:color="auto" w:sz="8" w:space="0"/>
            </w:tcBorders>
            <w:vAlign w:val="center"/>
          </w:tcPr>
          <w:p>
            <w:pPr>
              <w:pStyle w:val="156"/>
              <w:ind w:firstLine="0" w:firstLineChars="0"/>
              <w:jc w:val="center"/>
              <w:rPr>
                <w:sz w:val="18"/>
                <w:szCs w:val="18"/>
              </w:rPr>
            </w:pPr>
            <w:r>
              <w:rPr>
                <w:rFonts w:hint="eastAsia"/>
                <w:sz w:val="18"/>
                <w:szCs w:val="18"/>
              </w:rPr>
              <w:t>色泽</w:t>
            </w:r>
          </w:p>
        </w:tc>
        <w:tc>
          <w:tcPr>
            <w:tcW w:w="6216" w:type="dxa"/>
            <w:tcBorders>
              <w:top w:val="single" w:color="auto" w:sz="8" w:space="0"/>
            </w:tcBorders>
            <w:vAlign w:val="center"/>
          </w:tcPr>
          <w:p>
            <w:pPr>
              <w:ind w:firstLine="180" w:firstLineChars="100"/>
              <w:jc w:val="left"/>
              <w:rPr>
                <w:rFonts w:ascii="宋体"/>
                <w:sz w:val="18"/>
                <w:szCs w:val="18"/>
              </w:rPr>
            </w:pPr>
            <w:r>
              <w:rPr>
                <w:rFonts w:hint="eastAsia" w:ascii="宋体"/>
                <w:sz w:val="18"/>
                <w:szCs w:val="18"/>
              </w:rPr>
              <w:t>具有鱼片固有色泽，</w:t>
            </w:r>
            <w:r>
              <w:rPr>
                <w:rFonts w:ascii="宋体"/>
                <w:sz w:val="18"/>
                <w:szCs w:val="18"/>
              </w:rPr>
              <w:t>无</w:t>
            </w:r>
            <w:r>
              <w:rPr>
                <w:rFonts w:hint="eastAsia" w:ascii="宋体"/>
                <w:sz w:val="18"/>
                <w:szCs w:val="18"/>
              </w:rPr>
              <w:t>变色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vAlign w:val="center"/>
          </w:tcPr>
          <w:p>
            <w:pPr>
              <w:pStyle w:val="156"/>
              <w:ind w:firstLine="0" w:firstLineChars="0"/>
              <w:jc w:val="center"/>
              <w:rPr>
                <w:sz w:val="18"/>
                <w:szCs w:val="18"/>
              </w:rPr>
            </w:pPr>
            <w:r>
              <w:rPr>
                <w:rFonts w:hint="eastAsia"/>
                <w:sz w:val="18"/>
                <w:szCs w:val="18"/>
              </w:rPr>
              <w:t>形态</w:t>
            </w:r>
          </w:p>
        </w:tc>
        <w:tc>
          <w:tcPr>
            <w:tcW w:w="6216" w:type="dxa"/>
            <w:vAlign w:val="center"/>
          </w:tcPr>
          <w:p>
            <w:pPr>
              <w:ind w:firstLine="180" w:firstLineChars="100"/>
              <w:jc w:val="left"/>
              <w:rPr>
                <w:rFonts w:ascii="宋体"/>
                <w:sz w:val="18"/>
                <w:szCs w:val="18"/>
              </w:rPr>
            </w:pPr>
            <w:r>
              <w:rPr>
                <w:rFonts w:hint="eastAsia" w:ascii="宋体"/>
                <w:sz w:val="18"/>
                <w:szCs w:val="18"/>
              </w:rPr>
              <w:t>产品完整</w:t>
            </w:r>
            <w:r>
              <w:rPr>
                <w:rFonts w:ascii="宋体"/>
                <w:sz w:val="18"/>
                <w:szCs w:val="18"/>
              </w:rPr>
              <w:t>，允许冻鱼</w:t>
            </w:r>
            <w:r>
              <w:rPr>
                <w:rFonts w:hint="eastAsia" w:ascii="宋体"/>
                <w:sz w:val="18"/>
                <w:szCs w:val="18"/>
              </w:rPr>
              <w:t>片</w:t>
            </w:r>
            <w:r>
              <w:rPr>
                <w:rFonts w:ascii="宋体"/>
                <w:sz w:val="18"/>
                <w:szCs w:val="18"/>
              </w:rPr>
              <w:t>边缘的肉质有稍微的松散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vAlign w:val="center"/>
          </w:tcPr>
          <w:p>
            <w:pPr>
              <w:pStyle w:val="156"/>
              <w:ind w:firstLine="0" w:firstLineChars="0"/>
              <w:jc w:val="center"/>
              <w:rPr>
                <w:sz w:val="18"/>
                <w:szCs w:val="18"/>
              </w:rPr>
            </w:pPr>
            <w:r>
              <w:rPr>
                <w:rFonts w:hint="eastAsia"/>
                <w:sz w:val="18"/>
                <w:szCs w:val="18"/>
              </w:rPr>
              <w:t>气味</w:t>
            </w:r>
          </w:p>
        </w:tc>
        <w:tc>
          <w:tcPr>
            <w:tcW w:w="6216" w:type="dxa"/>
            <w:vAlign w:val="center"/>
          </w:tcPr>
          <w:p>
            <w:pPr>
              <w:ind w:firstLine="180" w:firstLineChars="100"/>
              <w:jc w:val="left"/>
              <w:rPr>
                <w:rFonts w:ascii="宋体"/>
                <w:sz w:val="18"/>
                <w:szCs w:val="18"/>
              </w:rPr>
            </w:pPr>
            <w:r>
              <w:rPr>
                <w:rFonts w:hint="eastAsia" w:ascii="宋体"/>
                <w:sz w:val="18"/>
                <w:szCs w:val="18"/>
              </w:rPr>
              <w:t>具有鱼片固有</w:t>
            </w:r>
            <w:r>
              <w:rPr>
                <w:rFonts w:ascii="宋体"/>
                <w:sz w:val="18"/>
                <w:szCs w:val="18"/>
              </w:rPr>
              <w:t>气味，</w:t>
            </w:r>
            <w:r>
              <w:rPr>
                <w:rFonts w:hint="eastAsia" w:ascii="宋体"/>
                <w:sz w:val="18"/>
                <w:szCs w:val="18"/>
              </w:rPr>
              <w:t>无异味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vAlign w:val="center"/>
          </w:tcPr>
          <w:p>
            <w:pPr>
              <w:pStyle w:val="156"/>
              <w:ind w:firstLine="0" w:firstLineChars="0"/>
              <w:jc w:val="center"/>
              <w:rPr>
                <w:sz w:val="18"/>
                <w:szCs w:val="18"/>
              </w:rPr>
            </w:pPr>
            <w:r>
              <w:rPr>
                <w:rFonts w:hint="eastAsia" w:hAnsi="宋体"/>
                <w:sz w:val="18"/>
                <w:szCs w:val="16"/>
              </w:rPr>
              <w:t>肌肉组织</w:t>
            </w:r>
          </w:p>
        </w:tc>
        <w:tc>
          <w:tcPr>
            <w:tcW w:w="6216" w:type="dxa"/>
            <w:vAlign w:val="center"/>
          </w:tcPr>
          <w:p>
            <w:pPr>
              <w:ind w:firstLine="180" w:firstLineChars="100"/>
              <w:jc w:val="left"/>
              <w:rPr>
                <w:rFonts w:ascii="宋体"/>
                <w:sz w:val="18"/>
                <w:szCs w:val="18"/>
              </w:rPr>
            </w:pPr>
            <w:r>
              <w:rPr>
                <w:rFonts w:ascii="宋体" w:hAnsi="宋体"/>
                <w:kern w:val="0"/>
                <w:sz w:val="18"/>
                <w:szCs w:val="16"/>
              </w:rPr>
              <w:t>紧密有弹性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108" w:type="dxa"/>
            <w:vAlign w:val="center"/>
          </w:tcPr>
          <w:p>
            <w:pPr>
              <w:pStyle w:val="156"/>
              <w:ind w:firstLine="0" w:firstLineChars="0"/>
              <w:jc w:val="center"/>
              <w:rPr>
                <w:sz w:val="18"/>
                <w:szCs w:val="18"/>
              </w:rPr>
            </w:pPr>
            <w:r>
              <w:rPr>
                <w:rFonts w:hint="eastAsia" w:hAnsi="宋体"/>
                <w:sz w:val="18"/>
                <w:szCs w:val="16"/>
              </w:rPr>
              <w:t>杂质</w:t>
            </w:r>
          </w:p>
        </w:tc>
        <w:tc>
          <w:tcPr>
            <w:tcW w:w="6216" w:type="dxa"/>
            <w:vAlign w:val="center"/>
          </w:tcPr>
          <w:p>
            <w:pPr>
              <w:ind w:firstLine="180" w:firstLineChars="100"/>
              <w:jc w:val="left"/>
              <w:rPr>
                <w:rFonts w:ascii="宋体"/>
                <w:sz w:val="18"/>
                <w:szCs w:val="18"/>
              </w:rPr>
            </w:pPr>
            <w:r>
              <w:rPr>
                <w:rFonts w:ascii="宋体" w:hAnsi="宋体"/>
                <w:kern w:val="0"/>
                <w:sz w:val="18"/>
                <w:szCs w:val="16"/>
              </w:rPr>
              <w:t>无</w:t>
            </w:r>
            <w:r>
              <w:rPr>
                <w:rFonts w:hint="eastAsia" w:ascii="宋体" w:hAnsi="宋体"/>
                <w:kern w:val="0"/>
                <w:sz w:val="18"/>
                <w:szCs w:val="16"/>
              </w:rPr>
              <w:t>正常视力可见的</w:t>
            </w:r>
            <w:r>
              <w:rPr>
                <w:rFonts w:ascii="宋体" w:hAnsi="宋体"/>
                <w:kern w:val="0"/>
                <w:sz w:val="18"/>
                <w:szCs w:val="16"/>
              </w:rPr>
              <w:t>外来杂质</w:t>
            </w:r>
            <w:r>
              <w:rPr>
                <w:rFonts w:hint="eastAsia" w:ascii="宋体" w:hAnsi="宋体"/>
                <w:kern w:val="0"/>
                <w:sz w:val="18"/>
                <w:szCs w:val="16"/>
              </w:rPr>
              <w:t>，无刺产品无长度大于5</w:t>
            </w:r>
            <w:r>
              <w:rPr>
                <w:rFonts w:ascii="宋体" w:hAnsi="宋体"/>
                <w:kern w:val="0"/>
                <w:sz w:val="18"/>
                <w:szCs w:val="16"/>
              </w:rPr>
              <w:t xml:space="preserve"> </w:t>
            </w:r>
            <w:r>
              <w:rPr>
                <w:rFonts w:hint="eastAsia" w:ascii="宋体" w:hAnsi="宋体"/>
                <w:kern w:val="0"/>
                <w:sz w:val="18"/>
                <w:szCs w:val="16"/>
              </w:rPr>
              <w:t>mm以上骨刺</w:t>
            </w:r>
          </w:p>
        </w:tc>
      </w:tr>
    </w:tbl>
    <w:p>
      <w:pPr>
        <w:pStyle w:val="164"/>
        <w:spacing w:before="120" w:after="120"/>
      </w:pPr>
      <w:r>
        <w:rPr>
          <w:rFonts w:hint="eastAsia"/>
        </w:rPr>
        <w:t>蒸煮试验</w:t>
      </w:r>
    </w:p>
    <w:p>
      <w:pPr>
        <w:pStyle w:val="156"/>
        <w:ind w:firstLine="420"/>
      </w:pPr>
      <w:r>
        <w:rPr>
          <w:rFonts w:hint="eastAsia"/>
        </w:rPr>
        <w:t>应符合表3的规定。</w:t>
      </w:r>
    </w:p>
    <w:p>
      <w:pPr>
        <w:pStyle w:val="171"/>
        <w:spacing w:before="120" w:after="120"/>
        <w:ind w:firstLine="420"/>
      </w:pPr>
      <w:r>
        <w:rPr>
          <w:rFonts w:hint="eastAsia"/>
        </w:rPr>
        <w:t>蒸煮后感官要求</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63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227" w:type="dxa"/>
            <w:tcBorders>
              <w:top w:val="single" w:color="auto" w:sz="8" w:space="0"/>
              <w:bottom w:val="single" w:color="auto" w:sz="8" w:space="0"/>
            </w:tcBorders>
            <w:vAlign w:val="center"/>
          </w:tcPr>
          <w:p>
            <w:pPr>
              <w:pStyle w:val="156"/>
              <w:ind w:firstLine="0" w:firstLineChars="0"/>
              <w:jc w:val="center"/>
              <w:rPr>
                <w:sz w:val="18"/>
                <w:szCs w:val="18"/>
              </w:rPr>
            </w:pPr>
            <w:r>
              <w:rPr>
                <w:rFonts w:hint="eastAsia"/>
                <w:sz w:val="18"/>
                <w:szCs w:val="18"/>
              </w:rPr>
              <w:t>项目</w:t>
            </w:r>
          </w:p>
        </w:tc>
        <w:tc>
          <w:tcPr>
            <w:tcW w:w="6343" w:type="dxa"/>
            <w:tcBorders>
              <w:top w:val="single" w:color="auto" w:sz="8" w:space="0"/>
              <w:bottom w:val="single" w:color="auto" w:sz="8" w:space="0"/>
            </w:tcBorders>
            <w:vAlign w:val="center"/>
          </w:tcPr>
          <w:p>
            <w:pPr>
              <w:pStyle w:val="156"/>
              <w:ind w:firstLine="0" w:firstLineChars="0"/>
              <w:jc w:val="center"/>
              <w:rPr>
                <w:sz w:val="18"/>
                <w:szCs w:val="18"/>
              </w:rPr>
            </w:pPr>
            <w:r>
              <w:rPr>
                <w:rFonts w:hint="eastAsia"/>
                <w:sz w:val="18"/>
                <w:szCs w:val="18"/>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227" w:type="dxa"/>
            <w:tcBorders>
              <w:top w:val="single" w:color="auto" w:sz="8" w:space="0"/>
            </w:tcBorders>
            <w:vAlign w:val="center"/>
          </w:tcPr>
          <w:p>
            <w:pPr>
              <w:jc w:val="center"/>
              <w:rPr>
                <w:rFonts w:ascii="宋体"/>
                <w:sz w:val="18"/>
                <w:szCs w:val="18"/>
              </w:rPr>
            </w:pPr>
            <w:r>
              <w:rPr>
                <w:rFonts w:hint="eastAsia" w:ascii="宋体"/>
                <w:sz w:val="18"/>
                <w:szCs w:val="18"/>
              </w:rPr>
              <w:t>蒸煮试验</w:t>
            </w:r>
          </w:p>
        </w:tc>
        <w:tc>
          <w:tcPr>
            <w:tcW w:w="6343" w:type="dxa"/>
            <w:tcBorders>
              <w:top w:val="single" w:color="auto" w:sz="8" w:space="0"/>
            </w:tcBorders>
            <w:vAlign w:val="center"/>
          </w:tcPr>
          <w:p>
            <w:pPr>
              <w:ind w:firstLine="180" w:firstLineChars="100"/>
              <w:jc w:val="left"/>
              <w:rPr>
                <w:rFonts w:ascii="宋体"/>
                <w:strike/>
                <w:color w:val="00B050"/>
                <w:sz w:val="18"/>
                <w:szCs w:val="18"/>
              </w:rPr>
            </w:pPr>
            <w:r>
              <w:rPr>
                <w:rFonts w:hint="eastAsia" w:ascii="宋体"/>
                <w:sz w:val="18"/>
                <w:szCs w:val="18"/>
              </w:rPr>
              <w:t>具有其固有的滋味和气味，肌肉组织富有弹性</w:t>
            </w:r>
          </w:p>
        </w:tc>
      </w:tr>
    </w:tbl>
    <w:p>
      <w:pPr>
        <w:pStyle w:val="169"/>
        <w:spacing w:before="120" w:after="120"/>
      </w:pPr>
      <w:r>
        <w:rPr>
          <w:rFonts w:hint="eastAsia"/>
        </w:rPr>
        <w:t>理化指标</w:t>
      </w:r>
    </w:p>
    <w:p>
      <w:pPr>
        <w:pStyle w:val="156"/>
        <w:ind w:firstLine="420"/>
        <w:rPr>
          <w:rFonts w:hAnsi="宋体"/>
        </w:rPr>
      </w:pPr>
      <w:r>
        <w:rPr>
          <w:rFonts w:hint="eastAsia" w:hAnsi="宋体"/>
        </w:rPr>
        <w:t>应符合表4的规定。</w:t>
      </w:r>
    </w:p>
    <w:p>
      <w:pPr>
        <w:pStyle w:val="171"/>
        <w:spacing w:before="120" w:after="120"/>
      </w:pPr>
      <w:r>
        <w:rPr>
          <w:rFonts w:hint="eastAsia"/>
        </w:rPr>
        <w:t xml:space="preserve">理化指标  </w:t>
      </w:r>
    </w:p>
    <w:tbl>
      <w:tblPr>
        <w:tblStyle w:val="3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6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190" w:type="dxa"/>
            <w:tcBorders>
              <w:top w:val="single" w:color="auto" w:sz="8" w:space="0"/>
              <w:bottom w:val="single" w:color="auto" w:sz="8" w:space="0"/>
            </w:tcBorders>
            <w:vAlign w:val="center"/>
          </w:tcPr>
          <w:p>
            <w:pPr>
              <w:jc w:val="center"/>
              <w:rPr>
                <w:rFonts w:ascii="宋体"/>
                <w:sz w:val="18"/>
                <w:szCs w:val="18"/>
              </w:rPr>
            </w:pPr>
            <w:r>
              <w:rPr>
                <w:rFonts w:hint="eastAsia" w:ascii="宋体"/>
                <w:sz w:val="18"/>
                <w:szCs w:val="18"/>
              </w:rPr>
              <w:t>项目</w:t>
            </w:r>
          </w:p>
        </w:tc>
        <w:tc>
          <w:tcPr>
            <w:tcW w:w="6380" w:type="dxa"/>
            <w:tcBorders>
              <w:top w:val="single" w:color="auto" w:sz="8" w:space="0"/>
              <w:bottom w:val="single" w:color="auto" w:sz="8" w:space="0"/>
            </w:tcBorders>
            <w:vAlign w:val="center"/>
          </w:tcPr>
          <w:p>
            <w:pPr>
              <w:jc w:val="center"/>
              <w:rPr>
                <w:rFonts w:ascii="宋体"/>
                <w:sz w:val="18"/>
                <w:szCs w:val="18"/>
              </w:rPr>
            </w:pPr>
            <w:r>
              <w:rPr>
                <w:rFonts w:hint="eastAsia" w:ascii="宋体"/>
                <w:sz w:val="18"/>
                <w:szCs w:val="18"/>
              </w:rPr>
              <w:t>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190" w:type="dxa"/>
            <w:tcBorders>
              <w:top w:val="single" w:color="auto" w:sz="8" w:space="0"/>
            </w:tcBorders>
            <w:vAlign w:val="center"/>
          </w:tcPr>
          <w:p>
            <w:pPr>
              <w:jc w:val="center"/>
              <w:rPr>
                <w:rFonts w:ascii="宋体"/>
                <w:sz w:val="18"/>
                <w:szCs w:val="18"/>
              </w:rPr>
            </w:pPr>
            <w:r>
              <w:rPr>
                <w:rFonts w:hint="eastAsia" w:ascii="宋体"/>
                <w:sz w:val="18"/>
                <w:szCs w:val="18"/>
              </w:rPr>
              <w:t>冻品中心温度，℃</w:t>
            </w:r>
          </w:p>
        </w:tc>
        <w:tc>
          <w:tcPr>
            <w:tcW w:w="6380" w:type="dxa"/>
            <w:tcBorders>
              <w:top w:val="single" w:color="auto" w:sz="8" w:space="0"/>
            </w:tcBorders>
            <w:vAlign w:val="center"/>
          </w:tcPr>
          <w:p>
            <w:pPr>
              <w:jc w:val="center"/>
              <w:rPr>
                <w:rFonts w:ascii="宋体"/>
                <w:sz w:val="18"/>
                <w:szCs w:val="18"/>
              </w:rPr>
            </w:pPr>
            <w:r>
              <w:rPr>
                <w:rFonts w:hint="eastAsia" w:ascii="宋体"/>
                <w:sz w:val="18"/>
                <w:szCs w:val="18"/>
              </w:rPr>
              <w:t>≤-18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190" w:type="dxa"/>
            <w:vAlign w:val="center"/>
          </w:tcPr>
          <w:p>
            <w:pPr>
              <w:jc w:val="center"/>
              <w:rPr>
                <w:rFonts w:ascii="宋体"/>
                <w:sz w:val="18"/>
                <w:szCs w:val="18"/>
              </w:rPr>
            </w:pPr>
            <w:r>
              <w:rPr>
                <w:rFonts w:hint="eastAsia" w:ascii="宋体"/>
                <w:sz w:val="18"/>
                <w:szCs w:val="18"/>
              </w:rPr>
              <w:t>水分，</w:t>
            </w:r>
            <w:r>
              <w:rPr>
                <w:rFonts w:ascii="宋体"/>
                <w:sz w:val="18"/>
                <w:szCs w:val="18"/>
              </w:rPr>
              <w:t>%</w:t>
            </w:r>
          </w:p>
        </w:tc>
        <w:tc>
          <w:tcPr>
            <w:tcW w:w="6380" w:type="dxa"/>
            <w:vAlign w:val="center"/>
          </w:tcPr>
          <w:p>
            <w:pPr>
              <w:jc w:val="center"/>
              <w:rPr>
                <w:rFonts w:ascii="宋体"/>
                <w:sz w:val="18"/>
                <w:szCs w:val="18"/>
              </w:rPr>
            </w:pPr>
            <w:r>
              <w:rPr>
                <w:rFonts w:hint="eastAsia" w:ascii="宋体"/>
                <w:sz w:val="18"/>
                <w:szCs w:val="18"/>
              </w:rPr>
              <w:t>≤8</w:t>
            </w:r>
            <w:r>
              <w:rPr>
                <w:rFonts w:ascii="宋体"/>
                <w:sz w:val="18"/>
                <w:szCs w:val="18"/>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190" w:type="dxa"/>
            <w:vAlign w:val="center"/>
          </w:tcPr>
          <w:p>
            <w:pPr>
              <w:jc w:val="center"/>
              <w:rPr>
                <w:rFonts w:ascii="宋体"/>
                <w:sz w:val="18"/>
                <w:szCs w:val="18"/>
              </w:rPr>
            </w:pPr>
            <w:r>
              <w:rPr>
                <w:rFonts w:hint="eastAsia" w:ascii="宋体"/>
                <w:sz w:val="18"/>
                <w:szCs w:val="18"/>
              </w:rPr>
              <w:t>挥发性盐基氮</w:t>
            </w:r>
          </w:p>
        </w:tc>
        <w:tc>
          <w:tcPr>
            <w:tcW w:w="6380" w:type="dxa"/>
            <w:vAlign w:val="center"/>
          </w:tcPr>
          <w:p>
            <w:pPr>
              <w:jc w:val="center"/>
              <w:rPr>
                <w:rFonts w:ascii="宋体"/>
                <w:sz w:val="18"/>
                <w:szCs w:val="18"/>
              </w:rPr>
            </w:pPr>
            <w:r>
              <w:rPr>
                <w:rFonts w:hint="eastAsia" w:ascii="宋体"/>
                <w:sz w:val="18"/>
                <w:szCs w:val="18"/>
              </w:rPr>
              <w:t>符合GB 2733的规定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190" w:type="dxa"/>
            <w:vAlign w:val="center"/>
          </w:tcPr>
          <w:p>
            <w:pPr>
              <w:jc w:val="center"/>
              <w:rPr>
                <w:rFonts w:ascii="宋体"/>
                <w:sz w:val="18"/>
                <w:szCs w:val="18"/>
              </w:rPr>
            </w:pPr>
            <w:r>
              <w:rPr>
                <w:rFonts w:hint="eastAsia" w:ascii="宋体"/>
                <w:sz w:val="18"/>
                <w:szCs w:val="18"/>
              </w:rPr>
              <w:t>组胺</w:t>
            </w:r>
          </w:p>
        </w:tc>
        <w:tc>
          <w:tcPr>
            <w:tcW w:w="6380" w:type="dxa"/>
            <w:vAlign w:val="center"/>
          </w:tcPr>
          <w:p>
            <w:pPr>
              <w:jc w:val="center"/>
              <w:rPr>
                <w:rFonts w:ascii="宋体"/>
                <w:sz w:val="18"/>
                <w:szCs w:val="18"/>
              </w:rPr>
            </w:pPr>
            <w:r>
              <w:rPr>
                <w:rFonts w:hint="eastAsia" w:ascii="宋体"/>
                <w:sz w:val="18"/>
                <w:szCs w:val="18"/>
              </w:rPr>
              <w:t>符合GB 2733的规定</w:t>
            </w:r>
          </w:p>
        </w:tc>
      </w:tr>
    </w:tbl>
    <w:p>
      <w:pPr>
        <w:pStyle w:val="169"/>
        <w:spacing w:before="120" w:after="120"/>
      </w:pPr>
      <w:r>
        <w:rPr>
          <w:rFonts w:hint="eastAsia"/>
        </w:rPr>
        <w:t>安全指标</w:t>
      </w:r>
    </w:p>
    <w:p>
      <w:pPr>
        <w:pStyle w:val="156"/>
        <w:ind w:firstLine="420"/>
        <w:rPr>
          <w:rFonts w:hAnsi="宋体"/>
          <w:bCs/>
        </w:rPr>
      </w:pPr>
      <w:r>
        <w:rPr>
          <w:rFonts w:hint="eastAsia" w:hAnsi="宋体"/>
          <w:bCs/>
        </w:rPr>
        <w:t>应符合GB 2733的规定。</w:t>
      </w:r>
    </w:p>
    <w:p>
      <w:pPr>
        <w:pStyle w:val="169"/>
        <w:spacing w:before="120" w:after="120"/>
      </w:pPr>
      <w:r>
        <w:rPr>
          <w:rFonts w:hint="eastAsia"/>
        </w:rPr>
        <w:t>净含量</w:t>
      </w:r>
    </w:p>
    <w:p>
      <w:pPr>
        <w:pStyle w:val="156"/>
        <w:ind w:firstLine="420"/>
        <w:rPr>
          <w:rFonts w:ascii="Times New Roman"/>
          <w:bCs/>
          <w:szCs w:val="21"/>
        </w:rPr>
      </w:pPr>
      <w:r>
        <w:rPr>
          <w:rFonts w:hint="eastAsia" w:ascii="Times New Roman"/>
          <w:bCs/>
          <w:szCs w:val="21"/>
        </w:rPr>
        <w:t>预包装产品的净含量应符合</w:t>
      </w:r>
      <w:r>
        <w:rPr>
          <w:rFonts w:hint="eastAsia" w:hAnsi="宋体"/>
          <w:bCs/>
          <w:szCs w:val="21"/>
        </w:rPr>
        <w:t>JJF 1070</w:t>
      </w:r>
      <w:r>
        <w:rPr>
          <w:rFonts w:hint="eastAsia" w:ascii="Times New Roman"/>
          <w:bCs/>
          <w:szCs w:val="21"/>
        </w:rPr>
        <w:t>的规定。</w:t>
      </w:r>
    </w:p>
    <w:p>
      <w:pPr>
        <w:pStyle w:val="169"/>
        <w:spacing w:before="120" w:after="120"/>
      </w:pPr>
      <w:bookmarkStart w:id="24" w:name="_Hlk139359695"/>
      <w:r>
        <w:rPr>
          <w:rFonts w:hint="eastAsia"/>
        </w:rPr>
        <w:t>冰衣限量</w:t>
      </w:r>
    </w:p>
    <w:bookmarkEnd w:id="24"/>
    <w:p>
      <w:pPr>
        <w:pStyle w:val="156"/>
        <w:ind w:firstLine="420"/>
        <w:rPr>
          <w:rFonts w:ascii="Times New Roman"/>
          <w:bCs/>
          <w:szCs w:val="21"/>
        </w:rPr>
      </w:pPr>
      <w:r>
        <w:rPr>
          <w:rFonts w:hint="eastAsia" w:ascii="Times New Roman"/>
          <w:bCs/>
          <w:szCs w:val="21"/>
        </w:rPr>
        <w:t>散装称重销售的单冻产品冰衣限量应符合</w:t>
      </w:r>
      <w:r>
        <w:rPr>
          <w:rFonts w:hint="eastAsia" w:asciiTheme="minorEastAsia" w:hAnsiTheme="minorEastAsia" w:eastAsiaTheme="minorEastAsia"/>
          <w:bCs/>
          <w:szCs w:val="21"/>
        </w:rPr>
        <w:t>SC/T 3054</w:t>
      </w:r>
      <w:r>
        <w:rPr>
          <w:rFonts w:hint="eastAsia" w:ascii="Times New Roman"/>
          <w:bCs/>
          <w:szCs w:val="21"/>
        </w:rPr>
        <w:t>的规定。</w:t>
      </w:r>
    </w:p>
    <w:p>
      <w:pPr>
        <w:pStyle w:val="168"/>
        <w:spacing w:before="240" w:after="240"/>
      </w:pPr>
      <w:r>
        <w:rPr>
          <w:rFonts w:hint="eastAsia"/>
        </w:rPr>
        <w:t>试验方法</w:t>
      </w:r>
    </w:p>
    <w:p>
      <w:pPr>
        <w:pStyle w:val="169"/>
        <w:spacing w:before="120" w:after="120"/>
      </w:pPr>
      <w:r>
        <w:rPr>
          <w:rFonts w:hint="eastAsia"/>
        </w:rPr>
        <w:t>感官检验</w:t>
      </w:r>
    </w:p>
    <w:p>
      <w:pPr>
        <w:pStyle w:val="164"/>
        <w:spacing w:before="120" w:after="120"/>
      </w:pPr>
      <w:r>
        <w:rPr>
          <w:rFonts w:hint="eastAsia"/>
        </w:rPr>
        <w:t>冻品检验</w:t>
      </w:r>
    </w:p>
    <w:p>
      <w:pPr>
        <w:pStyle w:val="156"/>
        <w:ind w:firstLine="420"/>
        <w:rPr>
          <w:rFonts w:ascii="Times New Roman"/>
          <w:szCs w:val="21"/>
        </w:rPr>
      </w:pPr>
      <w:r>
        <w:rPr>
          <w:rFonts w:ascii="Times New Roman"/>
          <w:szCs w:val="21"/>
        </w:rPr>
        <w:t>将样品</w:t>
      </w:r>
      <w:r>
        <w:rPr>
          <w:rFonts w:hint="eastAsia" w:ascii="Times New Roman"/>
          <w:szCs w:val="21"/>
        </w:rPr>
        <w:t>置于</w:t>
      </w:r>
      <w:r>
        <w:rPr>
          <w:rFonts w:hint="eastAsia"/>
        </w:rPr>
        <w:t>洁净的</w:t>
      </w:r>
      <w:r>
        <w:t>白色</w:t>
      </w:r>
      <w:r>
        <w:rPr>
          <w:rFonts w:hint="eastAsia"/>
        </w:rPr>
        <w:t>托</w:t>
      </w:r>
      <w:r>
        <w:t>盘</w:t>
      </w:r>
      <w:r>
        <w:rPr>
          <w:rFonts w:hint="eastAsia"/>
        </w:rPr>
        <w:t>内</w:t>
      </w:r>
      <w:r>
        <w:rPr>
          <w:rFonts w:ascii="Times New Roman"/>
          <w:szCs w:val="21"/>
        </w:rPr>
        <w:t>，在光线充足、无</w:t>
      </w:r>
      <w:r>
        <w:rPr>
          <w:rFonts w:hint="eastAsia" w:ascii="Times New Roman"/>
          <w:szCs w:val="21"/>
        </w:rPr>
        <w:t>异</w:t>
      </w:r>
      <w:r>
        <w:rPr>
          <w:rFonts w:ascii="Times New Roman"/>
          <w:szCs w:val="21"/>
        </w:rPr>
        <w:t>味的环境中按</w:t>
      </w:r>
      <w:r>
        <w:rPr>
          <w:rFonts w:hint="eastAsia" w:ascii="Times New Roman"/>
          <w:szCs w:val="21"/>
        </w:rPr>
        <w:t>表1的</w:t>
      </w:r>
      <w:r>
        <w:rPr>
          <w:rFonts w:ascii="Times New Roman"/>
          <w:szCs w:val="21"/>
        </w:rPr>
        <w:t>要求逐项检验。</w:t>
      </w:r>
    </w:p>
    <w:p>
      <w:pPr>
        <w:pStyle w:val="164"/>
        <w:spacing w:before="120" w:after="120"/>
      </w:pPr>
      <w:r>
        <w:rPr>
          <w:rFonts w:hint="eastAsia"/>
        </w:rPr>
        <w:t>解冻后样品检验</w:t>
      </w:r>
    </w:p>
    <w:p>
      <w:pPr>
        <w:pStyle w:val="156"/>
        <w:ind w:firstLine="420"/>
      </w:pPr>
      <w:r>
        <w:rPr>
          <w:rFonts w:hint="eastAsia" w:hAnsi="宋体"/>
        </w:rPr>
        <w:t>将样品进行防水包装后</w:t>
      </w:r>
      <w:r>
        <w:rPr>
          <w:rFonts w:hint="eastAsia" w:hAnsi="宋体"/>
          <w:szCs w:val="21"/>
        </w:rPr>
        <w:t>全部浸入低于25 ℃的水中，解冻至无硬芯</w:t>
      </w:r>
      <w:r>
        <w:rPr>
          <w:rFonts w:hint="eastAsia" w:hAnsi="宋体"/>
        </w:rPr>
        <w:t>后</w:t>
      </w:r>
      <w:r>
        <w:rPr>
          <w:rFonts w:hint="eastAsia" w:hAnsi="宋体"/>
          <w:szCs w:val="21"/>
        </w:rPr>
        <w:t>将</w:t>
      </w:r>
      <w:r>
        <w:rPr>
          <w:rFonts w:hAnsi="宋体"/>
          <w:szCs w:val="21"/>
        </w:rPr>
        <w:t>样品</w:t>
      </w:r>
      <w:r>
        <w:rPr>
          <w:rFonts w:hint="eastAsia" w:hAnsi="宋体"/>
          <w:szCs w:val="21"/>
        </w:rPr>
        <w:t>放</w:t>
      </w:r>
      <w:r>
        <w:rPr>
          <w:rFonts w:hAnsi="宋体"/>
          <w:szCs w:val="21"/>
        </w:rPr>
        <w:t>在</w:t>
      </w:r>
      <w:r>
        <w:rPr>
          <w:rFonts w:hint="eastAsia" w:hAnsi="宋体"/>
          <w:szCs w:val="21"/>
        </w:rPr>
        <w:t>洁净的</w:t>
      </w:r>
      <w:r>
        <w:rPr>
          <w:rFonts w:hAnsi="宋体"/>
          <w:szCs w:val="21"/>
        </w:rPr>
        <w:t>白色</w:t>
      </w:r>
      <w:r>
        <w:rPr>
          <w:rFonts w:hint="eastAsia" w:hAnsi="宋体"/>
          <w:szCs w:val="21"/>
        </w:rPr>
        <w:t>托</w:t>
      </w:r>
      <w:r>
        <w:rPr>
          <w:rFonts w:hAnsi="宋体"/>
          <w:szCs w:val="21"/>
        </w:rPr>
        <w:t>盘</w:t>
      </w:r>
      <w:r>
        <w:rPr>
          <w:rFonts w:hint="eastAsia" w:hAnsi="宋体"/>
          <w:szCs w:val="21"/>
        </w:rPr>
        <w:t>内</w:t>
      </w:r>
      <w:r>
        <w:rPr>
          <w:rFonts w:hAnsi="宋体"/>
          <w:szCs w:val="21"/>
        </w:rPr>
        <w:t>，</w:t>
      </w:r>
      <w:r>
        <w:rPr>
          <w:rFonts w:hint="eastAsia" w:hAnsi="宋体"/>
          <w:szCs w:val="21"/>
        </w:rPr>
        <w:t>于</w:t>
      </w:r>
      <w:r>
        <w:rPr>
          <w:rFonts w:hAnsi="宋体"/>
          <w:szCs w:val="21"/>
        </w:rPr>
        <w:t>光线充足</w:t>
      </w:r>
      <w:r>
        <w:rPr>
          <w:rFonts w:hint="eastAsia" w:hAnsi="宋体"/>
          <w:szCs w:val="21"/>
        </w:rPr>
        <w:t>、</w:t>
      </w:r>
      <w:r>
        <w:rPr>
          <w:rFonts w:hAnsi="宋体"/>
          <w:szCs w:val="21"/>
        </w:rPr>
        <w:t>无</w:t>
      </w:r>
      <w:r>
        <w:rPr>
          <w:rFonts w:hint="eastAsia" w:hAnsi="宋体"/>
          <w:szCs w:val="21"/>
        </w:rPr>
        <w:t>异</w:t>
      </w:r>
      <w:r>
        <w:rPr>
          <w:rFonts w:hAnsi="宋体"/>
          <w:szCs w:val="21"/>
        </w:rPr>
        <w:t>味的环境中按</w:t>
      </w:r>
      <w:r>
        <w:rPr>
          <w:rFonts w:hint="eastAsia" w:hAnsi="宋体"/>
          <w:szCs w:val="21"/>
        </w:rPr>
        <w:t>表2</w:t>
      </w:r>
      <w:r>
        <w:rPr>
          <w:rFonts w:hAnsi="宋体"/>
          <w:szCs w:val="21"/>
        </w:rPr>
        <w:t>的要求逐项检验。</w:t>
      </w:r>
    </w:p>
    <w:p>
      <w:pPr>
        <w:pStyle w:val="164"/>
        <w:spacing w:before="120" w:after="120"/>
      </w:pPr>
      <w:r>
        <w:rPr>
          <w:rFonts w:hint="eastAsia"/>
        </w:rPr>
        <w:t>蒸煮试验</w:t>
      </w:r>
    </w:p>
    <w:p>
      <w:pPr>
        <w:pStyle w:val="156"/>
        <w:ind w:firstLine="420"/>
        <w:rPr>
          <w:rFonts w:hAnsi="宋体"/>
        </w:rPr>
      </w:pPr>
      <w:bookmarkStart w:id="25" w:name="_Hlk139292246"/>
      <w:r>
        <w:rPr>
          <w:rFonts w:hAnsi="宋体"/>
        </w:rPr>
        <w:t>取</w:t>
      </w:r>
      <w:r>
        <w:rPr>
          <w:rFonts w:hint="eastAsia" w:hAnsi="宋体"/>
        </w:rPr>
        <w:t>200</w:t>
      </w:r>
      <w:r>
        <w:rPr>
          <w:rFonts w:hAnsi="宋体"/>
        </w:rPr>
        <w:t xml:space="preserve"> </w:t>
      </w:r>
      <w:r>
        <w:rPr>
          <w:rFonts w:hint="eastAsia" w:hAnsi="宋体"/>
        </w:rPr>
        <w:t>g完全解冻的</w:t>
      </w:r>
      <w:r>
        <w:rPr>
          <w:rFonts w:hAnsi="宋体"/>
        </w:rPr>
        <w:t>鱼</w:t>
      </w:r>
      <w:r>
        <w:rPr>
          <w:rFonts w:hint="eastAsia" w:hAnsi="宋体"/>
        </w:rPr>
        <w:t>片，</w:t>
      </w:r>
      <w:r>
        <w:rPr>
          <w:rFonts w:hAnsi="宋体"/>
        </w:rPr>
        <w:t>切成2 cm</w:t>
      </w:r>
      <w:r>
        <w:rPr>
          <w:rFonts w:hint="eastAsia" w:hAnsi="宋体"/>
        </w:rPr>
        <w:t>×</w:t>
      </w:r>
      <w:r>
        <w:rPr>
          <w:rFonts w:hAnsi="宋体"/>
        </w:rPr>
        <w:t>2 cm的鱼块</w:t>
      </w:r>
      <w:r>
        <w:rPr>
          <w:rFonts w:hint="eastAsia" w:hAnsi="宋体"/>
        </w:rPr>
        <w:t>，</w:t>
      </w:r>
      <w:r>
        <w:rPr>
          <w:rFonts w:hAnsi="宋体"/>
        </w:rPr>
        <w:t>蒸煮</w:t>
      </w:r>
      <w:r>
        <w:rPr>
          <w:rFonts w:hint="eastAsia" w:hAnsi="宋体"/>
        </w:rPr>
        <w:t>5 min～10 min</w:t>
      </w:r>
      <w:r>
        <w:rPr>
          <w:rFonts w:hAnsi="宋体"/>
        </w:rPr>
        <w:t>使</w:t>
      </w:r>
      <w:r>
        <w:rPr>
          <w:rFonts w:hint="eastAsia" w:hAnsi="宋体"/>
        </w:rPr>
        <w:t>其内部</w:t>
      </w:r>
      <w:r>
        <w:rPr>
          <w:rFonts w:hAnsi="宋体"/>
        </w:rPr>
        <w:t>温度达到</w:t>
      </w:r>
      <w:r>
        <w:rPr>
          <w:rFonts w:hint="eastAsia" w:hAnsi="宋体"/>
        </w:rPr>
        <w:t>65</w:t>
      </w:r>
      <w:r>
        <w:rPr>
          <w:rFonts w:hAnsi="宋体"/>
        </w:rPr>
        <w:t xml:space="preserve"> </w:t>
      </w:r>
      <w:r>
        <w:rPr>
          <w:rFonts w:hint="eastAsia" w:hAnsi="宋体"/>
        </w:rPr>
        <w:t>℃～</w:t>
      </w:r>
      <w:r>
        <w:rPr>
          <w:rFonts w:hAnsi="宋体"/>
        </w:rPr>
        <w:t>70</w:t>
      </w:r>
      <w:r>
        <w:rPr>
          <w:rFonts w:hint="eastAsia" w:hAnsi="宋体"/>
        </w:rPr>
        <w:t xml:space="preserve"> ℃, 按表3的要求逐项检验。蒸煮方法包括但不限于以下2种：</w:t>
      </w:r>
    </w:p>
    <w:p>
      <w:pPr>
        <w:pStyle w:val="176"/>
      </w:pPr>
      <w:r>
        <w:rPr>
          <w:rFonts w:hint="eastAsia"/>
        </w:rPr>
        <w:t>隔水</w:t>
      </w:r>
      <w:r>
        <w:t>煮</w:t>
      </w:r>
      <w:r>
        <w:rPr>
          <w:rFonts w:hint="eastAsia"/>
        </w:rPr>
        <w:t>：</w:t>
      </w:r>
      <w:r>
        <w:t>将</w:t>
      </w:r>
      <w:r>
        <w:rPr>
          <w:rFonts w:hint="eastAsia"/>
        </w:rPr>
        <w:t>样</w:t>
      </w:r>
      <w:r>
        <w:t>品</w:t>
      </w:r>
      <w:r>
        <w:rPr>
          <w:rFonts w:hint="eastAsia"/>
        </w:rPr>
        <w:t>密封在</w:t>
      </w:r>
      <w:r>
        <w:t>可煮薄膜袋中</w:t>
      </w:r>
      <w:r>
        <w:rPr>
          <w:rFonts w:hint="eastAsia"/>
        </w:rPr>
        <w:t>，</w:t>
      </w:r>
      <w:r>
        <w:t>浸入沸水中</w:t>
      </w:r>
      <w:r>
        <w:rPr>
          <w:rFonts w:hint="eastAsia"/>
        </w:rPr>
        <w:t>加热；</w:t>
      </w:r>
    </w:p>
    <w:p>
      <w:pPr>
        <w:pStyle w:val="176"/>
      </w:pPr>
      <w:r>
        <w:t>蒸</w:t>
      </w:r>
      <w:r>
        <w:rPr>
          <w:rFonts w:hint="eastAsia"/>
        </w:rPr>
        <w:t>：</w:t>
      </w:r>
      <w:r>
        <w:t>用铝箔包裹</w:t>
      </w:r>
      <w:r>
        <w:rPr>
          <w:rFonts w:hint="eastAsia"/>
        </w:rPr>
        <w:t>样</w:t>
      </w:r>
      <w:r>
        <w:t>品</w:t>
      </w:r>
      <w:r>
        <w:rPr>
          <w:rFonts w:hint="eastAsia"/>
        </w:rPr>
        <w:t>，放入蒸锅的蒸笼上，用蒸气加热。</w:t>
      </w:r>
    </w:p>
    <w:bookmarkEnd w:id="25"/>
    <w:p>
      <w:pPr>
        <w:pStyle w:val="169"/>
        <w:spacing w:before="120" w:after="120"/>
      </w:pPr>
      <w:r>
        <w:rPr>
          <w:rFonts w:hint="eastAsia"/>
        </w:rPr>
        <w:t>理化指标</w:t>
      </w:r>
    </w:p>
    <w:p>
      <w:pPr>
        <w:pStyle w:val="164"/>
        <w:spacing w:before="120" w:after="120"/>
      </w:pPr>
      <w:r>
        <w:rPr>
          <w:rFonts w:hint="eastAsia"/>
        </w:rPr>
        <w:t>冻品中心温度</w:t>
      </w:r>
    </w:p>
    <w:p>
      <w:pPr>
        <w:pStyle w:val="156"/>
        <w:ind w:firstLine="420"/>
      </w:pPr>
      <w:r>
        <w:rPr>
          <w:rFonts w:hint="eastAsia"/>
        </w:rPr>
        <w:t>块冻品（或个体较大的单冻品）用钻头钻至块冻几何中心，将温度计或测温仪探头插入钻孔中；个体小的单冻品将温度计或测温仪探头插入试样中心或包装中心部位，待指示温度不再下降时读数。</w:t>
      </w:r>
    </w:p>
    <w:p>
      <w:pPr>
        <w:pStyle w:val="164"/>
        <w:spacing w:before="120" w:after="120"/>
      </w:pPr>
      <w:r>
        <w:rPr>
          <w:rFonts w:hint="eastAsia"/>
        </w:rPr>
        <w:t>水分</w:t>
      </w:r>
    </w:p>
    <w:p>
      <w:pPr>
        <w:pStyle w:val="165"/>
        <w:spacing w:before="120" w:after="120"/>
        <w:ind w:left="0"/>
      </w:pPr>
      <w:bookmarkStart w:id="26" w:name="_Hlk139457022"/>
      <w:r>
        <w:rPr>
          <w:rFonts w:hint="eastAsia"/>
        </w:rPr>
        <w:t>解冻</w:t>
      </w:r>
    </w:p>
    <w:p>
      <w:pPr>
        <w:pStyle w:val="156"/>
        <w:ind w:firstLine="420"/>
      </w:pPr>
      <w:r>
        <w:rPr>
          <w:rFonts w:hint="eastAsia"/>
        </w:rPr>
        <w:t>按</w:t>
      </w:r>
      <w:r>
        <w:t>JJF 1070-2005</w:t>
      </w:r>
      <w:r>
        <w:rPr>
          <w:rFonts w:hint="eastAsia"/>
        </w:rPr>
        <w:t>附录</w:t>
      </w:r>
      <w:r>
        <w:t>C.3.3</w:t>
      </w:r>
      <w:r>
        <w:rPr>
          <w:rFonts w:hint="eastAsia"/>
        </w:rPr>
        <w:t>的规定执行。</w:t>
      </w:r>
    </w:p>
    <w:p>
      <w:pPr>
        <w:pStyle w:val="165"/>
        <w:spacing w:before="120" w:after="120"/>
        <w:ind w:left="0"/>
      </w:pPr>
      <w:r>
        <w:rPr>
          <w:rFonts w:hint="eastAsia"/>
        </w:rPr>
        <w:t>检验</w:t>
      </w:r>
    </w:p>
    <w:p>
      <w:pPr>
        <w:pStyle w:val="156"/>
        <w:ind w:firstLine="420"/>
      </w:pPr>
      <w:r>
        <w:rPr>
          <w:rFonts w:hint="eastAsia"/>
        </w:rPr>
        <w:t>取解冻后的样品可食部分绞碎混合均匀，按GB/T 5009.3的规定执行。</w:t>
      </w:r>
    </w:p>
    <w:bookmarkEnd w:id="26"/>
    <w:p>
      <w:pPr>
        <w:pStyle w:val="164"/>
        <w:spacing w:before="120" w:after="120"/>
      </w:pPr>
      <w:r>
        <w:rPr>
          <w:rFonts w:hint="eastAsia"/>
        </w:rPr>
        <w:t>挥发性盐基氮、组胺</w:t>
      </w:r>
    </w:p>
    <w:p>
      <w:pPr>
        <w:pStyle w:val="165"/>
        <w:spacing w:before="120" w:after="120"/>
        <w:ind w:left="0"/>
      </w:pPr>
      <w:r>
        <w:rPr>
          <w:rFonts w:hint="eastAsia"/>
        </w:rPr>
        <w:t>镀冰衣产品</w:t>
      </w:r>
    </w:p>
    <w:p>
      <w:pPr>
        <w:pStyle w:val="156"/>
        <w:ind w:firstLine="420"/>
      </w:pPr>
      <w:bookmarkStart w:id="27" w:name="_Hlk139292586"/>
      <w:r>
        <w:rPr>
          <w:rFonts w:hint="eastAsia" w:hAnsi="宋体"/>
        </w:rPr>
        <w:t>将样品进行防水包装后按</w:t>
      </w:r>
      <w:r>
        <w:rPr>
          <w:rFonts w:hint="eastAsia" w:hAnsi="宋体"/>
          <w:szCs w:val="21"/>
        </w:rPr>
        <w:t>SC/T 3017的规定去除冰衣，</w:t>
      </w:r>
      <w:r>
        <w:rPr>
          <w:rFonts w:hint="eastAsia"/>
        </w:rPr>
        <w:t>按GB 2733规定的方法</w:t>
      </w:r>
      <w:r>
        <w:rPr>
          <w:rFonts w:hint="eastAsia" w:hAnsi="宋体" w:cs="宋体"/>
          <w:szCs w:val="21"/>
        </w:rPr>
        <w:t>执行</w:t>
      </w:r>
      <w:r>
        <w:rPr>
          <w:rFonts w:hint="eastAsia"/>
        </w:rPr>
        <w:t>。</w:t>
      </w:r>
    </w:p>
    <w:p>
      <w:pPr>
        <w:pStyle w:val="165"/>
        <w:spacing w:before="120" w:after="120"/>
        <w:ind w:left="0"/>
      </w:pPr>
      <w:r>
        <w:rPr>
          <w:rFonts w:hint="eastAsia"/>
        </w:rPr>
        <w:t>无冰衣产品</w:t>
      </w:r>
    </w:p>
    <w:p>
      <w:pPr>
        <w:pStyle w:val="156"/>
        <w:ind w:firstLine="420"/>
      </w:pPr>
      <w:r>
        <w:rPr>
          <w:rFonts w:hint="eastAsia"/>
        </w:rPr>
        <w:t>按GB 2733规定的方法</w:t>
      </w:r>
      <w:r>
        <w:rPr>
          <w:rFonts w:hint="eastAsia" w:hAnsi="宋体" w:cs="宋体"/>
          <w:szCs w:val="21"/>
        </w:rPr>
        <w:t>执行</w:t>
      </w:r>
      <w:r>
        <w:rPr>
          <w:rFonts w:hint="eastAsia"/>
        </w:rPr>
        <w:t>。</w:t>
      </w:r>
    </w:p>
    <w:bookmarkEnd w:id="27"/>
    <w:p>
      <w:pPr>
        <w:pStyle w:val="169"/>
        <w:spacing w:before="120" w:after="120"/>
      </w:pPr>
      <w:r>
        <w:rPr>
          <w:rFonts w:hint="eastAsia"/>
        </w:rPr>
        <w:t>安全指标</w:t>
      </w:r>
    </w:p>
    <w:p>
      <w:pPr>
        <w:pStyle w:val="156"/>
        <w:ind w:firstLine="420"/>
      </w:pPr>
      <w:r>
        <w:rPr>
          <w:rFonts w:hint="eastAsia" w:hAnsi="宋体"/>
        </w:rPr>
        <w:t>按</w:t>
      </w:r>
      <w:r>
        <w:rPr>
          <w:rFonts w:hint="eastAsia"/>
        </w:rPr>
        <w:t>GB 2733规定的方法执行。</w:t>
      </w:r>
    </w:p>
    <w:p>
      <w:pPr>
        <w:pStyle w:val="169"/>
        <w:spacing w:before="120" w:after="120"/>
      </w:pPr>
      <w:r>
        <w:rPr>
          <w:rFonts w:hint="eastAsia"/>
        </w:rPr>
        <w:t>净含量</w:t>
      </w:r>
    </w:p>
    <w:p>
      <w:pPr>
        <w:pStyle w:val="156"/>
        <w:ind w:firstLine="420"/>
      </w:pPr>
      <w:r>
        <w:rPr>
          <w:rFonts w:hint="eastAsia"/>
        </w:rPr>
        <w:t>按JJF 1070的规定执行。</w:t>
      </w:r>
    </w:p>
    <w:p>
      <w:pPr>
        <w:pStyle w:val="169"/>
        <w:spacing w:before="120" w:after="120"/>
      </w:pPr>
      <w:r>
        <w:rPr>
          <w:rFonts w:hint="eastAsia"/>
        </w:rPr>
        <w:t>冰衣限量</w:t>
      </w:r>
    </w:p>
    <w:p>
      <w:pPr>
        <w:pStyle w:val="156"/>
        <w:ind w:firstLine="420"/>
        <w:rPr>
          <w:rFonts w:hAnsi="宋体"/>
          <w:szCs w:val="21"/>
        </w:rPr>
      </w:pPr>
      <w:r>
        <w:rPr>
          <w:rFonts w:hint="eastAsia"/>
        </w:rPr>
        <w:t>按</w:t>
      </w:r>
      <w:r>
        <w:rPr>
          <w:rFonts w:hint="eastAsia" w:hAnsi="宋体"/>
          <w:szCs w:val="21"/>
        </w:rPr>
        <w:t>SC/T 3054的规定执行。</w:t>
      </w:r>
    </w:p>
    <w:p>
      <w:pPr>
        <w:pStyle w:val="168"/>
        <w:spacing w:before="240" w:after="240"/>
      </w:pPr>
      <w:r>
        <w:rPr>
          <w:rFonts w:hint="eastAsia"/>
        </w:rPr>
        <w:t>检验规则</w:t>
      </w:r>
    </w:p>
    <w:p>
      <w:pPr>
        <w:pStyle w:val="169"/>
        <w:spacing w:before="120" w:after="120"/>
      </w:pPr>
      <w:r>
        <w:rPr>
          <w:rFonts w:hint="eastAsia"/>
        </w:rPr>
        <w:t>组批规则</w:t>
      </w:r>
    </w:p>
    <w:p>
      <w:pPr>
        <w:pStyle w:val="156"/>
        <w:ind w:firstLine="420"/>
        <w:rPr>
          <w:rFonts w:hAnsi="宋体"/>
        </w:rPr>
      </w:pPr>
      <w:r>
        <w:rPr>
          <w:rFonts w:hint="eastAsia" w:hAnsi="宋体"/>
        </w:rPr>
        <w:t>在原料及生产条件基本相同的条件下，同一天或同一个班次加工的同一类产品为一批。</w:t>
      </w:r>
    </w:p>
    <w:p>
      <w:pPr>
        <w:pStyle w:val="169"/>
        <w:spacing w:before="120" w:after="120"/>
      </w:pPr>
      <w:r>
        <w:rPr>
          <w:rFonts w:hint="eastAsia"/>
        </w:rPr>
        <w:t>抽样方法</w:t>
      </w:r>
    </w:p>
    <w:p>
      <w:pPr>
        <w:pStyle w:val="156"/>
        <w:ind w:firstLine="420"/>
        <w:rPr>
          <w:rFonts w:ascii="Times New Roman"/>
          <w:szCs w:val="21"/>
        </w:rPr>
      </w:pPr>
      <w:r>
        <w:rPr>
          <w:rFonts w:ascii="Times New Roman"/>
          <w:szCs w:val="21"/>
        </w:rPr>
        <w:t>按</w:t>
      </w:r>
      <w:r>
        <w:rPr>
          <w:rFonts w:hint="eastAsia" w:hAnsi="宋体"/>
          <w:szCs w:val="21"/>
        </w:rPr>
        <w:t>GB/T 30891</w:t>
      </w:r>
      <w:r>
        <w:rPr>
          <w:rFonts w:hAnsi="宋体"/>
          <w:szCs w:val="21"/>
        </w:rPr>
        <w:t>的</w:t>
      </w:r>
      <w:r>
        <w:rPr>
          <w:rFonts w:ascii="Times New Roman"/>
          <w:szCs w:val="21"/>
        </w:rPr>
        <w:t>规定执行。</w:t>
      </w:r>
    </w:p>
    <w:p>
      <w:pPr>
        <w:pStyle w:val="169"/>
        <w:spacing w:before="120" w:after="120"/>
      </w:pPr>
      <w:r>
        <w:rPr>
          <w:rFonts w:hint="eastAsia"/>
        </w:rPr>
        <w:t>检验分类</w:t>
      </w:r>
    </w:p>
    <w:p>
      <w:pPr>
        <w:pStyle w:val="164"/>
        <w:spacing w:before="120" w:after="120"/>
      </w:pPr>
      <w:r>
        <w:rPr>
          <w:rFonts w:hint="eastAsia"/>
        </w:rPr>
        <w:t>出厂检验</w:t>
      </w:r>
    </w:p>
    <w:p>
      <w:pPr>
        <w:pStyle w:val="156"/>
        <w:ind w:firstLine="420"/>
      </w:pPr>
      <w:r>
        <w:rPr>
          <w:rFonts w:ascii="Times New Roman"/>
          <w:szCs w:val="21"/>
        </w:rPr>
        <w:t>每批产品应进行出厂检验。出厂检验由生产单位质量部门执行，检验项目</w:t>
      </w:r>
      <w:r>
        <w:rPr>
          <w:rFonts w:hint="eastAsia" w:ascii="Times New Roman"/>
          <w:szCs w:val="21"/>
        </w:rPr>
        <w:t>应至少包含</w:t>
      </w:r>
      <w:r>
        <w:rPr>
          <w:rFonts w:ascii="Times New Roman"/>
          <w:szCs w:val="21"/>
        </w:rPr>
        <w:t>感官</w:t>
      </w:r>
      <w:r>
        <w:rPr>
          <w:rFonts w:hint="eastAsia" w:ascii="Times New Roman"/>
          <w:szCs w:val="21"/>
        </w:rPr>
        <w:t>要求</w:t>
      </w:r>
      <w:r>
        <w:rPr>
          <w:rFonts w:ascii="Times New Roman"/>
          <w:szCs w:val="21"/>
        </w:rPr>
        <w:t>、冻品中心温度、净含量</w:t>
      </w:r>
      <w:r>
        <w:rPr>
          <w:rFonts w:hint="eastAsia" w:ascii="Times New Roman"/>
          <w:szCs w:val="21"/>
        </w:rPr>
        <w:t>，</w:t>
      </w:r>
      <w:r>
        <w:rPr>
          <w:rFonts w:ascii="Times New Roman"/>
          <w:szCs w:val="21"/>
        </w:rPr>
        <w:t>检验合格签发检验合格证，产品凭检验合格证</w:t>
      </w:r>
      <w:r>
        <w:rPr>
          <w:rFonts w:hint="eastAsia" w:ascii="Times New Roman"/>
          <w:szCs w:val="21"/>
        </w:rPr>
        <w:t>入库或</w:t>
      </w:r>
      <w:r>
        <w:rPr>
          <w:rFonts w:ascii="Times New Roman"/>
          <w:szCs w:val="21"/>
        </w:rPr>
        <w:t>出厂。</w:t>
      </w:r>
    </w:p>
    <w:p>
      <w:pPr>
        <w:pStyle w:val="164"/>
        <w:spacing w:before="120" w:after="120"/>
      </w:pPr>
      <w:r>
        <w:rPr>
          <w:rFonts w:hint="eastAsia"/>
        </w:rPr>
        <w:t>型式检验</w:t>
      </w:r>
    </w:p>
    <w:p>
      <w:pPr>
        <w:pStyle w:val="156"/>
        <w:ind w:firstLine="420"/>
        <w:rPr>
          <w:szCs w:val="21"/>
        </w:rPr>
      </w:pPr>
      <w:r>
        <w:rPr>
          <w:szCs w:val="21"/>
        </w:rPr>
        <w:t>有下列情况之一时应进行型式检验，检验项目为本标准</w:t>
      </w:r>
      <w:r>
        <w:rPr>
          <w:rFonts w:hint="eastAsia"/>
          <w:szCs w:val="21"/>
        </w:rPr>
        <w:t>第</w:t>
      </w:r>
      <w:r>
        <w:rPr>
          <w:szCs w:val="21"/>
        </w:rPr>
        <w:t>5</w:t>
      </w:r>
      <w:r>
        <w:rPr>
          <w:rFonts w:hint="eastAsia"/>
          <w:szCs w:val="21"/>
        </w:rPr>
        <w:t>章</w:t>
      </w:r>
      <w:r>
        <w:rPr>
          <w:szCs w:val="21"/>
        </w:rPr>
        <w:t>规定的全部项目</w:t>
      </w:r>
      <w:r>
        <w:rPr>
          <w:rFonts w:hint="eastAsia"/>
          <w:szCs w:val="21"/>
        </w:rPr>
        <w:t>：</w:t>
      </w:r>
    </w:p>
    <w:p>
      <w:pPr>
        <w:pStyle w:val="176"/>
        <w:numPr>
          <w:ilvl w:val="0"/>
          <w:numId w:val="6"/>
        </w:numPr>
      </w:pPr>
      <w:r>
        <w:t>停产</w:t>
      </w:r>
      <w:r>
        <w:rPr>
          <w:rFonts w:hint="eastAsia"/>
        </w:rPr>
        <w:t>6个月以上</w:t>
      </w:r>
      <w:r>
        <w:t>，恢复生产时；</w:t>
      </w:r>
    </w:p>
    <w:p>
      <w:pPr>
        <w:pStyle w:val="176"/>
        <w:numPr>
          <w:ilvl w:val="0"/>
          <w:numId w:val="6"/>
        </w:numPr>
      </w:pPr>
      <w:r>
        <w:t>原料</w:t>
      </w:r>
      <w:r>
        <w:rPr>
          <w:rFonts w:hint="eastAsia"/>
        </w:rPr>
        <w:t>产地变化或改变</w:t>
      </w:r>
      <w:r>
        <w:t>生产</w:t>
      </w:r>
      <w:r>
        <w:rPr>
          <w:rFonts w:hint="eastAsia"/>
        </w:rPr>
        <w:t>工艺</w:t>
      </w:r>
      <w:r>
        <w:t>，可能影响产品质量时；</w:t>
      </w:r>
    </w:p>
    <w:p>
      <w:pPr>
        <w:pStyle w:val="176"/>
        <w:numPr>
          <w:ilvl w:val="0"/>
          <w:numId w:val="6"/>
        </w:numPr>
      </w:pPr>
      <w:r>
        <w:t>国家</w:t>
      </w:r>
      <w:r>
        <w:rPr>
          <w:rFonts w:hint="eastAsia"/>
        </w:rPr>
        <w:t>行政监管部门</w:t>
      </w:r>
      <w:r>
        <w:t>提出进行型式检验要求时；</w:t>
      </w:r>
    </w:p>
    <w:p>
      <w:pPr>
        <w:pStyle w:val="176"/>
        <w:numPr>
          <w:ilvl w:val="0"/>
          <w:numId w:val="6"/>
        </w:numPr>
      </w:pPr>
      <w:r>
        <w:t>出厂检验与上次型式检验有大差异时；</w:t>
      </w:r>
    </w:p>
    <w:p>
      <w:pPr>
        <w:pStyle w:val="176"/>
        <w:numPr>
          <w:ilvl w:val="0"/>
          <w:numId w:val="6"/>
        </w:numPr>
      </w:pPr>
      <w:r>
        <w:t>正常生产时，每年至少</w:t>
      </w:r>
      <w:r>
        <w:rPr>
          <w:rFonts w:hint="eastAsia"/>
        </w:rPr>
        <w:t>两</w:t>
      </w:r>
      <w:r>
        <w:t>次的周期性检验</w:t>
      </w:r>
      <w:r>
        <w:rPr>
          <w:rFonts w:hint="eastAsia"/>
        </w:rPr>
        <w:t>；</w:t>
      </w:r>
    </w:p>
    <w:p>
      <w:pPr>
        <w:pStyle w:val="176"/>
        <w:numPr>
          <w:ilvl w:val="0"/>
          <w:numId w:val="6"/>
        </w:numPr>
      </w:pPr>
      <w:r>
        <w:rPr>
          <w:rFonts w:hint="eastAsia"/>
        </w:rPr>
        <w:t>对质量有争议，需要仲裁时。</w:t>
      </w:r>
    </w:p>
    <w:p>
      <w:pPr>
        <w:pStyle w:val="169"/>
        <w:spacing w:before="120" w:after="120"/>
      </w:pPr>
      <w:r>
        <w:rPr>
          <w:rFonts w:hint="eastAsia"/>
        </w:rPr>
        <w:t>判定规则</w:t>
      </w:r>
    </w:p>
    <w:p>
      <w:pPr>
        <w:pStyle w:val="175"/>
      </w:pPr>
      <w:r>
        <w:rPr>
          <w:rFonts w:hint="eastAsia"/>
        </w:rPr>
        <w:t>检验项目全部合格时，判定该批产品质量符合本文件的规定。</w:t>
      </w:r>
    </w:p>
    <w:p>
      <w:pPr>
        <w:pStyle w:val="175"/>
      </w:pPr>
      <w:r>
        <w:rPr>
          <w:rFonts w:hint="eastAsia"/>
        </w:rPr>
        <w:t>检验项目如出现不合格时，应重新自同批产品中抽取两倍量样品进行复检，以复检结果为准。若仍有不合格，判定该批产品不符合本文件的规定。</w:t>
      </w:r>
    </w:p>
    <w:p>
      <w:pPr>
        <w:pStyle w:val="168"/>
        <w:spacing w:before="240" w:after="240"/>
      </w:pPr>
      <w:r>
        <w:rPr>
          <w:rFonts w:hint="eastAsia" w:ascii="Times New Roman"/>
          <w:bCs/>
          <w:szCs w:val="21"/>
        </w:rPr>
        <w:t>标识、</w:t>
      </w:r>
      <w:r>
        <w:rPr>
          <w:rFonts w:ascii="Times New Roman"/>
          <w:bCs/>
          <w:szCs w:val="21"/>
        </w:rPr>
        <w:t>包装、运输、</w:t>
      </w:r>
      <w:r>
        <w:rPr>
          <w:rFonts w:hint="eastAsia" w:ascii="Times New Roman"/>
          <w:bCs/>
          <w:szCs w:val="21"/>
        </w:rPr>
        <w:t>贮存</w:t>
      </w:r>
    </w:p>
    <w:p>
      <w:pPr>
        <w:pStyle w:val="169"/>
        <w:spacing w:before="120" w:after="120"/>
      </w:pPr>
      <w:r>
        <w:rPr>
          <w:rFonts w:hint="eastAsia"/>
        </w:rPr>
        <w:t>标识</w:t>
      </w:r>
    </w:p>
    <w:p>
      <w:pPr>
        <w:pStyle w:val="175"/>
      </w:pPr>
      <w:r>
        <w:t>应符合</w:t>
      </w:r>
      <w:r>
        <w:rPr>
          <w:rFonts w:hint="eastAsia"/>
        </w:rPr>
        <w:t>SC/T</w:t>
      </w:r>
      <w:r>
        <w:t xml:space="preserve"> </w:t>
      </w:r>
      <w:r>
        <w:rPr>
          <w:rFonts w:hint="eastAsia"/>
        </w:rPr>
        <w:t>3035</w:t>
      </w:r>
      <w:r>
        <w:t>的规定</w:t>
      </w:r>
      <w:r>
        <w:rPr>
          <w:rFonts w:hint="eastAsia"/>
        </w:rPr>
        <w:t>。</w:t>
      </w:r>
    </w:p>
    <w:p>
      <w:pPr>
        <w:pStyle w:val="175"/>
      </w:pPr>
      <w:r>
        <w:rPr>
          <w:rFonts w:hint="eastAsia" w:hAnsi="宋体"/>
        </w:rPr>
        <w:t>非预包装产品的标签应标示产品名称、产地、生产者或销售者名称、生产日期等。</w:t>
      </w:r>
    </w:p>
    <w:p>
      <w:pPr>
        <w:pStyle w:val="175"/>
      </w:pPr>
      <w:r>
        <w:rPr>
          <w:rFonts w:hint="eastAsia"/>
        </w:rPr>
        <w:t>运输包装的标志应符合GB/T 191的规定。</w:t>
      </w:r>
    </w:p>
    <w:p>
      <w:pPr>
        <w:pStyle w:val="169"/>
        <w:spacing w:before="120" w:after="120"/>
      </w:pPr>
      <w:r>
        <w:rPr>
          <w:rFonts w:hint="eastAsia"/>
        </w:rPr>
        <w:t>包装</w:t>
      </w:r>
    </w:p>
    <w:p>
      <w:pPr>
        <w:pStyle w:val="175"/>
        <w:rPr>
          <w:rFonts w:hAnsi="宋体"/>
        </w:rPr>
      </w:pPr>
      <w:r>
        <w:rPr>
          <w:rFonts w:hAnsi="宋体"/>
        </w:rPr>
        <w:t>应符合</w:t>
      </w:r>
      <w:r>
        <w:rPr>
          <w:rFonts w:hint="eastAsia" w:hAnsi="宋体"/>
        </w:rPr>
        <w:t>SC/T</w:t>
      </w:r>
      <w:r>
        <w:rPr>
          <w:rFonts w:hAnsi="宋体"/>
        </w:rPr>
        <w:t xml:space="preserve"> </w:t>
      </w:r>
      <w:r>
        <w:rPr>
          <w:rFonts w:hint="eastAsia" w:hAnsi="宋体"/>
        </w:rPr>
        <w:t>3035</w:t>
      </w:r>
      <w:r>
        <w:rPr>
          <w:rFonts w:hAnsi="宋体"/>
        </w:rPr>
        <w:t>的规定</w:t>
      </w:r>
      <w:r>
        <w:rPr>
          <w:rFonts w:hint="eastAsia" w:hAnsi="宋体"/>
        </w:rPr>
        <w:t>。</w:t>
      </w:r>
    </w:p>
    <w:p>
      <w:pPr>
        <w:pStyle w:val="175"/>
        <w:rPr>
          <w:rFonts w:hAnsi="宋体"/>
        </w:rPr>
      </w:pPr>
      <w:r>
        <w:rPr>
          <w:rFonts w:hint="eastAsia" w:hAnsi="宋体"/>
        </w:rPr>
        <w:t>箱中产品应排列整齐，并附有产品合格证。</w:t>
      </w:r>
    </w:p>
    <w:p>
      <w:pPr>
        <w:pStyle w:val="175"/>
        <w:rPr>
          <w:rFonts w:hAnsi="宋体"/>
        </w:rPr>
      </w:pPr>
      <w:r>
        <w:rPr>
          <w:rFonts w:hint="eastAsia" w:hAnsi="宋体"/>
        </w:rPr>
        <w:t>包装应牢固、不易破损。</w:t>
      </w:r>
    </w:p>
    <w:p>
      <w:pPr>
        <w:pStyle w:val="169"/>
        <w:spacing w:before="120" w:after="120"/>
      </w:pPr>
      <w:r>
        <w:rPr>
          <w:rFonts w:hint="eastAsia"/>
        </w:rPr>
        <w:t>运输</w:t>
      </w:r>
    </w:p>
    <w:p>
      <w:pPr>
        <w:pStyle w:val="175"/>
      </w:pPr>
      <w:r>
        <w:rPr>
          <w:rFonts w:hint="eastAsia" w:hAnsi="宋体"/>
        </w:rPr>
        <w:t>运输过程中应保持产品温度不高于-15 ℃。</w:t>
      </w:r>
    </w:p>
    <w:p>
      <w:pPr>
        <w:pStyle w:val="175"/>
      </w:pPr>
      <w:r>
        <w:rPr>
          <w:rFonts w:hint="eastAsia" w:hAnsi="宋体"/>
        </w:rPr>
        <w:t>运输工具应清洁、无异味，不应接触有腐蚀性的物质或其它有害物质。</w:t>
      </w:r>
    </w:p>
    <w:p>
      <w:pPr>
        <w:pStyle w:val="175"/>
      </w:pPr>
      <w:r>
        <w:rPr>
          <w:rFonts w:hint="eastAsia"/>
        </w:rPr>
        <w:t>运输过程中应防止日晒、虫害、有害物质的污染或其他损害，</w:t>
      </w:r>
      <w:r>
        <w:rPr>
          <w:rFonts w:hint="eastAsia" w:hAnsi="宋体"/>
        </w:rPr>
        <w:t>不应与气味浓郁的物品混运。</w:t>
      </w:r>
    </w:p>
    <w:p>
      <w:pPr>
        <w:pStyle w:val="169"/>
        <w:spacing w:before="120" w:after="120"/>
      </w:pPr>
      <w:r>
        <w:rPr>
          <w:rFonts w:hint="eastAsia"/>
        </w:rPr>
        <w:t>贮存</w:t>
      </w:r>
    </w:p>
    <w:p>
      <w:pPr>
        <w:pStyle w:val="175"/>
      </w:pPr>
      <w:r>
        <w:rPr>
          <w:rFonts w:hint="eastAsia" w:hAnsi="宋体" w:cs="宋体"/>
        </w:rPr>
        <w:t>应保持产品温度不高于-18 ℃。</w:t>
      </w:r>
    </w:p>
    <w:p>
      <w:pPr>
        <w:pStyle w:val="175"/>
      </w:pPr>
      <w:r>
        <w:rPr>
          <w:rFonts w:ascii="Times New Roman"/>
        </w:rPr>
        <w:t>产品</w:t>
      </w:r>
      <w:r>
        <w:rPr>
          <w:rFonts w:hint="eastAsia" w:ascii="Times New Roman"/>
        </w:rPr>
        <w:t>速冻后贮存于</w:t>
      </w:r>
      <w:r>
        <w:rPr>
          <w:rFonts w:ascii="Times New Roman"/>
        </w:rPr>
        <w:t>清洁、无异味的</w:t>
      </w:r>
      <w:r>
        <w:rPr>
          <w:rFonts w:hint="eastAsia" w:ascii="Times New Roman"/>
        </w:rPr>
        <w:t>冻</w:t>
      </w:r>
      <w:r>
        <w:rPr>
          <w:rFonts w:ascii="Times New Roman"/>
        </w:rPr>
        <w:t>库内，</w:t>
      </w:r>
      <w:r>
        <w:rPr>
          <w:rFonts w:hint="eastAsia" w:ascii="Times New Roman"/>
        </w:rPr>
        <w:t>防止虫害、有害物质的污染和其他损害。</w:t>
      </w:r>
    </w:p>
    <w:p>
      <w:pPr>
        <w:pStyle w:val="175"/>
        <w:rPr>
          <w:rFonts w:ascii="Times New Roman"/>
        </w:rPr>
      </w:pPr>
      <w:r>
        <w:rPr>
          <w:rFonts w:ascii="Times New Roman"/>
        </w:rPr>
        <w:t>不同品种</w:t>
      </w:r>
      <w:r>
        <w:rPr>
          <w:rFonts w:hint="eastAsia" w:ascii="Times New Roman"/>
        </w:rPr>
        <w:t>、类别、</w:t>
      </w:r>
      <w:r>
        <w:rPr>
          <w:rFonts w:ascii="Times New Roman"/>
        </w:rPr>
        <w:t>批次的产品应分垛</w:t>
      </w:r>
      <w:r>
        <w:rPr>
          <w:rFonts w:hint="eastAsia" w:ascii="Times New Roman"/>
        </w:rPr>
        <w:t>存放</w:t>
      </w:r>
      <w:r>
        <w:rPr>
          <w:rFonts w:ascii="Times New Roman"/>
        </w:rPr>
        <w:t>，</w:t>
      </w:r>
      <w:r>
        <w:rPr>
          <w:rFonts w:hint="eastAsia" w:ascii="Times New Roman"/>
        </w:rPr>
        <w:t>标示清楚。产品与</w:t>
      </w:r>
      <w:r>
        <w:rPr>
          <w:rFonts w:hint="eastAsia" w:hAnsi="宋体"/>
        </w:rPr>
        <w:t>地面距离应不少于10 cm，与墙壁距离不少于30 cm</w:t>
      </w:r>
      <w:r>
        <w:rPr>
          <w:rFonts w:hint="eastAsia" w:ascii="Times New Roman"/>
        </w:rPr>
        <w:t>。</w:t>
      </w:r>
      <w:r>
        <w:rPr>
          <w:rFonts w:ascii="Times New Roman"/>
        </w:rPr>
        <w:t>堆放高度以</w:t>
      </w:r>
      <w:r>
        <w:rPr>
          <w:rFonts w:hint="eastAsia" w:ascii="Times New Roman"/>
        </w:rPr>
        <w:t>包装物</w:t>
      </w:r>
      <w:r>
        <w:rPr>
          <w:rFonts w:ascii="Times New Roman"/>
        </w:rPr>
        <w:t>受压不变形为宜</w:t>
      </w:r>
      <w:r>
        <w:rPr>
          <w:rFonts w:hint="eastAsia" w:ascii="Times New Roman"/>
        </w:rPr>
        <w:t>。</w:t>
      </w:r>
    </w:p>
    <w:p>
      <w:pPr>
        <w:pStyle w:val="169"/>
        <w:numPr>
          <w:ilvl w:val="0"/>
          <w:numId w:val="0"/>
        </w:numPr>
        <w:spacing w:before="120" w:after="120"/>
        <w:sectPr>
          <w:pgSz w:w="11906" w:h="16838"/>
          <w:pgMar w:top="1928" w:right="1134" w:bottom="1134" w:left="1134" w:header="1418" w:footer="1134" w:gutter="284"/>
          <w:pgNumType w:start="1"/>
          <w:cols w:space="425" w:num="1"/>
          <w:formProt w:val="0"/>
          <w:docGrid w:linePitch="312" w:charSpace="0"/>
        </w:sectPr>
      </w:pPr>
    </w:p>
    <w:p>
      <w:pPr>
        <w:pStyle w:val="169"/>
        <w:numPr>
          <w:ilvl w:val="0"/>
          <w:numId w:val="0"/>
        </w:numPr>
        <w:spacing w:before="640" w:beforeLines="0" w:after="240" w:afterLines="0"/>
        <w:jc w:val="center"/>
        <w:outlineLvl w:val="0"/>
      </w:pPr>
      <w:r>
        <w:rPr>
          <w:rFonts w:hint="eastAsia"/>
        </w:rPr>
        <w:t>参考文献</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[1] GB/T 18108-2019</w:t>
      </w:r>
      <w:r>
        <w:rPr>
          <w:rFonts w:hint="eastAsia" w:asciiTheme="minorEastAsia" w:hAnsiTheme="minorEastAsia" w:eastAsiaTheme="minorEastAsia"/>
          <w:szCs w:val="21"/>
        </w:rPr>
        <w:t xml:space="preserve"> </w:t>
      </w:r>
      <w:r>
        <w:rPr>
          <w:rFonts w:asciiTheme="minorEastAsia" w:hAnsiTheme="minorEastAsia" w:eastAsiaTheme="minorEastAsia"/>
          <w:szCs w:val="21"/>
        </w:rPr>
        <w:t>鲜海水鱼通则</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[2] GB/T 18109-2011</w:t>
      </w:r>
      <w:r>
        <w:rPr>
          <w:rFonts w:hint="eastAsia" w:asciiTheme="minorEastAsia" w:hAnsiTheme="minorEastAsia" w:eastAsiaTheme="minorEastAsia"/>
          <w:szCs w:val="21"/>
        </w:rPr>
        <w:t xml:space="preserve"> </w:t>
      </w:r>
      <w:r>
        <w:rPr>
          <w:rFonts w:asciiTheme="minorEastAsia" w:hAnsiTheme="minorEastAsia" w:eastAsiaTheme="minorEastAsia"/>
          <w:szCs w:val="21"/>
        </w:rPr>
        <w:t>冻鱼</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[3] GB/T 21290-2018</w:t>
      </w:r>
      <w:r>
        <w:rPr>
          <w:rFonts w:hint="eastAsia" w:asciiTheme="minorEastAsia" w:hAnsiTheme="minorEastAsia" w:eastAsiaTheme="minorEastAsia"/>
          <w:szCs w:val="21"/>
        </w:rPr>
        <w:t xml:space="preserve"> </w:t>
      </w:r>
      <w:r>
        <w:rPr>
          <w:rFonts w:asciiTheme="minorEastAsia" w:hAnsiTheme="minorEastAsia" w:eastAsiaTheme="minorEastAsia"/>
          <w:szCs w:val="21"/>
        </w:rPr>
        <w:t>冻罗非鱼片</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[4] GB/T 30889-2014</w:t>
      </w:r>
      <w:r>
        <w:rPr>
          <w:rFonts w:hint="eastAsia" w:asciiTheme="minorEastAsia" w:hAnsiTheme="minorEastAsia" w:eastAsiaTheme="minorEastAsia"/>
          <w:szCs w:val="21"/>
        </w:rPr>
        <w:t xml:space="preserve"> </w:t>
      </w:r>
      <w:r>
        <w:rPr>
          <w:rFonts w:asciiTheme="minorEastAsia" w:hAnsiTheme="minorEastAsia" w:eastAsiaTheme="minorEastAsia"/>
          <w:szCs w:val="21"/>
        </w:rPr>
        <w:t>冻虾</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[5] GB/T 31080-2014</w:t>
      </w:r>
      <w:r>
        <w:rPr>
          <w:rFonts w:hint="eastAsia" w:asciiTheme="minorEastAsia" w:hAnsiTheme="minorEastAsia" w:eastAsiaTheme="minorEastAsia"/>
          <w:szCs w:val="21"/>
        </w:rPr>
        <w:t xml:space="preserve"> </w:t>
      </w:r>
      <w:r>
        <w:rPr>
          <w:rFonts w:asciiTheme="minorEastAsia" w:hAnsiTheme="minorEastAsia" w:eastAsiaTheme="minorEastAsia"/>
          <w:szCs w:val="21"/>
        </w:rPr>
        <w:t>水产品冷链物流服务规范</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[6] GB/T 31814-2015</w:t>
      </w:r>
      <w:r>
        <w:rPr>
          <w:rFonts w:hint="eastAsia" w:asciiTheme="minorEastAsia" w:hAnsiTheme="minorEastAsia" w:eastAsiaTheme="minorEastAsia"/>
          <w:szCs w:val="21"/>
        </w:rPr>
        <w:t xml:space="preserve"> </w:t>
      </w:r>
      <w:r>
        <w:rPr>
          <w:rFonts w:asciiTheme="minorEastAsia" w:hAnsiTheme="minorEastAsia" w:eastAsiaTheme="minorEastAsia"/>
          <w:szCs w:val="21"/>
        </w:rPr>
        <w:t>冻扇贝</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[7] GB/T 36187-2018</w:t>
      </w:r>
      <w:r>
        <w:rPr>
          <w:rFonts w:hint="eastAsia" w:asciiTheme="minorEastAsia" w:hAnsiTheme="minorEastAsia" w:eastAsiaTheme="minorEastAsia"/>
          <w:szCs w:val="21"/>
        </w:rPr>
        <w:t xml:space="preserve"> </w:t>
      </w:r>
      <w:r>
        <w:rPr>
          <w:rFonts w:asciiTheme="minorEastAsia" w:hAnsiTheme="minorEastAsia" w:eastAsiaTheme="minorEastAsia"/>
          <w:szCs w:val="21"/>
        </w:rPr>
        <w:t>冻鱼糜</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[8] GB/T 37062-2018</w:t>
      </w:r>
      <w:r>
        <w:rPr>
          <w:rFonts w:hint="eastAsia" w:asciiTheme="minorEastAsia" w:hAnsiTheme="minorEastAsia" w:eastAsiaTheme="minorEastAsia"/>
          <w:szCs w:val="21"/>
        </w:rPr>
        <w:t xml:space="preserve"> </w:t>
      </w:r>
      <w:r>
        <w:rPr>
          <w:rFonts w:asciiTheme="minorEastAsia" w:hAnsiTheme="minorEastAsia" w:eastAsiaTheme="minorEastAsia"/>
          <w:szCs w:val="21"/>
        </w:rPr>
        <w:t>水产品感官评价指南</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[9] SC/T 3115-2022</w:t>
      </w:r>
      <w:r>
        <w:rPr>
          <w:rFonts w:hint="eastAsia" w:asciiTheme="minorEastAsia" w:hAnsiTheme="minorEastAsia" w:eastAsiaTheme="minorEastAsia"/>
          <w:szCs w:val="21"/>
        </w:rPr>
        <w:t xml:space="preserve"> </w:t>
      </w:r>
      <w:r>
        <w:rPr>
          <w:rFonts w:asciiTheme="minorEastAsia" w:hAnsiTheme="minorEastAsia" w:eastAsiaTheme="minorEastAsia"/>
          <w:szCs w:val="21"/>
        </w:rPr>
        <w:t>冻章鱼</w:t>
      </w:r>
      <w:r>
        <w:rPr>
          <w:rFonts w:hint="eastAsia" w:asciiTheme="minorEastAsia" w:hAnsiTheme="minorEastAsia" w:eastAsiaTheme="minorEastAsia"/>
          <w:szCs w:val="21"/>
        </w:rPr>
        <w:t xml:space="preserve"> </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[10] 李振铎,井月欣,赵云苹等.多聚磷酸盐对冻黄盖鲽鱼片水分及品质的影响[J].食品工业,2020,41(06):159-161.</w:t>
      </w:r>
    </w:p>
    <w:p>
      <w:pPr>
        <w:pStyle w:val="140"/>
        <w:framePr w:wrap="around" w:hAnchor="page" w:x="4032" w:y="1099"/>
        <w:ind w:left="630" w:hanging="630" w:hangingChars="300"/>
        <w:jc w:val="center"/>
        <w:rPr>
          <w:rFonts w:asciiTheme="minorEastAsia" w:hAnsiTheme="minorEastAsia" w:eastAsiaTheme="minorEastAsia"/>
        </w:rPr>
      </w:pPr>
      <w:r>
        <w:rPr>
          <w:rFonts w:asciiTheme="minorEastAsia" w:hAnsiTheme="minorEastAsia" w:eastAsiaTheme="minorEastAsia"/>
        </w:rPr>
        <w:t>_________________________________</w:t>
      </w:r>
    </w:p>
    <w:p>
      <w:pPr>
        <w:pStyle w:val="156"/>
        <w:ind w:left="630" w:hanging="630" w:hangingChars="300"/>
        <w:rPr>
          <w:rFonts w:asciiTheme="minorEastAsia" w:hAnsiTheme="minorEastAsia" w:eastAsiaTheme="minorEastAsia"/>
          <w:szCs w:val="21"/>
        </w:rPr>
      </w:pPr>
      <w:r>
        <w:rPr>
          <w:rFonts w:asciiTheme="minorEastAsia" w:hAnsiTheme="minorEastAsia" w:eastAsiaTheme="minorEastAsia"/>
          <w:szCs w:val="21"/>
        </w:rPr>
        <w:t>[11] 李振铎,井月欣,张健等.多磷酸盐在冷冻鳕鱼鲽鱼片加工中的安全应用[J].中国食品添加</w:t>
      </w:r>
    </w:p>
    <w:p>
      <w:pPr>
        <w:pStyle w:val="156"/>
        <w:ind w:left="630" w:hanging="630" w:hangingChars="300"/>
        <w:rPr>
          <w:rFonts w:asciiTheme="minorEastAsia" w:hAnsiTheme="minorEastAsia" w:eastAsiaTheme="minorEastAsia"/>
          <w:szCs w:val="21"/>
        </w:rPr>
        <w:sectPr>
          <w:footerReference r:id="rId11" w:type="default"/>
          <w:pgSz w:w="11906" w:h="16838"/>
          <w:pgMar w:top="1418" w:right="1134" w:bottom="1134" w:left="1418" w:header="1418" w:footer="1134" w:gutter="0"/>
          <w:cols w:space="720" w:num="1"/>
          <w:formProt w:val="0"/>
          <w:docGrid w:type="lines" w:linePitch="312" w:charSpace="0"/>
        </w:sectPr>
      </w:pPr>
      <w:r>
        <w:rPr>
          <w:rFonts w:asciiTheme="minorEastAsia" w:hAnsiTheme="minorEastAsia" w:eastAsiaTheme="minorEastAsia"/>
          <w:szCs w:val="21"/>
        </w:rPr>
        <w:t>剂,2019,30(03):127-132.</w:t>
      </w:r>
    </w:p>
    <w:p>
      <w:pPr>
        <w:spacing w:before="240" w:line="276" w:lineRule="auto"/>
        <w:jc w:val="center"/>
        <w:rPr>
          <w:rFonts w:ascii="黑体" w:hAnsi="黑体" w:eastAsia="黑体" w:cs="黑体"/>
          <w:color w:val="000000" w:themeColor="text1"/>
          <w:sz w:val="44"/>
          <w:szCs w:val="44"/>
          <w14:textFill>
            <w14:solidFill>
              <w14:schemeClr w14:val="tx1"/>
            </w14:solidFill>
          </w14:textFill>
        </w:rPr>
      </w:pPr>
      <w:bookmarkStart w:id="28" w:name="_Hlk137039439"/>
      <w:r>
        <w:rPr>
          <w:rFonts w:hint="eastAsia" w:ascii="黑体" w:hAnsi="黑体" w:eastAsia="黑体" w:cs="黑体"/>
          <w:color w:val="000000" w:themeColor="text1"/>
          <w:sz w:val="44"/>
          <w:szCs w:val="44"/>
          <w14:textFill>
            <w14:solidFill>
              <w14:schemeClr w14:val="tx1"/>
            </w14:solidFill>
          </w14:textFill>
        </w:rPr>
        <w:t>山东水产学会团体标准</w:t>
      </w:r>
    </w:p>
    <w:bookmarkEnd w:id="28"/>
    <w:p>
      <w:pPr>
        <w:spacing w:before="240" w:line="276"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《冻海水鱼片》编制说明</w:t>
      </w: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36"/>
          <w:szCs w:val="36"/>
          <w14:textFill>
            <w14:solidFill>
              <w14:schemeClr w14:val="tx1"/>
            </w14:solidFill>
          </w14:textFill>
        </w:rPr>
      </w:pPr>
    </w:p>
    <w:p>
      <w:pPr>
        <w:spacing w:before="240" w:line="276" w:lineRule="auto"/>
        <w:jc w:val="center"/>
        <w:rPr>
          <w:rFonts w:ascii="黑体" w:hAnsi="黑体" w:eastAsia="黑体" w:cs="黑体"/>
          <w:color w:val="000000" w:themeColor="text1"/>
          <w:sz w:val="44"/>
          <w:szCs w:val="44"/>
          <w14:textFill>
            <w14:solidFill>
              <w14:schemeClr w14:val="tx1"/>
            </w14:solidFill>
          </w14:textFill>
        </w:rPr>
      </w:pPr>
      <w:r>
        <w:rPr>
          <w:rFonts w:hint="eastAsia" w:ascii="黑体" w:hAnsi="黑体" w:eastAsia="黑体" w:cs="黑体"/>
          <w:color w:val="000000" w:themeColor="text1"/>
          <w:sz w:val="44"/>
          <w:szCs w:val="44"/>
          <w14:textFill>
            <w14:solidFill>
              <w14:schemeClr w14:val="tx1"/>
            </w14:solidFill>
          </w14:textFill>
        </w:rPr>
        <w:t>标准编制小组</w:t>
      </w:r>
    </w:p>
    <w:p>
      <w:pPr>
        <w:spacing w:before="240" w:line="276" w:lineRule="auto"/>
        <w:jc w:val="center"/>
        <w:rPr>
          <w:rFonts w:ascii="黑体" w:hAnsi="黑体" w:eastAsia="黑体" w:cs="黑体"/>
          <w:color w:val="000000" w:themeColor="text1"/>
          <w:sz w:val="44"/>
          <w:szCs w:val="44"/>
          <w14:textFill>
            <w14:solidFill>
              <w14:schemeClr w14:val="tx1"/>
            </w14:solidFill>
          </w14:textFill>
        </w:rPr>
        <w:sectPr>
          <w:footerReference r:id="rId12" w:type="default"/>
          <w:pgSz w:w="11906" w:h="16838"/>
          <w:pgMar w:top="1440" w:right="1800" w:bottom="1440" w:left="1800" w:header="851" w:footer="992" w:gutter="0"/>
          <w:pgNumType w:start="1"/>
          <w:cols w:space="425" w:num="1"/>
          <w:titlePg/>
          <w:docGrid w:type="lines" w:linePitch="312" w:charSpace="0"/>
        </w:sectPr>
      </w:pPr>
      <w:r>
        <w:rPr>
          <w:rFonts w:hint="eastAsia" w:ascii="黑体" w:hAnsi="黑体" w:eastAsia="黑体" w:cs="黑体"/>
          <w:color w:val="000000" w:themeColor="text1"/>
          <w:sz w:val="44"/>
          <w:szCs w:val="44"/>
          <w14:textFill>
            <w14:solidFill>
              <w14:schemeClr w14:val="tx1"/>
            </w14:solidFill>
          </w14:textFill>
        </w:rPr>
        <w:t>二〇二三年五月</w:t>
      </w:r>
    </w:p>
    <w:p>
      <w:pPr>
        <w:spacing w:before="240" w:line="276" w:lineRule="auto"/>
        <w:jc w:val="center"/>
        <w:rPr>
          <w:rFonts w:ascii="黑体" w:hAnsi="黑体" w:eastAsia="黑体" w:cs="黑体"/>
          <w:color w:val="000000" w:themeColor="text1"/>
          <w:sz w:val="44"/>
          <w:szCs w:val="44"/>
          <w14:textFill>
            <w14:solidFill>
              <w14:schemeClr w14:val="tx1"/>
            </w14:solidFill>
          </w14:textFill>
        </w:rPr>
      </w:pPr>
    </w:p>
    <w:p>
      <w:pPr>
        <w:widowControl/>
        <w:jc w:val="left"/>
        <w:rPr>
          <w:rFonts w:ascii="黑体" w:hAnsi="黑体" w:eastAsia="黑体" w:cs="黑体"/>
          <w:color w:val="000000" w:themeColor="text1"/>
          <w:sz w:val="36"/>
          <w:szCs w:val="36"/>
          <w14:textFill>
            <w14:solidFill>
              <w14:schemeClr w14:val="tx1"/>
            </w14:solidFill>
          </w14:textFill>
        </w:rPr>
        <w:sectPr>
          <w:type w:val="continuous"/>
          <w:pgSz w:w="11906" w:h="16838"/>
          <w:pgMar w:top="1440" w:right="1800" w:bottom="1440" w:left="1800" w:header="851" w:footer="992" w:gutter="0"/>
          <w:pgNumType w:start="1"/>
          <w:cols w:space="425" w:num="1"/>
          <w:titlePg/>
          <w:docGrid w:type="lines" w:linePitch="312" w:charSpace="0"/>
        </w:sectPr>
      </w:pPr>
      <w:r>
        <w:rPr>
          <w:rFonts w:ascii="黑体" w:hAnsi="黑体" w:eastAsia="黑体" w:cs="黑体"/>
          <w:color w:val="000000" w:themeColor="text1"/>
          <w:sz w:val="36"/>
          <w:szCs w:val="36"/>
          <w14:textFill>
            <w14:solidFill>
              <w14:schemeClr w14:val="tx1"/>
            </w14:solidFill>
          </w14:textFill>
        </w:rPr>
        <w:br w:type="page"/>
      </w:r>
    </w:p>
    <w:p>
      <w:pPr>
        <w:spacing w:line="276" w:lineRule="auto"/>
        <w:jc w:val="center"/>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山东水产学会团体标准《冻海水鱼片》编制说明</w:t>
      </w:r>
    </w:p>
    <w:p>
      <w:pPr>
        <w:spacing w:line="276" w:lineRule="auto"/>
        <w:jc w:val="center"/>
        <w:rPr>
          <w:rFonts w:ascii="黑体" w:hAnsi="黑体" w:eastAsia="黑体" w:cs="黑体"/>
          <w:color w:val="000000" w:themeColor="text1"/>
          <w:sz w:val="28"/>
          <w:szCs w:val="28"/>
          <w14:textFill>
            <w14:solidFill>
              <w14:schemeClr w14:val="tx1"/>
            </w14:solidFill>
          </w14:textFill>
        </w:rPr>
      </w:pPr>
    </w:p>
    <w:p>
      <w:pPr>
        <w:spacing w:line="276" w:lineRule="auto"/>
        <w:jc w:val="lef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一、立项背景（包括产业现状、立项背景及必要性等）</w:t>
      </w:r>
    </w:p>
    <w:p>
      <w:pPr>
        <w:spacing w:line="276" w:lineRule="auto"/>
        <w:ind w:firstLine="48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海水鱼肉不仅蛋白质含量丰富，含有人体生长所需的必须氨基酸，还含有丰富的矿物量，如铁、磷、钙等，是人体所需的蛋白质、氨基酸和其他营养物质的重要来源之一，具有非常重要的保健功能。</w:t>
      </w:r>
      <w:r>
        <w:rPr>
          <w:rFonts w:cs="Times New Roman" w:asciiTheme="minorEastAsia" w:hAnsiTheme="minorEastAsia"/>
          <w:color w:val="000000" w:themeColor="text1"/>
          <w:sz w:val="28"/>
          <w:szCs w:val="28"/>
          <w14:textFill>
            <w14:solidFill>
              <w14:schemeClr w14:val="tx1"/>
            </w14:solidFill>
          </w14:textFill>
        </w:rPr>
        <w:t>海鱼肉的脂肪多由不饱和脂肪酸形成，具有降低胆固醇、预防心脑血管疾病的作用。</w:t>
      </w:r>
      <w:r>
        <w:rPr>
          <w:rFonts w:hint="eastAsia" w:cs="Times New Roman" w:asciiTheme="minorEastAsia" w:hAnsiTheme="minorEastAsia"/>
          <w:color w:val="000000" w:themeColor="text1"/>
          <w:sz w:val="28"/>
          <w:szCs w:val="28"/>
          <w14:textFill>
            <w14:solidFill>
              <w14:schemeClr w14:val="tx1"/>
            </w14:solidFill>
          </w14:textFill>
        </w:rPr>
        <w:t>以鳕鱼为例，</w:t>
      </w:r>
      <w:r>
        <w:rPr>
          <w:rFonts w:cs="Times New Roman" w:asciiTheme="minorEastAsia" w:hAnsiTheme="minorEastAsia"/>
          <w:color w:val="000000" w:themeColor="text1"/>
          <w:sz w:val="28"/>
          <w:szCs w:val="28"/>
          <w14:textFill>
            <w14:solidFill>
              <w14:schemeClr w14:val="tx1"/>
            </w14:solidFill>
          </w14:textFill>
        </w:rPr>
        <w:t>鳕鱼肉味甘美、营养丰富。肉中蛋白质比三文鱼、</w:t>
      </w:r>
      <w:r>
        <w:fldChar w:fldCharType="begin"/>
      </w:r>
      <w:r>
        <w:instrText xml:space="preserve"> HYPERLINK "https://baike.so.com/doc/2221235-2350297.html" \t "_blank" </w:instrText>
      </w:r>
      <w:r>
        <w:fldChar w:fldCharType="separate"/>
      </w:r>
      <w:r>
        <w:rPr>
          <w:rFonts w:cs="Times New Roman" w:asciiTheme="minorEastAsia" w:hAnsiTheme="minorEastAsia"/>
          <w:color w:val="000000" w:themeColor="text1"/>
          <w:sz w:val="28"/>
          <w:szCs w:val="28"/>
          <w14:textFill>
            <w14:solidFill>
              <w14:schemeClr w14:val="tx1"/>
            </w14:solidFill>
          </w14:textFill>
        </w:rPr>
        <w:t>鲳鱼</w:t>
      </w:r>
      <w:r>
        <w:rPr>
          <w:rFonts w:cs="Times New Roman" w:asciiTheme="minorEastAsia" w:hAnsiTheme="minorEastAsia"/>
          <w:color w:val="000000" w:themeColor="text1"/>
          <w:sz w:val="28"/>
          <w:szCs w:val="28"/>
          <w14:textFill>
            <w14:solidFill>
              <w14:schemeClr w14:val="tx1"/>
            </w14:solidFill>
          </w14:textFill>
        </w:rPr>
        <w:fldChar w:fldCharType="end"/>
      </w:r>
      <w:r>
        <w:rPr>
          <w:rFonts w:cs="Times New Roman" w:asciiTheme="minorEastAsia" w:hAnsiTheme="minorEastAsia"/>
          <w:color w:val="000000" w:themeColor="text1"/>
          <w:sz w:val="28"/>
          <w:szCs w:val="28"/>
          <w14:textFill>
            <w14:solidFill>
              <w14:schemeClr w14:val="tx1"/>
            </w14:solidFill>
          </w14:textFill>
        </w:rPr>
        <w:t>、鲥鱼、</w:t>
      </w:r>
      <w:r>
        <w:fldChar w:fldCharType="begin"/>
      </w:r>
      <w:r>
        <w:instrText xml:space="preserve"> HYPERLINK "https://baike.so.com/doc/4985324-5208745.html" \t "_blank" </w:instrText>
      </w:r>
      <w:r>
        <w:fldChar w:fldCharType="separate"/>
      </w:r>
      <w:r>
        <w:rPr>
          <w:rFonts w:cs="Times New Roman" w:asciiTheme="minorEastAsia" w:hAnsiTheme="minorEastAsia"/>
          <w:color w:val="000000" w:themeColor="text1"/>
          <w:sz w:val="28"/>
          <w:szCs w:val="28"/>
          <w14:textFill>
            <w14:solidFill>
              <w14:schemeClr w14:val="tx1"/>
            </w14:solidFill>
          </w14:textFill>
        </w:rPr>
        <w:t>带鱼</w:t>
      </w:r>
      <w:r>
        <w:rPr>
          <w:rFonts w:cs="Times New Roman" w:asciiTheme="minorEastAsia" w:hAnsiTheme="minorEastAsia"/>
          <w:color w:val="000000" w:themeColor="text1"/>
          <w:sz w:val="28"/>
          <w:szCs w:val="28"/>
          <w14:textFill>
            <w14:solidFill>
              <w14:schemeClr w14:val="tx1"/>
            </w14:solidFill>
          </w14:textFill>
        </w:rPr>
        <w:fldChar w:fldCharType="end"/>
      </w:r>
      <w:r>
        <w:rPr>
          <w:rFonts w:cs="Times New Roman" w:asciiTheme="minorEastAsia" w:hAnsiTheme="minorEastAsia"/>
          <w:color w:val="000000" w:themeColor="text1"/>
          <w:sz w:val="28"/>
          <w:szCs w:val="28"/>
          <w14:textFill>
            <w14:solidFill>
              <w14:schemeClr w14:val="tx1"/>
            </w14:solidFill>
          </w14:textFill>
        </w:rPr>
        <w:t>都高，而肉中所含脂肪和鲨鱼一样只有0.5%，要比三文鱼低17倍，比带鱼低7倍</w:t>
      </w:r>
      <w:r>
        <w:rPr>
          <w:rFonts w:hint="eastAsia" w:cs="Times New Roman" w:asciiTheme="minorEastAsia" w:hAnsiTheme="minorEastAsia"/>
          <w:color w:val="000000" w:themeColor="text1"/>
          <w:sz w:val="28"/>
          <w:szCs w:val="28"/>
          <w14:textFill>
            <w14:solidFill>
              <w14:schemeClr w14:val="tx1"/>
            </w14:solidFill>
          </w14:textFill>
        </w:rPr>
        <w:t>；鳕鱼的不饱和脂肪酸占总脂肪酸含量达到84.1％，EPA含量达到25.2％，DHA含量为7.6％，具有较高的营养价值和医学价值。</w:t>
      </w:r>
      <w:r>
        <w:rPr>
          <w:rFonts w:cs="Times New Roman" w:asciiTheme="minorEastAsia" w:hAnsiTheme="minorEastAsia"/>
          <w:color w:val="000000" w:themeColor="text1"/>
          <w:sz w:val="28"/>
          <w:szCs w:val="28"/>
          <w14:textFill>
            <w14:solidFill>
              <w14:schemeClr w14:val="tx1"/>
            </w14:solidFill>
          </w14:textFill>
        </w:rPr>
        <w:t>鱼肉中含有丰富的镁元素，对心血管系统有很好的保护作用</w:t>
      </w:r>
      <w:r>
        <w:rPr>
          <w:rFonts w:hint="eastAsia" w:cs="Times New Roman" w:asciiTheme="minorEastAsia" w:hAnsiTheme="minorEastAsia"/>
          <w:color w:val="000000" w:themeColor="text1"/>
          <w:sz w:val="28"/>
          <w:szCs w:val="28"/>
          <w14:textFill>
            <w14:solidFill>
              <w14:schemeClr w14:val="tx1"/>
            </w14:solidFill>
          </w14:textFill>
        </w:rPr>
        <w:t>。鳕鱼肝油含有大量的n-3系列的不饱和脂肪酸，且含有丰富的维生素A和维生素D，</w:t>
      </w:r>
      <w:r>
        <w:rPr>
          <w:rFonts w:cs="Times New Roman" w:asciiTheme="minorEastAsia" w:hAnsiTheme="minorEastAsia"/>
          <w:color w:val="000000" w:themeColor="text1"/>
          <w:sz w:val="28"/>
          <w:szCs w:val="28"/>
          <w14:textFill>
            <w14:solidFill>
              <w14:schemeClr w14:val="tx1"/>
            </w14:solidFill>
          </w14:textFill>
        </w:rPr>
        <w:t>北欧人将</w:t>
      </w:r>
      <w:r>
        <w:rPr>
          <w:rFonts w:hint="eastAsia" w:cs="Times New Roman" w:asciiTheme="minorEastAsia" w:hAnsiTheme="minorEastAsia"/>
          <w:color w:val="000000" w:themeColor="text1"/>
          <w:sz w:val="28"/>
          <w:szCs w:val="28"/>
          <w14:textFill>
            <w14:solidFill>
              <w14:schemeClr w14:val="tx1"/>
            </w14:solidFill>
          </w14:textFill>
        </w:rPr>
        <w:t>鳕鱼</w:t>
      </w:r>
      <w:r>
        <w:rPr>
          <w:rFonts w:cs="Times New Roman" w:asciiTheme="minorEastAsia" w:hAnsiTheme="minorEastAsia"/>
          <w:color w:val="000000" w:themeColor="text1"/>
          <w:sz w:val="28"/>
          <w:szCs w:val="28"/>
          <w14:textFill>
            <w14:solidFill>
              <w14:schemeClr w14:val="tx1"/>
            </w14:solidFill>
          </w14:textFill>
        </w:rPr>
        <w:t>称为餐桌</w:t>
      </w:r>
      <w:r>
        <w:rPr>
          <w:rFonts w:ascii="Times New Roman" w:hAnsi="Times New Roman" w:eastAsia="宋体" w:cs="Times New Roman"/>
          <w:color w:val="000000" w:themeColor="text1"/>
          <w:sz w:val="28"/>
          <w:szCs w:val="28"/>
          <w14:textFill>
            <w14:solidFill>
              <w14:schemeClr w14:val="tx1"/>
            </w14:solidFill>
          </w14:textFill>
        </w:rPr>
        <w:t>上的"营养师"。</w:t>
      </w:r>
    </w:p>
    <w:p>
      <w:pPr>
        <w:spacing w:line="276" w:lineRule="auto"/>
        <w:ind w:firstLine="48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 xml:space="preserve"> 近些年，</w:t>
      </w:r>
      <w:r>
        <w:rPr>
          <w:rFonts w:ascii="Times New Roman" w:hAnsi="Times New Roman" w:eastAsia="宋体" w:cs="Times New Roman"/>
          <w:color w:val="000000" w:themeColor="text1"/>
          <w:sz w:val="28"/>
          <w:szCs w:val="28"/>
          <w14:textFill>
            <w14:solidFill>
              <w14:schemeClr w14:val="tx1"/>
            </w14:solidFill>
          </w14:textFill>
        </w:rPr>
        <w:t>随着我国人民生活及消费水平的提高以及对产品的营养和保健功能意识的增强</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广大消费者对水产品的需求量不断增大。由于鲜活水产品对销售环境的要求高</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随着冷链的完善</w:t>
      </w:r>
      <w:r>
        <w:rPr>
          <w:rFonts w:hint="eastAsia" w:ascii="Times New Roman" w:hAnsi="Times New Roman" w:eastAsia="宋体" w:cs="Times New Roman"/>
          <w:color w:val="000000" w:themeColor="text1"/>
          <w:sz w:val="28"/>
          <w:szCs w:val="28"/>
          <w14:textFill>
            <w14:solidFill>
              <w14:schemeClr w14:val="tx1"/>
            </w14:solidFill>
          </w14:textFill>
        </w:rPr>
        <w:t>和生活节奏的提高，以及消费习惯的转变，冷冻加工品的</w:t>
      </w:r>
      <w:r>
        <w:rPr>
          <w:rFonts w:ascii="Times New Roman" w:hAnsi="Times New Roman" w:eastAsia="宋体" w:cs="Times New Roman"/>
          <w:color w:val="000000" w:themeColor="text1"/>
          <w:sz w:val="28"/>
          <w:szCs w:val="28"/>
          <w14:textFill>
            <w14:solidFill>
              <w14:schemeClr w14:val="tx1"/>
            </w14:solidFill>
          </w14:textFill>
        </w:rPr>
        <w:t>产量及销售量也在逐年提高</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海水鱼片加工集中在山东</w:t>
      </w:r>
      <w:r>
        <w:rPr>
          <w:rFonts w:hint="eastAsia" w:ascii="Times New Roman" w:hAnsi="Times New Roman" w:eastAsia="宋体" w:cs="Times New Roman"/>
          <w:color w:val="000000" w:themeColor="text1"/>
          <w:sz w:val="28"/>
          <w:szCs w:val="28"/>
          <w14:textFill>
            <w14:solidFill>
              <w14:schemeClr w14:val="tx1"/>
            </w14:solidFill>
          </w14:textFill>
        </w:rPr>
        <w:t>省和</w:t>
      </w:r>
      <w:r>
        <w:rPr>
          <w:rFonts w:ascii="Times New Roman" w:hAnsi="Times New Roman" w:eastAsia="宋体" w:cs="Times New Roman"/>
          <w:color w:val="000000" w:themeColor="text1"/>
          <w:sz w:val="28"/>
          <w:szCs w:val="28"/>
          <w14:textFill>
            <w14:solidFill>
              <w14:schemeClr w14:val="tx1"/>
            </w14:solidFill>
          </w14:textFill>
        </w:rPr>
        <w:t>辽宁</w:t>
      </w:r>
      <w:r>
        <w:rPr>
          <w:rFonts w:hint="eastAsia" w:ascii="Times New Roman" w:hAnsi="Times New Roman" w:eastAsia="宋体" w:cs="Times New Roman"/>
          <w:color w:val="000000" w:themeColor="text1"/>
          <w:sz w:val="28"/>
          <w:szCs w:val="28"/>
          <w14:textFill>
            <w14:solidFill>
              <w14:schemeClr w14:val="tx1"/>
            </w14:solidFill>
          </w14:textFill>
        </w:rPr>
        <w:t>省</w:t>
      </w:r>
      <w:r>
        <w:rPr>
          <w:rFonts w:ascii="Times New Roman" w:hAnsi="Times New Roman" w:eastAsia="宋体" w:cs="Times New Roman"/>
          <w:color w:val="000000" w:themeColor="text1"/>
          <w:sz w:val="28"/>
          <w:szCs w:val="28"/>
          <w14:textFill>
            <w14:solidFill>
              <w14:schemeClr w14:val="tx1"/>
            </w14:solidFill>
          </w14:textFill>
        </w:rPr>
        <w:t>，山东</w:t>
      </w:r>
      <w:r>
        <w:rPr>
          <w:rFonts w:hint="eastAsia" w:ascii="Times New Roman" w:hAnsi="Times New Roman" w:eastAsia="宋体" w:cs="Times New Roman"/>
          <w:color w:val="000000" w:themeColor="text1"/>
          <w:sz w:val="28"/>
          <w:szCs w:val="28"/>
          <w14:textFill>
            <w14:solidFill>
              <w14:schemeClr w14:val="tx1"/>
            </w14:solidFill>
          </w14:textFill>
        </w:rPr>
        <w:t>省主要</w:t>
      </w:r>
      <w:r>
        <w:rPr>
          <w:rFonts w:ascii="Times New Roman" w:hAnsi="Times New Roman" w:eastAsia="宋体" w:cs="Times New Roman"/>
          <w:color w:val="000000" w:themeColor="text1"/>
          <w:sz w:val="28"/>
          <w:szCs w:val="28"/>
          <w14:textFill>
            <w14:solidFill>
              <w14:schemeClr w14:val="tx1"/>
            </w14:solidFill>
          </w14:textFill>
        </w:rPr>
        <w:t>集中在烟台</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青岛</w:t>
      </w:r>
      <w:r>
        <w:rPr>
          <w:rFonts w:hint="eastAsia" w:ascii="Times New Roman" w:hAnsi="Times New Roman" w:eastAsia="宋体" w:cs="Times New Roman"/>
          <w:color w:val="000000" w:themeColor="text1"/>
          <w:sz w:val="28"/>
          <w:szCs w:val="28"/>
          <w14:textFill>
            <w14:solidFill>
              <w14:schemeClr w14:val="tx1"/>
            </w14:solidFill>
          </w14:textFill>
        </w:rPr>
        <w:t>和威海</w:t>
      </w:r>
      <w:r>
        <w:rPr>
          <w:rFonts w:ascii="Times New Roman" w:hAnsi="Times New Roman" w:eastAsia="宋体" w:cs="Times New Roman"/>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14:textFill>
            <w14:solidFill>
              <w14:schemeClr w14:val="tx1"/>
            </w14:solidFill>
          </w14:textFill>
        </w:rPr>
        <w:t>其中</w:t>
      </w:r>
      <w:r>
        <w:rPr>
          <w:rFonts w:ascii="Times New Roman" w:hAnsi="Times New Roman" w:eastAsia="宋体" w:cs="Times New Roman"/>
          <w:color w:val="000000" w:themeColor="text1"/>
          <w:sz w:val="28"/>
          <w:szCs w:val="28"/>
          <w14:textFill>
            <w14:solidFill>
              <w14:schemeClr w14:val="tx1"/>
            </w14:solidFill>
          </w14:textFill>
        </w:rPr>
        <w:t>仅烟台水产加工出口企业</w:t>
      </w:r>
      <w:r>
        <w:rPr>
          <w:rFonts w:hint="eastAsia" w:ascii="Times New Roman" w:hAnsi="Times New Roman" w:eastAsia="宋体" w:cs="Times New Roman"/>
          <w:color w:val="000000" w:themeColor="text1"/>
          <w:sz w:val="28"/>
          <w:szCs w:val="28"/>
          <w14:textFill>
            <w14:solidFill>
              <w14:schemeClr w14:val="tx1"/>
            </w14:solidFill>
          </w14:textFill>
        </w:rPr>
        <w:t>就曾达百余</w:t>
      </w:r>
      <w:r>
        <w:rPr>
          <w:rFonts w:ascii="Times New Roman" w:hAnsi="Times New Roman" w:eastAsia="宋体" w:cs="Times New Roman"/>
          <w:color w:val="000000" w:themeColor="text1"/>
          <w:sz w:val="28"/>
          <w:szCs w:val="28"/>
          <w14:textFill>
            <w14:solidFill>
              <w14:schemeClr w14:val="tx1"/>
            </w14:solidFill>
          </w14:textFill>
        </w:rPr>
        <w:t>家</w:t>
      </w:r>
      <w:r>
        <w:rPr>
          <w:rFonts w:hint="eastAsia" w:ascii="Times New Roman" w:hAnsi="Times New Roman" w:eastAsia="宋体" w:cs="Times New Roman"/>
          <w:color w:val="000000" w:themeColor="text1"/>
          <w:sz w:val="28"/>
          <w:szCs w:val="28"/>
          <w14:textFill>
            <w14:solidFill>
              <w14:schemeClr w14:val="tx1"/>
            </w14:solidFill>
          </w14:textFill>
        </w:rPr>
        <w:t>，加工的主要品种有鳕鱼类、鲽鱼类、马哈鱼、红鱼、鲐鱼、秋刀鱼、南极冰鱼等。</w:t>
      </w:r>
    </w:p>
    <w:p>
      <w:pPr>
        <w:spacing w:line="276" w:lineRule="auto"/>
        <w:ind w:firstLine="480"/>
        <w:jc w:val="left"/>
        <w:rPr>
          <w:rFonts w:ascii="宋体" w:hAnsi="宋体" w:eastAsia="宋体" w:cs="宋体"/>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 xml:space="preserve"> 山东地区是冻海水鱼片的主产区，原来主要出口欧盟、日本、美国等地区，产品标准由客户确定。后来因汇率波动等原因，出口鱼</w:t>
      </w:r>
      <w:r>
        <w:rPr>
          <w:rFonts w:hint="eastAsia" w:cs="Times New Roman" w:asciiTheme="minorEastAsia" w:hAnsiTheme="minorEastAsia"/>
          <w:color w:val="000000" w:themeColor="text1"/>
          <w:sz w:val="28"/>
          <w:szCs w:val="28"/>
          <w14:textFill>
            <w14:solidFill>
              <w14:schemeClr w14:val="tx1"/>
            </w14:solidFill>
          </w14:textFill>
        </w:rPr>
        <w:t>片有相当一部分转为内销，因此需要有统一的标准来规范这一大宗产品。</w:t>
      </w:r>
      <w:r>
        <w:rPr>
          <w:rFonts w:cs="Times New Roman" w:asciiTheme="minorEastAsia" w:hAnsiTheme="minorEastAsia"/>
          <w:color w:val="000000" w:themeColor="text1"/>
          <w:sz w:val="28"/>
          <w:szCs w:val="28"/>
          <w14:textFill>
            <w14:solidFill>
              <w14:schemeClr w14:val="tx1"/>
            </w14:solidFill>
          </w14:textFill>
        </w:rPr>
        <w:t>2004</w:t>
      </w:r>
      <w:r>
        <w:rPr>
          <w:rFonts w:hint="eastAsia" w:cs="Times New Roman" w:asciiTheme="minorEastAsia" w:hAnsiTheme="minorEastAsia"/>
          <w:color w:val="000000" w:themeColor="text1"/>
          <w:sz w:val="28"/>
          <w:szCs w:val="28"/>
          <w14:textFill>
            <w14:solidFill>
              <w14:schemeClr w14:val="tx1"/>
            </w14:solidFill>
          </w14:textFill>
        </w:rPr>
        <w:t>年我单位制定了</w:t>
      </w:r>
      <w:r>
        <w:rPr>
          <w:rFonts w:cs="Times New Roman" w:asciiTheme="minorEastAsia" w:hAnsiTheme="minorEastAsia"/>
          <w:color w:val="000000" w:themeColor="text1"/>
          <w:sz w:val="28"/>
          <w:szCs w:val="28"/>
          <w14:textFill>
            <w14:solidFill>
              <w14:schemeClr w14:val="tx1"/>
            </w14:solidFill>
          </w14:textFill>
        </w:rPr>
        <w:t>DB37/T413-2004《冻海水鱼片》，该标准的实施对规范冻海水鱼片产品市场、保护消费者利益等方面都产生了明显的经济和社会效益</w:t>
      </w:r>
      <w:r>
        <w:rPr>
          <w:rFonts w:hint="eastAsia" w:cs="Times New Roman" w:asciiTheme="minorEastAsia" w:hAnsiTheme="minorEastAsia"/>
          <w:color w:val="000000" w:themeColor="text1"/>
          <w:sz w:val="28"/>
          <w:szCs w:val="28"/>
          <w14:textFill>
            <w14:solidFill>
              <w14:schemeClr w14:val="tx1"/>
            </w14:solidFill>
          </w14:textFill>
        </w:rPr>
        <w:t>。近年来</w:t>
      </w:r>
      <w:r>
        <w:rPr>
          <w:rFonts w:cs="Times New Roman" w:asciiTheme="minorEastAsia" w:hAnsiTheme="minorEastAsia"/>
          <w:color w:val="000000" w:themeColor="text1"/>
          <w:sz w:val="28"/>
          <w:szCs w:val="28"/>
          <w14:textFill>
            <w14:solidFill>
              <w14:schemeClr w14:val="tx1"/>
            </w14:solidFill>
          </w14:textFill>
        </w:rPr>
        <w:t>，DB37/T413-2004《冻海水鱼片》引用的许多标准</w:t>
      </w:r>
      <w:r>
        <w:rPr>
          <w:rFonts w:hint="eastAsia" w:cs="Times New Roman" w:asciiTheme="minorEastAsia" w:hAnsiTheme="minorEastAsia"/>
          <w:color w:val="000000" w:themeColor="text1"/>
          <w:sz w:val="28"/>
          <w:szCs w:val="28"/>
          <w14:textFill>
            <w14:solidFill>
              <w14:schemeClr w14:val="tx1"/>
            </w14:solidFill>
          </w14:textFill>
        </w:rPr>
        <w:t>已经</w:t>
      </w:r>
      <w:r>
        <w:rPr>
          <w:rFonts w:cs="Times New Roman" w:asciiTheme="minorEastAsia" w:hAnsiTheme="minorEastAsia"/>
          <w:color w:val="000000" w:themeColor="text1"/>
          <w:sz w:val="28"/>
          <w:szCs w:val="28"/>
          <w14:textFill>
            <w14:solidFill>
              <w14:schemeClr w14:val="tx1"/>
            </w14:solidFill>
          </w14:textFill>
        </w:rPr>
        <w:t>发生了废止、修订，</w:t>
      </w:r>
      <w:r>
        <w:rPr>
          <w:rFonts w:hint="eastAsia" w:cs="Times New Roman" w:asciiTheme="minorEastAsia" w:hAnsiTheme="minorEastAsia"/>
          <w:color w:val="000000" w:themeColor="text1"/>
          <w:sz w:val="28"/>
          <w:szCs w:val="28"/>
          <w14:textFill>
            <w14:solidFill>
              <w14:schemeClr w14:val="tx1"/>
            </w14:solidFill>
          </w14:textFill>
        </w:rPr>
        <w:t>该标准</w:t>
      </w:r>
      <w:r>
        <w:rPr>
          <w:rFonts w:cs="Times New Roman" w:asciiTheme="minorEastAsia" w:hAnsiTheme="minorEastAsia"/>
          <w:color w:val="000000" w:themeColor="text1"/>
          <w:sz w:val="28"/>
          <w:szCs w:val="28"/>
          <w14:textFill>
            <w14:solidFill>
              <w14:schemeClr w14:val="tx1"/>
            </w14:solidFill>
          </w14:textFill>
        </w:rPr>
        <w:t>已经严重滞后，</w:t>
      </w:r>
      <w:r>
        <w:rPr>
          <w:rFonts w:hint="eastAsia" w:cs="Times New Roman" w:asciiTheme="minorEastAsia" w:hAnsiTheme="minorEastAsia"/>
          <w:color w:val="000000" w:themeColor="text1"/>
          <w:sz w:val="28"/>
          <w:szCs w:val="28"/>
          <w14:textFill>
            <w14:solidFill>
              <w14:schemeClr w14:val="tx1"/>
            </w14:solidFill>
          </w14:textFill>
        </w:rPr>
        <w:t>不利于</w:t>
      </w:r>
      <w:r>
        <w:rPr>
          <w:rFonts w:cs="Times New Roman" w:asciiTheme="minorEastAsia" w:hAnsiTheme="minorEastAsia"/>
          <w:color w:val="000000" w:themeColor="text1"/>
          <w:sz w:val="28"/>
          <w:szCs w:val="28"/>
          <w14:textFill>
            <w14:solidFill>
              <w14:schemeClr w14:val="tx1"/>
            </w14:solidFill>
          </w14:textFill>
        </w:rPr>
        <w:t>市场监管、贸易合作和消费者权益保护。</w:t>
      </w:r>
      <w:r>
        <w:rPr>
          <w:rFonts w:ascii="Times New Roman" w:hAnsi="Times New Roman" w:eastAsia="宋体" w:cs="Times New Roman"/>
          <w:color w:val="000000" w:themeColor="text1"/>
          <w:sz w:val="28"/>
          <w:szCs w:val="28"/>
          <w14:textFill>
            <w14:solidFill>
              <w14:schemeClr w14:val="tx1"/>
            </w14:solidFill>
          </w14:textFill>
        </w:rPr>
        <w:t>因</w:t>
      </w:r>
      <w:r>
        <w:rPr>
          <w:rFonts w:hint="eastAsia" w:ascii="Times New Roman" w:hAnsi="Times New Roman" w:eastAsia="宋体" w:cs="Times New Roman"/>
          <w:color w:val="000000" w:themeColor="text1"/>
          <w:sz w:val="28"/>
          <w:szCs w:val="28"/>
          <w14:textFill>
            <w14:solidFill>
              <w14:schemeClr w14:val="tx1"/>
            </w14:solidFill>
          </w14:textFill>
        </w:rPr>
        <w:t>为地方标准现在不再对产品标准立项</w:t>
      </w:r>
      <w:r>
        <w:rPr>
          <w:rFonts w:ascii="Times New Roman" w:hAnsi="Times New Roman" w:eastAsia="宋体" w:cs="Times New Roman"/>
          <w:color w:val="000000" w:themeColor="text1"/>
          <w:sz w:val="28"/>
          <w:szCs w:val="28"/>
          <w14:textFill>
            <w14:solidFill>
              <w14:schemeClr w14:val="tx1"/>
            </w14:solidFill>
          </w14:textFill>
        </w:rPr>
        <w:t>，</w:t>
      </w:r>
      <w:r>
        <w:rPr>
          <w:rFonts w:cs="Times New Roman" w:asciiTheme="minorEastAsia" w:hAnsiTheme="minorEastAsia"/>
          <w:color w:val="000000" w:themeColor="text1"/>
          <w:sz w:val="28"/>
          <w:szCs w:val="28"/>
          <w14:textFill>
            <w14:solidFill>
              <w14:schemeClr w14:val="tx1"/>
            </w14:solidFill>
          </w14:textFill>
        </w:rPr>
        <w:t>因此</w:t>
      </w:r>
      <w:r>
        <w:rPr>
          <w:rFonts w:hint="eastAsia" w:cs="Times New Roman" w:asciiTheme="minorEastAsia" w:hAnsiTheme="minorEastAsia"/>
          <w:color w:val="000000" w:themeColor="text1"/>
          <w:sz w:val="28"/>
          <w:szCs w:val="28"/>
          <w14:textFill>
            <w14:solidFill>
              <w14:schemeClr w14:val="tx1"/>
            </w14:solidFill>
          </w14:textFill>
        </w:rPr>
        <w:t>本单位提出团体标准制定申请</w:t>
      </w:r>
      <w:r>
        <w:rPr>
          <w:rFonts w:ascii="Times New Roman" w:hAnsi="Times New Roman" w:eastAsia="宋体" w:cs="Times New Roman"/>
          <w:color w:val="000000" w:themeColor="text1"/>
          <w:sz w:val="28"/>
          <w:szCs w:val="28"/>
          <w14:textFill>
            <w14:solidFill>
              <w14:schemeClr w14:val="tx1"/>
            </w14:solidFill>
          </w14:textFill>
        </w:rPr>
        <w:t>，以</w:t>
      </w:r>
      <w:r>
        <w:rPr>
          <w:rFonts w:hint="eastAsia" w:ascii="Times New Roman" w:hAnsi="Times New Roman" w:eastAsia="宋体" w:cs="Times New Roman"/>
          <w:color w:val="000000" w:themeColor="text1"/>
          <w:sz w:val="28"/>
          <w:szCs w:val="28"/>
          <w14:textFill>
            <w14:solidFill>
              <w14:schemeClr w14:val="tx1"/>
            </w14:solidFill>
          </w14:textFill>
        </w:rPr>
        <w:t>作为</w:t>
      </w:r>
      <w:r>
        <w:rPr>
          <w:rFonts w:ascii="Times New Roman" w:hAnsi="Times New Roman" w:eastAsia="宋体" w:cs="Times New Roman"/>
          <w:color w:val="000000" w:themeColor="text1"/>
          <w:sz w:val="28"/>
          <w:szCs w:val="28"/>
          <w14:textFill>
            <w14:solidFill>
              <w14:schemeClr w14:val="tx1"/>
            </w14:solidFill>
          </w14:textFill>
        </w:rPr>
        <w:t>冻海水鱼片产品的</w:t>
      </w:r>
      <w:r>
        <w:rPr>
          <w:rFonts w:hint="eastAsia" w:ascii="Times New Roman" w:hAnsi="Times New Roman" w:eastAsia="宋体" w:cs="Times New Roman"/>
          <w:color w:val="000000" w:themeColor="text1"/>
          <w:sz w:val="28"/>
          <w:szCs w:val="28"/>
          <w14:textFill>
            <w14:solidFill>
              <w14:schemeClr w14:val="tx1"/>
            </w14:solidFill>
          </w14:textFill>
        </w:rPr>
        <w:t>质量依据</w:t>
      </w:r>
      <w:r>
        <w:rPr>
          <w:rFonts w:ascii="Times New Roman" w:hAnsi="Times New Roman" w:eastAsia="宋体" w:cs="Times New Roman"/>
          <w:color w:val="000000" w:themeColor="text1"/>
          <w:sz w:val="28"/>
          <w:szCs w:val="28"/>
          <w14:textFill>
            <w14:solidFill>
              <w14:schemeClr w14:val="tx1"/>
            </w14:solidFill>
          </w14:textFill>
        </w:rPr>
        <w:t>。</w:t>
      </w:r>
    </w:p>
    <w:p>
      <w:pPr>
        <w:spacing w:line="276" w:lineRule="auto"/>
        <w:jc w:val="left"/>
        <w:rPr>
          <w:rFonts w:ascii="宋体" w:hAnsi="宋体" w:eastAsia="宋体" w:cs="黑体"/>
          <w:b/>
          <w:color w:val="000000" w:themeColor="text1"/>
          <w:sz w:val="28"/>
          <w:szCs w:val="28"/>
          <w14:textFill>
            <w14:solidFill>
              <w14:schemeClr w14:val="tx1"/>
            </w14:solidFill>
          </w14:textFill>
        </w:rPr>
      </w:pPr>
      <w:r>
        <w:rPr>
          <w:rFonts w:hint="eastAsia" w:ascii="宋体" w:hAnsi="宋体" w:eastAsia="宋体" w:cs="黑体"/>
          <w:b/>
          <w:color w:val="000000" w:themeColor="text1"/>
          <w:sz w:val="28"/>
          <w:szCs w:val="28"/>
          <w14:textFill>
            <w14:solidFill>
              <w14:schemeClr w14:val="tx1"/>
            </w14:solidFill>
          </w14:textFill>
        </w:rPr>
        <w:t>二、工作简况，包括任务来源、协作单位、主要工作过程、标准主要起草人及其所做的工作等</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（一）任务来源</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2022年11月，山东省海洋资源与环境研究院向山东水产学会提出《冻海水鱼片》标准立项申请。</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2022年12月，山东水产学会组织评审，确定由山东省海洋资源与环境研究院承担《冻海水鱼片》的制定工作。</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（二）协作单位</w:t>
      </w:r>
    </w:p>
    <w:p>
      <w:pPr>
        <w:spacing w:line="276" w:lineRule="auto"/>
        <w:ind w:firstLine="560" w:firstLineChars="200"/>
        <w:jc w:val="left"/>
        <w:rPr>
          <w:rFonts w:ascii="黑体" w:hAnsi="黑体" w:eastAsia="黑体" w:cs="黑体"/>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山东美佳集团有限公司</w:t>
      </w:r>
    </w:p>
    <w:p>
      <w:pPr>
        <w:spacing w:line="276" w:lineRule="auto"/>
        <w:ind w:firstLine="560" w:firstLineChars="200"/>
        <w:jc w:val="left"/>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中国海洋大学</w:t>
      </w:r>
    </w:p>
    <w:p>
      <w:pPr>
        <w:spacing w:line="276" w:lineRule="auto"/>
        <w:ind w:firstLine="560" w:firstLineChars="200"/>
        <w:jc w:val="left"/>
        <w:rPr>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烟台市蓬莱区水产技术推广中心</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（三）主要工作过程</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1、组建标准起草小组：山东省海洋资源与环境研究院承担《冻海水鱼片》标准的制定任务后，立即与协作单位联合成立了标准制定小组。组织了从事水产品加工研究、生产和检验工作多年，具有制定、修订相关标准的经验和能力的专业技术人员，对加工企业进行了调研，搜集、整理了大量的技术资料。</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2、标准起草阶段：标准起草小组调查分析了山东省冻海水鱼片的生产现状、产量、质量、生产工艺以及产品检验状况，了解了山东省冻海水鱼片产业发展现状。同时，标准起草小组还前往山东省多家企业进行产业调研，深入到企业进行实地考察，搜集、整理了相关技术资料，参考现行有效的相关国家标准和行业标准，确定标准中主要技术指标及相应的参数，在此基础上于2023年2月起草完成了《冻海水鱼片》征求意见稿。</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cs="Times New Roman" w:asciiTheme="minorEastAsia" w:hAnsiTheme="minorEastAsia"/>
          <w:color w:val="000000" w:themeColor="text1"/>
          <w:sz w:val="28"/>
          <w:szCs w:val="28"/>
          <w14:textFill>
            <w14:solidFill>
              <w14:schemeClr w14:val="tx1"/>
            </w14:solidFill>
          </w14:textFill>
        </w:rPr>
        <w:t>3、征求意见阶段：</w:t>
      </w:r>
      <w:r>
        <w:rPr>
          <w:rFonts w:hint="eastAsia" w:cs="Times New Roman" w:asciiTheme="minorEastAsia" w:hAnsiTheme="minorEastAsia"/>
          <w:color w:val="000000" w:themeColor="text1"/>
          <w:sz w:val="28"/>
          <w:szCs w:val="28"/>
          <w14:textFill>
            <w14:solidFill>
              <w14:schemeClr w14:val="tx1"/>
            </w14:solidFill>
          </w14:textFill>
        </w:rPr>
        <w:t>202</w:t>
      </w:r>
      <w:r>
        <w:rPr>
          <w:rFonts w:cs="Times New Roman" w:asciiTheme="minorEastAsia" w:hAnsiTheme="minorEastAsia"/>
          <w:color w:val="000000" w:themeColor="text1"/>
          <w:sz w:val="28"/>
          <w:szCs w:val="28"/>
          <w14:textFill>
            <w14:solidFill>
              <w14:schemeClr w14:val="tx1"/>
            </w14:solidFill>
          </w14:textFill>
        </w:rPr>
        <w:t>3</w:t>
      </w:r>
      <w:r>
        <w:rPr>
          <w:rFonts w:hint="eastAsia" w:cs="Times New Roman" w:asciiTheme="minorEastAsia" w:hAnsiTheme="minorEastAsia"/>
          <w:color w:val="000000" w:themeColor="text1"/>
          <w:sz w:val="28"/>
          <w:szCs w:val="28"/>
          <w14:textFill>
            <w14:solidFill>
              <w14:schemeClr w14:val="tx1"/>
            </w14:solidFill>
          </w14:textFill>
        </w:rPr>
        <w:t>年4月至5月，标准起草小组通过电子邮件等方式向20位专家征求了意见，包括管理部门、标准化院、高校、科研院所等各方面的专家。回函的专家</w:t>
      </w:r>
      <w:r>
        <w:rPr>
          <w:rFonts w:cs="Times New Roman" w:asciiTheme="minorEastAsia" w:hAnsiTheme="minorEastAsia"/>
          <w:color w:val="000000" w:themeColor="text1"/>
          <w:sz w:val="28"/>
          <w:szCs w:val="28"/>
          <w14:textFill>
            <w14:solidFill>
              <w14:schemeClr w14:val="tx1"/>
            </w14:solidFill>
          </w14:textFill>
        </w:rPr>
        <w:t>2</w:t>
      </w:r>
      <w:r>
        <w:rPr>
          <w:rFonts w:hint="eastAsia" w:cs="Times New Roman" w:asciiTheme="minorEastAsia" w:hAnsiTheme="minorEastAsia"/>
          <w:color w:val="000000" w:themeColor="text1"/>
          <w:sz w:val="28"/>
          <w:szCs w:val="28"/>
          <w14:textFill>
            <w14:solidFill>
              <w14:schemeClr w14:val="tx1"/>
            </w14:solidFill>
          </w14:textFill>
        </w:rPr>
        <w:t>0位，对“征求意见稿”提出意见或建议的专家19位；按照回函意见和建议对主要内容、表述和写法进行了修改，完成了《冻海水鱼片》送审稿。</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4、标准审查阶段：2023年7月1日，在日照市山东美佳集团有限公司会议室，组织召开了标准审查会。邀请山东省海洋科学研究院等单位的5位专家对标准进行了审查。会后按照专家意见对标准及编制说明进行了修改，完成《冻海水鱼片》报批稿。</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（四）标准主要起草人及其所做的工作</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见表1。</w:t>
      </w:r>
    </w:p>
    <w:p>
      <w:pPr>
        <w:spacing w:line="276" w:lineRule="auto"/>
        <w:jc w:val="cente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表1　标准主要起草人及单位</w:t>
      </w:r>
    </w:p>
    <w:tbl>
      <w:tblPr>
        <w:tblStyle w:val="3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3410"/>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姓名</w:t>
            </w:r>
          </w:p>
        </w:tc>
        <w:tc>
          <w:tcPr>
            <w:tcW w:w="3410"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单位</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承担的工作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张健</w:t>
            </w:r>
          </w:p>
        </w:tc>
        <w:tc>
          <w:tcPr>
            <w:tcW w:w="3410" w:type="dxa"/>
            <w:vAlign w:val="center"/>
          </w:tcPr>
          <w:p>
            <w:pPr>
              <w:spacing w:line="276" w:lineRule="auto"/>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负责项目实施方案</w:t>
            </w:r>
            <w:r>
              <w:rPr>
                <w:rFonts w:hint="eastAsia"/>
                <w:color w:val="000000" w:themeColor="text1"/>
                <w:sz w:val="24"/>
                <w14:textFill>
                  <w14:solidFill>
                    <w14:schemeClr w14:val="tx1"/>
                  </w14:solidFill>
                </w14:textFill>
              </w:rPr>
              <w:t>的制定及</w:t>
            </w:r>
            <w:r>
              <w:rPr>
                <w:color w:val="000000" w:themeColor="text1"/>
                <w:sz w:val="24"/>
                <w14:textFill>
                  <w14:solidFill>
                    <w14:schemeClr w14:val="tx1"/>
                  </w14:solidFill>
                </w14:textFill>
              </w:rPr>
              <w:t>具体实施，</w:t>
            </w:r>
            <w:r>
              <w:rPr>
                <w:rFonts w:hint="eastAsia"/>
                <w:color w:val="000000" w:themeColor="text1"/>
                <w:sz w:val="24"/>
                <w14:textFill>
                  <w14:solidFill>
                    <w14:schemeClr w14:val="tx1"/>
                  </w14:solidFill>
                </w14:textFill>
              </w:rPr>
              <w:t>收集资料、</w:t>
            </w:r>
            <w:r>
              <w:rPr>
                <w:color w:val="000000" w:themeColor="text1"/>
                <w:sz w:val="24"/>
                <w14:textFill>
                  <w14:solidFill>
                    <w14:schemeClr w14:val="tx1"/>
                  </w14:solidFill>
                </w14:textFill>
              </w:rPr>
              <w:t>起草标准文本和编制说明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赵云苹</w:t>
            </w:r>
          </w:p>
        </w:tc>
        <w:tc>
          <w:tcPr>
            <w:tcW w:w="3410" w:type="dxa"/>
            <w:vAlign w:val="center"/>
          </w:tcPr>
          <w:p>
            <w:pPr>
              <w:spacing w:line="276" w:lineRule="auto"/>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w:t>
            </w:r>
            <w:r>
              <w:rPr>
                <w:color w:val="000000" w:themeColor="text1"/>
                <w:sz w:val="24"/>
                <w14:textFill>
                  <w14:solidFill>
                    <w14:schemeClr w14:val="tx1"/>
                  </w14:solidFill>
                </w14:textFill>
              </w:rPr>
              <w:t>项目实施方案</w:t>
            </w:r>
            <w:r>
              <w:rPr>
                <w:rFonts w:hint="eastAsia"/>
                <w:color w:val="000000" w:themeColor="text1"/>
                <w:sz w:val="24"/>
                <w14:textFill>
                  <w14:solidFill>
                    <w14:schemeClr w14:val="tx1"/>
                  </w14:solidFill>
                </w14:textFill>
              </w:rPr>
              <w:t>的制定及</w:t>
            </w:r>
            <w:r>
              <w:rPr>
                <w:color w:val="000000" w:themeColor="text1"/>
                <w:sz w:val="24"/>
                <w14:textFill>
                  <w14:solidFill>
                    <w14:schemeClr w14:val="tx1"/>
                  </w14:solidFill>
                </w14:textFill>
              </w:rPr>
              <w:t>具体实施</w:t>
            </w:r>
            <w:r>
              <w:rPr>
                <w:rFonts w:hint="eastAsia"/>
                <w:color w:val="000000" w:themeColor="text1"/>
                <w:sz w:val="24"/>
                <w14:textFill>
                  <w14:solidFill>
                    <w14:schemeClr w14:val="tx1"/>
                  </w14:solidFill>
                </w14:textFill>
              </w:rPr>
              <w:t>，收集资料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郭晓华</w:t>
            </w:r>
          </w:p>
        </w:tc>
        <w:tc>
          <w:tcPr>
            <w:tcW w:w="3410"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山东美佳集团有限公司</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提供产业加工相关资料，并提供冻海水鱼片生产状况。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曹立民</w:t>
            </w:r>
          </w:p>
        </w:tc>
        <w:tc>
          <w:tcPr>
            <w:tcW w:w="3410" w:type="dxa"/>
            <w:vAlign w:val="center"/>
          </w:tcPr>
          <w:p>
            <w:pPr>
              <w:spacing w:line="276" w:lineRule="auto"/>
              <w:rPr>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中国海洋大学</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参与调查研究、意见征求等项工作。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董浩</w:t>
            </w:r>
          </w:p>
        </w:tc>
        <w:tc>
          <w:tcPr>
            <w:tcW w:w="3410"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山东美佳集团有限公司</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提供冻海水鱼片生产状况，试验验证。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矫春娜</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参与调查研究、意见征求等项工作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刘芳</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抽样工作，参与调研，收集资料等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王共明</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收集资料，参与调查研究、意见征求等项工作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井月欣</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参与调查研究、意见征求等项工作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刘京熙</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参与调研，收集资料等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陈建强</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参与调研，收集资料等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刘昕</w:t>
            </w:r>
          </w:p>
        </w:tc>
        <w:tc>
          <w:tcPr>
            <w:tcW w:w="3410" w:type="dxa"/>
          </w:tcPr>
          <w:p>
            <w:pPr>
              <w:rPr>
                <w:color w:val="000000" w:themeColor="text1"/>
                <w14:textFill>
                  <w14:solidFill>
                    <w14:schemeClr w14:val="tx1"/>
                  </w14:solidFill>
                </w14:textFill>
              </w:rPr>
            </w:pPr>
            <w:r>
              <w:rPr>
                <w:rFonts w:hint="eastAsia"/>
                <w:bCs/>
                <w:color w:val="000000" w:themeColor="text1"/>
                <w:sz w:val="24"/>
                <w14:textFill>
                  <w14:solidFill>
                    <w14:schemeClr w14:val="tx1"/>
                  </w14:solidFill>
                </w14:textFill>
              </w:rPr>
              <w:t>山东省海洋资源与环境研究院</w:t>
            </w:r>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参与调查研究、意见征求等项工作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263" w:type="dxa"/>
            <w:vAlign w:val="center"/>
          </w:tcPr>
          <w:p>
            <w:pPr>
              <w:spacing w:line="276"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赵长春</w:t>
            </w:r>
          </w:p>
        </w:tc>
        <w:tc>
          <w:tcPr>
            <w:tcW w:w="3410" w:type="dxa"/>
          </w:tcPr>
          <w:p>
            <w:pPr>
              <w:rPr>
                <w:bCs/>
                <w:color w:val="000000" w:themeColor="text1"/>
                <w:sz w:val="24"/>
                <w14:textFill>
                  <w14:solidFill>
                    <w14:schemeClr w14:val="tx1"/>
                  </w14:solidFill>
                </w14:textFill>
              </w:rPr>
            </w:pPr>
            <w:bookmarkStart w:id="29" w:name="_Hlk139290768"/>
            <w:r>
              <w:rPr>
                <w:rFonts w:hint="eastAsia"/>
                <w:bCs/>
                <w:color w:val="000000" w:themeColor="text1"/>
                <w:sz w:val="24"/>
                <w14:textFill>
                  <w14:solidFill>
                    <w14:schemeClr w14:val="tx1"/>
                  </w14:solidFill>
                </w14:textFill>
              </w:rPr>
              <w:t>烟台市蓬莱区水产技术推广中心</w:t>
            </w:r>
            <w:bookmarkEnd w:id="29"/>
          </w:p>
        </w:tc>
        <w:tc>
          <w:tcPr>
            <w:tcW w:w="4253" w:type="dxa"/>
            <w:vAlign w:val="center"/>
          </w:tcPr>
          <w:p>
            <w:pPr>
              <w:spacing w:line="27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参与调查研究、意见征求等项工作</w:t>
            </w:r>
          </w:p>
        </w:tc>
      </w:tr>
    </w:tbl>
    <w:p>
      <w:pPr>
        <w:spacing w:before="312" w:beforeLines="100" w:line="276" w:lineRule="auto"/>
        <w:jc w:val="left"/>
        <w:rPr>
          <w:rFonts w:ascii="宋体" w:hAnsi="宋体" w:eastAsia="宋体" w:cs="黑体"/>
          <w:b/>
          <w:color w:val="000000" w:themeColor="text1"/>
          <w:sz w:val="28"/>
          <w:szCs w:val="28"/>
          <w14:textFill>
            <w14:solidFill>
              <w14:schemeClr w14:val="tx1"/>
            </w14:solidFill>
          </w14:textFill>
        </w:rPr>
      </w:pPr>
      <w:r>
        <w:rPr>
          <w:rFonts w:hint="eastAsia" w:ascii="宋体" w:hAnsi="宋体" w:eastAsia="宋体" w:cs="黑体"/>
          <w:b/>
          <w:color w:val="000000" w:themeColor="text1"/>
          <w:sz w:val="28"/>
          <w:szCs w:val="28"/>
          <w14:textFill>
            <w14:solidFill>
              <w14:schemeClr w14:val="tx1"/>
            </w14:solidFill>
          </w14:textFill>
        </w:rPr>
        <w:t>三、标准编制原则及确定主要内容的依据</w:t>
      </w:r>
    </w:p>
    <w:p>
      <w:pPr>
        <w:spacing w:line="276" w:lineRule="auto"/>
        <w:ind w:firstLine="562" w:firstLineChars="200"/>
        <w:jc w:val="left"/>
        <w:rPr>
          <w:rFonts w:cs="Times New Roman" w:asciiTheme="minorEastAsia" w:hAnsiTheme="minorEastAsia"/>
          <w:b/>
          <w:bCs/>
          <w:color w:val="000000" w:themeColor="text1"/>
          <w:sz w:val="28"/>
          <w:szCs w:val="28"/>
          <w14:textFill>
            <w14:solidFill>
              <w14:schemeClr w14:val="tx1"/>
            </w14:solidFill>
          </w14:textFill>
        </w:rPr>
      </w:pPr>
      <w:r>
        <w:rPr>
          <w:rFonts w:hint="eastAsia" w:cs="Times New Roman" w:asciiTheme="minorEastAsia" w:hAnsiTheme="minorEastAsia"/>
          <w:b/>
          <w:bCs/>
          <w:color w:val="000000" w:themeColor="text1"/>
          <w:sz w:val="28"/>
          <w:szCs w:val="28"/>
          <w14:textFill>
            <w14:solidFill>
              <w14:schemeClr w14:val="tx1"/>
            </w14:solidFill>
          </w14:textFill>
        </w:rPr>
        <w:t>（一）标准编制原则</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本标准为产品标准，充分兼顾冻海水鱼片发展的实际情况和检测工作的需要，严格掌握尺度，突出重点和特点，基于产业需求、市场应用、检测方法和企业可接受等角度考虑，编制遵循以下原则：</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1、产业导向原则：基于加工企业、批发商家、销售人员等调研情况，本文件在D</w:t>
      </w:r>
      <w:bookmarkStart w:id="30" w:name="_Hlk137131114"/>
      <w:r>
        <w:rPr>
          <w:rFonts w:hint="eastAsia" w:cs="Times New Roman" w:asciiTheme="minorEastAsia" w:hAnsiTheme="minorEastAsia"/>
          <w:color w:val="000000" w:themeColor="text1"/>
          <w:sz w:val="28"/>
          <w:szCs w:val="28"/>
          <w14:textFill>
            <w14:solidFill>
              <w14:schemeClr w14:val="tx1"/>
            </w14:solidFill>
          </w14:textFill>
        </w:rPr>
        <w:t>B37/T 413-2004《冻海水鱼片》</w:t>
      </w:r>
      <w:bookmarkEnd w:id="30"/>
      <w:r>
        <w:rPr>
          <w:rFonts w:hint="eastAsia" w:cs="Times New Roman" w:asciiTheme="minorEastAsia" w:hAnsiTheme="minorEastAsia"/>
          <w:color w:val="000000" w:themeColor="text1"/>
          <w:sz w:val="28"/>
          <w:szCs w:val="28"/>
          <w14:textFill>
            <w14:solidFill>
              <w14:schemeClr w14:val="tx1"/>
            </w14:solidFill>
          </w14:textFill>
        </w:rPr>
        <w:t>标准的基础上，充分考虑标准技术的先进性、实用性、可操作性和经济合理性，结合加工企业的实际生产情况，对冻海水鱼片感官、质量指标理化指标等进行了规定。</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2、指标优选原则：以业内认可的冻海水鱼片为基准，根据产业发展现状，增加组胺、水分、冰衣限量要求，舍弃“不合格小鱼片”等指标，并对挥发性盐基氮、组胺指标检测的前处理方法进行了规定。</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3、市场适用原则：冻海水鱼片产品形式多样，制定适宜市场接受的标准是为了维护加工企业和消费者的利益，促进和提升冻海水鱼片的加工水平，规范加工市场。</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4、行业通用原则：基于市场导向、指标优选和市场适用等考虑，需要统一的质量标准来规范产品质量。</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本标准结构和编写按照GB/T 1.1-2020《标准化工作导则 第1部分：标准化文件的结构和起草规则》、GB/T 20001.10-2014《标准编写规则第10部分：产品标准》的规定。</w:t>
      </w:r>
    </w:p>
    <w:p>
      <w:pPr>
        <w:spacing w:line="276" w:lineRule="auto"/>
        <w:ind w:firstLine="562" w:firstLineChars="200"/>
        <w:jc w:val="left"/>
        <w:rPr>
          <w:rFonts w:cs="Times New Roman" w:asciiTheme="minorEastAsia" w:hAnsiTheme="minorEastAsia"/>
          <w:b/>
          <w:bCs/>
          <w:color w:val="000000" w:themeColor="text1"/>
          <w:sz w:val="28"/>
          <w:szCs w:val="28"/>
          <w14:textFill>
            <w14:solidFill>
              <w14:schemeClr w14:val="tx1"/>
            </w14:solidFill>
          </w14:textFill>
        </w:rPr>
      </w:pPr>
      <w:r>
        <w:rPr>
          <w:rFonts w:hint="eastAsia" w:cs="Times New Roman" w:asciiTheme="minorEastAsia" w:hAnsiTheme="minorEastAsia"/>
          <w:b/>
          <w:bCs/>
          <w:color w:val="000000" w:themeColor="text1"/>
          <w:sz w:val="28"/>
          <w:szCs w:val="28"/>
          <w14:textFill>
            <w14:solidFill>
              <w14:schemeClr w14:val="tx1"/>
            </w14:solidFill>
          </w14:textFill>
        </w:rPr>
        <w:t>(二)标准主要内容及确立依据</w:t>
      </w:r>
    </w:p>
    <w:p>
      <w:pPr>
        <w:spacing w:line="276" w:lineRule="auto"/>
        <w:ind w:firstLine="560" w:firstLineChars="200"/>
        <w:jc w:val="left"/>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本标准在以上研究基础上，按照科学性、精简性和适应性原则，通过认真梳理和筛选，对冻海水鱼片的感官要求，理化指标等与质量有关的重要参数进行了规定。本文件规定了冻海水鱼片的原料、加工用水、食品添加剂、加工条件、感官、理化指标和净含量等要求，描述了相应的试验方法，给出了检验规则，同时规定了标识、包装、运输和贮存要求。本文件适用于冻海水鱼片生产者声明产品符合性，或作为生产者与采购方签署贸易合同的依据，也可作为市场监管或认证机构认证的依据。现将有关内容说明如下：</w:t>
      </w:r>
    </w:p>
    <w:p>
      <w:pPr>
        <w:spacing w:line="276" w:lineRule="auto"/>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1</w:t>
      </w:r>
      <w:r>
        <w:rPr>
          <w:rFonts w:hint="eastAsia" w:ascii="Times New Roman" w:hAnsi="Times New Roman"/>
          <w:b/>
          <w:bCs/>
          <w:color w:val="000000" w:themeColor="text1"/>
          <w:sz w:val="28"/>
          <w:szCs w:val="28"/>
          <w14:textFill>
            <w14:solidFill>
              <w14:schemeClr w14:val="tx1"/>
            </w14:solidFill>
          </w14:textFill>
        </w:rPr>
        <w:t>、</w:t>
      </w:r>
      <w:r>
        <w:rPr>
          <w:rFonts w:ascii="Times New Roman" w:hAnsi="Times New Roman"/>
          <w:b/>
          <w:bCs/>
          <w:color w:val="000000" w:themeColor="text1"/>
          <w:sz w:val="28"/>
          <w:szCs w:val="28"/>
          <w14:textFill>
            <w14:solidFill>
              <w14:schemeClr w14:val="tx1"/>
            </w14:solidFill>
          </w14:textFill>
        </w:rPr>
        <w:t>术语和定义</w:t>
      </w:r>
    </w:p>
    <w:p>
      <w:pPr>
        <w:spacing w:line="276" w:lineRule="auto"/>
        <w:ind w:firstLine="555"/>
        <w:rPr>
          <w:rFonts w:ascii="Times New Roman" w:hAnsi="Times New Roman" w:eastAsia="宋体" w:cs="Times New Roman"/>
          <w:color w:val="000000" w:themeColor="text1"/>
          <w:sz w:val="28"/>
          <w:szCs w:val="28"/>
          <w14:textFill>
            <w14:solidFill>
              <w14:schemeClr w14:val="tx1"/>
            </w14:solidFill>
          </w14:textFill>
        </w:rPr>
      </w:pPr>
      <w:bookmarkStart w:id="31" w:name="_Hlk137115707"/>
      <w:r>
        <w:rPr>
          <w:rFonts w:hint="eastAsia" w:asciiTheme="minorEastAsia" w:hAnsiTheme="minorEastAsia"/>
          <w:bCs/>
          <w:color w:val="000000" w:themeColor="text1"/>
          <w:sz w:val="28"/>
          <w:szCs w:val="28"/>
          <w14:textFill>
            <w14:solidFill>
              <w14:schemeClr w14:val="tx1"/>
            </w14:solidFill>
          </w14:textFill>
        </w:rPr>
        <w:t>DB37/T 413-2004《冻海水鱼片》</w:t>
      </w:r>
      <w:bookmarkEnd w:id="31"/>
      <w:r>
        <w:rPr>
          <w:rFonts w:hint="eastAsia" w:asciiTheme="minorEastAsia" w:hAnsiTheme="minorEastAsia"/>
          <w:bCs/>
          <w:color w:val="000000" w:themeColor="text1"/>
          <w:sz w:val="28"/>
          <w:szCs w:val="28"/>
          <w14:textFill>
            <w14:solidFill>
              <w14:schemeClr w14:val="tx1"/>
            </w14:solidFill>
          </w14:textFill>
        </w:rPr>
        <w:t>规定，重量小于25 g的小鱼片和破碎鱼片为不合格小鱼片。调研中发现有很多小鱼开片作为产品出售，如冰鱼、红头鱼等，且多数规格小于25g，所以删去了不合格小鱼片的定义</w:t>
      </w:r>
      <w:r>
        <w:rPr>
          <w:rFonts w:hint="eastAsia" w:ascii="Times New Roman" w:hAnsi="Times New Roman"/>
          <w:bCs/>
          <w:color w:val="000000" w:themeColor="text1"/>
          <w:sz w:val="28"/>
          <w:szCs w:val="28"/>
          <w14:textFill>
            <w14:solidFill>
              <w14:schemeClr w14:val="tx1"/>
            </w14:solidFill>
          </w14:textFill>
        </w:rPr>
        <w:t>。同时，</w:t>
      </w:r>
      <w:r>
        <w:rPr>
          <w:rFonts w:hint="eastAsia" w:ascii="Times New Roman" w:hAnsi="Times New Roman" w:eastAsia="宋体" w:cs="Times New Roman"/>
          <w:color w:val="000000" w:themeColor="text1"/>
          <w:sz w:val="28"/>
          <w:szCs w:val="28"/>
          <w14:textFill>
            <w14:solidFill>
              <w14:schemeClr w14:val="tx1"/>
            </w14:solidFill>
          </w14:textFill>
        </w:rPr>
        <w:t>根据</w:t>
      </w:r>
      <w:r>
        <w:rPr>
          <w:rFonts w:ascii="Times New Roman" w:hAnsi="Times New Roman" w:eastAsia="宋体" w:cs="Times New Roman"/>
          <w:color w:val="000000" w:themeColor="text1"/>
          <w:sz w:val="28"/>
          <w:szCs w:val="28"/>
          <w14:textFill>
            <w14:solidFill>
              <w14:schemeClr w14:val="tx1"/>
            </w14:solidFill>
          </w14:textFill>
        </w:rPr>
        <w:t>GB/T 31693-2018</w:t>
      </w:r>
      <w:r>
        <w:rPr>
          <w:rFonts w:hint="eastAsia" w:ascii="Times New Roman" w:hAnsi="Times New Roman" w:eastAsia="宋体" w:cs="Times New Roman"/>
          <w:color w:val="000000" w:themeColor="text1"/>
          <w:sz w:val="28"/>
          <w:szCs w:val="28"/>
          <w14:textFill>
            <w14:solidFill>
              <w14:schemeClr w14:val="tx1"/>
            </w14:solidFill>
          </w14:textFill>
        </w:rPr>
        <w:t>《水产品加工术语》，列出了单冻（单体速冻）、冻海水鱼片、镀冰衣（包冰衣）、干耗、块冻的定义。</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bookmarkStart w:id="32" w:name="_Hlk137046161"/>
      <w:r>
        <w:rPr>
          <w:rFonts w:ascii="Times New Roman" w:hAnsi="Times New Roman" w:eastAsia="宋体" w:cs="Times New Roman"/>
          <w:color w:val="000000" w:themeColor="text1"/>
          <w:sz w:val="28"/>
          <w:szCs w:val="28"/>
          <w14:textFill>
            <w14:solidFill>
              <w14:schemeClr w14:val="tx1"/>
            </w14:solidFill>
          </w14:textFill>
        </w:rPr>
        <w:t>1.1</w:t>
      </w:r>
      <w:r>
        <w:rPr>
          <w:rFonts w:hint="eastAsia" w:ascii="Times New Roman" w:hAnsi="Times New Roman" w:eastAsia="宋体" w:cs="Times New Roman"/>
          <w:color w:val="000000" w:themeColor="text1"/>
          <w:sz w:val="28"/>
          <w:szCs w:val="28"/>
          <w14:textFill>
            <w14:solidFill>
              <w14:schemeClr w14:val="tx1"/>
            </w14:solidFill>
          </w14:textFill>
        </w:rPr>
        <w:t>单冻（单体速冻）</w:t>
      </w:r>
    </w:p>
    <w:bookmarkEnd w:id="32"/>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单个水产品在互相不黏结的情况下快速冻结的方法。</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1</w:t>
      </w:r>
      <w:r>
        <w:rPr>
          <w:rFonts w:ascii="Times New Roman" w:hAnsi="Times New Roman" w:eastAsia="宋体" w:cs="Times New Roman"/>
          <w:color w:val="000000" w:themeColor="text1"/>
          <w:sz w:val="28"/>
          <w:szCs w:val="28"/>
          <w14:textFill>
            <w14:solidFill>
              <w14:schemeClr w14:val="tx1"/>
            </w14:solidFill>
          </w14:textFill>
        </w:rPr>
        <w:t>.2</w:t>
      </w:r>
      <w:r>
        <w:rPr>
          <w:rFonts w:hint="eastAsia" w:ascii="Times New Roman" w:hAnsi="Times New Roman" w:eastAsia="宋体" w:cs="Times New Roman"/>
          <w:color w:val="000000" w:themeColor="text1"/>
          <w:sz w:val="28"/>
          <w:szCs w:val="28"/>
          <w14:textFill>
            <w14:solidFill>
              <w14:schemeClr w14:val="tx1"/>
            </w14:solidFill>
          </w14:textFill>
        </w:rPr>
        <w:t xml:space="preserve">冻海水鱼片 </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以新鲜或冷冻的海水鱼为原料，经去头、去内脏、剖片、去刺/不去刺、修整、速冻、镀冰衣/不镀冰衣等工序加工制成的非即食产品。</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1.3</w:t>
      </w:r>
      <w:r>
        <w:rPr>
          <w:rFonts w:hint="eastAsia" w:ascii="Times New Roman" w:hAnsi="Times New Roman" w:eastAsia="宋体" w:cs="Times New Roman"/>
          <w:color w:val="000000" w:themeColor="text1"/>
          <w:sz w:val="28"/>
          <w:szCs w:val="28"/>
          <w14:textFill>
            <w14:solidFill>
              <w14:schemeClr w14:val="tx1"/>
            </w14:solidFill>
          </w14:textFill>
        </w:rPr>
        <w:t>镀冰衣（包冰衣）</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用清洁海水、饮用水或加入允许使用的食品添加剂的饮用水喷洒或浸泡冷冻产品，在其表面均匀包裹一层冰膜的方式。</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1</w:t>
      </w:r>
      <w:r>
        <w:rPr>
          <w:rFonts w:hint="eastAsia" w:ascii="Times New Roman" w:hAnsi="Times New Roman" w:eastAsia="宋体" w:cs="Times New Roman"/>
          <w:color w:val="000000" w:themeColor="text1"/>
          <w:sz w:val="28"/>
          <w:szCs w:val="28"/>
          <w14:textFill>
            <w14:solidFill>
              <w14:schemeClr w14:val="tx1"/>
            </w14:solidFill>
          </w14:textFill>
        </w:rPr>
        <w:t>.</w:t>
      </w:r>
      <w:r>
        <w:rPr>
          <w:rFonts w:ascii="Times New Roman" w:hAnsi="Times New Roman" w:eastAsia="宋体" w:cs="Times New Roman"/>
          <w:color w:val="000000" w:themeColor="text1"/>
          <w:sz w:val="28"/>
          <w:szCs w:val="28"/>
          <w14:textFill>
            <w14:solidFill>
              <w14:schemeClr w14:val="tx1"/>
            </w14:solidFill>
          </w14:textFill>
        </w:rPr>
        <w:t>4</w:t>
      </w:r>
      <w:r>
        <w:rPr>
          <w:rFonts w:hint="eastAsia" w:ascii="Times New Roman" w:hAnsi="Times New Roman" w:eastAsia="宋体" w:cs="Times New Roman"/>
          <w:color w:val="000000" w:themeColor="text1"/>
          <w:sz w:val="28"/>
          <w:szCs w:val="28"/>
          <w14:textFill>
            <w14:solidFill>
              <w14:schemeClr w14:val="tx1"/>
            </w14:solidFill>
          </w14:textFill>
        </w:rPr>
        <w:t>干耗</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冷冻水产品在冻藏过程中由于蒸发失去水分，表面出现异常的白色或黄色，并渗透到表层以下，影响水产品外观和品质的现象。</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1</w:t>
      </w:r>
      <w:r>
        <w:rPr>
          <w:rFonts w:ascii="Times New Roman" w:hAnsi="Times New Roman" w:eastAsia="宋体" w:cs="Times New Roman"/>
          <w:color w:val="000000" w:themeColor="text1"/>
          <w:sz w:val="28"/>
          <w:szCs w:val="28"/>
          <w14:textFill>
            <w14:solidFill>
              <w14:schemeClr w14:val="tx1"/>
            </w14:solidFill>
          </w14:textFill>
        </w:rPr>
        <w:t>.5</w:t>
      </w:r>
      <w:r>
        <w:rPr>
          <w:rFonts w:hint="eastAsia" w:ascii="Times New Roman" w:hAnsi="Times New Roman" w:eastAsia="宋体" w:cs="Times New Roman"/>
          <w:color w:val="000000" w:themeColor="text1"/>
          <w:sz w:val="28"/>
          <w:szCs w:val="28"/>
          <w14:textFill>
            <w14:solidFill>
              <w14:schemeClr w14:val="tx1"/>
            </w14:solidFill>
          </w14:textFill>
        </w:rPr>
        <w:t>块冻</w:t>
      </w:r>
      <w:r>
        <w:rPr>
          <w:rFonts w:ascii="Times New Roman" w:hAnsi="Times New Roman" w:eastAsia="宋体" w:cs="Times New Roman"/>
          <w:color w:val="000000" w:themeColor="text1"/>
          <w:sz w:val="28"/>
          <w:szCs w:val="28"/>
          <w14:textFill>
            <w14:solidFill>
              <w14:schemeClr w14:val="tx1"/>
            </w14:solidFill>
          </w14:textFill>
        </w:rPr>
        <w:t xml:space="preserve">  </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多个鱼片排列整齐, 并形成一定的形状，快速冻结为一个整体的方法。</w:t>
      </w:r>
    </w:p>
    <w:p>
      <w:pPr>
        <w:spacing w:line="276" w:lineRule="auto"/>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2</w:t>
      </w:r>
      <w:r>
        <w:rPr>
          <w:rFonts w:hint="eastAsia" w:ascii="Times New Roman" w:hAnsi="Times New Roman"/>
          <w:b/>
          <w:bCs/>
          <w:color w:val="000000" w:themeColor="text1"/>
          <w:sz w:val="28"/>
          <w:szCs w:val="28"/>
          <w14:textFill>
            <w14:solidFill>
              <w14:schemeClr w14:val="tx1"/>
            </w14:solidFill>
          </w14:textFill>
        </w:rPr>
        <w:t>、</w:t>
      </w:r>
      <w:r>
        <w:rPr>
          <w:rFonts w:ascii="Times New Roman" w:hAnsi="Times New Roman"/>
          <w:b/>
          <w:bCs/>
          <w:color w:val="000000" w:themeColor="text1"/>
          <w:sz w:val="28"/>
          <w:szCs w:val="28"/>
          <w14:textFill>
            <w14:solidFill>
              <w14:schemeClr w14:val="tx1"/>
            </w14:solidFill>
          </w14:textFill>
        </w:rPr>
        <w:t>要求</w:t>
      </w:r>
      <w:r>
        <w:rPr>
          <w:rFonts w:hint="eastAsia" w:ascii="Times New Roman" w:hAnsi="Times New Roman"/>
          <w:b/>
          <w:bCs/>
          <w:color w:val="000000" w:themeColor="text1"/>
          <w:sz w:val="28"/>
          <w:szCs w:val="28"/>
          <w14:textFill>
            <w14:solidFill>
              <w14:schemeClr w14:val="tx1"/>
            </w14:solidFill>
          </w14:textFill>
        </w:rPr>
        <w:t xml:space="preserve"> </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w:t>
      </w:r>
      <w:r>
        <w:rPr>
          <w:rFonts w:hint="eastAsia" w:asciiTheme="minorEastAsia" w:hAnsiTheme="minorEastAsia"/>
          <w:b/>
          <w:bCs/>
          <w:color w:val="000000" w:themeColor="text1"/>
          <w:sz w:val="28"/>
          <w:szCs w:val="28"/>
          <w14:textFill>
            <w14:solidFill>
              <w14:schemeClr w14:val="tx1"/>
            </w14:solidFill>
          </w14:textFill>
        </w:rPr>
        <w:t>.</w:t>
      </w:r>
      <w:r>
        <w:rPr>
          <w:rFonts w:asciiTheme="minorEastAsia" w:hAnsiTheme="minorEastAsia"/>
          <w:b/>
          <w:bCs/>
          <w:color w:val="000000" w:themeColor="text1"/>
          <w:sz w:val="28"/>
          <w:szCs w:val="28"/>
          <w14:textFill>
            <w14:solidFill>
              <w14:schemeClr w14:val="tx1"/>
            </w14:solidFill>
          </w14:textFill>
        </w:rPr>
        <w:t>1</w:t>
      </w:r>
      <w:r>
        <w:rPr>
          <w:rFonts w:hint="eastAsia" w:asciiTheme="minorEastAsia" w:hAnsiTheme="minorEastAsia"/>
          <w:b/>
          <w:bCs/>
          <w:color w:val="000000" w:themeColor="text1"/>
          <w:sz w:val="28"/>
          <w:szCs w:val="28"/>
          <w14:textFill>
            <w14:solidFill>
              <w14:schemeClr w14:val="tx1"/>
            </w14:solidFill>
          </w14:textFill>
        </w:rPr>
        <w:t>　加工条件要求</w:t>
      </w:r>
    </w:p>
    <w:p>
      <w:pPr>
        <w:spacing w:line="276" w:lineRule="auto"/>
        <w:ind w:firstLine="560" w:firstLineChars="200"/>
        <w:rPr>
          <w:rFonts w:ascii="Times New Roman" w:hAnsi="Times New Roman"/>
          <w:bCs/>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因本标准属于产品标准，对生产工艺不做规定，删除了DB37/T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413-2004《冻海水鱼片》关于对速冻工艺的要求</w:t>
      </w:r>
      <w:r>
        <w:rPr>
          <w:rFonts w:hint="eastAsia" w:ascii="Times New Roman" w:hAnsi="Times New Roman"/>
          <w:bCs/>
          <w:color w:val="000000" w:themeColor="text1"/>
          <w:sz w:val="28"/>
          <w:szCs w:val="28"/>
          <w14:textFill>
            <w14:solidFill>
              <w14:schemeClr w14:val="tx1"/>
            </w14:solidFill>
          </w14:textFill>
        </w:rPr>
        <w:t>。</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imes New Roman" w:hAnsi="Times New Roman"/>
          <w:bCs/>
          <w:color w:val="000000" w:themeColor="text1"/>
          <w:sz w:val="28"/>
          <w:szCs w:val="28"/>
          <w14:textFill>
            <w14:solidFill>
              <w14:schemeClr w14:val="tx1"/>
            </w14:solidFill>
          </w14:textFill>
        </w:rPr>
        <w:t>本标准加工条件要求定为：</w:t>
      </w:r>
      <w:r>
        <w:rPr>
          <w:rFonts w:hint="eastAsia" w:asciiTheme="minorEastAsia" w:hAnsiTheme="minorEastAsia"/>
          <w:color w:val="000000" w:themeColor="text1"/>
          <w:sz w:val="28"/>
          <w:szCs w:val="28"/>
          <w14:textFill>
            <w14:solidFill>
              <w14:schemeClr w14:val="tx1"/>
            </w14:solidFill>
          </w14:textFill>
        </w:rPr>
        <w:t>厂区环境、厂房和车间、设备与设施、卫生管理、生产过程的食品安全控制、管理制度和人员等应符合GB 20941</w:t>
      </w:r>
      <w:r>
        <w:rPr>
          <w:rFonts w:asciiTheme="minorEastAsia" w:hAnsiTheme="minorEastAsia"/>
          <w:color w:val="000000" w:themeColor="text1"/>
          <w:sz w:val="28"/>
          <w:szCs w:val="28"/>
          <w14:textFill>
            <w14:solidFill>
              <w14:schemeClr w14:val="tx1"/>
            </w14:solidFill>
          </w14:textFill>
        </w:rPr>
        <w:t>-2016</w:t>
      </w:r>
      <w:r>
        <w:rPr>
          <w:rFonts w:hint="eastAsia" w:asciiTheme="minorEastAsia" w:hAnsiTheme="minorEastAsia"/>
          <w:color w:val="000000" w:themeColor="text1"/>
          <w:sz w:val="28"/>
          <w:szCs w:val="28"/>
          <w14:textFill>
            <w14:solidFill>
              <w14:schemeClr w14:val="tx1"/>
            </w14:solidFill>
          </w14:textFill>
        </w:rPr>
        <w:t>《食品安全国家标准</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水产制品生产卫生规范》的规定。</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2.2</w:t>
      </w:r>
      <w:r>
        <w:rPr>
          <w:rFonts w:hint="eastAsia" w:asciiTheme="minorEastAsia" w:hAnsiTheme="minorEastAsia"/>
          <w:b/>
          <w:bCs/>
          <w:color w:val="000000" w:themeColor="text1"/>
          <w:sz w:val="28"/>
          <w:szCs w:val="28"/>
          <w14:textFill>
            <w14:solidFill>
              <w14:schemeClr w14:val="tx1"/>
            </w14:solidFill>
          </w14:textFill>
        </w:rPr>
        <w:t>分类</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为了更清晰准确地描述不同产品的各项要求，本标准对冻海水鱼片产品进行了分类：</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按冷冻形式分单冻、块冻两类；其中单冻产品分镀冰衣、不镀冰衣两类。</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w:t>
      </w:r>
      <w:r>
        <w:rPr>
          <w:rFonts w:hint="eastAsia" w:asciiTheme="minorEastAsia" w:hAnsiTheme="minorEastAsia"/>
          <w:b/>
          <w:bCs/>
          <w:color w:val="000000" w:themeColor="text1"/>
          <w:sz w:val="28"/>
          <w:szCs w:val="28"/>
          <w14:textFill>
            <w14:solidFill>
              <w14:schemeClr w14:val="tx1"/>
            </w14:solidFill>
          </w14:textFill>
        </w:rPr>
        <w:t>.</w:t>
      </w:r>
      <w:r>
        <w:rPr>
          <w:rFonts w:asciiTheme="minorEastAsia" w:hAnsiTheme="minorEastAsia"/>
          <w:b/>
          <w:bCs/>
          <w:color w:val="000000" w:themeColor="text1"/>
          <w:sz w:val="28"/>
          <w:szCs w:val="28"/>
          <w14:textFill>
            <w14:solidFill>
              <w14:schemeClr w14:val="tx1"/>
            </w14:solidFill>
          </w14:textFill>
        </w:rPr>
        <w:t>3</w:t>
      </w:r>
      <w:r>
        <w:rPr>
          <w:rFonts w:hint="eastAsia" w:asciiTheme="minorEastAsia" w:hAnsiTheme="minorEastAsia"/>
          <w:b/>
          <w:bCs/>
          <w:color w:val="000000" w:themeColor="text1"/>
          <w:sz w:val="28"/>
          <w:szCs w:val="28"/>
          <w14:textFill>
            <w14:solidFill>
              <w14:schemeClr w14:val="tx1"/>
            </w14:solidFill>
          </w14:textFill>
        </w:rPr>
        <w:t>　感官要求</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w:t>
      </w:r>
      <w:r>
        <w:rPr>
          <w:rFonts w:hint="eastAsia" w:asciiTheme="minorEastAsia" w:hAnsiTheme="minorEastAsia"/>
          <w:b/>
          <w:bCs/>
          <w:color w:val="000000" w:themeColor="text1"/>
          <w:sz w:val="28"/>
          <w:szCs w:val="28"/>
          <w14:textFill>
            <w14:solidFill>
              <w14:schemeClr w14:val="tx1"/>
            </w14:solidFill>
          </w14:textFill>
        </w:rPr>
        <w:t>.</w:t>
      </w:r>
      <w:r>
        <w:rPr>
          <w:rFonts w:asciiTheme="minorEastAsia" w:hAnsiTheme="minorEastAsia"/>
          <w:b/>
          <w:bCs/>
          <w:color w:val="000000" w:themeColor="text1"/>
          <w:sz w:val="28"/>
          <w:szCs w:val="28"/>
          <w14:textFill>
            <w14:solidFill>
              <w14:schemeClr w14:val="tx1"/>
            </w14:solidFill>
          </w14:textFill>
        </w:rPr>
        <w:t>3</w:t>
      </w:r>
      <w:r>
        <w:rPr>
          <w:rFonts w:hint="eastAsia" w:asciiTheme="minorEastAsia" w:hAnsiTheme="minorEastAsia"/>
          <w:b/>
          <w:bCs/>
          <w:color w:val="000000" w:themeColor="text1"/>
          <w:sz w:val="28"/>
          <w:szCs w:val="28"/>
          <w14:textFill>
            <w14:solidFill>
              <w14:schemeClr w14:val="tx1"/>
            </w14:solidFill>
          </w14:textFill>
        </w:rPr>
        <w:t>.1　</w:t>
      </w:r>
      <w:bookmarkStart w:id="33" w:name="_Hlk137041783"/>
      <w:r>
        <w:rPr>
          <w:rFonts w:hint="eastAsia" w:asciiTheme="minorEastAsia" w:hAnsiTheme="minorEastAsia"/>
          <w:b/>
          <w:bCs/>
          <w:color w:val="000000" w:themeColor="text1"/>
          <w:sz w:val="28"/>
          <w:szCs w:val="28"/>
          <w14:textFill>
            <w14:solidFill>
              <w14:schemeClr w14:val="tx1"/>
            </w14:solidFill>
          </w14:textFill>
        </w:rPr>
        <w:t>冻品感官要求</w:t>
      </w:r>
      <w:bookmarkEnd w:id="33"/>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冻品感官要求应符合表</w:t>
      </w:r>
      <w:r>
        <w:rPr>
          <w:rFonts w:asciiTheme="minorEastAsia" w:hAnsiTheme="minorEastAsia"/>
          <w:color w:val="000000" w:themeColor="text1"/>
          <w:sz w:val="28"/>
          <w:szCs w:val="28"/>
          <w14:textFill>
            <w14:solidFill>
              <w14:schemeClr w14:val="tx1"/>
            </w14:solidFill>
          </w14:textFill>
        </w:rPr>
        <w:t>2</w:t>
      </w:r>
      <w:r>
        <w:rPr>
          <w:rFonts w:hint="eastAsia" w:asciiTheme="minorEastAsia" w:hAnsiTheme="minorEastAsia"/>
          <w:color w:val="000000" w:themeColor="text1"/>
          <w:sz w:val="28"/>
          <w:szCs w:val="28"/>
          <w14:textFill>
            <w14:solidFill>
              <w14:schemeClr w14:val="tx1"/>
            </w14:solidFill>
          </w14:textFill>
        </w:rPr>
        <w:t>的规定。与</w:t>
      </w:r>
      <w:bookmarkStart w:id="34" w:name="_Hlk137042028"/>
      <w:r>
        <w:rPr>
          <w:rFonts w:hint="eastAsia" w:asciiTheme="minorEastAsia" w:hAnsiTheme="minorEastAsia"/>
          <w:color w:val="000000" w:themeColor="text1"/>
          <w:sz w:val="28"/>
          <w:szCs w:val="28"/>
          <w14:textFill>
            <w14:solidFill>
              <w14:schemeClr w14:val="tx1"/>
            </w14:solidFill>
          </w14:textFill>
        </w:rPr>
        <w:t>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w:t>
      </w:r>
      <w:bookmarkEnd w:id="34"/>
      <w:r>
        <w:rPr>
          <w:rFonts w:hint="eastAsia" w:asciiTheme="minorEastAsia" w:hAnsiTheme="minorEastAsia"/>
          <w:color w:val="000000" w:themeColor="text1"/>
          <w:sz w:val="28"/>
          <w:szCs w:val="28"/>
          <w14:textFill>
            <w14:solidFill>
              <w14:schemeClr w14:val="tx1"/>
            </w14:solidFill>
          </w14:textFill>
        </w:rPr>
        <w:t>相比，冻品感官要求增加“无明显干耗、返霜”的要求，干耗、返霜说明产品由于贮存时间太长、冷冻温度不稳定等原因，造成了明显的品质变化。</w:t>
      </w:r>
    </w:p>
    <w:p>
      <w:pPr>
        <w:pStyle w:val="171"/>
        <w:numPr>
          <w:ilvl w:val="0"/>
          <w:numId w:val="0"/>
        </w:numPr>
        <w:spacing w:before="156" w:after="156"/>
        <w:rPr>
          <w:rFonts w:asciiTheme="minorHAnsi" w:hAnsiTheme="minorHAnsi" w:eastAsiaTheme="minorEastAsia" w:cstheme="minorBidi"/>
          <w:color w:val="000000" w:themeColor="text1"/>
          <w:kern w:val="2"/>
          <w:sz w:val="28"/>
          <w:szCs w:val="28"/>
          <w14:textFill>
            <w14:solidFill>
              <w14:schemeClr w14:val="tx1"/>
            </w14:solidFill>
          </w14:textFill>
        </w:rPr>
      </w:pPr>
      <w:r>
        <w:rPr>
          <w:rFonts w:hint="eastAsia" w:asciiTheme="minorHAnsi" w:hAnsiTheme="minorHAnsi" w:eastAsiaTheme="minorEastAsia" w:cstheme="minorBidi"/>
          <w:color w:val="000000" w:themeColor="text1"/>
          <w:kern w:val="2"/>
          <w:sz w:val="28"/>
          <w:szCs w:val="28"/>
          <w14:textFill>
            <w14:solidFill>
              <w14:schemeClr w14:val="tx1"/>
            </w14:solidFill>
          </w14:textFill>
        </w:rPr>
        <w:t>表</w:t>
      </w:r>
      <w:r>
        <w:rPr>
          <w:rFonts w:asciiTheme="minorHAnsi" w:hAnsiTheme="minorHAnsi" w:eastAsiaTheme="minorEastAsia" w:cstheme="minorBidi"/>
          <w:color w:val="000000" w:themeColor="text1"/>
          <w:kern w:val="2"/>
          <w:sz w:val="28"/>
          <w:szCs w:val="28"/>
          <w14:textFill>
            <w14:solidFill>
              <w14:schemeClr w14:val="tx1"/>
            </w14:solidFill>
          </w14:textFill>
        </w:rPr>
        <w:t>2</w:t>
      </w:r>
      <w:r>
        <w:rPr>
          <w:rFonts w:hint="eastAsia" w:asciiTheme="minorHAnsi" w:hAnsiTheme="minorHAnsi" w:eastAsiaTheme="minorEastAsia" w:cstheme="minorBidi"/>
          <w:color w:val="000000" w:themeColor="text1"/>
          <w:kern w:val="2"/>
          <w:sz w:val="28"/>
          <w:szCs w:val="28"/>
          <w14:textFill>
            <w14:solidFill>
              <w14:schemeClr w14:val="tx1"/>
            </w14:solidFill>
          </w14:textFill>
        </w:rPr>
        <w:t>冻品感官要求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6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83"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类别</w:t>
            </w:r>
          </w:p>
        </w:tc>
        <w:tc>
          <w:tcPr>
            <w:tcW w:w="6193"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083"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单冻</w:t>
            </w:r>
          </w:p>
        </w:tc>
        <w:tc>
          <w:tcPr>
            <w:tcW w:w="6193" w:type="dxa"/>
            <w:vAlign w:val="center"/>
          </w:tcPr>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产品完整，色泽正常；个体间易分离；无明显干耗、变形、返霜</w:t>
            </w:r>
            <w:r>
              <w:rPr>
                <w:rFonts w:hint="eastAsia" w:asciiTheme="minorEastAsia" w:hAnsiTheme="minorEastAsia" w:eastAsiaTheme="minorEastAsia" w:cstheme="minorBidi"/>
                <w:color w:val="000000" w:themeColor="text1"/>
                <w:kern w:val="2"/>
                <w:sz w:val="28"/>
                <w:szCs w:val="28"/>
                <w:vertAlign w:val="superscript"/>
                <w14:textFill>
                  <w14:solidFill>
                    <w14:schemeClr w14:val="tx1"/>
                  </w14:solidFill>
                </w14:textFill>
              </w:rPr>
              <w:t>a</w:t>
            </w:r>
          </w:p>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镀冰衣产品的冰衣应清洁并均匀包覆产品</w:t>
            </w:r>
          </w:p>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真空包装产品的包装袋无破损、漏气、胀气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083"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块冻</w:t>
            </w:r>
          </w:p>
        </w:tc>
        <w:tc>
          <w:tcPr>
            <w:tcW w:w="6193" w:type="dxa"/>
            <w:vAlign w:val="center"/>
          </w:tcPr>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冻块平整不破碎；无干耗、无变形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8276" w:type="dxa"/>
            <w:gridSpan w:val="2"/>
            <w:vAlign w:val="center"/>
          </w:tcPr>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vertAlign w:val="superscript"/>
                <w14:textFill>
                  <w14:solidFill>
                    <w14:schemeClr w14:val="tx1"/>
                  </w14:solidFill>
                </w14:textFill>
              </w:rPr>
              <w:t>a</w:t>
            </w:r>
            <w:r>
              <w:rPr>
                <w:rFonts w:hint="eastAsia" w:asciiTheme="minorEastAsia" w:hAnsiTheme="minorEastAsia" w:eastAsiaTheme="minorEastAsia" w:cstheme="minorBidi"/>
                <w:color w:val="000000" w:themeColor="text1"/>
                <w:kern w:val="2"/>
                <w:sz w:val="28"/>
                <w:szCs w:val="28"/>
                <w14:textFill>
                  <w14:solidFill>
                    <w14:schemeClr w14:val="tx1"/>
                  </w14:solidFill>
                </w14:textFill>
              </w:rPr>
              <w:t>指冷冻食品在冷库中贮存一段时间后，出现明显的游离态霜晶的现象。</w:t>
            </w:r>
          </w:p>
        </w:tc>
      </w:tr>
    </w:tbl>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2.3.</w:t>
      </w:r>
      <w:bookmarkStart w:id="35" w:name="_Hlk137042232"/>
      <w:r>
        <w:rPr>
          <w:rFonts w:asciiTheme="minorEastAsia" w:hAnsiTheme="minorEastAsia"/>
          <w:b/>
          <w:bCs/>
          <w:color w:val="000000" w:themeColor="text1"/>
          <w:sz w:val="28"/>
          <w:szCs w:val="28"/>
          <w14:textFill>
            <w14:solidFill>
              <w14:schemeClr w14:val="tx1"/>
            </w14:solidFill>
          </w14:textFill>
        </w:rPr>
        <w:t>2</w:t>
      </w:r>
      <w:r>
        <w:rPr>
          <w:rFonts w:hint="eastAsia" w:asciiTheme="minorEastAsia" w:hAnsiTheme="minorEastAsia"/>
          <w:b/>
          <w:bCs/>
          <w:color w:val="000000" w:themeColor="text1"/>
          <w:sz w:val="28"/>
          <w:szCs w:val="28"/>
          <w14:textFill>
            <w14:solidFill>
              <w14:schemeClr w14:val="tx1"/>
            </w14:solidFill>
          </w14:textFill>
        </w:rPr>
        <w:t>蒸煮试验</w:t>
      </w:r>
      <w:bookmarkEnd w:id="35"/>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蒸煮试验应符合表</w:t>
      </w:r>
      <w:r>
        <w:rPr>
          <w:rFonts w:asciiTheme="minorEastAsia" w:hAnsiTheme="minorEastAsia"/>
          <w:color w:val="000000" w:themeColor="text1"/>
          <w:sz w:val="28"/>
          <w:szCs w:val="28"/>
          <w14:textFill>
            <w14:solidFill>
              <w14:schemeClr w14:val="tx1"/>
            </w14:solidFill>
          </w14:textFill>
        </w:rPr>
        <w:t>3</w:t>
      </w:r>
      <w:r>
        <w:rPr>
          <w:rFonts w:hint="eastAsia" w:asciiTheme="minorEastAsia" w:hAnsiTheme="minorEastAsia"/>
          <w:color w:val="000000" w:themeColor="text1"/>
          <w:sz w:val="28"/>
          <w:szCs w:val="28"/>
          <w14:textFill>
            <w14:solidFill>
              <w14:schemeClr w14:val="tx1"/>
            </w14:solidFill>
          </w14:textFill>
        </w:rPr>
        <w:t>的规定。DB37/T 413-2004《冻海水鱼片》中水煮试验要求分了三级，</w:t>
      </w:r>
      <w:r>
        <w:rPr>
          <w:rFonts w:hint="eastAsia" w:ascii="Times New Roman" w:hAnsi="Times New Roman"/>
          <w:bCs/>
          <w:color w:val="000000" w:themeColor="text1"/>
          <w:sz w:val="28"/>
          <w:szCs w:val="28"/>
          <w14:textFill>
            <w14:solidFill>
              <w14:schemeClr w14:val="tx1"/>
            </w14:solidFill>
          </w14:textFill>
        </w:rPr>
        <w:t>经调研发现，三个级别要求复杂难以区分，因此，本标准不再对蒸煮试验进行分级。</w:t>
      </w:r>
    </w:p>
    <w:p>
      <w:pPr>
        <w:pStyle w:val="171"/>
        <w:numPr>
          <w:ilvl w:val="0"/>
          <w:numId w:val="0"/>
        </w:numPr>
        <w:spacing w:before="156" w:after="156"/>
        <w:rPr>
          <w:rFonts w:asciiTheme="minorHAnsi" w:hAnsiTheme="minorHAnsi" w:eastAsiaTheme="minorEastAsia" w:cstheme="minorBidi"/>
          <w:color w:val="000000" w:themeColor="text1"/>
          <w:kern w:val="2"/>
          <w:sz w:val="28"/>
          <w:szCs w:val="28"/>
          <w14:textFill>
            <w14:solidFill>
              <w14:schemeClr w14:val="tx1"/>
            </w14:solidFill>
          </w14:textFill>
        </w:rPr>
      </w:pPr>
      <w:r>
        <w:rPr>
          <w:rFonts w:hint="eastAsia" w:asciiTheme="minorHAnsi" w:hAnsiTheme="minorHAnsi" w:eastAsiaTheme="minorEastAsia" w:cstheme="minorBidi"/>
          <w:color w:val="000000" w:themeColor="text1"/>
          <w:kern w:val="2"/>
          <w:sz w:val="28"/>
          <w:szCs w:val="28"/>
          <w14:textFill>
            <w14:solidFill>
              <w14:schemeClr w14:val="tx1"/>
            </w14:solidFill>
          </w14:textFill>
        </w:rPr>
        <w:t>表</w:t>
      </w:r>
      <w:r>
        <w:rPr>
          <w:rFonts w:asciiTheme="minorHAnsi" w:hAnsiTheme="minorHAnsi" w:eastAsiaTheme="minorEastAsia" w:cstheme="minorBidi"/>
          <w:color w:val="000000" w:themeColor="text1"/>
          <w:kern w:val="2"/>
          <w:sz w:val="28"/>
          <w:szCs w:val="28"/>
          <w14:textFill>
            <w14:solidFill>
              <w14:schemeClr w14:val="tx1"/>
            </w14:solidFill>
          </w14:textFill>
        </w:rPr>
        <w:t xml:space="preserve">3 </w:t>
      </w:r>
      <w:r>
        <w:rPr>
          <w:rFonts w:hint="eastAsia" w:asciiTheme="minorHAnsi" w:hAnsiTheme="minorHAnsi" w:eastAsiaTheme="minorEastAsia" w:cstheme="minorBidi"/>
          <w:color w:val="000000" w:themeColor="text1"/>
          <w:kern w:val="2"/>
          <w:sz w:val="28"/>
          <w:szCs w:val="28"/>
          <w14:textFill>
            <w14:solidFill>
              <w14:schemeClr w14:val="tx1"/>
            </w14:solidFill>
          </w14:textFill>
        </w:rPr>
        <w:t>蒸煮后感官要求</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82"/>
        <w:gridCol w:w="5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227"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项目</w:t>
            </w:r>
          </w:p>
        </w:tc>
        <w:tc>
          <w:tcPr>
            <w:tcW w:w="6343"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227"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蒸煮试验</w:t>
            </w:r>
          </w:p>
        </w:tc>
        <w:tc>
          <w:tcPr>
            <w:tcW w:w="6343" w:type="dxa"/>
            <w:vAlign w:val="center"/>
          </w:tcPr>
          <w:p>
            <w:pPr>
              <w:pStyle w:val="156"/>
              <w:widowControl w:val="0"/>
              <w:ind w:firstLine="280" w:firstLineChars="100"/>
              <w:jc w:val="left"/>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具有其固有的滋味和气味，肌肉组织富有弹性</w:t>
            </w:r>
          </w:p>
        </w:tc>
      </w:tr>
    </w:tbl>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2.4</w:t>
      </w:r>
      <w:r>
        <w:rPr>
          <w:rFonts w:hint="eastAsia" w:asciiTheme="minorEastAsia" w:hAnsiTheme="minorEastAsia"/>
          <w:b/>
          <w:bCs/>
          <w:color w:val="000000" w:themeColor="text1"/>
          <w:sz w:val="28"/>
          <w:szCs w:val="28"/>
          <w14:textFill>
            <w14:solidFill>
              <w14:schemeClr w14:val="tx1"/>
            </w14:solidFill>
          </w14:textFill>
        </w:rPr>
        <w:t>理化指标</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理化指标应符合表</w:t>
      </w:r>
      <w:r>
        <w:rPr>
          <w:rFonts w:asciiTheme="minorEastAsia" w:hAnsiTheme="minorEastAsia"/>
          <w:color w:val="000000" w:themeColor="text1"/>
          <w:sz w:val="28"/>
          <w:szCs w:val="28"/>
          <w14:textFill>
            <w14:solidFill>
              <w14:schemeClr w14:val="tx1"/>
            </w14:solidFill>
          </w14:textFill>
        </w:rPr>
        <w:t>4</w:t>
      </w:r>
      <w:r>
        <w:rPr>
          <w:rFonts w:hint="eastAsia" w:asciiTheme="minorEastAsia" w:hAnsiTheme="minorEastAsia"/>
          <w:color w:val="000000" w:themeColor="text1"/>
          <w:sz w:val="28"/>
          <w:szCs w:val="28"/>
          <w14:textFill>
            <w14:solidFill>
              <w14:schemeClr w14:val="tx1"/>
            </w14:solidFill>
          </w14:textFill>
        </w:rPr>
        <w:t>的规定。</w:t>
      </w:r>
    </w:p>
    <w:p>
      <w:pPr>
        <w:pStyle w:val="171"/>
        <w:numPr>
          <w:ilvl w:val="0"/>
          <w:numId w:val="0"/>
        </w:numPr>
        <w:spacing w:before="156" w:after="156"/>
        <w:rPr>
          <w:rFonts w:asciiTheme="minorHAnsi" w:hAnsiTheme="minorHAnsi" w:eastAsiaTheme="minorEastAsia" w:cstheme="minorBidi"/>
          <w:color w:val="000000" w:themeColor="text1"/>
          <w:kern w:val="2"/>
          <w:sz w:val="28"/>
          <w:szCs w:val="28"/>
          <w14:textFill>
            <w14:solidFill>
              <w14:schemeClr w14:val="tx1"/>
            </w14:solidFill>
          </w14:textFill>
        </w:rPr>
      </w:pPr>
      <w:r>
        <w:rPr>
          <w:rFonts w:hint="eastAsia" w:asciiTheme="minorHAnsi" w:hAnsiTheme="minorHAnsi" w:eastAsiaTheme="minorEastAsia" w:cstheme="minorBidi"/>
          <w:color w:val="000000" w:themeColor="text1"/>
          <w:kern w:val="2"/>
          <w:sz w:val="28"/>
          <w:szCs w:val="28"/>
          <w14:textFill>
            <w14:solidFill>
              <w14:schemeClr w14:val="tx1"/>
            </w14:solidFill>
          </w14:textFill>
        </w:rPr>
        <w:t>表</w:t>
      </w:r>
      <w:r>
        <w:rPr>
          <w:rFonts w:asciiTheme="minorHAnsi" w:hAnsiTheme="minorHAnsi" w:eastAsiaTheme="minorEastAsia" w:cstheme="minorBidi"/>
          <w:color w:val="000000" w:themeColor="text1"/>
          <w:kern w:val="2"/>
          <w:sz w:val="28"/>
          <w:szCs w:val="28"/>
          <w14:textFill>
            <w14:solidFill>
              <w14:schemeClr w14:val="tx1"/>
            </w14:solidFill>
          </w14:textFill>
        </w:rPr>
        <w:t xml:space="preserve">4 </w:t>
      </w:r>
      <w:r>
        <w:rPr>
          <w:rFonts w:hint="eastAsia" w:asciiTheme="minorHAnsi" w:hAnsiTheme="minorHAnsi" w:eastAsiaTheme="minorEastAsia" w:cstheme="minorBidi"/>
          <w:color w:val="000000" w:themeColor="text1"/>
          <w:kern w:val="2"/>
          <w:sz w:val="28"/>
          <w:szCs w:val="28"/>
          <w14:textFill>
            <w14:solidFill>
              <w14:schemeClr w14:val="tx1"/>
            </w14:solidFill>
          </w14:textFill>
        </w:rPr>
        <w:t>理化指标</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50"/>
        <w:gridCol w:w="54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50"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项目</w:t>
            </w:r>
          </w:p>
        </w:tc>
        <w:tc>
          <w:tcPr>
            <w:tcW w:w="5426"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指标</w:t>
            </w:r>
          </w:p>
        </w:tc>
        <w:bookmarkStart w:id="36" w:name="_Hlk137625627"/>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50" w:type="dxa"/>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bookmarkStart w:id="37" w:name="_Hlk137625501"/>
            <w:r>
              <w:rPr>
                <w:rFonts w:hint="eastAsia" w:asciiTheme="minorEastAsia" w:hAnsiTheme="minorEastAsia" w:eastAsiaTheme="minorEastAsia" w:cstheme="minorBidi"/>
                <w:color w:val="000000" w:themeColor="text1"/>
                <w:kern w:val="2"/>
                <w:sz w:val="28"/>
                <w:szCs w:val="28"/>
                <w14:textFill>
                  <w14:solidFill>
                    <w14:schemeClr w14:val="tx1"/>
                  </w14:solidFill>
                </w14:textFill>
              </w:rPr>
              <w:t>冻品中心温</w:t>
            </w:r>
            <w:bookmarkEnd w:id="36"/>
            <w:r>
              <w:rPr>
                <w:rFonts w:hint="eastAsia" w:asciiTheme="minorEastAsia" w:hAnsiTheme="minorEastAsia" w:eastAsiaTheme="minorEastAsia" w:cstheme="minorBidi"/>
                <w:color w:val="000000" w:themeColor="text1"/>
                <w:kern w:val="2"/>
                <w:sz w:val="28"/>
                <w:szCs w:val="28"/>
                <w14:textFill>
                  <w14:solidFill>
                    <w14:schemeClr w14:val="tx1"/>
                  </w14:solidFill>
                </w14:textFill>
              </w:rPr>
              <w:t>度</w:t>
            </w:r>
            <w:bookmarkEnd w:id="37"/>
            <w:r>
              <w:rPr>
                <w:rFonts w:hint="eastAsia" w:asciiTheme="minorEastAsia" w:hAnsiTheme="minorEastAsia" w:eastAsiaTheme="minorEastAsia" w:cstheme="minorBidi"/>
                <w:color w:val="000000" w:themeColor="text1"/>
                <w:kern w:val="2"/>
                <w:sz w:val="28"/>
                <w:szCs w:val="28"/>
                <w14:textFill>
                  <w14:solidFill>
                    <w14:schemeClr w14:val="tx1"/>
                  </w14:solidFill>
                </w14:textFill>
              </w:rPr>
              <w:t>，℃</w:t>
            </w:r>
          </w:p>
        </w:tc>
        <w:tc>
          <w:tcPr>
            <w:tcW w:w="5426"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50" w:type="dxa"/>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水分</w:t>
            </w:r>
            <w:r>
              <w:rPr>
                <w:rFonts w:asciiTheme="minorEastAsia" w:hAnsiTheme="minorEastAsia" w:eastAsiaTheme="minorEastAsia" w:cstheme="minorBidi"/>
                <w:color w:val="000000" w:themeColor="text1"/>
                <w:kern w:val="2"/>
                <w:sz w:val="28"/>
                <w:szCs w:val="28"/>
                <w14:textFill>
                  <w14:solidFill>
                    <w14:schemeClr w14:val="tx1"/>
                  </w14:solidFill>
                </w14:textFill>
              </w:rPr>
              <w:t>,%</w:t>
            </w:r>
          </w:p>
        </w:tc>
        <w:tc>
          <w:tcPr>
            <w:tcW w:w="5426"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bookmarkStart w:id="38" w:name="_Hlk139291681"/>
            <w:r>
              <w:rPr>
                <w:rFonts w:hint="eastAsia" w:asciiTheme="minorEastAsia" w:hAnsiTheme="minorEastAsia" w:eastAsiaTheme="minorEastAsia" w:cstheme="minorBidi"/>
                <w:color w:val="000000" w:themeColor="text1"/>
                <w:kern w:val="2"/>
                <w:sz w:val="28"/>
                <w:szCs w:val="28"/>
                <w14:textFill>
                  <w14:solidFill>
                    <w14:schemeClr w14:val="tx1"/>
                  </w14:solidFill>
                </w14:textFill>
              </w:rPr>
              <w:t>≤8</w:t>
            </w:r>
            <w:r>
              <w:rPr>
                <w:rFonts w:asciiTheme="minorEastAsia" w:hAnsiTheme="minorEastAsia" w:eastAsiaTheme="minorEastAsia" w:cstheme="minorBidi"/>
                <w:color w:val="000000" w:themeColor="text1"/>
                <w:kern w:val="2"/>
                <w:sz w:val="28"/>
                <w:szCs w:val="28"/>
                <w14:textFill>
                  <w14:solidFill>
                    <w14:schemeClr w14:val="tx1"/>
                  </w14:solidFill>
                </w14:textFill>
              </w:rPr>
              <w:t>6</w:t>
            </w:r>
            <w:bookmarkEnd w:id="3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50" w:type="dxa"/>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挥发性盐基氮</w:t>
            </w:r>
          </w:p>
        </w:tc>
        <w:tc>
          <w:tcPr>
            <w:tcW w:w="5426"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bookmarkStart w:id="39" w:name="_Hlk137043430"/>
            <w:r>
              <w:rPr>
                <w:rFonts w:hint="eastAsia" w:asciiTheme="minorEastAsia" w:hAnsiTheme="minorEastAsia" w:eastAsiaTheme="minorEastAsia" w:cstheme="minorBidi"/>
                <w:color w:val="000000" w:themeColor="text1"/>
                <w:kern w:val="2"/>
                <w:sz w:val="28"/>
                <w:szCs w:val="28"/>
                <w14:textFill>
                  <w14:solidFill>
                    <w14:schemeClr w14:val="tx1"/>
                  </w14:solidFill>
                </w14:textFill>
              </w:rPr>
              <w:t>符合GB 2733的规定</w:t>
            </w:r>
            <w:bookmarkEnd w:id="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850" w:type="dxa"/>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组胺</w:t>
            </w:r>
          </w:p>
        </w:tc>
        <w:tc>
          <w:tcPr>
            <w:tcW w:w="5426" w:type="dxa"/>
            <w:vAlign w:val="center"/>
          </w:tcPr>
          <w:p>
            <w:pPr>
              <w:pStyle w:val="156"/>
              <w:widowControl w:val="0"/>
              <w:ind w:firstLine="0" w:firstLineChars="0"/>
              <w:jc w:val="center"/>
              <w:rPr>
                <w:rFonts w:asciiTheme="minorEastAsia" w:hAnsiTheme="minorEastAsia" w:eastAsiaTheme="minorEastAsia" w:cstheme="minorBidi"/>
                <w:color w:val="000000" w:themeColor="text1"/>
                <w:kern w:val="2"/>
                <w:sz w:val="28"/>
                <w:szCs w:val="28"/>
                <w14:textFill>
                  <w14:solidFill>
                    <w14:schemeClr w14:val="tx1"/>
                  </w14:solidFill>
                </w14:textFill>
              </w:rPr>
            </w:pPr>
            <w:r>
              <w:rPr>
                <w:rFonts w:hint="eastAsia" w:asciiTheme="minorEastAsia" w:hAnsiTheme="minorEastAsia" w:eastAsiaTheme="minorEastAsia" w:cstheme="minorBidi"/>
                <w:color w:val="000000" w:themeColor="text1"/>
                <w:kern w:val="2"/>
                <w:sz w:val="28"/>
                <w:szCs w:val="28"/>
                <w14:textFill>
                  <w14:solidFill>
                    <w14:schemeClr w14:val="tx1"/>
                  </w14:solidFill>
                </w14:textFill>
              </w:rPr>
              <w:t>符合GB 2733的规定</w:t>
            </w:r>
          </w:p>
        </w:tc>
      </w:tr>
    </w:tbl>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（1）冻品中心温度</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imes New Roman" w:hAnsi="Times New Roman"/>
          <w:bCs/>
          <w:sz w:val="28"/>
          <w:szCs w:val="28"/>
        </w:rPr>
        <w:t>本标准冻品中心温度指标定为≤-18℃。根据国家标准，冷冻食品的冷冻温度应该在-18℃。这个温度可以有效地防止细菌和微生物的繁殖，从而保证食品的安全性。同时，-18℃以下的温度也可以减缓食品的氧化和腐败，保持食品的营养和口感。并结合GB/T 18109-2011《冻鱼》和SC/T 3115-2022《冻章鱼》中冻品中心温度指标≤-18℃，</w:t>
      </w:r>
      <w:r>
        <w:rPr>
          <w:rFonts w:hint="eastAsia" w:asciiTheme="minorEastAsia" w:hAnsiTheme="minorEastAsia"/>
          <w:color w:val="000000" w:themeColor="text1"/>
          <w:sz w:val="28"/>
          <w:szCs w:val="28"/>
          <w14:textFill>
            <w14:solidFill>
              <w14:schemeClr w14:val="tx1"/>
            </w14:solidFill>
          </w14:textFill>
        </w:rPr>
        <w:t>本标准冻品中心温度定为≤-</w:t>
      </w:r>
      <w:r>
        <w:rPr>
          <w:rFonts w:asciiTheme="minorEastAsia" w:hAnsiTheme="minorEastAsia"/>
          <w:color w:val="000000" w:themeColor="text1"/>
          <w:sz w:val="28"/>
          <w:szCs w:val="28"/>
          <w14:textFill>
            <w14:solidFill>
              <w14:schemeClr w14:val="tx1"/>
            </w14:solidFill>
          </w14:textFill>
        </w:rPr>
        <w:t>18</w:t>
      </w:r>
      <w:r>
        <w:rPr>
          <w:rFonts w:hint="eastAsia" w:asciiTheme="minorEastAsia" w:hAnsiTheme="minorEastAsia"/>
          <w:color w:val="000000" w:themeColor="text1"/>
          <w:sz w:val="28"/>
          <w:szCs w:val="28"/>
          <w14:textFill>
            <w14:solidFill>
              <w14:schemeClr w14:val="tx1"/>
            </w14:solidFill>
          </w14:textFill>
        </w:rPr>
        <w:t>℃。</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（2）水分</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本标准与DB37/T 413-2004《冻海水鱼片》相比，增加了水分指标。冻海水鱼片的水分与产品品质及保质期有极大的关联性，参考GB/T18109-2011《冻鱼》、</w:t>
      </w:r>
      <w:r>
        <w:rPr>
          <w:rFonts w:asciiTheme="minorEastAsia" w:hAnsiTheme="minorEastAsia"/>
          <w:color w:val="000000" w:themeColor="text1"/>
          <w:sz w:val="28"/>
          <w:szCs w:val="28"/>
          <w14:textFill>
            <w14:solidFill>
              <w14:schemeClr w14:val="tx1"/>
            </w14:solidFill>
          </w14:textFill>
        </w:rPr>
        <w:t>CODEX STAN 190-1995</w:t>
      </w:r>
      <w:r>
        <w:rPr>
          <w:rFonts w:hint="eastAsia" w:asciiTheme="minorEastAsia" w:hAnsiTheme="minorEastAsia"/>
          <w:color w:val="000000" w:themeColor="text1"/>
          <w:sz w:val="28"/>
          <w:szCs w:val="28"/>
          <w14:textFill>
            <w14:solidFill>
              <w14:schemeClr w14:val="tx1"/>
            </w14:solidFill>
          </w14:textFill>
        </w:rPr>
        <w:t>《速冻鱼片》等标准定，本标准水分含量定为≤86%。</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3</w:t>
      </w:r>
      <w:r>
        <w:rPr>
          <w:rFonts w:hint="eastAsia" w:asciiTheme="minorEastAsia" w:hAnsiTheme="minorEastAsia"/>
          <w:color w:val="000000" w:themeColor="text1"/>
          <w:sz w:val="28"/>
          <w:szCs w:val="28"/>
          <w14:textFill>
            <w14:solidFill>
              <w14:schemeClr w14:val="tx1"/>
            </w14:solidFill>
          </w14:textFill>
        </w:rPr>
        <w:t>）挥发性盐基氮</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挥发性盐基氮是反映鱼鲜度的主要指标，其含量越高，氨基酸被破坏的越多。GB 2733-</w:t>
      </w:r>
      <w:r>
        <w:rPr>
          <w:rFonts w:asciiTheme="minorEastAsia" w:hAnsiTheme="minorEastAsia"/>
          <w:color w:val="000000" w:themeColor="text1"/>
          <w:sz w:val="28"/>
          <w:szCs w:val="28"/>
          <w14:textFill>
            <w14:solidFill>
              <w14:schemeClr w14:val="tx1"/>
            </w14:solidFill>
          </w14:textFill>
        </w:rPr>
        <w:t>2015</w:t>
      </w:r>
      <w:r>
        <w:rPr>
          <w:rFonts w:hint="eastAsia" w:asciiTheme="minorEastAsia" w:hAnsiTheme="minorEastAsia"/>
          <w:color w:val="000000" w:themeColor="text1"/>
          <w:sz w:val="28"/>
          <w:szCs w:val="28"/>
          <w14:textFill>
            <w14:solidFill>
              <w14:schemeClr w14:val="tx1"/>
            </w14:solidFill>
          </w14:textFill>
        </w:rPr>
        <w:t>《食品安全国家标准  鲜、冻动物性水产品》规定海水鱼虾挥发性盐基氮≤</w:t>
      </w:r>
      <w:r>
        <w:rPr>
          <w:rFonts w:asciiTheme="minorEastAsia" w:hAnsiTheme="minorEastAsia"/>
          <w:color w:val="000000" w:themeColor="text1"/>
          <w:sz w:val="28"/>
          <w:szCs w:val="28"/>
          <w14:textFill>
            <w14:solidFill>
              <w14:schemeClr w14:val="tx1"/>
            </w14:solidFill>
          </w14:textFill>
        </w:rPr>
        <w:t>3</w:t>
      </w:r>
      <w:r>
        <w:rPr>
          <w:rFonts w:hint="eastAsia" w:asciiTheme="minorEastAsia" w:hAnsiTheme="minorEastAsia"/>
          <w:color w:val="000000" w:themeColor="text1"/>
          <w:sz w:val="28"/>
          <w:szCs w:val="28"/>
          <w14:textFill>
            <w14:solidFill>
              <w14:schemeClr w14:val="tx1"/>
            </w14:solidFill>
          </w14:textFill>
        </w:rPr>
        <w:t>0 mg/100g。</w:t>
      </w:r>
      <w:bookmarkStart w:id="40" w:name="_Hlk139373050"/>
      <w:r>
        <w:rPr>
          <w:rFonts w:hint="eastAsia" w:asciiTheme="minorEastAsia" w:hAnsiTheme="minorEastAsia"/>
          <w:color w:val="000000" w:themeColor="text1"/>
          <w:sz w:val="28"/>
          <w:szCs w:val="28"/>
          <w14:textFill>
            <w14:solidFill>
              <w14:schemeClr w14:val="tx1"/>
            </w14:solidFill>
          </w14:textFill>
        </w:rPr>
        <w:t>通过收集冻海水鱼片样品检测发现，</w:t>
      </w:r>
      <w:bookmarkEnd w:id="40"/>
      <w:r>
        <w:rPr>
          <w:rFonts w:hint="eastAsia" w:asciiTheme="minorEastAsia" w:hAnsiTheme="minorEastAsia"/>
          <w:color w:val="000000" w:themeColor="text1"/>
          <w:sz w:val="28"/>
          <w:szCs w:val="28"/>
          <w14:textFill>
            <w14:solidFill>
              <w14:schemeClr w14:val="tx1"/>
            </w14:solidFill>
          </w14:textFill>
        </w:rPr>
        <w:t>挥发性盐基氮含量小于15 mg/100g的样品</w:t>
      </w:r>
      <w:r>
        <w:rPr>
          <w:rFonts w:asciiTheme="minorEastAsia" w:hAnsiTheme="minorEastAsia"/>
          <w:color w:val="000000" w:themeColor="text1"/>
          <w:sz w:val="28"/>
          <w:szCs w:val="28"/>
          <w14:textFill>
            <w14:solidFill>
              <w14:schemeClr w14:val="tx1"/>
            </w14:solidFill>
          </w14:textFill>
        </w:rPr>
        <w:t>12</w:t>
      </w:r>
      <w:r>
        <w:rPr>
          <w:rFonts w:hint="eastAsia" w:asciiTheme="minorEastAsia" w:hAnsiTheme="minorEastAsia"/>
          <w:color w:val="000000" w:themeColor="text1"/>
          <w:sz w:val="28"/>
          <w:szCs w:val="28"/>
          <w14:textFill>
            <w14:solidFill>
              <w14:schemeClr w14:val="tx1"/>
            </w14:solidFill>
          </w14:textFill>
        </w:rPr>
        <w:t>个，占比</w:t>
      </w:r>
      <w:r>
        <w:rPr>
          <w:rFonts w:asciiTheme="minorEastAsia" w:hAnsiTheme="minorEastAsia"/>
          <w:color w:val="000000" w:themeColor="text1"/>
          <w:sz w:val="28"/>
          <w:szCs w:val="28"/>
          <w14:textFill>
            <w14:solidFill>
              <w14:schemeClr w14:val="tx1"/>
            </w14:solidFill>
          </w14:textFill>
        </w:rPr>
        <w:t>91.6</w:t>
      </w:r>
      <w:r>
        <w:rPr>
          <w:rFonts w:hint="eastAsia" w:asciiTheme="minorEastAsia" w:hAnsiTheme="minorEastAsia"/>
          <w:color w:val="000000" w:themeColor="text1"/>
          <w:sz w:val="28"/>
          <w:szCs w:val="28"/>
          <w14:textFill>
            <w14:solidFill>
              <w14:schemeClr w14:val="tx1"/>
            </w14:solidFill>
          </w14:textFill>
        </w:rPr>
        <w:t>%；小于30 mg/100g的样品</w:t>
      </w:r>
      <w:r>
        <w:rPr>
          <w:rFonts w:asciiTheme="minorEastAsia" w:hAnsiTheme="minorEastAsia"/>
          <w:color w:val="000000" w:themeColor="text1"/>
          <w:sz w:val="28"/>
          <w:szCs w:val="28"/>
          <w14:textFill>
            <w14:solidFill>
              <w14:schemeClr w14:val="tx1"/>
            </w14:solidFill>
          </w14:textFill>
        </w:rPr>
        <w:t>12</w:t>
      </w:r>
      <w:r>
        <w:rPr>
          <w:rFonts w:hint="eastAsia" w:asciiTheme="minorEastAsia" w:hAnsiTheme="minorEastAsia"/>
          <w:color w:val="000000" w:themeColor="text1"/>
          <w:sz w:val="28"/>
          <w:szCs w:val="28"/>
          <w14:textFill>
            <w14:solidFill>
              <w14:schemeClr w14:val="tx1"/>
            </w14:solidFill>
          </w14:textFill>
        </w:rPr>
        <w:t>个，占比</w:t>
      </w:r>
      <w:r>
        <w:rPr>
          <w:rFonts w:asciiTheme="minorEastAsia" w:hAnsiTheme="minorEastAsia"/>
          <w:color w:val="000000" w:themeColor="text1"/>
          <w:sz w:val="28"/>
          <w:szCs w:val="28"/>
          <w14:textFill>
            <w14:solidFill>
              <w14:schemeClr w14:val="tx1"/>
            </w14:solidFill>
          </w14:textFill>
        </w:rPr>
        <w:t>100</w:t>
      </w:r>
      <w:r>
        <w:rPr>
          <w:rFonts w:hint="eastAsia" w:asciiTheme="minorEastAsia" w:hAnsiTheme="minorEastAsia"/>
          <w:color w:val="000000" w:themeColor="text1"/>
          <w:sz w:val="28"/>
          <w:szCs w:val="28"/>
          <w14:textFill>
            <w14:solidFill>
              <w14:schemeClr w14:val="tx1"/>
            </w14:solidFill>
          </w14:textFill>
        </w:rPr>
        <w:t>%。本标准的挥发性盐基氮规定应符合GB 2733《食品安全国家标准  鲜、冻动物性水产品》的要求，不再列出具体数值。</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4</w:t>
      </w:r>
      <w:r>
        <w:rPr>
          <w:rFonts w:hint="eastAsia" w:asciiTheme="minorEastAsia" w:hAnsiTheme="minorEastAsia"/>
          <w:color w:val="000000" w:themeColor="text1"/>
          <w:sz w:val="28"/>
          <w:szCs w:val="28"/>
          <w14:textFill>
            <w14:solidFill>
              <w14:schemeClr w14:val="tx1"/>
            </w14:solidFill>
          </w14:textFill>
        </w:rPr>
        <w:t>）组胺</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本标准与DB37/T 413-2004《冻海水鱼片》相比，增加了组胺的限量指标。组胺是鱼体中游离组氨酸在组胺酸脱羧酶催化下，发生脱羧反应而形成的一种胺类，组胺中毒是水产食品存在的主要安全问题之一。GB 2733-2015《食品安全国家标准  鲜、冻动物性水产品》分别规定组胺含量：高组胺鱼类（鲐鱼、鲹鱼、竹荚鱼、鲭鱼、鲣鱼、金枪鱼、秋刀鱼、马鲛鱼、青占鱼、沙丁鱼等青皮红肉海水鱼）≤40 mg/100g和其他海水鱼类≤20 mg/100g。通过收集冻海水鱼片样品检测发现，1</w:t>
      </w:r>
      <w:r>
        <w:rPr>
          <w:rFonts w:asciiTheme="minorEastAsia" w:hAnsiTheme="minorEastAsia"/>
          <w:color w:val="000000" w:themeColor="text1"/>
          <w:sz w:val="28"/>
          <w:szCs w:val="28"/>
          <w14:textFill>
            <w14:solidFill>
              <w14:schemeClr w14:val="tx1"/>
            </w14:solidFill>
          </w14:textFill>
        </w:rPr>
        <w:t>0</w:t>
      </w:r>
      <w:r>
        <w:rPr>
          <w:rFonts w:hint="eastAsia" w:asciiTheme="minorEastAsia" w:hAnsiTheme="minorEastAsia"/>
          <w:color w:val="000000" w:themeColor="text1"/>
          <w:sz w:val="28"/>
          <w:szCs w:val="28"/>
          <w14:textFill>
            <w14:solidFill>
              <w14:schemeClr w14:val="tx1"/>
            </w14:solidFill>
          </w14:textFill>
        </w:rPr>
        <w:t>个样品均未检出组胺。本标准组胺应符合GB 2733《食品安全国家标准  鲜、冻动物性水产品》的规定。</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5</w:t>
      </w:r>
      <w:r>
        <w:rPr>
          <w:rFonts w:hint="eastAsia" w:asciiTheme="minorEastAsia" w:hAnsiTheme="minorEastAsia"/>
          <w:color w:val="000000" w:themeColor="text1"/>
          <w:sz w:val="28"/>
          <w:szCs w:val="28"/>
          <w14:textFill>
            <w14:solidFill>
              <w14:schemeClr w14:val="tx1"/>
            </w14:solidFill>
          </w14:textFill>
        </w:rPr>
        <w:t>）删除了</w:t>
      </w:r>
      <w:bookmarkStart w:id="41" w:name="_Hlk137043322"/>
      <w:r>
        <w:rPr>
          <w:rFonts w:hint="eastAsia" w:asciiTheme="minorEastAsia" w:hAnsiTheme="minorEastAsia"/>
          <w:color w:val="000000" w:themeColor="text1"/>
          <w:sz w:val="28"/>
          <w:szCs w:val="28"/>
          <w14:textFill>
            <w14:solidFill>
              <w14:schemeClr w14:val="tx1"/>
            </w14:solidFill>
          </w14:textFill>
        </w:rPr>
        <w:t>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w:t>
      </w:r>
      <w:bookmarkEnd w:id="41"/>
      <w:r>
        <w:rPr>
          <w:rFonts w:hint="eastAsia" w:asciiTheme="minorEastAsia" w:hAnsiTheme="minorEastAsia"/>
          <w:color w:val="000000" w:themeColor="text1"/>
          <w:sz w:val="28"/>
          <w:szCs w:val="28"/>
          <w14:textFill>
            <w14:solidFill>
              <w14:schemeClr w14:val="tx1"/>
            </w14:solidFill>
          </w14:textFill>
        </w:rPr>
        <w:t>中关于磷酸盐指标的要求。磷酸盐是一种食品添加剂，本标准已明确要求生产中所使用食品添加剂的品种和用量应符合GB 2760《食品安全国家标准  食品添加剂使用标准》的规定，因此，不再在理化指标中进行规定。</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6</w:t>
      </w:r>
      <w:r>
        <w:rPr>
          <w:rFonts w:hint="eastAsia" w:asciiTheme="minorEastAsia" w:hAnsiTheme="minorEastAsia"/>
          <w:color w:val="000000" w:themeColor="text1"/>
          <w:sz w:val="28"/>
          <w:szCs w:val="28"/>
          <w14:textFill>
            <w14:solidFill>
              <w14:schemeClr w14:val="tx1"/>
            </w14:solidFill>
          </w14:textFill>
        </w:rPr>
        <w:t>）删除了DB37/T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413-2004《冻海水鱼片》中不合格小鱼片数的要求。调研中发现很多小鱼开片作为产品出售，如冰鱼、红头鱼等，且多数规格小于25g，因此不再对不合格小鱼片数进行规定。</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2.5</w:t>
      </w:r>
      <w:r>
        <w:rPr>
          <w:rFonts w:hint="eastAsia" w:asciiTheme="minorEastAsia" w:hAnsiTheme="minorEastAsia"/>
          <w:b/>
          <w:bCs/>
          <w:color w:val="000000" w:themeColor="text1"/>
          <w:sz w:val="28"/>
          <w:szCs w:val="28"/>
          <w14:textFill>
            <w14:solidFill>
              <w14:schemeClr w14:val="tx1"/>
            </w14:solidFill>
          </w14:textFill>
        </w:rPr>
        <w:t>安全指标</w:t>
      </w:r>
    </w:p>
    <w:p>
      <w:pPr>
        <w:spacing w:line="276" w:lineRule="auto"/>
        <w:ind w:firstLine="562" w:firstLineChars="20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本标准要求：</w:t>
      </w:r>
      <w:r>
        <w:rPr>
          <w:rFonts w:hint="eastAsia" w:asciiTheme="minorEastAsia" w:hAnsiTheme="minorEastAsia"/>
          <w:bCs/>
          <w:color w:val="000000" w:themeColor="text1"/>
          <w:sz w:val="28"/>
          <w:szCs w:val="28"/>
          <w14:textFill>
            <w14:solidFill>
              <w14:schemeClr w14:val="tx1"/>
            </w14:solidFill>
          </w14:textFill>
        </w:rPr>
        <w:t>安全指标应符合GB 2733 的规定。</w:t>
      </w:r>
      <w:bookmarkStart w:id="42" w:name="_Hlk138083937"/>
    </w:p>
    <w:p>
      <w:pPr>
        <w:spacing w:line="276" w:lineRule="auto"/>
        <w:ind w:firstLine="560" w:firstLineChars="20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GB 2733-</w:t>
      </w:r>
      <w:r>
        <w:rPr>
          <w:rFonts w:asciiTheme="minorEastAsia" w:hAnsiTheme="minorEastAsia"/>
          <w:bCs/>
          <w:color w:val="000000" w:themeColor="text1"/>
          <w:sz w:val="28"/>
          <w:szCs w:val="28"/>
          <w14:textFill>
            <w14:solidFill>
              <w14:schemeClr w14:val="tx1"/>
            </w14:solidFill>
          </w14:textFill>
        </w:rPr>
        <w:t>2015</w:t>
      </w:r>
      <w:r>
        <w:rPr>
          <w:rFonts w:hint="eastAsia" w:asciiTheme="minorEastAsia" w:hAnsiTheme="minorEastAsia"/>
          <w:bCs/>
          <w:color w:val="000000" w:themeColor="text1"/>
          <w:sz w:val="28"/>
          <w:szCs w:val="28"/>
          <w14:textFill>
            <w14:solidFill>
              <w14:schemeClr w14:val="tx1"/>
            </w14:solidFill>
          </w14:textFill>
        </w:rPr>
        <w:t>《鲜、冻动物性水产品》</w:t>
      </w:r>
      <w:bookmarkEnd w:id="42"/>
      <w:r>
        <w:rPr>
          <w:rFonts w:hint="eastAsia" w:asciiTheme="minorEastAsia" w:hAnsiTheme="minorEastAsia"/>
          <w:bCs/>
          <w:color w:val="000000" w:themeColor="text1"/>
          <w:sz w:val="28"/>
          <w:szCs w:val="28"/>
          <w14:textFill>
            <w14:solidFill>
              <w14:schemeClr w14:val="tx1"/>
            </w14:solidFill>
          </w14:textFill>
        </w:rPr>
        <w:t>关于安全指标的要求有：污染物限量应符合GB 2762（含检验方法）的规定；农药残留限量符合GB 2763（含检验方法）的规定；兽药残留应符合国家有关规定和公告；无微生物限量要求。</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bookmarkStart w:id="43" w:name="_Hlk138080350"/>
      <w:r>
        <w:rPr>
          <w:rFonts w:hint="eastAsia" w:asciiTheme="minorEastAsia" w:hAnsiTheme="minorEastAsia"/>
          <w:b/>
          <w:bCs/>
          <w:color w:val="000000" w:themeColor="text1"/>
          <w:sz w:val="28"/>
          <w:szCs w:val="28"/>
          <w14:textFill>
            <w14:solidFill>
              <w14:schemeClr w14:val="tx1"/>
            </w14:solidFill>
          </w14:textFill>
        </w:rPr>
        <w:t>（1）污染物、农药、兽药指标</w:t>
      </w:r>
    </w:p>
    <w:p>
      <w:pPr>
        <w:spacing w:line="276" w:lineRule="auto"/>
        <w:ind w:firstLine="560" w:firstLineChars="20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413-2004《冻海水鱼片》中</w:t>
      </w:r>
      <w:bookmarkEnd w:id="43"/>
      <w:r>
        <w:rPr>
          <w:rFonts w:hint="eastAsia" w:asciiTheme="minorEastAsia" w:hAnsiTheme="minorEastAsia"/>
          <w:color w:val="000000" w:themeColor="text1"/>
          <w:sz w:val="28"/>
          <w:szCs w:val="28"/>
          <w14:textFill>
            <w14:solidFill>
              <w14:schemeClr w14:val="tx1"/>
            </w14:solidFill>
          </w14:textFill>
        </w:rPr>
        <w:t>没有对农兽药的限量要求，且对污染物只规定了</w:t>
      </w:r>
      <w:bookmarkStart w:id="44" w:name="_Hlk138080130"/>
      <w:r>
        <w:rPr>
          <w:rFonts w:hint="eastAsia" w:asciiTheme="minorEastAsia" w:hAnsiTheme="minorEastAsia"/>
          <w:color w:val="000000" w:themeColor="text1"/>
          <w:sz w:val="28"/>
          <w:szCs w:val="28"/>
          <w14:textFill>
            <w14:solidFill>
              <w14:schemeClr w14:val="tx1"/>
            </w14:solidFill>
          </w14:textFill>
        </w:rPr>
        <w:t>无机砷和甲基汞</w:t>
      </w:r>
      <w:bookmarkEnd w:id="44"/>
      <w:r>
        <w:rPr>
          <w:rFonts w:hint="eastAsia" w:asciiTheme="minorEastAsia" w:hAnsiTheme="minorEastAsia"/>
          <w:color w:val="000000" w:themeColor="text1"/>
          <w:sz w:val="28"/>
          <w:szCs w:val="28"/>
          <w14:textFill>
            <w14:solidFill>
              <w14:schemeClr w14:val="tx1"/>
            </w14:solidFill>
          </w14:textFill>
        </w:rPr>
        <w:t>的限量指标，而根据现行GB 2762-2022《食品安全国家标准 食品中污染物限量》的最新规定中对鲜冻鱼类产品的污染物指标进行了更精细的划分，分别规定了非肉食性鱼类和肉食性鱼类的污染物限量，指标与限量都发生改变，DB37/T 413-2004《冻海水鱼片》中规定：无机砷（以 As 计）≤0.5 mg/kg、甲基汞（以 Hg 计）≤0.5 mg/kg，而GB 2762-2022《食品安全国家标准 食品中污染物限量》对这两个指标的限量分别是：无机砷≤0.1mg/kg，甲基汞（非肉食性鱼类）≤0.5mg/kg，肉食性鱼类的甲基汞限量也根据鱼的种类分别进行了规定；除了无机砷和甲基汞的限量改变外，还规定了铅、镉、铬、多氯联苯、锡等污染物指标的限量。</w:t>
      </w:r>
    </w:p>
    <w:p>
      <w:pPr>
        <w:spacing w:line="276" w:lineRule="auto"/>
        <w:ind w:firstLine="555"/>
        <w:rPr>
          <w:rFonts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（2）微生物指标</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DB37/T 413-2004《冻海水鱼片》中还规定了菌落总数、大肠菌群、沙门氏菌三个微生物限量指标，然而，冻海水鱼片为生冷冻非即食产品，现行的GB 2733-2015《鲜、冻动物性水产品》、GB 10136-2015《食品安全国家标准  动物性水产制品》、</w:t>
      </w:r>
      <w:bookmarkStart w:id="45" w:name="_Hlk138084866"/>
      <w:r>
        <w:rPr>
          <w:rFonts w:hint="eastAsia" w:asciiTheme="minorEastAsia" w:hAnsiTheme="minorEastAsia"/>
          <w:bCs/>
          <w:color w:val="000000" w:themeColor="text1"/>
          <w:sz w:val="28"/>
          <w:szCs w:val="28"/>
          <w14:textFill>
            <w14:solidFill>
              <w14:schemeClr w14:val="tx1"/>
            </w14:solidFill>
          </w14:textFill>
        </w:rPr>
        <w:t>GB 29921-2013《食品安全国家标准  食品中致病菌限量》</w:t>
      </w:r>
      <w:bookmarkEnd w:id="45"/>
      <w:r>
        <w:rPr>
          <w:rFonts w:hint="eastAsia" w:asciiTheme="minorEastAsia" w:hAnsiTheme="minorEastAsia"/>
          <w:bCs/>
          <w:color w:val="000000" w:themeColor="text1"/>
          <w:sz w:val="28"/>
          <w:szCs w:val="28"/>
          <w14:textFill>
            <w14:solidFill>
              <w14:schemeClr w14:val="tx1"/>
            </w14:solidFill>
          </w14:textFill>
        </w:rPr>
        <w:t>中都没有此类产品的微生物限量要求，所以本标准无微生物要求。</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GB 29921-2013《食品安全国家标准  食品中致病菌限量》2.1规定：无论是否规定致病菌含量，食品生产、加工、经营者均应采取控制措施，尽可能降低食品中的致病菌含量水平及导致风险的可能性。依据本条，</w:t>
      </w:r>
      <w:r>
        <w:rPr>
          <w:rFonts w:hint="eastAsia" w:asciiTheme="minorEastAsia" w:hAnsiTheme="minorEastAsia"/>
          <w:b/>
          <w:bCs/>
          <w:color w:val="000000" w:themeColor="text1"/>
          <w:sz w:val="28"/>
          <w:szCs w:val="28"/>
          <w14:textFill>
            <w14:solidFill>
              <w14:schemeClr w14:val="tx1"/>
            </w14:solidFill>
          </w14:textFill>
        </w:rPr>
        <w:t>本标准</w:t>
      </w:r>
      <w:r>
        <w:rPr>
          <w:rFonts w:hint="eastAsia" w:asciiTheme="minorEastAsia" w:hAnsiTheme="minorEastAsia"/>
          <w:bCs/>
          <w:color w:val="000000" w:themeColor="text1"/>
          <w:sz w:val="28"/>
          <w:szCs w:val="28"/>
          <w14:textFill>
            <w14:solidFill>
              <w14:schemeClr w14:val="tx1"/>
            </w14:solidFill>
          </w14:textFill>
        </w:rPr>
        <w:t>要求企业生产条件应符合GB 20941的规定以控制产品卫生。GB 20941-2016第8章为“生产过程的食品安全控制”，对加工过程的微生物控制有要求。</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可见，DB37/T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413-2004《冻海水鱼片》中的安全卫生指标指标已经不再适用。另外，</w:t>
      </w:r>
      <w:r>
        <w:rPr>
          <w:rFonts w:hint="eastAsia" w:asciiTheme="minorEastAsia" w:hAnsiTheme="minorEastAsia"/>
          <w:bCs/>
          <w:color w:val="000000" w:themeColor="text1"/>
          <w:sz w:val="28"/>
          <w:szCs w:val="28"/>
          <w14:textFill>
            <w14:solidFill>
              <w14:schemeClr w14:val="tx1"/>
            </w14:solidFill>
          </w14:textFill>
        </w:rPr>
        <w:t>根据《中华人民共和国食品安全法》的规定，食品中的安全指标应符合相应食品安全国家标准的规定，因此本标准规定安全指标应符合GB 2733的规定，不再一一列出产品中污染物、微生物等安全指标。</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 xml:space="preserve">2.6 </w:t>
      </w:r>
      <w:r>
        <w:rPr>
          <w:rFonts w:hint="eastAsia" w:asciiTheme="minorEastAsia" w:hAnsiTheme="minorEastAsia"/>
          <w:b/>
          <w:bCs/>
          <w:color w:val="000000" w:themeColor="text1"/>
          <w:sz w:val="28"/>
          <w:szCs w:val="28"/>
          <w14:textFill>
            <w14:solidFill>
              <w14:schemeClr w14:val="tx1"/>
            </w14:solidFill>
          </w14:textFill>
        </w:rPr>
        <w:t>冰衣限量</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与</w:t>
      </w:r>
      <w:bookmarkStart w:id="46" w:name="_Hlk137625632"/>
      <w:r>
        <w:rPr>
          <w:rFonts w:hint="eastAsia" w:asciiTheme="minorEastAsia" w:hAnsiTheme="minorEastAsia"/>
          <w:color w:val="000000" w:themeColor="text1"/>
          <w:sz w:val="28"/>
          <w:szCs w:val="28"/>
          <w14:textFill>
            <w14:solidFill>
              <w14:schemeClr w14:val="tx1"/>
            </w14:solidFill>
          </w14:textFill>
        </w:rPr>
        <w:t>DB37/T</w:t>
      </w:r>
      <w:r>
        <w:rPr>
          <w:rFonts w:asciiTheme="minorEastAsia" w:hAnsiTheme="minorEastAsia"/>
          <w:color w:val="000000" w:themeColor="text1"/>
          <w:sz w:val="28"/>
          <w:szCs w:val="28"/>
          <w14:textFill>
            <w14:solidFill>
              <w14:schemeClr w14:val="tx1"/>
            </w14:solidFill>
          </w14:textFill>
        </w:rPr>
        <w:t xml:space="preserve"> </w:t>
      </w:r>
      <w:r>
        <w:rPr>
          <w:rFonts w:hint="eastAsia" w:asciiTheme="minorEastAsia" w:hAnsiTheme="minorEastAsia"/>
          <w:color w:val="000000" w:themeColor="text1"/>
          <w:sz w:val="28"/>
          <w:szCs w:val="28"/>
          <w14:textFill>
            <w14:solidFill>
              <w14:schemeClr w14:val="tx1"/>
            </w14:solidFill>
          </w14:textFill>
        </w:rPr>
        <w:t>413-2004《冻海水鱼片》</w:t>
      </w:r>
      <w:bookmarkEnd w:id="46"/>
      <w:r>
        <w:rPr>
          <w:rFonts w:hint="eastAsia" w:asciiTheme="minorEastAsia" w:hAnsiTheme="minorEastAsia"/>
          <w:color w:val="000000" w:themeColor="text1"/>
          <w:sz w:val="28"/>
          <w:szCs w:val="28"/>
          <w14:textFill>
            <w14:solidFill>
              <w14:schemeClr w14:val="tx1"/>
            </w14:solidFill>
          </w14:textFill>
        </w:rPr>
        <w:t>相比，增加了散装称重销售的单冻产品冰衣限量符合SC/T 3054《冷冻水产品冰衣限量》的规定。冰衣可以对产品起到保护作用，但冰衣的薄厚影响着购买心理和消费者合法权益，SC/T 3054-</w:t>
      </w:r>
      <w:r>
        <w:rPr>
          <w:rFonts w:asciiTheme="minorEastAsia" w:hAnsiTheme="minorEastAsia"/>
          <w:color w:val="000000" w:themeColor="text1"/>
          <w:sz w:val="28"/>
          <w:szCs w:val="28"/>
          <w14:textFill>
            <w14:solidFill>
              <w14:schemeClr w14:val="tx1"/>
            </w14:solidFill>
          </w14:textFill>
        </w:rPr>
        <w:t>2020</w:t>
      </w:r>
      <w:r>
        <w:rPr>
          <w:rFonts w:hint="eastAsia" w:asciiTheme="minorEastAsia" w:hAnsiTheme="minorEastAsia"/>
          <w:color w:val="000000" w:themeColor="text1"/>
          <w:sz w:val="28"/>
          <w:szCs w:val="28"/>
          <w14:textFill>
            <w14:solidFill>
              <w14:schemeClr w14:val="tx1"/>
            </w14:solidFill>
          </w14:textFill>
        </w:rPr>
        <w:t>《冷冻水产品冰衣限量》规定：冻鱼及其制品（规格≤100 g）的冰衣限量≤2</w:t>
      </w:r>
      <w:r>
        <w:rPr>
          <w:rFonts w:asciiTheme="minorEastAsia" w:hAnsiTheme="minorEastAsia"/>
          <w:color w:val="000000" w:themeColor="text1"/>
          <w:sz w:val="28"/>
          <w:szCs w:val="28"/>
          <w14:textFill>
            <w14:solidFill>
              <w14:schemeClr w14:val="tx1"/>
            </w14:solidFill>
          </w14:textFill>
        </w:rPr>
        <w:t>0</w:t>
      </w:r>
      <w:r>
        <w:rPr>
          <w:rFonts w:hint="eastAsia" w:asciiTheme="minorEastAsia" w:hAnsiTheme="minorEastAsia"/>
          <w:color w:val="000000" w:themeColor="text1"/>
          <w:sz w:val="28"/>
          <w:szCs w:val="28"/>
          <w14:textFill>
            <w14:solidFill>
              <w14:schemeClr w14:val="tx1"/>
            </w14:solidFill>
          </w14:textFill>
        </w:rPr>
        <w:t>%，冻鱼及其制品（规格≥100 g）的冰衣限量≤</w:t>
      </w:r>
      <w:r>
        <w:rPr>
          <w:rFonts w:asciiTheme="minorEastAsia" w:hAnsiTheme="minorEastAsia"/>
          <w:color w:val="000000" w:themeColor="text1"/>
          <w:sz w:val="28"/>
          <w:szCs w:val="28"/>
          <w14:textFill>
            <w14:solidFill>
              <w14:schemeClr w14:val="tx1"/>
            </w14:solidFill>
          </w14:textFill>
        </w:rPr>
        <w:t>15</w:t>
      </w:r>
      <w:r>
        <w:rPr>
          <w:rFonts w:hint="eastAsia" w:asciiTheme="minorEastAsia" w:hAnsiTheme="minorEastAsia"/>
          <w:color w:val="000000" w:themeColor="text1"/>
          <w:sz w:val="28"/>
          <w:szCs w:val="28"/>
          <w14:textFill>
            <w14:solidFill>
              <w14:schemeClr w14:val="tx1"/>
            </w14:solidFill>
          </w14:textFill>
        </w:rPr>
        <w:t>%。</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w:t>
      </w:r>
      <w:r>
        <w:rPr>
          <w:rFonts w:hint="eastAsia" w:ascii="Times New Roman" w:hAnsi="Times New Roman"/>
          <w:b/>
          <w:bCs/>
          <w:color w:val="000000" w:themeColor="text1"/>
          <w:sz w:val="28"/>
          <w:szCs w:val="28"/>
          <w14:textFill>
            <w14:solidFill>
              <w14:schemeClr w14:val="tx1"/>
            </w14:solidFill>
          </w14:textFill>
        </w:rPr>
        <w:t>、</w:t>
      </w:r>
      <w:r>
        <w:rPr>
          <w:rFonts w:ascii="Times New Roman" w:hAnsi="Times New Roman"/>
          <w:b/>
          <w:bCs/>
          <w:color w:val="000000" w:themeColor="text1"/>
          <w:sz w:val="28"/>
          <w:szCs w:val="28"/>
          <w14:textFill>
            <w14:solidFill>
              <w14:schemeClr w14:val="tx1"/>
            </w14:solidFill>
          </w14:textFill>
        </w:rPr>
        <w:t xml:space="preserve"> </w:t>
      </w:r>
      <w:r>
        <w:rPr>
          <w:rFonts w:hint="eastAsia" w:ascii="Times New Roman" w:hAnsi="Times New Roman"/>
          <w:b/>
          <w:bCs/>
          <w:color w:val="000000" w:themeColor="text1"/>
          <w:sz w:val="28"/>
          <w:szCs w:val="28"/>
          <w14:textFill>
            <w14:solidFill>
              <w14:schemeClr w14:val="tx1"/>
            </w14:solidFill>
          </w14:textFill>
        </w:rPr>
        <w:t>试验</w:t>
      </w:r>
      <w:r>
        <w:rPr>
          <w:rFonts w:ascii="Times New Roman" w:hAnsi="Times New Roman"/>
          <w:b/>
          <w:bCs/>
          <w:color w:val="000000" w:themeColor="text1"/>
          <w:sz w:val="28"/>
          <w:szCs w:val="28"/>
          <w14:textFill>
            <w14:solidFill>
              <w14:schemeClr w14:val="tx1"/>
            </w14:solidFill>
          </w14:textFill>
        </w:rPr>
        <w:t>方法</w:t>
      </w:r>
      <w:r>
        <w:rPr>
          <w:rFonts w:hint="eastAsia" w:ascii="Times New Roman" w:hAnsi="Times New Roman"/>
          <w:b/>
          <w:bCs/>
          <w:color w:val="000000" w:themeColor="text1"/>
          <w:sz w:val="28"/>
          <w:szCs w:val="28"/>
          <w14:textFill>
            <w14:solidFill>
              <w14:schemeClr w14:val="tx1"/>
            </w14:solidFill>
          </w14:textFill>
        </w:rPr>
        <w:t xml:space="preserve"> </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w:t>
      </w:r>
      <w:r>
        <w:rPr>
          <w:rFonts w:hint="eastAsia" w:ascii="Times New Roman" w:hAnsi="Times New Roman"/>
          <w:b/>
          <w:bCs/>
          <w:color w:val="000000" w:themeColor="text1"/>
          <w:sz w:val="28"/>
          <w:szCs w:val="28"/>
          <w14:textFill>
            <w14:solidFill>
              <w14:schemeClr w14:val="tx1"/>
            </w14:solidFill>
          </w14:textFill>
        </w:rPr>
        <w:t>.1　感官检验</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3.1.1</w:t>
      </w:r>
      <w:r>
        <w:rPr>
          <w:rFonts w:hint="eastAsia" w:ascii="Times New Roman" w:hAnsi="Times New Roman"/>
          <w:b/>
          <w:bCs/>
          <w:color w:val="000000" w:themeColor="text1"/>
          <w:sz w:val="28"/>
          <w:szCs w:val="28"/>
          <w14:textFill>
            <w14:solidFill>
              <w14:schemeClr w14:val="tx1"/>
            </w14:solidFill>
          </w14:textFill>
        </w:rPr>
        <w:t>冻品检验</w:t>
      </w:r>
    </w:p>
    <w:p>
      <w:pPr>
        <w:spacing w:line="276" w:lineRule="auto"/>
        <w:ind w:firstLine="57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将样品置于洁净的白色托盘内，在光线充足、无异味的环境中按表1的要求逐项检验。</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3.1.2 </w:t>
      </w:r>
      <w:r>
        <w:rPr>
          <w:rFonts w:hint="eastAsia" w:ascii="Times New Roman" w:hAnsi="Times New Roman"/>
          <w:b/>
          <w:bCs/>
          <w:color w:val="000000" w:themeColor="text1"/>
          <w:sz w:val="28"/>
          <w:szCs w:val="28"/>
          <w14:textFill>
            <w14:solidFill>
              <w14:schemeClr w14:val="tx1"/>
            </w14:solidFill>
          </w14:textFill>
        </w:rPr>
        <w:t>解冻后样品检验</w:t>
      </w:r>
    </w:p>
    <w:p>
      <w:pPr>
        <w:spacing w:line="276" w:lineRule="auto"/>
        <w:ind w:firstLine="57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参考</w:t>
      </w:r>
      <w:r>
        <w:rPr>
          <w:rFonts w:asciiTheme="minorEastAsia" w:hAnsiTheme="minorEastAsia"/>
          <w:b/>
          <w:color w:val="000000" w:themeColor="text1"/>
          <w:sz w:val="28"/>
          <w:szCs w:val="28"/>
          <w14:textFill>
            <w14:solidFill>
              <w14:schemeClr w14:val="tx1"/>
            </w14:solidFill>
          </w14:textFill>
        </w:rPr>
        <w:t>:</w:t>
      </w:r>
      <w:r>
        <w:rPr>
          <w:rFonts w:hint="eastAsia" w:asciiTheme="minorEastAsia" w:hAnsiTheme="minorEastAsia"/>
          <w:b/>
          <w:color w:val="000000" w:themeColor="text1"/>
          <w:sz w:val="28"/>
          <w:szCs w:val="28"/>
          <w14:textFill>
            <w14:solidFill>
              <w14:schemeClr w14:val="tx1"/>
            </w14:solidFill>
          </w14:textFill>
        </w:rPr>
        <w:t xml:space="preserve"> </w:t>
      </w:r>
      <w:r>
        <w:rPr>
          <w:rFonts w:hint="eastAsia" w:asciiTheme="minorEastAsia" w:hAnsiTheme="minorEastAsia"/>
          <w:bCs/>
          <w:color w:val="000000" w:themeColor="text1"/>
          <w:sz w:val="28"/>
          <w:szCs w:val="28"/>
          <w14:textFill>
            <w14:solidFill>
              <w14:schemeClr w14:val="tx1"/>
            </w14:solidFill>
          </w14:textFill>
        </w:rPr>
        <w:t>GB/T 37062-2018《水产品感官评价指南》关于解冻的要求:</w:t>
      </w:r>
    </w:p>
    <w:p>
      <w:pPr>
        <w:spacing w:line="276" w:lineRule="auto"/>
        <w:ind w:firstLine="57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5.2.1.2 解冻用水应符合 GB 5749 的规定，水温应低于25℃。</w:t>
      </w:r>
    </w:p>
    <w:p>
      <w:pPr>
        <w:spacing w:line="276" w:lineRule="auto"/>
        <w:ind w:firstLine="57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5.2.1.4 解冻方法：</w:t>
      </w:r>
    </w:p>
    <w:p>
      <w:pPr>
        <w:spacing w:line="276" w:lineRule="auto"/>
        <w:ind w:firstLine="57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a）浸没解冻：将有防水包装或接触水不影响感官特性的样品，全部浸入水中，直至解冻结束。</w:t>
      </w:r>
    </w:p>
    <w:p>
      <w:pPr>
        <w:spacing w:line="276" w:lineRule="auto"/>
        <w:ind w:firstLine="570"/>
        <w:rPr>
          <w:rFonts w:ascii="Times New Roman" w:hAnsi="Times New Roman"/>
          <w:b/>
          <w:color w:val="000000" w:themeColor="text1"/>
          <w:sz w:val="28"/>
          <w:szCs w:val="28"/>
          <w14:textFill>
            <w14:solidFill>
              <w14:schemeClr w14:val="tx1"/>
            </w14:solidFill>
          </w14:textFill>
        </w:rPr>
      </w:pPr>
      <w:r>
        <w:rPr>
          <w:rFonts w:hint="eastAsia" w:ascii="Times New Roman" w:hAnsi="Times New Roman"/>
          <w:b/>
          <w:color w:val="000000" w:themeColor="text1"/>
          <w:sz w:val="28"/>
          <w:szCs w:val="28"/>
          <w14:textFill>
            <w14:solidFill>
              <w14:schemeClr w14:val="tx1"/>
            </w14:solidFill>
          </w14:textFill>
        </w:rPr>
        <w:t>本标准规定：</w:t>
      </w:r>
    </w:p>
    <w:p>
      <w:pPr>
        <w:spacing w:line="276" w:lineRule="auto"/>
        <w:ind w:firstLine="57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将样品进行防水包装后全部浸入低于25 ℃的水中，解冻至无硬芯后将样品放在洁净的白色托盘内，于光线充足、无异味的环境中进行检验。</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3.1.3 </w:t>
      </w:r>
      <w:r>
        <w:rPr>
          <w:rFonts w:hint="eastAsia" w:ascii="Times New Roman" w:hAnsi="Times New Roman"/>
          <w:b/>
          <w:bCs/>
          <w:color w:val="000000" w:themeColor="text1"/>
          <w:sz w:val="28"/>
          <w:szCs w:val="28"/>
          <w14:textFill>
            <w14:solidFill>
              <w14:schemeClr w14:val="tx1"/>
            </w14:solidFill>
          </w14:textFill>
        </w:rPr>
        <w:t xml:space="preserve"> 蒸煮</w:t>
      </w:r>
      <w:r>
        <w:rPr>
          <w:rFonts w:ascii="Times New Roman" w:hAnsi="Times New Roman"/>
          <w:b/>
          <w:bCs/>
          <w:color w:val="000000" w:themeColor="text1"/>
          <w:sz w:val="28"/>
          <w:szCs w:val="28"/>
          <w14:textFill>
            <w14:solidFill>
              <w14:schemeClr w14:val="tx1"/>
            </w14:solidFill>
          </w14:textFill>
        </w:rPr>
        <w:t>试验</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参考1 GB/T 37062-2018《水产品感官评价指南》：</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5.2.2.1对于需要进一步分析气味、滋味或质地的样品，须将样品蒸煮加热，使其内部温度达到65 ℃～</w:t>
      </w:r>
      <w:r>
        <w:rPr>
          <w:rFonts w:asciiTheme="minorEastAsia" w:hAnsiTheme="minorEastAsia"/>
          <w:color w:val="000000" w:themeColor="text1"/>
          <w:sz w:val="28"/>
          <w:szCs w:val="28"/>
          <w14:textFill>
            <w14:solidFill>
              <w14:schemeClr w14:val="tx1"/>
            </w14:solidFill>
          </w14:textFill>
        </w:rPr>
        <w:t>70</w:t>
      </w:r>
      <w:r>
        <w:rPr>
          <w:rFonts w:hint="eastAsia" w:asciiTheme="minorEastAsia" w:hAnsiTheme="minorEastAsia"/>
          <w:color w:val="000000" w:themeColor="text1"/>
          <w:sz w:val="28"/>
          <w:szCs w:val="28"/>
          <w14:textFill>
            <w14:solidFill>
              <w14:schemeClr w14:val="tx1"/>
            </w14:solidFill>
          </w14:textFill>
        </w:rPr>
        <w:t xml:space="preserve"> ℃后，确定其气味、滋味或质地。</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5.2.2.2蒸煮时所取样品量约为200g。</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5.2.2.4蒸煮方法:</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a)隔水煮：将样品密封在可煮薄膜袋中放入沸水中加热；</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b)蒸：用铝箔包裹样品，放入蒸锅的蒸笼上，用蒸汽加热。</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参考2 GB/T 18108-2019《鲜海水鱼通则》：</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4.1.2蒸煮试验</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取100</w:t>
      </w:r>
      <w:r>
        <w:rPr>
          <w:rFonts w:hint="eastAsia" w:asciiTheme="minorEastAsia" w:hAnsiTheme="minorEastAsia"/>
          <w:color w:val="000000" w:themeColor="text1"/>
          <w:sz w:val="28"/>
          <w:szCs w:val="28"/>
          <w14:textFill>
            <w14:solidFill>
              <w14:schemeClr w14:val="tx1"/>
            </w14:solidFill>
          </w14:textFill>
        </w:rPr>
        <w:t xml:space="preserve"> </w:t>
      </w:r>
      <w:r>
        <w:rPr>
          <w:rFonts w:asciiTheme="minorEastAsia" w:hAnsiTheme="minorEastAsia"/>
          <w:color w:val="000000" w:themeColor="text1"/>
          <w:sz w:val="28"/>
          <w:szCs w:val="28"/>
          <w14:textFill>
            <w14:solidFill>
              <w14:schemeClr w14:val="tx1"/>
            </w14:solidFill>
          </w14:textFill>
        </w:rPr>
        <w:t>g鱼肉,清水冲洗后</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切成约2 cm</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2 cm的鱼块</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备用</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在容器中加</w:t>
      </w:r>
      <w:r>
        <w:rPr>
          <w:rFonts w:hint="eastAsia" w:asciiTheme="minorEastAsia" w:hAnsiTheme="minorEastAsia"/>
          <w:color w:val="000000" w:themeColor="text1"/>
          <w:sz w:val="28"/>
          <w:szCs w:val="28"/>
          <w14:textFill>
            <w14:solidFill>
              <w14:schemeClr w14:val="tx1"/>
            </w14:solidFill>
          </w14:textFill>
        </w:rPr>
        <w:t>入</w:t>
      </w:r>
      <w:r>
        <w:rPr>
          <w:rFonts w:asciiTheme="minorEastAsia" w:hAnsiTheme="minorEastAsia"/>
          <w:color w:val="000000" w:themeColor="text1"/>
          <w:sz w:val="28"/>
          <w:szCs w:val="28"/>
          <w14:textFill>
            <w14:solidFill>
              <w14:schemeClr w14:val="tx1"/>
            </w14:solidFill>
          </w14:textFill>
        </w:rPr>
        <w:t>500 mL饮用水</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煮</w:t>
      </w:r>
      <w:r>
        <w:rPr>
          <w:rFonts w:hint="eastAsia" w:asciiTheme="minorEastAsia" w:hAnsiTheme="minorEastAsia"/>
          <w:color w:val="000000" w:themeColor="text1"/>
          <w:sz w:val="28"/>
          <w:szCs w:val="28"/>
          <w14:textFill>
            <w14:solidFill>
              <w14:schemeClr w14:val="tx1"/>
            </w14:solidFill>
          </w14:textFill>
        </w:rPr>
        <w:t>沸，</w:t>
      </w:r>
      <w:r>
        <w:rPr>
          <w:rFonts w:asciiTheme="minorEastAsia" w:hAnsiTheme="minorEastAsia"/>
          <w:color w:val="000000" w:themeColor="text1"/>
          <w:sz w:val="28"/>
          <w:szCs w:val="28"/>
          <w14:textFill>
            <w14:solidFill>
              <w14:schemeClr w14:val="tx1"/>
            </w14:solidFill>
          </w14:textFill>
        </w:rPr>
        <w:t>放入切好的鱼块</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加盖</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蒸煮5 min</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10 min</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揭盖后嗅其气味</w:t>
      </w:r>
      <w:r>
        <w:rPr>
          <w:rFonts w:hint="eastAsia" w:asciiTheme="minorEastAsia" w:hAnsiTheme="minorEastAsia"/>
          <w:color w:val="000000" w:themeColor="text1"/>
          <w:sz w:val="28"/>
          <w:szCs w:val="28"/>
          <w14:textFill>
            <w14:solidFill>
              <w14:schemeClr w14:val="tx1"/>
            </w14:solidFill>
          </w14:textFill>
        </w:rPr>
        <w:t>，</w:t>
      </w:r>
      <w:r>
        <w:rPr>
          <w:rFonts w:asciiTheme="minorEastAsia" w:hAnsiTheme="minorEastAsia"/>
          <w:color w:val="000000" w:themeColor="text1"/>
          <w:sz w:val="28"/>
          <w:szCs w:val="28"/>
          <w14:textFill>
            <w14:solidFill>
              <w14:schemeClr w14:val="tx1"/>
            </w14:solidFill>
          </w14:textFill>
        </w:rPr>
        <w:t>品尝滋味</w:t>
      </w:r>
      <w:r>
        <w:rPr>
          <w:rFonts w:hint="eastAsia" w:asciiTheme="minorEastAsia" w:hAnsiTheme="minorEastAsia"/>
          <w:color w:val="000000" w:themeColor="text1"/>
          <w:sz w:val="28"/>
          <w:szCs w:val="28"/>
          <w14:textFill>
            <w14:solidFill>
              <w14:schemeClr w14:val="tx1"/>
            </w14:solidFill>
          </w14:textFill>
        </w:rPr>
        <w:t>。</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起草小组对不同品种的鱼片经过蒸煮试验发现，熟制时间和温度与以上参考标准相一致。</w:t>
      </w:r>
    </w:p>
    <w:p>
      <w:pPr>
        <w:widowControl/>
        <w:spacing w:line="276" w:lineRule="auto"/>
        <w:ind w:firstLine="562" w:firstLineChars="200"/>
        <w:jc w:val="left"/>
        <w:rPr>
          <w:rFonts w:asciiTheme="minorEastAsia" w:hAnsiTheme="minorEastAsia"/>
          <w:b/>
          <w:bCs/>
          <w:color w:val="000000" w:themeColor="text1"/>
          <w:sz w:val="28"/>
          <w:szCs w:val="28"/>
          <w14:textFill>
            <w14:solidFill>
              <w14:schemeClr w14:val="tx1"/>
            </w14:solidFill>
          </w14:textFill>
        </w:rPr>
      </w:pPr>
      <w:r>
        <w:rPr>
          <w:rFonts w:hint="eastAsia" w:asciiTheme="minorEastAsia" w:hAnsiTheme="minorEastAsia"/>
          <w:b/>
          <w:bCs/>
          <w:color w:val="000000" w:themeColor="text1"/>
          <w:sz w:val="28"/>
          <w:szCs w:val="28"/>
          <w14:textFill>
            <w14:solidFill>
              <w14:schemeClr w14:val="tx1"/>
            </w14:solidFill>
          </w14:textFill>
        </w:rPr>
        <w:t xml:space="preserve">本标准规定： </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取200 g完全解冻的鱼片，切成2 cm×2 cm的鱼块，蒸煮5 min～10 min使其内部温度达到65 ℃～70 ℃, 按表3的要求逐项检验。蒸煮方法包括但不限于以下2种：</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a</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隔水煮：将样品密封在可煮薄膜袋中，浸入沸水中加热；</w:t>
      </w:r>
    </w:p>
    <w:p>
      <w:pPr>
        <w:widowControl/>
        <w:spacing w:line="276" w:lineRule="auto"/>
        <w:ind w:firstLine="560" w:firstLineChars="200"/>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b</w:t>
      </w:r>
      <w:r>
        <w:rPr>
          <w:rFonts w:asciiTheme="minorEastAsia" w:hAnsiTheme="minorEastAsia"/>
          <w:color w:val="000000" w:themeColor="text1"/>
          <w:sz w:val="28"/>
          <w:szCs w:val="28"/>
          <w14:textFill>
            <w14:solidFill>
              <w14:schemeClr w14:val="tx1"/>
            </w14:solidFill>
          </w14:textFill>
        </w:rPr>
        <w:t>)</w:t>
      </w:r>
      <w:r>
        <w:rPr>
          <w:rFonts w:hint="eastAsia" w:asciiTheme="minorEastAsia" w:hAnsiTheme="minorEastAsia"/>
          <w:color w:val="000000" w:themeColor="text1"/>
          <w:sz w:val="28"/>
          <w:szCs w:val="28"/>
          <w14:textFill>
            <w14:solidFill>
              <w14:schemeClr w14:val="tx1"/>
            </w14:solidFill>
          </w14:textFill>
        </w:rPr>
        <w:t>蒸：用铝箔包裹样品，放入蒸锅的蒸笼上，用蒸气加热。</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3.2 </w:t>
      </w:r>
      <w:r>
        <w:rPr>
          <w:rFonts w:hint="eastAsia" w:ascii="Times New Roman" w:hAnsi="Times New Roman"/>
          <w:b/>
          <w:bCs/>
          <w:color w:val="000000" w:themeColor="text1"/>
          <w:sz w:val="28"/>
          <w:szCs w:val="28"/>
          <w14:textFill>
            <w14:solidFill>
              <w14:schemeClr w14:val="tx1"/>
            </w14:solidFill>
          </w14:textFill>
        </w:rPr>
        <w:t>理化指标</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w:t>
      </w:r>
      <w:r>
        <w:rPr>
          <w:rFonts w:hint="eastAsia" w:ascii="Times New Roman" w:hAnsi="Times New Roman"/>
          <w:b/>
          <w:bCs/>
          <w:color w:val="000000" w:themeColor="text1"/>
          <w:sz w:val="28"/>
          <w:szCs w:val="28"/>
          <w14:textFill>
            <w14:solidFill>
              <w14:schemeClr w14:val="tx1"/>
            </w14:solidFill>
          </w14:textFill>
        </w:rPr>
        <w:t>.</w:t>
      </w:r>
      <w:r>
        <w:rPr>
          <w:rFonts w:ascii="Times New Roman" w:hAnsi="Times New Roman"/>
          <w:b/>
          <w:bCs/>
          <w:color w:val="000000" w:themeColor="text1"/>
          <w:sz w:val="28"/>
          <w:szCs w:val="28"/>
          <w14:textFill>
            <w14:solidFill>
              <w14:schemeClr w14:val="tx1"/>
            </w14:solidFill>
          </w14:textFill>
        </w:rPr>
        <w:t>2.1</w:t>
      </w:r>
      <w:r>
        <w:rPr>
          <w:rFonts w:hint="eastAsia" w:ascii="Times New Roman" w:hAnsi="Times New Roman"/>
          <w:b/>
          <w:bCs/>
          <w:color w:val="000000" w:themeColor="text1"/>
          <w:sz w:val="28"/>
          <w:szCs w:val="28"/>
          <w14:textFill>
            <w14:solidFill>
              <w14:schemeClr w14:val="tx1"/>
            </w14:solidFill>
          </w14:textFill>
        </w:rPr>
        <w:t xml:space="preserve">  冻品中心温度</w:t>
      </w:r>
    </w:p>
    <w:p>
      <w:pPr>
        <w:tabs>
          <w:tab w:val="left" w:pos="3318"/>
        </w:tabs>
        <w:spacing w:line="276" w:lineRule="auto"/>
        <w:ind w:firstLine="555"/>
        <w:rPr>
          <w:color w:val="000000" w:themeColor="text1"/>
          <w:sz w:val="28"/>
          <w:szCs w:val="28"/>
          <w14:textFill>
            <w14:solidFill>
              <w14:schemeClr w14:val="tx1"/>
            </w14:solidFill>
          </w14:textFill>
        </w:rPr>
      </w:pPr>
      <w:r>
        <w:rPr>
          <w:rFonts w:hint="eastAsia" w:asciiTheme="minorEastAsia" w:hAnsiTheme="minorEastAsia"/>
          <w:b/>
          <w:bCs/>
          <w:color w:val="000000" w:themeColor="text1"/>
          <w:sz w:val="28"/>
          <w:szCs w:val="28"/>
          <w14:textFill>
            <w14:solidFill>
              <w14:schemeClr w14:val="tx1"/>
            </w14:solidFill>
          </w14:textFill>
        </w:rPr>
        <w:t xml:space="preserve">参考  </w:t>
      </w:r>
      <w:r>
        <w:rPr>
          <w:rFonts w:hint="eastAsia" w:asciiTheme="minorEastAsia" w:hAnsiTheme="minorEastAsia"/>
          <w:color w:val="000000" w:themeColor="text1"/>
          <w:sz w:val="28"/>
          <w:szCs w:val="28"/>
          <w14:textFill>
            <w14:solidFill>
              <w14:schemeClr w14:val="tx1"/>
            </w14:solidFill>
          </w14:textFill>
        </w:rPr>
        <w:t>GB/T 36187-2018《冷冻鱼糜》、GB/T 21290-2018《冻罗非鱼片》、</w:t>
      </w:r>
      <w:r>
        <w:rPr>
          <w:rFonts w:hint="eastAsia" w:cs="宋体" w:asciiTheme="minorEastAsia" w:hAnsiTheme="minorEastAsia"/>
          <w:color w:val="000000" w:themeColor="text1"/>
          <w:sz w:val="28"/>
          <w:szCs w:val="28"/>
          <w14:textFill>
            <w14:solidFill>
              <w14:schemeClr w14:val="tx1"/>
            </w14:solidFill>
          </w14:textFill>
        </w:rPr>
        <w:t>GB/T 31814-2015《冻扇贝》、</w:t>
      </w:r>
      <w:r>
        <w:rPr>
          <w:rFonts w:hint="eastAsia" w:asciiTheme="minorEastAsia" w:hAnsiTheme="minorEastAsia"/>
          <w:color w:val="000000" w:themeColor="text1"/>
          <w:sz w:val="28"/>
          <w:szCs w:val="28"/>
          <w14:textFill>
            <w14:solidFill>
              <w14:schemeClr w14:val="tx1"/>
            </w14:solidFill>
          </w14:textFill>
        </w:rPr>
        <w:t>GB/T 30889-2014《冻虾》、SC/T 3115-2022《冻章鱼》</w:t>
      </w:r>
      <w:r>
        <w:rPr>
          <w:rFonts w:hint="eastAsia"/>
          <w:color w:val="000000" w:themeColor="text1"/>
          <w:sz w:val="28"/>
          <w:szCs w:val="28"/>
          <w14:textFill>
            <w14:solidFill>
              <w14:schemeClr w14:val="tx1"/>
            </w14:solidFill>
          </w14:textFill>
        </w:rPr>
        <w:t>等。</w:t>
      </w:r>
    </w:p>
    <w:p>
      <w:pPr>
        <w:tabs>
          <w:tab w:val="left" w:pos="3318"/>
        </w:tabs>
        <w:spacing w:line="276" w:lineRule="auto"/>
        <w:ind w:firstLine="555"/>
        <w:rPr>
          <w:rFonts w:ascii="Calibri" w:hAnsi="Calibri" w:eastAsia="宋体" w:cs="Times New Roman"/>
          <w:b/>
          <w:color w:val="000000" w:themeColor="text1"/>
          <w:sz w:val="28"/>
          <w:szCs w:val="28"/>
          <w14:textFill>
            <w14:solidFill>
              <w14:schemeClr w14:val="tx1"/>
            </w14:solidFill>
          </w14:textFill>
        </w:rPr>
      </w:pPr>
      <w:r>
        <w:rPr>
          <w:rFonts w:hint="eastAsia" w:ascii="Calibri" w:hAnsi="Calibri" w:eastAsia="宋体" w:cs="Times New Roman"/>
          <w:b/>
          <w:color w:val="000000" w:themeColor="text1"/>
          <w:sz w:val="28"/>
          <w:szCs w:val="28"/>
          <w14:textFill>
            <w14:solidFill>
              <w14:schemeClr w14:val="tx1"/>
            </w14:solidFill>
          </w14:textFill>
        </w:rPr>
        <w:t>本标准规定</w:t>
      </w:r>
      <w:r>
        <w:rPr>
          <w:rFonts w:hint="eastAsia" w:ascii="Calibri" w:hAnsi="Calibri" w:eastAsia="宋体" w:cs="Times New Roman"/>
          <w:color w:val="000000" w:themeColor="text1"/>
          <w:sz w:val="28"/>
          <w:szCs w:val="28"/>
          <w14:textFill>
            <w14:solidFill>
              <w14:schemeClr w14:val="tx1"/>
            </w14:solidFill>
          </w14:textFill>
        </w:rPr>
        <w:t>：</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块冻品（或个体较大的单冻品）用钻头钻至块冻几何中心，将温度计或测温仪探头插入钻孔中；个体小的单冻品将温度计或测温仪探头插入试样中心或包装中心部位，待指示温度不再下降时读数。</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w:t>
      </w:r>
      <w:r>
        <w:rPr>
          <w:rFonts w:hint="eastAsia" w:ascii="Times New Roman" w:hAnsi="Times New Roman"/>
          <w:b/>
          <w:bCs/>
          <w:color w:val="000000" w:themeColor="text1"/>
          <w:sz w:val="28"/>
          <w:szCs w:val="28"/>
          <w14:textFill>
            <w14:solidFill>
              <w14:schemeClr w14:val="tx1"/>
            </w14:solidFill>
          </w14:textFill>
        </w:rPr>
        <w:t>.2.2　水分</w:t>
      </w:r>
    </w:p>
    <w:p>
      <w:pPr>
        <w:spacing w:line="276" w:lineRule="auto"/>
        <w:ind w:firstLine="555"/>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按JJF 1070-2005附录C.3.3的规定进行解冻，取解冻后的样品可食部分绞碎混合均匀，按GB/T 5009.3的规定执行。</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3</w:t>
      </w:r>
      <w:r>
        <w:rPr>
          <w:rFonts w:hint="eastAsia" w:ascii="Times New Roman" w:hAnsi="Times New Roman"/>
          <w:b/>
          <w:bCs/>
          <w:color w:val="000000" w:themeColor="text1"/>
          <w:sz w:val="28"/>
          <w:szCs w:val="28"/>
          <w14:textFill>
            <w14:solidFill>
              <w14:schemeClr w14:val="tx1"/>
            </w14:solidFill>
          </w14:textFill>
        </w:rPr>
        <w:t>.2.3　挥发性盐基氮、组胺</w:t>
      </w:r>
    </w:p>
    <w:p>
      <w:pPr>
        <w:widowControl/>
        <w:spacing w:line="276" w:lineRule="auto"/>
        <w:ind w:firstLine="645"/>
        <w:jc w:val="left"/>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根据加工经验，鱼片在-8℃左右的时候即可切成小块或者鱼段。</w:t>
      </w:r>
      <w:r>
        <w:rPr>
          <w:rFonts w:hint="eastAsia" w:asciiTheme="minorEastAsia" w:hAnsiTheme="minorEastAsia"/>
          <w:bCs/>
          <w:color w:val="000000" w:themeColor="text1"/>
          <w:sz w:val="28"/>
          <w:szCs w:val="28"/>
          <w14:textFill>
            <w14:solidFill>
              <w14:schemeClr w14:val="tx1"/>
            </w14:solidFill>
          </w14:textFill>
        </w:rPr>
        <w:t>本标准比较了</w:t>
      </w:r>
      <w:r>
        <w:rPr>
          <w:rFonts w:hint="eastAsia" w:cs="宋体" w:asciiTheme="minorEastAsia" w:hAnsiTheme="minorEastAsia"/>
          <w:bCs/>
          <w:color w:val="000000" w:themeColor="text1"/>
          <w:kern w:val="0"/>
          <w:sz w:val="28"/>
          <w:szCs w:val="28"/>
          <w14:textFill>
            <w14:solidFill>
              <w14:schemeClr w14:val="tx1"/>
            </w14:solidFill>
          </w14:textFill>
        </w:rPr>
        <w:t>GB/T 37062-2018《感官评价指南》、</w:t>
      </w:r>
      <w:r>
        <w:rPr>
          <w:rFonts w:hint="eastAsia" w:asciiTheme="minorEastAsia" w:hAnsiTheme="minorEastAsia"/>
          <w:bCs/>
          <w:color w:val="000000" w:themeColor="text1"/>
          <w:sz w:val="28"/>
          <w:szCs w:val="28"/>
          <w14:textFill>
            <w14:solidFill>
              <w14:schemeClr w14:val="tx1"/>
            </w14:solidFill>
          </w14:textFill>
        </w:rPr>
        <w:t>JJF 1070-2005、SC/T 3054-2020《冷冻水产品冰衣限量》，考虑到解冻过程很可能对检验结果产生影响，最后引用、参考了SC/T 3017-2004《冷冻水产品净含量的测定》的去除冰衣方法。</w:t>
      </w:r>
    </w:p>
    <w:p>
      <w:pPr>
        <w:widowControl/>
        <w:spacing w:line="276" w:lineRule="auto"/>
        <w:ind w:firstLine="645"/>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b/>
          <w:bCs/>
          <w:color w:val="000000" w:themeColor="text1"/>
          <w:sz w:val="28"/>
          <w:szCs w:val="28"/>
          <w14:textFill>
            <w14:solidFill>
              <w14:schemeClr w14:val="tx1"/>
            </w14:solidFill>
          </w14:textFill>
        </w:rPr>
        <w:t>本标准规定：</w:t>
      </w:r>
    </w:p>
    <w:p>
      <w:pPr>
        <w:spacing w:line="276" w:lineRule="auto"/>
        <w:ind w:firstLine="555"/>
        <w:rPr>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镀冰衣产品：</w:t>
      </w:r>
      <w:r>
        <w:rPr>
          <w:rFonts w:hint="eastAsia"/>
          <w:color w:val="000000" w:themeColor="text1"/>
          <w:sz w:val="28"/>
          <w:szCs w:val="28"/>
          <w14:textFill>
            <w14:solidFill>
              <w14:schemeClr w14:val="tx1"/>
            </w14:solidFill>
          </w14:textFill>
        </w:rPr>
        <w:t>将样品进行防水包装后按SC/T 3017的规定去除冰衣，按照GB 2733规定的方法执行。</w:t>
      </w:r>
    </w:p>
    <w:p>
      <w:pPr>
        <w:spacing w:line="276" w:lineRule="auto"/>
        <w:ind w:firstLine="555"/>
        <w:rPr>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无冰衣产品：</w:t>
      </w:r>
      <w:r>
        <w:rPr>
          <w:rFonts w:hint="eastAsia"/>
          <w:color w:val="000000" w:themeColor="text1"/>
          <w:sz w:val="28"/>
          <w:szCs w:val="28"/>
          <w14:textFill>
            <w14:solidFill>
              <w14:schemeClr w14:val="tx1"/>
            </w14:solidFill>
          </w14:textFill>
        </w:rPr>
        <w:t>按GB 2733规定的方法执行。。</w:t>
      </w:r>
    </w:p>
    <w:p>
      <w:pPr>
        <w:spacing w:line="276" w:lineRule="auto"/>
        <w:ind w:firstLine="570"/>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4</w:t>
      </w:r>
      <w:r>
        <w:rPr>
          <w:rFonts w:hint="eastAsia" w:ascii="Times New Roman" w:hAnsi="Times New Roman"/>
          <w:b/>
          <w:bCs/>
          <w:color w:val="000000" w:themeColor="text1"/>
          <w:sz w:val="28"/>
          <w:szCs w:val="28"/>
          <w14:textFill>
            <w14:solidFill>
              <w14:schemeClr w14:val="tx1"/>
            </w14:solidFill>
          </w14:textFill>
        </w:rPr>
        <w:t>、检验规则</w:t>
      </w:r>
    </w:p>
    <w:p>
      <w:pPr>
        <w:widowControl/>
        <w:spacing w:line="276" w:lineRule="auto"/>
        <w:ind w:firstLine="645"/>
        <w:jc w:val="left"/>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4</w:t>
      </w:r>
      <w:r>
        <w:rPr>
          <w:rFonts w:hint="eastAsia" w:asciiTheme="minorEastAsia" w:hAnsiTheme="minorEastAsia"/>
          <w:b/>
          <w:bCs/>
          <w:color w:val="000000" w:themeColor="text1"/>
          <w:sz w:val="28"/>
          <w:szCs w:val="28"/>
          <w14:textFill>
            <w14:solidFill>
              <w14:schemeClr w14:val="tx1"/>
            </w14:solidFill>
          </w14:textFill>
        </w:rPr>
        <w:t>.</w:t>
      </w:r>
      <w:r>
        <w:rPr>
          <w:rFonts w:asciiTheme="minorEastAsia" w:hAnsiTheme="minorEastAsia"/>
          <w:b/>
          <w:bCs/>
          <w:color w:val="000000" w:themeColor="text1"/>
          <w:sz w:val="28"/>
          <w:szCs w:val="28"/>
          <w14:textFill>
            <w14:solidFill>
              <w14:schemeClr w14:val="tx1"/>
            </w14:solidFill>
          </w14:textFill>
        </w:rPr>
        <w:t>1</w:t>
      </w:r>
      <w:r>
        <w:rPr>
          <w:rFonts w:hint="eastAsia" w:asciiTheme="minorEastAsia" w:hAnsiTheme="minorEastAsia"/>
          <w:b/>
          <w:bCs/>
          <w:color w:val="000000" w:themeColor="text1"/>
          <w:sz w:val="28"/>
          <w:szCs w:val="28"/>
          <w14:textFill>
            <w14:solidFill>
              <w14:schemeClr w14:val="tx1"/>
            </w14:solidFill>
          </w14:textFill>
        </w:rPr>
        <w:t>　检验分类</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出厂检验：</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asciiTheme="minorEastAsia" w:hAnsiTheme="minorEastAsia"/>
          <w:bCs/>
          <w:color w:val="000000" w:themeColor="text1"/>
          <w:sz w:val="28"/>
          <w:szCs w:val="28"/>
          <w14:textFill>
            <w14:solidFill>
              <w14:schemeClr w14:val="tx1"/>
            </w14:solidFill>
          </w14:textFill>
        </w:rPr>
        <w:t>每批产品应进行出厂检验。出厂检验由生产单位质量部门执行，检验项目</w:t>
      </w:r>
      <w:r>
        <w:rPr>
          <w:rFonts w:hint="eastAsia" w:asciiTheme="minorEastAsia" w:hAnsiTheme="minorEastAsia"/>
          <w:bCs/>
          <w:color w:val="000000" w:themeColor="text1"/>
          <w:sz w:val="28"/>
          <w:szCs w:val="28"/>
          <w14:textFill>
            <w14:solidFill>
              <w14:schemeClr w14:val="tx1"/>
            </w14:solidFill>
          </w14:textFill>
        </w:rPr>
        <w:t>至少应包含</w:t>
      </w:r>
      <w:r>
        <w:rPr>
          <w:rFonts w:asciiTheme="minorEastAsia" w:hAnsiTheme="minorEastAsia"/>
          <w:bCs/>
          <w:color w:val="000000" w:themeColor="text1"/>
          <w:sz w:val="28"/>
          <w:szCs w:val="28"/>
          <w14:textFill>
            <w14:solidFill>
              <w14:schemeClr w14:val="tx1"/>
            </w14:solidFill>
          </w14:textFill>
        </w:rPr>
        <w:t>感官</w:t>
      </w:r>
      <w:r>
        <w:rPr>
          <w:rFonts w:hint="eastAsia" w:asciiTheme="minorEastAsia" w:hAnsiTheme="minorEastAsia"/>
          <w:bCs/>
          <w:color w:val="000000" w:themeColor="text1"/>
          <w:sz w:val="28"/>
          <w:szCs w:val="28"/>
          <w14:textFill>
            <w14:solidFill>
              <w14:schemeClr w14:val="tx1"/>
            </w14:solidFill>
          </w14:textFill>
        </w:rPr>
        <w:t>要求</w:t>
      </w:r>
      <w:r>
        <w:rPr>
          <w:rFonts w:asciiTheme="minorEastAsia" w:hAnsiTheme="minorEastAsia"/>
          <w:bCs/>
          <w:color w:val="000000" w:themeColor="text1"/>
          <w:sz w:val="28"/>
          <w:szCs w:val="28"/>
          <w14:textFill>
            <w14:solidFill>
              <w14:schemeClr w14:val="tx1"/>
            </w14:solidFill>
          </w14:textFill>
        </w:rPr>
        <w:t>、净含量、冻品中心温度</w:t>
      </w:r>
      <w:r>
        <w:rPr>
          <w:rFonts w:hint="eastAsia" w:asciiTheme="minorEastAsia" w:hAnsiTheme="minorEastAsia"/>
          <w:bCs/>
          <w:color w:val="000000" w:themeColor="text1"/>
          <w:sz w:val="28"/>
          <w:szCs w:val="28"/>
          <w14:textFill>
            <w14:solidFill>
              <w14:schemeClr w14:val="tx1"/>
            </w14:solidFill>
          </w14:textFill>
        </w:rPr>
        <w:t>，</w:t>
      </w:r>
      <w:r>
        <w:rPr>
          <w:rFonts w:asciiTheme="minorEastAsia" w:hAnsiTheme="minorEastAsia"/>
          <w:bCs/>
          <w:color w:val="000000" w:themeColor="text1"/>
          <w:sz w:val="28"/>
          <w:szCs w:val="28"/>
          <w14:textFill>
            <w14:solidFill>
              <w14:schemeClr w14:val="tx1"/>
            </w14:solidFill>
          </w14:textFill>
        </w:rPr>
        <w:t>检验合格签发检验合格证，产品凭检验合格证</w:t>
      </w:r>
      <w:r>
        <w:rPr>
          <w:rFonts w:hint="eastAsia" w:asciiTheme="minorEastAsia" w:hAnsiTheme="minorEastAsia"/>
          <w:bCs/>
          <w:color w:val="000000" w:themeColor="text1"/>
          <w:sz w:val="28"/>
          <w:szCs w:val="28"/>
          <w14:textFill>
            <w14:solidFill>
              <w14:schemeClr w14:val="tx1"/>
            </w14:solidFill>
          </w14:textFill>
        </w:rPr>
        <w:t>入库或</w:t>
      </w:r>
      <w:r>
        <w:rPr>
          <w:rFonts w:asciiTheme="minorEastAsia" w:hAnsiTheme="minorEastAsia"/>
          <w:bCs/>
          <w:color w:val="000000" w:themeColor="text1"/>
          <w:sz w:val="28"/>
          <w:szCs w:val="28"/>
          <w14:textFill>
            <w14:solidFill>
              <w14:schemeClr w14:val="tx1"/>
            </w14:solidFill>
          </w14:textFill>
        </w:rPr>
        <w:t>出厂。</w:t>
      </w:r>
    </w:p>
    <w:p>
      <w:pPr>
        <w:spacing w:line="276" w:lineRule="auto"/>
        <w:ind w:firstLine="555"/>
        <w:rPr>
          <w:rFonts w:ascii="Times New Roman" w:hAnsi="Times New Roman"/>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 xml:space="preserve">本标准理化指标删除了“不合格小鱼片数”的要求。因此，本标准规定出厂检验项目也相应删除了“不合格小鱼片数” </w:t>
      </w:r>
      <w:r>
        <w:rPr>
          <w:rFonts w:hint="eastAsia" w:ascii="Times New Roman" w:hAnsi="Times New Roman"/>
          <w:bCs/>
          <w:color w:val="000000" w:themeColor="text1"/>
          <w:sz w:val="28"/>
          <w:szCs w:val="28"/>
          <w14:textFill>
            <w14:solidFill>
              <w14:schemeClr w14:val="tx1"/>
            </w14:solidFill>
          </w14:textFill>
        </w:rPr>
        <w:t>。因此，本标准规定出厂检验项目为感官要求、净含量、冻品中心温度。</w:t>
      </w:r>
    </w:p>
    <w:p>
      <w:pPr>
        <w:spacing w:line="276" w:lineRule="auto"/>
        <w:ind w:firstLine="555"/>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 xml:space="preserve">4.2  </w:t>
      </w:r>
      <w:r>
        <w:rPr>
          <w:rFonts w:hint="eastAsia" w:ascii="Times New Roman" w:hAnsi="Times New Roman"/>
          <w:b/>
          <w:bCs/>
          <w:color w:val="000000" w:themeColor="text1"/>
          <w:sz w:val="28"/>
          <w:szCs w:val="28"/>
          <w14:textFill>
            <w14:solidFill>
              <w14:schemeClr w14:val="tx1"/>
            </w14:solidFill>
          </w14:textFill>
        </w:rPr>
        <w:t>判定规则</w:t>
      </w:r>
    </w:p>
    <w:p>
      <w:pPr>
        <w:tabs>
          <w:tab w:val="left" w:pos="3318"/>
        </w:tabs>
        <w:spacing w:line="276" w:lineRule="auto"/>
        <w:ind w:firstLine="555"/>
        <w:rPr>
          <w:rFonts w:ascii="Calibri" w:hAnsi="Calibri" w:eastAsia="宋体" w:cs="宋体"/>
          <w:color w:val="000000" w:themeColor="text1"/>
          <w:sz w:val="28"/>
          <w:szCs w:val="28"/>
          <w14:textFill>
            <w14:solidFill>
              <w14:schemeClr w14:val="tx1"/>
            </w14:solidFill>
          </w14:textFill>
        </w:rPr>
      </w:pPr>
      <w:r>
        <w:rPr>
          <w:rFonts w:hint="eastAsia" w:ascii="Times New Roman" w:hAnsi="Times New Roman"/>
          <w:b/>
          <w:bCs/>
          <w:color w:val="000000" w:themeColor="text1"/>
          <w:sz w:val="28"/>
          <w:szCs w:val="28"/>
          <w14:textFill>
            <w14:solidFill>
              <w14:schemeClr w14:val="tx1"/>
            </w14:solidFill>
          </w14:textFill>
        </w:rPr>
        <w:t>参考SC/T 3115-2022《冻章鱼》，本标准规定：</w:t>
      </w:r>
      <w:r>
        <w:rPr>
          <w:rFonts w:hint="eastAsia" w:ascii="Calibri" w:hAnsi="Calibri" w:eastAsia="宋体" w:cs="宋体"/>
          <w:color w:val="000000" w:themeColor="text1"/>
          <w:sz w:val="28"/>
          <w:szCs w:val="28"/>
          <w14:textFill>
            <w14:solidFill>
              <w14:schemeClr w14:val="tx1"/>
            </w14:solidFill>
          </w14:textFill>
        </w:rPr>
        <w:t>检验项目全部合格时，判定该批产品质量符合本文件的规定。检验项目如出现不合格时，应重新自同批产品中抽取两倍量样品进行复检，以复检结果为准。若仍有不合格，判定该批产品不符合本文件的规定。</w:t>
      </w:r>
    </w:p>
    <w:p>
      <w:pPr>
        <w:spacing w:line="276" w:lineRule="auto"/>
        <w:ind w:left="567"/>
        <w:rPr>
          <w:rFonts w:ascii="Times New Roman" w:hAnsi="Times New Roman"/>
          <w:b/>
          <w:bCs/>
          <w:color w:val="000000" w:themeColor="text1"/>
          <w:sz w:val="28"/>
          <w:szCs w:val="28"/>
          <w14:textFill>
            <w14:solidFill>
              <w14:schemeClr w14:val="tx1"/>
            </w14:solidFill>
          </w14:textFill>
        </w:rPr>
      </w:pPr>
      <w:r>
        <w:rPr>
          <w:rFonts w:ascii="Times New Roman" w:hAnsi="Times New Roman"/>
          <w:b/>
          <w:bCs/>
          <w:color w:val="000000" w:themeColor="text1"/>
          <w:sz w:val="28"/>
          <w:szCs w:val="28"/>
          <w14:textFill>
            <w14:solidFill>
              <w14:schemeClr w14:val="tx1"/>
            </w14:solidFill>
          </w14:textFill>
        </w:rPr>
        <w:t>5</w:t>
      </w:r>
      <w:r>
        <w:rPr>
          <w:rFonts w:hint="eastAsia" w:ascii="Times New Roman" w:hAnsi="Times New Roman"/>
          <w:b/>
          <w:bCs/>
          <w:color w:val="000000" w:themeColor="text1"/>
          <w:sz w:val="28"/>
          <w:szCs w:val="28"/>
          <w14:textFill>
            <w14:solidFill>
              <w14:schemeClr w14:val="tx1"/>
            </w14:solidFill>
          </w14:textFill>
        </w:rPr>
        <w:t>、标识、包装、运输、贮存</w:t>
      </w:r>
    </w:p>
    <w:p>
      <w:pPr>
        <w:spacing w:line="276" w:lineRule="auto"/>
        <w:ind w:firstLine="555"/>
        <w:rPr>
          <w:rFonts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t xml:space="preserve">5.1 </w:t>
      </w:r>
      <w:r>
        <w:rPr>
          <w:rFonts w:hint="eastAsia" w:asciiTheme="minorEastAsia" w:hAnsiTheme="minorEastAsia"/>
          <w:b/>
          <w:color w:val="000000" w:themeColor="text1"/>
          <w:sz w:val="28"/>
          <w:szCs w:val="28"/>
          <w14:textFill>
            <w14:solidFill>
              <w14:schemeClr w14:val="tx1"/>
            </w14:solidFill>
          </w14:textFill>
        </w:rPr>
        <w:t>运输</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参考GB/T 18109-2011《冻鱼》、SC/T 3115-2022《冻章鱼》等相关国家标准：规定运输过程应保持鱼体温度不高于-15 ℃。</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本标准要求：运输过程中应保持产品温度不高于-15 ℃。运输工具应清洁、无异味，不应接触有腐蚀性物质或其它有害物质。运输过程中，产品应防止日晒、虫害和其他损害，不应与气味浓郁的物品混运。</w:t>
      </w:r>
    </w:p>
    <w:p>
      <w:pPr>
        <w:spacing w:line="276" w:lineRule="auto"/>
        <w:ind w:firstLine="555"/>
        <w:rPr>
          <w:rFonts w:asciiTheme="minorEastAsia" w:hAnsiTheme="minorEastAsia"/>
          <w:b/>
          <w:bCs/>
          <w:color w:val="000000" w:themeColor="text1"/>
          <w:sz w:val="28"/>
          <w:szCs w:val="28"/>
          <w14:textFill>
            <w14:solidFill>
              <w14:schemeClr w14:val="tx1"/>
            </w14:solidFill>
          </w14:textFill>
        </w:rPr>
      </w:pPr>
      <w:r>
        <w:rPr>
          <w:rFonts w:asciiTheme="minorEastAsia" w:hAnsiTheme="minorEastAsia"/>
          <w:b/>
          <w:bCs/>
          <w:color w:val="000000" w:themeColor="text1"/>
          <w:sz w:val="28"/>
          <w:szCs w:val="28"/>
          <w14:textFill>
            <w14:solidFill>
              <w14:schemeClr w14:val="tx1"/>
            </w14:solidFill>
          </w14:textFill>
        </w:rPr>
        <w:t xml:space="preserve">5.2 </w:t>
      </w:r>
      <w:r>
        <w:rPr>
          <w:rFonts w:hint="eastAsia" w:asciiTheme="minorEastAsia" w:hAnsiTheme="minorEastAsia"/>
          <w:b/>
          <w:bCs/>
          <w:color w:val="000000" w:themeColor="text1"/>
          <w:sz w:val="28"/>
          <w:szCs w:val="28"/>
          <w14:textFill>
            <w14:solidFill>
              <w14:schemeClr w14:val="tx1"/>
            </w14:solidFill>
          </w14:textFill>
        </w:rPr>
        <w:t>贮存</w:t>
      </w:r>
    </w:p>
    <w:p>
      <w:pPr>
        <w:spacing w:line="276" w:lineRule="auto"/>
        <w:ind w:firstLine="555"/>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 xml:space="preserve">参考1   </w:t>
      </w:r>
      <w:r>
        <w:rPr>
          <w:rFonts w:hint="eastAsia" w:asciiTheme="minorEastAsia" w:hAnsiTheme="minorEastAsia"/>
          <w:color w:val="000000" w:themeColor="text1"/>
          <w:sz w:val="28"/>
          <w:szCs w:val="28"/>
          <w14:textFill>
            <w14:solidFill>
              <w14:schemeClr w14:val="tx1"/>
            </w14:solidFill>
          </w14:textFill>
        </w:rPr>
        <w:t>GB/T 31080-2014 《水产品冷链物流服务规范》：</w:t>
      </w:r>
    </w:p>
    <w:p>
      <w:pPr>
        <w:spacing w:line="276" w:lineRule="auto"/>
        <w:ind w:firstLine="555"/>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7.2.1.1 垫板应与地面距离大于10 cm，应与库墙距离大于30 cm，与排管距离大于30 cm，离风道距离大于30 cm，距离库体顶板距离大于20 cm。堆放高度以纸箱受压不变形为宜。</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hint="eastAsia" w:asciiTheme="minorEastAsia" w:hAnsiTheme="minorEastAsia"/>
          <w:b/>
          <w:bCs/>
          <w:color w:val="000000" w:themeColor="text1"/>
          <w:sz w:val="28"/>
          <w:szCs w:val="28"/>
          <w14:textFill>
            <w14:solidFill>
              <w14:schemeClr w14:val="tx1"/>
            </w14:solidFill>
          </w14:textFill>
        </w:rPr>
        <w:t xml:space="preserve">参考2  </w:t>
      </w:r>
      <w:r>
        <w:rPr>
          <w:rFonts w:hint="eastAsia" w:asciiTheme="minorEastAsia" w:hAnsiTheme="minorEastAsia"/>
          <w:bCs/>
          <w:color w:val="000000" w:themeColor="text1"/>
          <w:sz w:val="28"/>
          <w:szCs w:val="28"/>
          <w14:textFill>
            <w14:solidFill>
              <w14:schemeClr w14:val="tx1"/>
            </w14:solidFill>
          </w14:textFill>
        </w:rPr>
        <w:t>GB 31646-2018《食品安全国家标准  速冻食品生产和经营卫生规范》：</w:t>
      </w:r>
    </w:p>
    <w:p>
      <w:pPr>
        <w:spacing w:line="276" w:lineRule="auto"/>
        <w:ind w:firstLine="560" w:firstLineChars="200"/>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10.2.4  贮存产品应以不影响冷气循环的方式放置，产品与墙面、顶棚或地面之间的距离不小于10 cm。</w:t>
      </w:r>
    </w:p>
    <w:p>
      <w:pPr>
        <w:spacing w:line="276" w:lineRule="auto"/>
        <w:ind w:firstLine="555"/>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另外，删除了DB37/T 413-2004《冻海水鱼片》中冻藏保存期12个月的要求。镀冰衣与否，不同包装形式的产品，保质期也不同。同时参考相关国家、行业标准，产品标准不规定保质期。</w:t>
      </w:r>
    </w:p>
    <w:p>
      <w:pPr>
        <w:spacing w:line="276" w:lineRule="auto"/>
        <w:ind w:firstLine="562" w:firstLineChars="200"/>
        <w:rPr>
          <w:rFonts w:asciiTheme="minorEastAsia" w:hAnsiTheme="minorEastAsia"/>
          <w:b/>
          <w:bCs/>
          <w:color w:val="000000" w:themeColor="text1"/>
          <w:sz w:val="28"/>
          <w:szCs w:val="28"/>
          <w14:textFill>
            <w14:solidFill>
              <w14:schemeClr w14:val="tx1"/>
            </w14:solidFill>
          </w14:textFill>
        </w:rPr>
      </w:pPr>
      <w:r>
        <w:rPr>
          <w:rFonts w:hint="eastAsia" w:asciiTheme="minorEastAsia" w:hAnsiTheme="minorEastAsia"/>
          <w:b/>
          <w:bCs/>
          <w:color w:val="000000" w:themeColor="text1"/>
          <w:sz w:val="28"/>
          <w:szCs w:val="28"/>
          <w14:textFill>
            <w14:solidFill>
              <w14:schemeClr w14:val="tx1"/>
            </w14:solidFill>
          </w14:textFill>
        </w:rPr>
        <w:t>本标准要求：</w:t>
      </w:r>
    </w:p>
    <w:p>
      <w:pPr>
        <w:spacing w:line="276" w:lineRule="auto"/>
        <w:ind w:firstLine="560" w:firstLineChars="200"/>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贮存过程中应保持产品温度低于-18 ℃。产品速冻后贮存于清洁、无异味的冻库内，防止虫害、有害物质的污染和其他损害。不同品种、类别、批次的产品应分垛存放，标示清楚。产品与地面距离应不少于10 cm，与墙壁距离不少于30 cm。堆放高度以包装物受压不变形为宜。</w:t>
      </w:r>
    </w:p>
    <w:p>
      <w:pPr>
        <w:spacing w:line="276" w:lineRule="auto"/>
        <w:ind w:firstLine="555"/>
        <w:rPr>
          <w:rFonts w:asciiTheme="minorEastAsia" w:hAnsiTheme="minorEastAsia"/>
          <w:b/>
          <w:color w:val="000000" w:themeColor="text1"/>
          <w:sz w:val="28"/>
          <w:szCs w:val="28"/>
          <w14:textFill>
            <w14:solidFill>
              <w14:schemeClr w14:val="tx1"/>
            </w14:solidFill>
          </w14:textFill>
        </w:rPr>
      </w:pPr>
      <w:r>
        <w:rPr>
          <w:rFonts w:hint="eastAsia" w:asciiTheme="minorEastAsia" w:hAnsiTheme="minorEastAsia"/>
          <w:b/>
          <w:color w:val="000000" w:themeColor="text1"/>
          <w:sz w:val="28"/>
          <w:szCs w:val="28"/>
          <w14:textFill>
            <w14:solidFill>
              <w14:schemeClr w14:val="tx1"/>
            </w14:solidFill>
          </w14:textFill>
        </w:rPr>
        <w:t>（三）主要技术指标对比</w:t>
      </w:r>
    </w:p>
    <w:p>
      <w:pPr>
        <w:spacing w:line="276" w:lineRule="auto"/>
        <w:ind w:firstLine="555"/>
        <w:rPr>
          <w:rFonts w:asciiTheme="minorEastAsia" w:hAnsiTheme="minorEastAsia"/>
          <w:bCs/>
          <w:color w:val="000000" w:themeColor="text1"/>
          <w:sz w:val="28"/>
          <w:szCs w:val="28"/>
          <w14:textFill>
            <w14:solidFill>
              <w14:schemeClr w14:val="tx1"/>
            </w14:solidFill>
          </w14:textFill>
        </w:rPr>
      </w:pPr>
      <w:r>
        <w:rPr>
          <w:rFonts w:hint="eastAsia" w:asciiTheme="minorEastAsia" w:hAnsiTheme="minorEastAsia"/>
          <w:bCs/>
          <w:color w:val="000000" w:themeColor="text1"/>
          <w:sz w:val="28"/>
          <w:szCs w:val="28"/>
          <w14:textFill>
            <w14:solidFill>
              <w14:schemeClr w14:val="tx1"/>
            </w14:solidFill>
          </w14:textFill>
        </w:rPr>
        <w:t>本标准与</w:t>
      </w:r>
      <w:bookmarkStart w:id="47" w:name="_Hlk137113123"/>
      <w:r>
        <w:rPr>
          <w:rFonts w:hint="eastAsia" w:asciiTheme="minorEastAsia" w:hAnsiTheme="minorEastAsia"/>
          <w:bCs/>
          <w:color w:val="000000" w:themeColor="text1"/>
          <w:sz w:val="28"/>
          <w:szCs w:val="28"/>
          <w14:textFill>
            <w14:solidFill>
              <w14:schemeClr w14:val="tx1"/>
            </w14:solidFill>
          </w14:textFill>
        </w:rPr>
        <w:t>DB37/T 413-2004《冻海水鱼片》</w:t>
      </w:r>
      <w:bookmarkEnd w:id="47"/>
      <w:r>
        <w:rPr>
          <w:rFonts w:hint="eastAsia" w:asciiTheme="minorEastAsia" w:hAnsiTheme="minorEastAsia"/>
          <w:bCs/>
          <w:color w:val="000000" w:themeColor="text1"/>
          <w:sz w:val="28"/>
          <w:szCs w:val="28"/>
          <w14:textFill>
            <w14:solidFill>
              <w14:schemeClr w14:val="tx1"/>
            </w14:solidFill>
          </w14:textFill>
        </w:rPr>
        <w:t>主要技术指标对比见表</w:t>
      </w:r>
      <w:r>
        <w:rPr>
          <w:rFonts w:asciiTheme="minorEastAsia" w:hAnsiTheme="minorEastAsia"/>
          <w:bCs/>
          <w:color w:val="000000" w:themeColor="text1"/>
          <w:sz w:val="28"/>
          <w:szCs w:val="28"/>
          <w14:textFill>
            <w14:solidFill>
              <w14:schemeClr w14:val="tx1"/>
            </w14:solidFill>
          </w14:textFill>
        </w:rPr>
        <w:t>5</w:t>
      </w:r>
      <w:r>
        <w:rPr>
          <w:rFonts w:hint="eastAsia" w:asciiTheme="minorEastAsia" w:hAnsiTheme="minorEastAsia"/>
          <w:bCs/>
          <w:color w:val="000000" w:themeColor="text1"/>
          <w:sz w:val="28"/>
          <w:szCs w:val="28"/>
          <w14:textFill>
            <w14:solidFill>
              <w14:schemeClr w14:val="tx1"/>
            </w14:solidFill>
          </w14:textFill>
        </w:rPr>
        <w:t>。</w:t>
      </w:r>
    </w:p>
    <w:p>
      <w:pPr>
        <w:spacing w:line="276" w:lineRule="auto"/>
        <w:jc w:val="cente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表</w:t>
      </w:r>
      <w:r>
        <w:rPr>
          <w:rFonts w:ascii="Times New Roman" w:hAnsi="Times New Roman" w:eastAsia="宋体" w:cs="Times New Roman"/>
          <w:b/>
          <w:color w:val="000000" w:themeColor="text1"/>
          <w:sz w:val="28"/>
          <w:szCs w:val="28"/>
          <w14:textFill>
            <w14:solidFill>
              <w14:schemeClr w14:val="tx1"/>
            </w14:solidFill>
          </w14:textFill>
        </w:rPr>
        <w:t>5</w:t>
      </w:r>
      <w:r>
        <w:rPr>
          <w:rFonts w:hint="eastAsia" w:ascii="Times New Roman" w:hAnsi="Times New Roman" w:eastAsia="宋体" w:cs="Times New Roman"/>
          <w:b/>
          <w:color w:val="000000" w:themeColor="text1"/>
          <w:sz w:val="28"/>
          <w:szCs w:val="28"/>
          <w14:textFill>
            <w14:solidFill>
              <w14:schemeClr w14:val="tx1"/>
            </w14:solidFill>
          </w14:textFill>
        </w:rPr>
        <w:t xml:space="preserve">  主要技术指标对比</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120"/>
        <w:gridCol w:w="2875"/>
        <w:gridCol w:w="1791"/>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spacing w:line="276" w:lineRule="auto"/>
              <w:jc w:val="left"/>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项目</w:t>
            </w:r>
          </w:p>
        </w:tc>
        <w:tc>
          <w:tcPr>
            <w:tcW w:w="1120" w:type="dxa"/>
            <w:vAlign w:val="center"/>
          </w:tcPr>
          <w:p>
            <w:pPr>
              <w:spacing w:line="276" w:lineRule="auto"/>
              <w:jc w:val="center"/>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指标</w:t>
            </w:r>
          </w:p>
        </w:tc>
        <w:tc>
          <w:tcPr>
            <w:tcW w:w="2875" w:type="dxa"/>
            <w:vAlign w:val="center"/>
          </w:tcPr>
          <w:p>
            <w:pPr>
              <w:spacing w:line="276" w:lineRule="auto"/>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DB37/T413-2004</w:t>
            </w:r>
          </w:p>
          <w:p>
            <w:pPr>
              <w:spacing w:line="276" w:lineRule="auto"/>
              <w:jc w:val="left"/>
              <w:rPr>
                <w:rFonts w:ascii="Times New Roman" w:hAnsi="Times New Roman" w:eastAsia="宋体" w:cs="Times New Roman"/>
                <w:b/>
                <w:color w:val="000000" w:themeColor="text1"/>
                <w:sz w:val="24"/>
                <w14:textFill>
                  <w14:solidFill>
                    <w14:schemeClr w14:val="tx1"/>
                  </w14:solidFill>
                </w14:textFill>
              </w:rPr>
            </w:pPr>
            <w:r>
              <w:rPr>
                <w:rFonts w:ascii="Times New Roman" w:hAnsi="Times New Roman" w:eastAsia="宋体" w:cs="Times New Roman"/>
                <w:b/>
                <w:color w:val="000000" w:themeColor="text1"/>
                <w:sz w:val="24"/>
                <w14:textFill>
                  <w14:solidFill>
                    <w14:schemeClr w14:val="tx1"/>
                  </w14:solidFill>
                </w14:textFill>
              </w:rPr>
              <w:t>《冻海水鱼片》</w:t>
            </w:r>
          </w:p>
        </w:tc>
        <w:tc>
          <w:tcPr>
            <w:tcW w:w="1791" w:type="dxa"/>
            <w:vAlign w:val="center"/>
          </w:tcPr>
          <w:p>
            <w:pPr>
              <w:spacing w:line="276" w:lineRule="auto"/>
              <w:jc w:val="center"/>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本标准</w:t>
            </w:r>
          </w:p>
        </w:tc>
        <w:tc>
          <w:tcPr>
            <w:tcW w:w="1978" w:type="dxa"/>
            <w:vAlign w:val="center"/>
          </w:tcPr>
          <w:p>
            <w:pPr>
              <w:spacing w:line="276" w:lineRule="auto"/>
              <w:jc w:val="center"/>
              <w:rPr>
                <w:rFonts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修改理由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4.4</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加工条件要求</w:t>
            </w:r>
          </w:p>
        </w:tc>
        <w:tc>
          <w:tcPr>
            <w:tcW w:w="2875" w:type="dxa"/>
            <w:vAlign w:val="center"/>
          </w:tcPr>
          <w:p>
            <w:pPr>
              <w:spacing w:line="360"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生产场地应清洁卫生，加工用水应符合GB 5749的要求，冻结时应采用速冻的方式使产品中心温度尽快达到-18</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。速冻时间：冷风强制循环版带接触式不得超过45mim，平板接触式不得超过4h。产品应镀冰衣（单冻）或包冰被（块冻）或真空包装。</w:t>
            </w:r>
          </w:p>
        </w:tc>
        <w:tc>
          <w:tcPr>
            <w:tcW w:w="1791" w:type="dxa"/>
            <w:vAlign w:val="center"/>
          </w:tcPr>
          <w:p>
            <w:pPr>
              <w:spacing w:line="360"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改为“厂区环境、厂房和车间、设备与设施、卫生管理、生产过程的食品安全控制、管理制度和人员等应符合GB 20941的规定。”</w:t>
            </w:r>
          </w:p>
        </w:tc>
        <w:tc>
          <w:tcPr>
            <w:tcW w:w="1978" w:type="dxa"/>
            <w:vAlign w:val="center"/>
          </w:tcPr>
          <w:p>
            <w:pPr>
              <w:spacing w:line="360"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为了控制产品卫生，规定生产条件应符合GB 20941</w:t>
            </w:r>
            <w:r>
              <w:rPr>
                <w:rFonts w:ascii="Times New Roman" w:hAnsi="Times New Roman"/>
                <w:color w:val="000000" w:themeColor="text1"/>
                <w:sz w:val="24"/>
                <w14:textFill>
                  <w14:solidFill>
                    <w14:schemeClr w14:val="tx1"/>
                  </w14:solidFill>
                </w14:textFill>
              </w:rPr>
              <w:t>的规定。</w:t>
            </w:r>
            <w:r>
              <w:rPr>
                <w:rFonts w:hint="eastAsia" w:ascii="Times New Roman" w:hAnsi="Times New Roman"/>
                <w:color w:val="000000" w:themeColor="text1"/>
                <w:sz w:val="24"/>
                <w14:textFill>
                  <w14:solidFill>
                    <w14:schemeClr w14:val="tx1"/>
                  </w14:solidFill>
                </w14:textFill>
              </w:rPr>
              <w:t>因本标准属于产品标准，对生产工艺不做规定。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532"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4.5</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冻品外观</w:t>
            </w:r>
          </w:p>
        </w:tc>
        <w:tc>
          <w:tcPr>
            <w:tcW w:w="2875"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单冻、块冻</w:t>
            </w:r>
          </w:p>
        </w:tc>
        <w:tc>
          <w:tcPr>
            <w:tcW w:w="1791"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增加“无明显干耗、返霜现象”</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干耗说明产品贮存时间太长，品质变化明显。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32" w:type="dxa"/>
            <w:vMerge w:val="restart"/>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4.6</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理化指标</w:t>
            </w:r>
          </w:p>
        </w:tc>
        <w:tc>
          <w:tcPr>
            <w:tcW w:w="2875" w:type="dxa"/>
            <w:vAlign w:val="center"/>
          </w:tcPr>
          <w:p>
            <w:pPr>
              <w:spacing w:line="276" w:lineRule="auto"/>
              <w:jc w:val="left"/>
              <w:rPr>
                <w:rFonts w:ascii="Times New Roman" w:hAnsi="Times New Roman"/>
                <w:color w:val="000000" w:themeColor="text1"/>
                <w:sz w:val="24"/>
                <w14:textFill>
                  <w14:solidFill>
                    <w14:schemeClr w14:val="tx1"/>
                  </w14:solidFill>
                </w14:textFill>
              </w:rPr>
            </w:pPr>
          </w:p>
        </w:tc>
        <w:tc>
          <w:tcPr>
            <w:tcW w:w="1791"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增加水分、组胺指标。</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冻海水鱼片的水分与产品品质及保质期有极大的关联性；组胺中毒是水产食品存在的主要安全问题之一。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32"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不合格小鱼片数，个</w:t>
            </w:r>
          </w:p>
        </w:tc>
        <w:tc>
          <w:tcPr>
            <w:tcW w:w="2875"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0（单冻产品）</w:t>
            </w:r>
          </w:p>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≤1（每一最小包装件小于250g）</w:t>
            </w:r>
          </w:p>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≤4（每一最小包装件≥250g）</w:t>
            </w:r>
          </w:p>
        </w:tc>
        <w:tc>
          <w:tcPr>
            <w:tcW w:w="1791"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删除</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现在很多小鱼开片作为产品出售，如冰鱼、红头鱼等，且多数规格小于25g。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32"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磷酸盐</w:t>
            </w:r>
            <w:r>
              <w:rPr>
                <w:rFonts w:ascii="Times New Roman" w:hAnsi="Times New Roman"/>
                <w:color w:val="000000" w:themeColor="text1"/>
                <w:sz w:val="24"/>
                <w14:textFill>
                  <w14:solidFill>
                    <w14:schemeClr w14:val="tx1"/>
                  </w14:solidFill>
                </w14:textFill>
              </w:rPr>
              <w:t>磷酸盐（以P2O5</w:t>
            </w:r>
            <w:r>
              <w:rPr>
                <w:rFonts w:hint="eastAsia" w:ascii="Times New Roman" w:hAnsi="Times New Roman"/>
                <w:color w:val="000000" w:themeColor="text1"/>
                <w:sz w:val="24"/>
                <w14:textFill>
                  <w14:solidFill>
                    <w14:schemeClr w14:val="tx1"/>
                  </w14:solidFill>
                </w14:textFill>
              </w:rPr>
              <w:t>计）</w:t>
            </w:r>
            <w:r>
              <w:rPr>
                <w:rFonts w:ascii="Times New Roman" w:hAnsi="Times New Roman"/>
                <w:color w:val="000000" w:themeColor="text1"/>
                <w:sz w:val="24"/>
                <w14:textFill>
                  <w14:solidFill>
                    <w14:schemeClr w14:val="tx1"/>
                  </w14:solidFill>
                </w14:textFill>
              </w:rPr>
              <w:t>%</w:t>
            </w:r>
          </w:p>
        </w:tc>
        <w:tc>
          <w:tcPr>
            <w:tcW w:w="2875" w:type="dxa"/>
            <w:vAlign w:val="center"/>
          </w:tcPr>
          <w:p>
            <w:pPr>
              <w:rPr>
                <w:rFonts w:ascii="Times New Roman" w:hAnsi="Times New Roman"/>
                <w:color w:val="000000" w:themeColor="text1"/>
                <w:sz w:val="24"/>
                <w14:textFill>
                  <w14:solidFill>
                    <w14:schemeClr w14:val="tx1"/>
                  </w14:solidFill>
                </w14:textFill>
              </w:rPr>
            </w:pPr>
          </w:p>
          <w:p>
            <w:pP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0.5</w:t>
            </w:r>
          </w:p>
        </w:tc>
        <w:tc>
          <w:tcPr>
            <w:tcW w:w="1791" w:type="dxa"/>
            <w:vAlign w:val="center"/>
          </w:tcPr>
          <w:p>
            <w:pP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删除</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本标准规定生产中添加的食品添加剂的品种和用量应符合GB 2760的规定。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532" w:type="dxa"/>
            <w:vMerge w:val="restart"/>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4.7</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无机砷（以As计）</w:t>
            </w:r>
          </w:p>
        </w:tc>
        <w:tc>
          <w:tcPr>
            <w:tcW w:w="2875"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≤0.5 mg/kg</w:t>
            </w:r>
          </w:p>
        </w:tc>
        <w:tc>
          <w:tcPr>
            <w:tcW w:w="1791" w:type="dxa"/>
            <w:vMerge w:val="restart"/>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改为“安全指标应符合GB 2733的规定。”</w:t>
            </w:r>
          </w:p>
        </w:tc>
        <w:tc>
          <w:tcPr>
            <w:tcW w:w="1978" w:type="dxa"/>
            <w:vMerge w:val="restart"/>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根据《中华人民共和国食品安全法》的规定，食品中的安全指标应符合相应食品安全国家标准的规定，因此本标准不再一一列出产品中污染物、微生物等安全指标。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2" w:type="dxa"/>
            <w:vMerge w:val="continue"/>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120" w:type="dxa"/>
            <w:tcBorders>
              <w:bottom w:val="single" w:color="auto" w:sz="4" w:space="0"/>
            </w:tcBorders>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甲基汞（以Hg计）</w:t>
            </w:r>
          </w:p>
        </w:tc>
        <w:tc>
          <w:tcPr>
            <w:tcW w:w="2875" w:type="dxa"/>
            <w:tcBorders>
              <w:bottom w:val="single" w:color="auto" w:sz="4" w:space="0"/>
            </w:tcBorders>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≤0.5 mg/kg</w:t>
            </w:r>
          </w:p>
        </w:tc>
        <w:tc>
          <w:tcPr>
            <w:tcW w:w="1791"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c>
          <w:tcPr>
            <w:tcW w:w="1978"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2" w:type="dxa"/>
            <w:vMerge w:val="continue"/>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120" w:type="dxa"/>
            <w:tcBorders>
              <w:bottom w:val="single" w:color="auto" w:sz="4" w:space="0"/>
            </w:tcBorders>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菌落总数，cfu/g</w:t>
            </w:r>
          </w:p>
        </w:tc>
        <w:tc>
          <w:tcPr>
            <w:tcW w:w="2875" w:type="dxa"/>
            <w:tcBorders>
              <w:bottom w:val="single" w:color="auto" w:sz="4" w:space="0"/>
            </w:tcBorders>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1.0</w:t>
            </w:r>
            <w:r>
              <w:rPr>
                <w:rFonts w:hint="eastAsia" w:hAnsi="宋体"/>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10</w:t>
            </w:r>
            <w:r>
              <w:rPr>
                <w:rFonts w:ascii="Times New Roman" w:hAnsi="Times New Roman"/>
                <w:color w:val="000000" w:themeColor="text1"/>
                <w:sz w:val="24"/>
                <w:vertAlign w:val="superscript"/>
                <w14:textFill>
                  <w14:solidFill>
                    <w14:schemeClr w14:val="tx1"/>
                  </w14:solidFill>
                </w14:textFill>
              </w:rPr>
              <w:t>6</w:t>
            </w:r>
          </w:p>
        </w:tc>
        <w:tc>
          <w:tcPr>
            <w:tcW w:w="1791"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c>
          <w:tcPr>
            <w:tcW w:w="1978" w:type="dxa"/>
            <w:vMerge w:val="continue"/>
            <w:vAlign w:val="center"/>
          </w:tcPr>
          <w:p>
            <w:pPr>
              <w:spacing w:line="276" w:lineRule="auto"/>
              <w:jc w:val="left"/>
              <w:rPr>
                <w:rFonts w:ascii="Times New Roman" w:hAnsi="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2" w:type="dxa"/>
            <w:vMerge w:val="continue"/>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120" w:type="dxa"/>
            <w:tcBorders>
              <w:bottom w:val="single" w:color="auto" w:sz="4" w:space="0"/>
            </w:tcBorders>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大肠杆菌，MPN/g</w:t>
            </w:r>
          </w:p>
        </w:tc>
        <w:tc>
          <w:tcPr>
            <w:tcW w:w="2875" w:type="dxa"/>
            <w:tcBorders>
              <w:bottom w:val="single" w:color="auto" w:sz="4" w:space="0"/>
            </w:tcBorders>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1.0</w:t>
            </w:r>
            <w:r>
              <w:rPr>
                <w:rFonts w:hint="eastAsia" w:hAnsi="宋体"/>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10</w:t>
            </w:r>
            <w:r>
              <w:rPr>
                <w:rFonts w:ascii="Times New Roman" w:hAnsi="Times New Roman"/>
                <w:color w:val="000000" w:themeColor="text1"/>
                <w:sz w:val="24"/>
                <w:vertAlign w:val="superscript"/>
                <w14:textFill>
                  <w14:solidFill>
                    <w14:schemeClr w14:val="tx1"/>
                  </w14:solidFill>
                </w14:textFill>
              </w:rPr>
              <w:t>3</w:t>
            </w:r>
          </w:p>
        </w:tc>
        <w:tc>
          <w:tcPr>
            <w:tcW w:w="1791" w:type="dxa"/>
            <w:vMerge w:val="continue"/>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978" w:type="dxa"/>
            <w:vMerge w:val="continue"/>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2" w:type="dxa"/>
            <w:vMerge w:val="continue"/>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120" w:type="dxa"/>
            <w:tcBorders>
              <w:bottom w:val="single" w:color="auto" w:sz="4" w:space="0"/>
            </w:tcBorders>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沙门氏菌</w:t>
            </w:r>
          </w:p>
        </w:tc>
        <w:tc>
          <w:tcPr>
            <w:tcW w:w="2875" w:type="dxa"/>
            <w:tcBorders>
              <w:bottom w:val="single" w:color="auto" w:sz="4" w:space="0"/>
            </w:tcBorders>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不得检出</w:t>
            </w:r>
          </w:p>
        </w:tc>
        <w:tc>
          <w:tcPr>
            <w:tcW w:w="1791" w:type="dxa"/>
            <w:vMerge w:val="continue"/>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c>
          <w:tcPr>
            <w:tcW w:w="1978" w:type="dxa"/>
            <w:vMerge w:val="continue"/>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532" w:type="dxa"/>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6</w:t>
            </w:r>
            <w:r>
              <w:rPr>
                <w:rFonts w:ascii="Times New Roman" w:hAnsi="Times New Roman" w:eastAsia="宋体" w:cs="Times New Roman"/>
                <w:color w:val="000000" w:themeColor="text1"/>
                <w:sz w:val="24"/>
                <w14:textFill>
                  <w14:solidFill>
                    <w14:schemeClr w14:val="tx1"/>
                  </w14:solidFill>
                </w14:textFill>
              </w:rPr>
              <w:t>.3</w:t>
            </w:r>
          </w:p>
        </w:tc>
        <w:tc>
          <w:tcPr>
            <w:tcW w:w="1120" w:type="dxa"/>
            <w:tcBorders>
              <w:bottom w:val="single" w:color="auto" w:sz="4" w:space="0"/>
            </w:tcBorders>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检验分类</w:t>
            </w:r>
          </w:p>
        </w:tc>
        <w:tc>
          <w:tcPr>
            <w:tcW w:w="2875" w:type="dxa"/>
            <w:tcBorders>
              <w:bottom w:val="single" w:color="auto" w:sz="4" w:space="0"/>
            </w:tcBorders>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6.1.3 出厂检验</w:t>
            </w:r>
          </w:p>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每批产品应进行出厂检验。 出厂检验由生产单位质量检验部门执行, 检验项目为感官、 净含量偏差、冻品中心温度、不合格小鱼片数，检验合格签发检验合格证, 产品凭检验合格证入库或出厂。</w:t>
            </w:r>
          </w:p>
        </w:tc>
        <w:tc>
          <w:tcPr>
            <w:tcW w:w="1791" w:type="dxa"/>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出厂检验项目删除“不合格小鱼片数”。</w:t>
            </w:r>
          </w:p>
        </w:tc>
        <w:tc>
          <w:tcPr>
            <w:tcW w:w="1978" w:type="dxa"/>
            <w:tcBorders>
              <w:bottom w:val="single" w:color="auto" w:sz="4" w:space="0"/>
            </w:tcBorders>
            <w:vAlign w:val="center"/>
          </w:tcPr>
          <w:p>
            <w:pPr>
              <w:spacing w:line="276" w:lineRule="auto"/>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本标准理化指标删除了“不合格小鱼片数”的要求。因此，本标准规定出厂检验项目也相应删除了“不合格小鱼片数”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32"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6.4</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判定规则</w:t>
            </w:r>
          </w:p>
        </w:tc>
        <w:tc>
          <w:tcPr>
            <w:tcW w:w="2875" w:type="dxa"/>
            <w:vAlign w:val="center"/>
          </w:tcPr>
          <w:p>
            <w:pPr>
              <w:spacing w:line="276"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6.3.1 应检项目全部符合标准的判为合格。</w:t>
            </w:r>
          </w:p>
          <w:p>
            <w:pPr>
              <w:spacing w:line="276"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6.3.2 安全卫生指标检验结果中有一项指标不合格，则判该批产品不合格，不得复检。</w:t>
            </w:r>
          </w:p>
          <w:p>
            <w:pPr>
              <w:spacing w:line="276"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6.3.3 其他检验结果中有一项指标不合格，允许加倍抽样将次项指标复检一次，按复检结果判定该批产品是否合格。</w:t>
            </w:r>
          </w:p>
          <w:p>
            <w:pPr>
              <w:spacing w:line="276" w:lineRule="auto"/>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6.3.4 其他检验结果中有两项或两项以上指标不合格，则判该批产品不合格。</w:t>
            </w:r>
          </w:p>
        </w:tc>
        <w:tc>
          <w:tcPr>
            <w:tcW w:w="1791"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7.4.1　检验项目全部合格时，判定该批产品质量符合本文件的规定。</w:t>
            </w:r>
          </w:p>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7.4.2　检验项目如出现不合格时，应重新自同批产品中抽取两倍量样品进行复检，以复检结果为准。若仍有不合格，判定该批产品不符合本文件的规定。</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参照相关国家、行业标准的规定。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spacing w:before="120" w:after="120"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7.3</w:t>
            </w:r>
          </w:p>
        </w:tc>
        <w:tc>
          <w:tcPr>
            <w:tcW w:w="1120" w:type="dxa"/>
            <w:vAlign w:val="center"/>
          </w:tcPr>
          <w:p>
            <w:pPr>
              <w:spacing w:before="120" w:after="120"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运输</w:t>
            </w:r>
          </w:p>
        </w:tc>
        <w:tc>
          <w:tcPr>
            <w:tcW w:w="2875" w:type="dxa"/>
            <w:vAlign w:val="center"/>
          </w:tcPr>
          <w:p>
            <w:pPr>
              <w:spacing w:before="120" w:after="120"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用冷藏货具有保温性能的运输工具运输，并保持鱼片温度为-18</w:t>
            </w:r>
            <w:r>
              <w:rPr>
                <w:rFonts w:hint="eastAsia" w:ascii="Times New Roman" w:hAnsi="Times New Roman"/>
                <w:color w:val="000000" w:themeColor="text1"/>
                <w:sz w:val="24"/>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，温度波动应保持在±2</w:t>
            </w:r>
            <w:r>
              <w:rPr>
                <w:rFonts w:hint="eastAsia" w:ascii="Times New Roman" w:hAnsi="Times New Roman"/>
                <w:color w:val="000000" w:themeColor="text1"/>
                <w:sz w:val="24"/>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内；运输工具应清洁卫生，无异味，运输中防止虫害、有害物质的污染，不得靠近或接触有腐蚀性物质，不得与气味浓郁物品混运。</w:t>
            </w:r>
          </w:p>
        </w:tc>
        <w:tc>
          <w:tcPr>
            <w:tcW w:w="1791" w:type="dxa"/>
            <w:vAlign w:val="center"/>
          </w:tcPr>
          <w:p>
            <w:pPr>
              <w:spacing w:before="120" w:after="120"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产品运输过程中应保持产品温度</w:t>
            </w:r>
          </w:p>
          <w:p>
            <w:pPr>
              <w:spacing w:before="120" w:after="120"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≤- 15 ℃。</w:t>
            </w:r>
          </w:p>
        </w:tc>
        <w:tc>
          <w:tcPr>
            <w:tcW w:w="1978" w:type="dxa"/>
            <w:vAlign w:val="center"/>
          </w:tcPr>
          <w:p>
            <w:pPr>
              <w:spacing w:before="120" w:after="120"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参照相关国家、行业标准。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7.4</w:t>
            </w:r>
          </w:p>
        </w:tc>
        <w:tc>
          <w:tcPr>
            <w:tcW w:w="1120" w:type="dxa"/>
            <w:vAlign w:val="center"/>
          </w:tcPr>
          <w:p>
            <w:pPr>
              <w:spacing w:line="276" w:lineRule="auto"/>
              <w:jc w:val="center"/>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贮存</w:t>
            </w:r>
          </w:p>
        </w:tc>
        <w:tc>
          <w:tcPr>
            <w:tcW w:w="2875" w:type="dxa"/>
            <w:vAlign w:val="center"/>
          </w:tcPr>
          <w:p>
            <w:pPr>
              <w:spacing w:line="276" w:lineRule="auto"/>
              <w:jc w:val="left"/>
              <w:rPr>
                <w:rFonts w:ascii="Times New Roman" w:hAnsi="Times New Roman"/>
                <w:color w:val="000000" w:themeColor="text1"/>
                <w:sz w:val="24"/>
                <w14:textFill>
                  <w14:solidFill>
                    <w14:schemeClr w14:val="tx1"/>
                  </w14:solidFill>
                </w14:textFill>
              </w:rPr>
            </w:pPr>
            <w:bookmarkStart w:id="48" w:name="_Hlk137113078"/>
            <w:r>
              <w:rPr>
                <w:rFonts w:ascii="Times New Roman" w:hAnsi="Times New Roman"/>
                <w:color w:val="000000" w:themeColor="text1"/>
                <w:sz w:val="24"/>
                <w14:textFill>
                  <w14:solidFill>
                    <w14:schemeClr w14:val="tx1"/>
                  </w14:solidFill>
                </w14:textFill>
              </w:rPr>
              <w:t>冻藏保存期12个月。</w:t>
            </w:r>
            <w:bookmarkEnd w:id="48"/>
          </w:p>
        </w:tc>
        <w:tc>
          <w:tcPr>
            <w:tcW w:w="1791"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删除了保质期要求。</w:t>
            </w:r>
          </w:p>
        </w:tc>
        <w:tc>
          <w:tcPr>
            <w:tcW w:w="1978" w:type="dxa"/>
            <w:vAlign w:val="center"/>
          </w:tcPr>
          <w:p>
            <w:pPr>
              <w:spacing w:line="276" w:lineRule="auto"/>
              <w:jc w:val="left"/>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镀冰衣与否，不同包装形式的产品，保质期也不同。</w:t>
            </w:r>
            <w:r>
              <w:rPr>
                <w:rFonts w:hint="eastAsia" w:hAnsi="宋体" w:cs="宋体"/>
                <w:color w:val="000000" w:themeColor="text1"/>
                <w:sz w:val="24"/>
                <w14:textFill>
                  <w14:solidFill>
                    <w14:schemeClr w14:val="tx1"/>
                  </w14:solidFill>
                </w14:textFill>
              </w:rPr>
              <w:t>同时参考相关国家、行业标准，产品标准不规定保质期。</w:t>
            </w:r>
          </w:p>
        </w:tc>
      </w:tr>
    </w:tbl>
    <w:p>
      <w:pPr>
        <w:spacing w:line="276" w:lineRule="auto"/>
        <w:jc w:val="left"/>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四、主要试验（或验证）的分析</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本次修订指标的确认主要引用相关国家、行业标准。</w:t>
      </w:r>
    </w:p>
    <w:p>
      <w:pPr>
        <w:spacing w:line="276" w:lineRule="auto"/>
        <w:ind w:firstLine="560" w:firstLineChars="20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验证报告见附件1-</w:t>
      </w:r>
      <w:r>
        <w:rPr>
          <w:rFonts w:ascii="Times New Roman" w:hAnsi="Times New Roman" w:eastAsia="宋体" w:cs="Times New Roman"/>
          <w:color w:val="000000" w:themeColor="text1"/>
          <w:sz w:val="28"/>
          <w:szCs w:val="28"/>
          <w14:textFill>
            <w14:solidFill>
              <w14:schemeClr w14:val="tx1"/>
            </w14:solidFill>
          </w14:textFill>
        </w:rPr>
        <w:t>3</w:t>
      </w:r>
      <w:r>
        <w:rPr>
          <w:rFonts w:hint="eastAsia" w:ascii="Times New Roman" w:hAnsi="Times New Roman" w:eastAsia="宋体" w:cs="Times New Roman"/>
          <w:color w:val="000000" w:themeColor="text1"/>
          <w:sz w:val="28"/>
          <w:szCs w:val="28"/>
          <w14:textFill>
            <w14:solidFill>
              <w14:schemeClr w14:val="tx1"/>
            </w14:solidFill>
          </w14:textFill>
        </w:rPr>
        <w:t>。</w:t>
      </w:r>
    </w:p>
    <w:p>
      <w:pPr>
        <w:spacing w:line="276" w:lineRule="auto"/>
        <w:ind w:firstLine="555"/>
        <w:jc w:val="left"/>
        <w:rPr>
          <w:rFonts w:ascii="Times New Roman" w:hAnsi="Times New Roman" w:eastAsia="宋体" w:cs="Times New Roman"/>
          <w:bCs/>
          <w:sz w:val="28"/>
          <w:szCs w:val="28"/>
        </w:rPr>
      </w:pPr>
      <w:r>
        <w:rPr>
          <w:rFonts w:hint="eastAsia" w:ascii="Times New Roman" w:hAnsi="Times New Roman" w:eastAsia="宋体" w:cs="Times New Roman"/>
          <w:bCs/>
          <w:sz w:val="28"/>
          <w:szCs w:val="28"/>
        </w:rPr>
        <w:t>冻海水鱼片组胺、挥发性盐基氮的检测数据见表</w:t>
      </w:r>
      <w:r>
        <w:rPr>
          <w:rFonts w:ascii="Times New Roman" w:hAnsi="Times New Roman" w:eastAsia="宋体" w:cs="Times New Roman"/>
          <w:bCs/>
          <w:sz w:val="28"/>
          <w:szCs w:val="28"/>
        </w:rPr>
        <w:t>7</w:t>
      </w:r>
      <w:r>
        <w:rPr>
          <w:rFonts w:hint="eastAsia" w:ascii="Times New Roman" w:hAnsi="Times New Roman" w:eastAsia="宋体" w:cs="Times New Roman"/>
          <w:bCs/>
          <w:sz w:val="28"/>
          <w:szCs w:val="28"/>
        </w:rPr>
        <w:t>、表8。</w:t>
      </w:r>
    </w:p>
    <w:p>
      <w:pPr>
        <w:spacing w:line="276" w:lineRule="auto"/>
        <w:ind w:firstLine="555"/>
        <w:jc w:val="center"/>
        <w:rPr>
          <w:rFonts w:ascii="Times New Roman" w:hAnsi="Times New Roman" w:eastAsia="宋体" w:cs="Times New Roman"/>
          <w:b/>
          <w:sz w:val="28"/>
          <w:szCs w:val="28"/>
        </w:rPr>
      </w:pPr>
      <w:bookmarkStart w:id="49" w:name="_Hlk139372243"/>
      <w:r>
        <w:rPr>
          <w:rFonts w:hint="eastAsia" w:ascii="Times New Roman" w:hAnsi="Times New Roman" w:eastAsia="宋体" w:cs="Times New Roman"/>
          <w:b/>
          <w:sz w:val="28"/>
          <w:szCs w:val="28"/>
        </w:rPr>
        <w:t>表</w:t>
      </w:r>
      <w:r>
        <w:rPr>
          <w:rFonts w:ascii="Times New Roman" w:hAnsi="Times New Roman" w:eastAsia="宋体" w:cs="Times New Roman"/>
          <w:b/>
          <w:sz w:val="28"/>
          <w:szCs w:val="28"/>
        </w:rPr>
        <w:t>7</w:t>
      </w:r>
      <w:r>
        <w:rPr>
          <w:rFonts w:hint="eastAsia" w:ascii="Times New Roman" w:hAnsi="Times New Roman" w:eastAsia="宋体" w:cs="Times New Roman"/>
          <w:b/>
          <w:sz w:val="28"/>
          <w:szCs w:val="28"/>
        </w:rPr>
        <w:t xml:space="preserve">   冻海水鱼片组胺检测数据</w:t>
      </w:r>
    </w:p>
    <w:bookmarkEnd w:id="49"/>
    <w:tbl>
      <w:tblPr>
        <w:tblStyle w:val="35"/>
        <w:tblW w:w="6516" w:type="dxa"/>
        <w:jc w:val="center"/>
        <w:tblLayout w:type="autofit"/>
        <w:tblCellMar>
          <w:top w:w="0" w:type="dxa"/>
          <w:left w:w="108" w:type="dxa"/>
          <w:bottom w:w="0" w:type="dxa"/>
          <w:right w:w="108" w:type="dxa"/>
        </w:tblCellMar>
      </w:tblPr>
      <w:tblGrid>
        <w:gridCol w:w="846"/>
        <w:gridCol w:w="2126"/>
        <w:gridCol w:w="1701"/>
        <w:gridCol w:w="1843"/>
      </w:tblGrid>
      <w:tr>
        <w:tblPrEx>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编号</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样品名称</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检测项目名称</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检测值</w:t>
            </w:r>
          </w:p>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（g/kg）</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1</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速冻烧烤秋刀鱼片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2</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鲭鱼片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3</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冻调味鲭鱼片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4</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盐渍鲭鱼片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5</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冻调味秋刀鱼片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6</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竹荚鱼片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7</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竹荚鱼片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8</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竹荚鱼片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nil"/>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9</w:t>
            </w:r>
          </w:p>
        </w:tc>
        <w:tc>
          <w:tcPr>
            <w:tcW w:w="2126"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鲭骨五片</w:t>
            </w:r>
          </w:p>
        </w:tc>
        <w:tc>
          <w:tcPr>
            <w:tcW w:w="1701"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color w:val="000000"/>
                <w:sz w:val="22"/>
                <w:szCs w:val="22"/>
              </w:rPr>
              <w:t>1</w:t>
            </w:r>
            <w:r>
              <w:rPr>
                <w:color w:val="000000"/>
                <w:sz w:val="22"/>
                <w:szCs w:val="22"/>
              </w:rPr>
              <w:t>0</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鲭三枚卸</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组胺</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未检出</w:t>
            </w:r>
          </w:p>
        </w:tc>
      </w:tr>
      <w:tr>
        <w:tblPrEx>
          <w:tblCellMar>
            <w:top w:w="0" w:type="dxa"/>
            <w:left w:w="108" w:type="dxa"/>
            <w:bottom w:w="0" w:type="dxa"/>
            <w:right w:w="108" w:type="dxa"/>
          </w:tblCellMar>
        </w:tblPrEx>
        <w:trPr>
          <w:jc w:val="center"/>
        </w:trPr>
        <w:tc>
          <w:tcPr>
            <w:tcW w:w="6516" w:type="dxa"/>
            <w:gridSpan w:val="4"/>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合格率：1</w:t>
            </w:r>
            <w:r>
              <w:rPr>
                <w:rFonts w:ascii="宋体" w:hAnsi="宋体" w:eastAsia="宋体" w:cs="宋体"/>
                <w:kern w:val="0"/>
                <w:sz w:val="22"/>
                <w:szCs w:val="22"/>
              </w:rPr>
              <w:t>00</w:t>
            </w:r>
            <w:r>
              <w:rPr>
                <w:rFonts w:hint="eastAsia" w:ascii="宋体" w:hAnsi="宋体" w:eastAsia="宋体" w:cs="宋体"/>
                <w:kern w:val="0"/>
                <w:sz w:val="22"/>
                <w:szCs w:val="22"/>
              </w:rPr>
              <w:t>%</w:t>
            </w:r>
          </w:p>
        </w:tc>
      </w:tr>
    </w:tbl>
    <w:p>
      <w:pPr>
        <w:spacing w:line="276" w:lineRule="auto"/>
        <w:ind w:firstLine="285"/>
        <w:jc w:val="center"/>
        <w:rPr>
          <w:rFonts w:ascii="Times New Roman" w:hAnsi="Times New Roman" w:eastAsia="宋体" w:cs="Times New Roman"/>
          <w:b/>
          <w:bCs/>
          <w:color w:val="000000" w:themeColor="text1"/>
          <w:sz w:val="28"/>
          <w:szCs w:val="28"/>
          <w14:textFill>
            <w14:solidFill>
              <w14:schemeClr w14:val="tx1"/>
            </w14:solidFill>
          </w14:textFill>
        </w:rPr>
      </w:pPr>
      <w:r>
        <w:rPr>
          <w:rFonts w:hint="eastAsia" w:ascii="Times New Roman" w:hAnsi="Times New Roman" w:eastAsia="宋体" w:cs="Times New Roman"/>
          <w:b/>
          <w:bCs/>
          <w:color w:val="000000" w:themeColor="text1"/>
          <w:sz w:val="28"/>
          <w:szCs w:val="28"/>
          <w14:textFill>
            <w14:solidFill>
              <w14:schemeClr w14:val="tx1"/>
            </w14:solidFill>
          </w14:textFill>
        </w:rPr>
        <w:t>表</w:t>
      </w:r>
      <w:r>
        <w:rPr>
          <w:rFonts w:ascii="Times New Roman" w:hAnsi="Times New Roman" w:eastAsia="宋体" w:cs="Times New Roman"/>
          <w:b/>
          <w:bCs/>
          <w:color w:val="000000" w:themeColor="text1"/>
          <w:sz w:val="28"/>
          <w:szCs w:val="28"/>
          <w14:textFill>
            <w14:solidFill>
              <w14:schemeClr w14:val="tx1"/>
            </w14:solidFill>
          </w14:textFill>
        </w:rPr>
        <w:t>8</w:t>
      </w:r>
      <w:r>
        <w:rPr>
          <w:rFonts w:hint="eastAsia" w:ascii="Times New Roman" w:hAnsi="Times New Roman" w:eastAsia="宋体" w:cs="Times New Roman"/>
          <w:b/>
          <w:bCs/>
          <w:color w:val="000000" w:themeColor="text1"/>
          <w:sz w:val="28"/>
          <w:szCs w:val="28"/>
          <w14:textFill>
            <w14:solidFill>
              <w14:schemeClr w14:val="tx1"/>
            </w14:solidFill>
          </w14:textFill>
        </w:rPr>
        <w:t xml:space="preserve">   冻海水鱼片组胺检测数据</w:t>
      </w:r>
    </w:p>
    <w:tbl>
      <w:tblPr>
        <w:tblStyle w:val="35"/>
        <w:tblW w:w="6516" w:type="dxa"/>
        <w:jc w:val="center"/>
        <w:tblLayout w:type="autofit"/>
        <w:tblCellMar>
          <w:top w:w="0" w:type="dxa"/>
          <w:left w:w="108" w:type="dxa"/>
          <w:bottom w:w="0" w:type="dxa"/>
          <w:right w:w="108" w:type="dxa"/>
        </w:tblCellMar>
      </w:tblPr>
      <w:tblGrid>
        <w:gridCol w:w="850"/>
        <w:gridCol w:w="1843"/>
        <w:gridCol w:w="1985"/>
        <w:gridCol w:w="1838"/>
      </w:tblGrid>
      <w:tr>
        <w:tblPrEx>
          <w:tblCellMar>
            <w:top w:w="0" w:type="dxa"/>
            <w:left w:w="108" w:type="dxa"/>
            <w:bottom w:w="0" w:type="dxa"/>
            <w:right w:w="108" w:type="dxa"/>
          </w:tblCellMar>
        </w:tblPrEx>
        <w:trPr>
          <w:trHeight w:val="270" w:hRule="atLeast"/>
          <w:jc w:val="center"/>
        </w:trPr>
        <w:tc>
          <w:tcPr>
            <w:tcW w:w="850"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编号</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样品名称</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检测项目名称</w:t>
            </w:r>
          </w:p>
        </w:tc>
        <w:tc>
          <w:tcPr>
            <w:tcW w:w="183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检测值</w:t>
            </w:r>
          </w:p>
          <w:p>
            <w:pPr>
              <w:widowControl/>
              <w:spacing w:line="360" w:lineRule="auto"/>
              <w:jc w:val="center"/>
              <w:rPr>
                <w:rFonts w:ascii="宋体" w:hAnsi="宋体" w:eastAsia="宋体" w:cs="宋体"/>
                <w:kern w:val="0"/>
                <w:sz w:val="22"/>
                <w:szCs w:val="22"/>
              </w:rPr>
            </w:pPr>
            <w:r>
              <w:rPr>
                <w:rFonts w:hint="eastAsia" w:ascii="宋体" w:hAnsi="宋体" w:eastAsia="宋体" w:cs="宋体"/>
                <w:color w:val="000000"/>
                <w:kern w:val="0"/>
                <w:sz w:val="22"/>
                <w:szCs w:val="22"/>
              </w:rPr>
              <w:t>（mg/100g）</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1</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墨鱼切片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6.44</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2</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鲽鱼切片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5.28</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3</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鲭鱼片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6.38</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4</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盐渍鲭鱼片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8.17</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5</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蒲烧星鳗切片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12.3</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6</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鯖鱼片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8.80</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7</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鲭鱼片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6.91</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8</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鯖鱼片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10.5</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9</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红鱼片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3.54</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kern w:val="0"/>
                <w:sz w:val="22"/>
                <w:szCs w:val="22"/>
              </w:rPr>
            </w:pPr>
            <w:r>
              <w:rPr>
                <w:rFonts w:hint="eastAsia"/>
                <w:color w:val="000000"/>
                <w:sz w:val="22"/>
                <w:szCs w:val="22"/>
              </w:rPr>
              <w:t>1</w:t>
            </w:r>
            <w:r>
              <w:rPr>
                <w:color w:val="000000"/>
                <w:sz w:val="22"/>
                <w:szCs w:val="22"/>
              </w:rPr>
              <w:t>0</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狭鳕鱼片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6.05</w:t>
            </w:r>
          </w:p>
        </w:tc>
      </w:tr>
      <w:tr>
        <w:tblPrEx>
          <w:tblCellMar>
            <w:top w:w="0" w:type="dxa"/>
            <w:left w:w="108" w:type="dxa"/>
            <w:bottom w:w="0" w:type="dxa"/>
            <w:right w:w="108" w:type="dxa"/>
          </w:tblCellMar>
        </w:tblPrEx>
        <w:trPr>
          <w:trHeight w:val="270" w:hRule="atLeast"/>
          <w:jc w:val="center"/>
        </w:trPr>
        <w:tc>
          <w:tcPr>
            <w:tcW w:w="850" w:type="dxa"/>
            <w:tcBorders>
              <w:top w:val="nil"/>
              <w:left w:val="single" w:color="auto" w:sz="4" w:space="0"/>
              <w:bottom w:val="single" w:color="auto" w:sz="4" w:space="0"/>
              <w:right w:val="single" w:color="auto" w:sz="4" w:space="0"/>
            </w:tcBorders>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1</w:t>
            </w:r>
          </w:p>
        </w:tc>
        <w:tc>
          <w:tcPr>
            <w:tcW w:w="1843"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烤鳕鱼片</w:t>
            </w:r>
          </w:p>
        </w:tc>
        <w:tc>
          <w:tcPr>
            <w:tcW w:w="1985"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9.37</w:t>
            </w:r>
          </w:p>
        </w:tc>
      </w:tr>
      <w:tr>
        <w:tblPrEx>
          <w:tblCellMar>
            <w:top w:w="0" w:type="dxa"/>
            <w:left w:w="108" w:type="dxa"/>
            <w:bottom w:w="0" w:type="dxa"/>
            <w:right w:w="108" w:type="dxa"/>
          </w:tblCellMar>
        </w:tblPrEx>
        <w:trPr>
          <w:trHeight w:val="270" w:hRule="atLeast"/>
          <w:jc w:val="center"/>
        </w:trPr>
        <w:tc>
          <w:tcPr>
            <w:tcW w:w="850"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2</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烧烤鲭鱼片</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挥发性盐基氮</w:t>
            </w:r>
          </w:p>
        </w:tc>
        <w:tc>
          <w:tcPr>
            <w:tcW w:w="1838"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17.5</w:t>
            </w:r>
          </w:p>
        </w:tc>
      </w:tr>
      <w:tr>
        <w:tblPrEx>
          <w:tblCellMar>
            <w:top w:w="0" w:type="dxa"/>
            <w:left w:w="108" w:type="dxa"/>
            <w:bottom w:w="0" w:type="dxa"/>
            <w:right w:w="108" w:type="dxa"/>
          </w:tblCellMar>
        </w:tblPrEx>
        <w:trPr>
          <w:trHeight w:val="270" w:hRule="atLeast"/>
          <w:jc w:val="center"/>
        </w:trPr>
        <w:tc>
          <w:tcPr>
            <w:tcW w:w="6516" w:type="dxa"/>
            <w:gridSpan w:val="4"/>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宋体" w:hAnsi="宋体" w:eastAsia="宋体" w:cs="宋体"/>
                <w:kern w:val="0"/>
                <w:sz w:val="22"/>
                <w:szCs w:val="22"/>
              </w:rPr>
            </w:pPr>
            <w:r>
              <w:rPr>
                <w:rFonts w:hint="eastAsia" w:ascii="宋体" w:hAnsi="宋体" w:eastAsia="宋体" w:cs="宋体"/>
                <w:kern w:val="0"/>
                <w:sz w:val="22"/>
                <w:szCs w:val="22"/>
              </w:rPr>
              <w:t>合格率：100%</w:t>
            </w:r>
          </w:p>
        </w:tc>
      </w:tr>
    </w:tbl>
    <w:p>
      <w:pPr>
        <w:spacing w:line="276" w:lineRule="auto"/>
        <w:jc w:val="left"/>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五、国内外现行法律、法规和标准情况</w:t>
      </w:r>
    </w:p>
    <w:p>
      <w:pPr>
        <w:ind w:firstLine="48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本标准的编制主要依据为现行的法律、法规和强制性国家标准，并与这些文件的规定相一致。</w:t>
      </w:r>
    </w:p>
    <w:p>
      <w:pPr>
        <w:ind w:firstLine="480"/>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安全指标引用GB 2733 《食品安全国家标准  鲜、冻动物性水产品》</w:t>
      </w:r>
      <w:r>
        <w:rPr>
          <w:rFonts w:hint="eastAsia" w:asciiTheme="minorEastAsia" w:hAnsiTheme="minorEastAsia"/>
          <w:bCs/>
          <w:color w:val="000000" w:themeColor="text1"/>
          <w:sz w:val="28"/>
          <w:szCs w:val="28"/>
          <w14:textFill>
            <w14:solidFill>
              <w14:schemeClr w14:val="tx1"/>
            </w14:solidFill>
          </w14:textFill>
        </w:rPr>
        <w:t>。</w:t>
      </w:r>
    </w:p>
    <w:p>
      <w:pP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 xml:space="preserve">六、重大分歧意见的处理依据和结果     </w:t>
      </w:r>
    </w:p>
    <w:p>
      <w:pPr>
        <w:ind w:firstLine="480"/>
        <w:rPr>
          <w:rFonts w:cs="Times New Roman" w:asciiTheme="minorEastAsia" w:hAnsiTheme="minorEastAsia"/>
          <w:color w:val="000000" w:themeColor="text1"/>
          <w:sz w:val="28"/>
          <w:szCs w:val="28"/>
          <w14:textFill>
            <w14:solidFill>
              <w14:schemeClr w14:val="tx1"/>
            </w14:solidFill>
          </w14:textFill>
        </w:rPr>
      </w:pPr>
      <w:r>
        <w:rPr>
          <w:rFonts w:hint="eastAsia" w:cs="Times New Roman" w:asciiTheme="minorEastAsia" w:hAnsiTheme="minorEastAsia"/>
          <w:color w:val="000000" w:themeColor="text1"/>
          <w:sz w:val="28"/>
          <w:szCs w:val="28"/>
          <w14:textFill>
            <w14:solidFill>
              <w14:schemeClr w14:val="tx1"/>
            </w14:solidFill>
          </w14:textFill>
        </w:rPr>
        <w:t>本标准制定过程中，无重大分歧意见。</w:t>
      </w:r>
    </w:p>
    <w:p>
      <w:pP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七、预期的社会经济效益及贯彻实施标准的要求、措施等建议</w:t>
      </w:r>
    </w:p>
    <w:p>
      <w:pPr>
        <w:ind w:firstLine="48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（一）</w:t>
      </w:r>
      <w:r>
        <w:rPr>
          <w:rFonts w:hint="eastAsia" w:ascii="Times New Roman" w:hAnsi="Times New Roman" w:eastAsia="宋体" w:cs="Times New Roman"/>
          <w:b/>
          <w:color w:val="000000" w:themeColor="text1"/>
          <w:sz w:val="28"/>
          <w:szCs w:val="28"/>
          <w14:textFill>
            <w14:solidFill>
              <w14:schemeClr w14:val="tx1"/>
            </w14:solidFill>
          </w14:textFill>
        </w:rPr>
        <w:t>预期的社会经济效益</w:t>
      </w:r>
    </w:p>
    <w:p>
      <w:pPr>
        <w:spacing w:line="276" w:lineRule="auto"/>
        <w:ind w:firstLine="42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本标准发布实施后，将为冻海水鱼片生产企业提供统一的产品标准，便于有关部门对该类产品的统一管理，推动冻海水鱼片产品内销的进一步发展。本标准将为规范市场及行业监管提供技术支撑和依据。本标准的实施，将有利于稳定和提高产品质量，促进企业走质量效益型发展道路，增强企业素质，提高企业竞争力；有利于保护人体健康，保护生态环境，合理利用资源；有利于维护消费者权益。</w:t>
      </w:r>
    </w:p>
    <w:p>
      <w:pPr>
        <w:spacing w:line="276" w:lineRule="auto"/>
        <w:ind w:firstLine="420"/>
        <w:jc w:val="left"/>
        <w:rPr>
          <w:rFonts w:ascii="Times New Roman" w:hAnsi="Times New Roman" w:eastAsia="宋体" w:cs="Times New Roman"/>
          <w:b/>
          <w:bCs/>
          <w:color w:val="000000" w:themeColor="text1"/>
          <w:sz w:val="28"/>
          <w:szCs w:val="28"/>
          <w14:textFill>
            <w14:solidFill>
              <w14:schemeClr w14:val="tx1"/>
            </w14:solidFill>
          </w14:textFill>
        </w:rPr>
      </w:pPr>
      <w:r>
        <w:rPr>
          <w:rFonts w:hint="eastAsia" w:ascii="Times New Roman" w:hAnsi="Times New Roman" w:eastAsia="宋体" w:cs="Times New Roman"/>
          <w:b/>
          <w:bCs/>
          <w:color w:val="000000" w:themeColor="text1"/>
          <w:sz w:val="28"/>
          <w:szCs w:val="28"/>
          <w14:textFill>
            <w14:solidFill>
              <w14:schemeClr w14:val="tx1"/>
            </w14:solidFill>
          </w14:textFill>
        </w:rPr>
        <w:t>（二）</w:t>
      </w:r>
      <w:r>
        <w:rPr>
          <w:rFonts w:ascii="Times New Roman" w:hAnsi="Times New Roman" w:eastAsia="宋体" w:cs="Times New Roman"/>
          <w:b/>
          <w:bCs/>
          <w:color w:val="000000" w:themeColor="text1"/>
          <w:sz w:val="28"/>
          <w:szCs w:val="28"/>
          <w14:textFill>
            <w14:solidFill>
              <w14:schemeClr w14:val="tx1"/>
            </w14:solidFill>
          </w14:textFill>
        </w:rPr>
        <w:t>贯彻标准的要求和措施建议</w:t>
      </w:r>
    </w:p>
    <w:p>
      <w:pPr>
        <w:spacing w:line="276" w:lineRule="auto"/>
        <w:ind w:firstLine="420"/>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本标准的实施，将进一步规范冻海水鱼片的加工，便于市场监督管理部门对这一产品进行管理和监督。建议本标准发布后，应及时进行宣讲贯彻，增强生产企业的标准化意识，对生产技术人员进行标准化培训，要求企业严格按标准的要求规范生产，市场监督管理部门以《冻海水鱼片》标准为质量检验标准。</w:t>
      </w:r>
    </w:p>
    <w:p>
      <w:pPr>
        <w:ind w:firstLine="48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另外，企业将原料鱼加工后，鱼肉与刺、内脏等分离，便于下脚料的统一处理，可大量减少厨余垃圾，进而降低环境污染。建议引导消费此类加工品种。</w:t>
      </w:r>
    </w:p>
    <w:p>
      <w:pP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8"/>
          <w:szCs w:val="28"/>
          <w14:textFill>
            <w14:solidFill>
              <w14:schemeClr w14:val="tx1"/>
            </w14:solidFill>
          </w14:textFill>
        </w:rPr>
        <w:t>八、其他应当说明的事项</w:t>
      </w:r>
    </w:p>
    <w:p>
      <w:pPr>
        <w:ind w:firstLine="480"/>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 xml:space="preserve">  无。</w:t>
      </w:r>
    </w:p>
    <w:p>
      <w:pPr>
        <w:ind w:firstLine="480"/>
        <w:jc w:val="right"/>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《冻海水鱼片》标准编制小组</w:t>
      </w:r>
    </w:p>
    <w:p>
      <w:pPr>
        <w:ind w:firstLine="480"/>
        <w:jc w:val="right"/>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宋体" w:cs="Times New Roman"/>
          <w:color w:val="000000" w:themeColor="text1"/>
          <w:sz w:val="28"/>
          <w:szCs w:val="28"/>
          <w14:textFill>
            <w14:solidFill>
              <w14:schemeClr w14:val="tx1"/>
            </w14:solidFill>
          </w14:textFill>
        </w:rPr>
        <w:t xml:space="preserve">                                       二○二三年五月</w:t>
      </w:r>
    </w:p>
    <w:p>
      <w:pPr>
        <w:jc w:val="left"/>
        <w:rPr>
          <w:rFonts w:ascii="Times New Roman" w:hAnsi="Times New Roman" w:eastAsia="宋体" w:cs="Times New Roman"/>
          <w:color w:val="000000" w:themeColor="text1"/>
          <w:sz w:val="28"/>
          <w:szCs w:val="28"/>
          <w14:textFill>
            <w14:solidFill>
              <w14:schemeClr w14:val="tx1"/>
            </w14:solidFill>
          </w14:textFill>
        </w:rPr>
      </w:pPr>
    </w:p>
    <w:p>
      <w:pPr>
        <w:widowControl/>
        <w:jc w:val="left"/>
        <w:rPr>
          <w:rFonts w:ascii="Times New Roman" w:hAnsi="Times New Roman" w:eastAsia="宋体" w:cs="Times New Roman"/>
          <w:color w:val="000000" w:themeColor="text1"/>
          <w:sz w:val="28"/>
          <w:szCs w:val="28"/>
          <w14:textFill>
            <w14:solidFill>
              <w14:schemeClr w14:val="tx1"/>
            </w14:solidFill>
          </w14:textFill>
        </w:rPr>
        <w:sectPr>
          <w:footerReference r:id="rId13" w:type="default"/>
          <w:pgSz w:w="11906" w:h="16838"/>
          <w:pgMar w:top="720" w:right="720" w:bottom="720" w:left="720" w:header="851" w:footer="992" w:gutter="0"/>
          <w:cols w:space="425" w:num="1"/>
          <w:docGrid w:type="lines" w:linePitch="312" w:charSpace="0"/>
        </w:sectPr>
      </w:pPr>
      <w:r>
        <w:rPr>
          <w:rFonts w:ascii="Times New Roman" w:hAnsi="Times New Roman" w:eastAsia="宋体" w:cs="Times New Roman"/>
          <w:color w:val="000000" w:themeColor="text1"/>
          <w:sz w:val="28"/>
          <w:szCs w:val="28"/>
          <w14:textFill>
            <w14:solidFill>
              <w14:schemeClr w14:val="tx1"/>
            </w14:solidFill>
          </w14:textFill>
        </w:rPr>
        <w:br w:type="page"/>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534150" cy="9187815"/>
            <wp:effectExtent l="0" t="0" r="0" b="13335"/>
            <wp:docPr id="315028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28275" name="图片 1"/>
                    <pic:cNvPicPr>
                      <a:picLocks noChangeAspect="1"/>
                    </pic:cNvPicPr>
                  </pic:nvPicPr>
                  <pic:blipFill>
                    <a:blip r:embed="rId15"/>
                    <a:stretch>
                      <a:fillRect/>
                    </a:stretch>
                  </pic:blipFill>
                  <pic:spPr>
                    <a:xfrm>
                      <a:off x="0" y="0"/>
                      <a:ext cx="6546840" cy="9206142"/>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553200" cy="9220200"/>
            <wp:effectExtent l="0" t="0" r="0" b="0"/>
            <wp:docPr id="109482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2781" name="图片 1"/>
                    <pic:cNvPicPr>
                      <a:picLocks noChangeAspect="1"/>
                    </pic:cNvPicPr>
                  </pic:nvPicPr>
                  <pic:blipFill>
                    <a:blip r:embed="rId16"/>
                    <a:stretch>
                      <a:fillRect/>
                    </a:stretch>
                  </pic:blipFill>
                  <pic:spPr>
                    <a:xfrm>
                      <a:off x="0" y="0"/>
                      <a:ext cx="6567717" cy="9240097"/>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7057390" cy="9067800"/>
            <wp:effectExtent l="0" t="0" r="10160" b="0"/>
            <wp:docPr id="1031807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7767" name="图片 1"/>
                    <pic:cNvPicPr>
                      <a:picLocks noChangeAspect="1"/>
                    </pic:cNvPicPr>
                  </pic:nvPicPr>
                  <pic:blipFill>
                    <a:blip r:embed="rId17"/>
                    <a:stretch>
                      <a:fillRect/>
                    </a:stretch>
                  </pic:blipFill>
                  <pic:spPr>
                    <a:xfrm>
                      <a:off x="0" y="0"/>
                      <a:ext cx="7061010" cy="9072176"/>
                    </a:xfrm>
                    <a:prstGeom prst="rect">
                      <a:avLst/>
                    </a:prstGeom>
                  </pic:spPr>
                </pic:pic>
              </a:graphicData>
            </a:graphic>
          </wp:inline>
        </w:drawing>
      </w:r>
    </w:p>
    <w:p>
      <w:pPr>
        <w:ind w:firstLine="480"/>
        <w:jc w:val="right"/>
      </w:pPr>
    </w:p>
    <w:p>
      <w:pPr>
        <w:ind w:firstLine="480"/>
        <w:jc w:val="right"/>
      </w:pPr>
    </w:p>
    <w:p>
      <w:pPr>
        <w:ind w:firstLine="480"/>
        <w:jc w:val="left"/>
      </w:pPr>
      <w:r>
        <w:drawing>
          <wp:inline distT="0" distB="0" distL="0" distR="0">
            <wp:extent cx="6776720" cy="8963025"/>
            <wp:effectExtent l="0" t="0" r="5080" b="9525"/>
            <wp:docPr id="624568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68598"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77820" cy="8964272"/>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642100" cy="9163050"/>
            <wp:effectExtent l="0" t="0" r="6350" b="0"/>
            <wp:docPr id="1188023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3812" name="图片 1"/>
                    <pic:cNvPicPr>
                      <a:picLocks noChangeAspect="1"/>
                    </pic:cNvPicPr>
                  </pic:nvPicPr>
                  <pic:blipFill>
                    <a:blip r:embed="rId19"/>
                    <a:stretch>
                      <a:fillRect/>
                    </a:stretch>
                  </pic:blipFill>
                  <pic:spPr>
                    <a:xfrm>
                      <a:off x="0" y="0"/>
                      <a:ext cx="6650659" cy="9174096"/>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677660" cy="9182100"/>
            <wp:effectExtent l="0" t="0" r="8890" b="0"/>
            <wp:docPr id="425946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46266" name="图片 1"/>
                    <pic:cNvPicPr>
                      <a:picLocks noChangeAspect="1"/>
                    </pic:cNvPicPr>
                  </pic:nvPicPr>
                  <pic:blipFill>
                    <a:blip r:embed="rId20"/>
                    <a:stretch>
                      <a:fillRect/>
                    </a:stretch>
                  </pic:blipFill>
                  <pic:spPr>
                    <a:xfrm>
                      <a:off x="0" y="0"/>
                      <a:ext cx="6686723" cy="9194246"/>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7058025" cy="8343900"/>
            <wp:effectExtent l="0" t="0" r="9525" b="0"/>
            <wp:docPr id="1418394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94755" name="图片 1"/>
                    <pic:cNvPicPr>
                      <a:picLocks noChangeAspect="1"/>
                    </pic:cNvPicPr>
                  </pic:nvPicPr>
                  <pic:blipFill>
                    <a:blip r:embed="rId21"/>
                    <a:stretch>
                      <a:fillRect/>
                    </a:stretch>
                  </pic:blipFill>
                  <pic:spPr>
                    <a:xfrm>
                      <a:off x="0" y="0"/>
                      <a:ext cx="7062676" cy="8348885"/>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7066915" cy="7181850"/>
            <wp:effectExtent l="0" t="0" r="635" b="0"/>
            <wp:docPr id="658439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9597" name="图片 1"/>
                    <pic:cNvPicPr>
                      <a:picLocks noChangeAspect="1"/>
                    </pic:cNvPicPr>
                  </pic:nvPicPr>
                  <pic:blipFill>
                    <a:blip r:embed="rId22"/>
                    <a:stretch>
                      <a:fillRect/>
                    </a:stretch>
                  </pic:blipFill>
                  <pic:spPr>
                    <a:xfrm>
                      <a:off x="0" y="0"/>
                      <a:ext cx="7068228" cy="7183038"/>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657975" cy="9172575"/>
            <wp:effectExtent l="0" t="0" r="9525" b="9525"/>
            <wp:docPr id="1914960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60591" name="图片 1"/>
                    <pic:cNvPicPr>
                      <a:picLocks noChangeAspect="1"/>
                    </pic:cNvPicPr>
                  </pic:nvPicPr>
                  <pic:blipFill>
                    <a:blip r:embed="rId23"/>
                    <a:stretch>
                      <a:fillRect/>
                    </a:stretch>
                  </pic:blipFill>
                  <pic:spPr>
                    <a:xfrm>
                      <a:off x="0" y="0"/>
                      <a:ext cx="6669597" cy="9188974"/>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6835140" cy="9191625"/>
            <wp:effectExtent l="0" t="0" r="3810" b="9525"/>
            <wp:docPr id="21086346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34679" name="图片 1"/>
                    <pic:cNvPicPr>
                      <a:picLocks noChangeAspect="1"/>
                    </pic:cNvPicPr>
                  </pic:nvPicPr>
                  <pic:blipFill>
                    <a:blip r:embed="rId24"/>
                    <a:stretch>
                      <a:fillRect/>
                    </a:stretch>
                  </pic:blipFill>
                  <pic:spPr>
                    <a:xfrm>
                      <a:off x="0" y="0"/>
                      <a:ext cx="6847831" cy="9207949"/>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7059930" cy="8953500"/>
            <wp:effectExtent l="0" t="0" r="7620" b="0"/>
            <wp:docPr id="1101674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74657" name="图片 1"/>
                    <pic:cNvPicPr>
                      <a:picLocks noChangeAspect="1"/>
                    </pic:cNvPicPr>
                  </pic:nvPicPr>
                  <pic:blipFill>
                    <a:blip r:embed="rId25"/>
                    <a:stretch>
                      <a:fillRect/>
                    </a:stretch>
                  </pic:blipFill>
                  <pic:spPr>
                    <a:xfrm>
                      <a:off x="0" y="0"/>
                      <a:ext cx="7066579" cy="8961849"/>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r>
        <w:drawing>
          <wp:inline distT="0" distB="0" distL="0" distR="0">
            <wp:extent cx="7038975" cy="8848725"/>
            <wp:effectExtent l="0" t="0" r="9525" b="9525"/>
            <wp:docPr id="828758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8789" name="图片 1"/>
                    <pic:cNvPicPr>
                      <a:picLocks noChangeAspect="1"/>
                    </pic:cNvPicPr>
                  </pic:nvPicPr>
                  <pic:blipFill>
                    <a:blip r:embed="rId26"/>
                    <a:stretch>
                      <a:fillRect/>
                    </a:stretch>
                  </pic:blipFill>
                  <pic:spPr>
                    <a:xfrm>
                      <a:off x="0" y="0"/>
                      <a:ext cx="7042782" cy="8852938"/>
                    </a:xfrm>
                    <a:prstGeom prst="rect">
                      <a:avLst/>
                    </a:prstGeom>
                  </pic:spPr>
                </pic:pic>
              </a:graphicData>
            </a:graphic>
          </wp:inline>
        </w:drawing>
      </w:r>
    </w:p>
    <w:p>
      <w:pPr>
        <w:jc w:val="left"/>
        <w:rPr>
          <w:rFonts w:ascii="Times New Roman" w:hAnsi="Times New Roman" w:eastAsia="宋体" w:cs="Times New Roman"/>
          <w:color w:val="000000" w:themeColor="text1"/>
          <w:sz w:val="28"/>
          <w:szCs w:val="28"/>
          <w14:textFill>
            <w14:solidFill>
              <w14:schemeClr w14:val="tx1"/>
            </w14:solidFill>
          </w14:textFill>
        </w:rPr>
      </w:pPr>
    </w:p>
    <w:p>
      <w:pPr>
        <w:pStyle w:val="156"/>
        <w:ind w:left="630" w:hanging="630" w:hangingChars="300"/>
        <w:rPr>
          <w:rFonts w:asciiTheme="minorEastAsia" w:hAnsiTheme="minorEastAsia" w:eastAsiaTheme="minorEastAsia"/>
          <w:szCs w:val="21"/>
        </w:rPr>
      </w:pPr>
      <w:r>
        <w:drawing>
          <wp:inline distT="0" distB="0" distL="0" distR="0">
            <wp:extent cx="7031355" cy="6686550"/>
            <wp:effectExtent l="0" t="0" r="17145" b="0"/>
            <wp:docPr id="889320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0575" name="图片 1"/>
                    <pic:cNvPicPr>
                      <a:picLocks noChangeAspect="1"/>
                    </pic:cNvPicPr>
                  </pic:nvPicPr>
                  <pic:blipFill>
                    <a:blip r:embed="rId27"/>
                    <a:stretch>
                      <a:fillRect/>
                    </a:stretch>
                  </pic:blipFill>
                  <pic:spPr>
                    <a:xfrm>
                      <a:off x="0" y="0"/>
                      <a:ext cx="7035066" cy="6689565"/>
                    </a:xfrm>
                    <a:prstGeom prst="rect">
                      <a:avLst/>
                    </a:prstGeom>
                  </pic:spPr>
                </pic:pic>
              </a:graphicData>
            </a:graphic>
          </wp:inline>
        </w:drawing>
      </w:r>
      <w:bookmarkStart w:id="50" w:name="_GoBack"/>
      <w:bookmarkEnd w:id="50"/>
    </w:p>
    <w:sectPr>
      <w:pgSz w:w="11906" w:h="16838"/>
      <w:pgMar w:top="1418" w:right="1134" w:bottom="1134" w:left="1418" w:header="1418" w:footer="1134" w:gutter="0"/>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1655731"/>
    </w:sdtPr>
    <w:sdtContent>
      <w:p>
        <w:pPr>
          <w:pStyle w:val="19"/>
        </w:pPr>
        <w:r>
          <w:fldChar w:fldCharType="begin"/>
        </w:r>
        <w:r>
          <w:instrText xml:space="preserve"> PAGE   \* MERGEFORMAT </w:instrText>
        </w:r>
        <w:r>
          <w:fldChar w:fldCharType="separate"/>
        </w:r>
        <w:r>
          <w:rPr>
            <w:lang w:val="zh-CN"/>
          </w:rPr>
          <w:t>II</w:t>
        </w:r>
        <w:r>
          <w:rPr>
            <w:lang w:val="zh-CN"/>
          </w:rPr>
          <w:fldChar w:fldCharType="end"/>
        </w:r>
      </w:p>
    </w:sdtContent>
  </w:sdt>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pPr>
    <w:r>
      <w:fldChar w:fldCharType="begin"/>
    </w:r>
    <w:r>
      <w:instrText xml:space="preserve"> PAGE  \* MERGEFORMAT </w:instrText>
    </w:r>
    <w:r>
      <w:fldChar w:fldCharType="separate"/>
    </w:r>
    <w: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pPr>
    <w:r>
      <w:fldChar w:fldCharType="begin"/>
    </w:r>
    <w:r>
      <w:instrText xml:space="preserve"> PAGE  \* MERGEFORMAT </w:instrText>
    </w:r>
    <w:r>
      <w:fldChar w:fldCharType="separate"/>
    </w:r>
    <w:r>
      <w:t>9</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 PAGE   \* MERGEFORMAT </w:instrText>
    </w:r>
    <w:r>
      <w:rPr>
        <w:rFonts w:asciiTheme="minorEastAsia" w:hAnsiTheme="minorEastAsia" w:eastAsiaTheme="minorEastAsia"/>
      </w:rPr>
      <w:fldChar w:fldCharType="separate"/>
    </w:r>
    <w:r>
      <w:rPr>
        <w:rFonts w:asciiTheme="minorEastAsia" w:hAnsiTheme="minorEastAsia" w:eastAsiaTheme="minorEastAsia"/>
        <w:lang w:val="zh-CN"/>
      </w:rPr>
      <w:t>8</w:t>
    </w:r>
    <w:r>
      <w:rPr>
        <w:rFonts w:asciiTheme="minorEastAsia" w:hAnsiTheme="minorEastAsia" w:eastAsiaTheme="minorEastAsia"/>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5"/>
    </w:pPr>
    <w:r>
      <w:fldChar w:fldCharType="begin"/>
    </w:r>
    <w:r>
      <w:instrText xml:space="preserve"> PAGE  \* MERGEFORMAT </w:instrText>
    </w:r>
    <w:r>
      <w:fldChar w:fldCharType="separate"/>
    </w:r>
    <w:r>
      <w:t>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14930"/>
      <w:docPartObj>
        <w:docPartGallery w:val="autotext"/>
      </w:docPartObj>
    </w:sdtPr>
    <w:sdtContent>
      <w:sdt>
        <w:sdtPr>
          <w:id w:val="171357217"/>
          <w:docPartObj>
            <w:docPartGallery w:val="autotext"/>
          </w:docPartObj>
        </w:sdtPr>
        <w:sdtContent>
          <w:p>
            <w:pPr>
              <w:pStyle w:val="19"/>
              <w:tabs>
                <w:tab w:val="center" w:pos="4153"/>
                <w:tab w:val="right" w:pos="8306"/>
              </w:tabs>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10</w:t>
            </w:r>
            <w:r>
              <w:rPr>
                <w:b/>
                <w:sz w:val="24"/>
                <w:szCs w:val="24"/>
              </w:rPr>
              <w:fldChar w:fldCharType="end"/>
            </w:r>
          </w:p>
        </w:sdtContent>
      </w:sdt>
    </w:sdtContent>
  </w:sdt>
  <w:p>
    <w:pPr>
      <w:pStyle w:val="19"/>
      <w:tabs>
        <w:tab w:val="center" w:pos="4153"/>
        <w:tab w:val="right"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3"/>
        <w:tab w:val="right"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spacing w:line="360" w:lineRule="auto"/>
      <w:jc w:val="right"/>
      <w:rPr>
        <w:rFonts w:ascii="黑体" w:hAnsi="黑体" w:eastAsia="黑体"/>
        <w:kern w:val="0"/>
        <w:sz w:val="21"/>
        <w:szCs w:val="21"/>
      </w:rPr>
    </w:pPr>
    <w:r>
      <w:rPr>
        <w:rFonts w:eastAsia="黑体"/>
        <w:kern w:val="0"/>
        <w:sz w:val="21"/>
        <w:szCs w:val="21"/>
      </w:rPr>
      <w:t>T/SDCJ</w:t>
    </w:r>
    <w:r>
      <w:rPr>
        <w:rFonts w:hint="eastAsia" w:ascii="黑体" w:hAnsi="黑体" w:eastAsia="黑体"/>
        <w:kern w:val="0"/>
        <w:sz w:val="21"/>
        <w:szCs w:val="21"/>
      </w:rPr>
      <w:t>XX</w:t>
    </w:r>
    <w:r>
      <w:rPr>
        <w:rFonts w:ascii="黑体" w:hAnsi="黑体" w:eastAsia="黑体"/>
        <w:kern w:val="0"/>
        <w:sz w:val="21"/>
        <w:szCs w:val="21"/>
      </w:rPr>
      <w:t>—20</w:t>
    </w:r>
    <w:r>
      <w:rPr>
        <w:rFonts w:hint="eastAsia" w:ascii="黑体" w:hAnsi="黑体" w:eastAsia="黑体"/>
        <w:kern w:val="0"/>
        <w:sz w:val="21"/>
        <w:szCs w:val="21"/>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8"/>
      <w:rPr>
        <w:rFonts w:hAnsi="黑体"/>
      </w:rPr>
    </w:pPr>
    <w:r>
      <w:rPr>
        <w:rFonts w:hAnsi="黑体"/>
      </w:rPr>
      <w:t>T/</w:t>
    </w:r>
    <w:r>
      <w:rPr>
        <w:rFonts w:hint="eastAsia" w:hAnsi="黑体"/>
      </w:rPr>
      <w:t xml:space="preserve"> XX—</w:t>
    </w:r>
    <w:r>
      <w:rPr>
        <w:rFonts w:hAnsi="黑体"/>
      </w:rPr>
      <w:t>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8"/>
      <w:wordWrap w:val="0"/>
      <w:rPr>
        <w:rFonts w:hAnsi="黑体"/>
      </w:rPr>
    </w:pPr>
    <w:r>
      <w:rPr>
        <w:rFonts w:hAnsi="黑体"/>
      </w:rPr>
      <w:t>T/</w:t>
    </w:r>
    <w:r>
      <w:rPr>
        <w:rFonts w:hint="eastAsia" w:hAnsi="黑体"/>
      </w:rPr>
      <w:t xml:space="preserve"> XX XX</w:t>
    </w:r>
    <w:r>
      <w:rPr>
        <w:rFonts w:hAnsi="黑体"/>
      </w:rPr>
      <w:t>—20</w:t>
    </w:r>
    <w:r>
      <w:rPr>
        <w:rFonts w:hint="eastAsia" w:hAnsi="黑体"/>
      </w:rPr>
      <w:t>2</w:t>
    </w:r>
    <w:r>
      <w:rPr>
        <w:rFonts w:hAnsi="黑体"/>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spacing w:line="360" w:lineRule="auto"/>
      <w:rPr>
        <w:rFonts w:ascii="黑体" w:hAnsi="黑体" w:eastAsia="黑体"/>
        <w:kern w:val="0"/>
        <w:sz w:val="21"/>
        <w:szCs w:val="21"/>
      </w:rPr>
    </w:pPr>
    <w:r>
      <w:rPr>
        <w:rFonts w:ascii="黑体" w:hAnsi="黑体" w:eastAsia="黑体"/>
        <w:kern w:val="0"/>
        <w:sz w:val="21"/>
        <w:szCs w:val="21"/>
      </w:rPr>
      <w:t>T/</w:t>
    </w:r>
    <w:r>
      <w:rPr>
        <w:rFonts w:hint="eastAsia" w:ascii="黑体" w:hAnsi="黑体" w:eastAsia="黑体"/>
        <w:kern w:val="0"/>
        <w:sz w:val="21"/>
        <w:szCs w:val="21"/>
      </w:rPr>
      <w:t>XXXX XX</w:t>
    </w:r>
    <w:r>
      <w:rPr>
        <w:rFonts w:ascii="黑体" w:hAnsi="黑体" w:eastAsia="黑体"/>
        <w:kern w:val="0"/>
        <w:sz w:val="21"/>
        <w:szCs w:val="21"/>
      </w:rPr>
      <w:t>—20</w:t>
    </w:r>
    <w:r>
      <w:rPr>
        <w:rFonts w:hint="eastAsia" w:ascii="黑体" w:hAnsi="黑体" w:eastAsia="黑体"/>
        <w:kern w:val="0"/>
        <w:sz w:val="21"/>
        <w:szCs w:val="21"/>
      </w:rPr>
      <w:t>2</w:t>
    </w:r>
    <w:r>
      <w:rPr>
        <w:rFonts w:ascii="黑体" w:hAnsi="黑体" w:eastAsia="黑体"/>
        <w:kern w:val="0"/>
        <w:sz w:val="21"/>
        <w:szCs w:val="21"/>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ED3FEA"/>
    <w:multiLevelType w:val="multilevel"/>
    <w:tmpl w:val="07ED3FEA"/>
    <w:lvl w:ilvl="0" w:tentative="0">
      <w:start w:val="1"/>
      <w:numFmt w:val="none"/>
      <w:pStyle w:val="158"/>
      <w:lvlText w:val="%1"/>
      <w:lvlJc w:val="left"/>
      <w:pPr>
        <w:ind w:left="425" w:hanging="425"/>
      </w:pPr>
      <w:rPr>
        <w:rFonts w:hint="eastAsia"/>
      </w:rPr>
    </w:lvl>
    <w:lvl w:ilvl="1" w:tentative="0">
      <w:start w:val="1"/>
      <w:numFmt w:val="decimal"/>
      <w:pStyle w:val="159"/>
      <w:suff w:val="nothing"/>
      <w:lvlText w:val="%10.%2 "/>
      <w:lvlJc w:val="left"/>
      <w:pPr>
        <w:ind w:left="0" w:firstLine="0"/>
      </w:pPr>
      <w:rPr>
        <w:rFonts w:hint="eastAsia" w:ascii="黑体" w:eastAsia="黑体" w:hAnsiTheme="minorHAnsi"/>
        <w:b w:val="0"/>
        <w:i w:val="0"/>
        <w:sz w:val="21"/>
      </w:rPr>
    </w:lvl>
    <w:lvl w:ilvl="2" w:tentative="0">
      <w:start w:val="1"/>
      <w:numFmt w:val="decimal"/>
      <w:pStyle w:val="160"/>
      <w:suff w:val="nothing"/>
      <w:lvlText w:val="%10.%2.%3 "/>
      <w:lvlJc w:val="left"/>
      <w:pPr>
        <w:ind w:left="0" w:firstLine="0"/>
      </w:pPr>
      <w:rPr>
        <w:rFonts w:hint="eastAsia" w:ascii="黑体" w:eastAsia="黑体" w:hAnsiTheme="minorHAnsi"/>
        <w:b w:val="0"/>
        <w:i w:val="0"/>
        <w:sz w:val="21"/>
      </w:rPr>
    </w:lvl>
    <w:lvl w:ilvl="3" w:tentative="0">
      <w:start w:val="1"/>
      <w:numFmt w:val="decimal"/>
      <w:pStyle w:val="161"/>
      <w:suff w:val="nothing"/>
      <w:lvlText w:val="%10.%2.%3.%4 "/>
      <w:lvlJc w:val="left"/>
      <w:pPr>
        <w:ind w:left="0" w:firstLine="0"/>
      </w:pPr>
      <w:rPr>
        <w:rFonts w:hint="eastAsia" w:ascii="黑体" w:eastAsia="黑体" w:hAnsiTheme="minorHAnsi"/>
        <w:b w:val="0"/>
        <w:i w:val="0"/>
        <w:sz w:val="21"/>
      </w:rPr>
    </w:lvl>
    <w:lvl w:ilvl="4" w:tentative="0">
      <w:start w:val="1"/>
      <w:numFmt w:val="decimal"/>
      <w:pStyle w:val="162"/>
      <w:suff w:val="nothing"/>
      <w:lvlText w:val="%10.%2.%3.%4.%5 "/>
      <w:lvlJc w:val="left"/>
      <w:pPr>
        <w:ind w:left="0" w:firstLine="0"/>
      </w:pPr>
      <w:rPr>
        <w:rFonts w:hint="eastAsia" w:ascii="黑体" w:eastAsia="黑体" w:hAnsiTheme="minorHAnsi"/>
        <w:b w:val="0"/>
        <w:i w:val="0"/>
        <w:sz w:val="21"/>
      </w:rPr>
    </w:lvl>
    <w:lvl w:ilvl="5" w:tentative="0">
      <w:start w:val="1"/>
      <w:numFmt w:val="decimal"/>
      <w:pStyle w:val="163"/>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FC91163"/>
    <w:multiLevelType w:val="multilevel"/>
    <w:tmpl w:val="1FC91163"/>
    <w:lvl w:ilvl="0" w:tentative="0">
      <w:start w:val="1"/>
      <w:numFmt w:val="decimal"/>
      <w:pStyle w:val="82"/>
      <w:suff w:val="nothing"/>
      <w:lvlText w:val="%1　"/>
      <w:lvlJc w:val="left"/>
      <w:pPr>
        <w:ind w:left="1418"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color w:val="auto"/>
        <w:sz w:val="21"/>
      </w:rPr>
    </w:lvl>
    <w:lvl w:ilvl="4" w:tentative="0">
      <w:start w:val="1"/>
      <w:numFmt w:val="decimal"/>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70"/>
      <w:lvlText w:val="%2)"/>
      <w:lvlJc w:val="left"/>
      <w:pPr>
        <w:tabs>
          <w:tab w:val="left" w:pos="1276"/>
        </w:tabs>
        <w:ind w:left="1276" w:hanging="425"/>
      </w:pPr>
      <w:rPr>
        <w:rFonts w:hint="eastAsia" w:ascii="宋体" w:hAnsi="Times New Roman" w:eastAsia="宋体"/>
        <w:sz w:val="21"/>
      </w:rPr>
    </w:lvl>
    <w:lvl w:ilvl="2" w:tentative="0">
      <w:start w:val="1"/>
      <w:numFmt w:val="decimal"/>
      <w:pStyle w:val="17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
    <w:nsid w:val="646260FA"/>
    <w:multiLevelType w:val="multilevel"/>
    <w:tmpl w:val="646260FA"/>
    <w:lvl w:ilvl="0" w:tentative="0">
      <w:start w:val="1"/>
      <w:numFmt w:val="decimal"/>
      <w:pStyle w:val="171"/>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6CEA2025"/>
    <w:multiLevelType w:val="multilevel"/>
    <w:tmpl w:val="6CEA2025"/>
    <w:lvl w:ilvl="0" w:tentative="0">
      <w:start w:val="1"/>
      <w:numFmt w:val="none"/>
      <w:pStyle w:val="173"/>
      <w:suff w:val="nothing"/>
      <w:lvlText w:val="%1"/>
      <w:lvlJc w:val="left"/>
      <w:pPr>
        <w:ind w:left="0" w:firstLine="0"/>
      </w:pPr>
      <w:rPr>
        <w:rFonts w:hint="eastAsia"/>
      </w:rPr>
    </w:lvl>
    <w:lvl w:ilvl="1" w:tentative="0">
      <w:start w:val="1"/>
      <w:numFmt w:val="decimal"/>
      <w:pStyle w:val="168"/>
      <w:suff w:val="nothing"/>
      <w:lvlText w:val="%1%2　"/>
      <w:lvlJc w:val="left"/>
      <w:pPr>
        <w:ind w:left="0" w:firstLine="0"/>
      </w:pPr>
      <w:rPr>
        <w:rFonts w:hint="eastAsia" w:ascii="黑体" w:eastAsia="黑体"/>
        <w:b w:val="0"/>
        <w:i w:val="0"/>
        <w:sz w:val="21"/>
      </w:rPr>
    </w:lvl>
    <w:lvl w:ilvl="2" w:tentative="0">
      <w:start w:val="1"/>
      <w:numFmt w:val="decimal"/>
      <w:pStyle w:val="16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164"/>
      <w:suff w:val="nothing"/>
      <w:lvlText w:val="%1%2.%3.%4　"/>
      <w:lvlJc w:val="left"/>
      <w:pPr>
        <w:ind w:left="1134" w:firstLine="0"/>
      </w:pPr>
      <w:rPr>
        <w:rFonts w:hint="eastAsia" w:ascii="黑体" w:eastAsia="黑体"/>
        <w:b w:val="0"/>
        <w:i w:val="0"/>
        <w:sz w:val="21"/>
      </w:rPr>
    </w:lvl>
    <w:lvl w:ilvl="4" w:tentative="0">
      <w:start w:val="1"/>
      <w:numFmt w:val="decimal"/>
      <w:pStyle w:val="165"/>
      <w:suff w:val="nothing"/>
      <w:lvlText w:val="%1%2.%3.%4.%5　"/>
      <w:lvlJc w:val="left"/>
      <w:pPr>
        <w:ind w:left="3119" w:firstLine="0"/>
      </w:pPr>
      <w:rPr>
        <w:rFonts w:hint="eastAsia" w:ascii="黑体" w:eastAsia="黑体"/>
        <w:b w:val="0"/>
        <w:i w:val="0"/>
        <w:sz w:val="21"/>
      </w:rPr>
    </w:lvl>
    <w:lvl w:ilvl="5" w:tentative="0">
      <w:start w:val="1"/>
      <w:numFmt w:val="decimal"/>
      <w:pStyle w:val="166"/>
      <w:suff w:val="nothing"/>
      <w:lvlText w:val="%1%2.%3.%4.%5.%6　"/>
      <w:lvlJc w:val="left"/>
      <w:pPr>
        <w:ind w:left="0" w:firstLine="0"/>
      </w:pPr>
      <w:rPr>
        <w:rFonts w:hint="eastAsia" w:ascii="黑体" w:eastAsia="黑体"/>
        <w:b w:val="0"/>
        <w:i w:val="0"/>
        <w:sz w:val="21"/>
      </w:rPr>
    </w:lvl>
    <w:lvl w:ilvl="6" w:tentative="0">
      <w:start w:val="1"/>
      <w:numFmt w:val="decimal"/>
      <w:pStyle w:val="16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 w:numId="3">
    <w:abstractNumId w:val="4"/>
  </w:num>
  <w:num w:numId="4">
    <w:abstractNumId w:val="2"/>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5YmY0ZDZjMjA0MTM1MDI3Y2FlOGIyYWJmYzEyNGIifQ=="/>
  </w:docVars>
  <w:rsids>
    <w:rsidRoot w:val="00035925"/>
    <w:rsid w:val="000001D5"/>
    <w:rsid w:val="00000244"/>
    <w:rsid w:val="00000D62"/>
    <w:rsid w:val="0000185F"/>
    <w:rsid w:val="00001C27"/>
    <w:rsid w:val="00001F7D"/>
    <w:rsid w:val="00003C59"/>
    <w:rsid w:val="0000586F"/>
    <w:rsid w:val="00006D5E"/>
    <w:rsid w:val="00007A9E"/>
    <w:rsid w:val="00007B65"/>
    <w:rsid w:val="00010103"/>
    <w:rsid w:val="000102A2"/>
    <w:rsid w:val="00012A14"/>
    <w:rsid w:val="00013D86"/>
    <w:rsid w:val="00013E02"/>
    <w:rsid w:val="000170BB"/>
    <w:rsid w:val="0001768A"/>
    <w:rsid w:val="000212F2"/>
    <w:rsid w:val="0002143C"/>
    <w:rsid w:val="0002555B"/>
    <w:rsid w:val="0002572A"/>
    <w:rsid w:val="00025A65"/>
    <w:rsid w:val="00025BAF"/>
    <w:rsid w:val="00026612"/>
    <w:rsid w:val="000269A4"/>
    <w:rsid w:val="00026C31"/>
    <w:rsid w:val="00027280"/>
    <w:rsid w:val="00031255"/>
    <w:rsid w:val="00031DE6"/>
    <w:rsid w:val="000320A7"/>
    <w:rsid w:val="0003246C"/>
    <w:rsid w:val="000331AB"/>
    <w:rsid w:val="00033994"/>
    <w:rsid w:val="00034488"/>
    <w:rsid w:val="0003497C"/>
    <w:rsid w:val="00035925"/>
    <w:rsid w:val="000364BE"/>
    <w:rsid w:val="0004464C"/>
    <w:rsid w:val="0004701F"/>
    <w:rsid w:val="000500E6"/>
    <w:rsid w:val="00050B63"/>
    <w:rsid w:val="00051478"/>
    <w:rsid w:val="00055607"/>
    <w:rsid w:val="000574C1"/>
    <w:rsid w:val="000576D8"/>
    <w:rsid w:val="000618DF"/>
    <w:rsid w:val="000638CE"/>
    <w:rsid w:val="0006416E"/>
    <w:rsid w:val="0006662A"/>
    <w:rsid w:val="00066752"/>
    <w:rsid w:val="00066F3D"/>
    <w:rsid w:val="000674E3"/>
    <w:rsid w:val="00067CDF"/>
    <w:rsid w:val="000716DB"/>
    <w:rsid w:val="000740FB"/>
    <w:rsid w:val="00074BB1"/>
    <w:rsid w:val="00074FBE"/>
    <w:rsid w:val="00075A55"/>
    <w:rsid w:val="00082576"/>
    <w:rsid w:val="00083A09"/>
    <w:rsid w:val="00084BF7"/>
    <w:rsid w:val="000861A7"/>
    <w:rsid w:val="000879FF"/>
    <w:rsid w:val="0009005E"/>
    <w:rsid w:val="000921EF"/>
    <w:rsid w:val="00092857"/>
    <w:rsid w:val="00094F6D"/>
    <w:rsid w:val="00097E93"/>
    <w:rsid w:val="000A20A9"/>
    <w:rsid w:val="000A261C"/>
    <w:rsid w:val="000A39D0"/>
    <w:rsid w:val="000A48B1"/>
    <w:rsid w:val="000A5F7A"/>
    <w:rsid w:val="000A7DF3"/>
    <w:rsid w:val="000B3143"/>
    <w:rsid w:val="000B4389"/>
    <w:rsid w:val="000B5D6A"/>
    <w:rsid w:val="000C1F4D"/>
    <w:rsid w:val="000C2921"/>
    <w:rsid w:val="000C3910"/>
    <w:rsid w:val="000C43D7"/>
    <w:rsid w:val="000C4997"/>
    <w:rsid w:val="000C6B05"/>
    <w:rsid w:val="000C6DD6"/>
    <w:rsid w:val="000C73D4"/>
    <w:rsid w:val="000D219F"/>
    <w:rsid w:val="000D26B5"/>
    <w:rsid w:val="000D3D4C"/>
    <w:rsid w:val="000D401C"/>
    <w:rsid w:val="000D4675"/>
    <w:rsid w:val="000D4F51"/>
    <w:rsid w:val="000D69C4"/>
    <w:rsid w:val="000D6A30"/>
    <w:rsid w:val="000D6D0D"/>
    <w:rsid w:val="000D718B"/>
    <w:rsid w:val="000E050F"/>
    <w:rsid w:val="000E0C46"/>
    <w:rsid w:val="000E1321"/>
    <w:rsid w:val="000E3066"/>
    <w:rsid w:val="000E3206"/>
    <w:rsid w:val="000E4729"/>
    <w:rsid w:val="000E497C"/>
    <w:rsid w:val="000E557C"/>
    <w:rsid w:val="000E5D13"/>
    <w:rsid w:val="000E72D2"/>
    <w:rsid w:val="000E7531"/>
    <w:rsid w:val="000F030C"/>
    <w:rsid w:val="000F0316"/>
    <w:rsid w:val="000F129C"/>
    <w:rsid w:val="000F2407"/>
    <w:rsid w:val="000F70F7"/>
    <w:rsid w:val="00103397"/>
    <w:rsid w:val="001056DE"/>
    <w:rsid w:val="00110444"/>
    <w:rsid w:val="00110B26"/>
    <w:rsid w:val="0011129A"/>
    <w:rsid w:val="001112AE"/>
    <w:rsid w:val="001113F3"/>
    <w:rsid w:val="001124C0"/>
    <w:rsid w:val="001132D7"/>
    <w:rsid w:val="00115F97"/>
    <w:rsid w:val="00122929"/>
    <w:rsid w:val="00122ED2"/>
    <w:rsid w:val="001237E6"/>
    <w:rsid w:val="00123BEA"/>
    <w:rsid w:val="00126C13"/>
    <w:rsid w:val="001272BA"/>
    <w:rsid w:val="00130E6A"/>
    <w:rsid w:val="0013175F"/>
    <w:rsid w:val="001331D5"/>
    <w:rsid w:val="00133CDE"/>
    <w:rsid w:val="00135333"/>
    <w:rsid w:val="00135D06"/>
    <w:rsid w:val="00137EA1"/>
    <w:rsid w:val="00140655"/>
    <w:rsid w:val="0014066F"/>
    <w:rsid w:val="001409F2"/>
    <w:rsid w:val="001414FA"/>
    <w:rsid w:val="00141F56"/>
    <w:rsid w:val="00142157"/>
    <w:rsid w:val="001427BC"/>
    <w:rsid w:val="00142CB6"/>
    <w:rsid w:val="00142D0C"/>
    <w:rsid w:val="00144F02"/>
    <w:rsid w:val="001454BF"/>
    <w:rsid w:val="00146F9B"/>
    <w:rsid w:val="00150C80"/>
    <w:rsid w:val="001512B4"/>
    <w:rsid w:val="00152079"/>
    <w:rsid w:val="00156E6E"/>
    <w:rsid w:val="00156EAC"/>
    <w:rsid w:val="00157A91"/>
    <w:rsid w:val="00157D9B"/>
    <w:rsid w:val="001620A5"/>
    <w:rsid w:val="001621FF"/>
    <w:rsid w:val="00163C78"/>
    <w:rsid w:val="001645EA"/>
    <w:rsid w:val="0016489D"/>
    <w:rsid w:val="00164E53"/>
    <w:rsid w:val="00166547"/>
    <w:rsid w:val="0016699D"/>
    <w:rsid w:val="00167C6E"/>
    <w:rsid w:val="001712ED"/>
    <w:rsid w:val="00174046"/>
    <w:rsid w:val="00175159"/>
    <w:rsid w:val="001754DA"/>
    <w:rsid w:val="00175CF1"/>
    <w:rsid w:val="00176208"/>
    <w:rsid w:val="001770F2"/>
    <w:rsid w:val="001809CE"/>
    <w:rsid w:val="0018211B"/>
    <w:rsid w:val="001840D3"/>
    <w:rsid w:val="00184A60"/>
    <w:rsid w:val="00186740"/>
    <w:rsid w:val="00186ECF"/>
    <w:rsid w:val="00187033"/>
    <w:rsid w:val="001900F8"/>
    <w:rsid w:val="0019010B"/>
    <w:rsid w:val="00191258"/>
    <w:rsid w:val="00192680"/>
    <w:rsid w:val="00193037"/>
    <w:rsid w:val="00193A2C"/>
    <w:rsid w:val="00193CD6"/>
    <w:rsid w:val="001950F6"/>
    <w:rsid w:val="001A1318"/>
    <w:rsid w:val="001A288E"/>
    <w:rsid w:val="001A3FCA"/>
    <w:rsid w:val="001A4074"/>
    <w:rsid w:val="001A7B09"/>
    <w:rsid w:val="001B1D89"/>
    <w:rsid w:val="001B22F7"/>
    <w:rsid w:val="001B43FC"/>
    <w:rsid w:val="001B4527"/>
    <w:rsid w:val="001B4BE0"/>
    <w:rsid w:val="001B4E4B"/>
    <w:rsid w:val="001B507F"/>
    <w:rsid w:val="001B539E"/>
    <w:rsid w:val="001B5EDD"/>
    <w:rsid w:val="001B6DC2"/>
    <w:rsid w:val="001B7B7D"/>
    <w:rsid w:val="001C0875"/>
    <w:rsid w:val="001C149C"/>
    <w:rsid w:val="001C21AC"/>
    <w:rsid w:val="001C47BA"/>
    <w:rsid w:val="001C59EA"/>
    <w:rsid w:val="001C6151"/>
    <w:rsid w:val="001C6CC8"/>
    <w:rsid w:val="001C6CEB"/>
    <w:rsid w:val="001D1E83"/>
    <w:rsid w:val="001D406C"/>
    <w:rsid w:val="001D41EE"/>
    <w:rsid w:val="001D4961"/>
    <w:rsid w:val="001D527E"/>
    <w:rsid w:val="001D6C91"/>
    <w:rsid w:val="001D6E35"/>
    <w:rsid w:val="001E0380"/>
    <w:rsid w:val="001E13B1"/>
    <w:rsid w:val="001F0999"/>
    <w:rsid w:val="001F0DA4"/>
    <w:rsid w:val="001F2D1B"/>
    <w:rsid w:val="001F3A19"/>
    <w:rsid w:val="001F40F9"/>
    <w:rsid w:val="001F5B17"/>
    <w:rsid w:val="001F757E"/>
    <w:rsid w:val="00200514"/>
    <w:rsid w:val="00200D92"/>
    <w:rsid w:val="00200E3A"/>
    <w:rsid w:val="002014E2"/>
    <w:rsid w:val="002028DC"/>
    <w:rsid w:val="00204CBD"/>
    <w:rsid w:val="00204D9E"/>
    <w:rsid w:val="00205648"/>
    <w:rsid w:val="00206287"/>
    <w:rsid w:val="00207914"/>
    <w:rsid w:val="00210E58"/>
    <w:rsid w:val="002116C0"/>
    <w:rsid w:val="002152ED"/>
    <w:rsid w:val="00215830"/>
    <w:rsid w:val="00220436"/>
    <w:rsid w:val="00222495"/>
    <w:rsid w:val="00231BCD"/>
    <w:rsid w:val="00231F04"/>
    <w:rsid w:val="00234467"/>
    <w:rsid w:val="002347DC"/>
    <w:rsid w:val="0023657C"/>
    <w:rsid w:val="00237D4C"/>
    <w:rsid w:val="00237D8D"/>
    <w:rsid w:val="00240524"/>
    <w:rsid w:val="00240ED8"/>
    <w:rsid w:val="002414DF"/>
    <w:rsid w:val="002415DD"/>
    <w:rsid w:val="00241DA2"/>
    <w:rsid w:val="00241DBB"/>
    <w:rsid w:val="00247BC5"/>
    <w:rsid w:val="00247FEE"/>
    <w:rsid w:val="00250E7D"/>
    <w:rsid w:val="0025570E"/>
    <w:rsid w:val="002565D5"/>
    <w:rsid w:val="0026034B"/>
    <w:rsid w:val="00260A1E"/>
    <w:rsid w:val="00260BB5"/>
    <w:rsid w:val="002622C0"/>
    <w:rsid w:val="002641EC"/>
    <w:rsid w:val="002655DD"/>
    <w:rsid w:val="00273664"/>
    <w:rsid w:val="0027520C"/>
    <w:rsid w:val="002771FB"/>
    <w:rsid w:val="002778AE"/>
    <w:rsid w:val="00280187"/>
    <w:rsid w:val="0028269A"/>
    <w:rsid w:val="00283590"/>
    <w:rsid w:val="00286973"/>
    <w:rsid w:val="00291E3A"/>
    <w:rsid w:val="0029242B"/>
    <w:rsid w:val="002928DA"/>
    <w:rsid w:val="00294E70"/>
    <w:rsid w:val="002A0634"/>
    <w:rsid w:val="002A1924"/>
    <w:rsid w:val="002A21F1"/>
    <w:rsid w:val="002A45AC"/>
    <w:rsid w:val="002A7420"/>
    <w:rsid w:val="002B0F12"/>
    <w:rsid w:val="002B1308"/>
    <w:rsid w:val="002B229E"/>
    <w:rsid w:val="002B4554"/>
    <w:rsid w:val="002B516B"/>
    <w:rsid w:val="002B5A6F"/>
    <w:rsid w:val="002B7804"/>
    <w:rsid w:val="002B7DD8"/>
    <w:rsid w:val="002C0C14"/>
    <w:rsid w:val="002C38CC"/>
    <w:rsid w:val="002C3DBD"/>
    <w:rsid w:val="002C720A"/>
    <w:rsid w:val="002C72D8"/>
    <w:rsid w:val="002C765A"/>
    <w:rsid w:val="002D11FA"/>
    <w:rsid w:val="002D612E"/>
    <w:rsid w:val="002D65FE"/>
    <w:rsid w:val="002D7483"/>
    <w:rsid w:val="002E09C4"/>
    <w:rsid w:val="002E0DDF"/>
    <w:rsid w:val="002E0E8E"/>
    <w:rsid w:val="002E2906"/>
    <w:rsid w:val="002E3D65"/>
    <w:rsid w:val="002E4F5B"/>
    <w:rsid w:val="002E555E"/>
    <w:rsid w:val="002E5635"/>
    <w:rsid w:val="002E5788"/>
    <w:rsid w:val="002E64C3"/>
    <w:rsid w:val="002E6A2C"/>
    <w:rsid w:val="002F1D8C"/>
    <w:rsid w:val="002F21DA"/>
    <w:rsid w:val="002F2F14"/>
    <w:rsid w:val="002F6BB5"/>
    <w:rsid w:val="002F7601"/>
    <w:rsid w:val="002F7772"/>
    <w:rsid w:val="00301F39"/>
    <w:rsid w:val="00304473"/>
    <w:rsid w:val="00304AB6"/>
    <w:rsid w:val="0031041D"/>
    <w:rsid w:val="003153E4"/>
    <w:rsid w:val="00316278"/>
    <w:rsid w:val="00317310"/>
    <w:rsid w:val="0031792D"/>
    <w:rsid w:val="00317F0B"/>
    <w:rsid w:val="0032005F"/>
    <w:rsid w:val="0032240C"/>
    <w:rsid w:val="00325926"/>
    <w:rsid w:val="00325F89"/>
    <w:rsid w:val="00327A2F"/>
    <w:rsid w:val="00327A8A"/>
    <w:rsid w:val="0033237B"/>
    <w:rsid w:val="00332C77"/>
    <w:rsid w:val="00333003"/>
    <w:rsid w:val="00333C0E"/>
    <w:rsid w:val="00334376"/>
    <w:rsid w:val="003352D5"/>
    <w:rsid w:val="003361D9"/>
    <w:rsid w:val="00336610"/>
    <w:rsid w:val="00340A0A"/>
    <w:rsid w:val="00340DAB"/>
    <w:rsid w:val="003424AD"/>
    <w:rsid w:val="00343BBF"/>
    <w:rsid w:val="00343F73"/>
    <w:rsid w:val="00344F32"/>
    <w:rsid w:val="00345060"/>
    <w:rsid w:val="0034758D"/>
    <w:rsid w:val="00347689"/>
    <w:rsid w:val="00347A36"/>
    <w:rsid w:val="003530C7"/>
    <w:rsid w:val="0035323B"/>
    <w:rsid w:val="00353267"/>
    <w:rsid w:val="0036076F"/>
    <w:rsid w:val="003609D2"/>
    <w:rsid w:val="003631E5"/>
    <w:rsid w:val="00363F22"/>
    <w:rsid w:val="00372F17"/>
    <w:rsid w:val="0037433B"/>
    <w:rsid w:val="00375564"/>
    <w:rsid w:val="00375D59"/>
    <w:rsid w:val="003769C0"/>
    <w:rsid w:val="00382CB8"/>
    <w:rsid w:val="00383191"/>
    <w:rsid w:val="00385CE1"/>
    <w:rsid w:val="003860FE"/>
    <w:rsid w:val="00386B38"/>
    <w:rsid w:val="00386C11"/>
    <w:rsid w:val="00386DED"/>
    <w:rsid w:val="00387059"/>
    <w:rsid w:val="0039111E"/>
    <w:rsid w:val="003912E7"/>
    <w:rsid w:val="00391CF1"/>
    <w:rsid w:val="00392F38"/>
    <w:rsid w:val="00393947"/>
    <w:rsid w:val="003957EE"/>
    <w:rsid w:val="0039680E"/>
    <w:rsid w:val="00396834"/>
    <w:rsid w:val="003979B5"/>
    <w:rsid w:val="003A087F"/>
    <w:rsid w:val="003A15A9"/>
    <w:rsid w:val="003A2275"/>
    <w:rsid w:val="003A3919"/>
    <w:rsid w:val="003A57F5"/>
    <w:rsid w:val="003A6A4F"/>
    <w:rsid w:val="003A7088"/>
    <w:rsid w:val="003B00DF"/>
    <w:rsid w:val="003B1275"/>
    <w:rsid w:val="003B1778"/>
    <w:rsid w:val="003B303E"/>
    <w:rsid w:val="003B3F48"/>
    <w:rsid w:val="003B4066"/>
    <w:rsid w:val="003B5E83"/>
    <w:rsid w:val="003C11CB"/>
    <w:rsid w:val="003C49A6"/>
    <w:rsid w:val="003C75F3"/>
    <w:rsid w:val="003C78A3"/>
    <w:rsid w:val="003D0535"/>
    <w:rsid w:val="003D29B4"/>
    <w:rsid w:val="003D59EE"/>
    <w:rsid w:val="003E1867"/>
    <w:rsid w:val="003E32FD"/>
    <w:rsid w:val="003E354C"/>
    <w:rsid w:val="003E49FF"/>
    <w:rsid w:val="003E5729"/>
    <w:rsid w:val="003F3238"/>
    <w:rsid w:val="003F3EAB"/>
    <w:rsid w:val="003F4E70"/>
    <w:rsid w:val="003F4EE0"/>
    <w:rsid w:val="004001D1"/>
    <w:rsid w:val="0040207F"/>
    <w:rsid w:val="00402153"/>
    <w:rsid w:val="00402FC1"/>
    <w:rsid w:val="004030F4"/>
    <w:rsid w:val="004038DC"/>
    <w:rsid w:val="004065B2"/>
    <w:rsid w:val="004066C6"/>
    <w:rsid w:val="004101C4"/>
    <w:rsid w:val="004130E3"/>
    <w:rsid w:val="00413610"/>
    <w:rsid w:val="00415974"/>
    <w:rsid w:val="00420A04"/>
    <w:rsid w:val="00422C7F"/>
    <w:rsid w:val="00424274"/>
    <w:rsid w:val="00425082"/>
    <w:rsid w:val="004254E5"/>
    <w:rsid w:val="00425764"/>
    <w:rsid w:val="00425E5E"/>
    <w:rsid w:val="004266C9"/>
    <w:rsid w:val="00426C97"/>
    <w:rsid w:val="00427C22"/>
    <w:rsid w:val="00431B1D"/>
    <w:rsid w:val="00431DEB"/>
    <w:rsid w:val="00432862"/>
    <w:rsid w:val="00443768"/>
    <w:rsid w:val="00444587"/>
    <w:rsid w:val="00446B29"/>
    <w:rsid w:val="00450560"/>
    <w:rsid w:val="00450A71"/>
    <w:rsid w:val="004513F0"/>
    <w:rsid w:val="00451830"/>
    <w:rsid w:val="00453F3F"/>
    <w:rsid w:val="00453F9A"/>
    <w:rsid w:val="00456505"/>
    <w:rsid w:val="00461BBD"/>
    <w:rsid w:val="004620B5"/>
    <w:rsid w:val="00462AA7"/>
    <w:rsid w:val="00464125"/>
    <w:rsid w:val="00464E71"/>
    <w:rsid w:val="00465369"/>
    <w:rsid w:val="0046555B"/>
    <w:rsid w:val="00470640"/>
    <w:rsid w:val="00471E91"/>
    <w:rsid w:val="00471F9C"/>
    <w:rsid w:val="00473224"/>
    <w:rsid w:val="00474248"/>
    <w:rsid w:val="004743CC"/>
    <w:rsid w:val="00474675"/>
    <w:rsid w:val="0047470C"/>
    <w:rsid w:val="0047642E"/>
    <w:rsid w:val="00477BB1"/>
    <w:rsid w:val="00485AC1"/>
    <w:rsid w:val="00493AD9"/>
    <w:rsid w:val="004A089E"/>
    <w:rsid w:val="004A0E2D"/>
    <w:rsid w:val="004A2623"/>
    <w:rsid w:val="004A3077"/>
    <w:rsid w:val="004A35F9"/>
    <w:rsid w:val="004A3DA5"/>
    <w:rsid w:val="004A51BA"/>
    <w:rsid w:val="004B0A5D"/>
    <w:rsid w:val="004B0B7B"/>
    <w:rsid w:val="004B1AF4"/>
    <w:rsid w:val="004B24C1"/>
    <w:rsid w:val="004B6773"/>
    <w:rsid w:val="004B6E02"/>
    <w:rsid w:val="004C1771"/>
    <w:rsid w:val="004C292F"/>
    <w:rsid w:val="004C56AB"/>
    <w:rsid w:val="004C5ABF"/>
    <w:rsid w:val="004C67CC"/>
    <w:rsid w:val="004C75A6"/>
    <w:rsid w:val="004D0434"/>
    <w:rsid w:val="004D4036"/>
    <w:rsid w:val="004D585B"/>
    <w:rsid w:val="004E61B1"/>
    <w:rsid w:val="004E690D"/>
    <w:rsid w:val="004F5943"/>
    <w:rsid w:val="004F6470"/>
    <w:rsid w:val="004F6D7A"/>
    <w:rsid w:val="004F74AF"/>
    <w:rsid w:val="004F7AB2"/>
    <w:rsid w:val="00500C9C"/>
    <w:rsid w:val="00500CFB"/>
    <w:rsid w:val="00500EED"/>
    <w:rsid w:val="0050162E"/>
    <w:rsid w:val="005047D1"/>
    <w:rsid w:val="00504894"/>
    <w:rsid w:val="005054DF"/>
    <w:rsid w:val="00506494"/>
    <w:rsid w:val="00507807"/>
    <w:rsid w:val="00510280"/>
    <w:rsid w:val="005104D2"/>
    <w:rsid w:val="00511BC1"/>
    <w:rsid w:val="00512435"/>
    <w:rsid w:val="00512864"/>
    <w:rsid w:val="00513D73"/>
    <w:rsid w:val="00514A43"/>
    <w:rsid w:val="00514EEE"/>
    <w:rsid w:val="005174E5"/>
    <w:rsid w:val="005178F0"/>
    <w:rsid w:val="00520384"/>
    <w:rsid w:val="0052162B"/>
    <w:rsid w:val="00522393"/>
    <w:rsid w:val="00522620"/>
    <w:rsid w:val="00525656"/>
    <w:rsid w:val="005260D8"/>
    <w:rsid w:val="005307B5"/>
    <w:rsid w:val="00532256"/>
    <w:rsid w:val="00534C02"/>
    <w:rsid w:val="005353E4"/>
    <w:rsid w:val="0053587E"/>
    <w:rsid w:val="00537A01"/>
    <w:rsid w:val="00540FAE"/>
    <w:rsid w:val="005415D8"/>
    <w:rsid w:val="0054264B"/>
    <w:rsid w:val="00543786"/>
    <w:rsid w:val="005446D6"/>
    <w:rsid w:val="00544A22"/>
    <w:rsid w:val="00545B29"/>
    <w:rsid w:val="00547475"/>
    <w:rsid w:val="00551F16"/>
    <w:rsid w:val="00551FF8"/>
    <w:rsid w:val="005530DB"/>
    <w:rsid w:val="005533D7"/>
    <w:rsid w:val="00561ED5"/>
    <w:rsid w:val="005629D9"/>
    <w:rsid w:val="005635DE"/>
    <w:rsid w:val="00563DAD"/>
    <w:rsid w:val="005657F2"/>
    <w:rsid w:val="00565E3B"/>
    <w:rsid w:val="005663CA"/>
    <w:rsid w:val="00567A59"/>
    <w:rsid w:val="005703DE"/>
    <w:rsid w:val="00570E3D"/>
    <w:rsid w:val="0057276E"/>
    <w:rsid w:val="005731CC"/>
    <w:rsid w:val="00574634"/>
    <w:rsid w:val="00581D2C"/>
    <w:rsid w:val="0058273F"/>
    <w:rsid w:val="00582C9E"/>
    <w:rsid w:val="0058464E"/>
    <w:rsid w:val="00585424"/>
    <w:rsid w:val="005863E1"/>
    <w:rsid w:val="00586904"/>
    <w:rsid w:val="00586AE4"/>
    <w:rsid w:val="00591863"/>
    <w:rsid w:val="00592AC3"/>
    <w:rsid w:val="00592B08"/>
    <w:rsid w:val="00593942"/>
    <w:rsid w:val="00594C10"/>
    <w:rsid w:val="005A01CB"/>
    <w:rsid w:val="005A26BF"/>
    <w:rsid w:val="005A2808"/>
    <w:rsid w:val="005A4C58"/>
    <w:rsid w:val="005A58FF"/>
    <w:rsid w:val="005A5EAF"/>
    <w:rsid w:val="005A64C0"/>
    <w:rsid w:val="005A73E8"/>
    <w:rsid w:val="005B0FA1"/>
    <w:rsid w:val="005B200A"/>
    <w:rsid w:val="005B2742"/>
    <w:rsid w:val="005B3C11"/>
    <w:rsid w:val="005B4A1E"/>
    <w:rsid w:val="005B6573"/>
    <w:rsid w:val="005C1C28"/>
    <w:rsid w:val="005C62BD"/>
    <w:rsid w:val="005C6DB5"/>
    <w:rsid w:val="005D0411"/>
    <w:rsid w:val="005D1EBD"/>
    <w:rsid w:val="005D52F8"/>
    <w:rsid w:val="005E19E7"/>
    <w:rsid w:val="005E3114"/>
    <w:rsid w:val="005E56AB"/>
    <w:rsid w:val="005E5D20"/>
    <w:rsid w:val="005E6A92"/>
    <w:rsid w:val="005E6C91"/>
    <w:rsid w:val="005F0BBF"/>
    <w:rsid w:val="005F1238"/>
    <w:rsid w:val="005F2B74"/>
    <w:rsid w:val="005F2D74"/>
    <w:rsid w:val="005F41DB"/>
    <w:rsid w:val="005F6BD5"/>
    <w:rsid w:val="00600548"/>
    <w:rsid w:val="00601CC7"/>
    <w:rsid w:val="006037A8"/>
    <w:rsid w:val="00604A32"/>
    <w:rsid w:val="006062EC"/>
    <w:rsid w:val="00606DDC"/>
    <w:rsid w:val="00607462"/>
    <w:rsid w:val="00611B69"/>
    <w:rsid w:val="00612B5D"/>
    <w:rsid w:val="00612EEA"/>
    <w:rsid w:val="00614E3A"/>
    <w:rsid w:val="0061716C"/>
    <w:rsid w:val="00617A61"/>
    <w:rsid w:val="00621548"/>
    <w:rsid w:val="00623FFF"/>
    <w:rsid w:val="006243A1"/>
    <w:rsid w:val="006256F8"/>
    <w:rsid w:val="00625A5D"/>
    <w:rsid w:val="00626BA8"/>
    <w:rsid w:val="00627715"/>
    <w:rsid w:val="00630886"/>
    <w:rsid w:val="00632E56"/>
    <w:rsid w:val="00633C15"/>
    <w:rsid w:val="00635071"/>
    <w:rsid w:val="00635CBA"/>
    <w:rsid w:val="00636EF5"/>
    <w:rsid w:val="00636FF6"/>
    <w:rsid w:val="00637E26"/>
    <w:rsid w:val="00637E29"/>
    <w:rsid w:val="00641FB4"/>
    <w:rsid w:val="00642751"/>
    <w:rsid w:val="0064338B"/>
    <w:rsid w:val="0064579E"/>
    <w:rsid w:val="00646542"/>
    <w:rsid w:val="00647513"/>
    <w:rsid w:val="006479E6"/>
    <w:rsid w:val="006504F4"/>
    <w:rsid w:val="00651D2A"/>
    <w:rsid w:val="00651E98"/>
    <w:rsid w:val="006524E9"/>
    <w:rsid w:val="00654BC9"/>
    <w:rsid w:val="006552FD"/>
    <w:rsid w:val="00655359"/>
    <w:rsid w:val="00655D89"/>
    <w:rsid w:val="00662527"/>
    <w:rsid w:val="00663AF3"/>
    <w:rsid w:val="00664F6C"/>
    <w:rsid w:val="00666131"/>
    <w:rsid w:val="00666B6C"/>
    <w:rsid w:val="006674F0"/>
    <w:rsid w:val="00671C20"/>
    <w:rsid w:val="006750C5"/>
    <w:rsid w:val="00675CD6"/>
    <w:rsid w:val="00677756"/>
    <w:rsid w:val="006810D0"/>
    <w:rsid w:val="00682682"/>
    <w:rsid w:val="00682702"/>
    <w:rsid w:val="00682E4E"/>
    <w:rsid w:val="00683885"/>
    <w:rsid w:val="00687FD3"/>
    <w:rsid w:val="00692368"/>
    <w:rsid w:val="00693E44"/>
    <w:rsid w:val="00695F65"/>
    <w:rsid w:val="00696ABB"/>
    <w:rsid w:val="006A297B"/>
    <w:rsid w:val="006A2EBC"/>
    <w:rsid w:val="006A5EA0"/>
    <w:rsid w:val="006A6D1B"/>
    <w:rsid w:val="006A783B"/>
    <w:rsid w:val="006A7B33"/>
    <w:rsid w:val="006B0A4F"/>
    <w:rsid w:val="006B0C5A"/>
    <w:rsid w:val="006B0E15"/>
    <w:rsid w:val="006B0F24"/>
    <w:rsid w:val="006B4301"/>
    <w:rsid w:val="006B4E13"/>
    <w:rsid w:val="006B55E7"/>
    <w:rsid w:val="006B5907"/>
    <w:rsid w:val="006B75DD"/>
    <w:rsid w:val="006C25DB"/>
    <w:rsid w:val="006C39D8"/>
    <w:rsid w:val="006C67E0"/>
    <w:rsid w:val="006C6AB7"/>
    <w:rsid w:val="006C7ABA"/>
    <w:rsid w:val="006D0D60"/>
    <w:rsid w:val="006D1122"/>
    <w:rsid w:val="006D12B7"/>
    <w:rsid w:val="006D2300"/>
    <w:rsid w:val="006D2A5B"/>
    <w:rsid w:val="006D3C00"/>
    <w:rsid w:val="006D47A9"/>
    <w:rsid w:val="006D750C"/>
    <w:rsid w:val="006E1F98"/>
    <w:rsid w:val="006E345D"/>
    <w:rsid w:val="006E3675"/>
    <w:rsid w:val="006E4A7F"/>
    <w:rsid w:val="006E6E23"/>
    <w:rsid w:val="006F0CA5"/>
    <w:rsid w:val="006F1D30"/>
    <w:rsid w:val="006F291F"/>
    <w:rsid w:val="006F3F3C"/>
    <w:rsid w:val="006F59B2"/>
    <w:rsid w:val="00704DF6"/>
    <w:rsid w:val="00705CDD"/>
    <w:rsid w:val="0070651C"/>
    <w:rsid w:val="0071170A"/>
    <w:rsid w:val="007132A3"/>
    <w:rsid w:val="00715918"/>
    <w:rsid w:val="00715AC5"/>
    <w:rsid w:val="00716421"/>
    <w:rsid w:val="00722022"/>
    <w:rsid w:val="00722C95"/>
    <w:rsid w:val="00723534"/>
    <w:rsid w:val="00724EFB"/>
    <w:rsid w:val="00730A6E"/>
    <w:rsid w:val="007327CA"/>
    <w:rsid w:val="00740650"/>
    <w:rsid w:val="007419C3"/>
    <w:rsid w:val="00742934"/>
    <w:rsid w:val="00742BE2"/>
    <w:rsid w:val="00742CC6"/>
    <w:rsid w:val="00742F7E"/>
    <w:rsid w:val="007431D1"/>
    <w:rsid w:val="007467A7"/>
    <w:rsid w:val="007469DD"/>
    <w:rsid w:val="00746ECD"/>
    <w:rsid w:val="0074741B"/>
    <w:rsid w:val="0074759E"/>
    <w:rsid w:val="007478EA"/>
    <w:rsid w:val="00747D27"/>
    <w:rsid w:val="0075057F"/>
    <w:rsid w:val="00751131"/>
    <w:rsid w:val="00751F0A"/>
    <w:rsid w:val="00752FE2"/>
    <w:rsid w:val="0075415C"/>
    <w:rsid w:val="00754F74"/>
    <w:rsid w:val="00757567"/>
    <w:rsid w:val="00757689"/>
    <w:rsid w:val="00761C0E"/>
    <w:rsid w:val="00763502"/>
    <w:rsid w:val="007649CC"/>
    <w:rsid w:val="00770EFF"/>
    <w:rsid w:val="0077115C"/>
    <w:rsid w:val="00773D0E"/>
    <w:rsid w:val="00773D94"/>
    <w:rsid w:val="0077402E"/>
    <w:rsid w:val="007746E6"/>
    <w:rsid w:val="007761B8"/>
    <w:rsid w:val="007774FA"/>
    <w:rsid w:val="007800F0"/>
    <w:rsid w:val="007811B2"/>
    <w:rsid w:val="00781F20"/>
    <w:rsid w:val="00782087"/>
    <w:rsid w:val="00782881"/>
    <w:rsid w:val="007832A2"/>
    <w:rsid w:val="00783D12"/>
    <w:rsid w:val="007902B3"/>
    <w:rsid w:val="007913AB"/>
    <w:rsid w:val="007914F7"/>
    <w:rsid w:val="00793221"/>
    <w:rsid w:val="007957DE"/>
    <w:rsid w:val="007A0136"/>
    <w:rsid w:val="007A75F1"/>
    <w:rsid w:val="007A77FD"/>
    <w:rsid w:val="007B02DB"/>
    <w:rsid w:val="007B1625"/>
    <w:rsid w:val="007B63DF"/>
    <w:rsid w:val="007B706E"/>
    <w:rsid w:val="007B71EB"/>
    <w:rsid w:val="007C0E64"/>
    <w:rsid w:val="007C1BFF"/>
    <w:rsid w:val="007C1D27"/>
    <w:rsid w:val="007C3901"/>
    <w:rsid w:val="007C47F8"/>
    <w:rsid w:val="007C6205"/>
    <w:rsid w:val="007C686A"/>
    <w:rsid w:val="007C6E1A"/>
    <w:rsid w:val="007C728E"/>
    <w:rsid w:val="007D190C"/>
    <w:rsid w:val="007D2C53"/>
    <w:rsid w:val="007D3D60"/>
    <w:rsid w:val="007D551F"/>
    <w:rsid w:val="007D59C0"/>
    <w:rsid w:val="007D7043"/>
    <w:rsid w:val="007D7467"/>
    <w:rsid w:val="007E0D4A"/>
    <w:rsid w:val="007E1980"/>
    <w:rsid w:val="007E48ED"/>
    <w:rsid w:val="007E4B76"/>
    <w:rsid w:val="007E4EAF"/>
    <w:rsid w:val="007E5EA8"/>
    <w:rsid w:val="007E6318"/>
    <w:rsid w:val="007F0CF1"/>
    <w:rsid w:val="007F12A5"/>
    <w:rsid w:val="007F1A3F"/>
    <w:rsid w:val="007F4CF1"/>
    <w:rsid w:val="007F6066"/>
    <w:rsid w:val="007F744A"/>
    <w:rsid w:val="007F758D"/>
    <w:rsid w:val="007F7D52"/>
    <w:rsid w:val="00801F75"/>
    <w:rsid w:val="0080339C"/>
    <w:rsid w:val="00804ECC"/>
    <w:rsid w:val="00805E4F"/>
    <w:rsid w:val="0080654C"/>
    <w:rsid w:val="008071C6"/>
    <w:rsid w:val="008144A6"/>
    <w:rsid w:val="00817A00"/>
    <w:rsid w:val="00822C1C"/>
    <w:rsid w:val="00823A73"/>
    <w:rsid w:val="00823DBE"/>
    <w:rsid w:val="00824DFD"/>
    <w:rsid w:val="00826CEF"/>
    <w:rsid w:val="00830A44"/>
    <w:rsid w:val="00831ED7"/>
    <w:rsid w:val="00835DB3"/>
    <w:rsid w:val="0083617B"/>
    <w:rsid w:val="008371BD"/>
    <w:rsid w:val="008371F7"/>
    <w:rsid w:val="00837C55"/>
    <w:rsid w:val="00837D89"/>
    <w:rsid w:val="0084120C"/>
    <w:rsid w:val="008446EA"/>
    <w:rsid w:val="00844872"/>
    <w:rsid w:val="00846C41"/>
    <w:rsid w:val="0084789C"/>
    <w:rsid w:val="008504A8"/>
    <w:rsid w:val="00851F21"/>
    <w:rsid w:val="0085282E"/>
    <w:rsid w:val="00852C52"/>
    <w:rsid w:val="0085385F"/>
    <w:rsid w:val="0085447E"/>
    <w:rsid w:val="00854841"/>
    <w:rsid w:val="0086132D"/>
    <w:rsid w:val="00861C7D"/>
    <w:rsid w:val="00862CC9"/>
    <w:rsid w:val="00862DB4"/>
    <w:rsid w:val="0086452F"/>
    <w:rsid w:val="008700BD"/>
    <w:rsid w:val="0087198C"/>
    <w:rsid w:val="00872C1F"/>
    <w:rsid w:val="00873B42"/>
    <w:rsid w:val="00877911"/>
    <w:rsid w:val="00877B63"/>
    <w:rsid w:val="00880CCB"/>
    <w:rsid w:val="008813EA"/>
    <w:rsid w:val="008832A1"/>
    <w:rsid w:val="008856D8"/>
    <w:rsid w:val="00885DD0"/>
    <w:rsid w:val="008877F9"/>
    <w:rsid w:val="008909C2"/>
    <w:rsid w:val="0089198B"/>
    <w:rsid w:val="0089282D"/>
    <w:rsid w:val="00892C09"/>
    <w:rsid w:val="00892C8C"/>
    <w:rsid w:val="00892E82"/>
    <w:rsid w:val="00897169"/>
    <w:rsid w:val="008976DB"/>
    <w:rsid w:val="008A065C"/>
    <w:rsid w:val="008A3367"/>
    <w:rsid w:val="008A540F"/>
    <w:rsid w:val="008A5AA2"/>
    <w:rsid w:val="008A68B2"/>
    <w:rsid w:val="008A7AA0"/>
    <w:rsid w:val="008B0814"/>
    <w:rsid w:val="008B4E44"/>
    <w:rsid w:val="008B6BF5"/>
    <w:rsid w:val="008B7844"/>
    <w:rsid w:val="008C0CB7"/>
    <w:rsid w:val="008C1B58"/>
    <w:rsid w:val="008C39AE"/>
    <w:rsid w:val="008C3E69"/>
    <w:rsid w:val="008C590D"/>
    <w:rsid w:val="008D06D8"/>
    <w:rsid w:val="008D0FCA"/>
    <w:rsid w:val="008D1D42"/>
    <w:rsid w:val="008D4376"/>
    <w:rsid w:val="008D50BC"/>
    <w:rsid w:val="008E031B"/>
    <w:rsid w:val="008E08E4"/>
    <w:rsid w:val="008E1FE4"/>
    <w:rsid w:val="008E3C04"/>
    <w:rsid w:val="008E4514"/>
    <w:rsid w:val="008E7029"/>
    <w:rsid w:val="008E7889"/>
    <w:rsid w:val="008E7EF6"/>
    <w:rsid w:val="008F1F98"/>
    <w:rsid w:val="008F4D18"/>
    <w:rsid w:val="008F4DAB"/>
    <w:rsid w:val="008F4ED2"/>
    <w:rsid w:val="008F592B"/>
    <w:rsid w:val="008F6448"/>
    <w:rsid w:val="008F6758"/>
    <w:rsid w:val="009006E6"/>
    <w:rsid w:val="00900F08"/>
    <w:rsid w:val="00902E8D"/>
    <w:rsid w:val="009040DD"/>
    <w:rsid w:val="0090475D"/>
    <w:rsid w:val="00904B4C"/>
    <w:rsid w:val="00904CEE"/>
    <w:rsid w:val="00905B47"/>
    <w:rsid w:val="00907B02"/>
    <w:rsid w:val="00910933"/>
    <w:rsid w:val="00911E68"/>
    <w:rsid w:val="0091331C"/>
    <w:rsid w:val="00915498"/>
    <w:rsid w:val="009168DF"/>
    <w:rsid w:val="00923AC1"/>
    <w:rsid w:val="00924B5E"/>
    <w:rsid w:val="00925649"/>
    <w:rsid w:val="00925D5F"/>
    <w:rsid w:val="009279DE"/>
    <w:rsid w:val="00930116"/>
    <w:rsid w:val="00930FA0"/>
    <w:rsid w:val="00931530"/>
    <w:rsid w:val="009322CA"/>
    <w:rsid w:val="009334E6"/>
    <w:rsid w:val="00935D91"/>
    <w:rsid w:val="00936EBE"/>
    <w:rsid w:val="0094212C"/>
    <w:rsid w:val="00942F42"/>
    <w:rsid w:val="00943229"/>
    <w:rsid w:val="009472DA"/>
    <w:rsid w:val="009523FE"/>
    <w:rsid w:val="00954689"/>
    <w:rsid w:val="009550F4"/>
    <w:rsid w:val="00956741"/>
    <w:rsid w:val="009617C9"/>
    <w:rsid w:val="00961C93"/>
    <w:rsid w:val="0096247C"/>
    <w:rsid w:val="0096306F"/>
    <w:rsid w:val="00965324"/>
    <w:rsid w:val="0096610B"/>
    <w:rsid w:val="00967859"/>
    <w:rsid w:val="0097091E"/>
    <w:rsid w:val="009732D3"/>
    <w:rsid w:val="00974B8B"/>
    <w:rsid w:val="009751A7"/>
    <w:rsid w:val="009760D3"/>
    <w:rsid w:val="009761B1"/>
    <w:rsid w:val="00976E55"/>
    <w:rsid w:val="00977132"/>
    <w:rsid w:val="00980447"/>
    <w:rsid w:val="00981A4B"/>
    <w:rsid w:val="00982501"/>
    <w:rsid w:val="00982A83"/>
    <w:rsid w:val="00983A7F"/>
    <w:rsid w:val="009859BA"/>
    <w:rsid w:val="009877D3"/>
    <w:rsid w:val="00987EF4"/>
    <w:rsid w:val="009921F9"/>
    <w:rsid w:val="009923ED"/>
    <w:rsid w:val="009934F0"/>
    <w:rsid w:val="0099442B"/>
    <w:rsid w:val="00994E8F"/>
    <w:rsid w:val="009951DC"/>
    <w:rsid w:val="009959BB"/>
    <w:rsid w:val="0099602D"/>
    <w:rsid w:val="00997053"/>
    <w:rsid w:val="00997158"/>
    <w:rsid w:val="009A00EA"/>
    <w:rsid w:val="009A18AC"/>
    <w:rsid w:val="009A3A7C"/>
    <w:rsid w:val="009A3AEF"/>
    <w:rsid w:val="009A5E62"/>
    <w:rsid w:val="009A7C11"/>
    <w:rsid w:val="009B2ADB"/>
    <w:rsid w:val="009B2B5D"/>
    <w:rsid w:val="009B359A"/>
    <w:rsid w:val="009B5338"/>
    <w:rsid w:val="009B603A"/>
    <w:rsid w:val="009C04FA"/>
    <w:rsid w:val="009C0B75"/>
    <w:rsid w:val="009C1262"/>
    <w:rsid w:val="009C2D0E"/>
    <w:rsid w:val="009C35BD"/>
    <w:rsid w:val="009C3DAC"/>
    <w:rsid w:val="009C42E0"/>
    <w:rsid w:val="009C5111"/>
    <w:rsid w:val="009C54A0"/>
    <w:rsid w:val="009D047A"/>
    <w:rsid w:val="009D5362"/>
    <w:rsid w:val="009D561D"/>
    <w:rsid w:val="009E1415"/>
    <w:rsid w:val="009E1A64"/>
    <w:rsid w:val="009E1ABA"/>
    <w:rsid w:val="009E36F7"/>
    <w:rsid w:val="009E3D2D"/>
    <w:rsid w:val="009E48A7"/>
    <w:rsid w:val="009E6116"/>
    <w:rsid w:val="009F042F"/>
    <w:rsid w:val="009F0E4F"/>
    <w:rsid w:val="009F2679"/>
    <w:rsid w:val="009F4BFA"/>
    <w:rsid w:val="009F54E4"/>
    <w:rsid w:val="009F5D48"/>
    <w:rsid w:val="00A02E43"/>
    <w:rsid w:val="00A039BF"/>
    <w:rsid w:val="00A065F9"/>
    <w:rsid w:val="00A07323"/>
    <w:rsid w:val="00A07F34"/>
    <w:rsid w:val="00A125A0"/>
    <w:rsid w:val="00A14794"/>
    <w:rsid w:val="00A15B21"/>
    <w:rsid w:val="00A1612E"/>
    <w:rsid w:val="00A16930"/>
    <w:rsid w:val="00A21841"/>
    <w:rsid w:val="00A22154"/>
    <w:rsid w:val="00A234B3"/>
    <w:rsid w:val="00A239B5"/>
    <w:rsid w:val="00A25C38"/>
    <w:rsid w:val="00A26EE2"/>
    <w:rsid w:val="00A3008B"/>
    <w:rsid w:val="00A3223B"/>
    <w:rsid w:val="00A32276"/>
    <w:rsid w:val="00A3236A"/>
    <w:rsid w:val="00A327BD"/>
    <w:rsid w:val="00A33E14"/>
    <w:rsid w:val="00A368B1"/>
    <w:rsid w:val="00A36BBE"/>
    <w:rsid w:val="00A37A8E"/>
    <w:rsid w:val="00A42130"/>
    <w:rsid w:val="00A4307A"/>
    <w:rsid w:val="00A457A2"/>
    <w:rsid w:val="00A47000"/>
    <w:rsid w:val="00A47C95"/>
    <w:rsid w:val="00A47EBB"/>
    <w:rsid w:val="00A51CDD"/>
    <w:rsid w:val="00A51DBD"/>
    <w:rsid w:val="00A54401"/>
    <w:rsid w:val="00A55497"/>
    <w:rsid w:val="00A57954"/>
    <w:rsid w:val="00A60551"/>
    <w:rsid w:val="00A64868"/>
    <w:rsid w:val="00A6730D"/>
    <w:rsid w:val="00A70CAE"/>
    <w:rsid w:val="00A71132"/>
    <w:rsid w:val="00A71320"/>
    <w:rsid w:val="00A71625"/>
    <w:rsid w:val="00A71B9B"/>
    <w:rsid w:val="00A751C7"/>
    <w:rsid w:val="00A75315"/>
    <w:rsid w:val="00A769E6"/>
    <w:rsid w:val="00A778BF"/>
    <w:rsid w:val="00A77D49"/>
    <w:rsid w:val="00A810F2"/>
    <w:rsid w:val="00A81693"/>
    <w:rsid w:val="00A826F6"/>
    <w:rsid w:val="00A832B9"/>
    <w:rsid w:val="00A85D1D"/>
    <w:rsid w:val="00A87844"/>
    <w:rsid w:val="00A9130F"/>
    <w:rsid w:val="00A91590"/>
    <w:rsid w:val="00A91BDA"/>
    <w:rsid w:val="00A972CF"/>
    <w:rsid w:val="00AA038C"/>
    <w:rsid w:val="00AA0FB2"/>
    <w:rsid w:val="00AA1310"/>
    <w:rsid w:val="00AA4404"/>
    <w:rsid w:val="00AA5DC2"/>
    <w:rsid w:val="00AA7A09"/>
    <w:rsid w:val="00AB3B50"/>
    <w:rsid w:val="00AC043E"/>
    <w:rsid w:val="00AC05B1"/>
    <w:rsid w:val="00AC0C0B"/>
    <w:rsid w:val="00AC1A92"/>
    <w:rsid w:val="00AC3FA1"/>
    <w:rsid w:val="00AC6192"/>
    <w:rsid w:val="00AD280B"/>
    <w:rsid w:val="00AD356C"/>
    <w:rsid w:val="00AD4897"/>
    <w:rsid w:val="00AD70ED"/>
    <w:rsid w:val="00AE2914"/>
    <w:rsid w:val="00AE4901"/>
    <w:rsid w:val="00AE5A73"/>
    <w:rsid w:val="00AE6D15"/>
    <w:rsid w:val="00AE7CAA"/>
    <w:rsid w:val="00AF0F96"/>
    <w:rsid w:val="00AF11C7"/>
    <w:rsid w:val="00AF2E43"/>
    <w:rsid w:val="00AF6083"/>
    <w:rsid w:val="00AF61D7"/>
    <w:rsid w:val="00AF6CFD"/>
    <w:rsid w:val="00B01312"/>
    <w:rsid w:val="00B04182"/>
    <w:rsid w:val="00B0779E"/>
    <w:rsid w:val="00B07AE3"/>
    <w:rsid w:val="00B07FC6"/>
    <w:rsid w:val="00B11430"/>
    <w:rsid w:val="00B12372"/>
    <w:rsid w:val="00B1360F"/>
    <w:rsid w:val="00B13FEA"/>
    <w:rsid w:val="00B140C1"/>
    <w:rsid w:val="00B14439"/>
    <w:rsid w:val="00B2379C"/>
    <w:rsid w:val="00B23927"/>
    <w:rsid w:val="00B26C48"/>
    <w:rsid w:val="00B277AD"/>
    <w:rsid w:val="00B32FF9"/>
    <w:rsid w:val="00B353EB"/>
    <w:rsid w:val="00B361B7"/>
    <w:rsid w:val="00B3730B"/>
    <w:rsid w:val="00B40E3E"/>
    <w:rsid w:val="00B42FA1"/>
    <w:rsid w:val="00B439C4"/>
    <w:rsid w:val="00B4535E"/>
    <w:rsid w:val="00B50E27"/>
    <w:rsid w:val="00B51ECE"/>
    <w:rsid w:val="00B52A8C"/>
    <w:rsid w:val="00B61517"/>
    <w:rsid w:val="00B61B8B"/>
    <w:rsid w:val="00B625BD"/>
    <w:rsid w:val="00B6290A"/>
    <w:rsid w:val="00B631F4"/>
    <w:rsid w:val="00B636A8"/>
    <w:rsid w:val="00B665C6"/>
    <w:rsid w:val="00B70F22"/>
    <w:rsid w:val="00B7196B"/>
    <w:rsid w:val="00B72811"/>
    <w:rsid w:val="00B72EFE"/>
    <w:rsid w:val="00B75010"/>
    <w:rsid w:val="00B760DF"/>
    <w:rsid w:val="00B77CCD"/>
    <w:rsid w:val="00B805AF"/>
    <w:rsid w:val="00B83143"/>
    <w:rsid w:val="00B832F4"/>
    <w:rsid w:val="00B83C66"/>
    <w:rsid w:val="00B8595C"/>
    <w:rsid w:val="00B869EC"/>
    <w:rsid w:val="00B86EDB"/>
    <w:rsid w:val="00B93229"/>
    <w:rsid w:val="00B9397A"/>
    <w:rsid w:val="00B9633D"/>
    <w:rsid w:val="00BA2221"/>
    <w:rsid w:val="00BA2EBE"/>
    <w:rsid w:val="00BA3A72"/>
    <w:rsid w:val="00BA63E4"/>
    <w:rsid w:val="00BB0F28"/>
    <w:rsid w:val="00BB405F"/>
    <w:rsid w:val="00BB458A"/>
    <w:rsid w:val="00BB7049"/>
    <w:rsid w:val="00BB71A9"/>
    <w:rsid w:val="00BC03E5"/>
    <w:rsid w:val="00BC0A38"/>
    <w:rsid w:val="00BC115B"/>
    <w:rsid w:val="00BC270A"/>
    <w:rsid w:val="00BC6358"/>
    <w:rsid w:val="00BC7D85"/>
    <w:rsid w:val="00BD00D3"/>
    <w:rsid w:val="00BD104B"/>
    <w:rsid w:val="00BD1659"/>
    <w:rsid w:val="00BD1991"/>
    <w:rsid w:val="00BD259F"/>
    <w:rsid w:val="00BD350B"/>
    <w:rsid w:val="00BD3AA9"/>
    <w:rsid w:val="00BD4A18"/>
    <w:rsid w:val="00BD667C"/>
    <w:rsid w:val="00BD68B8"/>
    <w:rsid w:val="00BD6DB2"/>
    <w:rsid w:val="00BE11CF"/>
    <w:rsid w:val="00BE21AB"/>
    <w:rsid w:val="00BE55CB"/>
    <w:rsid w:val="00BE75D2"/>
    <w:rsid w:val="00BE78D7"/>
    <w:rsid w:val="00BF0A54"/>
    <w:rsid w:val="00BF3B67"/>
    <w:rsid w:val="00BF617A"/>
    <w:rsid w:val="00C00FB1"/>
    <w:rsid w:val="00C02572"/>
    <w:rsid w:val="00C0379D"/>
    <w:rsid w:val="00C03931"/>
    <w:rsid w:val="00C05984"/>
    <w:rsid w:val="00C05FE3"/>
    <w:rsid w:val="00C10DA6"/>
    <w:rsid w:val="00C11B1B"/>
    <w:rsid w:val="00C164FA"/>
    <w:rsid w:val="00C2136D"/>
    <w:rsid w:val="00C214EE"/>
    <w:rsid w:val="00C21CD3"/>
    <w:rsid w:val="00C22F9C"/>
    <w:rsid w:val="00C2314B"/>
    <w:rsid w:val="00C24971"/>
    <w:rsid w:val="00C26BE5"/>
    <w:rsid w:val="00C26E4D"/>
    <w:rsid w:val="00C27909"/>
    <w:rsid w:val="00C27ABD"/>
    <w:rsid w:val="00C27B03"/>
    <w:rsid w:val="00C30144"/>
    <w:rsid w:val="00C30839"/>
    <w:rsid w:val="00C311B8"/>
    <w:rsid w:val="00C31285"/>
    <w:rsid w:val="00C314E1"/>
    <w:rsid w:val="00C323A4"/>
    <w:rsid w:val="00C34397"/>
    <w:rsid w:val="00C35718"/>
    <w:rsid w:val="00C35A54"/>
    <w:rsid w:val="00C4095D"/>
    <w:rsid w:val="00C4137C"/>
    <w:rsid w:val="00C434F3"/>
    <w:rsid w:val="00C46AEE"/>
    <w:rsid w:val="00C5047B"/>
    <w:rsid w:val="00C51395"/>
    <w:rsid w:val="00C5208F"/>
    <w:rsid w:val="00C52B37"/>
    <w:rsid w:val="00C53E72"/>
    <w:rsid w:val="00C566F8"/>
    <w:rsid w:val="00C601D2"/>
    <w:rsid w:val="00C64CBF"/>
    <w:rsid w:val="00C65BCC"/>
    <w:rsid w:val="00C66217"/>
    <w:rsid w:val="00C66970"/>
    <w:rsid w:val="00C66ABA"/>
    <w:rsid w:val="00C7111A"/>
    <w:rsid w:val="00C71351"/>
    <w:rsid w:val="00C71524"/>
    <w:rsid w:val="00C72AA6"/>
    <w:rsid w:val="00C755DE"/>
    <w:rsid w:val="00C76A00"/>
    <w:rsid w:val="00C82E02"/>
    <w:rsid w:val="00C83C98"/>
    <w:rsid w:val="00C84E18"/>
    <w:rsid w:val="00C8691C"/>
    <w:rsid w:val="00C86A9D"/>
    <w:rsid w:val="00C92DC4"/>
    <w:rsid w:val="00C947B7"/>
    <w:rsid w:val="00C94D50"/>
    <w:rsid w:val="00C9549D"/>
    <w:rsid w:val="00C95AFA"/>
    <w:rsid w:val="00C96CB7"/>
    <w:rsid w:val="00CA168A"/>
    <w:rsid w:val="00CA357E"/>
    <w:rsid w:val="00CA3840"/>
    <w:rsid w:val="00CA3EDD"/>
    <w:rsid w:val="00CA41FA"/>
    <w:rsid w:val="00CA44F9"/>
    <w:rsid w:val="00CA4A69"/>
    <w:rsid w:val="00CA5C54"/>
    <w:rsid w:val="00CA64C9"/>
    <w:rsid w:val="00CB22EA"/>
    <w:rsid w:val="00CB47B3"/>
    <w:rsid w:val="00CC0D0C"/>
    <w:rsid w:val="00CC3B68"/>
    <w:rsid w:val="00CC3E0C"/>
    <w:rsid w:val="00CC3F9F"/>
    <w:rsid w:val="00CC4430"/>
    <w:rsid w:val="00CC465F"/>
    <w:rsid w:val="00CC5130"/>
    <w:rsid w:val="00CC58D3"/>
    <w:rsid w:val="00CC784D"/>
    <w:rsid w:val="00CC7DEC"/>
    <w:rsid w:val="00CD2D21"/>
    <w:rsid w:val="00CD4130"/>
    <w:rsid w:val="00CD7070"/>
    <w:rsid w:val="00CE2B6A"/>
    <w:rsid w:val="00CE64A0"/>
    <w:rsid w:val="00CF5BD6"/>
    <w:rsid w:val="00D00D92"/>
    <w:rsid w:val="00D02AFD"/>
    <w:rsid w:val="00D02C88"/>
    <w:rsid w:val="00D0337B"/>
    <w:rsid w:val="00D03EBF"/>
    <w:rsid w:val="00D04328"/>
    <w:rsid w:val="00D053B6"/>
    <w:rsid w:val="00D05C35"/>
    <w:rsid w:val="00D079B2"/>
    <w:rsid w:val="00D10C5C"/>
    <w:rsid w:val="00D10E2B"/>
    <w:rsid w:val="00D11213"/>
    <w:rsid w:val="00D114E9"/>
    <w:rsid w:val="00D1364B"/>
    <w:rsid w:val="00D14F47"/>
    <w:rsid w:val="00D151C5"/>
    <w:rsid w:val="00D209BD"/>
    <w:rsid w:val="00D215D4"/>
    <w:rsid w:val="00D22EAA"/>
    <w:rsid w:val="00D23160"/>
    <w:rsid w:val="00D24317"/>
    <w:rsid w:val="00D279ED"/>
    <w:rsid w:val="00D336F0"/>
    <w:rsid w:val="00D3453E"/>
    <w:rsid w:val="00D378D7"/>
    <w:rsid w:val="00D37E7A"/>
    <w:rsid w:val="00D429C6"/>
    <w:rsid w:val="00D43677"/>
    <w:rsid w:val="00D44613"/>
    <w:rsid w:val="00D45491"/>
    <w:rsid w:val="00D456E9"/>
    <w:rsid w:val="00D45DB8"/>
    <w:rsid w:val="00D47179"/>
    <w:rsid w:val="00D47748"/>
    <w:rsid w:val="00D54CC3"/>
    <w:rsid w:val="00D5587F"/>
    <w:rsid w:val="00D57CDC"/>
    <w:rsid w:val="00D60002"/>
    <w:rsid w:val="00D6041A"/>
    <w:rsid w:val="00D60AC2"/>
    <w:rsid w:val="00D62D13"/>
    <w:rsid w:val="00D633EB"/>
    <w:rsid w:val="00D6363D"/>
    <w:rsid w:val="00D648AB"/>
    <w:rsid w:val="00D73BB4"/>
    <w:rsid w:val="00D74279"/>
    <w:rsid w:val="00D76CDE"/>
    <w:rsid w:val="00D777FC"/>
    <w:rsid w:val="00D8105E"/>
    <w:rsid w:val="00D81E64"/>
    <w:rsid w:val="00D82B23"/>
    <w:rsid w:val="00D82CF2"/>
    <w:rsid w:val="00D82FF7"/>
    <w:rsid w:val="00D847FE"/>
    <w:rsid w:val="00D85A73"/>
    <w:rsid w:val="00D869B0"/>
    <w:rsid w:val="00D9107A"/>
    <w:rsid w:val="00D924AA"/>
    <w:rsid w:val="00D925FD"/>
    <w:rsid w:val="00D93F04"/>
    <w:rsid w:val="00D95D3F"/>
    <w:rsid w:val="00D964EA"/>
    <w:rsid w:val="00D966D0"/>
    <w:rsid w:val="00DA0C59"/>
    <w:rsid w:val="00DA1662"/>
    <w:rsid w:val="00DA3991"/>
    <w:rsid w:val="00DA4BCB"/>
    <w:rsid w:val="00DA4D84"/>
    <w:rsid w:val="00DA69D7"/>
    <w:rsid w:val="00DA6C0A"/>
    <w:rsid w:val="00DB4998"/>
    <w:rsid w:val="00DB6BA6"/>
    <w:rsid w:val="00DB7608"/>
    <w:rsid w:val="00DB7E6C"/>
    <w:rsid w:val="00DC0908"/>
    <w:rsid w:val="00DC1C74"/>
    <w:rsid w:val="00DC41D4"/>
    <w:rsid w:val="00DC6943"/>
    <w:rsid w:val="00DC7C40"/>
    <w:rsid w:val="00DD3228"/>
    <w:rsid w:val="00DD405B"/>
    <w:rsid w:val="00DD5A29"/>
    <w:rsid w:val="00DD5D9D"/>
    <w:rsid w:val="00DE35CB"/>
    <w:rsid w:val="00DE4868"/>
    <w:rsid w:val="00DE4B5A"/>
    <w:rsid w:val="00DE53E5"/>
    <w:rsid w:val="00DE61E7"/>
    <w:rsid w:val="00DF21E9"/>
    <w:rsid w:val="00DF5EFC"/>
    <w:rsid w:val="00DF6C41"/>
    <w:rsid w:val="00DF6D74"/>
    <w:rsid w:val="00E00CE8"/>
    <w:rsid w:val="00E00F14"/>
    <w:rsid w:val="00E01904"/>
    <w:rsid w:val="00E0364B"/>
    <w:rsid w:val="00E03B03"/>
    <w:rsid w:val="00E05FB4"/>
    <w:rsid w:val="00E06386"/>
    <w:rsid w:val="00E07644"/>
    <w:rsid w:val="00E111CE"/>
    <w:rsid w:val="00E12528"/>
    <w:rsid w:val="00E145C8"/>
    <w:rsid w:val="00E14CB5"/>
    <w:rsid w:val="00E16226"/>
    <w:rsid w:val="00E16300"/>
    <w:rsid w:val="00E228BE"/>
    <w:rsid w:val="00E23BEF"/>
    <w:rsid w:val="00E24EB4"/>
    <w:rsid w:val="00E25B98"/>
    <w:rsid w:val="00E25C93"/>
    <w:rsid w:val="00E320ED"/>
    <w:rsid w:val="00E336A9"/>
    <w:rsid w:val="00E33888"/>
    <w:rsid w:val="00E33AFB"/>
    <w:rsid w:val="00E34218"/>
    <w:rsid w:val="00E34753"/>
    <w:rsid w:val="00E354B8"/>
    <w:rsid w:val="00E35908"/>
    <w:rsid w:val="00E374BB"/>
    <w:rsid w:val="00E40287"/>
    <w:rsid w:val="00E40E9D"/>
    <w:rsid w:val="00E423BC"/>
    <w:rsid w:val="00E46282"/>
    <w:rsid w:val="00E51ACE"/>
    <w:rsid w:val="00E5216E"/>
    <w:rsid w:val="00E522EB"/>
    <w:rsid w:val="00E527BD"/>
    <w:rsid w:val="00E5318A"/>
    <w:rsid w:val="00E53C41"/>
    <w:rsid w:val="00E54291"/>
    <w:rsid w:val="00E6398D"/>
    <w:rsid w:val="00E63FCA"/>
    <w:rsid w:val="00E65BBF"/>
    <w:rsid w:val="00E66D25"/>
    <w:rsid w:val="00E72E49"/>
    <w:rsid w:val="00E73D1C"/>
    <w:rsid w:val="00E7622B"/>
    <w:rsid w:val="00E81335"/>
    <w:rsid w:val="00E82082"/>
    <w:rsid w:val="00E82344"/>
    <w:rsid w:val="00E834BA"/>
    <w:rsid w:val="00E836EC"/>
    <w:rsid w:val="00E84C82"/>
    <w:rsid w:val="00E84D64"/>
    <w:rsid w:val="00E86F73"/>
    <w:rsid w:val="00E87408"/>
    <w:rsid w:val="00E913AA"/>
    <w:rsid w:val="00E914C4"/>
    <w:rsid w:val="00E934F5"/>
    <w:rsid w:val="00E93679"/>
    <w:rsid w:val="00E93DFE"/>
    <w:rsid w:val="00E95859"/>
    <w:rsid w:val="00E96961"/>
    <w:rsid w:val="00EA1AE2"/>
    <w:rsid w:val="00EA1B51"/>
    <w:rsid w:val="00EA46FB"/>
    <w:rsid w:val="00EA6619"/>
    <w:rsid w:val="00EA72EC"/>
    <w:rsid w:val="00EA75C8"/>
    <w:rsid w:val="00EA7D6B"/>
    <w:rsid w:val="00EB0DA0"/>
    <w:rsid w:val="00EB11CB"/>
    <w:rsid w:val="00EB2528"/>
    <w:rsid w:val="00EB275A"/>
    <w:rsid w:val="00EB3C2F"/>
    <w:rsid w:val="00EB4273"/>
    <w:rsid w:val="00EB5EBB"/>
    <w:rsid w:val="00EB786A"/>
    <w:rsid w:val="00EB7D16"/>
    <w:rsid w:val="00EC1578"/>
    <w:rsid w:val="00EC1C72"/>
    <w:rsid w:val="00EC2793"/>
    <w:rsid w:val="00EC3B56"/>
    <w:rsid w:val="00EC3CC9"/>
    <w:rsid w:val="00EC4CB1"/>
    <w:rsid w:val="00EC59D6"/>
    <w:rsid w:val="00EC680A"/>
    <w:rsid w:val="00ED009F"/>
    <w:rsid w:val="00ED0E8C"/>
    <w:rsid w:val="00ED277B"/>
    <w:rsid w:val="00EE0FB8"/>
    <w:rsid w:val="00EE167D"/>
    <w:rsid w:val="00EE2BED"/>
    <w:rsid w:val="00EE374B"/>
    <w:rsid w:val="00EE6CDA"/>
    <w:rsid w:val="00EE74DE"/>
    <w:rsid w:val="00EF16DD"/>
    <w:rsid w:val="00EF2262"/>
    <w:rsid w:val="00EF27B5"/>
    <w:rsid w:val="00EF3638"/>
    <w:rsid w:val="00EF786D"/>
    <w:rsid w:val="00F01082"/>
    <w:rsid w:val="00F01E04"/>
    <w:rsid w:val="00F01EA5"/>
    <w:rsid w:val="00F02D80"/>
    <w:rsid w:val="00F039C7"/>
    <w:rsid w:val="00F03C23"/>
    <w:rsid w:val="00F05D5B"/>
    <w:rsid w:val="00F06042"/>
    <w:rsid w:val="00F07440"/>
    <w:rsid w:val="00F1055C"/>
    <w:rsid w:val="00F10E7F"/>
    <w:rsid w:val="00F116CC"/>
    <w:rsid w:val="00F11BB5"/>
    <w:rsid w:val="00F13070"/>
    <w:rsid w:val="00F1417B"/>
    <w:rsid w:val="00F146AE"/>
    <w:rsid w:val="00F179CA"/>
    <w:rsid w:val="00F218F6"/>
    <w:rsid w:val="00F21A9B"/>
    <w:rsid w:val="00F21FAF"/>
    <w:rsid w:val="00F25533"/>
    <w:rsid w:val="00F25F4E"/>
    <w:rsid w:val="00F25FFC"/>
    <w:rsid w:val="00F300D9"/>
    <w:rsid w:val="00F307F6"/>
    <w:rsid w:val="00F3309E"/>
    <w:rsid w:val="00F337D5"/>
    <w:rsid w:val="00F34340"/>
    <w:rsid w:val="00F34B99"/>
    <w:rsid w:val="00F35035"/>
    <w:rsid w:val="00F40924"/>
    <w:rsid w:val="00F42406"/>
    <w:rsid w:val="00F43181"/>
    <w:rsid w:val="00F47C2D"/>
    <w:rsid w:val="00F51E36"/>
    <w:rsid w:val="00F52D95"/>
    <w:rsid w:val="00F52DAB"/>
    <w:rsid w:val="00F543F0"/>
    <w:rsid w:val="00F54FA8"/>
    <w:rsid w:val="00F55F1C"/>
    <w:rsid w:val="00F5617C"/>
    <w:rsid w:val="00F579A2"/>
    <w:rsid w:val="00F63D2B"/>
    <w:rsid w:val="00F65B56"/>
    <w:rsid w:val="00F710E7"/>
    <w:rsid w:val="00F76632"/>
    <w:rsid w:val="00F8066C"/>
    <w:rsid w:val="00F80D83"/>
    <w:rsid w:val="00F81D29"/>
    <w:rsid w:val="00F822C8"/>
    <w:rsid w:val="00F8357D"/>
    <w:rsid w:val="00F840B7"/>
    <w:rsid w:val="00F85DA0"/>
    <w:rsid w:val="00F8616C"/>
    <w:rsid w:val="00F86628"/>
    <w:rsid w:val="00F90318"/>
    <w:rsid w:val="00F91C4D"/>
    <w:rsid w:val="00F9232F"/>
    <w:rsid w:val="00F92FD9"/>
    <w:rsid w:val="00F9385E"/>
    <w:rsid w:val="00F95F21"/>
    <w:rsid w:val="00F97859"/>
    <w:rsid w:val="00FA5010"/>
    <w:rsid w:val="00FA6684"/>
    <w:rsid w:val="00FA731E"/>
    <w:rsid w:val="00FB19BD"/>
    <w:rsid w:val="00FB2B38"/>
    <w:rsid w:val="00FB4CCC"/>
    <w:rsid w:val="00FC2135"/>
    <w:rsid w:val="00FC38A0"/>
    <w:rsid w:val="00FC6358"/>
    <w:rsid w:val="00FD320D"/>
    <w:rsid w:val="00FD54A9"/>
    <w:rsid w:val="00FD6717"/>
    <w:rsid w:val="00FE18D6"/>
    <w:rsid w:val="00FE2383"/>
    <w:rsid w:val="00FE23DE"/>
    <w:rsid w:val="00FE25BA"/>
    <w:rsid w:val="00FE5276"/>
    <w:rsid w:val="00FF08A9"/>
    <w:rsid w:val="00FF22B3"/>
    <w:rsid w:val="00FF6DE7"/>
    <w:rsid w:val="029D3FF0"/>
    <w:rsid w:val="09065877"/>
    <w:rsid w:val="0BAF4A7E"/>
    <w:rsid w:val="14AE55E9"/>
    <w:rsid w:val="14D50F16"/>
    <w:rsid w:val="15146E41"/>
    <w:rsid w:val="15BC7DDB"/>
    <w:rsid w:val="17EE4D83"/>
    <w:rsid w:val="18891F83"/>
    <w:rsid w:val="203F2777"/>
    <w:rsid w:val="20FD0EDC"/>
    <w:rsid w:val="23AB1231"/>
    <w:rsid w:val="23B85F22"/>
    <w:rsid w:val="240A6F36"/>
    <w:rsid w:val="2A7E212E"/>
    <w:rsid w:val="2BA80D1C"/>
    <w:rsid w:val="2C5D61AB"/>
    <w:rsid w:val="2CDA27F8"/>
    <w:rsid w:val="2E492182"/>
    <w:rsid w:val="2E6A76A0"/>
    <w:rsid w:val="308952B0"/>
    <w:rsid w:val="318437B2"/>
    <w:rsid w:val="34182B31"/>
    <w:rsid w:val="36815842"/>
    <w:rsid w:val="3922052A"/>
    <w:rsid w:val="3B64264F"/>
    <w:rsid w:val="3E2241EB"/>
    <w:rsid w:val="3EAB710B"/>
    <w:rsid w:val="415C66C8"/>
    <w:rsid w:val="46E012FC"/>
    <w:rsid w:val="4AB17A83"/>
    <w:rsid w:val="4C267C09"/>
    <w:rsid w:val="4D1232EC"/>
    <w:rsid w:val="52006406"/>
    <w:rsid w:val="57116AD8"/>
    <w:rsid w:val="57E40E1B"/>
    <w:rsid w:val="58600E17"/>
    <w:rsid w:val="5ACC77AB"/>
    <w:rsid w:val="5B6C746B"/>
    <w:rsid w:val="5CDE3309"/>
    <w:rsid w:val="5E346D7E"/>
    <w:rsid w:val="5FCB4D5F"/>
    <w:rsid w:val="5FE05A5B"/>
    <w:rsid w:val="5FF422CF"/>
    <w:rsid w:val="63966764"/>
    <w:rsid w:val="6D166038"/>
    <w:rsid w:val="6E47697D"/>
    <w:rsid w:val="6E930FFA"/>
    <w:rsid w:val="6FDD4494"/>
    <w:rsid w:val="710032F2"/>
    <w:rsid w:val="71787AB9"/>
    <w:rsid w:val="731D2A2E"/>
    <w:rsid w:val="73A102B5"/>
    <w:rsid w:val="73A579B0"/>
    <w:rsid w:val="7EB04F5F"/>
    <w:rsid w:val="7F6D51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7"/>
    <w:qFormat/>
    <w:uiPriority w:val="0"/>
    <w:pPr>
      <w:keepNext/>
      <w:keepLines/>
      <w:spacing w:before="340" w:after="330" w:line="578" w:lineRule="auto"/>
      <w:outlineLvl w:val="0"/>
    </w:pPr>
    <w:rPr>
      <w:b/>
      <w:bCs/>
      <w:kern w:val="44"/>
      <w:sz w:val="44"/>
      <w:szCs w:val="44"/>
    </w:rPr>
  </w:style>
  <w:style w:type="character" w:default="1" w:styleId="37">
    <w:name w:val="Default Paragraph Font"/>
    <w:semiHidden/>
    <w:unhideWhenUsed/>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semiHidden/>
    <w:qFormat/>
    <w:uiPriority w:val="0"/>
    <w:pPr>
      <w:tabs>
        <w:tab w:val="right" w:leader="dot" w:pos="9241"/>
      </w:tabs>
      <w:ind w:firstLine="505" w:firstLineChars="500"/>
      <w:jc w:val="left"/>
    </w:pPr>
    <w:rPr>
      <w:rFonts w:ascii="宋体"/>
      <w:szCs w:val="21"/>
    </w:rPr>
  </w:style>
  <w:style w:type="paragraph" w:styleId="4">
    <w:name w:val="index 8"/>
    <w:basedOn w:val="1"/>
    <w:next w:val="1"/>
    <w:qFormat/>
    <w:uiPriority w:val="0"/>
    <w:pPr>
      <w:ind w:left="1680" w:hanging="210"/>
      <w:jc w:val="left"/>
    </w:pPr>
    <w:rPr>
      <w:rFonts w:ascii="Calibri" w:hAnsi="Calibri"/>
      <w:sz w:val="20"/>
      <w:szCs w:val="20"/>
    </w:rPr>
  </w:style>
  <w:style w:type="paragraph" w:styleId="5">
    <w:name w:val="caption"/>
    <w:basedOn w:val="1"/>
    <w:next w:val="1"/>
    <w:qFormat/>
    <w:uiPriority w:val="0"/>
    <w:pPr>
      <w:spacing w:before="152" w:after="160"/>
    </w:pPr>
    <w:rPr>
      <w:rFonts w:ascii="Arial" w:hAnsi="Arial" w:eastAsia="黑体" w:cs="Arial"/>
      <w:sz w:val="20"/>
      <w:szCs w:val="20"/>
    </w:rPr>
  </w:style>
  <w:style w:type="paragraph" w:styleId="6">
    <w:name w:val="index 5"/>
    <w:basedOn w:val="1"/>
    <w:next w:val="1"/>
    <w:qFormat/>
    <w:uiPriority w:val="0"/>
    <w:pPr>
      <w:ind w:left="1050" w:hanging="210"/>
      <w:jc w:val="left"/>
    </w:pPr>
    <w:rPr>
      <w:rFonts w:ascii="Calibri" w:hAnsi="Calibri"/>
      <w:sz w:val="20"/>
      <w:szCs w:val="20"/>
    </w:rPr>
  </w:style>
  <w:style w:type="paragraph" w:styleId="7">
    <w:name w:val="Document Map"/>
    <w:basedOn w:val="1"/>
    <w:semiHidden/>
    <w:qFormat/>
    <w:uiPriority w:val="0"/>
    <w:pPr>
      <w:shd w:val="clear" w:color="auto" w:fill="000080"/>
    </w:pPr>
  </w:style>
  <w:style w:type="paragraph" w:styleId="8">
    <w:name w:val="annotation text"/>
    <w:basedOn w:val="1"/>
    <w:link w:val="47"/>
    <w:qFormat/>
    <w:uiPriority w:val="0"/>
    <w:pPr>
      <w:jc w:val="left"/>
    </w:pPr>
  </w:style>
  <w:style w:type="paragraph" w:styleId="9">
    <w:name w:val="index 6"/>
    <w:basedOn w:val="1"/>
    <w:next w:val="1"/>
    <w:qFormat/>
    <w:uiPriority w:val="0"/>
    <w:pPr>
      <w:ind w:left="1260" w:hanging="210"/>
      <w:jc w:val="left"/>
    </w:pPr>
    <w:rPr>
      <w:rFonts w:ascii="Calibri" w:hAnsi="Calibri"/>
      <w:sz w:val="20"/>
      <w:szCs w:val="20"/>
    </w:rPr>
  </w:style>
  <w:style w:type="paragraph" w:styleId="10">
    <w:name w:val="Body Text Indent"/>
    <w:basedOn w:val="1"/>
    <w:link w:val="152"/>
    <w:qFormat/>
    <w:uiPriority w:val="0"/>
    <w:pPr>
      <w:spacing w:line="380" w:lineRule="exact"/>
      <w:ind w:firstLine="480" w:firstLineChars="200"/>
    </w:pPr>
    <w:rPr>
      <w:sz w:val="24"/>
    </w:rPr>
  </w:style>
  <w:style w:type="paragraph" w:styleId="11">
    <w:name w:val="index 4"/>
    <w:basedOn w:val="1"/>
    <w:next w:val="1"/>
    <w:qFormat/>
    <w:uiPriority w:val="0"/>
    <w:pPr>
      <w:ind w:left="840" w:hanging="210"/>
      <w:jc w:val="left"/>
    </w:pPr>
    <w:rPr>
      <w:rFonts w:ascii="Calibri" w:hAnsi="Calibri"/>
      <w:sz w:val="20"/>
      <w:szCs w:val="20"/>
    </w:rPr>
  </w:style>
  <w:style w:type="paragraph" w:styleId="12">
    <w:name w:val="toc 5"/>
    <w:basedOn w:val="1"/>
    <w:next w:val="1"/>
    <w:semiHidden/>
    <w:qFormat/>
    <w:uiPriority w:val="0"/>
    <w:pPr>
      <w:tabs>
        <w:tab w:val="right" w:leader="dot" w:pos="9241"/>
      </w:tabs>
      <w:ind w:firstLine="300" w:firstLineChars="300"/>
      <w:jc w:val="left"/>
    </w:pPr>
    <w:rPr>
      <w:rFonts w:ascii="宋体"/>
      <w:szCs w:val="21"/>
    </w:rPr>
  </w:style>
  <w:style w:type="paragraph" w:styleId="13">
    <w:name w:val="toc 3"/>
    <w:basedOn w:val="1"/>
    <w:next w:val="1"/>
    <w:qFormat/>
    <w:uiPriority w:val="39"/>
    <w:pPr>
      <w:tabs>
        <w:tab w:val="right" w:leader="dot" w:pos="9241"/>
      </w:tabs>
      <w:ind w:firstLine="102" w:firstLineChars="100"/>
      <w:jc w:val="left"/>
    </w:pPr>
    <w:rPr>
      <w:rFonts w:ascii="宋体"/>
      <w:szCs w:val="21"/>
    </w:rPr>
  </w:style>
  <w:style w:type="paragraph" w:styleId="14">
    <w:name w:val="toc 8"/>
    <w:basedOn w:val="1"/>
    <w:next w:val="1"/>
    <w:semiHidden/>
    <w:qFormat/>
    <w:uiPriority w:val="0"/>
    <w:pPr>
      <w:tabs>
        <w:tab w:val="right" w:leader="dot" w:pos="9241"/>
      </w:tabs>
      <w:ind w:firstLine="607" w:firstLineChars="600"/>
      <w:jc w:val="left"/>
    </w:pPr>
    <w:rPr>
      <w:rFonts w:ascii="宋体"/>
      <w:szCs w:val="21"/>
    </w:rPr>
  </w:style>
  <w:style w:type="paragraph" w:styleId="15">
    <w:name w:val="index 3"/>
    <w:basedOn w:val="1"/>
    <w:next w:val="1"/>
    <w:qFormat/>
    <w:uiPriority w:val="0"/>
    <w:pPr>
      <w:ind w:left="630" w:hanging="210"/>
      <w:jc w:val="left"/>
    </w:pPr>
    <w:rPr>
      <w:rFonts w:ascii="Calibri" w:hAnsi="Calibri"/>
      <w:sz w:val="20"/>
      <w:szCs w:val="20"/>
    </w:rPr>
  </w:style>
  <w:style w:type="paragraph" w:styleId="16">
    <w:name w:val="Date"/>
    <w:basedOn w:val="1"/>
    <w:next w:val="1"/>
    <w:link w:val="146"/>
    <w:qFormat/>
    <w:uiPriority w:val="0"/>
    <w:pPr>
      <w:ind w:left="100" w:leftChars="2500"/>
    </w:pPr>
  </w:style>
  <w:style w:type="paragraph" w:styleId="17">
    <w:name w:val="endnote text"/>
    <w:basedOn w:val="1"/>
    <w:semiHidden/>
    <w:qFormat/>
    <w:uiPriority w:val="0"/>
    <w:pPr>
      <w:snapToGrid w:val="0"/>
      <w:jc w:val="left"/>
    </w:pPr>
  </w:style>
  <w:style w:type="paragraph" w:styleId="18">
    <w:name w:val="Balloon Text"/>
    <w:basedOn w:val="1"/>
    <w:link w:val="45"/>
    <w:qFormat/>
    <w:uiPriority w:val="0"/>
    <w:rPr>
      <w:sz w:val="18"/>
      <w:szCs w:val="18"/>
    </w:rPr>
  </w:style>
  <w:style w:type="paragraph" w:styleId="19">
    <w:name w:val="footer"/>
    <w:basedOn w:val="1"/>
    <w:link w:val="149"/>
    <w:qFormat/>
    <w:uiPriority w:val="99"/>
    <w:pPr>
      <w:snapToGrid w:val="0"/>
      <w:ind w:right="210" w:rightChars="100"/>
      <w:jc w:val="right"/>
    </w:pPr>
    <w:rPr>
      <w:sz w:val="18"/>
      <w:szCs w:val="18"/>
    </w:rPr>
  </w:style>
  <w:style w:type="paragraph" w:styleId="20">
    <w:name w:val="header"/>
    <w:basedOn w:val="1"/>
    <w:qFormat/>
    <w:uiPriority w:val="0"/>
    <w:pPr>
      <w:snapToGrid w:val="0"/>
      <w:jc w:val="left"/>
    </w:pPr>
    <w:rPr>
      <w:sz w:val="18"/>
      <w:szCs w:val="18"/>
    </w:rPr>
  </w:style>
  <w:style w:type="paragraph" w:styleId="21">
    <w:name w:val="toc 1"/>
    <w:basedOn w:val="1"/>
    <w:next w:val="1"/>
    <w:qFormat/>
    <w:uiPriority w:val="39"/>
    <w:pPr>
      <w:tabs>
        <w:tab w:val="right" w:leader="dot" w:pos="9241"/>
      </w:tabs>
      <w:spacing w:beforeLines="25" w:afterLines="25"/>
      <w:jc w:val="left"/>
    </w:pPr>
    <w:rPr>
      <w:rFonts w:ascii="宋体"/>
      <w:szCs w:val="21"/>
    </w:rPr>
  </w:style>
  <w:style w:type="paragraph" w:styleId="22">
    <w:name w:val="toc 4"/>
    <w:basedOn w:val="1"/>
    <w:next w:val="1"/>
    <w:qFormat/>
    <w:uiPriority w:val="39"/>
    <w:pPr>
      <w:tabs>
        <w:tab w:val="right" w:leader="dot" w:pos="9241"/>
      </w:tabs>
      <w:ind w:firstLine="198" w:firstLineChars="200"/>
      <w:jc w:val="left"/>
    </w:pPr>
    <w:rPr>
      <w:rFonts w:ascii="宋体"/>
      <w:szCs w:val="21"/>
    </w:rPr>
  </w:style>
  <w:style w:type="paragraph" w:styleId="23">
    <w:name w:val="index heading"/>
    <w:basedOn w:val="1"/>
    <w:next w:val="24"/>
    <w:qFormat/>
    <w:uiPriority w:val="0"/>
    <w:pPr>
      <w:spacing w:before="120" w:after="120"/>
      <w:jc w:val="center"/>
    </w:pPr>
    <w:rPr>
      <w:rFonts w:ascii="Calibri" w:hAnsi="Calibri"/>
      <w:b/>
      <w:bCs/>
      <w:iCs/>
      <w:szCs w:val="20"/>
    </w:rPr>
  </w:style>
  <w:style w:type="paragraph" w:styleId="24">
    <w:name w:val="index 1"/>
    <w:basedOn w:val="1"/>
    <w:next w:val="25"/>
    <w:qFormat/>
    <w:uiPriority w:val="0"/>
    <w:pPr>
      <w:tabs>
        <w:tab w:val="right" w:leader="dot" w:pos="9299"/>
      </w:tabs>
      <w:jc w:val="left"/>
    </w:pPr>
    <w:rPr>
      <w:rFonts w:ascii="宋体"/>
      <w:szCs w:val="21"/>
    </w:rPr>
  </w:style>
  <w:style w:type="paragraph" w:customStyle="1" w:styleId="25">
    <w:name w:val="段"/>
    <w:link w:val="46"/>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6">
    <w:name w:val="footnote text"/>
    <w:basedOn w:val="1"/>
    <w:qFormat/>
    <w:uiPriority w:val="0"/>
    <w:pPr>
      <w:tabs>
        <w:tab w:val="left" w:pos="0"/>
      </w:tabs>
      <w:snapToGrid w:val="0"/>
      <w:ind w:left="720" w:hanging="357"/>
      <w:jc w:val="left"/>
    </w:pPr>
    <w:rPr>
      <w:rFonts w:ascii="宋体"/>
      <w:sz w:val="18"/>
      <w:szCs w:val="18"/>
    </w:rPr>
  </w:style>
  <w:style w:type="paragraph" w:styleId="27">
    <w:name w:val="toc 6"/>
    <w:basedOn w:val="1"/>
    <w:next w:val="1"/>
    <w:semiHidden/>
    <w:qFormat/>
    <w:uiPriority w:val="0"/>
    <w:pPr>
      <w:tabs>
        <w:tab w:val="right" w:leader="dot" w:pos="9241"/>
      </w:tabs>
      <w:ind w:firstLine="403" w:firstLineChars="400"/>
      <w:jc w:val="left"/>
    </w:pPr>
    <w:rPr>
      <w:rFonts w:ascii="宋体"/>
      <w:szCs w:val="21"/>
    </w:rPr>
  </w:style>
  <w:style w:type="paragraph" w:styleId="28">
    <w:name w:val="index 7"/>
    <w:basedOn w:val="1"/>
    <w:next w:val="1"/>
    <w:qFormat/>
    <w:uiPriority w:val="0"/>
    <w:pPr>
      <w:ind w:left="1470" w:hanging="210"/>
      <w:jc w:val="left"/>
    </w:pPr>
    <w:rPr>
      <w:rFonts w:ascii="Calibri" w:hAnsi="Calibri"/>
      <w:sz w:val="20"/>
      <w:szCs w:val="20"/>
    </w:rPr>
  </w:style>
  <w:style w:type="paragraph" w:styleId="29">
    <w:name w:val="index 9"/>
    <w:basedOn w:val="1"/>
    <w:next w:val="1"/>
    <w:qFormat/>
    <w:uiPriority w:val="0"/>
    <w:pPr>
      <w:ind w:left="1890" w:hanging="210"/>
      <w:jc w:val="left"/>
    </w:pPr>
    <w:rPr>
      <w:rFonts w:ascii="Calibri" w:hAnsi="Calibri"/>
      <w:sz w:val="20"/>
      <w:szCs w:val="20"/>
    </w:rPr>
  </w:style>
  <w:style w:type="paragraph" w:styleId="30">
    <w:name w:val="toc 2"/>
    <w:basedOn w:val="1"/>
    <w:next w:val="1"/>
    <w:qFormat/>
    <w:uiPriority w:val="39"/>
    <w:pPr>
      <w:tabs>
        <w:tab w:val="right" w:leader="dot" w:pos="9241"/>
      </w:tabs>
    </w:pPr>
    <w:rPr>
      <w:rFonts w:ascii="宋体"/>
      <w:szCs w:val="21"/>
    </w:rPr>
  </w:style>
  <w:style w:type="paragraph" w:styleId="31">
    <w:name w:val="toc 9"/>
    <w:basedOn w:val="1"/>
    <w:next w:val="1"/>
    <w:semiHidden/>
    <w:qFormat/>
    <w:uiPriority w:val="0"/>
    <w:pPr>
      <w:ind w:left="1470"/>
      <w:jc w:val="left"/>
    </w:pPr>
    <w:rPr>
      <w:sz w:val="20"/>
      <w:szCs w:val="20"/>
    </w:rPr>
  </w:style>
  <w:style w:type="paragraph" w:styleId="32">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33">
    <w:name w:val="index 2"/>
    <w:basedOn w:val="1"/>
    <w:next w:val="1"/>
    <w:qFormat/>
    <w:uiPriority w:val="0"/>
    <w:pPr>
      <w:ind w:left="420" w:hanging="210"/>
      <w:jc w:val="left"/>
    </w:pPr>
    <w:rPr>
      <w:rFonts w:ascii="Calibri" w:hAnsi="Calibri"/>
      <w:sz w:val="20"/>
      <w:szCs w:val="20"/>
    </w:rPr>
  </w:style>
  <w:style w:type="paragraph" w:styleId="34">
    <w:name w:val="annotation subject"/>
    <w:basedOn w:val="8"/>
    <w:next w:val="8"/>
    <w:link w:val="48"/>
    <w:qFormat/>
    <w:uiPriority w:val="0"/>
    <w:rPr>
      <w:b/>
      <w:bCs/>
    </w:rPr>
  </w:style>
  <w:style w:type="table" w:styleId="36">
    <w:name w:val="Table Grid"/>
    <w:basedOn w:val="35"/>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endnote reference"/>
    <w:basedOn w:val="37"/>
    <w:semiHidden/>
    <w:qFormat/>
    <w:uiPriority w:val="0"/>
    <w:rPr>
      <w:vertAlign w:val="superscript"/>
    </w:rPr>
  </w:style>
  <w:style w:type="character" w:styleId="39">
    <w:name w:val="page number"/>
    <w:basedOn w:val="37"/>
    <w:qFormat/>
    <w:uiPriority w:val="0"/>
    <w:rPr>
      <w:rFonts w:ascii="Times New Roman" w:hAnsi="Times New Roman" w:eastAsia="宋体"/>
      <w:sz w:val="18"/>
    </w:rPr>
  </w:style>
  <w:style w:type="character" w:styleId="40">
    <w:name w:val="FollowedHyperlink"/>
    <w:basedOn w:val="37"/>
    <w:qFormat/>
    <w:uiPriority w:val="0"/>
    <w:rPr>
      <w:color w:val="800080"/>
      <w:u w:val="single"/>
    </w:rPr>
  </w:style>
  <w:style w:type="character" w:styleId="41">
    <w:name w:val="Hyperlink"/>
    <w:basedOn w:val="37"/>
    <w:qFormat/>
    <w:uiPriority w:val="99"/>
    <w:rPr>
      <w:color w:val="0000FF"/>
      <w:spacing w:val="0"/>
      <w:w w:val="100"/>
      <w:szCs w:val="21"/>
      <w:u w:val="single"/>
      <w:lang w:val="en-US" w:eastAsia="zh-CN"/>
    </w:rPr>
  </w:style>
  <w:style w:type="character" w:styleId="42">
    <w:name w:val="annotation reference"/>
    <w:basedOn w:val="37"/>
    <w:qFormat/>
    <w:uiPriority w:val="0"/>
    <w:rPr>
      <w:sz w:val="21"/>
      <w:szCs w:val="21"/>
    </w:rPr>
  </w:style>
  <w:style w:type="character" w:styleId="43">
    <w:name w:val="footnote reference"/>
    <w:basedOn w:val="37"/>
    <w:semiHidden/>
    <w:qFormat/>
    <w:uiPriority w:val="0"/>
    <w:rPr>
      <w:vertAlign w:val="superscript"/>
    </w:rPr>
  </w:style>
  <w:style w:type="character" w:customStyle="1" w:styleId="44">
    <w:name w:val="发布"/>
    <w:basedOn w:val="37"/>
    <w:qFormat/>
    <w:uiPriority w:val="0"/>
    <w:rPr>
      <w:rFonts w:ascii="黑体" w:eastAsia="黑体"/>
      <w:spacing w:val="85"/>
      <w:w w:val="100"/>
      <w:position w:val="3"/>
      <w:sz w:val="28"/>
      <w:szCs w:val="28"/>
    </w:rPr>
  </w:style>
  <w:style w:type="character" w:customStyle="1" w:styleId="45">
    <w:name w:val="批注框文本 字符"/>
    <w:basedOn w:val="37"/>
    <w:link w:val="18"/>
    <w:qFormat/>
    <w:uiPriority w:val="0"/>
    <w:rPr>
      <w:kern w:val="2"/>
      <w:sz w:val="18"/>
      <w:szCs w:val="18"/>
    </w:rPr>
  </w:style>
  <w:style w:type="character" w:customStyle="1" w:styleId="46">
    <w:name w:val="段 Char"/>
    <w:basedOn w:val="37"/>
    <w:link w:val="25"/>
    <w:qFormat/>
    <w:uiPriority w:val="0"/>
    <w:rPr>
      <w:rFonts w:ascii="宋体"/>
      <w:sz w:val="21"/>
      <w:lang w:val="en-US" w:eastAsia="zh-CN" w:bidi="ar-SA"/>
    </w:rPr>
  </w:style>
  <w:style w:type="character" w:customStyle="1" w:styleId="47">
    <w:name w:val="批注文字 字符"/>
    <w:basedOn w:val="37"/>
    <w:link w:val="8"/>
    <w:qFormat/>
    <w:uiPriority w:val="0"/>
    <w:rPr>
      <w:kern w:val="2"/>
      <w:sz w:val="21"/>
      <w:szCs w:val="24"/>
    </w:rPr>
  </w:style>
  <w:style w:type="character" w:customStyle="1" w:styleId="48">
    <w:name w:val="批注主题 字符"/>
    <w:basedOn w:val="47"/>
    <w:link w:val="34"/>
    <w:qFormat/>
    <w:uiPriority w:val="0"/>
    <w:rPr>
      <w:b/>
      <w:bCs/>
      <w:kern w:val="2"/>
      <w:sz w:val="21"/>
      <w:szCs w:val="24"/>
    </w:rPr>
  </w:style>
  <w:style w:type="character" w:customStyle="1" w:styleId="49">
    <w:name w:val="首示例 Char"/>
    <w:basedOn w:val="37"/>
    <w:link w:val="50"/>
    <w:qFormat/>
    <w:uiPriority w:val="0"/>
    <w:rPr>
      <w:rFonts w:ascii="宋体" w:hAnsi="宋体"/>
      <w:kern w:val="2"/>
      <w:sz w:val="18"/>
      <w:szCs w:val="18"/>
    </w:rPr>
  </w:style>
  <w:style w:type="paragraph" w:customStyle="1" w:styleId="50">
    <w:name w:val="首示例"/>
    <w:next w:val="25"/>
    <w:link w:val="49"/>
    <w:qFormat/>
    <w:uiPriority w:val="0"/>
    <w:pPr>
      <w:tabs>
        <w:tab w:val="left" w:pos="360"/>
      </w:tabs>
    </w:pPr>
    <w:rPr>
      <w:rFonts w:ascii="宋体" w:hAnsi="宋体" w:eastAsia="宋体" w:cs="Times New Roman"/>
      <w:kern w:val="2"/>
      <w:sz w:val="18"/>
      <w:szCs w:val="18"/>
      <w:lang w:val="en-US" w:eastAsia="zh-CN" w:bidi="ar-SA"/>
    </w:rPr>
  </w:style>
  <w:style w:type="character" w:customStyle="1" w:styleId="51">
    <w:name w:val="附录公式 Char"/>
    <w:basedOn w:val="46"/>
    <w:link w:val="52"/>
    <w:qFormat/>
    <w:uiPriority w:val="0"/>
    <w:rPr>
      <w:rFonts w:ascii="宋体"/>
      <w:sz w:val="21"/>
      <w:lang w:val="en-US" w:eastAsia="zh-CN" w:bidi="ar-SA"/>
    </w:rPr>
  </w:style>
  <w:style w:type="paragraph" w:customStyle="1" w:styleId="52">
    <w:name w:val="附录公式"/>
    <w:basedOn w:val="25"/>
    <w:next w:val="25"/>
    <w:link w:val="51"/>
    <w:qFormat/>
    <w:uiPriority w:val="0"/>
  </w:style>
  <w:style w:type="paragraph" w:customStyle="1" w:styleId="53">
    <w:name w:val="附录图标题"/>
    <w:basedOn w:val="1"/>
    <w:next w:val="25"/>
    <w:qFormat/>
    <w:uiPriority w:val="0"/>
    <w:pPr>
      <w:tabs>
        <w:tab w:val="left" w:pos="363"/>
      </w:tabs>
      <w:spacing w:beforeLines="50" w:afterLines="50"/>
      <w:jc w:val="center"/>
    </w:pPr>
    <w:rPr>
      <w:rFonts w:ascii="黑体" w:eastAsia="黑体"/>
      <w:szCs w:val="21"/>
    </w:rPr>
  </w:style>
  <w:style w:type="paragraph" w:customStyle="1" w:styleId="5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55">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56">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57">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58">
    <w:name w:val="其他发布日期"/>
    <w:basedOn w:val="57"/>
    <w:qFormat/>
    <w:uiPriority w:val="0"/>
    <w:pPr>
      <w:framePr w:wrap="around" w:vAnchor="page" w:hAnchor="text" w:x="1419"/>
    </w:pPr>
  </w:style>
  <w:style w:type="paragraph" w:customStyle="1" w:styleId="59">
    <w:name w:val="附录四级无"/>
    <w:basedOn w:val="60"/>
    <w:qFormat/>
    <w:uiPriority w:val="0"/>
    <w:pPr>
      <w:tabs>
        <w:tab w:val="left" w:pos="360"/>
      </w:tabs>
      <w:spacing w:beforeLines="0" w:afterLines="0"/>
    </w:pPr>
    <w:rPr>
      <w:rFonts w:ascii="宋体" w:eastAsia="宋体"/>
      <w:szCs w:val="21"/>
    </w:rPr>
  </w:style>
  <w:style w:type="paragraph" w:customStyle="1" w:styleId="60">
    <w:name w:val="附录四级条标题"/>
    <w:basedOn w:val="61"/>
    <w:next w:val="25"/>
    <w:qFormat/>
    <w:uiPriority w:val="0"/>
    <w:pPr>
      <w:tabs>
        <w:tab w:val="left" w:pos="360"/>
      </w:tabs>
      <w:outlineLvl w:val="5"/>
    </w:pPr>
  </w:style>
  <w:style w:type="paragraph" w:customStyle="1" w:styleId="61">
    <w:name w:val="附录三级条标题"/>
    <w:basedOn w:val="62"/>
    <w:next w:val="25"/>
    <w:qFormat/>
    <w:uiPriority w:val="0"/>
    <w:pPr>
      <w:tabs>
        <w:tab w:val="left" w:pos="360"/>
      </w:tabs>
      <w:outlineLvl w:val="4"/>
    </w:pPr>
  </w:style>
  <w:style w:type="paragraph" w:customStyle="1" w:styleId="62">
    <w:name w:val="附录二级条标题"/>
    <w:basedOn w:val="1"/>
    <w:next w:val="25"/>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63">
    <w:name w:val="二级无"/>
    <w:basedOn w:val="64"/>
    <w:qFormat/>
    <w:uiPriority w:val="0"/>
    <w:pPr>
      <w:spacing w:beforeLines="0" w:afterLines="0"/>
    </w:pPr>
    <w:rPr>
      <w:rFonts w:ascii="宋体" w:eastAsia="宋体"/>
    </w:rPr>
  </w:style>
  <w:style w:type="paragraph" w:customStyle="1" w:styleId="64">
    <w:name w:val="二级条标题"/>
    <w:basedOn w:val="65"/>
    <w:next w:val="25"/>
    <w:qFormat/>
    <w:uiPriority w:val="0"/>
    <w:pPr>
      <w:spacing w:before="50" w:after="50"/>
      <w:outlineLvl w:val="3"/>
    </w:pPr>
  </w:style>
  <w:style w:type="paragraph" w:customStyle="1" w:styleId="65">
    <w:name w:val="一级条标题"/>
    <w:next w:val="25"/>
    <w:qFormat/>
    <w:uiPriority w:val="0"/>
    <w:pPr>
      <w:spacing w:beforeLines="50" w:afterLines="50"/>
      <w:outlineLvl w:val="2"/>
    </w:pPr>
    <w:rPr>
      <w:rFonts w:ascii="黑体" w:hAnsi="Times New Roman" w:eastAsia="黑体" w:cs="Times New Roman"/>
      <w:sz w:val="21"/>
      <w:szCs w:val="21"/>
      <w:lang w:val="en-US" w:eastAsia="zh-CN" w:bidi="ar-SA"/>
    </w:rPr>
  </w:style>
  <w:style w:type="paragraph" w:customStyle="1" w:styleId="66">
    <w:name w:val="字母编号列项（一级）"/>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67">
    <w:name w:val="四级条标题"/>
    <w:basedOn w:val="68"/>
    <w:next w:val="25"/>
    <w:qFormat/>
    <w:uiPriority w:val="0"/>
    <w:pPr>
      <w:outlineLvl w:val="5"/>
    </w:pPr>
  </w:style>
  <w:style w:type="paragraph" w:customStyle="1" w:styleId="68">
    <w:name w:val="三级条标题"/>
    <w:basedOn w:val="64"/>
    <w:next w:val="25"/>
    <w:qFormat/>
    <w:uiPriority w:val="0"/>
    <w:pPr>
      <w:outlineLvl w:val="4"/>
    </w:pPr>
  </w:style>
  <w:style w:type="paragraph" w:customStyle="1" w:styleId="69">
    <w:name w:val="其他标准标志"/>
    <w:basedOn w:val="54"/>
    <w:qFormat/>
    <w:uiPriority w:val="0"/>
    <w:pPr>
      <w:framePr w:w="6101" w:wrap="around" w:vAnchor="page" w:hAnchor="page" w:x="4673" w:y="942"/>
    </w:pPr>
    <w:rPr>
      <w:w w:val="130"/>
    </w:rPr>
  </w:style>
  <w:style w:type="paragraph" w:customStyle="1" w:styleId="70">
    <w:name w:val="附录三级无"/>
    <w:basedOn w:val="61"/>
    <w:qFormat/>
    <w:uiPriority w:val="0"/>
    <w:pPr>
      <w:tabs>
        <w:tab w:val="clear" w:pos="360"/>
      </w:tabs>
      <w:spacing w:beforeLines="0" w:afterLines="0"/>
    </w:pPr>
    <w:rPr>
      <w:rFonts w:ascii="宋体" w:eastAsia="宋体"/>
      <w:szCs w:val="21"/>
    </w:rPr>
  </w:style>
  <w:style w:type="paragraph" w:customStyle="1" w:styleId="71">
    <w:name w:val="列项◆（三级）"/>
    <w:basedOn w:val="1"/>
    <w:qFormat/>
    <w:uiPriority w:val="0"/>
    <w:pPr>
      <w:tabs>
        <w:tab w:val="left" w:pos="1678"/>
      </w:tabs>
      <w:ind w:left="1678" w:hanging="414"/>
    </w:pPr>
    <w:rPr>
      <w:rFonts w:ascii="宋体"/>
      <w:szCs w:val="21"/>
    </w:rPr>
  </w:style>
  <w:style w:type="paragraph" w:customStyle="1" w:styleId="72">
    <w:name w:val="附录二级无"/>
    <w:basedOn w:val="62"/>
    <w:qFormat/>
    <w:uiPriority w:val="0"/>
    <w:pPr>
      <w:tabs>
        <w:tab w:val="clear" w:pos="360"/>
      </w:tabs>
      <w:spacing w:beforeLines="0" w:afterLines="0"/>
    </w:pPr>
    <w:rPr>
      <w:rFonts w:ascii="宋体" w:eastAsia="宋体"/>
      <w:szCs w:val="21"/>
    </w:rPr>
  </w:style>
  <w:style w:type="paragraph" w:customStyle="1" w:styleId="73">
    <w:name w:val="五级条标题"/>
    <w:basedOn w:val="67"/>
    <w:next w:val="25"/>
    <w:qFormat/>
    <w:uiPriority w:val="0"/>
    <w:pPr>
      <w:outlineLvl w:val="6"/>
    </w:pPr>
  </w:style>
  <w:style w:type="paragraph" w:customStyle="1" w:styleId="7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75">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76">
    <w:name w:val="附录章标题"/>
    <w:next w:val="25"/>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77">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78">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79">
    <w:name w:val="注：（正文）"/>
    <w:basedOn w:val="80"/>
    <w:next w:val="25"/>
    <w:qFormat/>
    <w:uiPriority w:val="0"/>
  </w:style>
  <w:style w:type="paragraph" w:customStyle="1" w:styleId="80">
    <w:name w:val="注："/>
    <w:next w:val="25"/>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81">
    <w:name w:val="示例×："/>
    <w:basedOn w:val="82"/>
    <w:qFormat/>
    <w:uiPriority w:val="0"/>
    <w:pPr>
      <w:numPr>
        <w:numId w:val="0"/>
      </w:numPr>
      <w:spacing w:beforeLines="0" w:afterLines="0"/>
      <w:ind w:firstLine="363"/>
      <w:outlineLvl w:val="9"/>
    </w:pPr>
    <w:rPr>
      <w:rFonts w:ascii="宋体" w:eastAsia="宋体"/>
      <w:sz w:val="18"/>
      <w:szCs w:val="18"/>
    </w:rPr>
  </w:style>
  <w:style w:type="paragraph" w:customStyle="1" w:styleId="82">
    <w:name w:val="章标题"/>
    <w:next w:val="25"/>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83">
    <w:name w:val="条文脚注"/>
    <w:basedOn w:val="26"/>
    <w:qFormat/>
    <w:uiPriority w:val="0"/>
    <w:pPr>
      <w:ind w:left="0" w:firstLine="0"/>
      <w:jc w:val="both"/>
    </w:pPr>
  </w:style>
  <w:style w:type="paragraph" w:customStyle="1" w:styleId="84">
    <w:name w:val="附录标识"/>
    <w:basedOn w:val="1"/>
    <w:next w:val="25"/>
    <w:qFormat/>
    <w:uiPriority w:val="0"/>
    <w:pPr>
      <w:keepNext/>
      <w:widowControl/>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85">
    <w:name w:val="目次、标准名称标题"/>
    <w:basedOn w:val="1"/>
    <w:next w:val="25"/>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6">
    <w:name w:val="示例后文字"/>
    <w:basedOn w:val="25"/>
    <w:next w:val="25"/>
    <w:qFormat/>
    <w:uiPriority w:val="0"/>
    <w:pPr>
      <w:ind w:firstLine="360"/>
    </w:pPr>
    <w:rPr>
      <w:sz w:val="18"/>
    </w:rPr>
  </w:style>
  <w:style w:type="paragraph" w:customStyle="1" w:styleId="87">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88">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9">
    <w:name w:val="注×："/>
    <w:qFormat/>
    <w:uiPriority w:val="0"/>
    <w:pPr>
      <w:widowControl w:val="0"/>
      <w:autoSpaceDE w:val="0"/>
      <w:autoSpaceDN w:val="0"/>
      <w:ind w:left="811" w:hanging="448"/>
      <w:jc w:val="both"/>
    </w:pPr>
    <w:rPr>
      <w:rFonts w:ascii="宋体" w:hAnsi="Times New Roman" w:eastAsia="宋体" w:cs="Times New Roman"/>
      <w:sz w:val="18"/>
      <w:szCs w:val="18"/>
      <w:lang w:val="en-US" w:eastAsia="zh-CN" w:bidi="ar-SA"/>
    </w:rPr>
  </w:style>
  <w:style w:type="paragraph" w:customStyle="1" w:styleId="90">
    <w:name w:val="图的脚注"/>
    <w:next w:val="25"/>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91">
    <w:name w:val="附录表标题"/>
    <w:basedOn w:val="1"/>
    <w:next w:val="25"/>
    <w:qFormat/>
    <w:uiPriority w:val="0"/>
    <w:pPr>
      <w:tabs>
        <w:tab w:val="left" w:pos="180"/>
      </w:tabs>
      <w:spacing w:beforeLines="50" w:afterLines="50"/>
      <w:jc w:val="center"/>
    </w:pPr>
    <w:rPr>
      <w:rFonts w:ascii="黑体" w:eastAsia="黑体"/>
      <w:szCs w:val="21"/>
    </w:rPr>
  </w:style>
  <w:style w:type="paragraph" w:customStyle="1" w:styleId="92">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3">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94">
    <w:name w:val="封面正文"/>
    <w:qFormat/>
    <w:uiPriority w:val="0"/>
    <w:pPr>
      <w:jc w:val="both"/>
    </w:pPr>
    <w:rPr>
      <w:rFonts w:ascii="Times New Roman" w:hAnsi="Times New Roman" w:eastAsia="宋体" w:cs="Times New Roman"/>
      <w:lang w:val="en-US" w:eastAsia="zh-CN" w:bidi="ar-SA"/>
    </w:rPr>
  </w:style>
  <w:style w:type="paragraph" w:customStyle="1" w:styleId="95">
    <w:name w:val="附录标题"/>
    <w:basedOn w:val="25"/>
    <w:next w:val="25"/>
    <w:qFormat/>
    <w:uiPriority w:val="0"/>
    <w:pPr>
      <w:ind w:firstLine="0" w:firstLineChars="0"/>
      <w:jc w:val="center"/>
    </w:pPr>
    <w:rPr>
      <w:rFonts w:ascii="黑体" w:eastAsia="黑体"/>
    </w:rPr>
  </w:style>
  <w:style w:type="paragraph" w:customStyle="1" w:styleId="96">
    <w:name w:val="示例"/>
    <w:next w:val="92"/>
    <w:qFormat/>
    <w:uiPriority w:val="0"/>
    <w:pPr>
      <w:widowControl w:val="0"/>
      <w:ind w:firstLine="363"/>
      <w:jc w:val="both"/>
    </w:pPr>
    <w:rPr>
      <w:rFonts w:ascii="宋体" w:hAnsi="Times New Roman" w:eastAsia="宋体" w:cs="Times New Roman"/>
      <w:sz w:val="18"/>
      <w:szCs w:val="18"/>
      <w:lang w:val="en-US" w:eastAsia="zh-CN" w:bidi="ar-SA"/>
    </w:rPr>
  </w:style>
  <w:style w:type="paragraph" w:customStyle="1" w:styleId="9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98">
    <w:name w:val="图表脚注说明"/>
    <w:basedOn w:val="1"/>
    <w:qFormat/>
    <w:uiPriority w:val="0"/>
    <w:pPr>
      <w:ind w:left="544" w:hanging="181"/>
    </w:pPr>
    <w:rPr>
      <w:rFonts w:ascii="宋体"/>
      <w:sz w:val="18"/>
      <w:szCs w:val="18"/>
    </w:rPr>
  </w:style>
  <w:style w:type="paragraph" w:customStyle="1" w:styleId="99">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100">
    <w:name w:val="封面标准名称2"/>
    <w:basedOn w:val="101"/>
    <w:qFormat/>
    <w:uiPriority w:val="0"/>
    <w:pPr>
      <w:framePr w:wrap="around" w:y="4469"/>
      <w:spacing w:beforeLines="630"/>
    </w:pPr>
  </w:style>
  <w:style w:type="paragraph" w:customStyle="1" w:styleId="10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02">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103">
    <w:name w:val="附录数字编号列项（二级）"/>
    <w:qFormat/>
    <w:uiPriority w:val="0"/>
    <w:pPr>
      <w:tabs>
        <w:tab w:val="left" w:pos="840"/>
      </w:tabs>
      <w:ind w:left="839" w:hanging="419"/>
    </w:pPr>
    <w:rPr>
      <w:rFonts w:ascii="宋体" w:hAnsi="Times New Roman" w:eastAsia="宋体" w:cs="Times New Roman"/>
      <w:sz w:val="21"/>
      <w:lang w:val="en-US" w:eastAsia="zh-CN" w:bidi="ar-SA"/>
    </w:rPr>
  </w:style>
  <w:style w:type="paragraph" w:customStyle="1" w:styleId="104">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05">
    <w:name w:val="封面标准文稿类别2"/>
    <w:basedOn w:val="106"/>
    <w:qFormat/>
    <w:uiPriority w:val="0"/>
    <w:pPr>
      <w:framePr w:wrap="around" w:y="4469"/>
    </w:pPr>
  </w:style>
  <w:style w:type="paragraph" w:customStyle="1" w:styleId="106">
    <w:name w:val="封面标准文稿类别"/>
    <w:basedOn w:val="107"/>
    <w:qFormat/>
    <w:uiPriority w:val="0"/>
    <w:pPr>
      <w:framePr w:wrap="around"/>
      <w:spacing w:after="160" w:line="240" w:lineRule="auto"/>
    </w:pPr>
    <w:rPr>
      <w:sz w:val="24"/>
    </w:rPr>
  </w:style>
  <w:style w:type="paragraph" w:customStyle="1" w:styleId="107">
    <w:name w:val="封面一致性程度标识"/>
    <w:basedOn w:val="108"/>
    <w:qFormat/>
    <w:uiPriority w:val="0"/>
    <w:pPr>
      <w:framePr w:wrap="around"/>
      <w:spacing w:before="440"/>
    </w:pPr>
    <w:rPr>
      <w:rFonts w:ascii="宋体" w:eastAsia="宋体"/>
    </w:rPr>
  </w:style>
  <w:style w:type="paragraph" w:customStyle="1" w:styleId="108">
    <w:name w:val="封面标准英文名称"/>
    <w:basedOn w:val="101"/>
    <w:qFormat/>
    <w:uiPriority w:val="0"/>
    <w:pPr>
      <w:framePr w:wrap="around"/>
      <w:spacing w:before="370" w:line="400" w:lineRule="exact"/>
    </w:pPr>
    <w:rPr>
      <w:rFonts w:ascii="Times New Roman"/>
      <w:sz w:val="28"/>
      <w:szCs w:val="28"/>
    </w:rPr>
  </w:style>
  <w:style w:type="paragraph" w:customStyle="1" w:styleId="109">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10">
    <w:name w:val="标准书眉_偶数页"/>
    <w:basedOn w:val="88"/>
    <w:next w:val="1"/>
    <w:qFormat/>
    <w:uiPriority w:val="0"/>
    <w:pPr>
      <w:jc w:val="left"/>
    </w:pPr>
  </w:style>
  <w:style w:type="paragraph" w:customStyle="1" w:styleId="111">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12">
    <w:name w:val="标准书眉一"/>
    <w:qFormat/>
    <w:uiPriority w:val="0"/>
    <w:pPr>
      <w:jc w:val="both"/>
    </w:pPr>
    <w:rPr>
      <w:rFonts w:ascii="Times New Roman" w:hAnsi="Times New Roman" w:eastAsia="宋体" w:cs="Times New Roman"/>
      <w:lang w:val="en-US" w:eastAsia="zh-CN" w:bidi="ar-SA"/>
    </w:rPr>
  </w:style>
  <w:style w:type="paragraph" w:customStyle="1" w:styleId="113">
    <w:name w:val="参考文献"/>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4">
    <w:name w:val="参考文献、索引标题"/>
    <w:basedOn w:val="1"/>
    <w:next w:val="25"/>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15">
    <w:name w:val="发布部门"/>
    <w:next w:val="25"/>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1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7">
    <w:name w:val="三级无"/>
    <w:basedOn w:val="68"/>
    <w:qFormat/>
    <w:uiPriority w:val="0"/>
    <w:pPr>
      <w:spacing w:beforeLines="0" w:afterLines="0"/>
    </w:pPr>
    <w:rPr>
      <w:rFonts w:ascii="宋体" w:eastAsia="宋体"/>
    </w:rPr>
  </w:style>
  <w:style w:type="paragraph" w:customStyle="1" w:styleId="118">
    <w:name w:val="实施日期"/>
    <w:basedOn w:val="57"/>
    <w:qFormat/>
    <w:uiPriority w:val="0"/>
    <w:pPr>
      <w:framePr w:wrap="around" w:vAnchor="page" w:hAnchor="text"/>
      <w:jc w:val="right"/>
    </w:pPr>
  </w:style>
  <w:style w:type="paragraph" w:customStyle="1" w:styleId="119">
    <w:name w:val="封面标准文稿编辑信息"/>
    <w:basedOn w:val="106"/>
    <w:qFormat/>
    <w:uiPriority w:val="0"/>
    <w:pPr>
      <w:framePr w:wrap="around"/>
      <w:spacing w:before="180" w:line="180" w:lineRule="exact"/>
    </w:pPr>
    <w:rPr>
      <w:sz w:val="21"/>
    </w:rPr>
  </w:style>
  <w:style w:type="paragraph" w:customStyle="1" w:styleId="120">
    <w:name w:val="图标脚注说明"/>
    <w:basedOn w:val="25"/>
    <w:qFormat/>
    <w:uiPriority w:val="0"/>
    <w:pPr>
      <w:ind w:left="840" w:hanging="420" w:firstLineChars="0"/>
    </w:pPr>
    <w:rPr>
      <w:sz w:val="18"/>
      <w:szCs w:val="18"/>
    </w:rPr>
  </w:style>
  <w:style w:type="paragraph" w:customStyle="1" w:styleId="121">
    <w:name w:val="附录表标号"/>
    <w:basedOn w:val="1"/>
    <w:next w:val="25"/>
    <w:qFormat/>
    <w:uiPriority w:val="0"/>
    <w:pPr>
      <w:spacing w:line="14" w:lineRule="exact"/>
      <w:ind w:left="811" w:hanging="448"/>
      <w:jc w:val="center"/>
      <w:outlineLvl w:val="0"/>
    </w:pPr>
    <w:rPr>
      <w:color w:val="FFFFFF"/>
    </w:rPr>
  </w:style>
  <w:style w:type="paragraph" w:customStyle="1" w:styleId="122">
    <w:name w:val="五级无"/>
    <w:basedOn w:val="73"/>
    <w:qFormat/>
    <w:uiPriority w:val="0"/>
    <w:pPr>
      <w:spacing w:beforeLines="0" w:afterLines="0"/>
    </w:pPr>
    <w:rPr>
      <w:rFonts w:ascii="宋体" w:eastAsia="宋体"/>
    </w:rPr>
  </w:style>
  <w:style w:type="paragraph" w:customStyle="1" w:styleId="12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24">
    <w:name w:val="附录公式编号制表符"/>
    <w:basedOn w:val="1"/>
    <w:next w:val="25"/>
    <w:qFormat/>
    <w:uiPriority w:val="0"/>
    <w:pPr>
      <w:widowControl/>
      <w:tabs>
        <w:tab w:val="center" w:pos="4201"/>
        <w:tab w:val="right" w:leader="dot" w:pos="9298"/>
      </w:tabs>
      <w:autoSpaceDE w:val="0"/>
      <w:autoSpaceDN w:val="0"/>
    </w:pPr>
    <w:rPr>
      <w:rFonts w:ascii="宋体"/>
      <w:kern w:val="0"/>
      <w:szCs w:val="20"/>
    </w:rPr>
  </w:style>
  <w:style w:type="paragraph" w:customStyle="1" w:styleId="125">
    <w:name w:val="正文公式编号制表符"/>
    <w:basedOn w:val="25"/>
    <w:next w:val="25"/>
    <w:qFormat/>
    <w:uiPriority w:val="0"/>
    <w:pPr>
      <w:ind w:firstLine="0" w:firstLineChars="0"/>
    </w:pPr>
  </w:style>
  <w:style w:type="paragraph" w:customStyle="1" w:styleId="126">
    <w:name w:val="附录五级条标题"/>
    <w:basedOn w:val="60"/>
    <w:next w:val="25"/>
    <w:qFormat/>
    <w:uiPriority w:val="0"/>
    <w:pPr>
      <w:outlineLvl w:val="6"/>
    </w:pPr>
  </w:style>
  <w:style w:type="paragraph" w:customStyle="1" w:styleId="127">
    <w:name w:val="封面一致性程度标识2"/>
    <w:basedOn w:val="107"/>
    <w:qFormat/>
    <w:uiPriority w:val="0"/>
    <w:pPr>
      <w:framePr w:wrap="around" w:y="4469"/>
    </w:pPr>
  </w:style>
  <w:style w:type="paragraph" w:customStyle="1" w:styleId="128">
    <w:name w:val="附录五级无"/>
    <w:basedOn w:val="126"/>
    <w:qFormat/>
    <w:uiPriority w:val="0"/>
    <w:pPr>
      <w:tabs>
        <w:tab w:val="clear" w:pos="360"/>
      </w:tabs>
      <w:spacing w:beforeLines="0" w:afterLines="0"/>
    </w:pPr>
    <w:rPr>
      <w:rFonts w:ascii="宋体" w:eastAsia="宋体"/>
      <w:szCs w:val="21"/>
    </w:rPr>
  </w:style>
  <w:style w:type="paragraph" w:customStyle="1" w:styleId="129">
    <w:name w:val="附录一级条标题"/>
    <w:basedOn w:val="76"/>
    <w:next w:val="25"/>
    <w:qFormat/>
    <w:uiPriority w:val="0"/>
    <w:pPr>
      <w:autoSpaceDN w:val="0"/>
      <w:spacing w:beforeLines="50" w:afterLines="50"/>
      <w:outlineLvl w:val="2"/>
    </w:pPr>
  </w:style>
  <w:style w:type="paragraph" w:customStyle="1" w:styleId="130">
    <w:name w:val="附录一级无"/>
    <w:basedOn w:val="129"/>
    <w:qFormat/>
    <w:uiPriority w:val="0"/>
    <w:pPr>
      <w:tabs>
        <w:tab w:val="clear" w:pos="360"/>
      </w:tabs>
      <w:spacing w:beforeLines="0" w:afterLines="0"/>
    </w:pPr>
    <w:rPr>
      <w:rFonts w:ascii="宋体" w:eastAsia="宋体"/>
      <w:szCs w:val="21"/>
    </w:rPr>
  </w:style>
  <w:style w:type="paragraph" w:customStyle="1" w:styleId="131">
    <w:name w:val="列出段落1"/>
    <w:basedOn w:val="1"/>
    <w:qFormat/>
    <w:uiPriority w:val="34"/>
    <w:pPr>
      <w:ind w:firstLine="420" w:firstLineChars="200"/>
    </w:pPr>
  </w:style>
  <w:style w:type="paragraph" w:customStyle="1" w:styleId="132">
    <w:name w:val="附录字母编号列项（一级）"/>
    <w:qFormat/>
    <w:uiPriority w:val="0"/>
    <w:pPr>
      <w:tabs>
        <w:tab w:val="left" w:pos="839"/>
      </w:tabs>
      <w:ind w:left="839" w:hanging="419"/>
    </w:pPr>
    <w:rPr>
      <w:rFonts w:ascii="宋体" w:hAnsi="Times New Roman" w:eastAsia="宋体" w:cs="Times New Roman"/>
      <w:sz w:val="21"/>
      <w:lang w:val="en-US" w:eastAsia="zh-CN" w:bidi="ar-SA"/>
    </w:rPr>
  </w:style>
  <w:style w:type="paragraph" w:customStyle="1" w:styleId="13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34">
    <w:name w:val="其他发布部门"/>
    <w:basedOn w:val="115"/>
    <w:qFormat/>
    <w:uiPriority w:val="0"/>
    <w:pPr>
      <w:framePr w:wrap="around" w:y="15310"/>
      <w:spacing w:line="0" w:lineRule="atLeast"/>
    </w:pPr>
    <w:rPr>
      <w:rFonts w:ascii="黑体" w:eastAsia="黑体"/>
      <w:b w:val="0"/>
    </w:rPr>
  </w:style>
  <w:style w:type="paragraph" w:customStyle="1" w:styleId="135">
    <w:name w:val="前言、引言标题"/>
    <w:next w:val="25"/>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6">
    <w:name w:val="四级无"/>
    <w:basedOn w:val="67"/>
    <w:qFormat/>
    <w:uiPriority w:val="0"/>
    <w:pPr>
      <w:spacing w:beforeLines="0" w:afterLines="0"/>
    </w:pPr>
    <w:rPr>
      <w:rFonts w:ascii="宋体" w:eastAsia="宋体"/>
    </w:rPr>
  </w:style>
  <w:style w:type="paragraph" w:customStyle="1" w:styleId="137">
    <w:name w:val="一级无"/>
    <w:basedOn w:val="65"/>
    <w:qFormat/>
    <w:uiPriority w:val="0"/>
    <w:pPr>
      <w:spacing w:beforeLines="0" w:afterLines="0"/>
    </w:pPr>
    <w:rPr>
      <w:rFonts w:ascii="宋体" w:eastAsia="宋体"/>
    </w:rPr>
  </w:style>
  <w:style w:type="paragraph" w:customStyle="1" w:styleId="138">
    <w:name w:val="正文表标题"/>
    <w:next w:val="2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39">
    <w:name w:val="正文图标题"/>
    <w:next w:val="2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40">
    <w:name w:val="终结线"/>
    <w:basedOn w:val="1"/>
    <w:qFormat/>
    <w:uiPriority w:val="0"/>
    <w:pPr>
      <w:framePr w:hSpace="181" w:vSpace="181" w:wrap="around" w:vAnchor="text" w:hAnchor="margin" w:xAlign="center" w:y="285"/>
    </w:pPr>
  </w:style>
  <w:style w:type="paragraph" w:customStyle="1" w:styleId="141">
    <w:name w:val="其他实施日期"/>
    <w:basedOn w:val="118"/>
    <w:qFormat/>
    <w:uiPriority w:val="0"/>
    <w:pPr>
      <w:framePr w:wrap="around"/>
    </w:pPr>
  </w:style>
  <w:style w:type="paragraph" w:customStyle="1" w:styleId="142">
    <w:name w:val="封面标准英文名称2"/>
    <w:basedOn w:val="108"/>
    <w:qFormat/>
    <w:uiPriority w:val="0"/>
    <w:pPr>
      <w:framePr w:wrap="around" w:y="4469"/>
    </w:pPr>
  </w:style>
  <w:style w:type="paragraph" w:customStyle="1" w:styleId="143">
    <w:name w:val="封面标准文稿编辑信息2"/>
    <w:basedOn w:val="119"/>
    <w:qFormat/>
    <w:uiPriority w:val="0"/>
    <w:pPr>
      <w:framePr w:wrap="around" w:y="4469"/>
    </w:pPr>
  </w:style>
  <w:style w:type="character" w:customStyle="1" w:styleId="144">
    <w:name w:val="highlight"/>
    <w:basedOn w:val="37"/>
    <w:qFormat/>
    <w:uiPriority w:val="0"/>
  </w:style>
  <w:style w:type="paragraph" w:customStyle="1" w:styleId="145">
    <w:name w:val="列出段落2"/>
    <w:basedOn w:val="1"/>
    <w:qFormat/>
    <w:uiPriority w:val="99"/>
    <w:pPr>
      <w:ind w:firstLine="420" w:firstLineChars="200"/>
    </w:pPr>
  </w:style>
  <w:style w:type="character" w:customStyle="1" w:styleId="146">
    <w:name w:val="日期 字符"/>
    <w:basedOn w:val="37"/>
    <w:link w:val="16"/>
    <w:qFormat/>
    <w:uiPriority w:val="0"/>
    <w:rPr>
      <w:kern w:val="2"/>
      <w:sz w:val="21"/>
      <w:szCs w:val="24"/>
    </w:rPr>
  </w:style>
  <w:style w:type="character" w:customStyle="1" w:styleId="147">
    <w:name w:val="标题 1 字符"/>
    <w:basedOn w:val="37"/>
    <w:link w:val="2"/>
    <w:qFormat/>
    <w:uiPriority w:val="0"/>
    <w:rPr>
      <w:b/>
      <w:bCs/>
      <w:kern w:val="44"/>
      <w:sz w:val="44"/>
      <w:szCs w:val="44"/>
    </w:rPr>
  </w:style>
  <w:style w:type="paragraph" w:customStyle="1" w:styleId="148">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49">
    <w:name w:val="页脚 字符"/>
    <w:basedOn w:val="37"/>
    <w:link w:val="19"/>
    <w:qFormat/>
    <w:uiPriority w:val="99"/>
    <w:rPr>
      <w:kern w:val="2"/>
      <w:sz w:val="18"/>
      <w:szCs w:val="18"/>
    </w:rPr>
  </w:style>
  <w:style w:type="paragraph" w:styleId="150">
    <w:name w:val="List Paragraph"/>
    <w:basedOn w:val="1"/>
    <w:unhideWhenUsed/>
    <w:qFormat/>
    <w:uiPriority w:val="34"/>
    <w:pPr>
      <w:ind w:firstLine="420" w:firstLineChars="200"/>
    </w:pPr>
  </w:style>
  <w:style w:type="character" w:customStyle="1" w:styleId="151">
    <w:name w:val="apple-converted-space"/>
    <w:basedOn w:val="37"/>
    <w:qFormat/>
    <w:uiPriority w:val="0"/>
  </w:style>
  <w:style w:type="character" w:customStyle="1" w:styleId="152">
    <w:name w:val="正文文本缩进 字符"/>
    <w:basedOn w:val="37"/>
    <w:link w:val="10"/>
    <w:qFormat/>
    <w:uiPriority w:val="0"/>
    <w:rPr>
      <w:kern w:val="2"/>
      <w:sz w:val="24"/>
      <w:szCs w:val="24"/>
    </w:rPr>
  </w:style>
  <w:style w:type="character" w:customStyle="1" w:styleId="153">
    <w:name w:val="font21"/>
    <w:basedOn w:val="37"/>
    <w:qFormat/>
    <w:uiPriority w:val="0"/>
    <w:rPr>
      <w:rFonts w:hint="eastAsia" w:ascii="宋体" w:hAnsi="宋体" w:eastAsia="宋体" w:cs="宋体"/>
      <w:i/>
      <w:color w:val="000000"/>
      <w:sz w:val="18"/>
      <w:szCs w:val="18"/>
      <w:u w:val="none"/>
    </w:rPr>
  </w:style>
  <w:style w:type="character" w:customStyle="1" w:styleId="154">
    <w:name w:val="font01"/>
    <w:basedOn w:val="37"/>
    <w:qFormat/>
    <w:uiPriority w:val="0"/>
    <w:rPr>
      <w:rFonts w:hint="eastAsia" w:ascii="宋体" w:hAnsi="宋体" w:eastAsia="宋体" w:cs="宋体"/>
      <w:color w:val="000000"/>
      <w:sz w:val="18"/>
      <w:szCs w:val="18"/>
      <w:u w:val="none"/>
    </w:rPr>
  </w:style>
  <w:style w:type="paragraph" w:customStyle="1" w:styleId="155">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56">
    <w:name w:val="标准文件_段"/>
    <w:link w:val="15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57">
    <w:name w:val="标准文件_段 Char"/>
    <w:link w:val="156"/>
    <w:qFormat/>
    <w:uiPriority w:val="0"/>
    <w:rPr>
      <w:rFonts w:ascii="宋体"/>
      <w:sz w:val="21"/>
    </w:rPr>
  </w:style>
  <w:style w:type="paragraph" w:customStyle="1" w:styleId="158">
    <w:name w:val="标准文件_前言、引言标题"/>
    <w:next w:val="1"/>
    <w:qFormat/>
    <w:uiPriority w:val="0"/>
    <w:pPr>
      <w:numPr>
        <w:ilvl w:val="0"/>
        <w:numId w:val="2"/>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159">
    <w:name w:val="标准文件_引言一级条标题"/>
    <w:basedOn w:val="156"/>
    <w:next w:val="156"/>
    <w:qFormat/>
    <w:uiPriority w:val="0"/>
    <w:pPr>
      <w:numPr>
        <w:ilvl w:val="1"/>
        <w:numId w:val="2"/>
      </w:numPr>
      <w:spacing w:beforeLines="50" w:afterLines="50"/>
      <w:ind w:firstLineChars="0"/>
    </w:pPr>
    <w:rPr>
      <w:rFonts w:ascii="黑体" w:eastAsia="黑体"/>
    </w:rPr>
  </w:style>
  <w:style w:type="paragraph" w:customStyle="1" w:styleId="160">
    <w:name w:val="标准文件_引言二级条标题"/>
    <w:basedOn w:val="156"/>
    <w:next w:val="156"/>
    <w:qFormat/>
    <w:uiPriority w:val="0"/>
    <w:pPr>
      <w:numPr>
        <w:ilvl w:val="2"/>
        <w:numId w:val="2"/>
      </w:numPr>
      <w:spacing w:beforeLines="50" w:afterLines="50"/>
      <w:ind w:firstLineChars="0"/>
    </w:pPr>
    <w:rPr>
      <w:rFonts w:ascii="黑体" w:eastAsia="黑体"/>
    </w:rPr>
  </w:style>
  <w:style w:type="paragraph" w:customStyle="1" w:styleId="161">
    <w:name w:val="标准文件_引言三级条标题"/>
    <w:basedOn w:val="156"/>
    <w:next w:val="156"/>
    <w:qFormat/>
    <w:uiPriority w:val="0"/>
    <w:pPr>
      <w:numPr>
        <w:ilvl w:val="3"/>
        <w:numId w:val="2"/>
      </w:numPr>
      <w:spacing w:beforeLines="50" w:afterLines="50"/>
      <w:ind w:firstLineChars="0"/>
    </w:pPr>
    <w:rPr>
      <w:rFonts w:ascii="黑体" w:eastAsia="黑体"/>
    </w:rPr>
  </w:style>
  <w:style w:type="paragraph" w:customStyle="1" w:styleId="162">
    <w:name w:val="标准文件_引言四级条标题"/>
    <w:basedOn w:val="156"/>
    <w:next w:val="156"/>
    <w:qFormat/>
    <w:uiPriority w:val="0"/>
    <w:pPr>
      <w:numPr>
        <w:ilvl w:val="4"/>
        <w:numId w:val="2"/>
      </w:numPr>
      <w:spacing w:beforeLines="50" w:afterLines="50"/>
      <w:ind w:firstLineChars="0"/>
    </w:pPr>
    <w:rPr>
      <w:rFonts w:ascii="黑体" w:eastAsia="黑体"/>
    </w:rPr>
  </w:style>
  <w:style w:type="paragraph" w:customStyle="1" w:styleId="163">
    <w:name w:val="标准文件_引言五级条标题"/>
    <w:basedOn w:val="156"/>
    <w:next w:val="156"/>
    <w:qFormat/>
    <w:uiPriority w:val="0"/>
    <w:pPr>
      <w:numPr>
        <w:ilvl w:val="5"/>
        <w:numId w:val="2"/>
      </w:numPr>
      <w:spacing w:beforeLines="50" w:afterLines="50"/>
      <w:ind w:firstLineChars="0"/>
    </w:pPr>
    <w:rPr>
      <w:rFonts w:ascii="黑体" w:eastAsia="黑体"/>
    </w:rPr>
  </w:style>
  <w:style w:type="paragraph" w:customStyle="1" w:styleId="164">
    <w:name w:val="标准文件_二级条标题"/>
    <w:next w:val="156"/>
    <w:uiPriority w:val="0"/>
    <w:pPr>
      <w:widowControl w:val="0"/>
      <w:numPr>
        <w:ilvl w:val="3"/>
        <w:numId w:val="3"/>
      </w:numPr>
      <w:spacing w:beforeLines="50" w:afterLines="50"/>
      <w:ind w:left="0"/>
      <w:jc w:val="both"/>
      <w:outlineLvl w:val="2"/>
    </w:pPr>
    <w:rPr>
      <w:rFonts w:ascii="黑体" w:hAnsi="Times New Roman" w:eastAsia="黑体" w:cs="Times New Roman"/>
      <w:sz w:val="21"/>
      <w:lang w:val="en-US" w:eastAsia="zh-CN" w:bidi="ar-SA"/>
    </w:rPr>
  </w:style>
  <w:style w:type="paragraph" w:customStyle="1" w:styleId="165">
    <w:name w:val="标准文件_三级条标题"/>
    <w:basedOn w:val="164"/>
    <w:next w:val="156"/>
    <w:uiPriority w:val="0"/>
    <w:pPr>
      <w:widowControl/>
      <w:numPr>
        <w:ilvl w:val="4"/>
      </w:numPr>
      <w:ind w:left="2268"/>
      <w:outlineLvl w:val="3"/>
    </w:pPr>
  </w:style>
  <w:style w:type="paragraph" w:customStyle="1" w:styleId="166">
    <w:name w:val="标准文件_四级条标题"/>
    <w:next w:val="156"/>
    <w:qFormat/>
    <w:uiPriority w:val="0"/>
    <w:pPr>
      <w:widowControl w:val="0"/>
      <w:numPr>
        <w:ilvl w:val="5"/>
        <w:numId w:val="3"/>
      </w:numPr>
      <w:spacing w:beforeLines="50" w:afterLines="50"/>
      <w:jc w:val="both"/>
      <w:outlineLvl w:val="4"/>
    </w:pPr>
    <w:rPr>
      <w:rFonts w:ascii="黑体" w:hAnsi="Times New Roman" w:eastAsia="黑体" w:cs="Times New Roman"/>
      <w:sz w:val="21"/>
      <w:lang w:val="en-US" w:eastAsia="zh-CN" w:bidi="ar-SA"/>
    </w:rPr>
  </w:style>
  <w:style w:type="paragraph" w:customStyle="1" w:styleId="167">
    <w:name w:val="标准文件_五级条标题"/>
    <w:next w:val="156"/>
    <w:uiPriority w:val="0"/>
    <w:pPr>
      <w:widowControl w:val="0"/>
      <w:numPr>
        <w:ilvl w:val="6"/>
        <w:numId w:val="3"/>
      </w:numPr>
      <w:spacing w:beforeLines="50" w:afterLines="50"/>
      <w:jc w:val="both"/>
      <w:outlineLvl w:val="5"/>
    </w:pPr>
    <w:rPr>
      <w:rFonts w:ascii="黑体" w:hAnsi="Times New Roman" w:eastAsia="黑体" w:cs="Times New Roman"/>
      <w:sz w:val="21"/>
      <w:lang w:val="en-US" w:eastAsia="zh-CN" w:bidi="ar-SA"/>
    </w:rPr>
  </w:style>
  <w:style w:type="paragraph" w:customStyle="1" w:styleId="168">
    <w:name w:val="标准文件_章标题"/>
    <w:next w:val="156"/>
    <w:uiPriority w:val="0"/>
    <w:pPr>
      <w:numPr>
        <w:ilvl w:val="1"/>
        <w:numId w:val="3"/>
      </w:numPr>
      <w:spacing w:beforeLines="100" w:afterLines="100"/>
      <w:jc w:val="both"/>
      <w:outlineLvl w:val="0"/>
    </w:pPr>
    <w:rPr>
      <w:rFonts w:ascii="黑体" w:hAnsi="Times New Roman" w:eastAsia="黑体" w:cs="Times New Roman"/>
      <w:sz w:val="21"/>
      <w:lang w:val="en-US" w:eastAsia="zh-CN" w:bidi="ar-SA"/>
    </w:rPr>
  </w:style>
  <w:style w:type="paragraph" w:customStyle="1" w:styleId="169">
    <w:name w:val="标准文件_一级条标题"/>
    <w:basedOn w:val="168"/>
    <w:next w:val="156"/>
    <w:qFormat/>
    <w:uiPriority w:val="0"/>
    <w:pPr>
      <w:numPr>
        <w:ilvl w:val="2"/>
      </w:numPr>
      <w:spacing w:beforeLines="50" w:afterLines="50"/>
      <w:outlineLvl w:val="1"/>
    </w:pPr>
  </w:style>
  <w:style w:type="paragraph" w:customStyle="1" w:styleId="170">
    <w:name w:val="标准文件_数字编号列项（二级）"/>
    <w:uiPriority w:val="0"/>
    <w:pPr>
      <w:numPr>
        <w:ilvl w:val="1"/>
        <w:numId w:val="4"/>
      </w:numPr>
      <w:jc w:val="both"/>
    </w:pPr>
    <w:rPr>
      <w:rFonts w:ascii="宋体" w:hAnsi="Times New Roman" w:eastAsia="宋体" w:cs="Times New Roman"/>
      <w:sz w:val="21"/>
      <w:lang w:val="en-US" w:eastAsia="zh-CN" w:bidi="ar-SA"/>
    </w:rPr>
  </w:style>
  <w:style w:type="paragraph" w:customStyle="1" w:styleId="171">
    <w:name w:val="标准文件_正文表标题"/>
    <w:next w:val="156"/>
    <w:uiPriority w:val="0"/>
    <w:pPr>
      <w:numPr>
        <w:ilvl w:val="0"/>
        <w:numId w:val="5"/>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72">
    <w:name w:val="标准文件_编号列项（三级）"/>
    <w:uiPriority w:val="0"/>
    <w:pPr>
      <w:numPr>
        <w:ilvl w:val="2"/>
        <w:numId w:val="4"/>
      </w:numPr>
    </w:pPr>
    <w:rPr>
      <w:rFonts w:ascii="宋体" w:hAnsi="Times New Roman" w:eastAsia="宋体" w:cs="Times New Roman"/>
      <w:sz w:val="21"/>
      <w:lang w:val="en-US" w:eastAsia="zh-CN" w:bidi="ar-SA"/>
    </w:rPr>
  </w:style>
  <w:style w:type="paragraph" w:customStyle="1" w:styleId="173">
    <w:name w:val="前言标题"/>
    <w:next w:val="1"/>
    <w:uiPriority w:val="0"/>
    <w:pPr>
      <w:numPr>
        <w:ilvl w:val="0"/>
        <w:numId w:val="3"/>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74">
    <w:name w:val="标准文件_三级无标题"/>
    <w:basedOn w:val="165"/>
    <w:qFormat/>
    <w:uiPriority w:val="0"/>
    <w:pPr>
      <w:spacing w:beforeLines="0" w:afterLines="0"/>
      <w:outlineLvl w:val="9"/>
    </w:pPr>
    <w:rPr>
      <w:rFonts w:ascii="宋体" w:eastAsia="宋体"/>
    </w:rPr>
  </w:style>
  <w:style w:type="paragraph" w:customStyle="1" w:styleId="175">
    <w:name w:val="标准文件_二级无标题"/>
    <w:basedOn w:val="164"/>
    <w:qFormat/>
    <w:uiPriority w:val="0"/>
    <w:pPr>
      <w:spacing w:beforeLines="0" w:afterLines="0"/>
      <w:outlineLvl w:val="9"/>
    </w:pPr>
    <w:rPr>
      <w:rFonts w:ascii="宋体" w:eastAsia="宋体"/>
    </w:rPr>
  </w:style>
  <w:style w:type="paragraph" w:customStyle="1" w:styleId="176">
    <w:name w:val="标准文件_字母编号列项（一级）"/>
    <w:qFormat/>
    <w:uiPriority w:val="0"/>
    <w:pPr>
      <w:numPr>
        <w:ilvl w:val="0"/>
        <w:numId w:val="4"/>
      </w:numPr>
      <w:jc w:val="both"/>
    </w:pPr>
    <w:rPr>
      <w:rFonts w:ascii="宋体" w:hAnsi="Times New Roman" w:eastAsia="宋体" w:cs="Times New Roman"/>
      <w:sz w:val="21"/>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Revision"/>
    <w:hidden/>
    <w:semiHidden/>
    <w:uiPriority w:val="99"/>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glossaryDocument" Target="glossary/document.xml"/><Relationship Id="rId32" Type="http://schemas.openxmlformats.org/officeDocument/2006/relationships/fontTable" Target="fontTable.xml"/><Relationship Id="rId31" Type="http://schemas.microsoft.com/office/2006/relationships/keyMapCustomizations" Target="customizations.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C837505B91343A3B1E29A745622746D"/>
        <w:style w:val=""/>
        <w:category>
          <w:name w:val="常规"/>
          <w:gallery w:val="placeholder"/>
        </w:category>
        <w:types>
          <w:type w:val="bbPlcHdr"/>
        </w:types>
        <w:behaviors>
          <w:behavior w:val="content"/>
        </w:behaviors>
        <w:description w:val=""/>
        <w:guid w:val="{4B8FC5F8-6995-493A-B41C-0A6CD0C59200}"/>
      </w:docPartPr>
      <w:docPartBody>
        <w:p>
          <w:pPr>
            <w:pStyle w:val="5"/>
          </w:pPr>
          <w:r>
            <w:rPr>
              <w:rStyle w:val="4"/>
              <w:rFonts w:hint="eastAsia"/>
            </w:rPr>
            <w:t>单击或点击此处输入文字。</w:t>
          </w:r>
        </w:p>
      </w:docPartBody>
    </w:docPart>
    <w:docPart>
      <w:docPartPr>
        <w:name w:val="70C9D05BD0B0442F8E68A76FCD75155C"/>
        <w:style w:val=""/>
        <w:category>
          <w:name w:val="常规"/>
          <w:gallery w:val="placeholder"/>
        </w:category>
        <w:types>
          <w:type w:val="bbPlcHdr"/>
        </w:types>
        <w:behaviors>
          <w:behavior w:val="content"/>
        </w:behaviors>
        <w:description w:val=""/>
        <w:guid w:val="{6C3E5922-5663-4638-A244-84D31BD8CD9C}"/>
      </w:docPartPr>
      <w:docPartBody>
        <w:p>
          <w:pPr>
            <w:pStyle w:val="6"/>
          </w:pPr>
          <w:r>
            <w:rPr>
              <w:rStyle w:val="4"/>
              <w:rFonts w:hint="eastAsia"/>
            </w:rPr>
            <w:t>选择一项。</w:t>
          </w:r>
        </w:p>
      </w:docPartBody>
    </w:docPart>
    <w:docPart>
      <w:docPartPr>
        <w:name w:val="78E838330696434992583680ED0BD688"/>
        <w:style w:val=""/>
        <w:category>
          <w:name w:val="常规"/>
          <w:gallery w:val="placeholder"/>
        </w:category>
        <w:types>
          <w:type w:val="bbPlcHdr"/>
        </w:types>
        <w:behaviors>
          <w:behavior w:val="content"/>
        </w:behaviors>
        <w:description w:val=""/>
        <w:guid w:val="{ED78577A-E249-4800-98FA-6EDC3D637343}"/>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644"/>
    <w:rsid w:val="001B7517"/>
    <w:rsid w:val="00385BCE"/>
    <w:rsid w:val="003D6BAB"/>
    <w:rsid w:val="00487E69"/>
    <w:rsid w:val="004F72B4"/>
    <w:rsid w:val="005E0349"/>
    <w:rsid w:val="005E3644"/>
    <w:rsid w:val="006D535B"/>
    <w:rsid w:val="007F7633"/>
    <w:rsid w:val="008B4D32"/>
    <w:rsid w:val="008B76C2"/>
    <w:rsid w:val="00A04036"/>
    <w:rsid w:val="00B80F2F"/>
    <w:rsid w:val="00C07BCF"/>
    <w:rsid w:val="00C2017E"/>
    <w:rsid w:val="00CA0BC8"/>
    <w:rsid w:val="00CA0ED8"/>
    <w:rsid w:val="00CA34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5C837505B91343A3B1E29A745622746D"/>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70C9D05BD0B0442F8E68A76FCD75155C"/>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78E838330696434992583680ED0BD688"/>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F047D1-8F2B-45A7-81E4-F87FC86D366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2898</Words>
  <Characters>3507</Characters>
  <Lines>27</Lines>
  <Paragraphs>7</Paragraphs>
  <TotalTime>0</TotalTime>
  <ScaleCrop>false</ScaleCrop>
  <LinksUpToDate>false</LinksUpToDate>
  <CharactersWithSpaces>3656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2023-07-06T02:48:00Z</dcterms:created>
  <dc:creator>CNIS</dc:creator>
  <cp:lastModifiedBy>正能量</cp:lastModifiedBy>
  <cp:lastPrinted>2023-07-07T02:30:00Z</cp:lastPrinted>
  <dcterms:modified xsi:type="dcterms:W3CDTF">2023-07-17T09:26:39Z</dcterms:modified>
  <dc:title>标准名称</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12518DF2A0F844CBB0F9F81BFA341993_12</vt:lpwstr>
  </property>
</Properties>
</file>