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eastAsia="微软雅黑"/>
          <w:sz w:val="22"/>
          <w:szCs w:val="22"/>
        </w:rPr>
      </w:pPr>
      <w:bookmarkStart w:id="0" w:name="_Hlk56178929"/>
    </w:p>
    <w:p>
      <w:pPr>
        <w:widowControl/>
        <w:jc w:val="left"/>
        <w:rPr>
          <w:rFonts w:eastAsia="微软雅黑"/>
          <w:sz w:val="22"/>
          <w:szCs w:val="22"/>
        </w:rPr>
      </w:pPr>
      <w:r>
        <w:rPr>
          <w:rFonts w:eastAsia="微软雅黑"/>
          <w:kern w:val="0"/>
          <w:sz w:val="22"/>
          <w:szCs w:val="22"/>
        </w:rPr>
        <mc:AlternateContent>
          <mc:Choice Requires="wps">
            <w:drawing>
              <wp:anchor distT="0" distB="0" distL="114300" distR="114300" simplePos="0" relativeHeight="251662336" behindDoc="0" locked="0" layoutInCell="1" allowOverlap="1">
                <wp:simplePos x="0" y="0"/>
                <wp:positionH relativeFrom="column">
                  <wp:posOffset>-74295</wp:posOffset>
                </wp:positionH>
                <wp:positionV relativeFrom="paragraph">
                  <wp:posOffset>1200150</wp:posOffset>
                </wp:positionV>
                <wp:extent cx="6193790" cy="0"/>
                <wp:effectExtent l="6350" t="13970" r="10160" b="5080"/>
                <wp:wrapNone/>
                <wp:docPr id="10" name="直线 11"/>
                <wp:cNvGraphicFramePr/>
                <a:graphic xmlns:a="http://schemas.openxmlformats.org/drawingml/2006/main">
                  <a:graphicData uri="http://schemas.microsoft.com/office/word/2010/wordprocessingShape">
                    <wps:wsp>
                      <wps:cNvCnPr>
                        <a:cxnSpLocks noChangeShapeType="1"/>
                      </wps:cNvCnPr>
                      <wps:spPr bwMode="auto">
                        <a:xfrm>
                          <a:off x="0" y="0"/>
                          <a:ext cx="6193790" cy="0"/>
                        </a:xfrm>
                        <a:prstGeom prst="line">
                          <a:avLst/>
                        </a:prstGeom>
                        <a:noFill/>
                        <a:ln w="9525" cmpd="sng">
                          <a:solidFill>
                            <a:srgbClr val="000000"/>
                          </a:solidFill>
                          <a:round/>
                        </a:ln>
                      </wps:spPr>
                      <wps:bodyPr/>
                    </wps:wsp>
                  </a:graphicData>
                </a:graphic>
              </wp:anchor>
            </w:drawing>
          </mc:Choice>
          <mc:Fallback>
            <w:pict>
              <v:line id="直线 11" o:spid="_x0000_s1026" o:spt="20" style="position:absolute;left:0pt;margin-left:-5.85pt;margin-top:94.5pt;height:0pt;width:487.7pt;z-index:251662336;mso-width-relative:page;mso-height-relative:page;" filled="f" stroked="t" coordsize="21600,21600" o:gfxdata="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DPELWAAAACwEAAA8AAAAA&#10;AAAAAQAgAAAAIgAAAGRycy9kb3ducmV2LnhtbFBLAQIUABQAAAAIAIdO4kCHVTll3QEAAK4DAAAO&#10;AAAAAAAAAAEAIAAAACUBAABkcnMvZTJvRG9jLnhtbFBLBQYAAAAABgAGAFkBAAB0BQAAAAA=&#10;">
                <v:fill on="f" focussize="0,0"/>
                <v:stroke color="#000000" joinstyle="round"/>
                <v:imagedata o:title=""/>
                <o:lock v:ext="edit" aspectratio="f"/>
              </v:line>
            </w:pict>
          </mc:Fallback>
        </mc:AlternateContent>
      </w:r>
    </w:p>
    <w:p>
      <w:pPr>
        <w:widowControl/>
        <w:jc w:val="left"/>
        <w:rPr>
          <w:rFonts w:eastAsia="微软雅黑"/>
          <w:sz w:val="22"/>
          <w:szCs w:val="22"/>
        </w:rPr>
      </w:pPr>
    </w:p>
    <w:p>
      <w:pPr>
        <w:pStyle w:val="50"/>
        <w:framePr w:wrap="around"/>
      </w:pPr>
      <w:r>
        <w:rPr>
          <w:rFonts w:hint="eastAsia"/>
        </w:rPr>
        <w:t>XXX</w:t>
      </w:r>
    </w:p>
    <w:p>
      <w:pPr>
        <w:widowControl/>
        <w:jc w:val="left"/>
        <w:rPr>
          <w:rFonts w:eastAsia="微软雅黑"/>
          <w:sz w:val="22"/>
          <w:szCs w:val="22"/>
        </w:rPr>
      </w:pPr>
    </w:p>
    <w:p>
      <w:pPr>
        <w:widowControl/>
        <w:jc w:val="left"/>
        <w:rPr>
          <w:rFonts w:eastAsia="微软雅黑"/>
          <w:sz w:val="22"/>
          <w:szCs w:val="22"/>
        </w:rPr>
      </w:pPr>
    </w:p>
    <w:p>
      <w:pPr>
        <w:widowControl/>
        <w:jc w:val="left"/>
        <w:rPr>
          <w:rFonts w:eastAsia="微软雅黑"/>
          <w:sz w:val="22"/>
          <w:szCs w:val="22"/>
        </w:rPr>
      </w:pPr>
      <w:r>
        <w:rPr>
          <w:rFonts w:eastAsia="微软雅黑"/>
          <w:sz w:val="22"/>
          <w:szCs w:val="22"/>
        </w:rPr>
        <mc:AlternateContent>
          <mc:Choice Requires="wps">
            <w:drawing>
              <wp:anchor distT="0" distB="0" distL="114300" distR="114300" simplePos="0" relativeHeight="251663360" behindDoc="0" locked="1" layoutInCell="1" allowOverlap="1">
                <wp:simplePos x="0" y="0"/>
                <wp:positionH relativeFrom="column">
                  <wp:posOffset>-635</wp:posOffset>
                </wp:positionH>
                <wp:positionV relativeFrom="page">
                  <wp:posOffset>9251950</wp:posOffset>
                </wp:positionV>
                <wp:extent cx="6120130" cy="0"/>
                <wp:effectExtent l="13335" t="12700" r="10160" b="6350"/>
                <wp:wrapNone/>
                <wp:docPr id="9" name="直线 1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sng">
                          <a:solidFill>
                            <a:srgbClr val="000000"/>
                          </a:solidFill>
                          <a:round/>
                        </a:ln>
                      </wps:spPr>
                      <wps:bodyPr/>
                    </wps:wsp>
                  </a:graphicData>
                </a:graphic>
              </wp:anchor>
            </w:drawing>
          </mc:Choice>
          <mc:Fallback>
            <w:pict>
              <v:line id="直线 10" o:spid="_x0000_s1026" o:spt="20" style="position:absolute;left:0pt;margin-left:-0.05pt;margin-top:728.5pt;height:0pt;width:481.9pt;mso-position-vertical-relative:page;z-index:25166336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WHazzWAAAACwEAAA8AAAAA&#10;AAAAAQAgAAAAIgAAAGRycy9kb3ducmV2LnhtbFBLAQIUABQAAAAIAIdO4kADuH4i3QEAAK0DAAAO&#10;AAAAAAAAAAEAIAAAACUBAABkcnMvZTJvRG9jLnhtbFBLBQYAAAAABgAGAFkBAAB0BQAAAAA=&#10;">
                <v:fill on="f" focussize="0,0"/>
                <v:stroke color="#000000" joinstyle="round"/>
                <v:imagedata o:title=""/>
                <o:lock v:ext="edit" aspectratio="f"/>
                <w10:anchorlock/>
              </v:line>
            </w:pict>
          </mc:Fallback>
        </mc:AlternateContent>
      </w:r>
    </w:p>
    <w:p>
      <w:pPr>
        <w:pStyle w:val="56"/>
        <w:framePr w:wrap="around"/>
        <w:spacing w:line="240" w:lineRule="auto"/>
      </w:pPr>
      <w:r>
        <w:tab/>
      </w:r>
      <w:r>
        <w:tab/>
      </w:r>
      <w:r>
        <w:t>SY</w:t>
      </w:r>
    </w:p>
    <w:p>
      <w:pPr>
        <w:pStyle w:val="45"/>
        <w:framePr w:wrap="around"/>
        <w:rPr>
          <w:rFonts w:ascii="Times New Roman" w:hAnsi="Times New Roman"/>
        </w:rPr>
      </w:pPr>
      <w:r>
        <w:rPr>
          <w:rFonts w:hint="eastAsia"/>
        </w:rPr>
        <w:t>行业标准</w:t>
      </w:r>
    </w:p>
    <w:p>
      <w:pPr>
        <w:pStyle w:val="60"/>
        <w:framePr w:wrap="around"/>
      </w:pPr>
      <w:r>
        <w:rPr>
          <w:rFonts w:hint="eastAsia" w:ascii="Times New Roman"/>
        </w:rPr>
        <w:t>SY ****—202</w:t>
      </w:r>
      <w:r>
        <w:rPr>
          <w:rFonts w:ascii="Times New Roman"/>
        </w:rPr>
        <w:t>2</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42"/>
              <w:framePr w:wrap="around"/>
            </w:pPr>
          </w:p>
        </w:tc>
      </w:tr>
    </w:tbl>
    <w:p>
      <w:pPr>
        <w:pStyle w:val="60"/>
        <w:framePr w:wrap="around"/>
      </w:pPr>
    </w:p>
    <w:p>
      <w:pPr>
        <w:pStyle w:val="60"/>
        <w:framePr w:wrap="around"/>
      </w:pPr>
    </w:p>
    <w:p>
      <w:pPr>
        <w:pStyle w:val="58"/>
        <w:framePr w:h="4271" w:hRule="exact" w:wrap="around" w:x="1433" w:y="6568"/>
      </w:pPr>
      <w:bookmarkStart w:id="1" w:name="_Hlk105423976"/>
      <w:r>
        <w:rPr>
          <w:rFonts w:hint="eastAsia"/>
        </w:rPr>
        <w:t>井下套管外永置式光缆安装通用方法</w:t>
      </w:r>
    </w:p>
    <w:bookmarkEnd w:id="1"/>
    <w:tbl>
      <w:tblPr>
        <w:tblStyle w:val="19"/>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39"/>
              <w:framePr w:h="4271" w:hRule="exact" w:wrap="around" w:x="1433" w:y="6568"/>
            </w:pPr>
            <w:r>
              <w:rPr>
                <w:rFonts w:ascii="黑体" w:eastAsia="黑体"/>
                <w:szCs w:val="20"/>
              </w:rPr>
              <w:t xml:space="preserve">General Method for installation of permanent fiber optic cable outside casing </w:t>
            </w:r>
            <w:r>
              <mc:AlternateContent>
                <mc:Choice Requires="wps">
                  <w:drawing>
                    <wp:anchor distT="0" distB="0" distL="114300" distR="114300" simplePos="0" relativeHeight="251659264" behindDoc="1" locked="1" layoutInCell="1" allowOverlap="1">
                      <wp:simplePos x="0" y="0"/>
                      <wp:positionH relativeFrom="column">
                        <wp:posOffset>2200910</wp:posOffset>
                      </wp:positionH>
                      <wp:positionV relativeFrom="paragraph">
                        <wp:posOffset>4281805</wp:posOffset>
                      </wp:positionV>
                      <wp:extent cx="1905000" cy="254000"/>
                      <wp:effectExtent l="0" t="4445" r="4445" b="0"/>
                      <wp:wrapNone/>
                      <wp:docPr id="8"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337.15pt;height:20pt;width:150pt;z-index:-251657216;mso-width-relative:page;mso-height-relative:page;" fillcolor="#FFFFFF" filled="t" stroked="f" coordsize="21600,21600" o:gfxdata="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9f34NcAAAALAQAADwAAAAAAAAABACAAAAAiAAAA&#10;ZHJzL2Rvd25yZXYueG1sUEsBAhQAFAAAAAgAh07iQEpkL+8IAgAAIAQAAA4AAAAAAAAAAQAgAAAA&#10;JgEAAGRycy9lMm9Eb2MueG1sUEsFBgAAAAAGAAYAWQEAAKAFAAAAAA==&#10;">
                      <v:fill on="t" focussize="0,0"/>
                      <v:stroke on="f"/>
                      <v:imagedata o:title=""/>
                      <o:lock v:ext="edit" aspectratio="f"/>
                      <w10:anchorlock/>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38"/>
              <w:framePr w:h="4271" w:hRule="exact" w:wrap="around" w:x="1433" w:y="6568"/>
              <w:jc w:val="both"/>
              <w:rPr>
                <w:rFonts w:hint="eastAsia"/>
              </w:rPr>
            </w:pPr>
          </w:p>
        </w:tc>
      </w:tr>
    </w:tbl>
    <w:p>
      <w:pPr>
        <w:pStyle w:val="48"/>
        <w:framePr w:w="9311" w:wrap="around" w:x="1465" w:y="14881"/>
      </w:pPr>
      <w:r>
        <w:rPr>
          <w:w w:val="100"/>
        </w:rPr>
        <mc:AlternateContent>
          <mc:Choice Requires="wps">
            <w:drawing>
              <wp:anchor distT="0" distB="0" distL="114300" distR="114300" simplePos="0" relativeHeight="251661312" behindDoc="1" locked="0" layoutInCell="1" allowOverlap="1">
                <wp:simplePos x="0" y="0"/>
                <wp:positionH relativeFrom="column">
                  <wp:posOffset>1810385</wp:posOffset>
                </wp:positionH>
                <wp:positionV relativeFrom="paragraph">
                  <wp:posOffset>-3942715</wp:posOffset>
                </wp:positionV>
                <wp:extent cx="1270000" cy="304800"/>
                <wp:effectExtent l="0" t="635" r="0" b="0"/>
                <wp:wrapNone/>
                <wp:docPr id="7" name="矩形 27"/>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27" o:spid="_x0000_s1026" o:spt="1" style="position:absolute;left:0pt;margin-left:142.55pt;margin-top:-310.45pt;height:24pt;width:100pt;z-index:-251655168;mso-width-relative:page;mso-height-relative:page;" fillcolor="#FFFFFF" filled="t" stroked="f" coordsize="21600,21600" o:gfxdata="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u1tkAAAANAQAA&#10;DwAAAAAAAAABACAAAAAiAAAAZHJzL2Rvd25yZXYueG1sUEsBAhQAFAAAAAgAh07iQMQVxMwYAgAA&#10;JwQAAA4AAAAAAAAAAQAgAAAAKAEAAGRycy9lMm9Eb2MueG1sUEsFBgAAAAAGAAYAWQEAALIFAAAA&#10;AA==&#10;">
                <v:fill on="t" focussize="0,0"/>
                <v:stroke on="f"/>
                <v:imagedata o:title=""/>
                <o:lock v:ext="edit" aspectratio="f"/>
              </v:rect>
            </w:pict>
          </mc:Fallback>
        </mc:AlternateContent>
      </w:r>
      <w:r>
        <w:rPr>
          <w:w w:val="100"/>
        </w:rPr>
        <mc:AlternateContent>
          <mc:Choice Requires="wps">
            <w:drawing>
              <wp:anchor distT="0" distB="0" distL="114300" distR="114300" simplePos="0" relativeHeight="251660288" behindDoc="1" locked="0" layoutInCell="1" allowOverlap="1">
                <wp:simplePos x="0" y="0"/>
                <wp:positionH relativeFrom="column">
                  <wp:posOffset>4413885</wp:posOffset>
                </wp:positionH>
                <wp:positionV relativeFrom="paragraph">
                  <wp:posOffset>-7435215</wp:posOffset>
                </wp:positionV>
                <wp:extent cx="1143000" cy="228600"/>
                <wp:effectExtent l="0" t="3810" r="0" b="0"/>
                <wp:wrapNone/>
                <wp:docPr id="6" name="矩形 26"/>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26" o:spid="_x0000_s1026" o:spt="1" style="position:absolute;left:0pt;margin-left:347.55pt;margin-top:-585.45pt;height:18pt;width:90pt;z-index:-251656192;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yYoR2gAAAA8B&#10;AAAPAAAAAAAAAAEAIAAAACIAAABkcnMvZG93bnJldi54bWxQSwECFAAUAAAACACHTuJADuKq+BkC&#10;AAAnBAAADgAAAAAAAAABACAAAAApAQAAZHJzL2Uyb0RvYy54bWxQSwUGAAAAAAYABgBZAQAAtAUA&#10;AAAA&#10;">
                <v:fill on="t" focussize="0,0"/>
                <v:stroke on="f"/>
                <v:imagedata o:title=""/>
                <o:lock v:ext="edit" aspectratio="f"/>
              </v:rect>
            </w:pict>
          </mc:Fallback>
        </mc:AlternateContent>
      </w:r>
      <w:r>
        <w:rPr>
          <w:rStyle w:val="35"/>
          <w:rFonts w:hint="eastAsia"/>
        </w:rPr>
        <w:t>发布</w:t>
      </w:r>
    </w:p>
    <w:p>
      <w:pPr>
        <w:pStyle w:val="53"/>
        <w:framePr w:wrap="around" w:hAnchor="page" w:x="1484" w:y="13885"/>
      </w:pPr>
      <w:r>
        <w:rPr>
          <w:rFonts w:hint="eastAsia" w:ascii="黑体"/>
        </w:rPr>
        <w:t>2021</w:t>
      </w:r>
      <w:r>
        <w:rPr>
          <w:rFonts w:ascii="黑体"/>
        </w:rPr>
        <w:t>-</w:t>
      </w:r>
      <w:r>
        <w:t xml:space="preserve"> </w:t>
      </w:r>
      <w:r>
        <w:rPr>
          <w:rFonts w:hint="eastAsia"/>
        </w:rPr>
        <w:t>XX</w:t>
      </w:r>
      <w:r>
        <w:t xml:space="preserve"> </w:t>
      </w:r>
      <w:r>
        <w:rPr>
          <w:rFonts w:ascii="黑体"/>
        </w:rPr>
        <w:t>-</w:t>
      </w:r>
      <w:r>
        <w:t xml:space="preserve"> </w:t>
      </w:r>
      <w:r>
        <w:rPr>
          <w:rFonts w:hint="eastAsia"/>
        </w:rPr>
        <w:t>XX发布</w:t>
      </w:r>
      <w:r>
        <mc:AlternateContent>
          <mc:Choice Requires="wps">
            <w:drawing>
              <wp:anchor distT="0" distB="0" distL="114300" distR="114300" simplePos="0" relativeHeight="251664384" behindDoc="0" locked="1" layoutInCell="1" allowOverlap="1">
                <wp:simplePos x="0" y="0"/>
                <wp:positionH relativeFrom="column">
                  <wp:posOffset>-635</wp:posOffset>
                </wp:positionH>
                <wp:positionV relativeFrom="page">
                  <wp:posOffset>9251950</wp:posOffset>
                </wp:positionV>
                <wp:extent cx="6120130" cy="0"/>
                <wp:effectExtent l="7620" t="12700" r="6350" b="6350"/>
                <wp:wrapNone/>
                <wp:docPr id="5" name="直线 29"/>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sng">
                          <a:solidFill>
                            <a:srgbClr val="000000"/>
                          </a:solidFill>
                          <a:round/>
                        </a:ln>
                      </wps:spPr>
                      <wps:bodyPr/>
                    </wps:wsp>
                  </a:graphicData>
                </a:graphic>
              </wp:anchor>
            </w:drawing>
          </mc:Choice>
          <mc:Fallback>
            <w:pict>
              <v:line id="直线 29" o:spid="_x0000_s1026" o:spt="20" style="position:absolute;left:0pt;margin-left:-0.05pt;margin-top:728.5pt;height:0pt;width:481.9pt;mso-position-vertical-relative:page;z-index:25166438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WHazzWAAAACwEAAA8AAAAA&#10;AAAAAQAgAAAAIgAAAGRycy9kb3ducmV2LnhtbFBLAQIUABQAAAAIAIdO4kAXmzWF3QEAAK0DAAAO&#10;AAAAAAAAAAEAIAAAACUBAABkcnMvZTJvRG9jLnhtbFBLBQYAAAAABgAGAFkBAAB0BQAAAAA=&#10;">
                <v:fill on="f" focussize="0,0"/>
                <v:stroke color="#000000" joinstyle="round"/>
                <v:imagedata o:title=""/>
                <o:lock v:ext="edit" aspectratio="f"/>
                <w10:anchorlock/>
              </v:line>
            </w:pict>
          </mc:Fallback>
        </mc:AlternateContent>
      </w:r>
    </w:p>
    <w:p>
      <w:pPr>
        <w:pStyle w:val="59"/>
        <w:framePr w:wrap="around" w:hAnchor="page" w:x="6772" w:y="13907"/>
      </w:pPr>
      <w:r>
        <w:rPr>
          <w:rFonts w:hint="eastAsia" w:ascii="黑体"/>
        </w:rPr>
        <w:t>2021</w:t>
      </w:r>
      <w:r>
        <w:rPr>
          <w:rFonts w:ascii="黑体"/>
        </w:rPr>
        <w:t>-</w:t>
      </w:r>
      <w:r>
        <w:t xml:space="preserve"> </w:t>
      </w:r>
      <w:r>
        <w:rPr>
          <w:rFonts w:hint="eastAsia"/>
        </w:rPr>
        <w:t>XX</w:t>
      </w:r>
      <w:r>
        <w:t xml:space="preserve"> </w:t>
      </w:r>
      <w:r>
        <w:rPr>
          <w:rFonts w:ascii="黑体"/>
        </w:rPr>
        <w:t>-</w:t>
      </w:r>
      <w:r>
        <w:rPr>
          <w:rFonts w:hint="eastAsia"/>
        </w:rPr>
        <w:t>XX实施</w:t>
      </w:r>
    </w:p>
    <w:p>
      <w:pPr>
        <w:widowControl/>
        <w:jc w:val="left"/>
        <w:rPr>
          <w:rFonts w:eastAsia="微软雅黑"/>
          <w:kern w:val="0"/>
          <w:sz w:val="22"/>
          <w:szCs w:val="22"/>
        </w:rPr>
      </w:pPr>
    </w:p>
    <w:bookmarkEnd w:id="0"/>
    <w:p>
      <w:pPr>
        <w:pStyle w:val="27"/>
      </w:pPr>
      <w:bookmarkStart w:id="2" w:name="_Toc266886816"/>
      <w:bookmarkEnd w:id="2"/>
    </w:p>
    <w:p>
      <w:pPr>
        <w:widowControl/>
        <w:snapToGrid w:val="0"/>
        <w:rPr>
          <w:rFonts w:eastAsia="黑体"/>
          <w:position w:val="4"/>
          <w:sz w:val="28"/>
        </w:rPr>
        <w:sectPr>
          <w:headerReference r:id="rId5" w:type="first"/>
          <w:footerReference r:id="rId7" w:type="first"/>
          <w:headerReference r:id="rId3" w:type="default"/>
          <w:headerReference r:id="rId4" w:type="even"/>
          <w:footerReference r:id="rId6" w:type="even"/>
          <w:pgSz w:w="11906" w:h="16838"/>
          <w:pgMar w:top="567" w:right="1134" w:bottom="1134" w:left="1417" w:header="1418" w:footer="1134" w:gutter="0"/>
          <w:pgNumType w:fmt="upperRoman" w:start="1"/>
          <w:cols w:space="720" w:num="1"/>
          <w:formProt w:val="0"/>
          <w:docGrid w:type="lines" w:linePitch="312" w:charSpace="0"/>
        </w:sectPr>
      </w:pPr>
    </w:p>
    <w:p>
      <w:pPr>
        <w:pStyle w:val="62"/>
        <w:spacing w:before="851" w:after="680" w:line="240" w:lineRule="auto"/>
        <w:rPr>
          <w:rFonts w:ascii="Times New Roman"/>
        </w:rPr>
      </w:pPr>
      <w:bookmarkStart w:id="3" w:name="_Toc1356"/>
      <w:bookmarkStart w:id="4" w:name="_Toc320024185"/>
      <w:bookmarkStart w:id="5" w:name="_Toc320024061"/>
      <w:bookmarkStart w:id="6" w:name="_Toc320023985"/>
      <w:bookmarkStart w:id="7" w:name="_Toc320082314"/>
      <w:bookmarkStart w:id="8" w:name="_Toc320024137"/>
      <w:bookmarkStart w:id="9" w:name="_Toc314410502"/>
      <w:bookmarkStart w:id="10" w:name="_Toc319933891"/>
      <w:bookmarkStart w:id="11" w:name="_Toc320110758"/>
      <w:bookmarkStart w:id="12" w:name="_Toc320022827"/>
      <w:bookmarkStart w:id="13" w:name="_Toc315850431"/>
      <w:bookmarkStart w:id="14" w:name="_Toc315425416"/>
      <w:r>
        <w:rPr>
          <w:rFonts w:hint="eastAsia" w:ascii="Times New Roman"/>
        </w:rPr>
        <w:t>目</w:t>
      </w:r>
      <w:bookmarkStart w:id="15" w:name="BKML"/>
      <w:r>
        <w:rPr>
          <w:rFonts w:ascii="Times New Roman"/>
        </w:rPr>
        <w:t xml:space="preserve">  </w:t>
      </w:r>
      <w:r>
        <w:rPr>
          <w:rFonts w:hint="eastAsia" w:ascii="Times New Roman"/>
        </w:rPr>
        <w:t>次</w:t>
      </w:r>
      <w:bookmarkEnd w:id="3"/>
      <w:bookmarkEnd w:id="15"/>
    </w:p>
    <w:p>
      <w:pPr>
        <w:pStyle w:val="15"/>
        <w:tabs>
          <w:tab w:val="right" w:leader="dot" w:pos="9355"/>
          <w:tab w:val="clear" w:pos="9241"/>
        </w:tabs>
      </w:pPr>
      <w:r>
        <w:rPr>
          <w:rFonts w:ascii="Times New Roman"/>
        </w:rPr>
        <w:fldChar w:fldCharType="begin"/>
      </w:r>
      <w:r>
        <w:rPr>
          <w:rFonts w:ascii="Times New Roman"/>
        </w:rPr>
        <w:instrText xml:space="preserve"> TOC \o "1-3" \h \z \u </w:instrText>
      </w:r>
      <w:r>
        <w:rPr>
          <w:rFonts w:ascii="Times New Roman"/>
        </w:rPr>
        <w:fldChar w:fldCharType="separate"/>
      </w:r>
      <w:bookmarkStart w:id="82" w:name="_GoBack"/>
      <w:bookmarkEnd w:id="82"/>
      <w:r>
        <w:rPr>
          <w:rFonts w:ascii="Times New Roman"/>
          <w:kern w:val="2"/>
          <w:szCs w:val="21"/>
        </w:rPr>
        <w:fldChar w:fldCharType="begin"/>
      </w:r>
      <w:r>
        <w:rPr>
          <w:rFonts w:ascii="Times New Roman"/>
          <w:kern w:val="2"/>
          <w:szCs w:val="21"/>
        </w:rPr>
        <w:instrText xml:space="preserve"> HYPERLINK \l _Toc6579 </w:instrText>
      </w:r>
      <w:r>
        <w:rPr>
          <w:rFonts w:ascii="Times New Roman"/>
          <w:kern w:val="2"/>
          <w:szCs w:val="21"/>
        </w:rPr>
        <w:fldChar w:fldCharType="separate"/>
      </w:r>
      <w:r>
        <w:rPr>
          <w:rFonts w:ascii="Times New Roman"/>
        </w:rPr>
        <w:t>前  言</w:t>
      </w:r>
      <w:r>
        <w:tab/>
      </w:r>
      <w:r>
        <w:fldChar w:fldCharType="begin"/>
      </w:r>
      <w:r>
        <w:instrText xml:space="preserve"> PAGEREF _Toc6579 \h </w:instrText>
      </w:r>
      <w:r>
        <w:fldChar w:fldCharType="separate"/>
      </w:r>
      <w:r>
        <w:t>II</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_Toc120 </w:instrText>
      </w:r>
      <w:r>
        <w:rPr>
          <w:rFonts w:ascii="Times New Roman"/>
          <w:kern w:val="2"/>
          <w:szCs w:val="21"/>
        </w:rPr>
        <w:fldChar w:fldCharType="separate"/>
      </w:r>
      <w:r>
        <w:rPr>
          <w:rFonts w:hint="eastAsia" w:ascii="黑体" w:hAnsi="Times New Roman" w:eastAsia="黑体"/>
          <w:i w:val="0"/>
          <w:szCs w:val="21"/>
        </w:rPr>
        <w:t xml:space="preserve">1 </w:t>
      </w:r>
      <w:r>
        <w:rPr>
          <w:rFonts w:hint="eastAsia"/>
        </w:rPr>
        <w:t>范围</w:t>
      </w:r>
      <w:r>
        <w:tab/>
      </w:r>
      <w:r>
        <w:fldChar w:fldCharType="begin"/>
      </w:r>
      <w:r>
        <w:instrText xml:space="preserve"> PAGEREF _Toc120 \h </w:instrText>
      </w:r>
      <w:r>
        <w:fldChar w:fldCharType="separate"/>
      </w:r>
      <w:r>
        <w:t>1</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_Toc23851 </w:instrText>
      </w:r>
      <w:r>
        <w:rPr>
          <w:rFonts w:ascii="Times New Roman"/>
          <w:kern w:val="2"/>
          <w:szCs w:val="21"/>
        </w:rPr>
        <w:fldChar w:fldCharType="separate"/>
      </w:r>
      <w:r>
        <w:rPr>
          <w:rFonts w:hint="eastAsia" w:ascii="黑体" w:hAnsi="Times New Roman" w:eastAsia="黑体"/>
          <w:i w:val="0"/>
          <w:szCs w:val="21"/>
        </w:rPr>
        <w:t xml:space="preserve">2 </w:t>
      </w:r>
      <w:r>
        <w:rPr>
          <w:rFonts w:hint="eastAsia"/>
        </w:rPr>
        <w:t>规范性引用文件</w:t>
      </w:r>
      <w:r>
        <w:tab/>
      </w:r>
      <w:r>
        <w:fldChar w:fldCharType="begin"/>
      </w:r>
      <w:r>
        <w:instrText xml:space="preserve"> PAGEREF _Toc23851 \h </w:instrText>
      </w:r>
      <w:r>
        <w:fldChar w:fldCharType="separate"/>
      </w:r>
      <w:r>
        <w:t>1</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_Toc23871 </w:instrText>
      </w:r>
      <w:r>
        <w:rPr>
          <w:rFonts w:ascii="Times New Roman"/>
          <w:kern w:val="2"/>
          <w:szCs w:val="21"/>
        </w:rPr>
        <w:fldChar w:fldCharType="separate"/>
      </w:r>
      <w:r>
        <w:rPr>
          <w:rFonts w:hint="eastAsia" w:ascii="黑体" w:hAnsi="Times New Roman" w:eastAsia="黑体"/>
          <w:i w:val="0"/>
          <w:szCs w:val="21"/>
        </w:rPr>
        <w:t xml:space="preserve">3 </w:t>
      </w:r>
      <w:r>
        <w:rPr>
          <w:rFonts w:hint="eastAsia"/>
        </w:rPr>
        <w:t>术语和定义</w:t>
      </w:r>
      <w:r>
        <w:tab/>
      </w:r>
      <w:r>
        <w:fldChar w:fldCharType="begin"/>
      </w:r>
      <w:r>
        <w:instrText xml:space="preserve"> PAGEREF _Toc23871 \h </w:instrText>
      </w:r>
      <w:r>
        <w:fldChar w:fldCharType="separate"/>
      </w:r>
      <w:r>
        <w:t>1</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_Toc32489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3.1 </w:t>
      </w:r>
      <w:r>
        <w:tab/>
      </w:r>
      <w:r>
        <w:fldChar w:fldCharType="begin"/>
      </w:r>
      <w:r>
        <w:instrText xml:space="preserve"> PAGEREF _Toc32489 \h </w:instrText>
      </w:r>
      <w:r>
        <w:fldChar w:fldCharType="separate"/>
      </w:r>
      <w:r>
        <w:t>1</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_Toc18155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3.2 </w:t>
      </w:r>
      <w:r>
        <w:tab/>
      </w:r>
      <w:r>
        <w:fldChar w:fldCharType="begin"/>
      </w:r>
      <w:r>
        <w:instrText xml:space="preserve"> PAGEREF _Toc18155 \h </w:instrText>
      </w:r>
      <w:r>
        <w:fldChar w:fldCharType="separate"/>
      </w:r>
      <w:r>
        <w:t>1</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_Toc28626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3.3 </w:t>
      </w:r>
      <w:r>
        <w:tab/>
      </w:r>
      <w:r>
        <w:fldChar w:fldCharType="begin"/>
      </w:r>
      <w:r>
        <w:instrText xml:space="preserve"> PAGEREF _Toc28626 \h </w:instrText>
      </w:r>
      <w:r>
        <w:fldChar w:fldCharType="separate"/>
      </w:r>
      <w:r>
        <w:t>1</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_Toc6793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3.4 </w:t>
      </w:r>
      <w:r>
        <w:tab/>
      </w:r>
      <w:r>
        <w:fldChar w:fldCharType="begin"/>
      </w:r>
      <w:r>
        <w:instrText xml:space="preserve"> PAGEREF _Toc6793 \h </w:instrText>
      </w:r>
      <w:r>
        <w:fldChar w:fldCharType="separate"/>
      </w:r>
      <w:r>
        <w:t>1</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_Toc29075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3.5 </w:t>
      </w:r>
      <w:r>
        <w:tab/>
      </w:r>
      <w:r>
        <w:fldChar w:fldCharType="begin"/>
      </w:r>
      <w:r>
        <w:instrText xml:space="preserve"> PAGEREF _Toc29075 \h </w:instrText>
      </w:r>
      <w:r>
        <w:fldChar w:fldCharType="separate"/>
      </w:r>
      <w:r>
        <w:t>2</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_Toc20632 </w:instrText>
      </w:r>
      <w:r>
        <w:rPr>
          <w:rFonts w:ascii="Times New Roman"/>
          <w:kern w:val="2"/>
          <w:szCs w:val="21"/>
        </w:rPr>
        <w:fldChar w:fldCharType="separate"/>
      </w:r>
      <w:r>
        <w:rPr>
          <w:rFonts w:hint="eastAsia" w:ascii="黑体" w:hAnsi="Times New Roman" w:eastAsia="黑体"/>
          <w:i w:val="0"/>
          <w:szCs w:val="21"/>
        </w:rPr>
        <w:t xml:space="preserve">4 </w:t>
      </w:r>
      <w:r>
        <w:t>施工前的准备</w:t>
      </w:r>
      <w:r>
        <w:tab/>
      </w:r>
      <w:r>
        <w:fldChar w:fldCharType="begin"/>
      </w:r>
      <w:r>
        <w:instrText xml:space="preserve"> PAGEREF _Toc20632 \h </w:instrText>
      </w:r>
      <w:r>
        <w:fldChar w:fldCharType="separate"/>
      </w:r>
      <w:r>
        <w:t>2</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_Toc2573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4.1 </w:t>
      </w:r>
      <w:r>
        <w:t>资料准备</w:t>
      </w:r>
      <w:r>
        <w:tab/>
      </w:r>
      <w:r>
        <w:fldChar w:fldCharType="begin"/>
      </w:r>
      <w:r>
        <w:instrText xml:space="preserve"> PAGEREF _Toc2573 \h </w:instrText>
      </w:r>
      <w:r>
        <w:fldChar w:fldCharType="separate"/>
      </w:r>
      <w:r>
        <w:t>2</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_Toc4433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4.2 </w:t>
      </w:r>
      <w:r>
        <w:t>井眼准备</w:t>
      </w:r>
      <w:r>
        <w:tab/>
      </w:r>
      <w:r>
        <w:fldChar w:fldCharType="begin"/>
      </w:r>
      <w:r>
        <w:instrText xml:space="preserve"> PAGEREF _Toc4433 \h </w:instrText>
      </w:r>
      <w:r>
        <w:fldChar w:fldCharType="separate"/>
      </w:r>
      <w:r>
        <w:t>2</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_Toc31499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4.3 </w:t>
      </w:r>
      <w:r>
        <w:t>套管头穿越准备</w:t>
      </w:r>
      <w:r>
        <w:tab/>
      </w:r>
      <w:r>
        <w:fldChar w:fldCharType="begin"/>
      </w:r>
      <w:r>
        <w:instrText xml:space="preserve"> PAGEREF _Toc31499 \h </w:instrText>
      </w:r>
      <w:r>
        <w:fldChar w:fldCharType="separate"/>
      </w:r>
      <w:r>
        <w:t>2</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_Toc12287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4.4 </w:t>
      </w:r>
      <w:r>
        <w:t>光缆及光缆附件准备</w:t>
      </w:r>
      <w:r>
        <w:tab/>
      </w:r>
      <w:r>
        <w:fldChar w:fldCharType="begin"/>
      </w:r>
      <w:r>
        <w:instrText xml:space="preserve"> PAGEREF _Toc12287 \h </w:instrText>
      </w:r>
      <w:r>
        <w:fldChar w:fldCharType="separate"/>
      </w:r>
      <w:r>
        <w:t>3</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_Toc10411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4.5 </w:t>
      </w:r>
      <w:r>
        <w:rPr>
          <w:rFonts w:hint="eastAsia"/>
        </w:rPr>
        <w:t>下井</w:t>
      </w:r>
      <w:r>
        <w:t>工具及附件准备</w:t>
      </w:r>
      <w:r>
        <w:tab/>
      </w:r>
      <w:r>
        <w:fldChar w:fldCharType="begin"/>
      </w:r>
      <w:r>
        <w:instrText xml:space="preserve"> PAGEREF _Toc10411 \h </w:instrText>
      </w:r>
      <w:r>
        <w:fldChar w:fldCharType="separate"/>
      </w:r>
      <w:r>
        <w:t>3</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_Toc28222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4.6 </w:t>
      </w:r>
      <w:r>
        <w:rPr>
          <w:rFonts w:hint="eastAsia"/>
        </w:rPr>
        <w:t>光缆检测</w:t>
      </w:r>
      <w:r>
        <w:t>工具及附件准备</w:t>
      </w:r>
      <w:r>
        <w:tab/>
      </w:r>
      <w:r>
        <w:fldChar w:fldCharType="begin"/>
      </w:r>
      <w:r>
        <w:instrText xml:space="preserve"> PAGEREF _Toc28222 \h </w:instrText>
      </w:r>
      <w:r>
        <w:fldChar w:fldCharType="separate"/>
      </w:r>
      <w:r>
        <w:t>3</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_Toc27691 </w:instrText>
      </w:r>
      <w:r>
        <w:rPr>
          <w:rFonts w:ascii="Times New Roman"/>
          <w:kern w:val="2"/>
          <w:szCs w:val="21"/>
        </w:rPr>
        <w:fldChar w:fldCharType="separate"/>
      </w:r>
      <w:r>
        <w:rPr>
          <w:rFonts w:hint="eastAsia" w:ascii="黑体" w:hAnsi="Times New Roman" w:eastAsia="黑体"/>
          <w:i w:val="0"/>
          <w:szCs w:val="21"/>
        </w:rPr>
        <w:t xml:space="preserve">5 </w:t>
      </w:r>
      <w:r>
        <w:rPr>
          <w:rFonts w:hint="eastAsia"/>
        </w:rPr>
        <w:t>光缆安置设计</w:t>
      </w:r>
      <w:r>
        <w:tab/>
      </w:r>
      <w:r>
        <w:fldChar w:fldCharType="begin"/>
      </w:r>
      <w:r>
        <w:instrText xml:space="preserve"> PAGEREF _Toc27691 \h </w:instrText>
      </w:r>
      <w:r>
        <w:fldChar w:fldCharType="separate"/>
      </w:r>
      <w:r>
        <w:t>3</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_Toc11811 </w:instrText>
      </w:r>
      <w:r>
        <w:rPr>
          <w:rFonts w:ascii="Times New Roman"/>
          <w:kern w:val="2"/>
          <w:szCs w:val="21"/>
        </w:rPr>
        <w:fldChar w:fldCharType="separate"/>
      </w:r>
      <w:r>
        <w:rPr>
          <w:rFonts w:hint="eastAsia" w:ascii="黑体" w:hAnsi="Times New Roman" w:eastAsia="黑体"/>
          <w:i w:val="0"/>
          <w:szCs w:val="21"/>
        </w:rPr>
        <w:t xml:space="preserve">6 </w:t>
      </w:r>
      <w:r>
        <w:rPr>
          <w:rFonts w:hint="eastAsia"/>
        </w:rPr>
        <w:t>光缆安置</w:t>
      </w:r>
      <w:r>
        <w:tab/>
      </w:r>
      <w:r>
        <w:fldChar w:fldCharType="begin"/>
      </w:r>
      <w:r>
        <w:instrText xml:space="preserve"> PAGEREF _Toc11811 \h </w:instrText>
      </w:r>
      <w:r>
        <w:fldChar w:fldCharType="separate"/>
      </w:r>
      <w:r>
        <w:t>4</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_Toc32242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6.1 </w:t>
      </w:r>
      <w:r>
        <w:t>交底协调</w:t>
      </w:r>
      <w:r>
        <w:tab/>
      </w:r>
      <w:r>
        <w:fldChar w:fldCharType="begin"/>
      </w:r>
      <w:r>
        <w:instrText xml:space="preserve"> PAGEREF _Toc32242 \h </w:instrText>
      </w:r>
      <w:r>
        <w:fldChar w:fldCharType="separate"/>
      </w:r>
      <w:r>
        <w:t>4</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_Toc12942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6.2 </w:t>
      </w:r>
      <w:r>
        <w:t>光缆下井</w:t>
      </w:r>
      <w:r>
        <w:tab/>
      </w:r>
      <w:r>
        <w:fldChar w:fldCharType="begin"/>
      </w:r>
      <w:r>
        <w:instrText xml:space="preserve"> PAGEREF _Toc12942 \h </w:instrText>
      </w:r>
      <w:r>
        <w:fldChar w:fldCharType="separate"/>
      </w:r>
      <w:r>
        <w:t>4</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_Toc14608 </w:instrText>
      </w:r>
      <w:r>
        <w:rPr>
          <w:rFonts w:ascii="Times New Roman"/>
          <w:kern w:val="2"/>
          <w:szCs w:val="21"/>
        </w:rPr>
        <w:fldChar w:fldCharType="separate"/>
      </w:r>
      <w:r>
        <w:rPr>
          <w:rFonts w:hint="eastAsia" w:ascii="黑体" w:hAnsi="Times New Roman" w:eastAsia="黑体"/>
          <w:i w:val="0"/>
          <w:szCs w:val="21"/>
        </w:rPr>
        <w:t xml:space="preserve">7 </w:t>
      </w:r>
      <w:r>
        <w:rPr>
          <w:rFonts w:hint="eastAsia"/>
        </w:rPr>
        <w:t>H</w:t>
      </w:r>
      <w:r>
        <w:t>SE</w:t>
      </w:r>
      <w:r>
        <w:rPr>
          <w:rFonts w:hint="eastAsia"/>
        </w:rPr>
        <w:t>管理</w:t>
      </w:r>
      <w:r>
        <w:tab/>
      </w:r>
      <w:r>
        <w:fldChar w:fldCharType="begin"/>
      </w:r>
      <w:r>
        <w:instrText xml:space="preserve"> PAGEREF _Toc14608 \h </w:instrText>
      </w:r>
      <w:r>
        <w:fldChar w:fldCharType="separate"/>
      </w:r>
      <w:r>
        <w:t>4</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_Toc18238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7.1 </w:t>
      </w:r>
      <w:r>
        <w:t>质量管理</w:t>
      </w:r>
      <w:r>
        <w:tab/>
      </w:r>
      <w:r>
        <w:fldChar w:fldCharType="begin"/>
      </w:r>
      <w:r>
        <w:instrText xml:space="preserve"> PAGEREF _Toc18238 \h </w:instrText>
      </w:r>
      <w:r>
        <w:fldChar w:fldCharType="separate"/>
      </w:r>
      <w:r>
        <w:t>4</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_Toc19335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7.2 </w:t>
      </w:r>
      <w:r>
        <w:t>安全管理</w:t>
      </w:r>
      <w:r>
        <w:tab/>
      </w:r>
      <w:r>
        <w:fldChar w:fldCharType="begin"/>
      </w:r>
      <w:r>
        <w:instrText xml:space="preserve"> PAGEREF _Toc19335 \h </w:instrText>
      </w:r>
      <w:r>
        <w:fldChar w:fldCharType="separate"/>
      </w:r>
      <w:r>
        <w:t>5</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_Toc13922 </w:instrText>
      </w:r>
      <w:r>
        <w:rPr>
          <w:rFonts w:ascii="Times New Roman"/>
          <w:kern w:val="2"/>
          <w:szCs w:val="21"/>
        </w:rPr>
        <w:fldChar w:fldCharType="separate"/>
      </w:r>
      <w:r>
        <w:rPr>
          <w:rFonts w:hint="eastAsia" w:ascii="黑体" w:hAnsi="Times New Roman" w:eastAsia="黑体"/>
          <w:i w:val="0"/>
          <w:szCs w:val="21"/>
        </w:rPr>
        <w:t xml:space="preserve">8 </w:t>
      </w:r>
      <w:r>
        <w:rPr>
          <w:rFonts w:hint="eastAsia"/>
        </w:rPr>
        <w:t>成果总结</w:t>
      </w:r>
      <w:r>
        <w:tab/>
      </w:r>
      <w:r>
        <w:fldChar w:fldCharType="begin"/>
      </w:r>
      <w:r>
        <w:instrText xml:space="preserve"> PAGEREF _Toc13922 \h </w:instrText>
      </w:r>
      <w:r>
        <w:fldChar w:fldCharType="separate"/>
      </w:r>
      <w:r>
        <w:t>5</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_Toc16925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8.1 </w:t>
      </w:r>
      <w:r>
        <w:rPr>
          <w:rFonts w:hint="eastAsia"/>
        </w:rPr>
        <w:t>总结报告编写</w:t>
      </w:r>
      <w:r>
        <w:tab/>
      </w:r>
      <w:r>
        <w:fldChar w:fldCharType="begin"/>
      </w:r>
      <w:r>
        <w:instrText xml:space="preserve"> PAGEREF _Toc16925 \h </w:instrText>
      </w:r>
      <w:r>
        <w:fldChar w:fldCharType="separate"/>
      </w:r>
      <w:r>
        <w:t>5</w:t>
      </w:r>
      <w:r>
        <w:fldChar w:fldCharType="end"/>
      </w:r>
      <w:r>
        <w:rPr>
          <w:rFonts w:ascii="Times New Roman"/>
          <w:kern w:val="2"/>
          <w:szCs w:val="21"/>
        </w:rPr>
        <w:fldChar w:fldCharType="end"/>
      </w:r>
    </w:p>
    <w:p>
      <w:pPr>
        <w:pStyle w:val="10"/>
        <w:tabs>
          <w:tab w:val="right" w:leader="dot" w:pos="9355"/>
        </w:tabs>
      </w:pPr>
      <w:r>
        <w:rPr>
          <w:rFonts w:ascii="Times New Roman"/>
          <w:kern w:val="2"/>
          <w:szCs w:val="21"/>
        </w:rPr>
        <w:fldChar w:fldCharType="begin"/>
      </w:r>
      <w:r>
        <w:rPr>
          <w:rFonts w:ascii="Times New Roman"/>
          <w:kern w:val="2"/>
          <w:szCs w:val="21"/>
        </w:rPr>
        <w:instrText xml:space="preserve"> HYPERLINK \l _Toc24499 </w:instrText>
      </w:r>
      <w:r>
        <w:rPr>
          <w:rFonts w:ascii="Times New Roman"/>
          <w:kern w:val="2"/>
          <w:szCs w:val="21"/>
        </w:rP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8.2 </w:t>
      </w:r>
      <w:r>
        <w:rPr>
          <w:rFonts w:hint="eastAsia"/>
        </w:rPr>
        <w:t>资料归档</w:t>
      </w:r>
      <w:r>
        <w:tab/>
      </w:r>
      <w:r>
        <w:fldChar w:fldCharType="begin"/>
      </w:r>
      <w:r>
        <w:instrText xml:space="preserve"> PAGEREF _Toc24499 \h </w:instrText>
      </w:r>
      <w:r>
        <w:fldChar w:fldCharType="separate"/>
      </w:r>
      <w:r>
        <w:t>5</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_Toc5006 </w:instrText>
      </w:r>
      <w:r>
        <w:rPr>
          <w:rFonts w:ascii="Times New Roman"/>
          <w:kern w:val="2"/>
          <w:szCs w:val="21"/>
        </w:rPr>
        <w:fldChar w:fldCharType="separate"/>
      </w:r>
      <w:r>
        <w:rPr>
          <w:rFonts w:ascii="Times New Roman"/>
        </w:rPr>
        <w:t>附 录 A</w:t>
      </w:r>
      <w:r>
        <w:tab/>
      </w:r>
      <w:r>
        <w:fldChar w:fldCharType="begin"/>
      </w:r>
      <w:r>
        <w:instrText xml:space="preserve"> PAGEREF _Toc5006 \h </w:instrText>
      </w:r>
      <w:r>
        <w:fldChar w:fldCharType="separate"/>
      </w:r>
      <w:r>
        <w:t>6</w:t>
      </w:r>
      <w:r>
        <w:fldChar w:fldCharType="end"/>
      </w:r>
      <w:r>
        <w:rPr>
          <w:rFonts w:ascii="Times New Roman"/>
          <w:kern w:val="2"/>
          <w:szCs w:val="21"/>
        </w:rPr>
        <w:fldChar w:fldCharType="end"/>
      </w:r>
    </w:p>
    <w:p>
      <w:pPr>
        <w:pStyle w:val="16"/>
        <w:tabs>
          <w:tab w:val="right" w:leader="dot" w:pos="9355"/>
        </w:tabs>
      </w:pPr>
      <w:r>
        <w:rPr>
          <w:rFonts w:ascii="Times New Roman"/>
          <w:kern w:val="2"/>
          <w:szCs w:val="21"/>
        </w:rPr>
        <w:fldChar w:fldCharType="begin"/>
      </w:r>
      <w:r>
        <w:rPr>
          <w:rFonts w:ascii="Times New Roman"/>
          <w:kern w:val="2"/>
          <w:szCs w:val="21"/>
        </w:rPr>
        <w:instrText xml:space="preserve"> HYPERLINK \l _Toc9564 </w:instrText>
      </w:r>
      <w:r>
        <w:rPr>
          <w:rFonts w:ascii="Times New Roman"/>
          <w:kern w:val="2"/>
          <w:szCs w:val="21"/>
        </w:rPr>
        <w:fldChar w:fldCharType="separate"/>
      </w:r>
      <w:r>
        <w:rPr>
          <w:rFonts w:ascii="Times New Roman" w:eastAsia="黑体"/>
        </w:rPr>
        <w:t>套管外</w:t>
      </w:r>
      <w:r>
        <w:rPr>
          <w:rFonts w:hint="eastAsia" w:ascii="Times New Roman" w:eastAsia="黑体"/>
        </w:rPr>
        <w:t>光缆</w:t>
      </w:r>
      <w:r>
        <w:rPr>
          <w:rFonts w:ascii="Times New Roman" w:eastAsia="黑体"/>
        </w:rPr>
        <w:t>下井保护器（资料性附录）</w:t>
      </w:r>
      <w:r>
        <w:tab/>
      </w:r>
      <w:r>
        <w:fldChar w:fldCharType="begin"/>
      </w:r>
      <w:r>
        <w:instrText xml:space="preserve"> PAGEREF _Toc9564 \h </w:instrText>
      </w:r>
      <w:r>
        <w:fldChar w:fldCharType="separate"/>
      </w:r>
      <w:r>
        <w:t>6</w:t>
      </w:r>
      <w:r>
        <w:fldChar w:fldCharType="end"/>
      </w:r>
      <w:r>
        <w:rPr>
          <w:rFonts w:ascii="Times New Roman"/>
          <w:kern w:val="2"/>
          <w:szCs w:val="21"/>
        </w:rPr>
        <w:fldChar w:fldCharType="end"/>
      </w:r>
    </w:p>
    <w:p>
      <w:pPr>
        <w:pStyle w:val="27"/>
        <w:rPr>
          <w:rFonts w:ascii="Times New Roman"/>
        </w:rPr>
      </w:pPr>
      <w:r>
        <w:rPr>
          <w:rFonts w:ascii="Times New Roman"/>
          <w:kern w:val="2"/>
          <w:szCs w:val="21"/>
        </w:rPr>
        <w:fldChar w:fldCharType="end"/>
      </w:r>
    </w:p>
    <w:p>
      <w:pPr>
        <w:tabs>
          <w:tab w:val="left" w:pos="1851"/>
        </w:tabs>
      </w:pPr>
      <w:r>
        <w:tab/>
      </w:r>
    </w:p>
    <w:p>
      <w:pPr>
        <w:pStyle w:val="61"/>
        <w:tabs>
          <w:tab w:val="left" w:pos="932"/>
          <w:tab w:val="center" w:pos="4677"/>
        </w:tabs>
        <w:spacing w:before="851" w:after="680"/>
        <w:jc w:val="left"/>
        <w:rPr>
          <w:rFonts w:ascii="Times New Roman"/>
        </w:rPr>
      </w:pPr>
      <w:bookmarkStart w:id="16" w:name="_Toc320172523"/>
      <w:r>
        <w:rPr>
          <w:rFonts w:ascii="Times New Roman"/>
        </w:rPr>
        <w:tab/>
      </w:r>
      <w:r>
        <w:rPr>
          <w:rFonts w:ascii="Times New Roman"/>
        </w:rPr>
        <w:tab/>
      </w:r>
      <w:bookmarkStart w:id="17" w:name="_Toc6579"/>
      <w:r>
        <w:rPr>
          <w:rFonts w:ascii="Times New Roman"/>
        </w:rPr>
        <w:t>前</w:t>
      </w:r>
      <w:bookmarkStart w:id="18" w:name="BKQY"/>
      <w:r>
        <w:rPr>
          <w:rFonts w:ascii="Times New Roman"/>
        </w:rPr>
        <w:t xml:space="preserve">  言</w:t>
      </w:r>
      <w:bookmarkEnd w:id="4"/>
      <w:bookmarkEnd w:id="5"/>
      <w:bookmarkEnd w:id="6"/>
      <w:bookmarkEnd w:id="7"/>
      <w:bookmarkEnd w:id="8"/>
      <w:bookmarkEnd w:id="9"/>
      <w:bookmarkEnd w:id="10"/>
      <w:bookmarkEnd w:id="11"/>
      <w:bookmarkEnd w:id="12"/>
      <w:bookmarkEnd w:id="13"/>
      <w:bookmarkEnd w:id="14"/>
      <w:bookmarkEnd w:id="16"/>
      <w:bookmarkEnd w:id="17"/>
      <w:bookmarkEnd w:id="18"/>
    </w:p>
    <w:p>
      <w:pPr>
        <w:pStyle w:val="27"/>
      </w:pPr>
      <w:r>
        <w:rPr>
          <w:rFonts w:hint="eastAsia"/>
        </w:rPr>
        <w:t>本文件按照GB</w:t>
      </w:r>
      <w:r>
        <w:rPr>
          <w:rFonts w:hint="eastAsia"/>
          <w:lang w:val="en-GB"/>
        </w:rPr>
        <w:t>/</w:t>
      </w:r>
      <w:r>
        <w:rPr>
          <w:lang w:val="en-GB"/>
        </w:rPr>
        <w:t>T 1.1</w:t>
      </w:r>
      <w:r>
        <w:rPr>
          <w:rFonts w:hint="eastAsia"/>
          <w:lang w:val="en-GB"/>
        </w:rPr>
        <w:t>—</w:t>
      </w:r>
      <w:r>
        <w:rPr>
          <w:rFonts w:hint="eastAsia"/>
        </w:rPr>
        <w:t>2020《标准化工作导则　第1部分：标准化文件的结构和起草规则》的规定起草。</w:t>
      </w:r>
    </w:p>
    <w:p>
      <w:pPr>
        <w:pStyle w:val="27"/>
      </w:pPr>
      <w:r>
        <w:rPr>
          <w:rFonts w:hint="eastAsia" w:hAnsi="宋体"/>
        </w:rPr>
        <w:t>请注意本文件的某些内容可能涉及专利。本文件的发布机构不承担识别专利的责任</w:t>
      </w:r>
      <w:r>
        <w:rPr>
          <w:rFonts w:hint="eastAsia"/>
        </w:rPr>
        <w:t>。</w:t>
      </w:r>
    </w:p>
    <w:p>
      <w:pPr>
        <w:pStyle w:val="27"/>
      </w:pPr>
      <w:r>
        <w:rPr>
          <w:rFonts w:hint="eastAsia"/>
        </w:rPr>
        <w:t>本文件由中国光学工程学会标准化技术委员会提出并归口。</w:t>
      </w:r>
    </w:p>
    <w:p>
      <w:pPr>
        <w:pStyle w:val="27"/>
        <w:spacing w:line="276" w:lineRule="auto"/>
      </w:pPr>
      <w:r>
        <w:rPr>
          <w:rFonts w:hint="eastAsia"/>
        </w:rPr>
        <w:t>本文件起草单位：中国石油集团东方地球物理勘探有限责任公司、中油奥博（成都）科技有限公司、中国石油股份公司浙江油田分公司、电子科技大学、江苏华能电缆股份有限公司、艾菲博（宁波）光电科技有限责任公司、上海先权光纤科技有限公司。</w:t>
      </w:r>
    </w:p>
    <w:p>
      <w:pPr>
        <w:pStyle w:val="27"/>
        <w:sectPr>
          <w:headerReference r:id="rId8" w:type="default"/>
          <w:footerReference r:id="rId9" w:type="default"/>
          <w:pgSz w:w="11906" w:h="16838"/>
          <w:pgMar w:top="567" w:right="1134" w:bottom="1134" w:left="1417" w:header="1418" w:footer="1134" w:gutter="0"/>
          <w:pgNumType w:fmt="upperRoman" w:start="1"/>
          <w:cols w:space="720" w:num="1"/>
          <w:formProt w:val="0"/>
          <w:docGrid w:type="lines" w:linePitch="312" w:charSpace="0"/>
        </w:sectPr>
      </w:pPr>
      <w:r>
        <w:rPr>
          <w:rFonts w:hint="eastAsia"/>
        </w:rPr>
        <w:t>本文件主要起草人：王松、余刚、冉曾令、安树杰、张仁志、黄 冬、周顺明、乔文玮。</w:t>
      </w:r>
    </w:p>
    <w:p>
      <w:pPr>
        <w:spacing w:before="851" w:after="680"/>
        <w:jc w:val="center"/>
        <w:rPr>
          <w:rFonts w:eastAsia="黑体"/>
          <w:sz w:val="32"/>
          <w:szCs w:val="21"/>
        </w:rPr>
      </w:pPr>
      <w:r>
        <w:rPr>
          <w:rFonts w:hint="eastAsia" w:eastAsia="黑体"/>
          <w:sz w:val="32"/>
          <w:szCs w:val="21"/>
        </w:rPr>
        <w:t>井下套管外永置式光缆安装通用方法</w:t>
      </w:r>
    </w:p>
    <w:p>
      <w:pPr>
        <w:pStyle w:val="54"/>
        <w:numPr>
          <w:ilvl w:val="0"/>
          <w:numId w:val="2"/>
        </w:numPr>
      </w:pPr>
      <w:bookmarkStart w:id="19" w:name="_Toc95979234"/>
      <w:bookmarkStart w:id="20" w:name="_Toc95922917"/>
      <w:bookmarkStart w:id="21" w:name="_Toc95900049"/>
      <w:bookmarkStart w:id="22" w:name="_Toc95900555"/>
      <w:bookmarkStart w:id="23" w:name="_Toc120"/>
      <w:r>
        <w:rPr>
          <w:rFonts w:hint="eastAsia"/>
        </w:rPr>
        <w:t>范围</w:t>
      </w:r>
      <w:bookmarkEnd w:id="19"/>
      <w:bookmarkEnd w:id="20"/>
      <w:bookmarkEnd w:id="21"/>
      <w:bookmarkEnd w:id="22"/>
      <w:bookmarkEnd w:id="23"/>
    </w:p>
    <w:p>
      <w:pPr>
        <w:pStyle w:val="27"/>
        <w:spacing w:line="300" w:lineRule="auto"/>
        <w:rPr>
          <w:rFonts w:ascii="Times New Roman"/>
        </w:rPr>
      </w:pPr>
      <w:r>
        <w:rPr>
          <w:rFonts w:ascii="Times New Roman"/>
        </w:rPr>
        <w:t>本</w:t>
      </w:r>
      <w:r>
        <w:rPr>
          <w:rFonts w:hint="eastAsia" w:ascii="Times New Roman"/>
        </w:rPr>
        <w:t>文件</w:t>
      </w:r>
      <w:r>
        <w:rPr>
          <w:rFonts w:ascii="Times New Roman"/>
        </w:rPr>
        <w:t>规定了</w:t>
      </w:r>
      <w:r>
        <w:rPr>
          <w:rFonts w:hint="eastAsia" w:ascii="Times New Roman"/>
        </w:rPr>
        <w:t>井下套管外永置式光缆安装</w:t>
      </w:r>
      <w:r>
        <w:rPr>
          <w:rFonts w:ascii="Times New Roman"/>
        </w:rPr>
        <w:t>准备、基本作业流程、</w:t>
      </w:r>
      <w:r>
        <w:rPr>
          <w:rFonts w:hint="eastAsia" w:ascii="Times New Roman"/>
        </w:rPr>
        <w:t>设计编写、</w:t>
      </w:r>
      <w:r>
        <w:rPr>
          <w:rFonts w:ascii="Times New Roman"/>
        </w:rPr>
        <w:t>现场技术要求、质量评价、总结报告等要求。</w:t>
      </w:r>
    </w:p>
    <w:p>
      <w:pPr>
        <w:pStyle w:val="27"/>
        <w:spacing w:line="300" w:lineRule="auto"/>
        <w:rPr>
          <w:rFonts w:ascii="Times New Roman"/>
        </w:rPr>
      </w:pPr>
      <w:r>
        <w:rPr>
          <w:rFonts w:ascii="Times New Roman"/>
        </w:rPr>
        <w:t>本</w:t>
      </w:r>
      <w:r>
        <w:rPr>
          <w:rFonts w:hint="eastAsia" w:ascii="Times New Roman"/>
        </w:rPr>
        <w:t>文件</w:t>
      </w:r>
      <w:r>
        <w:rPr>
          <w:rFonts w:ascii="Times New Roman"/>
        </w:rPr>
        <w:t>适用于所有陆上直井、斜井、水平井的井下套管外永置式</w:t>
      </w:r>
      <w:r>
        <w:rPr>
          <w:rFonts w:hint="eastAsia" w:ascii="Times New Roman"/>
        </w:rPr>
        <w:t>光缆</w:t>
      </w:r>
      <w:r>
        <w:rPr>
          <w:rFonts w:ascii="Times New Roman"/>
        </w:rPr>
        <w:t>安装，海上</w:t>
      </w:r>
      <w:r>
        <w:rPr>
          <w:rFonts w:hint="eastAsia" w:ascii="Times New Roman"/>
        </w:rPr>
        <w:t>平台</w:t>
      </w:r>
      <w:r>
        <w:rPr>
          <w:rFonts w:ascii="Times New Roman"/>
        </w:rPr>
        <w:t>井下套管外永置式</w:t>
      </w:r>
      <w:r>
        <w:rPr>
          <w:rFonts w:hint="eastAsia" w:ascii="Times New Roman"/>
        </w:rPr>
        <w:t>光缆</w:t>
      </w:r>
      <w:r>
        <w:rPr>
          <w:rFonts w:ascii="Times New Roman"/>
        </w:rPr>
        <w:t>安装可以参照执行。</w:t>
      </w:r>
    </w:p>
    <w:p>
      <w:pPr>
        <w:pStyle w:val="54"/>
        <w:numPr>
          <w:ilvl w:val="0"/>
          <w:numId w:val="2"/>
        </w:numPr>
      </w:pPr>
      <w:bookmarkStart w:id="24" w:name="_Toc95900050"/>
      <w:bookmarkStart w:id="25" w:name="_Toc95900556"/>
      <w:bookmarkStart w:id="26" w:name="_Toc95922918"/>
      <w:bookmarkStart w:id="27" w:name="_Toc95979235"/>
      <w:bookmarkStart w:id="28" w:name="_Toc23851"/>
      <w:r>
        <w:rPr>
          <w:rFonts w:hint="eastAsia"/>
        </w:rPr>
        <w:t>规范性引用文件</w:t>
      </w:r>
      <w:bookmarkEnd w:id="24"/>
      <w:bookmarkEnd w:id="25"/>
      <w:bookmarkEnd w:id="26"/>
      <w:bookmarkEnd w:id="27"/>
      <w:bookmarkEnd w:id="28"/>
    </w:p>
    <w:p>
      <w:pPr>
        <w:pStyle w:val="27"/>
      </w:pPr>
      <w:r>
        <w:rPr>
          <w:rFonts w:hint="eastAsia"/>
        </w:rPr>
        <w:t>下列文件中的</w:t>
      </w:r>
      <w:r>
        <w:t>内容</w:t>
      </w:r>
      <w:r>
        <w:rPr>
          <w:rFonts w:hint="eastAsia"/>
        </w:rPr>
        <w:t>通</w:t>
      </w:r>
      <w:r>
        <w:t>过文</w:t>
      </w:r>
      <w:r>
        <w:rPr>
          <w:rFonts w:hint="eastAsia"/>
        </w:rPr>
        <w:t>中</w:t>
      </w:r>
      <w:r>
        <w:t>的</w:t>
      </w:r>
      <w:r>
        <w:rPr>
          <w:rFonts w:hint="eastAsia"/>
        </w:rPr>
        <w:t>规范</w:t>
      </w:r>
      <w:r>
        <w:t>性引</w:t>
      </w:r>
      <w:r>
        <w:rPr>
          <w:rFonts w:hint="eastAsia"/>
        </w:rPr>
        <w:t>用</w:t>
      </w:r>
      <w:r>
        <w:t>而构成</w:t>
      </w:r>
      <w:r>
        <w:rPr>
          <w:rFonts w:hint="eastAsia"/>
        </w:rPr>
        <w:t>本文件必不可少的条</w:t>
      </w:r>
      <w:r>
        <w:t>款</w:t>
      </w:r>
      <w:r>
        <w:rPr>
          <w:rFonts w:hint="eastAsia"/>
        </w:rPr>
        <w:t>。其中</w:t>
      </w:r>
      <w:r>
        <w:t>，</w:t>
      </w:r>
      <w:r>
        <w:rPr>
          <w:rFonts w:hint="eastAsia"/>
        </w:rPr>
        <w:t>注日期的引用文件，仅该日期对</w:t>
      </w:r>
      <w:r>
        <w:t>应</w:t>
      </w:r>
      <w:r>
        <w:rPr>
          <w:rFonts w:hint="eastAsia"/>
        </w:rPr>
        <w:t>的版本适用于本文件；不注日期的引用文件，其最新版本（包括所有的修改单）适用于本文件。</w:t>
      </w:r>
    </w:p>
    <w:p>
      <w:pPr>
        <w:pStyle w:val="27"/>
        <w:rPr>
          <w:rFonts w:ascii="Times New Roman"/>
        </w:rPr>
      </w:pPr>
      <w:r>
        <w:rPr>
          <w:rFonts w:ascii="Times New Roman"/>
        </w:rPr>
        <w:t>GB/T 19831.1 /ISO 10427-1 石油天然气工业 套管扶正器；</w:t>
      </w:r>
    </w:p>
    <w:p>
      <w:pPr>
        <w:pStyle w:val="27"/>
        <w:rPr>
          <w:rFonts w:ascii="Times New Roman"/>
        </w:rPr>
      </w:pPr>
      <w:r>
        <w:rPr>
          <w:rFonts w:ascii="Times New Roman"/>
        </w:rPr>
        <w:t>SY/T 5396 石油套管现场检验、运输与贮存；</w:t>
      </w:r>
    </w:p>
    <w:p>
      <w:pPr>
        <w:pStyle w:val="27"/>
        <w:rPr>
          <w:rFonts w:ascii="Times New Roman"/>
        </w:rPr>
      </w:pPr>
      <w:r>
        <w:rPr>
          <w:rFonts w:ascii="Times New Roman"/>
        </w:rPr>
        <w:t>SH/T 3426 石油化工钢制夹套管法兰；</w:t>
      </w:r>
    </w:p>
    <w:p>
      <w:pPr>
        <w:pStyle w:val="27"/>
        <w:rPr>
          <w:rFonts w:ascii="Times New Roman"/>
        </w:rPr>
      </w:pPr>
      <w:r>
        <w:rPr>
          <w:rFonts w:ascii="Times New Roman"/>
        </w:rPr>
        <w:t>SY/T 6789 套管头使用规范；</w:t>
      </w:r>
    </w:p>
    <w:p>
      <w:pPr>
        <w:pStyle w:val="27"/>
        <w:rPr>
          <w:rFonts w:ascii="Times New Roman"/>
        </w:rPr>
      </w:pPr>
      <w:r>
        <w:rPr>
          <w:rFonts w:ascii="Times New Roman"/>
        </w:rPr>
        <w:t>SY/T 6896.1 石油天然气工业特种管材技术规范 第1部分：套管钻井管柱；</w:t>
      </w:r>
    </w:p>
    <w:p>
      <w:pPr>
        <w:pStyle w:val="27"/>
        <w:rPr>
          <w:rFonts w:ascii="Times New Roman"/>
        </w:rPr>
      </w:pPr>
      <w:bookmarkStart w:id="29" w:name="_Hlk97563185"/>
      <w:r>
        <w:rPr>
          <w:rFonts w:ascii="Times New Roman"/>
        </w:rPr>
        <w:t>SY/T 5412</w:t>
      </w:r>
      <w:bookmarkEnd w:id="29"/>
      <w:r>
        <w:rPr>
          <w:rFonts w:ascii="Times New Roman"/>
        </w:rPr>
        <w:t xml:space="preserve"> 下套管作业规程；</w:t>
      </w:r>
    </w:p>
    <w:p>
      <w:pPr>
        <w:ind w:firstLine="420" w:firstLineChars="200"/>
      </w:pPr>
      <w:r>
        <w:t>SY/T 6426 钻井井控技术规程。</w:t>
      </w:r>
    </w:p>
    <w:p>
      <w:pPr>
        <w:pStyle w:val="54"/>
        <w:numPr>
          <w:ilvl w:val="0"/>
          <w:numId w:val="2"/>
        </w:numPr>
      </w:pPr>
      <w:bookmarkStart w:id="30" w:name="_Toc23871"/>
      <w:r>
        <w:rPr>
          <w:rFonts w:hint="eastAsia"/>
        </w:rPr>
        <w:t>术语和定义</w:t>
      </w:r>
      <w:bookmarkEnd w:id="30"/>
    </w:p>
    <w:p>
      <w:pPr>
        <w:pStyle w:val="27"/>
      </w:pPr>
      <w:r>
        <w:rPr>
          <w:rFonts w:hint="eastAsia"/>
        </w:rPr>
        <w:t>下列术语和定义适用于本文件。</w:t>
      </w:r>
    </w:p>
    <w:p>
      <w:pPr>
        <w:pStyle w:val="32"/>
        <w:numPr>
          <w:ilvl w:val="1"/>
          <w:numId w:val="2"/>
        </w:numPr>
      </w:pPr>
      <w:bookmarkStart w:id="31" w:name="_Toc32489"/>
      <w:bookmarkEnd w:id="31"/>
    </w:p>
    <w:p>
      <w:pPr>
        <w:ind w:firstLine="420" w:firstLineChars="200"/>
      </w:pPr>
      <w:r>
        <w:rPr>
          <w:rFonts w:hint="eastAsia"/>
        </w:rPr>
        <w:t xml:space="preserve">扶正器 </w:t>
      </w:r>
      <w:r>
        <w:t>Casing centralizer</w:t>
      </w:r>
    </w:p>
    <w:p>
      <w:pPr>
        <w:ind w:firstLine="420" w:firstLineChars="200"/>
      </w:pPr>
      <w:r>
        <w:rPr>
          <w:rFonts w:hint="eastAsia"/>
        </w:rPr>
        <w:t>光缆随油套管下井安装过程中，安装在套管接箍位置，保护光缆安全，保证套管居中的一种器件。</w:t>
      </w:r>
    </w:p>
    <w:p>
      <w:pPr>
        <w:pStyle w:val="32"/>
        <w:numPr>
          <w:ilvl w:val="1"/>
          <w:numId w:val="2"/>
        </w:numPr>
      </w:pPr>
      <w:bookmarkStart w:id="32" w:name="_Toc18155"/>
      <w:bookmarkEnd w:id="32"/>
    </w:p>
    <w:p>
      <w:pPr>
        <w:pStyle w:val="27"/>
        <w:rPr>
          <w:rFonts w:ascii="黑体" w:hAnsi="黑体" w:eastAsia="黑体"/>
        </w:rPr>
      </w:pPr>
      <w:r>
        <w:rPr>
          <w:rFonts w:hint="eastAsia" w:ascii="Times New Roman"/>
          <w:kern w:val="2"/>
          <w:szCs w:val="24"/>
        </w:rPr>
        <w:t>本体环</w:t>
      </w:r>
      <w:r>
        <w:rPr>
          <w:rFonts w:hint="eastAsia" w:ascii="黑体" w:hAnsi="黑体" w:eastAsia="黑体"/>
        </w:rPr>
        <w:t>　</w:t>
      </w:r>
      <w:r>
        <w:rPr>
          <w:rFonts w:ascii="Times New Roman"/>
          <w:kern w:val="2"/>
          <w:szCs w:val="24"/>
        </w:rPr>
        <w:t>Noumenon ring</w:t>
      </w:r>
    </w:p>
    <w:p>
      <w:pPr>
        <w:pStyle w:val="72"/>
      </w:pPr>
      <w:bookmarkStart w:id="33" w:name="_Toc95979238"/>
      <w:bookmarkEnd w:id="33"/>
      <w:bookmarkStart w:id="34" w:name="_Toc90037772"/>
      <w:bookmarkEnd w:id="34"/>
      <w:bookmarkStart w:id="35" w:name="_Toc92271956"/>
      <w:bookmarkEnd w:id="35"/>
      <w:bookmarkStart w:id="36" w:name="_Toc95922921"/>
      <w:bookmarkEnd w:id="36"/>
      <w:bookmarkStart w:id="37" w:name="_Toc95900559"/>
      <w:bookmarkEnd w:id="37"/>
      <w:r>
        <w:rPr>
          <w:rFonts w:hint="eastAsia"/>
        </w:rPr>
        <w:t>光缆随油套管下井安置过程中，安装在套管本体中部，保持光缆收紧，避免旋转的一种器件。</w:t>
      </w:r>
    </w:p>
    <w:p>
      <w:pPr>
        <w:pStyle w:val="32"/>
        <w:numPr>
          <w:ilvl w:val="1"/>
          <w:numId w:val="2"/>
        </w:numPr>
      </w:pPr>
      <w:bookmarkStart w:id="38" w:name="_Toc28626"/>
      <w:bookmarkEnd w:id="38"/>
    </w:p>
    <w:p>
      <w:pPr>
        <w:pStyle w:val="72"/>
      </w:pPr>
      <w:r>
        <w:rPr>
          <w:rFonts w:hint="eastAsia"/>
        </w:rPr>
        <w:t xml:space="preserve">单模光纤 </w:t>
      </w:r>
      <w:r>
        <w:rPr>
          <w:rFonts w:ascii="Arial" w:hAnsi="Arial" w:cs="Arial"/>
          <w:szCs w:val="21"/>
          <w:shd w:val="clear" w:color="auto" w:fill="FFFFFF"/>
        </w:rPr>
        <w:t>SingleMode</w:t>
      </w:r>
      <w:r>
        <w:rPr>
          <w:rFonts w:hint="eastAsia" w:ascii="Arial" w:hAnsi="Arial" w:cs="Arial"/>
          <w:szCs w:val="21"/>
          <w:shd w:val="clear" w:color="auto" w:fill="FFFFFF"/>
        </w:rPr>
        <w:t xml:space="preserve"> f</w:t>
      </w:r>
      <w:r>
        <w:rPr>
          <w:rFonts w:ascii="Arial" w:hAnsi="Arial" w:cs="Arial"/>
          <w:szCs w:val="21"/>
          <w:shd w:val="clear" w:color="auto" w:fill="FFFFFF"/>
        </w:rPr>
        <w:t>iber</w:t>
      </w:r>
    </w:p>
    <w:p>
      <w:pPr>
        <w:pStyle w:val="72"/>
      </w:pPr>
      <w:r>
        <w:rPr>
          <w:rFonts w:hint="eastAsia" w:ascii="Arial" w:hAnsi="Arial" w:cs="Arial"/>
          <w:szCs w:val="21"/>
          <w:shd w:val="clear" w:color="auto" w:fill="FFFFFF"/>
        </w:rPr>
        <w:t>只能传一种模式的光纤。</w:t>
      </w:r>
    </w:p>
    <w:p>
      <w:pPr>
        <w:pStyle w:val="32"/>
        <w:numPr>
          <w:ilvl w:val="1"/>
          <w:numId w:val="2"/>
        </w:numPr>
      </w:pPr>
      <w:bookmarkStart w:id="39" w:name="_Toc6793"/>
      <w:bookmarkEnd w:id="39"/>
    </w:p>
    <w:p>
      <w:pPr>
        <w:ind w:left="539"/>
      </w:pPr>
      <w:r>
        <w:rPr>
          <w:rFonts w:hint="eastAsia"/>
        </w:rPr>
        <w:t xml:space="preserve">多模光纤 </w:t>
      </w:r>
      <w:r>
        <w:rPr>
          <w:rFonts w:ascii="Arial" w:hAnsi="Arial" w:cs="Arial"/>
          <w:szCs w:val="21"/>
          <w:shd w:val="clear" w:color="auto" w:fill="FFFFFF"/>
        </w:rPr>
        <w:t>Multimode fiber</w:t>
      </w:r>
    </w:p>
    <w:p>
      <w:pPr>
        <w:pStyle w:val="72"/>
        <w:ind w:left="539" w:firstLine="0" w:firstLineChars="0"/>
        <w:rPr>
          <w:rFonts w:ascii="Arial" w:hAnsi="Arial" w:cs="Arial"/>
          <w:szCs w:val="21"/>
          <w:shd w:val="clear" w:color="auto" w:fill="FFFFFF"/>
        </w:rPr>
      </w:pPr>
      <w:r>
        <w:rPr>
          <w:rFonts w:ascii="Arial" w:hAnsi="Arial" w:cs="Arial"/>
          <w:szCs w:val="21"/>
          <w:shd w:val="clear" w:color="auto" w:fill="FFFFFF"/>
        </w:rPr>
        <w:t>容许不同模式的光</w:t>
      </w:r>
      <w:r>
        <w:rPr>
          <w:rFonts w:hint="eastAsia" w:ascii="Arial" w:hAnsi="Arial" w:cs="Arial"/>
          <w:szCs w:val="21"/>
          <w:shd w:val="clear" w:color="auto" w:fill="FFFFFF"/>
        </w:rPr>
        <w:t>在</w:t>
      </w:r>
      <w:r>
        <w:rPr>
          <w:rFonts w:ascii="Arial" w:hAnsi="Arial" w:cs="Arial"/>
          <w:szCs w:val="21"/>
          <w:shd w:val="clear" w:color="auto" w:fill="FFFFFF"/>
        </w:rPr>
        <w:t>一根光纤上传输</w:t>
      </w:r>
      <w:r>
        <w:rPr>
          <w:rFonts w:hint="eastAsia" w:ascii="Arial" w:hAnsi="Arial" w:cs="Arial"/>
          <w:szCs w:val="21"/>
          <w:shd w:val="clear" w:color="auto" w:fill="FFFFFF"/>
        </w:rPr>
        <w:t>的光纤。</w:t>
      </w:r>
    </w:p>
    <w:p>
      <w:pPr>
        <w:pStyle w:val="32"/>
        <w:numPr>
          <w:ilvl w:val="1"/>
          <w:numId w:val="2"/>
        </w:numPr>
      </w:pPr>
      <w:bookmarkStart w:id="40" w:name="_Toc29075"/>
      <w:bookmarkEnd w:id="40"/>
    </w:p>
    <w:p>
      <w:pPr>
        <w:ind w:left="539"/>
      </w:pPr>
      <w:r>
        <w:t>全角变化率</w:t>
      </w:r>
      <w:r>
        <w:rPr>
          <w:rFonts w:hint="eastAsia"/>
        </w:rPr>
        <w:t>O</w:t>
      </w:r>
      <w:r>
        <w:t>verall angle change rate</w:t>
      </w:r>
    </w:p>
    <w:p>
      <w:pPr>
        <w:ind w:left="539"/>
        <w:rPr>
          <w:rFonts w:ascii="Arial" w:hAnsi="Arial" w:cs="Arial"/>
          <w:szCs w:val="21"/>
          <w:shd w:val="clear" w:color="auto" w:fill="FFFFFF"/>
        </w:rPr>
      </w:pPr>
      <w:r>
        <w:rPr>
          <w:rFonts w:hint="eastAsia" w:ascii="Arial" w:hAnsi="Arial" w:cs="Arial"/>
          <w:szCs w:val="21"/>
          <w:shd w:val="clear" w:color="auto" w:fill="FFFFFF"/>
        </w:rPr>
        <w:t>从井眼内的一点到另一个点，井眼前进方向变化的角度。该角度既反映了井斜角度的变化，又反映了方位角度的变化，通常又叫全角变化率或井眼曲率。</w:t>
      </w:r>
    </w:p>
    <w:p>
      <w:pPr>
        <w:pStyle w:val="54"/>
        <w:numPr>
          <w:ilvl w:val="0"/>
          <w:numId w:val="2"/>
        </w:numPr>
      </w:pPr>
      <w:bookmarkStart w:id="41" w:name="_Toc20632"/>
      <w:r>
        <w:t>施工前的准备</w:t>
      </w:r>
      <w:bookmarkEnd w:id="41"/>
    </w:p>
    <w:p>
      <w:pPr>
        <w:pStyle w:val="32"/>
        <w:numPr>
          <w:ilvl w:val="1"/>
          <w:numId w:val="2"/>
        </w:numPr>
      </w:pPr>
      <w:bookmarkStart w:id="42" w:name="_Toc2573"/>
      <w:r>
        <w:t>资料准备</w:t>
      </w:r>
      <w:bookmarkEnd w:id="42"/>
    </w:p>
    <w:p>
      <w:pPr>
        <w:ind w:firstLine="420" w:firstLineChars="200"/>
        <w:rPr>
          <w:kern w:val="0"/>
          <w:szCs w:val="20"/>
        </w:rPr>
      </w:pPr>
      <w:r>
        <w:rPr>
          <w:kern w:val="0"/>
          <w:szCs w:val="20"/>
        </w:rPr>
        <w:t>套管外永置式</w:t>
      </w:r>
      <w:r>
        <w:rPr>
          <w:rFonts w:hint="eastAsia"/>
          <w:kern w:val="0"/>
          <w:szCs w:val="20"/>
        </w:rPr>
        <w:t>光缆</w:t>
      </w:r>
      <w:r>
        <w:rPr>
          <w:kern w:val="0"/>
          <w:szCs w:val="20"/>
        </w:rPr>
        <w:t>安装前应收集齐全</w:t>
      </w:r>
      <w:r>
        <w:rPr>
          <w:rFonts w:hint="eastAsia"/>
          <w:kern w:val="0"/>
          <w:szCs w:val="20"/>
        </w:rPr>
        <w:t>以下资料：</w:t>
      </w:r>
    </w:p>
    <w:p>
      <w:pPr>
        <w:pStyle w:val="27"/>
        <w:rPr>
          <w:rFonts w:ascii="Times New Roman"/>
        </w:rPr>
      </w:pPr>
      <w:r>
        <w:rPr>
          <w:rFonts w:hint="eastAsia" w:ascii="Times New Roman"/>
        </w:rPr>
        <w:t>a）钻井工程设计；</w:t>
      </w:r>
    </w:p>
    <w:p>
      <w:pPr>
        <w:pStyle w:val="27"/>
        <w:rPr>
          <w:rFonts w:ascii="Times New Roman"/>
        </w:rPr>
      </w:pPr>
      <w:r>
        <w:rPr>
          <w:rFonts w:hint="eastAsia" w:ascii="Times New Roman"/>
        </w:rPr>
        <w:t>b）钻井地质设计；</w:t>
      </w:r>
    </w:p>
    <w:p>
      <w:pPr>
        <w:pStyle w:val="27"/>
        <w:rPr>
          <w:rFonts w:ascii="Times New Roman"/>
        </w:rPr>
      </w:pPr>
      <w:r>
        <w:rPr>
          <w:rFonts w:hint="eastAsia" w:ascii="Times New Roman"/>
        </w:rPr>
        <w:t>c）实钻井眼轨迹数据；</w:t>
      </w:r>
    </w:p>
    <w:p>
      <w:pPr>
        <w:pStyle w:val="27"/>
        <w:rPr>
          <w:rFonts w:ascii="Times New Roman"/>
        </w:rPr>
      </w:pPr>
      <w:r>
        <w:rPr>
          <w:rFonts w:hint="eastAsia" w:ascii="Times New Roman"/>
        </w:rPr>
        <w:t>d）套管结构数据；</w:t>
      </w:r>
    </w:p>
    <w:p>
      <w:pPr>
        <w:pStyle w:val="27"/>
        <w:rPr>
          <w:rFonts w:ascii="Times New Roman"/>
        </w:rPr>
      </w:pPr>
      <w:r>
        <w:rPr>
          <w:rFonts w:hint="eastAsia" w:ascii="Times New Roman"/>
        </w:rPr>
        <w:t>e）电测井径数据。</w:t>
      </w:r>
    </w:p>
    <w:p>
      <w:pPr>
        <w:pStyle w:val="32"/>
        <w:numPr>
          <w:ilvl w:val="1"/>
          <w:numId w:val="2"/>
        </w:numPr>
      </w:pPr>
      <w:bookmarkStart w:id="43" w:name="_Toc4433"/>
      <w:r>
        <w:t>井眼准备</w:t>
      </w:r>
      <w:bookmarkEnd w:id="43"/>
    </w:p>
    <w:p>
      <w:pPr>
        <w:pStyle w:val="31"/>
        <w:numPr>
          <w:ilvl w:val="2"/>
          <w:numId w:val="2"/>
        </w:numPr>
        <w:spacing w:before="156" w:after="156"/>
      </w:pPr>
      <w:r>
        <w:rPr>
          <w:rFonts w:hint="eastAsia"/>
        </w:rPr>
        <w:t>完钻井深要求</w:t>
      </w:r>
    </w:p>
    <w:p>
      <w:pPr>
        <w:ind w:firstLine="420" w:firstLineChars="200"/>
        <w:rPr>
          <w:kern w:val="0"/>
          <w:szCs w:val="20"/>
        </w:rPr>
      </w:pPr>
      <w:r>
        <w:rPr>
          <w:kern w:val="0"/>
          <w:szCs w:val="20"/>
        </w:rPr>
        <w:t>完钻井深达到钻井设计要求，口袋应不小于15</w:t>
      </w:r>
      <w:r>
        <w:rPr>
          <w:rFonts w:hint="eastAsia"/>
          <w:kern w:val="0"/>
          <w:szCs w:val="20"/>
        </w:rPr>
        <w:t>m</w:t>
      </w:r>
      <w:r>
        <w:rPr>
          <w:kern w:val="0"/>
          <w:szCs w:val="20"/>
        </w:rPr>
        <w:t>。</w:t>
      </w:r>
    </w:p>
    <w:p>
      <w:pPr>
        <w:pStyle w:val="31"/>
        <w:numPr>
          <w:ilvl w:val="2"/>
          <w:numId w:val="2"/>
        </w:numPr>
        <w:spacing w:before="156" w:after="156"/>
      </w:pPr>
      <w:r>
        <w:rPr>
          <w:rFonts w:hint="eastAsia"/>
        </w:rPr>
        <w:t>井身要求</w:t>
      </w:r>
    </w:p>
    <w:p>
      <w:pPr>
        <w:pStyle w:val="27"/>
        <w:numPr>
          <w:ilvl w:val="0"/>
          <w:numId w:val="3"/>
        </w:numPr>
        <w:ind w:firstLineChars="0"/>
        <w:rPr>
          <w:rFonts w:ascii="Times New Roman"/>
        </w:rPr>
      </w:pPr>
      <w:r>
        <w:rPr>
          <w:rFonts w:hint="eastAsia" w:ascii="Times New Roman"/>
        </w:rPr>
        <w:t>井眼轨迹平滑；</w:t>
      </w:r>
    </w:p>
    <w:p>
      <w:pPr>
        <w:pStyle w:val="27"/>
        <w:numPr>
          <w:ilvl w:val="0"/>
          <w:numId w:val="3"/>
        </w:numPr>
        <w:ind w:firstLineChars="0"/>
        <w:rPr>
          <w:rFonts w:ascii="Times New Roman"/>
        </w:rPr>
      </w:pPr>
      <w:r>
        <w:rPr>
          <w:rFonts w:hint="eastAsia" w:ascii="Times New Roman"/>
        </w:rPr>
        <w:t>采用套管固井完井方式。</w:t>
      </w:r>
    </w:p>
    <w:p>
      <w:pPr>
        <w:pStyle w:val="31"/>
        <w:numPr>
          <w:ilvl w:val="2"/>
          <w:numId w:val="2"/>
        </w:numPr>
        <w:spacing w:before="156" w:after="156"/>
      </w:pPr>
      <w:r>
        <w:rPr>
          <w:rFonts w:hint="eastAsia"/>
        </w:rPr>
        <w:t>通井要求</w:t>
      </w:r>
    </w:p>
    <w:p>
      <w:pPr>
        <w:ind w:firstLine="420" w:firstLineChars="200"/>
        <w:rPr>
          <w:kern w:val="0"/>
          <w:szCs w:val="20"/>
        </w:rPr>
      </w:pPr>
      <w:r>
        <w:rPr>
          <w:rFonts w:hint="eastAsia"/>
          <w:kern w:val="0"/>
          <w:szCs w:val="20"/>
        </w:rPr>
        <w:t>通井要求按照</w:t>
      </w:r>
      <w:r>
        <w:rPr>
          <w:kern w:val="0"/>
          <w:szCs w:val="20"/>
        </w:rPr>
        <w:t>SY/T 5412</w:t>
      </w:r>
      <w:r>
        <w:rPr>
          <w:rFonts w:hint="eastAsia"/>
          <w:kern w:val="0"/>
          <w:szCs w:val="20"/>
        </w:rPr>
        <w:t>执行，还应包括以下内容：</w:t>
      </w:r>
    </w:p>
    <w:p>
      <w:pPr>
        <w:pStyle w:val="72"/>
        <w:numPr>
          <w:ilvl w:val="0"/>
          <w:numId w:val="4"/>
        </w:numPr>
        <w:ind w:firstLineChars="0"/>
        <w:rPr>
          <w:kern w:val="0"/>
          <w:szCs w:val="20"/>
        </w:rPr>
      </w:pPr>
      <w:r>
        <w:rPr>
          <w:kern w:val="0"/>
          <w:szCs w:val="20"/>
        </w:rPr>
        <w:t>下套管前，应</w:t>
      </w:r>
      <w:r>
        <w:rPr>
          <w:rFonts w:hint="eastAsia"/>
          <w:kern w:val="0"/>
          <w:szCs w:val="20"/>
        </w:rPr>
        <w:t>采用2个通井</w:t>
      </w:r>
      <w:r>
        <w:rPr>
          <w:kern w:val="0"/>
          <w:szCs w:val="20"/>
        </w:rPr>
        <w:t>扶正器通井</w:t>
      </w:r>
      <w:r>
        <w:rPr>
          <w:rFonts w:hint="eastAsia"/>
          <w:kern w:val="0"/>
          <w:szCs w:val="20"/>
        </w:rPr>
        <w:t>；</w:t>
      </w:r>
    </w:p>
    <w:p>
      <w:pPr>
        <w:pStyle w:val="72"/>
        <w:numPr>
          <w:ilvl w:val="0"/>
          <w:numId w:val="4"/>
        </w:numPr>
        <w:ind w:firstLineChars="0"/>
        <w:rPr>
          <w:kern w:val="0"/>
          <w:szCs w:val="20"/>
        </w:rPr>
      </w:pPr>
      <w:r>
        <w:rPr>
          <w:rFonts w:hint="eastAsia"/>
          <w:kern w:val="0"/>
          <w:szCs w:val="20"/>
        </w:rPr>
        <w:t>通井规尺寸宜采用小于井眼尺寸</w:t>
      </w:r>
      <w:r>
        <w:rPr>
          <w:kern w:val="0"/>
          <w:szCs w:val="20"/>
        </w:rPr>
        <w:t>3</w:t>
      </w:r>
      <w:r>
        <w:rPr>
          <w:rFonts w:hint="eastAsia"/>
          <w:kern w:val="0"/>
          <w:szCs w:val="20"/>
        </w:rPr>
        <w:t>-</w:t>
      </w:r>
      <w:r>
        <w:rPr>
          <w:kern w:val="0"/>
          <w:szCs w:val="20"/>
        </w:rPr>
        <w:t>5</w:t>
      </w:r>
      <w:r>
        <w:rPr>
          <w:rFonts w:hint="eastAsia"/>
          <w:kern w:val="0"/>
          <w:szCs w:val="20"/>
        </w:rPr>
        <w:t>mm；</w:t>
      </w:r>
    </w:p>
    <w:p>
      <w:pPr>
        <w:pStyle w:val="27"/>
        <w:rPr>
          <w:rFonts w:ascii="Times New Roman"/>
        </w:rPr>
      </w:pPr>
      <w:r>
        <w:rPr>
          <w:rFonts w:hint="eastAsia" w:ascii="Times New Roman"/>
        </w:rPr>
        <w:t>c</w:t>
      </w:r>
      <w:r>
        <w:rPr>
          <w:rFonts w:ascii="Times New Roman"/>
        </w:rPr>
        <w:t>）通井到底，井眼畅通无阻</w:t>
      </w:r>
      <w:r>
        <w:rPr>
          <w:rFonts w:hint="eastAsia" w:ascii="Times New Roman"/>
        </w:rPr>
        <w:t>；</w:t>
      </w:r>
    </w:p>
    <w:p>
      <w:pPr>
        <w:pStyle w:val="27"/>
        <w:rPr>
          <w:rFonts w:ascii="Times New Roman"/>
        </w:rPr>
      </w:pPr>
      <w:r>
        <w:rPr>
          <w:rFonts w:hint="eastAsia" w:ascii="Times New Roman"/>
        </w:rPr>
        <w:t>d</w:t>
      </w:r>
      <w:r>
        <w:rPr>
          <w:rFonts w:ascii="Times New Roman"/>
        </w:rPr>
        <w:t>）按设计排量循环钻井液不少于两周，保持井眼清洁干净</w:t>
      </w:r>
      <w:r>
        <w:rPr>
          <w:rFonts w:hint="eastAsia" w:ascii="Times New Roman"/>
        </w:rPr>
        <w:t>；</w:t>
      </w:r>
    </w:p>
    <w:p>
      <w:pPr>
        <w:pStyle w:val="27"/>
        <w:rPr>
          <w:rFonts w:ascii="Times New Roman"/>
        </w:rPr>
      </w:pPr>
      <w:r>
        <w:rPr>
          <w:rFonts w:hint="eastAsia" w:ascii="Times New Roman"/>
        </w:rPr>
        <w:t>e</w:t>
      </w:r>
      <w:r>
        <w:rPr>
          <w:rFonts w:ascii="Times New Roman"/>
        </w:rPr>
        <w:t>）与井队沟通岩屑返出情况，判断井壁是否稳定</w:t>
      </w:r>
      <w:r>
        <w:rPr>
          <w:rFonts w:hint="eastAsia" w:ascii="Times New Roman"/>
        </w:rPr>
        <w:t>；</w:t>
      </w:r>
    </w:p>
    <w:p>
      <w:pPr>
        <w:pStyle w:val="27"/>
        <w:rPr>
          <w:rFonts w:ascii="Times New Roman"/>
        </w:rPr>
      </w:pPr>
      <w:r>
        <w:rPr>
          <w:rFonts w:hint="eastAsia" w:ascii="Times New Roman"/>
        </w:rPr>
        <w:t>f</w:t>
      </w:r>
      <w:r>
        <w:rPr>
          <w:rFonts w:ascii="Times New Roman"/>
        </w:rPr>
        <w:t>）调整好钻井液性能，达到井口无溢流和井筒不漏失</w:t>
      </w:r>
      <w:r>
        <w:rPr>
          <w:rFonts w:hint="eastAsia" w:ascii="Times New Roman"/>
        </w:rPr>
        <w:t>；</w:t>
      </w:r>
    </w:p>
    <w:p>
      <w:pPr>
        <w:pStyle w:val="27"/>
        <w:rPr>
          <w:rFonts w:ascii="Times New Roman"/>
        </w:rPr>
      </w:pPr>
      <w:r>
        <w:rPr>
          <w:rFonts w:hint="eastAsia" w:ascii="Times New Roman"/>
        </w:rPr>
        <w:t>g</w:t>
      </w:r>
      <w:r>
        <w:rPr>
          <w:rFonts w:ascii="Times New Roman"/>
        </w:rPr>
        <w:t>）对于定向井、水平井、大位移井应分段循环，彻底清除岩屑床；起钻前注入含润滑剂的钻井液。</w:t>
      </w:r>
    </w:p>
    <w:p>
      <w:pPr>
        <w:pStyle w:val="31"/>
        <w:numPr>
          <w:ilvl w:val="2"/>
          <w:numId w:val="2"/>
        </w:numPr>
        <w:spacing w:before="156" w:after="156"/>
      </w:pPr>
      <w:r>
        <w:rPr>
          <w:rFonts w:hint="eastAsia"/>
        </w:rPr>
        <w:t>其他要求</w:t>
      </w:r>
    </w:p>
    <w:p>
      <w:pPr>
        <w:ind w:firstLine="420" w:firstLineChars="200"/>
        <w:rPr>
          <w:kern w:val="0"/>
          <w:szCs w:val="20"/>
        </w:rPr>
      </w:pPr>
      <w:r>
        <w:rPr>
          <w:kern w:val="0"/>
          <w:szCs w:val="20"/>
        </w:rPr>
        <w:t>下列井段应下钻重点扩划眼并短程起下钻，确保下套管畅通无阻：</w:t>
      </w:r>
    </w:p>
    <w:p>
      <w:pPr>
        <w:ind w:firstLine="420" w:firstLineChars="200"/>
        <w:rPr>
          <w:kern w:val="0"/>
          <w:szCs w:val="20"/>
        </w:rPr>
      </w:pPr>
      <w:r>
        <w:rPr>
          <w:kern w:val="0"/>
          <w:szCs w:val="20"/>
        </w:rPr>
        <w:t>a）电测井径小于钻头名义直径井段。</w:t>
      </w:r>
    </w:p>
    <w:p>
      <w:pPr>
        <w:ind w:firstLine="420" w:firstLineChars="200"/>
        <w:rPr>
          <w:kern w:val="0"/>
          <w:szCs w:val="20"/>
        </w:rPr>
      </w:pPr>
      <w:r>
        <w:rPr>
          <w:kern w:val="0"/>
          <w:szCs w:val="20"/>
        </w:rPr>
        <w:t>b）起下钻遇阻、遇卡井段。</w:t>
      </w:r>
    </w:p>
    <w:p>
      <w:pPr>
        <w:ind w:firstLine="420" w:firstLineChars="200"/>
        <w:rPr>
          <w:kern w:val="0"/>
          <w:szCs w:val="20"/>
        </w:rPr>
      </w:pPr>
      <w:r>
        <w:rPr>
          <w:kern w:val="0"/>
          <w:szCs w:val="20"/>
        </w:rPr>
        <w:t>c）全角变化率超过设计规定的井段。</w:t>
      </w:r>
    </w:p>
    <w:p>
      <w:pPr>
        <w:pStyle w:val="32"/>
        <w:numPr>
          <w:ilvl w:val="1"/>
          <w:numId w:val="2"/>
        </w:numPr>
      </w:pPr>
      <w:bookmarkStart w:id="44" w:name="_Toc31499"/>
      <w:r>
        <w:t>套管头穿越准备</w:t>
      </w:r>
      <w:bookmarkEnd w:id="44"/>
    </w:p>
    <w:p>
      <w:pPr>
        <w:ind w:firstLine="420" w:firstLineChars="200"/>
        <w:rPr>
          <w:kern w:val="0"/>
          <w:szCs w:val="20"/>
        </w:rPr>
      </w:pPr>
      <w:r>
        <w:rPr>
          <w:rFonts w:hint="eastAsia"/>
          <w:kern w:val="0"/>
          <w:szCs w:val="20"/>
        </w:rPr>
        <w:t>套管头光缆穿越按照</w:t>
      </w:r>
      <w:r>
        <w:t>SY/T 6789</w:t>
      </w:r>
      <w:r>
        <w:rPr>
          <w:rFonts w:hint="eastAsia"/>
          <w:kern w:val="0"/>
          <w:szCs w:val="20"/>
        </w:rPr>
        <w:t>执行，还应做好以下准备工作</w:t>
      </w:r>
      <w:r>
        <w:rPr>
          <w:kern w:val="0"/>
          <w:szCs w:val="20"/>
        </w:rPr>
        <w:t>：</w:t>
      </w:r>
    </w:p>
    <w:p>
      <w:pPr>
        <w:ind w:firstLine="420" w:firstLineChars="200"/>
        <w:rPr>
          <w:kern w:val="0"/>
          <w:szCs w:val="20"/>
        </w:rPr>
      </w:pPr>
      <w:r>
        <w:rPr>
          <w:kern w:val="0"/>
          <w:szCs w:val="20"/>
        </w:rPr>
        <w:t>a）根据套管结构和耐压等级设计套管头的穿越方案；</w:t>
      </w:r>
    </w:p>
    <w:p>
      <w:pPr>
        <w:ind w:firstLine="420" w:firstLineChars="200"/>
        <w:rPr>
          <w:kern w:val="0"/>
          <w:szCs w:val="20"/>
        </w:rPr>
      </w:pPr>
      <w:r>
        <w:rPr>
          <w:rFonts w:hint="eastAsia"/>
          <w:kern w:val="0"/>
          <w:szCs w:val="20"/>
        </w:rPr>
        <w:t>b</w:t>
      </w:r>
      <w:r>
        <w:rPr>
          <w:kern w:val="0"/>
          <w:szCs w:val="20"/>
        </w:rPr>
        <w:t>）套管头改造，</w:t>
      </w:r>
      <w:r>
        <w:rPr>
          <w:rFonts w:hint="eastAsia"/>
          <w:kern w:val="0"/>
          <w:szCs w:val="20"/>
        </w:rPr>
        <w:t>首选在</w:t>
      </w:r>
      <w:r>
        <w:rPr>
          <w:kern w:val="0"/>
          <w:szCs w:val="20"/>
        </w:rPr>
        <w:t>原套管头</w:t>
      </w:r>
      <w:r>
        <w:rPr>
          <w:rFonts w:hint="eastAsia"/>
          <w:kern w:val="0"/>
          <w:szCs w:val="20"/>
        </w:rPr>
        <w:t>结构上进行</w:t>
      </w:r>
      <w:r>
        <w:rPr>
          <w:kern w:val="0"/>
          <w:szCs w:val="20"/>
        </w:rPr>
        <w:t>，</w:t>
      </w:r>
      <w:r>
        <w:rPr>
          <w:rFonts w:hint="eastAsia"/>
          <w:kern w:val="0"/>
          <w:szCs w:val="20"/>
        </w:rPr>
        <w:t>备</w:t>
      </w:r>
      <w:r>
        <w:rPr>
          <w:kern w:val="0"/>
          <w:szCs w:val="20"/>
        </w:rPr>
        <w:t>选</w:t>
      </w:r>
      <w:r>
        <w:rPr>
          <w:rFonts w:hint="eastAsia"/>
          <w:kern w:val="0"/>
          <w:szCs w:val="20"/>
        </w:rPr>
        <w:t>增加</w:t>
      </w:r>
      <w:r>
        <w:rPr>
          <w:kern w:val="0"/>
          <w:szCs w:val="20"/>
        </w:rPr>
        <w:t>升高</w:t>
      </w:r>
      <w:r>
        <w:rPr>
          <w:rFonts w:hint="eastAsia"/>
          <w:kern w:val="0"/>
          <w:szCs w:val="20"/>
        </w:rPr>
        <w:t>法兰</w:t>
      </w:r>
      <w:r>
        <w:rPr>
          <w:kern w:val="0"/>
          <w:szCs w:val="20"/>
        </w:rPr>
        <w:t>或载丝法兰</w:t>
      </w:r>
      <w:r>
        <w:rPr>
          <w:rFonts w:hint="eastAsia"/>
          <w:kern w:val="0"/>
          <w:szCs w:val="20"/>
        </w:rPr>
        <w:t>；</w:t>
      </w:r>
    </w:p>
    <w:p>
      <w:pPr>
        <w:ind w:firstLine="420" w:firstLineChars="200"/>
        <w:rPr>
          <w:kern w:val="0"/>
          <w:szCs w:val="20"/>
        </w:rPr>
      </w:pPr>
      <w:r>
        <w:rPr>
          <w:rFonts w:hint="eastAsia"/>
          <w:kern w:val="0"/>
          <w:szCs w:val="20"/>
        </w:rPr>
        <w:t>c</w:t>
      </w:r>
      <w:r>
        <w:rPr>
          <w:kern w:val="0"/>
          <w:szCs w:val="20"/>
        </w:rPr>
        <w:t>）</w:t>
      </w:r>
      <w:r>
        <w:rPr>
          <w:rFonts w:hint="eastAsia"/>
          <w:kern w:val="0"/>
          <w:szCs w:val="20"/>
        </w:rPr>
        <w:t>改造后的</w:t>
      </w:r>
      <w:r>
        <w:rPr>
          <w:kern w:val="0"/>
          <w:szCs w:val="20"/>
        </w:rPr>
        <w:t>套管头及密封件</w:t>
      </w:r>
      <w:r>
        <w:rPr>
          <w:rFonts w:hint="eastAsia"/>
          <w:kern w:val="0"/>
          <w:szCs w:val="20"/>
        </w:rPr>
        <w:t>应</w:t>
      </w:r>
      <w:r>
        <w:rPr>
          <w:kern w:val="0"/>
          <w:szCs w:val="20"/>
        </w:rPr>
        <w:t>符合承压要求，</w:t>
      </w:r>
      <w:r>
        <w:rPr>
          <w:rFonts w:hint="eastAsia"/>
          <w:kern w:val="0"/>
          <w:szCs w:val="20"/>
        </w:rPr>
        <w:t>具</w:t>
      </w:r>
      <w:r>
        <w:rPr>
          <w:kern w:val="0"/>
          <w:szCs w:val="20"/>
        </w:rPr>
        <w:t>有质量检验合格证</w:t>
      </w:r>
      <w:r>
        <w:rPr>
          <w:rFonts w:hint="eastAsia"/>
          <w:kern w:val="0"/>
          <w:szCs w:val="20"/>
        </w:rPr>
        <w:t>；</w:t>
      </w:r>
    </w:p>
    <w:p>
      <w:pPr>
        <w:ind w:firstLine="420" w:firstLineChars="200"/>
        <w:rPr>
          <w:kern w:val="0"/>
          <w:szCs w:val="20"/>
        </w:rPr>
      </w:pPr>
      <w:r>
        <w:rPr>
          <w:rFonts w:hint="eastAsia"/>
          <w:kern w:val="0"/>
          <w:szCs w:val="20"/>
        </w:rPr>
        <w:t>d</w:t>
      </w:r>
      <w:r>
        <w:rPr>
          <w:kern w:val="0"/>
          <w:szCs w:val="20"/>
        </w:rPr>
        <w:t>）光缆出口应采用水平法兰面穿越，光缆通道应于内圆切点平滑导出，预留一条备用通道；</w:t>
      </w:r>
    </w:p>
    <w:p>
      <w:pPr>
        <w:ind w:firstLine="420" w:firstLineChars="200"/>
        <w:rPr>
          <w:kern w:val="0"/>
          <w:szCs w:val="20"/>
        </w:rPr>
      </w:pPr>
      <w:r>
        <w:rPr>
          <w:rFonts w:hint="eastAsia"/>
          <w:kern w:val="0"/>
          <w:szCs w:val="20"/>
        </w:rPr>
        <w:t>e</w:t>
      </w:r>
      <w:r>
        <w:rPr>
          <w:kern w:val="0"/>
          <w:szCs w:val="20"/>
        </w:rPr>
        <w:t>）悬挂器上端光缆出口应沿悬挂器上段盘绕不少于2圈，自切点换向水平穿越；</w:t>
      </w:r>
    </w:p>
    <w:p>
      <w:pPr>
        <w:ind w:firstLine="420" w:firstLineChars="200"/>
        <w:rPr>
          <w:kern w:val="0"/>
          <w:szCs w:val="20"/>
        </w:rPr>
      </w:pPr>
      <w:r>
        <w:rPr>
          <w:rFonts w:hint="eastAsia"/>
          <w:kern w:val="0"/>
          <w:szCs w:val="20"/>
        </w:rPr>
        <w:t>f</w:t>
      </w:r>
      <w:r>
        <w:rPr>
          <w:kern w:val="0"/>
          <w:szCs w:val="20"/>
        </w:rPr>
        <w:t>）悬挂器上端光缆出口与水平穿越通道的高度应不小于7cm</w:t>
      </w:r>
      <w:r>
        <w:rPr>
          <w:rFonts w:hint="eastAsia"/>
          <w:kern w:val="0"/>
          <w:szCs w:val="20"/>
        </w:rPr>
        <w:t>；</w:t>
      </w:r>
    </w:p>
    <w:p>
      <w:pPr>
        <w:ind w:firstLine="420" w:firstLineChars="200"/>
        <w:rPr>
          <w:kern w:val="0"/>
          <w:szCs w:val="20"/>
        </w:rPr>
      </w:pPr>
      <w:r>
        <w:rPr>
          <w:rFonts w:hint="eastAsia"/>
          <w:kern w:val="0"/>
          <w:szCs w:val="20"/>
        </w:rPr>
        <w:t>g</w:t>
      </w:r>
      <w:r>
        <w:rPr>
          <w:kern w:val="0"/>
          <w:szCs w:val="20"/>
        </w:rPr>
        <w:t>）</w:t>
      </w:r>
      <w:r>
        <w:rPr>
          <w:rFonts w:hint="eastAsia"/>
          <w:kern w:val="0"/>
          <w:szCs w:val="20"/>
        </w:rPr>
        <w:t>悬挂器</w:t>
      </w:r>
      <w:r>
        <w:rPr>
          <w:kern w:val="0"/>
          <w:szCs w:val="20"/>
        </w:rPr>
        <w:t>穿越</w:t>
      </w:r>
      <w:r>
        <w:rPr>
          <w:rFonts w:hint="eastAsia"/>
          <w:kern w:val="0"/>
          <w:szCs w:val="20"/>
        </w:rPr>
        <w:t>承压密封应包含</w:t>
      </w:r>
      <w:r>
        <w:rPr>
          <w:kern w:val="0"/>
          <w:szCs w:val="20"/>
        </w:rPr>
        <w:t>垂直和水平两道密封</w:t>
      </w:r>
      <w:r>
        <w:rPr>
          <w:rFonts w:hint="eastAsia"/>
          <w:kern w:val="0"/>
          <w:szCs w:val="20"/>
        </w:rPr>
        <w:t>；承压</w:t>
      </w:r>
      <w:r>
        <w:rPr>
          <w:kern w:val="0"/>
          <w:szCs w:val="20"/>
        </w:rPr>
        <w:t>大于105MPa</w:t>
      </w:r>
      <w:r>
        <w:rPr>
          <w:rFonts w:hint="eastAsia"/>
          <w:kern w:val="0"/>
          <w:szCs w:val="20"/>
        </w:rPr>
        <w:t>时，</w:t>
      </w:r>
      <w:r>
        <w:rPr>
          <w:kern w:val="0"/>
          <w:szCs w:val="20"/>
        </w:rPr>
        <w:t>应</w:t>
      </w:r>
      <w:r>
        <w:rPr>
          <w:rFonts w:hint="eastAsia"/>
          <w:kern w:val="0"/>
          <w:szCs w:val="20"/>
        </w:rPr>
        <w:t>不少于</w:t>
      </w:r>
      <w:r>
        <w:rPr>
          <w:kern w:val="0"/>
          <w:szCs w:val="20"/>
        </w:rPr>
        <w:t>三道密封</w:t>
      </w:r>
      <w:r>
        <w:rPr>
          <w:rFonts w:hint="eastAsia"/>
          <w:kern w:val="0"/>
          <w:szCs w:val="20"/>
        </w:rPr>
        <w:t>；</w:t>
      </w:r>
      <w:r>
        <w:rPr>
          <w:kern w:val="0"/>
          <w:szCs w:val="20"/>
        </w:rPr>
        <w:t xml:space="preserve"> </w:t>
      </w:r>
    </w:p>
    <w:p>
      <w:pPr>
        <w:ind w:firstLine="420" w:firstLineChars="200"/>
        <w:rPr>
          <w:kern w:val="0"/>
          <w:szCs w:val="20"/>
        </w:rPr>
      </w:pPr>
      <w:r>
        <w:rPr>
          <w:rFonts w:hint="eastAsia"/>
          <w:kern w:val="0"/>
          <w:szCs w:val="20"/>
        </w:rPr>
        <w:t>h</w:t>
      </w:r>
      <w:r>
        <w:rPr>
          <w:kern w:val="0"/>
          <w:szCs w:val="20"/>
        </w:rPr>
        <w:t>）套管头及密封件需套管头厂家负责安装。</w:t>
      </w:r>
    </w:p>
    <w:p>
      <w:pPr>
        <w:pStyle w:val="32"/>
        <w:numPr>
          <w:ilvl w:val="1"/>
          <w:numId w:val="2"/>
        </w:numPr>
      </w:pPr>
      <w:bookmarkStart w:id="45" w:name="_Toc12287"/>
      <w:r>
        <w:t>光缆及光缆附件准备</w:t>
      </w:r>
      <w:bookmarkEnd w:id="45"/>
    </w:p>
    <w:p>
      <w:pPr>
        <w:ind w:firstLine="420" w:firstLineChars="200"/>
        <w:rPr>
          <w:kern w:val="0"/>
          <w:szCs w:val="20"/>
        </w:rPr>
      </w:pPr>
      <w:r>
        <w:rPr>
          <w:rFonts w:hint="eastAsia"/>
          <w:kern w:val="0"/>
          <w:szCs w:val="20"/>
        </w:rPr>
        <w:t>光缆及光缆附件应做好如下准备：</w:t>
      </w:r>
    </w:p>
    <w:p>
      <w:pPr>
        <w:ind w:firstLine="420" w:firstLineChars="200"/>
        <w:rPr>
          <w:kern w:val="0"/>
          <w:szCs w:val="20"/>
        </w:rPr>
      </w:pPr>
      <w:r>
        <w:rPr>
          <w:kern w:val="0"/>
          <w:szCs w:val="20"/>
        </w:rPr>
        <w:t>a）下井光缆结构应符合套管柱设计要求，长度附加量不少于100</w:t>
      </w:r>
      <w:r>
        <w:rPr>
          <w:rFonts w:hint="eastAsia"/>
          <w:kern w:val="0"/>
          <w:szCs w:val="20"/>
        </w:rPr>
        <w:t>m</w:t>
      </w:r>
      <w:r>
        <w:rPr>
          <w:kern w:val="0"/>
          <w:szCs w:val="20"/>
        </w:rPr>
        <w:t>，并附有光缆质量检验合格证。</w:t>
      </w:r>
    </w:p>
    <w:p>
      <w:pPr>
        <w:ind w:firstLine="420" w:firstLineChars="200"/>
        <w:rPr>
          <w:kern w:val="0"/>
          <w:szCs w:val="20"/>
        </w:rPr>
      </w:pPr>
      <w:r>
        <w:rPr>
          <w:kern w:val="0"/>
          <w:szCs w:val="20"/>
        </w:rPr>
        <w:t>b）</w:t>
      </w:r>
      <w:r>
        <w:rPr>
          <w:rFonts w:hint="eastAsia"/>
          <w:kern w:val="0"/>
          <w:szCs w:val="20"/>
        </w:rPr>
        <w:t>完成光缆</w:t>
      </w:r>
      <w:r>
        <w:rPr>
          <w:kern w:val="0"/>
          <w:szCs w:val="20"/>
        </w:rPr>
        <w:t>尾端消光和密封处理，</w:t>
      </w:r>
      <w:r>
        <w:rPr>
          <w:rFonts w:hint="eastAsia"/>
          <w:kern w:val="0"/>
          <w:szCs w:val="20"/>
        </w:rPr>
        <w:t>满足</w:t>
      </w:r>
      <w:r>
        <w:rPr>
          <w:kern w:val="0"/>
          <w:szCs w:val="20"/>
        </w:rPr>
        <w:t>承压</w:t>
      </w:r>
      <w:r>
        <w:rPr>
          <w:rFonts w:hint="eastAsia"/>
          <w:kern w:val="0"/>
          <w:szCs w:val="20"/>
        </w:rPr>
        <w:t>、</w:t>
      </w:r>
      <w:r>
        <w:rPr>
          <w:kern w:val="0"/>
          <w:szCs w:val="20"/>
        </w:rPr>
        <w:t>防水</w:t>
      </w:r>
      <w:r>
        <w:rPr>
          <w:rFonts w:hint="eastAsia"/>
          <w:kern w:val="0"/>
          <w:szCs w:val="20"/>
        </w:rPr>
        <w:t>、耐氢损</w:t>
      </w:r>
      <w:r>
        <w:rPr>
          <w:kern w:val="0"/>
          <w:szCs w:val="20"/>
        </w:rPr>
        <w:t>。</w:t>
      </w:r>
    </w:p>
    <w:p>
      <w:pPr>
        <w:pStyle w:val="32"/>
        <w:numPr>
          <w:ilvl w:val="1"/>
          <w:numId w:val="2"/>
        </w:numPr>
      </w:pPr>
      <w:bookmarkStart w:id="46" w:name="_Toc10411"/>
      <w:r>
        <w:rPr>
          <w:rFonts w:hint="eastAsia"/>
        </w:rPr>
        <w:t>下井</w:t>
      </w:r>
      <w:r>
        <w:t>工具及附件准备</w:t>
      </w:r>
      <w:bookmarkEnd w:id="46"/>
    </w:p>
    <w:p>
      <w:pPr>
        <w:ind w:firstLine="420" w:firstLineChars="200"/>
        <w:rPr>
          <w:kern w:val="0"/>
          <w:szCs w:val="20"/>
        </w:rPr>
      </w:pPr>
      <w:r>
        <w:rPr>
          <w:kern w:val="0"/>
          <w:szCs w:val="20"/>
        </w:rPr>
        <w:t>a）本体环、保护器和扶正器应符合设计要求，下井工具的螺纹扣</w:t>
      </w:r>
      <w:r>
        <w:rPr>
          <w:rFonts w:hint="eastAsia"/>
          <w:kern w:val="0"/>
          <w:szCs w:val="20"/>
        </w:rPr>
        <w:t>应</w:t>
      </w:r>
      <w:r>
        <w:rPr>
          <w:kern w:val="0"/>
          <w:szCs w:val="20"/>
        </w:rPr>
        <w:t>进行合扣检查。</w:t>
      </w:r>
    </w:p>
    <w:p>
      <w:pPr>
        <w:ind w:firstLine="420" w:firstLineChars="200"/>
        <w:rPr>
          <w:kern w:val="0"/>
          <w:szCs w:val="20"/>
        </w:rPr>
      </w:pPr>
      <w:r>
        <w:rPr>
          <w:kern w:val="0"/>
          <w:szCs w:val="20"/>
        </w:rPr>
        <w:t>b）保护器、扶正器、本体环强度应不小于套管强度要求，并附有质量检验合格证。</w:t>
      </w:r>
    </w:p>
    <w:p>
      <w:pPr>
        <w:ind w:firstLine="420" w:firstLineChars="200"/>
        <w:rPr>
          <w:kern w:val="0"/>
          <w:szCs w:val="20"/>
        </w:rPr>
      </w:pPr>
      <w:r>
        <w:rPr>
          <w:kern w:val="0"/>
          <w:szCs w:val="20"/>
        </w:rPr>
        <w:t>c）</w:t>
      </w:r>
      <w:r>
        <w:rPr>
          <w:rFonts w:hint="eastAsia"/>
          <w:kern w:val="0"/>
          <w:szCs w:val="20"/>
        </w:rPr>
        <w:t>光缆</w:t>
      </w:r>
      <w:r>
        <w:rPr>
          <w:kern w:val="0"/>
          <w:szCs w:val="20"/>
        </w:rPr>
        <w:t>尾端保护器</w:t>
      </w:r>
      <w:r>
        <w:rPr>
          <w:rFonts w:hint="eastAsia"/>
          <w:kern w:val="0"/>
          <w:szCs w:val="20"/>
        </w:rPr>
        <w:t>应</w:t>
      </w:r>
      <w:r>
        <w:rPr>
          <w:kern w:val="0"/>
          <w:szCs w:val="20"/>
        </w:rPr>
        <w:t>符合承压要求。</w:t>
      </w:r>
    </w:p>
    <w:p>
      <w:pPr>
        <w:ind w:firstLine="420" w:firstLineChars="200"/>
        <w:rPr>
          <w:kern w:val="0"/>
          <w:szCs w:val="20"/>
        </w:rPr>
      </w:pPr>
      <w:r>
        <w:rPr>
          <w:rFonts w:hint="eastAsia"/>
          <w:kern w:val="0"/>
          <w:szCs w:val="20"/>
        </w:rPr>
        <w:t>d</w:t>
      </w:r>
      <w:r>
        <w:rPr>
          <w:kern w:val="0"/>
          <w:szCs w:val="20"/>
        </w:rPr>
        <w:t>）对所有安装工具进行规格、尺寸</w:t>
      </w:r>
      <w:r>
        <w:rPr>
          <w:rFonts w:hint="eastAsia"/>
          <w:kern w:val="0"/>
          <w:szCs w:val="20"/>
        </w:rPr>
        <w:t>和</w:t>
      </w:r>
      <w:r>
        <w:rPr>
          <w:kern w:val="0"/>
          <w:szCs w:val="20"/>
        </w:rPr>
        <w:t>质量检查。</w:t>
      </w:r>
    </w:p>
    <w:p>
      <w:pPr>
        <w:pStyle w:val="32"/>
        <w:numPr>
          <w:ilvl w:val="1"/>
          <w:numId w:val="2"/>
        </w:numPr>
      </w:pPr>
      <w:bookmarkStart w:id="47" w:name="_Toc28222"/>
      <w:r>
        <w:rPr>
          <w:rFonts w:hint="eastAsia"/>
        </w:rPr>
        <w:t>光缆检测</w:t>
      </w:r>
      <w:r>
        <w:t>工具及附件准备</w:t>
      </w:r>
      <w:bookmarkEnd w:id="47"/>
    </w:p>
    <w:p>
      <w:pPr>
        <w:ind w:firstLine="420" w:firstLineChars="200"/>
        <w:rPr>
          <w:kern w:val="0"/>
          <w:szCs w:val="20"/>
        </w:rPr>
      </w:pPr>
      <w:r>
        <w:rPr>
          <w:kern w:val="0"/>
          <w:szCs w:val="20"/>
        </w:rPr>
        <w:t>a）配备DAS/DTS仪器（或OTDR测量仪器）测量下井前和下井过程中光纤实际长度，保证在地面时光纤完</w:t>
      </w:r>
      <w:r>
        <w:rPr>
          <w:rFonts w:hint="eastAsia"/>
          <w:kern w:val="0"/>
          <w:szCs w:val="20"/>
        </w:rPr>
        <w:t>好</w:t>
      </w:r>
      <w:r>
        <w:rPr>
          <w:kern w:val="0"/>
          <w:szCs w:val="20"/>
        </w:rPr>
        <w:t>，动态</w:t>
      </w:r>
      <w:r>
        <w:rPr>
          <w:rFonts w:hint="eastAsia"/>
          <w:kern w:val="0"/>
          <w:szCs w:val="20"/>
        </w:rPr>
        <w:t>检测</w:t>
      </w:r>
      <w:r>
        <w:rPr>
          <w:kern w:val="0"/>
          <w:szCs w:val="20"/>
        </w:rPr>
        <w:t>下井过程中光纤通断和衰减状况。</w:t>
      </w:r>
    </w:p>
    <w:p>
      <w:pPr>
        <w:ind w:firstLine="420" w:firstLineChars="200"/>
        <w:rPr>
          <w:kern w:val="0"/>
          <w:szCs w:val="20"/>
        </w:rPr>
      </w:pPr>
      <w:r>
        <w:rPr>
          <w:kern w:val="0"/>
          <w:szCs w:val="20"/>
        </w:rPr>
        <w:t>b）配备足够的DAS/DTS仪器（或OTDR测量仪器）附件，包括切刀、熔接机、符合规格的跳线、光纤接头、接头清洁器，以及仪器供电的设施和设备。</w:t>
      </w:r>
    </w:p>
    <w:p>
      <w:pPr>
        <w:pStyle w:val="54"/>
        <w:numPr>
          <w:ilvl w:val="0"/>
          <w:numId w:val="2"/>
        </w:numPr>
      </w:pPr>
      <w:bookmarkStart w:id="48" w:name="_Toc27691"/>
      <w:r>
        <w:rPr>
          <w:rFonts w:hint="eastAsia"/>
        </w:rPr>
        <w:t>光缆安置设计</w:t>
      </w:r>
      <w:bookmarkEnd w:id="48"/>
    </w:p>
    <w:p>
      <w:pPr>
        <w:ind w:firstLine="420" w:firstLineChars="200"/>
        <w:rPr>
          <w:kern w:val="0"/>
          <w:szCs w:val="20"/>
        </w:rPr>
      </w:pPr>
      <w:r>
        <w:rPr>
          <w:rFonts w:hint="eastAsia"/>
          <w:kern w:val="0"/>
          <w:szCs w:val="20"/>
        </w:rPr>
        <w:t>光缆安置设计应至少包含以下内容：</w:t>
      </w:r>
    </w:p>
    <w:p>
      <w:pPr>
        <w:ind w:firstLine="420" w:firstLineChars="200"/>
        <w:rPr>
          <w:kern w:val="0"/>
          <w:szCs w:val="20"/>
        </w:rPr>
      </w:pPr>
      <w:r>
        <w:rPr>
          <w:rFonts w:hint="eastAsia"/>
          <w:kern w:val="0"/>
          <w:szCs w:val="20"/>
        </w:rPr>
        <w:t>a）项目来源；</w:t>
      </w:r>
    </w:p>
    <w:p>
      <w:pPr>
        <w:ind w:firstLine="420" w:firstLineChars="200"/>
        <w:rPr>
          <w:kern w:val="0"/>
          <w:szCs w:val="20"/>
        </w:rPr>
      </w:pPr>
      <w:r>
        <w:rPr>
          <w:rFonts w:hint="eastAsia"/>
          <w:kern w:val="0"/>
          <w:szCs w:val="20"/>
        </w:rPr>
        <w:t>b）井区概况；</w:t>
      </w:r>
    </w:p>
    <w:p>
      <w:pPr>
        <w:ind w:firstLine="420" w:firstLineChars="200"/>
        <w:rPr>
          <w:kern w:val="0"/>
          <w:szCs w:val="20"/>
        </w:rPr>
      </w:pPr>
      <w:r>
        <w:rPr>
          <w:rFonts w:hint="eastAsia"/>
          <w:kern w:val="0"/>
          <w:szCs w:val="20"/>
        </w:rPr>
        <w:t>c）井况；</w:t>
      </w:r>
    </w:p>
    <w:p>
      <w:pPr>
        <w:ind w:firstLine="420" w:firstLineChars="200"/>
        <w:rPr>
          <w:kern w:val="0"/>
          <w:szCs w:val="20"/>
        </w:rPr>
      </w:pPr>
      <w:r>
        <w:rPr>
          <w:rFonts w:hint="eastAsia"/>
          <w:kern w:val="0"/>
          <w:szCs w:val="20"/>
        </w:rPr>
        <w:t>d）套管外光缆安装；</w:t>
      </w:r>
    </w:p>
    <w:p>
      <w:pPr>
        <w:ind w:left="420" w:leftChars="200" w:firstLine="420" w:firstLineChars="200"/>
        <w:rPr>
          <w:kern w:val="0"/>
          <w:szCs w:val="20"/>
        </w:rPr>
      </w:pPr>
      <w:r>
        <w:rPr>
          <w:kern w:val="0"/>
          <w:szCs w:val="20"/>
        </w:rPr>
        <w:t>1）保护器安装位置和数量、种类设计</w:t>
      </w:r>
      <w:r>
        <w:rPr>
          <w:rFonts w:hint="eastAsia"/>
          <w:kern w:val="0"/>
          <w:szCs w:val="20"/>
        </w:rPr>
        <w:t>；</w:t>
      </w:r>
    </w:p>
    <w:p>
      <w:pPr>
        <w:ind w:left="420" w:leftChars="200" w:firstLine="420" w:firstLineChars="200"/>
        <w:rPr>
          <w:kern w:val="0"/>
          <w:szCs w:val="20"/>
        </w:rPr>
      </w:pPr>
      <w:r>
        <w:rPr>
          <w:kern w:val="0"/>
          <w:szCs w:val="20"/>
        </w:rPr>
        <w:t>2）光缆、保护器及附件上钻台保护措施</w:t>
      </w:r>
      <w:r>
        <w:rPr>
          <w:rFonts w:hint="eastAsia"/>
          <w:kern w:val="0"/>
          <w:szCs w:val="20"/>
        </w:rPr>
        <w:t>；</w:t>
      </w:r>
    </w:p>
    <w:p>
      <w:pPr>
        <w:ind w:left="420" w:leftChars="200" w:firstLine="420" w:firstLineChars="200"/>
        <w:rPr>
          <w:kern w:val="0"/>
          <w:szCs w:val="20"/>
        </w:rPr>
      </w:pPr>
      <w:r>
        <w:rPr>
          <w:kern w:val="0"/>
          <w:szCs w:val="20"/>
        </w:rPr>
        <w:t>3）</w:t>
      </w:r>
      <w:r>
        <w:rPr>
          <w:rFonts w:hint="eastAsia"/>
          <w:kern w:val="0"/>
          <w:szCs w:val="20"/>
        </w:rPr>
        <w:t>光缆</w:t>
      </w:r>
      <w:r>
        <w:rPr>
          <w:kern w:val="0"/>
          <w:szCs w:val="20"/>
        </w:rPr>
        <w:t>尾端安装套管位置和保护安装</w:t>
      </w:r>
      <w:r>
        <w:rPr>
          <w:rFonts w:hint="eastAsia"/>
          <w:kern w:val="0"/>
          <w:szCs w:val="20"/>
        </w:rPr>
        <w:t>；</w:t>
      </w:r>
    </w:p>
    <w:p>
      <w:pPr>
        <w:ind w:left="420" w:leftChars="200" w:firstLine="420" w:firstLineChars="200"/>
        <w:rPr>
          <w:kern w:val="0"/>
          <w:szCs w:val="20"/>
        </w:rPr>
      </w:pPr>
      <w:r>
        <w:rPr>
          <w:kern w:val="0"/>
          <w:szCs w:val="20"/>
        </w:rPr>
        <w:t>4）光缆随套管下井安装工艺及要求</w:t>
      </w:r>
      <w:r>
        <w:rPr>
          <w:rFonts w:hint="eastAsia"/>
          <w:kern w:val="0"/>
          <w:szCs w:val="20"/>
        </w:rPr>
        <w:t>；</w:t>
      </w:r>
    </w:p>
    <w:p>
      <w:pPr>
        <w:ind w:left="420" w:leftChars="200" w:firstLine="420" w:firstLineChars="200"/>
        <w:rPr>
          <w:kern w:val="0"/>
          <w:szCs w:val="20"/>
        </w:rPr>
      </w:pPr>
      <w:r>
        <w:rPr>
          <w:kern w:val="0"/>
          <w:szCs w:val="20"/>
        </w:rPr>
        <w:t>5）光纤状态监测方案及要求</w:t>
      </w:r>
      <w:r>
        <w:rPr>
          <w:rFonts w:hint="eastAsia"/>
          <w:kern w:val="0"/>
          <w:szCs w:val="20"/>
        </w:rPr>
        <w:t>；</w:t>
      </w:r>
    </w:p>
    <w:p>
      <w:pPr>
        <w:ind w:left="420" w:leftChars="200" w:firstLine="420" w:firstLineChars="200"/>
        <w:rPr>
          <w:kern w:val="0"/>
          <w:szCs w:val="20"/>
        </w:rPr>
      </w:pPr>
      <w:r>
        <w:rPr>
          <w:kern w:val="0"/>
          <w:szCs w:val="20"/>
        </w:rPr>
        <w:t>6）下套管过程中配合井队的应急预案。</w:t>
      </w:r>
    </w:p>
    <w:p>
      <w:pPr>
        <w:ind w:firstLine="420" w:firstLineChars="200"/>
        <w:rPr>
          <w:kern w:val="0"/>
          <w:szCs w:val="20"/>
        </w:rPr>
      </w:pPr>
      <w:r>
        <w:rPr>
          <w:rFonts w:hint="eastAsia"/>
          <w:kern w:val="0"/>
          <w:szCs w:val="20"/>
        </w:rPr>
        <w:t>e）保障措施</w:t>
      </w:r>
    </w:p>
    <w:p>
      <w:pPr>
        <w:ind w:left="420" w:leftChars="200" w:firstLine="420" w:firstLineChars="200"/>
        <w:rPr>
          <w:kern w:val="0"/>
          <w:szCs w:val="20"/>
        </w:rPr>
      </w:pPr>
      <w:r>
        <w:rPr>
          <w:rFonts w:hint="eastAsia"/>
          <w:kern w:val="0"/>
          <w:szCs w:val="20"/>
        </w:rPr>
        <w:t>1）设备保障；</w:t>
      </w:r>
    </w:p>
    <w:p>
      <w:pPr>
        <w:ind w:left="420" w:leftChars="200" w:firstLine="420" w:firstLineChars="200"/>
        <w:rPr>
          <w:kern w:val="0"/>
          <w:szCs w:val="20"/>
        </w:rPr>
      </w:pPr>
      <w:r>
        <w:rPr>
          <w:kern w:val="0"/>
          <w:szCs w:val="20"/>
        </w:rPr>
        <w:t>2</w:t>
      </w:r>
      <w:r>
        <w:rPr>
          <w:rFonts w:hint="eastAsia"/>
          <w:kern w:val="0"/>
          <w:szCs w:val="20"/>
        </w:rPr>
        <w:t>）人员保障；</w:t>
      </w:r>
    </w:p>
    <w:p>
      <w:pPr>
        <w:ind w:left="420" w:leftChars="200" w:firstLine="420" w:firstLineChars="200"/>
        <w:rPr>
          <w:kern w:val="0"/>
          <w:szCs w:val="20"/>
        </w:rPr>
      </w:pPr>
      <w:r>
        <w:rPr>
          <w:rFonts w:hint="eastAsia"/>
          <w:kern w:val="0"/>
          <w:szCs w:val="20"/>
        </w:rPr>
        <w:t>3）进度计划。</w:t>
      </w:r>
    </w:p>
    <w:p>
      <w:pPr>
        <w:ind w:firstLine="420" w:firstLineChars="200"/>
        <w:rPr>
          <w:kern w:val="0"/>
          <w:szCs w:val="20"/>
        </w:rPr>
      </w:pPr>
      <w:r>
        <w:rPr>
          <w:rFonts w:hint="eastAsia"/>
          <w:kern w:val="0"/>
          <w:szCs w:val="20"/>
        </w:rPr>
        <w:t>f）HSE管理。</w:t>
      </w:r>
    </w:p>
    <w:p>
      <w:pPr>
        <w:pStyle w:val="54"/>
        <w:numPr>
          <w:ilvl w:val="0"/>
          <w:numId w:val="2"/>
        </w:numPr>
      </w:pPr>
      <w:bookmarkStart w:id="49" w:name="_Toc314384564"/>
      <w:bookmarkEnd w:id="49"/>
      <w:bookmarkStart w:id="50" w:name="_Toc11811"/>
      <w:r>
        <w:rPr>
          <w:rFonts w:hint="eastAsia"/>
        </w:rPr>
        <w:t>光缆安置</w:t>
      </w:r>
      <w:bookmarkEnd w:id="50"/>
    </w:p>
    <w:p>
      <w:pPr>
        <w:pStyle w:val="32"/>
        <w:numPr>
          <w:ilvl w:val="1"/>
          <w:numId w:val="2"/>
        </w:numPr>
      </w:pPr>
      <w:bookmarkStart w:id="51" w:name="_Toc32242"/>
      <w:bookmarkStart w:id="52" w:name="OLE_LINK3"/>
      <w:bookmarkStart w:id="53" w:name="OLE_LINK4"/>
      <w:r>
        <w:t>交底协调</w:t>
      </w:r>
      <w:bookmarkEnd w:id="51"/>
    </w:p>
    <w:p>
      <w:pPr>
        <w:ind w:firstLine="420" w:firstLineChars="200"/>
        <w:rPr>
          <w:kern w:val="0"/>
          <w:szCs w:val="20"/>
        </w:rPr>
      </w:pPr>
      <w:r>
        <w:rPr>
          <w:rFonts w:hint="eastAsia"/>
          <w:kern w:val="0"/>
          <w:szCs w:val="20"/>
        </w:rPr>
        <w:t>项目交底包括以下几方面内容：</w:t>
      </w:r>
    </w:p>
    <w:p>
      <w:pPr>
        <w:pStyle w:val="27"/>
        <w:rPr>
          <w:rFonts w:ascii="Times New Roman"/>
        </w:rPr>
      </w:pPr>
      <w:r>
        <w:rPr>
          <w:rFonts w:ascii="Times New Roman"/>
        </w:rPr>
        <w:t>a) 套管外永置式</w:t>
      </w:r>
      <w:r>
        <w:rPr>
          <w:rFonts w:hint="eastAsia" w:ascii="Times New Roman"/>
        </w:rPr>
        <w:t>光缆</w:t>
      </w:r>
      <w:r>
        <w:rPr>
          <w:rFonts w:ascii="Times New Roman"/>
        </w:rPr>
        <w:t>安装作业前应组织有关单位召开技术协调会，并通报第4章规定的内容和可能存在的问题以及解决方案</w:t>
      </w:r>
      <w:r>
        <w:rPr>
          <w:rFonts w:hint="eastAsia" w:ascii="Times New Roman"/>
        </w:rPr>
        <w:t>；</w:t>
      </w:r>
    </w:p>
    <w:p>
      <w:pPr>
        <w:pStyle w:val="27"/>
        <w:rPr>
          <w:rFonts w:ascii="Times New Roman"/>
        </w:rPr>
      </w:pPr>
      <w:r>
        <w:rPr>
          <w:rFonts w:ascii="Times New Roman"/>
        </w:rPr>
        <w:t>b) 安排有关单位和人员分工和配合方式，下光缆施工人员要与井队下套管施工人员协同配合，确保光缆安全顺利入井</w:t>
      </w:r>
      <w:r>
        <w:rPr>
          <w:rFonts w:hint="eastAsia" w:ascii="Times New Roman"/>
        </w:rPr>
        <w:t>；</w:t>
      </w:r>
    </w:p>
    <w:p>
      <w:pPr>
        <w:pStyle w:val="27"/>
        <w:rPr>
          <w:rFonts w:ascii="Times New Roman"/>
        </w:rPr>
      </w:pPr>
      <w:r>
        <w:rPr>
          <w:rFonts w:ascii="Times New Roman"/>
        </w:rPr>
        <w:t>c</w:t>
      </w:r>
      <w:r>
        <w:rPr>
          <w:rFonts w:hint="eastAsia" w:ascii="Times New Roman"/>
        </w:rPr>
        <w:t>)</w:t>
      </w:r>
      <w:r>
        <w:rPr>
          <w:rFonts w:ascii="Times New Roman"/>
        </w:rPr>
        <w:t xml:space="preserve"> 井队协调辅助准备和安装的材料和设施</w:t>
      </w:r>
      <w:r>
        <w:rPr>
          <w:rFonts w:hint="eastAsia" w:ascii="Times New Roman"/>
        </w:rPr>
        <w:t>；</w:t>
      </w:r>
    </w:p>
    <w:p>
      <w:pPr>
        <w:pStyle w:val="27"/>
        <w:rPr>
          <w:rFonts w:ascii="Times New Roman"/>
        </w:rPr>
      </w:pPr>
      <w:r>
        <w:rPr>
          <w:rFonts w:ascii="Times New Roman"/>
        </w:rPr>
        <w:t>d) 井队明确平台上施工安全要求和其它要求，下光缆施工人员严格按照安全要求准备和实施。</w:t>
      </w:r>
    </w:p>
    <w:bookmarkEnd w:id="52"/>
    <w:bookmarkEnd w:id="53"/>
    <w:p>
      <w:pPr>
        <w:pStyle w:val="32"/>
        <w:numPr>
          <w:ilvl w:val="1"/>
          <w:numId w:val="2"/>
        </w:numPr>
      </w:pPr>
      <w:bookmarkStart w:id="54" w:name="_Toc12942"/>
      <w:r>
        <w:t>光缆下井</w:t>
      </w:r>
      <w:bookmarkEnd w:id="54"/>
    </w:p>
    <w:p>
      <w:pPr>
        <w:pStyle w:val="27"/>
        <w:rPr>
          <w:rFonts w:ascii="Times New Roman"/>
        </w:rPr>
      </w:pPr>
      <w:bookmarkStart w:id="55" w:name="_Toc315850435"/>
      <w:bookmarkStart w:id="56" w:name="_Toc315425420"/>
      <w:bookmarkStart w:id="57" w:name="_Toc314410506"/>
      <w:r>
        <w:rPr>
          <w:rFonts w:ascii="Times New Roman"/>
        </w:rPr>
        <w:t>a）光缆线盘和线盘支架吊放到钻井平台空闲位置，光缆下井时施工人员要控制光缆线盘下放速度</w:t>
      </w:r>
      <w:r>
        <w:rPr>
          <w:rFonts w:hint="eastAsia" w:ascii="Times New Roman"/>
        </w:rPr>
        <w:t>；</w:t>
      </w:r>
    </w:p>
    <w:p>
      <w:pPr>
        <w:pStyle w:val="27"/>
        <w:rPr>
          <w:rFonts w:ascii="Times New Roman"/>
        </w:rPr>
      </w:pPr>
      <w:r>
        <w:rPr>
          <w:rFonts w:ascii="Times New Roman"/>
        </w:rPr>
        <w:t>b）从碰压座与套管接箍处及第二根套管接箍处安装光缆，光缆尾端部位要用光缆保护器和本体环固定住</w:t>
      </w:r>
      <w:r>
        <w:rPr>
          <w:rFonts w:hint="eastAsia" w:ascii="Times New Roman"/>
        </w:rPr>
        <w:t>；</w:t>
      </w:r>
    </w:p>
    <w:p>
      <w:pPr>
        <w:pStyle w:val="27"/>
        <w:rPr>
          <w:rFonts w:ascii="Times New Roman"/>
        </w:rPr>
      </w:pPr>
      <w:r>
        <w:rPr>
          <w:rFonts w:ascii="Times New Roman"/>
        </w:rPr>
        <w:t>c）在布设光缆段的每个套管接箍上都要安装一个刚性扶正器或保护器，每根套管中部安装一个本体环</w:t>
      </w:r>
      <w:r>
        <w:rPr>
          <w:rFonts w:hint="eastAsia" w:ascii="Times New Roman"/>
        </w:rPr>
        <w:t>；</w:t>
      </w:r>
    </w:p>
    <w:p>
      <w:pPr>
        <w:pStyle w:val="27"/>
        <w:rPr>
          <w:rFonts w:ascii="Times New Roman"/>
        </w:rPr>
      </w:pPr>
      <w:r>
        <w:rPr>
          <w:rFonts w:ascii="Times New Roman"/>
        </w:rPr>
        <w:t>d）根据钻井设计：水平井水平段与造斜段接箍预装位置安装刚性扶正器和水平井保护器，光缆贴附于套管壁入井。直井段接箍预装位置安装扶正器和直井保护器，光缆并缆贴附于套管壁入井；直井目的层段接箍预装位置安装刚性扶正器和水平井保护器，光缆贴附于套管壁。其余层段接箍预装位置安装刚性扶正器和直井保护器，两根光缆并缆贴附于套管壁入井</w:t>
      </w:r>
      <w:r>
        <w:rPr>
          <w:rFonts w:hint="eastAsia" w:ascii="Times New Roman"/>
        </w:rPr>
        <w:t>；</w:t>
      </w:r>
    </w:p>
    <w:p>
      <w:pPr>
        <w:pStyle w:val="27"/>
        <w:rPr>
          <w:rFonts w:ascii="Times New Roman"/>
        </w:rPr>
      </w:pPr>
      <w:r>
        <w:rPr>
          <w:rFonts w:ascii="Times New Roman"/>
        </w:rPr>
        <w:t>e）使用充电式电动扳手安装各刚性扶正器、直井保护器、水平井保护器和本体环。刚性扶正器、直井保护器、水平井保护器和本体环螺丝要上紧，防止本体环在套管中部上下串动</w:t>
      </w:r>
      <w:r>
        <w:rPr>
          <w:rFonts w:hint="eastAsia" w:ascii="Times New Roman"/>
        </w:rPr>
        <w:t>；</w:t>
      </w:r>
    </w:p>
    <w:p>
      <w:pPr>
        <w:pStyle w:val="27"/>
        <w:rPr>
          <w:rFonts w:ascii="Times New Roman"/>
        </w:rPr>
      </w:pPr>
      <w:r>
        <w:rPr>
          <w:rFonts w:ascii="Times New Roman"/>
        </w:rPr>
        <w:t>f）待油井套管柱全部上完之后，光缆待穿越悬挂器。将光缆外侧塑料保护层剥掉，光缆穿越悬挂器预留孔，由套管头厂家专业人员采用密封螺栓挤压密封上紧，光缆预留20m-30m，截断光缆</w:t>
      </w:r>
      <w:r>
        <w:rPr>
          <w:rFonts w:hint="eastAsia" w:ascii="Times New Roman"/>
        </w:rPr>
        <w:t>；</w:t>
      </w:r>
    </w:p>
    <w:p>
      <w:pPr>
        <w:pStyle w:val="27"/>
        <w:rPr>
          <w:rFonts w:ascii="Times New Roman"/>
        </w:rPr>
      </w:pPr>
      <w:r>
        <w:rPr>
          <w:rFonts w:ascii="Times New Roman"/>
        </w:rPr>
        <w:t>g）下井过程中用DAS/DTS仪器或OTDR仪器动态测量光缆状态，每100m测量一次，测量间隔最大长度不能超过200m</w:t>
      </w:r>
      <w:r>
        <w:rPr>
          <w:rFonts w:hint="eastAsia" w:ascii="Times New Roman"/>
        </w:rPr>
        <w:t>；</w:t>
      </w:r>
    </w:p>
    <w:p>
      <w:pPr>
        <w:pStyle w:val="27"/>
        <w:rPr>
          <w:rFonts w:ascii="Times New Roman"/>
        </w:rPr>
      </w:pPr>
      <w:r>
        <w:rPr>
          <w:rFonts w:ascii="Times New Roman"/>
        </w:rPr>
        <w:t>h）待钻井队拆除防喷器后，光缆穿越套管头光缆预留孔。将光缆沿悬挂器绕1-2圈后从套管头光缆预留孔穿出，套管头与悬挂器环形空间内的光缆不能高于套管头钢圈法兰面。光缆穿出后由套管头厂家专业人员将套管头光缆预留孔位置密封上紧</w:t>
      </w:r>
      <w:r>
        <w:rPr>
          <w:rFonts w:hint="eastAsia" w:ascii="Times New Roman"/>
        </w:rPr>
        <w:t>；</w:t>
      </w:r>
    </w:p>
    <w:p>
      <w:pPr>
        <w:pStyle w:val="27"/>
        <w:rPr>
          <w:rFonts w:ascii="Times New Roman"/>
        </w:rPr>
      </w:pPr>
      <w:r>
        <w:rPr>
          <w:rFonts w:ascii="Times New Roman"/>
        </w:rPr>
        <w:t>i）最后用OTDR测量光缆状态和通断长度</w:t>
      </w:r>
      <w:r>
        <w:rPr>
          <w:rFonts w:hint="eastAsia" w:ascii="Times New Roman"/>
        </w:rPr>
        <w:t>；</w:t>
      </w:r>
    </w:p>
    <w:p>
      <w:pPr>
        <w:pStyle w:val="27"/>
        <w:rPr>
          <w:rFonts w:ascii="Times New Roman"/>
        </w:rPr>
      </w:pPr>
      <w:r>
        <w:rPr>
          <w:rFonts w:ascii="Times New Roman"/>
        </w:rPr>
        <w:t>j）将井口预留光缆盘成圈缠绕于套管头法兰面以下，不妨碍后期作业施工，并做好光缆防护。</w:t>
      </w:r>
    </w:p>
    <w:p>
      <w:pPr>
        <w:pStyle w:val="54"/>
        <w:numPr>
          <w:ilvl w:val="0"/>
          <w:numId w:val="2"/>
        </w:numPr>
      </w:pPr>
      <w:bookmarkStart w:id="58" w:name="_Toc14608"/>
      <w:r>
        <w:rPr>
          <w:rFonts w:hint="eastAsia"/>
        </w:rPr>
        <w:t>H</w:t>
      </w:r>
      <w:r>
        <w:t>SE</w:t>
      </w:r>
      <w:r>
        <w:rPr>
          <w:rFonts w:hint="eastAsia"/>
        </w:rPr>
        <w:t>管理</w:t>
      </w:r>
      <w:bookmarkEnd w:id="58"/>
    </w:p>
    <w:p>
      <w:pPr>
        <w:pStyle w:val="32"/>
        <w:numPr>
          <w:ilvl w:val="1"/>
          <w:numId w:val="2"/>
        </w:numPr>
      </w:pPr>
      <w:bookmarkStart w:id="59" w:name="_Toc90127408"/>
      <w:bookmarkStart w:id="60" w:name="_Toc18238"/>
      <w:r>
        <w:t>质量管理</w:t>
      </w:r>
      <w:bookmarkEnd w:id="59"/>
      <w:bookmarkEnd w:id="60"/>
    </w:p>
    <w:p>
      <w:pPr>
        <w:pStyle w:val="27"/>
        <w:rPr>
          <w:rFonts w:ascii="Times New Roman"/>
        </w:rPr>
      </w:pPr>
      <w:r>
        <w:rPr>
          <w:rFonts w:ascii="Times New Roman"/>
        </w:rPr>
        <w:t>技术要求：</w:t>
      </w:r>
    </w:p>
    <w:p>
      <w:pPr>
        <w:pStyle w:val="27"/>
        <w:rPr>
          <w:rFonts w:ascii="Times New Roman"/>
        </w:rPr>
      </w:pPr>
      <w:r>
        <w:rPr>
          <w:rFonts w:ascii="Times New Roman"/>
        </w:rPr>
        <w:t>a）放置卡瓦要时刻注意避开光缆</w:t>
      </w:r>
      <w:r>
        <w:rPr>
          <w:rFonts w:hint="eastAsia" w:ascii="Times New Roman"/>
        </w:rPr>
        <w:t>；</w:t>
      </w:r>
    </w:p>
    <w:p>
      <w:pPr>
        <w:pStyle w:val="27"/>
        <w:rPr>
          <w:rFonts w:ascii="Times New Roman"/>
        </w:rPr>
      </w:pPr>
      <w:r>
        <w:rPr>
          <w:rFonts w:ascii="Times New Roman"/>
        </w:rPr>
        <w:t>b）套管下放要平缓，防止猛提猛下套管，不能旋转套管</w:t>
      </w:r>
      <w:r>
        <w:rPr>
          <w:rFonts w:hint="eastAsia" w:ascii="Times New Roman"/>
        </w:rPr>
        <w:t>；</w:t>
      </w:r>
    </w:p>
    <w:p>
      <w:pPr>
        <w:pStyle w:val="27"/>
        <w:rPr>
          <w:rFonts w:ascii="Times New Roman"/>
        </w:rPr>
      </w:pPr>
      <w:r>
        <w:rPr>
          <w:rFonts w:ascii="Times New Roman"/>
        </w:rPr>
        <w:t>c）安装两根不同结构的光缆，水平段主副缆呈90°夹角，可以提高避射成功率</w:t>
      </w:r>
      <w:r>
        <w:rPr>
          <w:rFonts w:hint="eastAsia" w:ascii="Times New Roman"/>
        </w:rPr>
        <w:t>；</w:t>
      </w:r>
    </w:p>
    <w:p>
      <w:pPr>
        <w:pStyle w:val="27"/>
        <w:rPr>
          <w:rFonts w:ascii="Times New Roman"/>
        </w:rPr>
      </w:pPr>
      <w:r>
        <w:rPr>
          <w:rFonts w:ascii="Times New Roman"/>
        </w:rPr>
        <w:t>d）下光缆时，要注意遮盖井口，防止工具掉入井内</w:t>
      </w:r>
      <w:r>
        <w:rPr>
          <w:rFonts w:hint="eastAsia" w:ascii="Times New Roman"/>
        </w:rPr>
        <w:t>；</w:t>
      </w:r>
    </w:p>
    <w:p>
      <w:pPr>
        <w:pStyle w:val="27"/>
        <w:rPr>
          <w:rFonts w:ascii="Times New Roman"/>
        </w:rPr>
      </w:pPr>
      <w:r>
        <w:rPr>
          <w:rFonts w:ascii="Times New Roman"/>
        </w:rPr>
        <w:t>e）平台操作人员要注意站位，不能遮挡司钻视线</w:t>
      </w:r>
      <w:r>
        <w:rPr>
          <w:rFonts w:hint="eastAsia" w:ascii="Times New Roman"/>
        </w:rPr>
        <w:t>；</w:t>
      </w:r>
    </w:p>
    <w:p>
      <w:pPr>
        <w:pStyle w:val="27"/>
        <w:rPr>
          <w:rFonts w:ascii="Times New Roman"/>
        </w:rPr>
      </w:pPr>
      <w:r>
        <w:rPr>
          <w:rFonts w:ascii="Times New Roman"/>
        </w:rPr>
        <w:t>f）操作要平稳，螺丝要拧紧，防止本体环等滑脱。既要保证施工过程中光缆不受损坏，又要保证套管顺利下入井底，动态监测时不影响油井的正常生产及日常管理维护工作</w:t>
      </w:r>
      <w:r>
        <w:rPr>
          <w:rFonts w:hint="eastAsia" w:ascii="Times New Roman"/>
        </w:rPr>
        <w:t>；</w:t>
      </w:r>
    </w:p>
    <w:p>
      <w:pPr>
        <w:pStyle w:val="27"/>
        <w:rPr>
          <w:rFonts w:ascii="Times New Roman"/>
        </w:rPr>
      </w:pPr>
      <w:r>
        <w:rPr>
          <w:rFonts w:ascii="Times New Roman"/>
        </w:rPr>
        <w:t>g）套管头穿越出的光缆要做好防护。</w:t>
      </w:r>
    </w:p>
    <w:p>
      <w:pPr>
        <w:pStyle w:val="32"/>
        <w:numPr>
          <w:ilvl w:val="1"/>
          <w:numId w:val="2"/>
        </w:numPr>
      </w:pPr>
      <w:bookmarkStart w:id="61" w:name="_Toc90127409"/>
      <w:bookmarkStart w:id="62" w:name="_Toc19335"/>
      <w:r>
        <w:t>安全管理</w:t>
      </w:r>
      <w:bookmarkEnd w:id="61"/>
      <w:bookmarkEnd w:id="62"/>
    </w:p>
    <w:p>
      <w:pPr>
        <w:pStyle w:val="27"/>
        <w:rPr>
          <w:rFonts w:ascii="Times New Roman"/>
        </w:rPr>
      </w:pPr>
      <w:r>
        <w:rPr>
          <w:rFonts w:ascii="Times New Roman"/>
        </w:rPr>
        <w:t>安全管理需遵循以下原则：</w:t>
      </w:r>
    </w:p>
    <w:p>
      <w:pPr>
        <w:pStyle w:val="27"/>
        <w:rPr>
          <w:rFonts w:ascii="Times New Roman"/>
        </w:rPr>
      </w:pPr>
      <w:r>
        <w:rPr>
          <w:rFonts w:ascii="Times New Roman"/>
        </w:rPr>
        <w:t>a）选择关键点隔离存放危险物料，并采取上锁挂签等措施；</w:t>
      </w:r>
    </w:p>
    <w:p>
      <w:pPr>
        <w:pStyle w:val="27"/>
        <w:rPr>
          <w:rFonts w:ascii="Times New Roman"/>
        </w:rPr>
      </w:pPr>
      <w:r>
        <w:rPr>
          <w:rFonts w:ascii="Times New Roman"/>
        </w:rPr>
        <w:t>b）对于重大风险在开工前制定相应的应急预案，明确预警、接警、报告、指挥、处置、救援、响应、恢复等各环节的应急程序</w:t>
      </w:r>
      <w:r>
        <w:rPr>
          <w:rFonts w:hint="eastAsia" w:ascii="Times New Roman"/>
        </w:rPr>
        <w:t>；</w:t>
      </w:r>
    </w:p>
    <w:p>
      <w:pPr>
        <w:pStyle w:val="27"/>
        <w:rPr>
          <w:rFonts w:ascii="Times New Roman"/>
        </w:rPr>
      </w:pPr>
      <w:r>
        <w:rPr>
          <w:rFonts w:ascii="Times New Roman"/>
        </w:rPr>
        <w:t>c）应急管理要贯彻“以人为本”的理念，坚持“安全第一、预防为主”的基本方针，做到“早发现、早报告、早处置”</w:t>
      </w:r>
      <w:r>
        <w:rPr>
          <w:rFonts w:hint="eastAsia" w:ascii="Times New Roman"/>
        </w:rPr>
        <w:t>；</w:t>
      </w:r>
    </w:p>
    <w:p>
      <w:pPr>
        <w:pStyle w:val="27"/>
        <w:rPr>
          <w:rFonts w:ascii="Times New Roman"/>
        </w:rPr>
      </w:pPr>
      <w:r>
        <w:rPr>
          <w:rFonts w:ascii="Times New Roman"/>
        </w:rPr>
        <w:t>d）坚持“企业负责、区域联动、属地管理、分级落实”的原则，自觉接受当地政府主管部门对突发重大事件应急管理的监督和检查</w:t>
      </w:r>
      <w:r>
        <w:rPr>
          <w:rFonts w:hint="eastAsia" w:ascii="Times New Roman"/>
        </w:rPr>
        <w:t>；</w:t>
      </w:r>
    </w:p>
    <w:p>
      <w:pPr>
        <w:pStyle w:val="27"/>
        <w:rPr>
          <w:rFonts w:ascii="Times New Roman"/>
        </w:rPr>
      </w:pPr>
      <w:r>
        <w:rPr>
          <w:rFonts w:ascii="Times New Roman"/>
        </w:rPr>
        <w:t>e）处置突发事件时要做到“反应迅捷、职责明确、指挥统一、救人优先”，</w:t>
      </w:r>
      <w:bookmarkStart w:id="63" w:name="_Toc510634970"/>
      <w:bookmarkStart w:id="64" w:name="_Toc520364118"/>
      <w:bookmarkStart w:id="65" w:name="_Toc499358547"/>
      <w:bookmarkStart w:id="66" w:name="_Toc499359421"/>
      <w:bookmarkStart w:id="67" w:name="_Toc510849948"/>
      <w:bookmarkStart w:id="68" w:name="_Toc10868689"/>
      <w:bookmarkStart w:id="69" w:name="_Toc499185558"/>
      <w:bookmarkStart w:id="70" w:name="_Toc514567286"/>
      <w:bookmarkStart w:id="71" w:name="_Toc510634770"/>
      <w:bookmarkStart w:id="72" w:name="_Toc499379879"/>
      <w:bookmarkStart w:id="73" w:name="_Toc499525951"/>
      <w:bookmarkStart w:id="74" w:name="_Toc514567841"/>
      <w:bookmarkStart w:id="75" w:name="_Toc282005652"/>
      <w:r>
        <w:rPr>
          <w:rFonts w:ascii="Times New Roman"/>
        </w:rPr>
        <w:t>把事故造成的危害减小到最低限度</w:t>
      </w:r>
      <w:r>
        <w:rPr>
          <w:rFonts w:hint="eastAsia" w:ascii="Times New Roman"/>
        </w:rPr>
        <w:t>。</w:t>
      </w:r>
      <w:bookmarkEnd w:id="63"/>
      <w:bookmarkEnd w:id="64"/>
      <w:bookmarkEnd w:id="65"/>
      <w:bookmarkEnd w:id="66"/>
      <w:bookmarkEnd w:id="67"/>
      <w:bookmarkEnd w:id="68"/>
      <w:bookmarkEnd w:id="69"/>
      <w:bookmarkEnd w:id="70"/>
      <w:bookmarkEnd w:id="71"/>
      <w:bookmarkEnd w:id="72"/>
      <w:bookmarkEnd w:id="73"/>
      <w:bookmarkEnd w:id="74"/>
      <w:bookmarkEnd w:id="75"/>
    </w:p>
    <w:p>
      <w:pPr>
        <w:pStyle w:val="54"/>
        <w:numPr>
          <w:ilvl w:val="0"/>
          <w:numId w:val="2"/>
        </w:numPr>
      </w:pPr>
      <w:bookmarkStart w:id="76" w:name="_Toc13922"/>
      <w:r>
        <w:rPr>
          <w:rFonts w:hint="eastAsia"/>
        </w:rPr>
        <w:t>成果总结</w:t>
      </w:r>
      <w:bookmarkEnd w:id="76"/>
    </w:p>
    <w:p>
      <w:pPr>
        <w:pStyle w:val="32"/>
        <w:numPr>
          <w:ilvl w:val="1"/>
          <w:numId w:val="2"/>
        </w:numPr>
      </w:pPr>
      <w:bookmarkStart w:id="77" w:name="_Toc16925"/>
      <w:r>
        <w:rPr>
          <w:rFonts w:hint="eastAsia"/>
        </w:rPr>
        <w:t>总结报告编写</w:t>
      </w:r>
      <w:bookmarkEnd w:id="77"/>
    </w:p>
    <w:p>
      <w:pPr>
        <w:pStyle w:val="27"/>
      </w:pPr>
      <w:r>
        <w:rPr>
          <w:rFonts w:hint="eastAsia"/>
        </w:rPr>
        <w:t>总结报告的编写内容应至少包括：</w:t>
      </w:r>
    </w:p>
    <w:p>
      <w:pPr>
        <w:pStyle w:val="27"/>
        <w:ind w:firstLineChars="0"/>
      </w:pPr>
      <w:r>
        <w:rPr>
          <w:rFonts w:hint="eastAsia"/>
        </w:rPr>
        <w:t>a）工区概况；</w:t>
      </w:r>
    </w:p>
    <w:p>
      <w:pPr>
        <w:pStyle w:val="27"/>
        <w:ind w:firstLineChars="0"/>
      </w:pPr>
      <w:r>
        <w:rPr>
          <w:rFonts w:hint="eastAsia"/>
        </w:rPr>
        <w:t>b）光缆参数；</w:t>
      </w:r>
    </w:p>
    <w:p>
      <w:pPr>
        <w:pStyle w:val="27"/>
        <w:ind w:firstLineChars="0"/>
      </w:pPr>
      <w:r>
        <w:rPr>
          <w:rFonts w:hint="eastAsia"/>
        </w:rPr>
        <w:t>c）辅助工具数量及安装位置；</w:t>
      </w:r>
    </w:p>
    <w:p>
      <w:pPr>
        <w:pStyle w:val="27"/>
        <w:ind w:firstLineChars="0"/>
      </w:pPr>
      <w:r>
        <w:rPr>
          <w:rFonts w:hint="eastAsia"/>
        </w:rPr>
        <w:t>d）安装时间；</w:t>
      </w:r>
    </w:p>
    <w:p>
      <w:pPr>
        <w:pStyle w:val="27"/>
        <w:ind w:firstLineChars="0"/>
      </w:pPr>
      <w:r>
        <w:rPr>
          <w:rFonts w:hint="eastAsia"/>
        </w:rPr>
        <w:t>e）光缆测试情况；</w:t>
      </w:r>
    </w:p>
    <w:p>
      <w:pPr>
        <w:pStyle w:val="27"/>
        <w:ind w:firstLineChars="0"/>
      </w:pPr>
      <w:r>
        <w:rPr>
          <w:rFonts w:hint="eastAsia"/>
        </w:rPr>
        <w:t>f）结论和建议。</w:t>
      </w:r>
    </w:p>
    <w:p>
      <w:pPr>
        <w:pStyle w:val="32"/>
        <w:numPr>
          <w:ilvl w:val="1"/>
          <w:numId w:val="2"/>
        </w:numPr>
      </w:pPr>
      <w:bookmarkStart w:id="78" w:name="_Toc89963477"/>
      <w:bookmarkStart w:id="79" w:name="_Toc24499"/>
      <w:r>
        <w:rPr>
          <w:rFonts w:hint="eastAsia"/>
        </w:rPr>
        <w:t>资料归档</w:t>
      </w:r>
      <w:bookmarkEnd w:id="78"/>
      <w:bookmarkEnd w:id="79"/>
    </w:p>
    <w:p>
      <w:pPr>
        <w:pStyle w:val="27"/>
      </w:pPr>
      <w:r>
        <w:rPr>
          <w:rFonts w:hint="eastAsia"/>
        </w:rPr>
        <w:t>光缆安置交付的资料宜为电子资料，包含：</w:t>
      </w:r>
    </w:p>
    <w:p>
      <w:pPr>
        <w:pStyle w:val="27"/>
      </w:pPr>
      <w:r>
        <w:rPr>
          <w:rFonts w:hint="eastAsia"/>
        </w:rPr>
        <w:t>a）光缆安置设计；</w:t>
      </w:r>
    </w:p>
    <w:p>
      <w:pPr>
        <w:pStyle w:val="27"/>
      </w:pPr>
      <w:r>
        <w:rPr>
          <w:rFonts w:hint="eastAsia"/>
        </w:rPr>
        <w:t>b）光缆安置总结报告。</w:t>
      </w:r>
    </w:p>
    <w:p>
      <w:pPr>
        <w:rPr>
          <w:szCs w:val="22"/>
        </w:rPr>
      </w:pPr>
    </w:p>
    <w:p>
      <w:pPr>
        <w:pStyle w:val="27"/>
      </w:pPr>
    </w:p>
    <w:p>
      <w:pPr>
        <w:pStyle w:val="27"/>
        <w:rPr>
          <w:rFonts w:ascii="Times New Roman"/>
        </w:rPr>
      </w:pPr>
    </w:p>
    <w:p>
      <w:pPr>
        <w:pStyle w:val="27"/>
        <w:spacing w:line="300" w:lineRule="auto"/>
        <w:rPr>
          <w:rFonts w:ascii="Times New Roman"/>
        </w:rPr>
        <w:sectPr>
          <w:headerReference r:id="rId10" w:type="default"/>
          <w:footerReference r:id="rId12" w:type="default"/>
          <w:headerReference r:id="rId11" w:type="even"/>
          <w:footerReference r:id="rId13" w:type="even"/>
          <w:pgSz w:w="11906" w:h="16838"/>
          <w:pgMar w:top="1440" w:right="1134" w:bottom="1440" w:left="1418" w:header="850" w:footer="1134" w:gutter="0"/>
          <w:pgNumType w:start="1"/>
          <w:cols w:space="720" w:num="1"/>
          <w:docGrid w:type="lines" w:linePitch="312" w:charSpace="0"/>
        </w:sectPr>
      </w:pPr>
    </w:p>
    <w:bookmarkEnd w:id="55"/>
    <w:bookmarkEnd w:id="56"/>
    <w:bookmarkEnd w:id="57"/>
    <w:p>
      <w:pPr>
        <w:pStyle w:val="54"/>
        <w:jc w:val="center"/>
        <w:rPr>
          <w:rFonts w:ascii="Times New Roman"/>
        </w:rPr>
      </w:pPr>
      <w:bookmarkStart w:id="80" w:name="_Toc5006"/>
      <w:r>
        <w:rPr>
          <w:rFonts w:ascii="Times New Roman"/>
        </w:rPr>
        <w:t>附 录 A</w:t>
      </w:r>
      <w:bookmarkEnd w:id="80"/>
    </w:p>
    <w:p>
      <w:pPr>
        <w:pStyle w:val="27"/>
        <w:snapToGrid w:val="0"/>
        <w:ind w:firstLine="0" w:firstLineChars="0"/>
        <w:jc w:val="center"/>
        <w:outlineLvl w:val="1"/>
        <w:rPr>
          <w:rFonts w:ascii="Times New Roman" w:eastAsia="黑体"/>
        </w:rPr>
      </w:pPr>
      <w:bookmarkStart w:id="81" w:name="_Toc9564"/>
      <w:r>
        <w:rPr>
          <w:rFonts w:ascii="Times New Roman" w:eastAsia="黑体"/>
        </w:rPr>
        <w:t>套管外</w:t>
      </w:r>
      <w:r>
        <w:rPr>
          <w:rFonts w:hint="eastAsia" w:ascii="Times New Roman" w:eastAsia="黑体"/>
        </w:rPr>
        <w:t>光缆</w:t>
      </w:r>
      <w:r>
        <w:rPr>
          <w:rFonts w:ascii="Times New Roman" w:eastAsia="黑体"/>
        </w:rPr>
        <w:t>下井保护器（资料性附录）</w:t>
      </w:r>
      <w:bookmarkEnd w:id="81"/>
    </w:p>
    <w:p>
      <w:pPr>
        <w:ind w:firstLine="315" w:firstLineChars="150"/>
        <w:jc w:val="left"/>
      </w:pPr>
    </w:p>
    <w:p>
      <w:pPr>
        <w:jc w:val="center"/>
        <w:rPr>
          <w:rFonts w:eastAsia="黑体"/>
          <w:kern w:val="0"/>
          <w:szCs w:val="20"/>
        </w:rPr>
      </w:pPr>
      <w:r>
        <w:rPr>
          <w:rFonts w:eastAsia="黑体"/>
          <w:kern w:val="0"/>
          <w:szCs w:val="20"/>
        </w:rPr>
        <w:t xml:space="preserve">图A.1 </w:t>
      </w:r>
      <w:r>
        <w:rPr>
          <w:rFonts w:hint="eastAsia" w:eastAsia="黑体"/>
          <w:kern w:val="0"/>
          <w:szCs w:val="20"/>
        </w:rPr>
        <w:t>光缆</w:t>
      </w:r>
      <w:r>
        <w:rPr>
          <w:rFonts w:eastAsia="黑体"/>
          <w:kern w:val="0"/>
          <w:szCs w:val="20"/>
        </w:rPr>
        <w:t>下井扶正器结构图</w:t>
      </w:r>
    </w:p>
    <w:p>
      <w:pPr>
        <w:pStyle w:val="27"/>
        <w:ind w:left="315" w:hanging="315" w:hangingChars="150"/>
        <w:jc w:val="center"/>
        <w:rPr>
          <w:rFonts w:ascii="Times New Roman"/>
        </w:rPr>
      </w:pPr>
      <w:r>
        <w:rPr>
          <w:rFonts w:ascii="Times New Roman"/>
        </w:rPr>
        <w:drawing>
          <wp:inline distT="0" distB="0" distL="0" distR="0">
            <wp:extent cx="5748655" cy="3242945"/>
            <wp:effectExtent l="0" t="0" r="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48655" cy="3242945"/>
                    </a:xfrm>
                    <a:prstGeom prst="rect">
                      <a:avLst/>
                    </a:prstGeom>
                    <a:noFill/>
                    <a:ln>
                      <a:noFill/>
                    </a:ln>
                    <a:effectLst/>
                  </pic:spPr>
                </pic:pic>
              </a:graphicData>
            </a:graphic>
          </wp:inline>
        </w:drawing>
      </w:r>
    </w:p>
    <w:p>
      <w:pPr>
        <w:jc w:val="center"/>
        <w:rPr>
          <w:rFonts w:eastAsia="黑体"/>
          <w:kern w:val="0"/>
          <w:szCs w:val="20"/>
        </w:rPr>
      </w:pPr>
    </w:p>
    <w:p>
      <w:pPr>
        <w:jc w:val="center"/>
        <w:rPr>
          <w:rFonts w:eastAsia="黑体"/>
          <w:kern w:val="0"/>
          <w:szCs w:val="20"/>
        </w:rPr>
      </w:pPr>
      <w:r>
        <w:rPr>
          <w:rFonts w:hint="eastAsia" w:eastAsia="黑体"/>
          <w:kern w:val="0"/>
          <w:szCs w:val="20"/>
        </w:rPr>
        <w:t>图A.2 光缆下井保护器结构图</w:t>
      </w:r>
    </w:p>
    <w:p>
      <w:pPr>
        <w:jc w:val="center"/>
        <w:rPr>
          <w:rFonts w:eastAsia="黑体"/>
          <w:kern w:val="0"/>
          <w:szCs w:val="20"/>
        </w:rPr>
      </w:pPr>
      <w:r>
        <w:drawing>
          <wp:inline distT="0" distB="0" distL="0" distR="0">
            <wp:extent cx="5715000" cy="3242945"/>
            <wp:effectExtent l="0" t="0" r="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5000" cy="3242945"/>
                    </a:xfrm>
                    <a:prstGeom prst="rect">
                      <a:avLst/>
                    </a:prstGeom>
                    <a:noFill/>
                    <a:ln>
                      <a:noFill/>
                    </a:ln>
                    <a:effectLst/>
                  </pic:spPr>
                </pic:pic>
              </a:graphicData>
            </a:graphic>
          </wp:inline>
        </w:drawing>
      </w:r>
    </w:p>
    <w:p>
      <w:pPr>
        <w:pStyle w:val="27"/>
        <w:ind w:left="315" w:hanging="315" w:hangingChars="150"/>
        <w:rPr>
          <w:rFonts w:ascii="Times New Roman"/>
        </w:rPr>
      </w:pPr>
    </w:p>
    <w:p>
      <w:pPr>
        <w:pStyle w:val="27"/>
        <w:ind w:left="315" w:hanging="315" w:hangingChars="150"/>
        <w:rPr>
          <w:rFonts w:ascii="Times New Roman"/>
        </w:rPr>
      </w:pPr>
    </w:p>
    <w:p>
      <w:pPr>
        <w:jc w:val="center"/>
        <w:rPr>
          <w:rFonts w:eastAsia="黑体"/>
          <w:kern w:val="0"/>
          <w:szCs w:val="20"/>
        </w:rPr>
      </w:pPr>
      <w:r>
        <w:rPr>
          <w:rFonts w:hint="eastAsia" w:eastAsia="黑体"/>
          <w:kern w:val="0"/>
          <w:szCs w:val="20"/>
        </w:rPr>
        <w:t>A.3 光缆下井本体环结构图</w:t>
      </w:r>
    </w:p>
    <w:p>
      <w:pPr>
        <w:pStyle w:val="27"/>
        <w:ind w:left="315" w:hanging="315" w:hangingChars="150"/>
        <w:jc w:val="center"/>
        <w:rPr>
          <w:rFonts w:ascii="Times New Roman"/>
        </w:rPr>
      </w:pPr>
      <w:r>
        <w:rPr>
          <w:rFonts w:ascii="Times New Roman"/>
        </w:rPr>
        <w:drawing>
          <wp:inline distT="0" distB="0" distL="0" distR="0">
            <wp:extent cx="6158230" cy="3242945"/>
            <wp:effectExtent l="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noChangeArrowheads="1"/>
                    </pic:cNvPicPr>
                  </pic:nvPicPr>
                  <pic:blipFill>
                    <a:blip r:embed="rId17">
                      <a:extLst>
                        <a:ext uri="{28A0092B-C50C-407E-A947-70E740481C1C}">
                          <a14:useLocalDpi xmlns:a14="http://schemas.microsoft.com/office/drawing/2010/main" val="0"/>
                        </a:ext>
                      </a:extLst>
                    </a:blip>
                    <a:srcRect r="901"/>
                    <a:stretch>
                      <a:fillRect/>
                    </a:stretch>
                  </pic:blipFill>
                  <pic:spPr>
                    <a:xfrm>
                      <a:off x="0" y="0"/>
                      <a:ext cx="6158753" cy="3242945"/>
                    </a:xfrm>
                    <a:prstGeom prst="rect">
                      <a:avLst/>
                    </a:prstGeom>
                    <a:noFill/>
                    <a:ln>
                      <a:noFill/>
                    </a:ln>
                    <a:effectLst/>
                  </pic:spPr>
                </pic:pic>
              </a:graphicData>
            </a:graphic>
          </wp:inline>
        </w:drawing>
      </w:r>
    </w:p>
    <w:sectPr>
      <w:pgSz w:w="11906" w:h="16838"/>
      <w:pgMar w:top="1440" w:right="1134" w:bottom="1440" w:left="1418" w:header="850" w:footer="1134" w:gutter="0"/>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PAGE   \* MERGEFORMAT</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w:instrText>
    </w:r>
    <w:r>
      <w:fldChar w:fldCharType="separate"/>
    </w:r>
    <w:r>
      <w:t>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spacing w:before="0"/>
      <w:ind w:right="0"/>
    </w:pPr>
    <w:r>
      <w:fldChar w:fldCharType="begin"/>
    </w:r>
    <w:r>
      <w:instrText xml:space="preserve"> PAGE  \* MERGEFORMAT </w:instrText>
    </w:r>
    <w:r>
      <w:fldChar w:fldCharType="separate"/>
    </w:r>
    <w: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PAGE   \* MERGEFORMAT</w:instrText>
    </w:r>
    <w:r>
      <w:fldChar w:fldCharType="separate"/>
    </w:r>
    <w:r>
      <w:rPr>
        <w:lang w:val="zh-CN"/>
      </w:rPr>
      <w:t>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wordWrap w:val="0"/>
      <w:spacing w:after="0"/>
      <w:ind w:firstLine="420"/>
    </w:pPr>
    <w:r>
      <w:rPr>
        <w:rFonts w:hint="eastAsia"/>
      </w:rPr>
      <w:t>Q</w:t>
    </w:r>
    <w:r>
      <w:t>/</w:t>
    </w:r>
    <w:r>
      <w:rPr>
        <w:rFonts w:hint="eastAsia"/>
      </w:rPr>
      <w:t>ZJYT ZJ0001_2020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adjustRightInd w:val="0"/>
      <w:snapToGrid w:val="0"/>
      <w:spacing w:after="0"/>
      <w:jc w:val="left"/>
    </w:pPr>
    <w:r>
      <w:rPr>
        <w:rFonts w:hint="eastAsia"/>
      </w:rPr>
      <w:t>SY ******_202</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adjustRightInd w:val="0"/>
      <w:snapToGrid w:val="0"/>
      <w:spacing w:after="0"/>
    </w:pPr>
    <w:r>
      <w:rPr>
        <w:rFonts w:hint="eastAsia"/>
      </w:rPr>
      <w:t>Q/SY ****-2020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t>Q/SY BGP</w:t>
    </w:r>
    <w:r>
      <w:rPr>
        <w:rFonts w:hAnsi="宋体"/>
      </w:rPr>
      <w:t>·</w:t>
    </w:r>
    <w:r>
      <w:t>K1256</w:t>
    </w:r>
    <w:r>
      <w:rPr>
        <w:rFonts w:hint="eastAsia"/>
      </w:rPr>
      <w:t>—</w:t>
    </w:r>
    <w:r>
      <w:t>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wordWrap w:val="0"/>
      <w:spacing w:after="0"/>
    </w:pPr>
    <w:r>
      <w:rPr>
        <w:rFonts w:hint="eastAsia"/>
      </w:rPr>
      <w:t>SY ****-2021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adjustRightInd w:val="0"/>
      <w:snapToGrid w:val="0"/>
      <w:spacing w:after="0"/>
      <w:jc w:val="left"/>
    </w:pPr>
    <w:r>
      <w:t>Q/</w:t>
    </w:r>
    <w:r>
      <w:rPr>
        <w:rFonts w:hint="eastAsia"/>
      </w:rPr>
      <w:t>SY</w:t>
    </w:r>
    <w:r>
      <w:t xml:space="preserve"> </w:t>
    </w:r>
    <w:r>
      <w:rPr>
        <w:rFonts w:hint="eastAsia"/>
      </w:rPr>
      <w:t>****-</w:t>
    </w:r>
    <w:r>
      <w:t>20</w:t>
    </w:r>
    <w:r>
      <w:rPr>
        <w:rFonts w:hint="eastAsia"/>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284"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3B59781F"/>
    <w:multiLevelType w:val="multilevel"/>
    <w:tmpl w:val="3B59781F"/>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63D62AD"/>
    <w:multiLevelType w:val="multilevel"/>
    <w:tmpl w:val="463D62AD"/>
    <w:lvl w:ilvl="0" w:tentative="0">
      <w:start w:val="1"/>
      <w:numFmt w:val="lowerLetter"/>
      <w:lvlText w:val="%1）"/>
      <w:lvlJc w:val="left"/>
      <w:pPr>
        <w:ind w:left="780" w:hanging="360"/>
      </w:pPr>
      <w:rPr>
        <w:rFonts w:ascii="Times New Roman" w:hAnsi="Times New Roman"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646260FA"/>
    <w:multiLevelType w:val="multilevel"/>
    <w:tmpl w:val="646260FA"/>
    <w:lvl w:ilvl="0" w:tentative="0">
      <w:start w:val="1"/>
      <w:numFmt w:val="decimal"/>
      <w:pStyle w:val="52"/>
      <w:suff w:val="nothing"/>
      <w:lvlText w:val="表%1　"/>
      <w:lvlJc w:val="left"/>
      <w:pPr>
        <w:ind w:left="0" w:firstLine="0"/>
      </w:pPr>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418"/>
        </w:tabs>
        <w:ind w:left="1418" w:hanging="567"/>
      </w:pPr>
      <w:rPr>
        <w:rFonts w:cs="Times New Roman"/>
      </w:rPr>
    </w:lvl>
    <w:lvl w:ilvl="3" w:tentative="0">
      <w:start w:val="1"/>
      <w:numFmt w:val="decimal"/>
      <w:lvlText w:val="%1.%2.%3.%4"/>
      <w:lvlJc w:val="left"/>
      <w:pPr>
        <w:tabs>
          <w:tab w:val="left" w:pos="1984"/>
        </w:tabs>
        <w:ind w:left="1984" w:hanging="708"/>
      </w:pPr>
      <w:rPr>
        <w:rFonts w:cs="Times New Roman"/>
      </w:rPr>
    </w:lvl>
    <w:lvl w:ilvl="4" w:tentative="0">
      <w:start w:val="1"/>
      <w:numFmt w:val="decimal"/>
      <w:lvlText w:val="%1.%2.%3.%4.%5"/>
      <w:lvlJc w:val="left"/>
      <w:pPr>
        <w:tabs>
          <w:tab w:val="left" w:pos="2551"/>
        </w:tabs>
        <w:ind w:left="2551" w:hanging="850"/>
      </w:pPr>
      <w:rPr>
        <w:rFonts w:cs="Times New Roman"/>
      </w:rPr>
    </w:lvl>
    <w:lvl w:ilvl="5" w:tentative="0">
      <w:start w:val="1"/>
      <w:numFmt w:val="decimal"/>
      <w:lvlText w:val="%1.%2.%3.%4.%5.%6"/>
      <w:lvlJc w:val="left"/>
      <w:pPr>
        <w:tabs>
          <w:tab w:val="left" w:pos="3260"/>
        </w:tabs>
        <w:ind w:left="3260" w:hanging="1134"/>
      </w:pPr>
      <w:rPr>
        <w:rFonts w:cs="Times New Roman"/>
      </w:rPr>
    </w:lvl>
    <w:lvl w:ilvl="6" w:tentative="0">
      <w:start w:val="1"/>
      <w:numFmt w:val="decimal"/>
      <w:lvlText w:val="%1.%2.%3.%4.%5.%6.%7"/>
      <w:lvlJc w:val="left"/>
      <w:pPr>
        <w:tabs>
          <w:tab w:val="left" w:pos="3827"/>
        </w:tabs>
        <w:ind w:left="3827" w:hanging="1276"/>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yYjcxMDExODE1NTYzZTRkMDc1YzE1ODE3OGZjNmEifQ=="/>
  </w:docVars>
  <w:rsids>
    <w:rsidRoot w:val="0083069F"/>
    <w:rsid w:val="00002CA4"/>
    <w:rsid w:val="00003D36"/>
    <w:rsid w:val="00012D95"/>
    <w:rsid w:val="000140EE"/>
    <w:rsid w:val="000142C7"/>
    <w:rsid w:val="00025A89"/>
    <w:rsid w:val="00027DBD"/>
    <w:rsid w:val="00033FB7"/>
    <w:rsid w:val="00034694"/>
    <w:rsid w:val="00044999"/>
    <w:rsid w:val="000504F5"/>
    <w:rsid w:val="00050915"/>
    <w:rsid w:val="000529CB"/>
    <w:rsid w:val="0006137C"/>
    <w:rsid w:val="00061781"/>
    <w:rsid w:val="000634B1"/>
    <w:rsid w:val="00064AC6"/>
    <w:rsid w:val="0006517E"/>
    <w:rsid w:val="00066210"/>
    <w:rsid w:val="00077441"/>
    <w:rsid w:val="00082FC4"/>
    <w:rsid w:val="00085F19"/>
    <w:rsid w:val="000868B1"/>
    <w:rsid w:val="00086C98"/>
    <w:rsid w:val="00086D11"/>
    <w:rsid w:val="00090A25"/>
    <w:rsid w:val="000926B4"/>
    <w:rsid w:val="00093E72"/>
    <w:rsid w:val="00095309"/>
    <w:rsid w:val="00096326"/>
    <w:rsid w:val="0009676A"/>
    <w:rsid w:val="000971C0"/>
    <w:rsid w:val="000A0A35"/>
    <w:rsid w:val="000A2362"/>
    <w:rsid w:val="000A401E"/>
    <w:rsid w:val="000A4B37"/>
    <w:rsid w:val="000B0BB1"/>
    <w:rsid w:val="000B55C3"/>
    <w:rsid w:val="000B56E0"/>
    <w:rsid w:val="000B6B35"/>
    <w:rsid w:val="000D0A47"/>
    <w:rsid w:val="000D2E30"/>
    <w:rsid w:val="000D5143"/>
    <w:rsid w:val="000D5E98"/>
    <w:rsid w:val="000E14BC"/>
    <w:rsid w:val="000E540B"/>
    <w:rsid w:val="000E5A3D"/>
    <w:rsid w:val="000F015A"/>
    <w:rsid w:val="000F2001"/>
    <w:rsid w:val="000F4545"/>
    <w:rsid w:val="00100906"/>
    <w:rsid w:val="00102C70"/>
    <w:rsid w:val="00102EF6"/>
    <w:rsid w:val="00104561"/>
    <w:rsid w:val="00105599"/>
    <w:rsid w:val="00105747"/>
    <w:rsid w:val="001073DD"/>
    <w:rsid w:val="001122F2"/>
    <w:rsid w:val="00114A9A"/>
    <w:rsid w:val="00116664"/>
    <w:rsid w:val="001220E5"/>
    <w:rsid w:val="00124322"/>
    <w:rsid w:val="00126AE5"/>
    <w:rsid w:val="00130E91"/>
    <w:rsid w:val="00133F51"/>
    <w:rsid w:val="001343D9"/>
    <w:rsid w:val="00134725"/>
    <w:rsid w:val="0015211B"/>
    <w:rsid w:val="00156FC8"/>
    <w:rsid w:val="001570D9"/>
    <w:rsid w:val="00157277"/>
    <w:rsid w:val="001627AC"/>
    <w:rsid w:val="001665D0"/>
    <w:rsid w:val="0017188E"/>
    <w:rsid w:val="00172494"/>
    <w:rsid w:val="0017388A"/>
    <w:rsid w:val="00174533"/>
    <w:rsid w:val="00175272"/>
    <w:rsid w:val="001762AF"/>
    <w:rsid w:val="00176760"/>
    <w:rsid w:val="00181301"/>
    <w:rsid w:val="00182AED"/>
    <w:rsid w:val="00183A2E"/>
    <w:rsid w:val="00190B09"/>
    <w:rsid w:val="00191648"/>
    <w:rsid w:val="00193DF0"/>
    <w:rsid w:val="0019756E"/>
    <w:rsid w:val="001A0B3F"/>
    <w:rsid w:val="001A3271"/>
    <w:rsid w:val="001A34AC"/>
    <w:rsid w:val="001A4D60"/>
    <w:rsid w:val="001A5059"/>
    <w:rsid w:val="001B2389"/>
    <w:rsid w:val="001B278E"/>
    <w:rsid w:val="001B6A6F"/>
    <w:rsid w:val="001C56B6"/>
    <w:rsid w:val="001C7EC6"/>
    <w:rsid w:val="001D2250"/>
    <w:rsid w:val="001D38B4"/>
    <w:rsid w:val="001D6F6B"/>
    <w:rsid w:val="001E1CAD"/>
    <w:rsid w:val="001E5BA2"/>
    <w:rsid w:val="001F0174"/>
    <w:rsid w:val="001F1935"/>
    <w:rsid w:val="001F2011"/>
    <w:rsid w:val="001F3183"/>
    <w:rsid w:val="001F5540"/>
    <w:rsid w:val="002001FF"/>
    <w:rsid w:val="002020ED"/>
    <w:rsid w:val="0020308F"/>
    <w:rsid w:val="00204D37"/>
    <w:rsid w:val="00211C23"/>
    <w:rsid w:val="00212F5F"/>
    <w:rsid w:val="00214121"/>
    <w:rsid w:val="00216544"/>
    <w:rsid w:val="00223682"/>
    <w:rsid w:val="00223E6F"/>
    <w:rsid w:val="002309D3"/>
    <w:rsid w:val="00230BF8"/>
    <w:rsid w:val="00233B81"/>
    <w:rsid w:val="00234D8D"/>
    <w:rsid w:val="0023640B"/>
    <w:rsid w:val="00237EF3"/>
    <w:rsid w:val="002413D7"/>
    <w:rsid w:val="002413F5"/>
    <w:rsid w:val="00243DAE"/>
    <w:rsid w:val="00256260"/>
    <w:rsid w:val="002602A9"/>
    <w:rsid w:val="00260647"/>
    <w:rsid w:val="0026268E"/>
    <w:rsid w:val="00264393"/>
    <w:rsid w:val="002647A6"/>
    <w:rsid w:val="00265DE5"/>
    <w:rsid w:val="00273044"/>
    <w:rsid w:val="00280802"/>
    <w:rsid w:val="0029303E"/>
    <w:rsid w:val="00294832"/>
    <w:rsid w:val="002958B0"/>
    <w:rsid w:val="00296C47"/>
    <w:rsid w:val="0029703D"/>
    <w:rsid w:val="002A4144"/>
    <w:rsid w:val="002A5407"/>
    <w:rsid w:val="002A600E"/>
    <w:rsid w:val="002A6474"/>
    <w:rsid w:val="002A6AE0"/>
    <w:rsid w:val="002A6E5E"/>
    <w:rsid w:val="002B0DE6"/>
    <w:rsid w:val="002C0928"/>
    <w:rsid w:val="002C7CDA"/>
    <w:rsid w:val="002D15FC"/>
    <w:rsid w:val="002D44C5"/>
    <w:rsid w:val="002D484E"/>
    <w:rsid w:val="002E0D17"/>
    <w:rsid w:val="002E1F8D"/>
    <w:rsid w:val="002E2604"/>
    <w:rsid w:val="002E4D58"/>
    <w:rsid w:val="002E6DC0"/>
    <w:rsid w:val="002F04C5"/>
    <w:rsid w:val="0031058B"/>
    <w:rsid w:val="00310AC8"/>
    <w:rsid w:val="00311FCA"/>
    <w:rsid w:val="00312B53"/>
    <w:rsid w:val="0031348F"/>
    <w:rsid w:val="00315FF9"/>
    <w:rsid w:val="003178D9"/>
    <w:rsid w:val="00320751"/>
    <w:rsid w:val="00320D5A"/>
    <w:rsid w:val="00326078"/>
    <w:rsid w:val="00326F47"/>
    <w:rsid w:val="00331327"/>
    <w:rsid w:val="00332305"/>
    <w:rsid w:val="003336E1"/>
    <w:rsid w:val="00333BC0"/>
    <w:rsid w:val="003375DC"/>
    <w:rsid w:val="00343EC8"/>
    <w:rsid w:val="00344913"/>
    <w:rsid w:val="00353C86"/>
    <w:rsid w:val="0036420B"/>
    <w:rsid w:val="00364799"/>
    <w:rsid w:val="00370005"/>
    <w:rsid w:val="00371678"/>
    <w:rsid w:val="00371FFB"/>
    <w:rsid w:val="0037260A"/>
    <w:rsid w:val="003746EA"/>
    <w:rsid w:val="003765B0"/>
    <w:rsid w:val="0038486C"/>
    <w:rsid w:val="00385015"/>
    <w:rsid w:val="00386DF6"/>
    <w:rsid w:val="00387FE2"/>
    <w:rsid w:val="00390F3A"/>
    <w:rsid w:val="00391095"/>
    <w:rsid w:val="003912A1"/>
    <w:rsid w:val="003931A3"/>
    <w:rsid w:val="003944FD"/>
    <w:rsid w:val="003A31CC"/>
    <w:rsid w:val="003A3FEB"/>
    <w:rsid w:val="003A6FD5"/>
    <w:rsid w:val="003A7213"/>
    <w:rsid w:val="003B068E"/>
    <w:rsid w:val="003B798D"/>
    <w:rsid w:val="003C27A5"/>
    <w:rsid w:val="003C42E2"/>
    <w:rsid w:val="003C7EA5"/>
    <w:rsid w:val="003D3EAF"/>
    <w:rsid w:val="003E03A3"/>
    <w:rsid w:val="003E5966"/>
    <w:rsid w:val="003F3A78"/>
    <w:rsid w:val="003F3FED"/>
    <w:rsid w:val="003F4E05"/>
    <w:rsid w:val="003F5440"/>
    <w:rsid w:val="00405177"/>
    <w:rsid w:val="004064C5"/>
    <w:rsid w:val="004101E2"/>
    <w:rsid w:val="004152A8"/>
    <w:rsid w:val="00417076"/>
    <w:rsid w:val="00420A65"/>
    <w:rsid w:val="004250C1"/>
    <w:rsid w:val="00425AEA"/>
    <w:rsid w:val="004273F0"/>
    <w:rsid w:val="004349AB"/>
    <w:rsid w:val="00436083"/>
    <w:rsid w:val="0044014E"/>
    <w:rsid w:val="00441620"/>
    <w:rsid w:val="00444C65"/>
    <w:rsid w:val="00446115"/>
    <w:rsid w:val="004464E2"/>
    <w:rsid w:val="00452865"/>
    <w:rsid w:val="00455BF6"/>
    <w:rsid w:val="00456A08"/>
    <w:rsid w:val="0046321F"/>
    <w:rsid w:val="00471B27"/>
    <w:rsid w:val="00474FF5"/>
    <w:rsid w:val="004860B1"/>
    <w:rsid w:val="00487383"/>
    <w:rsid w:val="00495073"/>
    <w:rsid w:val="004954BF"/>
    <w:rsid w:val="00495FE6"/>
    <w:rsid w:val="00497CE9"/>
    <w:rsid w:val="004A05B4"/>
    <w:rsid w:val="004A1C35"/>
    <w:rsid w:val="004A2137"/>
    <w:rsid w:val="004A393F"/>
    <w:rsid w:val="004A5CB4"/>
    <w:rsid w:val="004B1613"/>
    <w:rsid w:val="004C1661"/>
    <w:rsid w:val="004D2353"/>
    <w:rsid w:val="004D369A"/>
    <w:rsid w:val="004D3A8B"/>
    <w:rsid w:val="004D4351"/>
    <w:rsid w:val="004D6D21"/>
    <w:rsid w:val="004E13E5"/>
    <w:rsid w:val="004E1C99"/>
    <w:rsid w:val="004E3FA7"/>
    <w:rsid w:val="004E4A4C"/>
    <w:rsid w:val="004E61F0"/>
    <w:rsid w:val="004E7C98"/>
    <w:rsid w:val="004F1994"/>
    <w:rsid w:val="004F7770"/>
    <w:rsid w:val="00500206"/>
    <w:rsid w:val="00507A2C"/>
    <w:rsid w:val="00513A3D"/>
    <w:rsid w:val="00521587"/>
    <w:rsid w:val="00521F8A"/>
    <w:rsid w:val="0052265A"/>
    <w:rsid w:val="0052602D"/>
    <w:rsid w:val="005321AB"/>
    <w:rsid w:val="00532D51"/>
    <w:rsid w:val="005368F6"/>
    <w:rsid w:val="00545FF0"/>
    <w:rsid w:val="00550573"/>
    <w:rsid w:val="00550F05"/>
    <w:rsid w:val="0055451B"/>
    <w:rsid w:val="00555406"/>
    <w:rsid w:val="00562BF7"/>
    <w:rsid w:val="0056402C"/>
    <w:rsid w:val="005646F9"/>
    <w:rsid w:val="005660AF"/>
    <w:rsid w:val="00574F89"/>
    <w:rsid w:val="00575650"/>
    <w:rsid w:val="0057727E"/>
    <w:rsid w:val="00580ED9"/>
    <w:rsid w:val="0058224B"/>
    <w:rsid w:val="0058331C"/>
    <w:rsid w:val="00587DA1"/>
    <w:rsid w:val="00591E72"/>
    <w:rsid w:val="00592343"/>
    <w:rsid w:val="005941C0"/>
    <w:rsid w:val="00594D36"/>
    <w:rsid w:val="005A3374"/>
    <w:rsid w:val="005A46F1"/>
    <w:rsid w:val="005A6830"/>
    <w:rsid w:val="005A6E91"/>
    <w:rsid w:val="005B19B6"/>
    <w:rsid w:val="005B73AC"/>
    <w:rsid w:val="005C0BCB"/>
    <w:rsid w:val="005C332E"/>
    <w:rsid w:val="005C4E9E"/>
    <w:rsid w:val="005C5420"/>
    <w:rsid w:val="005C78DB"/>
    <w:rsid w:val="005E3456"/>
    <w:rsid w:val="005E4DDC"/>
    <w:rsid w:val="005F07B7"/>
    <w:rsid w:val="005F0F33"/>
    <w:rsid w:val="005F16DD"/>
    <w:rsid w:val="005F77A3"/>
    <w:rsid w:val="00600DB2"/>
    <w:rsid w:val="0060410E"/>
    <w:rsid w:val="0060425C"/>
    <w:rsid w:val="00604C58"/>
    <w:rsid w:val="00606A96"/>
    <w:rsid w:val="006076E4"/>
    <w:rsid w:val="006171AD"/>
    <w:rsid w:val="00621B4B"/>
    <w:rsid w:val="006241E9"/>
    <w:rsid w:val="00626602"/>
    <w:rsid w:val="00640662"/>
    <w:rsid w:val="00641C55"/>
    <w:rsid w:val="00646355"/>
    <w:rsid w:val="00646E0F"/>
    <w:rsid w:val="006476C7"/>
    <w:rsid w:val="00650E85"/>
    <w:rsid w:val="00652757"/>
    <w:rsid w:val="00652875"/>
    <w:rsid w:val="006554B4"/>
    <w:rsid w:val="0065570E"/>
    <w:rsid w:val="00655B5B"/>
    <w:rsid w:val="006575A1"/>
    <w:rsid w:val="00657DD3"/>
    <w:rsid w:val="00665E0A"/>
    <w:rsid w:val="0066684B"/>
    <w:rsid w:val="00670A5F"/>
    <w:rsid w:val="00673E98"/>
    <w:rsid w:val="00686F69"/>
    <w:rsid w:val="00690710"/>
    <w:rsid w:val="00690879"/>
    <w:rsid w:val="00691F58"/>
    <w:rsid w:val="00695245"/>
    <w:rsid w:val="00695657"/>
    <w:rsid w:val="006976FC"/>
    <w:rsid w:val="006A1CC1"/>
    <w:rsid w:val="006A76DF"/>
    <w:rsid w:val="006A7885"/>
    <w:rsid w:val="006B12D2"/>
    <w:rsid w:val="006B2A95"/>
    <w:rsid w:val="006B2F6D"/>
    <w:rsid w:val="006B3900"/>
    <w:rsid w:val="006C111B"/>
    <w:rsid w:val="006C5B12"/>
    <w:rsid w:val="006D2821"/>
    <w:rsid w:val="006D540A"/>
    <w:rsid w:val="006D78C6"/>
    <w:rsid w:val="006E6569"/>
    <w:rsid w:val="006F0ED0"/>
    <w:rsid w:val="006F2189"/>
    <w:rsid w:val="006F2FC7"/>
    <w:rsid w:val="006F4CEE"/>
    <w:rsid w:val="00700092"/>
    <w:rsid w:val="00700E01"/>
    <w:rsid w:val="007010AD"/>
    <w:rsid w:val="00701274"/>
    <w:rsid w:val="0070369C"/>
    <w:rsid w:val="00706EF9"/>
    <w:rsid w:val="00713661"/>
    <w:rsid w:val="00715087"/>
    <w:rsid w:val="00726A17"/>
    <w:rsid w:val="00731E12"/>
    <w:rsid w:val="00732217"/>
    <w:rsid w:val="00733E03"/>
    <w:rsid w:val="00734209"/>
    <w:rsid w:val="007342D5"/>
    <w:rsid w:val="00735299"/>
    <w:rsid w:val="00735E00"/>
    <w:rsid w:val="00736478"/>
    <w:rsid w:val="00737928"/>
    <w:rsid w:val="00741846"/>
    <w:rsid w:val="007441F1"/>
    <w:rsid w:val="00747FAC"/>
    <w:rsid w:val="00750825"/>
    <w:rsid w:val="00752DA0"/>
    <w:rsid w:val="0075580A"/>
    <w:rsid w:val="00757A64"/>
    <w:rsid w:val="00760C00"/>
    <w:rsid w:val="00762744"/>
    <w:rsid w:val="00764BA1"/>
    <w:rsid w:val="00767A35"/>
    <w:rsid w:val="00777257"/>
    <w:rsid w:val="0077743F"/>
    <w:rsid w:val="007842D6"/>
    <w:rsid w:val="007857FD"/>
    <w:rsid w:val="00794641"/>
    <w:rsid w:val="0079640E"/>
    <w:rsid w:val="007A013C"/>
    <w:rsid w:val="007A20EA"/>
    <w:rsid w:val="007B3EF3"/>
    <w:rsid w:val="007B58E3"/>
    <w:rsid w:val="007C036A"/>
    <w:rsid w:val="007C18EC"/>
    <w:rsid w:val="007C37D4"/>
    <w:rsid w:val="007C74BB"/>
    <w:rsid w:val="007D02AA"/>
    <w:rsid w:val="007D1238"/>
    <w:rsid w:val="007D6007"/>
    <w:rsid w:val="007E001E"/>
    <w:rsid w:val="007E0569"/>
    <w:rsid w:val="007E7D03"/>
    <w:rsid w:val="007F38B8"/>
    <w:rsid w:val="007F47AD"/>
    <w:rsid w:val="007F68F5"/>
    <w:rsid w:val="007F6EF0"/>
    <w:rsid w:val="00802875"/>
    <w:rsid w:val="00803F4A"/>
    <w:rsid w:val="00804240"/>
    <w:rsid w:val="00805526"/>
    <w:rsid w:val="008063B4"/>
    <w:rsid w:val="00806930"/>
    <w:rsid w:val="0081599C"/>
    <w:rsid w:val="00816B63"/>
    <w:rsid w:val="00816B7D"/>
    <w:rsid w:val="0082081F"/>
    <w:rsid w:val="00823641"/>
    <w:rsid w:val="008237AD"/>
    <w:rsid w:val="0083069F"/>
    <w:rsid w:val="0083226B"/>
    <w:rsid w:val="00835C0F"/>
    <w:rsid w:val="00836662"/>
    <w:rsid w:val="00854666"/>
    <w:rsid w:val="00855208"/>
    <w:rsid w:val="008576EB"/>
    <w:rsid w:val="0086386A"/>
    <w:rsid w:val="00867D89"/>
    <w:rsid w:val="00870C0E"/>
    <w:rsid w:val="0087155D"/>
    <w:rsid w:val="008773E2"/>
    <w:rsid w:val="008800D9"/>
    <w:rsid w:val="008815AB"/>
    <w:rsid w:val="00883705"/>
    <w:rsid w:val="00891759"/>
    <w:rsid w:val="00896CFD"/>
    <w:rsid w:val="008A1A7F"/>
    <w:rsid w:val="008A5A03"/>
    <w:rsid w:val="008B1938"/>
    <w:rsid w:val="008B335A"/>
    <w:rsid w:val="008B7D54"/>
    <w:rsid w:val="008B7F17"/>
    <w:rsid w:val="008C7DA2"/>
    <w:rsid w:val="008D0931"/>
    <w:rsid w:val="008D0C61"/>
    <w:rsid w:val="008D3287"/>
    <w:rsid w:val="008D3680"/>
    <w:rsid w:val="008E0907"/>
    <w:rsid w:val="008E40CD"/>
    <w:rsid w:val="008E42A3"/>
    <w:rsid w:val="008E5F83"/>
    <w:rsid w:val="008F1A32"/>
    <w:rsid w:val="008F2AB9"/>
    <w:rsid w:val="009005AC"/>
    <w:rsid w:val="00904113"/>
    <w:rsid w:val="00910EF6"/>
    <w:rsid w:val="009112AD"/>
    <w:rsid w:val="00911E0C"/>
    <w:rsid w:val="009143DC"/>
    <w:rsid w:val="00915C39"/>
    <w:rsid w:val="00917BF6"/>
    <w:rsid w:val="00920FD4"/>
    <w:rsid w:val="009215EB"/>
    <w:rsid w:val="00930DC1"/>
    <w:rsid w:val="009377EC"/>
    <w:rsid w:val="00940851"/>
    <w:rsid w:val="00944306"/>
    <w:rsid w:val="00944C8B"/>
    <w:rsid w:val="00944D2F"/>
    <w:rsid w:val="0094582C"/>
    <w:rsid w:val="00947948"/>
    <w:rsid w:val="00950460"/>
    <w:rsid w:val="0095151F"/>
    <w:rsid w:val="009526EF"/>
    <w:rsid w:val="00952F36"/>
    <w:rsid w:val="00960F5A"/>
    <w:rsid w:val="0096102E"/>
    <w:rsid w:val="00964539"/>
    <w:rsid w:val="0096725E"/>
    <w:rsid w:val="00970580"/>
    <w:rsid w:val="00970FE1"/>
    <w:rsid w:val="009736D8"/>
    <w:rsid w:val="009750A7"/>
    <w:rsid w:val="00975D75"/>
    <w:rsid w:val="00976898"/>
    <w:rsid w:val="00980767"/>
    <w:rsid w:val="009818B2"/>
    <w:rsid w:val="00996B41"/>
    <w:rsid w:val="009A0DDA"/>
    <w:rsid w:val="009A1878"/>
    <w:rsid w:val="009A1D69"/>
    <w:rsid w:val="009A1E19"/>
    <w:rsid w:val="009A1F6F"/>
    <w:rsid w:val="009A45A0"/>
    <w:rsid w:val="009A46DA"/>
    <w:rsid w:val="009A68A7"/>
    <w:rsid w:val="009B32B5"/>
    <w:rsid w:val="009B3991"/>
    <w:rsid w:val="009C2AE8"/>
    <w:rsid w:val="009C47CF"/>
    <w:rsid w:val="009D764C"/>
    <w:rsid w:val="009D7714"/>
    <w:rsid w:val="009E0E08"/>
    <w:rsid w:val="009E40A3"/>
    <w:rsid w:val="009E4C2C"/>
    <w:rsid w:val="009E58FC"/>
    <w:rsid w:val="009F1108"/>
    <w:rsid w:val="009F4BE2"/>
    <w:rsid w:val="009F539B"/>
    <w:rsid w:val="009F56C7"/>
    <w:rsid w:val="009F67B9"/>
    <w:rsid w:val="00A007D2"/>
    <w:rsid w:val="00A00980"/>
    <w:rsid w:val="00A034E9"/>
    <w:rsid w:val="00A03540"/>
    <w:rsid w:val="00A05E10"/>
    <w:rsid w:val="00A13049"/>
    <w:rsid w:val="00A17A57"/>
    <w:rsid w:val="00A2385A"/>
    <w:rsid w:val="00A24EF9"/>
    <w:rsid w:val="00A2572C"/>
    <w:rsid w:val="00A32282"/>
    <w:rsid w:val="00A32EC1"/>
    <w:rsid w:val="00A35A12"/>
    <w:rsid w:val="00A361C2"/>
    <w:rsid w:val="00A42F28"/>
    <w:rsid w:val="00A445EE"/>
    <w:rsid w:val="00A45B41"/>
    <w:rsid w:val="00A47965"/>
    <w:rsid w:val="00A50D98"/>
    <w:rsid w:val="00A51330"/>
    <w:rsid w:val="00A548CC"/>
    <w:rsid w:val="00A61F66"/>
    <w:rsid w:val="00A62E88"/>
    <w:rsid w:val="00A65EE5"/>
    <w:rsid w:val="00A66D69"/>
    <w:rsid w:val="00A70BC8"/>
    <w:rsid w:val="00A7389B"/>
    <w:rsid w:val="00A74802"/>
    <w:rsid w:val="00A80ADB"/>
    <w:rsid w:val="00A80E32"/>
    <w:rsid w:val="00A84E98"/>
    <w:rsid w:val="00A8792D"/>
    <w:rsid w:val="00A91B71"/>
    <w:rsid w:val="00A9400F"/>
    <w:rsid w:val="00A9492A"/>
    <w:rsid w:val="00A959A0"/>
    <w:rsid w:val="00AA2581"/>
    <w:rsid w:val="00AA2F2D"/>
    <w:rsid w:val="00AA3A8A"/>
    <w:rsid w:val="00AA4920"/>
    <w:rsid w:val="00AA5269"/>
    <w:rsid w:val="00AB0692"/>
    <w:rsid w:val="00AB1A1E"/>
    <w:rsid w:val="00AB3213"/>
    <w:rsid w:val="00AB579E"/>
    <w:rsid w:val="00AB61BB"/>
    <w:rsid w:val="00AC28F3"/>
    <w:rsid w:val="00AC3CF7"/>
    <w:rsid w:val="00AC5BA6"/>
    <w:rsid w:val="00AC694A"/>
    <w:rsid w:val="00AD3229"/>
    <w:rsid w:val="00AD4195"/>
    <w:rsid w:val="00AD7CEF"/>
    <w:rsid w:val="00AE6CB7"/>
    <w:rsid w:val="00AE793F"/>
    <w:rsid w:val="00AF1EE9"/>
    <w:rsid w:val="00AF39E5"/>
    <w:rsid w:val="00AF3EDC"/>
    <w:rsid w:val="00AF533E"/>
    <w:rsid w:val="00AF53BA"/>
    <w:rsid w:val="00AF5860"/>
    <w:rsid w:val="00AF5AB1"/>
    <w:rsid w:val="00B027F9"/>
    <w:rsid w:val="00B03579"/>
    <w:rsid w:val="00B03A61"/>
    <w:rsid w:val="00B03D95"/>
    <w:rsid w:val="00B066D5"/>
    <w:rsid w:val="00B13300"/>
    <w:rsid w:val="00B159D3"/>
    <w:rsid w:val="00B2100F"/>
    <w:rsid w:val="00B21B07"/>
    <w:rsid w:val="00B220E5"/>
    <w:rsid w:val="00B22FAF"/>
    <w:rsid w:val="00B31EC6"/>
    <w:rsid w:val="00B33066"/>
    <w:rsid w:val="00B340EA"/>
    <w:rsid w:val="00B41DD1"/>
    <w:rsid w:val="00B42122"/>
    <w:rsid w:val="00B430D6"/>
    <w:rsid w:val="00B46234"/>
    <w:rsid w:val="00B564CC"/>
    <w:rsid w:val="00B614C7"/>
    <w:rsid w:val="00B61593"/>
    <w:rsid w:val="00B62C46"/>
    <w:rsid w:val="00B66F46"/>
    <w:rsid w:val="00B7466C"/>
    <w:rsid w:val="00B74985"/>
    <w:rsid w:val="00B81296"/>
    <w:rsid w:val="00B82865"/>
    <w:rsid w:val="00B82F65"/>
    <w:rsid w:val="00B8592F"/>
    <w:rsid w:val="00B86529"/>
    <w:rsid w:val="00B904CF"/>
    <w:rsid w:val="00B91A8E"/>
    <w:rsid w:val="00B947A0"/>
    <w:rsid w:val="00B97C72"/>
    <w:rsid w:val="00BA0F85"/>
    <w:rsid w:val="00BA35B6"/>
    <w:rsid w:val="00BA3672"/>
    <w:rsid w:val="00BA4237"/>
    <w:rsid w:val="00BA53AC"/>
    <w:rsid w:val="00BA6225"/>
    <w:rsid w:val="00BB377E"/>
    <w:rsid w:val="00BB5283"/>
    <w:rsid w:val="00BB7885"/>
    <w:rsid w:val="00BC5A90"/>
    <w:rsid w:val="00BD092B"/>
    <w:rsid w:val="00BD62F1"/>
    <w:rsid w:val="00BE11BF"/>
    <w:rsid w:val="00BF7279"/>
    <w:rsid w:val="00C00BAB"/>
    <w:rsid w:val="00C02AA0"/>
    <w:rsid w:val="00C02FC5"/>
    <w:rsid w:val="00C05BC8"/>
    <w:rsid w:val="00C0612D"/>
    <w:rsid w:val="00C10A3E"/>
    <w:rsid w:val="00C14DE3"/>
    <w:rsid w:val="00C15E43"/>
    <w:rsid w:val="00C163BC"/>
    <w:rsid w:val="00C166BA"/>
    <w:rsid w:val="00C17840"/>
    <w:rsid w:val="00C2191E"/>
    <w:rsid w:val="00C25508"/>
    <w:rsid w:val="00C304B2"/>
    <w:rsid w:val="00C31C27"/>
    <w:rsid w:val="00C34B01"/>
    <w:rsid w:val="00C35574"/>
    <w:rsid w:val="00C3781C"/>
    <w:rsid w:val="00C37FFE"/>
    <w:rsid w:val="00C42937"/>
    <w:rsid w:val="00C451AF"/>
    <w:rsid w:val="00C47AB6"/>
    <w:rsid w:val="00C540E1"/>
    <w:rsid w:val="00C61883"/>
    <w:rsid w:val="00C668AB"/>
    <w:rsid w:val="00C67243"/>
    <w:rsid w:val="00C705F7"/>
    <w:rsid w:val="00C70824"/>
    <w:rsid w:val="00C730F5"/>
    <w:rsid w:val="00C74BDF"/>
    <w:rsid w:val="00C77153"/>
    <w:rsid w:val="00C77908"/>
    <w:rsid w:val="00C77CE1"/>
    <w:rsid w:val="00C81493"/>
    <w:rsid w:val="00C816E0"/>
    <w:rsid w:val="00C82C84"/>
    <w:rsid w:val="00C85747"/>
    <w:rsid w:val="00CA0B34"/>
    <w:rsid w:val="00CA2A63"/>
    <w:rsid w:val="00CA5125"/>
    <w:rsid w:val="00CA541C"/>
    <w:rsid w:val="00CB403F"/>
    <w:rsid w:val="00CB53BE"/>
    <w:rsid w:val="00CB55F0"/>
    <w:rsid w:val="00CB7163"/>
    <w:rsid w:val="00CC258B"/>
    <w:rsid w:val="00CC30B5"/>
    <w:rsid w:val="00CC6F2D"/>
    <w:rsid w:val="00CD090C"/>
    <w:rsid w:val="00CD17E7"/>
    <w:rsid w:val="00CE1A29"/>
    <w:rsid w:val="00CE2641"/>
    <w:rsid w:val="00CE6D72"/>
    <w:rsid w:val="00CE6E70"/>
    <w:rsid w:val="00CE762B"/>
    <w:rsid w:val="00CF1D6C"/>
    <w:rsid w:val="00CF3B46"/>
    <w:rsid w:val="00CF4D48"/>
    <w:rsid w:val="00CF5995"/>
    <w:rsid w:val="00CF59C4"/>
    <w:rsid w:val="00CF6106"/>
    <w:rsid w:val="00D00BB9"/>
    <w:rsid w:val="00D01058"/>
    <w:rsid w:val="00D0334D"/>
    <w:rsid w:val="00D03E04"/>
    <w:rsid w:val="00D1248B"/>
    <w:rsid w:val="00D149E8"/>
    <w:rsid w:val="00D23F79"/>
    <w:rsid w:val="00D303D3"/>
    <w:rsid w:val="00D36281"/>
    <w:rsid w:val="00D37D57"/>
    <w:rsid w:val="00D40916"/>
    <w:rsid w:val="00D4579E"/>
    <w:rsid w:val="00D478B9"/>
    <w:rsid w:val="00D55D74"/>
    <w:rsid w:val="00D60E81"/>
    <w:rsid w:val="00D70962"/>
    <w:rsid w:val="00D71DC8"/>
    <w:rsid w:val="00D7329E"/>
    <w:rsid w:val="00D73C7A"/>
    <w:rsid w:val="00D8148B"/>
    <w:rsid w:val="00D82464"/>
    <w:rsid w:val="00D844BE"/>
    <w:rsid w:val="00D87775"/>
    <w:rsid w:val="00D9098A"/>
    <w:rsid w:val="00D920B8"/>
    <w:rsid w:val="00D92A08"/>
    <w:rsid w:val="00D92DBF"/>
    <w:rsid w:val="00D94054"/>
    <w:rsid w:val="00D945B5"/>
    <w:rsid w:val="00D95528"/>
    <w:rsid w:val="00D97226"/>
    <w:rsid w:val="00D97A5D"/>
    <w:rsid w:val="00DA092F"/>
    <w:rsid w:val="00DA1008"/>
    <w:rsid w:val="00DA1F60"/>
    <w:rsid w:val="00DA2492"/>
    <w:rsid w:val="00DA312E"/>
    <w:rsid w:val="00DA5FB9"/>
    <w:rsid w:val="00DA6AA0"/>
    <w:rsid w:val="00DA7717"/>
    <w:rsid w:val="00DA783D"/>
    <w:rsid w:val="00DB0792"/>
    <w:rsid w:val="00DB1634"/>
    <w:rsid w:val="00DB1A13"/>
    <w:rsid w:val="00DB44BA"/>
    <w:rsid w:val="00DB50BD"/>
    <w:rsid w:val="00DC118A"/>
    <w:rsid w:val="00DC1F37"/>
    <w:rsid w:val="00DC6831"/>
    <w:rsid w:val="00DC7654"/>
    <w:rsid w:val="00DD2113"/>
    <w:rsid w:val="00DD4BFF"/>
    <w:rsid w:val="00DD57FE"/>
    <w:rsid w:val="00DD6729"/>
    <w:rsid w:val="00DD7B4B"/>
    <w:rsid w:val="00DE18C3"/>
    <w:rsid w:val="00DE272B"/>
    <w:rsid w:val="00DE39A4"/>
    <w:rsid w:val="00DE44C8"/>
    <w:rsid w:val="00DE526F"/>
    <w:rsid w:val="00DF3C69"/>
    <w:rsid w:val="00DF4F73"/>
    <w:rsid w:val="00DF6469"/>
    <w:rsid w:val="00DF7576"/>
    <w:rsid w:val="00E046E7"/>
    <w:rsid w:val="00E1037F"/>
    <w:rsid w:val="00E14DA2"/>
    <w:rsid w:val="00E14FF6"/>
    <w:rsid w:val="00E15058"/>
    <w:rsid w:val="00E1577F"/>
    <w:rsid w:val="00E15AC6"/>
    <w:rsid w:val="00E15BE9"/>
    <w:rsid w:val="00E16F78"/>
    <w:rsid w:val="00E16FF4"/>
    <w:rsid w:val="00E21A74"/>
    <w:rsid w:val="00E21DE7"/>
    <w:rsid w:val="00E3009B"/>
    <w:rsid w:val="00E31281"/>
    <w:rsid w:val="00E3192F"/>
    <w:rsid w:val="00E31CF8"/>
    <w:rsid w:val="00E32919"/>
    <w:rsid w:val="00E343FE"/>
    <w:rsid w:val="00E35F63"/>
    <w:rsid w:val="00E44D75"/>
    <w:rsid w:val="00E47D18"/>
    <w:rsid w:val="00E47E16"/>
    <w:rsid w:val="00E51179"/>
    <w:rsid w:val="00E547FF"/>
    <w:rsid w:val="00E5496F"/>
    <w:rsid w:val="00E568A4"/>
    <w:rsid w:val="00E62ED3"/>
    <w:rsid w:val="00E67218"/>
    <w:rsid w:val="00E70983"/>
    <w:rsid w:val="00E70E83"/>
    <w:rsid w:val="00E7114B"/>
    <w:rsid w:val="00E72FE3"/>
    <w:rsid w:val="00E73C5A"/>
    <w:rsid w:val="00E77602"/>
    <w:rsid w:val="00E80C1E"/>
    <w:rsid w:val="00E80F9A"/>
    <w:rsid w:val="00E82997"/>
    <w:rsid w:val="00E87020"/>
    <w:rsid w:val="00E91165"/>
    <w:rsid w:val="00E93084"/>
    <w:rsid w:val="00E968C6"/>
    <w:rsid w:val="00EA40AD"/>
    <w:rsid w:val="00EA5456"/>
    <w:rsid w:val="00EA7696"/>
    <w:rsid w:val="00EB3CD0"/>
    <w:rsid w:val="00EB61FD"/>
    <w:rsid w:val="00EB7158"/>
    <w:rsid w:val="00EC1D5A"/>
    <w:rsid w:val="00EC2AD3"/>
    <w:rsid w:val="00EC39EE"/>
    <w:rsid w:val="00EC69FF"/>
    <w:rsid w:val="00ED006D"/>
    <w:rsid w:val="00ED62FA"/>
    <w:rsid w:val="00EE00AD"/>
    <w:rsid w:val="00EE4A5B"/>
    <w:rsid w:val="00EF1F92"/>
    <w:rsid w:val="00EF28FA"/>
    <w:rsid w:val="00F01D4F"/>
    <w:rsid w:val="00F02570"/>
    <w:rsid w:val="00F03FD9"/>
    <w:rsid w:val="00F04634"/>
    <w:rsid w:val="00F04CCE"/>
    <w:rsid w:val="00F05C67"/>
    <w:rsid w:val="00F07762"/>
    <w:rsid w:val="00F126B5"/>
    <w:rsid w:val="00F13D96"/>
    <w:rsid w:val="00F13EB5"/>
    <w:rsid w:val="00F1423D"/>
    <w:rsid w:val="00F17FFD"/>
    <w:rsid w:val="00F2303E"/>
    <w:rsid w:val="00F266C1"/>
    <w:rsid w:val="00F2696E"/>
    <w:rsid w:val="00F30483"/>
    <w:rsid w:val="00F33E37"/>
    <w:rsid w:val="00F3513E"/>
    <w:rsid w:val="00F4107B"/>
    <w:rsid w:val="00F503F1"/>
    <w:rsid w:val="00F51999"/>
    <w:rsid w:val="00F53D78"/>
    <w:rsid w:val="00F552E1"/>
    <w:rsid w:val="00F57254"/>
    <w:rsid w:val="00F62D5E"/>
    <w:rsid w:val="00F663E1"/>
    <w:rsid w:val="00F718D9"/>
    <w:rsid w:val="00F72006"/>
    <w:rsid w:val="00F72B18"/>
    <w:rsid w:val="00F769AC"/>
    <w:rsid w:val="00F8258B"/>
    <w:rsid w:val="00F8387B"/>
    <w:rsid w:val="00F86AD9"/>
    <w:rsid w:val="00F90C5E"/>
    <w:rsid w:val="00F91953"/>
    <w:rsid w:val="00F960CF"/>
    <w:rsid w:val="00FA6CA7"/>
    <w:rsid w:val="00FB0A35"/>
    <w:rsid w:val="00FB3815"/>
    <w:rsid w:val="00FB5ABA"/>
    <w:rsid w:val="00FB5F40"/>
    <w:rsid w:val="00FC0310"/>
    <w:rsid w:val="00FC601B"/>
    <w:rsid w:val="00FD1BD8"/>
    <w:rsid w:val="00FD2204"/>
    <w:rsid w:val="00FD3476"/>
    <w:rsid w:val="00FD4203"/>
    <w:rsid w:val="00FD4E52"/>
    <w:rsid w:val="00FE3ECF"/>
    <w:rsid w:val="00FE552B"/>
    <w:rsid w:val="00FF0481"/>
    <w:rsid w:val="00FF0D72"/>
    <w:rsid w:val="00FF26CE"/>
    <w:rsid w:val="00FF398A"/>
    <w:rsid w:val="00FF3EBA"/>
    <w:rsid w:val="01022FCB"/>
    <w:rsid w:val="052A5676"/>
    <w:rsid w:val="07354DBA"/>
    <w:rsid w:val="0BFE74DA"/>
    <w:rsid w:val="11B63A95"/>
    <w:rsid w:val="166047BA"/>
    <w:rsid w:val="17FB39DC"/>
    <w:rsid w:val="1EE359F6"/>
    <w:rsid w:val="2CB95E22"/>
    <w:rsid w:val="32244DA7"/>
    <w:rsid w:val="32D02A94"/>
    <w:rsid w:val="382822C3"/>
    <w:rsid w:val="3B161D06"/>
    <w:rsid w:val="3DA368CE"/>
    <w:rsid w:val="40B933FA"/>
    <w:rsid w:val="485B55E6"/>
    <w:rsid w:val="4C3B7640"/>
    <w:rsid w:val="4C620344"/>
    <w:rsid w:val="527D246C"/>
    <w:rsid w:val="55C4181D"/>
    <w:rsid w:val="5B1D0223"/>
    <w:rsid w:val="5E5A28E0"/>
    <w:rsid w:val="6059418E"/>
    <w:rsid w:val="654F2733"/>
    <w:rsid w:val="69A2113B"/>
    <w:rsid w:val="754D6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qFormat/>
    <w:uiPriority w:val="0"/>
    <w:pPr>
      <w:keepNext/>
      <w:keepLines/>
      <w:spacing w:before="100" w:beforeLines="100" w:after="100" w:afterLines="100"/>
      <w:outlineLvl w:val="0"/>
    </w:pPr>
    <w:rPr>
      <w:rFonts w:eastAsia="黑体"/>
      <w:bCs/>
      <w:kern w:val="44"/>
      <w:szCs w:val="44"/>
    </w:rPr>
  </w:style>
  <w:style w:type="paragraph" w:styleId="3">
    <w:name w:val="heading 3"/>
    <w:basedOn w:val="1"/>
    <w:next w:val="1"/>
    <w:link w:val="70"/>
    <w:unhideWhenUsed/>
    <w:qFormat/>
    <w:uiPriority w:val="0"/>
    <w:pPr>
      <w:keepNext/>
      <w:keepLines/>
      <w:spacing w:before="156" w:beforeLines="50" w:after="156" w:afterLines="50"/>
      <w:outlineLvl w:val="2"/>
    </w:pPr>
    <w:rPr>
      <w:rFonts w:eastAsia="黑体"/>
      <w:bCs/>
      <w:szCs w:val="32"/>
    </w:rPr>
  </w:style>
  <w:style w:type="paragraph" w:styleId="4">
    <w:name w:val="heading 4"/>
    <w:basedOn w:val="1"/>
    <w:next w:val="1"/>
    <w:link w:val="69"/>
    <w:unhideWhenUsed/>
    <w:qFormat/>
    <w:uiPriority w:val="0"/>
    <w:pPr>
      <w:keepNext/>
      <w:keepLines/>
      <w:spacing w:before="50" w:beforeLines="50" w:after="50" w:afterLines="50"/>
      <w:ind w:firstLine="200" w:firstLineChars="200"/>
      <w:outlineLvl w:val="3"/>
    </w:pPr>
    <w:rPr>
      <w:rFonts w:eastAsia="黑体" w:cstheme="majorBidi"/>
      <w:bCs/>
      <w:szCs w:val="28"/>
    </w:rPr>
  </w:style>
  <w:style w:type="paragraph" w:styleId="5">
    <w:name w:val="heading 5"/>
    <w:basedOn w:val="1"/>
    <w:next w:val="1"/>
    <w:link w:val="68"/>
    <w:unhideWhenUsed/>
    <w:qFormat/>
    <w:uiPriority w:val="0"/>
    <w:pPr>
      <w:keepNext/>
      <w:keepLines/>
      <w:spacing w:before="280" w:after="290" w:line="376" w:lineRule="auto"/>
      <w:outlineLvl w:val="4"/>
    </w:pPr>
    <w:rPr>
      <w:b/>
      <w:bCs/>
      <w:sz w:val="28"/>
      <w:szCs w:val="28"/>
    </w:rPr>
  </w:style>
  <w:style w:type="paragraph" w:styleId="6">
    <w:name w:val="heading 6"/>
    <w:basedOn w:val="1"/>
    <w:next w:val="1"/>
    <w:uiPriority w:val="0"/>
    <w:pPr>
      <w:keepNext/>
      <w:keepLines/>
      <w:spacing w:before="240" w:after="64" w:line="320" w:lineRule="auto"/>
      <w:outlineLvl w:val="5"/>
    </w:pPr>
    <w:rPr>
      <w:rFonts w:ascii="Arial" w:hAnsi="Arial" w:eastAsia="黑体"/>
      <w:b/>
      <w:bCs/>
      <w:sz w:val="24"/>
    </w:rPr>
  </w:style>
  <w:style w:type="character" w:default="1" w:styleId="22">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Document Map"/>
    <w:basedOn w:val="1"/>
    <w:semiHidden/>
    <w:uiPriority w:val="0"/>
    <w:pPr>
      <w:shd w:val="clear" w:color="auto" w:fill="000080"/>
    </w:pPr>
  </w:style>
  <w:style w:type="paragraph" w:styleId="9">
    <w:name w:val="annotation text"/>
    <w:basedOn w:val="1"/>
    <w:link w:val="28"/>
    <w:uiPriority w:val="0"/>
    <w:pPr>
      <w:jc w:val="left"/>
    </w:pPr>
  </w:style>
  <w:style w:type="paragraph" w:styleId="10">
    <w:name w:val="toc 3"/>
    <w:basedOn w:val="1"/>
    <w:next w:val="1"/>
    <w:uiPriority w:val="39"/>
    <w:pPr>
      <w:ind w:left="840" w:leftChars="400"/>
    </w:pPr>
  </w:style>
  <w:style w:type="paragraph" w:styleId="11">
    <w:name w:val="Date"/>
    <w:basedOn w:val="1"/>
    <w:next w:val="1"/>
    <w:link w:val="33"/>
    <w:uiPriority w:val="0"/>
    <w:pPr>
      <w:ind w:left="100" w:leftChars="2500"/>
    </w:pPr>
  </w:style>
  <w:style w:type="paragraph" w:styleId="12">
    <w:name w:val="Balloon Text"/>
    <w:basedOn w:val="1"/>
    <w:link w:val="34"/>
    <w:qFormat/>
    <w:uiPriority w:val="0"/>
    <w:rPr>
      <w:sz w:val="18"/>
      <w:szCs w:val="18"/>
    </w:rPr>
  </w:style>
  <w:style w:type="paragraph" w:styleId="13">
    <w:name w:val="footer"/>
    <w:basedOn w:val="1"/>
    <w:link w:val="36"/>
    <w:uiPriority w:val="99"/>
    <w:pPr>
      <w:tabs>
        <w:tab w:val="center" w:pos="4153"/>
        <w:tab w:val="right" w:pos="8306"/>
      </w:tabs>
      <w:snapToGrid w:val="0"/>
      <w:jc w:val="left"/>
    </w:pPr>
    <w:rPr>
      <w:sz w:val="18"/>
      <w:szCs w:val="18"/>
    </w:rPr>
  </w:style>
  <w:style w:type="paragraph" w:styleId="1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6">
    <w:name w:val="toc 2"/>
    <w:basedOn w:val="1"/>
    <w:next w:val="1"/>
    <w:qFormat/>
    <w:uiPriority w:val="39"/>
    <w:pPr>
      <w:ind w:left="420" w:leftChars="200"/>
    </w:pPr>
  </w:style>
  <w:style w:type="paragraph" w:styleId="17">
    <w:name w:val="Title"/>
    <w:basedOn w:val="1"/>
    <w:next w:val="1"/>
    <w:link w:val="67"/>
    <w:qFormat/>
    <w:uiPriority w:val="0"/>
    <w:pPr>
      <w:spacing w:before="50" w:beforeLines="50" w:after="50" w:afterLines="50"/>
      <w:ind w:firstLine="200" w:firstLineChars="200"/>
      <w:outlineLvl w:val="1"/>
    </w:pPr>
    <w:rPr>
      <w:rFonts w:eastAsia="黑体" w:cstheme="majorBidi"/>
      <w:bCs/>
      <w:szCs w:val="32"/>
    </w:rPr>
  </w:style>
  <w:style w:type="paragraph" w:styleId="18">
    <w:name w:val="annotation subject"/>
    <w:basedOn w:val="9"/>
    <w:next w:val="9"/>
    <w:link w:val="37"/>
    <w:qFormat/>
    <w:uiPriority w:val="0"/>
    <w:rPr>
      <w:b/>
      <w:bCs/>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Grid 1"/>
    <w:basedOn w:val="1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3">
    <w:name w:val="Hyperlink"/>
    <w:qFormat/>
    <w:uiPriority w:val="99"/>
    <w:rPr>
      <w:color w:val="0000FF"/>
      <w:spacing w:val="0"/>
      <w:w w:val="100"/>
      <w:szCs w:val="21"/>
      <w:u w:val="single"/>
      <w:lang w:val="en-US" w:eastAsia="zh-CN"/>
    </w:rPr>
  </w:style>
  <w:style w:type="character" w:styleId="24">
    <w:name w:val="annotation reference"/>
    <w:qFormat/>
    <w:uiPriority w:val="0"/>
    <w:rPr>
      <w:sz w:val="21"/>
      <w:szCs w:val="21"/>
    </w:rPr>
  </w:style>
  <w:style w:type="character" w:customStyle="1" w:styleId="25">
    <w:name w:val="g1"/>
    <w:qFormat/>
    <w:uiPriority w:val="0"/>
    <w:rPr>
      <w:sz w:val="24"/>
      <w:szCs w:val="24"/>
    </w:rPr>
  </w:style>
  <w:style w:type="character" w:customStyle="1" w:styleId="26">
    <w:name w:val="段 Char"/>
    <w:link w:val="27"/>
    <w:qFormat/>
    <w:uiPriority w:val="0"/>
    <w:rPr>
      <w:rFonts w:ascii="宋体"/>
      <w:sz w:val="21"/>
      <w:lang w:val="en-US" w:eastAsia="zh-CN" w:bidi="ar-SA"/>
    </w:rPr>
  </w:style>
  <w:style w:type="paragraph" w:customStyle="1" w:styleId="27">
    <w:name w:val="段"/>
    <w:link w:val="2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8">
    <w:name w:val="批注文字 字符"/>
    <w:link w:val="9"/>
    <w:qFormat/>
    <w:uiPriority w:val="0"/>
    <w:rPr>
      <w:kern w:val="2"/>
      <w:sz w:val="21"/>
      <w:szCs w:val="24"/>
    </w:rPr>
  </w:style>
  <w:style w:type="character" w:customStyle="1" w:styleId="29">
    <w:name w:val="三级条标题 Char"/>
    <w:link w:val="30"/>
    <w:qFormat/>
    <w:uiPriority w:val="0"/>
    <w:rPr>
      <w:rFonts w:ascii="黑体" w:eastAsia="黑体"/>
      <w:sz w:val="21"/>
      <w:szCs w:val="21"/>
    </w:rPr>
  </w:style>
  <w:style w:type="paragraph" w:customStyle="1" w:styleId="30">
    <w:name w:val="三级条标题"/>
    <w:basedOn w:val="31"/>
    <w:next w:val="27"/>
    <w:link w:val="29"/>
    <w:qFormat/>
    <w:uiPriority w:val="0"/>
    <w:pPr>
      <w:outlineLvl w:val="4"/>
    </w:pPr>
  </w:style>
  <w:style w:type="paragraph" w:customStyle="1" w:styleId="31">
    <w:name w:val="二级条标题"/>
    <w:basedOn w:val="32"/>
    <w:next w:val="27"/>
    <w:qFormat/>
    <w:uiPriority w:val="0"/>
    <w:pPr>
      <w:spacing w:before="50" w:after="50"/>
      <w:outlineLvl w:val="3"/>
    </w:pPr>
  </w:style>
  <w:style w:type="paragraph" w:customStyle="1" w:styleId="32">
    <w:name w:val="一级条标题"/>
    <w:next w:val="27"/>
    <w:link w:val="71"/>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33">
    <w:name w:val="日期 字符"/>
    <w:link w:val="11"/>
    <w:qFormat/>
    <w:uiPriority w:val="0"/>
    <w:rPr>
      <w:kern w:val="2"/>
      <w:sz w:val="21"/>
      <w:szCs w:val="24"/>
    </w:rPr>
  </w:style>
  <w:style w:type="character" w:customStyle="1" w:styleId="34">
    <w:name w:val="批注框文本 字符"/>
    <w:link w:val="12"/>
    <w:qFormat/>
    <w:uiPriority w:val="0"/>
    <w:rPr>
      <w:kern w:val="2"/>
      <w:sz w:val="18"/>
      <w:szCs w:val="18"/>
    </w:rPr>
  </w:style>
  <w:style w:type="character" w:customStyle="1" w:styleId="35">
    <w:name w:val="发布"/>
    <w:qFormat/>
    <w:uiPriority w:val="0"/>
    <w:rPr>
      <w:rFonts w:ascii="黑体" w:eastAsia="黑体"/>
      <w:spacing w:val="85"/>
      <w:w w:val="100"/>
      <w:position w:val="3"/>
      <w:sz w:val="28"/>
      <w:szCs w:val="28"/>
    </w:rPr>
  </w:style>
  <w:style w:type="character" w:customStyle="1" w:styleId="36">
    <w:name w:val="页脚 字符"/>
    <w:link w:val="13"/>
    <w:qFormat/>
    <w:uiPriority w:val="99"/>
    <w:rPr>
      <w:kern w:val="2"/>
      <w:sz w:val="18"/>
      <w:szCs w:val="18"/>
    </w:rPr>
  </w:style>
  <w:style w:type="character" w:customStyle="1" w:styleId="37">
    <w:name w:val="批注主题 字符"/>
    <w:link w:val="18"/>
    <w:qFormat/>
    <w:uiPriority w:val="0"/>
    <w:rPr>
      <w:b/>
      <w:bCs/>
      <w:kern w:val="2"/>
      <w:sz w:val="21"/>
      <w:szCs w:val="24"/>
    </w:rPr>
  </w:style>
  <w:style w:type="paragraph" w:customStyle="1" w:styleId="38">
    <w:name w:val="封面标准文稿编辑信息"/>
    <w:basedOn w:val="39"/>
    <w:qFormat/>
    <w:uiPriority w:val="0"/>
    <w:pPr>
      <w:framePr w:wrap="around"/>
      <w:spacing w:before="180" w:line="180" w:lineRule="exact"/>
    </w:pPr>
    <w:rPr>
      <w:sz w:val="21"/>
    </w:rPr>
  </w:style>
  <w:style w:type="paragraph" w:customStyle="1" w:styleId="39">
    <w:name w:val="封面标准文稿类别"/>
    <w:basedOn w:val="40"/>
    <w:qFormat/>
    <w:uiPriority w:val="0"/>
    <w:pPr>
      <w:framePr w:wrap="around"/>
      <w:spacing w:after="160" w:line="240" w:lineRule="auto"/>
    </w:pPr>
    <w:rPr>
      <w:sz w:val="24"/>
    </w:rPr>
  </w:style>
  <w:style w:type="paragraph" w:customStyle="1" w:styleId="40">
    <w:name w:val="封面一致性程度标识"/>
    <w:basedOn w:val="1"/>
    <w:qFormat/>
    <w:uiPriority w:val="0"/>
    <w:pPr>
      <w:framePr w:w="9639" w:h="6917" w:hRule="exact" w:wrap="around" w:vAnchor="page" w:hAnchor="page" w:xAlign="center" w:y="6408" w:anchorLock="1"/>
      <w:spacing w:before="440" w:line="400" w:lineRule="exact"/>
      <w:jc w:val="center"/>
      <w:textAlignment w:val="center"/>
    </w:pPr>
    <w:rPr>
      <w:rFonts w:ascii="宋体"/>
      <w:kern w:val="0"/>
      <w:sz w:val="28"/>
      <w:szCs w:val="28"/>
    </w:rPr>
  </w:style>
  <w:style w:type="paragraph" w:customStyle="1" w:styleId="41">
    <w:name w:val="Char Char Char Char Char Char Char Char Char1 Char Char Char Char Char Char Char"/>
    <w:basedOn w:val="8"/>
    <w:qFormat/>
    <w:uiPriority w:val="0"/>
    <w:rPr>
      <w:rFonts w:ascii="Tahoma" w:hAnsi="Tahoma" w:cs="Tahoma"/>
      <w:sz w:val="24"/>
    </w:rPr>
  </w:style>
  <w:style w:type="paragraph" w:customStyle="1" w:styleId="42">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3">
    <w:name w:val="终结线"/>
    <w:basedOn w:val="1"/>
    <w:qFormat/>
    <w:uiPriority w:val="0"/>
    <w:pPr>
      <w:framePr w:hSpace="181" w:vSpace="181" w:wrap="around" w:vAnchor="text" w:hAnchor="margin" w:xAlign="center" w:y="285"/>
    </w:pPr>
  </w:style>
  <w:style w:type="paragraph" w:customStyle="1" w:styleId="44">
    <w:name w:val="一级无"/>
    <w:basedOn w:val="32"/>
    <w:qFormat/>
    <w:uiPriority w:val="0"/>
    <w:pPr>
      <w:spacing w:before="0" w:beforeLines="0" w:after="0" w:afterLines="0"/>
    </w:pPr>
    <w:rPr>
      <w:rFonts w:ascii="宋体" w:eastAsia="宋体"/>
    </w:rPr>
  </w:style>
  <w:style w:type="paragraph" w:customStyle="1" w:styleId="45">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4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公式编号制表符"/>
    <w:basedOn w:val="27"/>
    <w:next w:val="27"/>
    <w:qFormat/>
    <w:uiPriority w:val="0"/>
    <w:pPr>
      <w:ind w:firstLine="0" w:firstLineChars="0"/>
    </w:pPr>
    <w:rPr>
      <w:rFonts w:hint="eastAsia" w:hAnsi="宋体"/>
    </w:rPr>
  </w:style>
  <w:style w:type="paragraph" w:customStyle="1" w:styleId="48">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szCs w:val="20"/>
    </w:rPr>
  </w:style>
  <w:style w:type="paragraph" w:customStyle="1" w:styleId="4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50">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5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52">
    <w:name w:val="正文表标题"/>
    <w:next w:val="27"/>
    <w:qFormat/>
    <w:uiPriority w:val="0"/>
    <w:pPr>
      <w:numPr>
        <w:ilvl w:val="0"/>
        <w:numId w:val="1"/>
      </w:numPr>
      <w:spacing w:beforeLines="50"/>
      <w:jc w:val="center"/>
    </w:pPr>
    <w:rPr>
      <w:rFonts w:ascii="黑体" w:hAnsi="Times New Roman" w:eastAsia="黑体" w:cs="Times New Roman"/>
      <w:sz w:val="21"/>
      <w:lang w:val="en-US" w:eastAsia="zh-CN" w:bidi="ar-SA"/>
    </w:rPr>
  </w:style>
  <w:style w:type="paragraph" w:customStyle="1" w:styleId="53">
    <w:name w:val="其他发布日期"/>
    <w:basedOn w:val="1"/>
    <w:qFormat/>
    <w:uiPriority w:val="0"/>
    <w:pPr>
      <w:framePr w:w="3997" w:h="471" w:hRule="exact" w:vSpace="181" w:wrap="around" w:vAnchor="page" w:hAnchor="text" w:x="1419" w:y="14097" w:anchorLock="1"/>
      <w:widowControl/>
      <w:jc w:val="left"/>
    </w:pPr>
    <w:rPr>
      <w:rFonts w:eastAsia="黑体"/>
      <w:kern w:val="0"/>
      <w:sz w:val="28"/>
      <w:szCs w:val="20"/>
    </w:rPr>
  </w:style>
  <w:style w:type="paragraph" w:customStyle="1" w:styleId="54">
    <w:name w:val="章标题"/>
    <w:next w:val="27"/>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55">
    <w:name w:val="三级无"/>
    <w:basedOn w:val="30"/>
    <w:qFormat/>
    <w:uiPriority w:val="0"/>
    <w:pPr>
      <w:spacing w:before="0" w:beforeLines="0" w:after="0" w:afterLines="0"/>
    </w:pPr>
    <w:rPr>
      <w:rFonts w:ascii="宋体" w:eastAsia="宋体"/>
    </w:rPr>
  </w:style>
  <w:style w:type="paragraph" w:customStyle="1" w:styleId="56">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57">
    <w:name w:val="附录公式编号制表符"/>
    <w:basedOn w:val="1"/>
    <w:next w:val="27"/>
    <w:qFormat/>
    <w:uiPriority w:val="0"/>
    <w:pPr>
      <w:widowControl/>
      <w:tabs>
        <w:tab w:val="center" w:pos="4201"/>
        <w:tab w:val="right" w:leader="dot" w:pos="9298"/>
      </w:tabs>
      <w:autoSpaceDE w:val="0"/>
      <w:autoSpaceDN w:val="0"/>
    </w:pPr>
    <w:rPr>
      <w:rFonts w:ascii="宋体"/>
      <w:kern w:val="0"/>
      <w:szCs w:val="20"/>
    </w:rPr>
  </w:style>
  <w:style w:type="paragraph" w:customStyle="1" w:styleId="5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9">
    <w:name w:val="其他实施日期"/>
    <w:basedOn w:val="1"/>
    <w:qFormat/>
    <w:uiPriority w:val="0"/>
    <w:pPr>
      <w:framePr w:w="3997" w:h="471" w:hRule="exact" w:vSpace="181" w:wrap="around" w:vAnchor="page" w:hAnchor="text" w:x="7089" w:y="14097" w:anchorLock="1"/>
      <w:widowControl/>
      <w:jc w:val="right"/>
    </w:pPr>
    <w:rPr>
      <w:rFonts w:eastAsia="黑体"/>
      <w:kern w:val="0"/>
      <w:sz w:val="28"/>
      <w:szCs w:val="20"/>
    </w:rPr>
  </w:style>
  <w:style w:type="paragraph" w:customStyle="1" w:styleId="60">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61">
    <w:name w:val="前言、引言标题"/>
    <w:next w:val="27"/>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2">
    <w:name w:val="目次、标准名称标题"/>
    <w:basedOn w:val="1"/>
    <w:next w:val="27"/>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63">
    <w:name w:val="五级条标题"/>
    <w:basedOn w:val="64"/>
    <w:next w:val="27"/>
    <w:qFormat/>
    <w:uiPriority w:val="0"/>
    <w:pPr>
      <w:outlineLvl w:val="6"/>
    </w:pPr>
  </w:style>
  <w:style w:type="paragraph" w:customStyle="1" w:styleId="64">
    <w:name w:val="四级条标题"/>
    <w:basedOn w:val="30"/>
    <w:next w:val="27"/>
    <w:qFormat/>
    <w:uiPriority w:val="0"/>
    <w:pPr>
      <w:outlineLvl w:val="5"/>
    </w:pPr>
  </w:style>
  <w:style w:type="paragraph" w:customStyle="1" w:styleId="65">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character" w:customStyle="1" w:styleId="66">
    <w:name w:val="标题 1 字符"/>
    <w:basedOn w:val="22"/>
    <w:link w:val="2"/>
    <w:qFormat/>
    <w:uiPriority w:val="0"/>
    <w:rPr>
      <w:rFonts w:eastAsia="黑体"/>
      <w:bCs/>
      <w:kern w:val="44"/>
      <w:sz w:val="21"/>
      <w:szCs w:val="44"/>
    </w:rPr>
  </w:style>
  <w:style w:type="character" w:customStyle="1" w:styleId="67">
    <w:name w:val="标题 字符"/>
    <w:basedOn w:val="22"/>
    <w:link w:val="17"/>
    <w:qFormat/>
    <w:uiPriority w:val="0"/>
    <w:rPr>
      <w:rFonts w:eastAsia="黑体" w:cstheme="majorBidi"/>
      <w:bCs/>
      <w:kern w:val="2"/>
      <w:sz w:val="21"/>
      <w:szCs w:val="32"/>
    </w:rPr>
  </w:style>
  <w:style w:type="character" w:customStyle="1" w:styleId="68">
    <w:name w:val="标题 5 字符"/>
    <w:basedOn w:val="22"/>
    <w:link w:val="5"/>
    <w:uiPriority w:val="0"/>
    <w:rPr>
      <w:b/>
      <w:bCs/>
      <w:kern w:val="2"/>
      <w:sz w:val="28"/>
      <w:szCs w:val="28"/>
    </w:rPr>
  </w:style>
  <w:style w:type="character" w:customStyle="1" w:styleId="69">
    <w:name w:val="标题 4 字符"/>
    <w:basedOn w:val="22"/>
    <w:link w:val="4"/>
    <w:uiPriority w:val="0"/>
    <w:rPr>
      <w:rFonts w:eastAsia="黑体" w:cstheme="majorBidi"/>
      <w:bCs/>
      <w:kern w:val="2"/>
      <w:sz w:val="21"/>
      <w:szCs w:val="28"/>
    </w:rPr>
  </w:style>
  <w:style w:type="character" w:customStyle="1" w:styleId="70">
    <w:name w:val="标题 3 字符"/>
    <w:basedOn w:val="22"/>
    <w:link w:val="3"/>
    <w:uiPriority w:val="0"/>
    <w:rPr>
      <w:rFonts w:eastAsia="黑体"/>
      <w:bCs/>
      <w:kern w:val="2"/>
      <w:sz w:val="21"/>
      <w:szCs w:val="32"/>
    </w:rPr>
  </w:style>
  <w:style w:type="character" w:customStyle="1" w:styleId="71">
    <w:name w:val="一级条标题 Char"/>
    <w:link w:val="32"/>
    <w:qFormat/>
    <w:uiPriority w:val="0"/>
    <w:rPr>
      <w:rFonts w:ascii="黑体" w:eastAsia="黑体"/>
      <w:sz w:val="21"/>
      <w:szCs w:val="21"/>
    </w:rPr>
  </w:style>
  <w:style w:type="paragraph" w:styleId="72">
    <w:name w:val="List Paragraph"/>
    <w:basedOn w:val="1"/>
    <w:qFormat/>
    <w:uiPriority w:val="99"/>
    <w:pPr>
      <w:ind w:firstLine="420" w:firstLineChars="200"/>
    </w:p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DA7057-9958-4CAB-BE70-D5623ACFF0B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3818</Words>
  <Characters>4152</Characters>
  <Lines>44</Lines>
  <Paragraphs>12</Paragraphs>
  <TotalTime>0</TotalTime>
  <ScaleCrop>false</ScaleCrop>
  <LinksUpToDate>false</LinksUpToDate>
  <CharactersWithSpaces>4276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2022-03-07T01:02:00Z</dcterms:created>
  <dc:creator>sa</dc:creator>
  <cp:lastModifiedBy>顽石</cp:lastModifiedBy>
  <cp:lastPrinted>2020-10-19T06:51:00Z</cp:lastPrinted>
  <dcterms:modified xsi:type="dcterms:W3CDTF">2023-02-06T01:40:01Z</dcterms:modified>
  <dc:title>中国石油天然气集团公司企业标准</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256B1C7B754448DDA679E94EE6D01BDF</vt:lpwstr>
  </property>
</Properties>
</file>