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E2A3" w14:textId="77777777" w:rsidR="009D33F6" w:rsidRDefault="009D33F6">
      <w:pPr>
        <w:jc w:val="center"/>
        <w:rPr>
          <w:rFonts w:asciiTheme="majorEastAsia" w:eastAsiaTheme="majorEastAsia" w:hAnsiTheme="majorEastAsia"/>
          <w:sz w:val="28"/>
          <w:szCs w:val="28"/>
        </w:rPr>
      </w:pPr>
    </w:p>
    <w:p w14:paraId="1BB6D0B6" w14:textId="77777777" w:rsidR="00D36CE7" w:rsidRDefault="006513EF">
      <w:pPr>
        <w:jc w:val="center"/>
        <w:rPr>
          <w:rFonts w:asciiTheme="majorEastAsia" w:eastAsiaTheme="majorEastAsia" w:hAnsiTheme="majorEastAsia"/>
          <w:b/>
          <w:bCs/>
          <w:sz w:val="36"/>
          <w:szCs w:val="32"/>
        </w:rPr>
      </w:pPr>
      <w:r w:rsidRPr="00D36CE7">
        <w:rPr>
          <w:rFonts w:asciiTheme="majorEastAsia" w:eastAsiaTheme="majorEastAsia" w:hAnsiTheme="majorEastAsia" w:hint="eastAsia"/>
          <w:b/>
          <w:bCs/>
          <w:sz w:val="36"/>
          <w:szCs w:val="32"/>
        </w:rPr>
        <w:t>《人正常乳腺及乳腺癌类器官制备、冻存、复苏和鉴定</w:t>
      </w:r>
    </w:p>
    <w:p w14:paraId="1AB57CA8" w14:textId="4F719462" w:rsidR="009D33F6" w:rsidRPr="00D36CE7" w:rsidRDefault="006513EF">
      <w:pPr>
        <w:jc w:val="center"/>
        <w:rPr>
          <w:rFonts w:asciiTheme="majorEastAsia" w:eastAsiaTheme="majorEastAsia" w:hAnsiTheme="majorEastAsia"/>
          <w:b/>
          <w:bCs/>
          <w:sz w:val="36"/>
          <w:szCs w:val="32"/>
        </w:rPr>
      </w:pPr>
      <w:r w:rsidRPr="00D36CE7">
        <w:rPr>
          <w:rFonts w:asciiTheme="majorEastAsia" w:eastAsiaTheme="majorEastAsia" w:hAnsiTheme="majorEastAsia" w:hint="eastAsia"/>
          <w:b/>
          <w:bCs/>
          <w:sz w:val="36"/>
          <w:szCs w:val="32"/>
        </w:rPr>
        <w:t>操作指南》</w:t>
      </w:r>
      <w:r w:rsidR="004D051C" w:rsidRPr="00D36CE7">
        <w:rPr>
          <w:rFonts w:asciiTheme="majorEastAsia" w:eastAsiaTheme="majorEastAsia" w:hAnsiTheme="majorEastAsia" w:hint="eastAsia"/>
          <w:b/>
          <w:bCs/>
          <w:sz w:val="36"/>
          <w:szCs w:val="32"/>
        </w:rPr>
        <w:t>编制说明</w:t>
      </w:r>
    </w:p>
    <w:p w14:paraId="1612360E" w14:textId="716E6ADB" w:rsidR="009D33F6" w:rsidRDefault="009D33F6">
      <w:pPr>
        <w:ind w:left="700" w:firstLineChars="200" w:firstLine="560"/>
        <w:rPr>
          <w:rFonts w:asciiTheme="minorEastAsia" w:eastAsiaTheme="minorEastAsia" w:hAnsiTheme="minorEastAsia"/>
          <w:sz w:val="28"/>
          <w:szCs w:val="32"/>
          <w:u w:val="single"/>
        </w:rPr>
      </w:pPr>
    </w:p>
    <w:p w14:paraId="0FCCF558" w14:textId="77777777" w:rsidR="009D33F6" w:rsidRPr="00D36CE7" w:rsidRDefault="004D051C" w:rsidP="00D36CE7">
      <w:pPr>
        <w:spacing w:after="240" w:line="360" w:lineRule="auto"/>
        <w:ind w:firstLineChars="200" w:firstLine="643"/>
        <w:rPr>
          <w:rFonts w:ascii="仿宋" w:eastAsia="仿宋" w:hAnsi="仿宋"/>
          <w:b/>
          <w:bCs/>
          <w:color w:val="FF0000"/>
          <w:sz w:val="32"/>
          <w:szCs w:val="32"/>
        </w:rPr>
      </w:pPr>
      <w:r w:rsidRPr="00D36CE7">
        <w:rPr>
          <w:rFonts w:ascii="仿宋" w:eastAsia="仿宋" w:hAnsi="仿宋"/>
          <w:b/>
          <w:bCs/>
          <w:sz w:val="32"/>
          <w:szCs w:val="32"/>
        </w:rPr>
        <w:t>一、编制标准的目的和意义</w:t>
      </w:r>
    </w:p>
    <w:p w14:paraId="44ECDEFA" w14:textId="77777777" w:rsidR="009D33F6" w:rsidRPr="00D36CE7" w:rsidRDefault="004D051C" w:rsidP="00D36CE7">
      <w:pPr>
        <w:pStyle w:val="TableParagraph"/>
        <w:spacing w:line="360" w:lineRule="auto"/>
        <w:ind w:left="102" w:firstLineChars="200" w:firstLine="640"/>
        <w:jc w:val="both"/>
        <w:rPr>
          <w:rFonts w:ascii="仿宋" w:eastAsia="仿宋" w:hAnsi="仿宋" w:cs="Times New Roman"/>
          <w:sz w:val="32"/>
          <w:szCs w:val="32"/>
          <w:lang w:eastAsia="zh-CN"/>
        </w:rPr>
      </w:pPr>
      <w:r w:rsidRPr="00D36CE7">
        <w:rPr>
          <w:rFonts w:ascii="仿宋" w:eastAsia="仿宋" w:hAnsi="仿宋" w:cs="Times New Roman"/>
          <w:sz w:val="32"/>
          <w:szCs w:val="32"/>
          <w:lang w:eastAsia="zh-CN"/>
        </w:rPr>
        <w:t xml:space="preserve">乳腺癌是全球发病率第一的恶性肿瘤，对其发病分子机制进行深入研究极其重要，但传统的2D乳腺癌细胞系并不能完全反映肿瘤的基本特性，有研究局限性。与传统2D细胞培养模式相比，类器官具有模拟已分化组织的复杂空间形态，并能够表现出细胞与细胞之间，细胞与其周围基质之间的相互作用和空间位置形态；而其本身又能表现出与体内分化的组织器官具有相似的生理反应，与来源组织具有极高的相似性等特征。因而在基础研究以及临床诊疗方面具有广阔的应用前景。 </w:t>
      </w:r>
    </w:p>
    <w:p w14:paraId="1175E25E" w14:textId="77777777" w:rsidR="009D33F6" w:rsidRPr="00D36CE7" w:rsidRDefault="004D051C" w:rsidP="00D36CE7">
      <w:pPr>
        <w:pStyle w:val="TableParagraph"/>
        <w:spacing w:line="360" w:lineRule="auto"/>
        <w:ind w:left="102" w:firstLineChars="200" w:firstLine="643"/>
        <w:jc w:val="both"/>
        <w:rPr>
          <w:rFonts w:ascii="仿宋" w:eastAsia="仿宋" w:hAnsi="仿宋" w:cs="Times New Roman"/>
          <w:sz w:val="32"/>
          <w:szCs w:val="32"/>
          <w:lang w:eastAsia="zh-CN"/>
        </w:rPr>
      </w:pPr>
      <w:r w:rsidRPr="00D36CE7">
        <w:rPr>
          <w:rFonts w:ascii="仿宋" w:eastAsia="仿宋" w:hAnsi="仿宋" w:cs="Times New Roman"/>
          <w:b/>
          <w:bCs/>
          <w:sz w:val="32"/>
          <w:szCs w:val="32"/>
          <w:lang w:eastAsia="zh-CN"/>
        </w:rPr>
        <w:t>制定该标准的目的：</w:t>
      </w:r>
      <w:r w:rsidRPr="00D36CE7">
        <w:rPr>
          <w:rFonts w:ascii="仿宋" w:eastAsia="仿宋" w:hAnsi="仿宋" w:cs="Times New Roman"/>
          <w:sz w:val="32"/>
          <w:szCs w:val="32"/>
          <w:lang w:eastAsia="zh-CN"/>
        </w:rPr>
        <w:t>类器官在肿瘤研究中在国内的应用目前尚处于起步阶段，但不管是在基础研究还是临床转化，均获得了很好的研究成果。近年来，许多实验室已成功挑战从患者样本中培养出类器官，不同的实验室通过建立不同的实验方案，使用多种类型的抑制剂和生长因子来寻找最佳的培养基来促进它们的生长，使得乳腺癌类器官技术发展迅速，但这个研究热潮也带来了一些潜在的问题，即不同的实验方案影响了实验结果，阻碍了数据之间的比较分析，同时也不利于这项前沿科学的技术转化。因此，我们需要建立完善的技术标准体系，这样类器官的相关研究才能被进一步推动，产业化才得以实现。</w:t>
      </w:r>
    </w:p>
    <w:p w14:paraId="490743D5" w14:textId="109EF928" w:rsidR="009D33F6" w:rsidRPr="00D36CE7" w:rsidRDefault="004D051C" w:rsidP="00D36CE7">
      <w:pPr>
        <w:spacing w:line="360" w:lineRule="auto"/>
        <w:ind w:firstLineChars="200" w:firstLine="643"/>
        <w:rPr>
          <w:rFonts w:ascii="仿宋" w:eastAsia="仿宋" w:hAnsi="仿宋"/>
          <w:color w:val="000000" w:themeColor="text1"/>
          <w:sz w:val="32"/>
          <w:szCs w:val="32"/>
        </w:rPr>
      </w:pPr>
      <w:r w:rsidRPr="00D36CE7">
        <w:rPr>
          <w:rFonts w:ascii="仿宋" w:eastAsia="仿宋" w:hAnsi="仿宋"/>
          <w:b/>
          <w:bCs/>
          <w:sz w:val="32"/>
          <w:szCs w:val="32"/>
        </w:rPr>
        <w:lastRenderedPageBreak/>
        <w:t>编制该标准的意义或必要性：</w:t>
      </w:r>
      <w:r w:rsidRPr="00D36CE7">
        <w:rPr>
          <w:rFonts w:ascii="仿宋" w:eastAsia="仿宋" w:hAnsi="仿宋"/>
          <w:color w:val="000000" w:themeColor="text1"/>
          <w:sz w:val="32"/>
          <w:szCs w:val="32"/>
        </w:rPr>
        <w:t>迄今，随着多样性器官来源的类器官和多种种属来源的类器官培养及应用的面世，类器官疾病模型在生命科学研究领域获得了越来越广泛的关注, 已经迅速被应用于基础研究、临床转化和社会生产。然而，我国在类器官疾病模型操作流程中存在：培养过程控制、检测指标、评估指标等多项空白。这将限制类器官的高效研究与向临床研究的转化，因此</w:t>
      </w:r>
      <w:r w:rsidR="0033363F" w:rsidRPr="00D36CE7">
        <w:rPr>
          <w:rFonts w:ascii="仿宋" w:eastAsia="仿宋" w:hAnsi="仿宋" w:hint="eastAsia"/>
          <w:color w:val="000000" w:themeColor="text1"/>
          <w:sz w:val="32"/>
          <w:szCs w:val="32"/>
        </w:rPr>
        <w:t>，应</w:t>
      </w:r>
      <w:r w:rsidRPr="00D36CE7">
        <w:rPr>
          <w:rFonts w:ascii="仿宋" w:eastAsia="仿宋" w:hAnsi="仿宋"/>
          <w:color w:val="000000" w:themeColor="text1"/>
          <w:sz w:val="32"/>
          <w:szCs w:val="32"/>
        </w:rPr>
        <w:t>尽早建立多种组织类器官培养体系规范团体标准，</w:t>
      </w:r>
      <w:r w:rsidRPr="00D36CE7">
        <w:rPr>
          <w:rFonts w:ascii="仿宋" w:eastAsia="仿宋" w:hAnsi="仿宋"/>
          <w:sz w:val="32"/>
          <w:szCs w:val="32"/>
        </w:rPr>
        <w:t>让我国的研究机构和相关企业在类器官技术的标准化以及</w:t>
      </w:r>
      <w:r w:rsidRPr="00D36CE7">
        <w:rPr>
          <w:rFonts w:ascii="仿宋" w:eastAsia="仿宋" w:hAnsi="仿宋" w:hint="eastAsia"/>
          <w:sz w:val="32"/>
          <w:szCs w:val="32"/>
        </w:rPr>
        <w:t>应用指南的建立等方面积极参与</w:t>
      </w:r>
      <w:r w:rsidRPr="00D36CE7">
        <w:rPr>
          <w:rFonts w:ascii="仿宋" w:eastAsia="仿宋" w:hAnsi="仿宋"/>
          <w:sz w:val="32"/>
          <w:szCs w:val="32"/>
        </w:rPr>
        <w:t>，</w:t>
      </w:r>
      <w:r w:rsidR="00F46A04" w:rsidRPr="00D36CE7">
        <w:rPr>
          <w:rFonts w:ascii="仿宋" w:eastAsia="仿宋" w:hAnsi="仿宋" w:hint="eastAsia"/>
          <w:sz w:val="32"/>
          <w:szCs w:val="32"/>
        </w:rPr>
        <w:t>在行业中发展中</w:t>
      </w:r>
      <w:r w:rsidRPr="00D36CE7">
        <w:rPr>
          <w:rFonts w:ascii="仿宋" w:eastAsia="仿宋" w:hAnsi="仿宋"/>
          <w:sz w:val="32"/>
          <w:szCs w:val="32"/>
        </w:rPr>
        <w:t>掌握主导优势和话语权。同时，乳腺癌在我国具有发病率高，死亡率高等特征，因此，建立及完善我国的乳腺肿瘤类器官技术标准能对其转化和精确应用提供重要的依据。</w:t>
      </w:r>
      <w:r w:rsidRPr="00D36CE7">
        <w:rPr>
          <w:rFonts w:ascii="仿宋" w:eastAsia="仿宋" w:hAnsi="仿宋" w:hint="eastAsia"/>
          <w:sz w:val="32"/>
          <w:szCs w:val="32"/>
        </w:rPr>
        <w:t xml:space="preserve"> </w:t>
      </w:r>
    </w:p>
    <w:p w14:paraId="0BF29D28" w14:textId="7E159675" w:rsidR="009D33F6" w:rsidRPr="00D36CE7" w:rsidRDefault="004D051C" w:rsidP="00D36CE7">
      <w:pPr>
        <w:spacing w:after="240" w:line="360" w:lineRule="auto"/>
        <w:ind w:firstLineChars="200" w:firstLine="643"/>
        <w:rPr>
          <w:rFonts w:ascii="仿宋" w:eastAsia="仿宋" w:hAnsi="仿宋"/>
          <w:b/>
          <w:bCs/>
          <w:sz w:val="32"/>
          <w:szCs w:val="32"/>
        </w:rPr>
      </w:pPr>
      <w:r w:rsidRPr="00D36CE7">
        <w:rPr>
          <w:rFonts w:ascii="仿宋" w:eastAsia="仿宋" w:hAnsi="仿宋"/>
          <w:b/>
          <w:bCs/>
          <w:sz w:val="32"/>
          <w:szCs w:val="32"/>
        </w:rPr>
        <w:t>二、</w:t>
      </w:r>
      <w:r w:rsidR="00B6501E" w:rsidRPr="00D36CE7">
        <w:rPr>
          <w:rFonts w:ascii="仿宋" w:eastAsia="仿宋" w:hAnsi="仿宋"/>
          <w:b/>
          <w:bCs/>
          <w:sz w:val="32"/>
          <w:szCs w:val="32"/>
        </w:rPr>
        <w:t>任务来源</w:t>
      </w:r>
    </w:p>
    <w:p w14:paraId="037D580A" w14:textId="38621A91" w:rsidR="009D33F6" w:rsidRPr="00D36CE7" w:rsidRDefault="004D051C" w:rsidP="00D36CE7">
      <w:pPr>
        <w:spacing w:line="360" w:lineRule="auto"/>
        <w:ind w:firstLineChars="200" w:firstLine="640"/>
        <w:rPr>
          <w:rFonts w:ascii="仿宋" w:eastAsia="仿宋" w:hAnsi="仿宋"/>
          <w:sz w:val="32"/>
          <w:szCs w:val="32"/>
          <w:lang w:val="fr-FR"/>
        </w:rPr>
      </w:pPr>
      <w:r w:rsidRPr="00D36CE7">
        <w:rPr>
          <w:rFonts w:ascii="仿宋" w:eastAsia="仿宋" w:hAnsi="仿宋"/>
          <w:sz w:val="32"/>
          <w:szCs w:val="32"/>
        </w:rPr>
        <w:t>由中国医药生物技术协会疾病模型专业委员会于2022年5月向中国医药生物技术协会申请，2022年6月20日获得批准正式立项，并归口管理。标准的起草由中国医药生物技术协会疾病模型专业委员会组织，由来自</w:t>
      </w:r>
      <w:r w:rsidR="00177526" w:rsidRPr="00D36CE7">
        <w:rPr>
          <w:rFonts w:ascii="仿宋" w:eastAsia="仿宋" w:hAnsi="仿宋" w:hint="eastAsia"/>
          <w:sz w:val="32"/>
          <w:szCs w:val="32"/>
        </w:rPr>
        <w:t>四川大学生物治疗国家重点实验室、</w:t>
      </w:r>
      <w:r w:rsidR="002706E3" w:rsidRPr="00D36CE7">
        <w:rPr>
          <w:rFonts w:ascii="仿宋" w:eastAsia="仿宋" w:hAnsi="仿宋" w:hint="eastAsia"/>
          <w:sz w:val="32"/>
          <w:szCs w:val="32"/>
        </w:rPr>
        <w:t>四川大学华西医院、</w:t>
      </w:r>
      <w:r w:rsidR="00177526" w:rsidRPr="00D36CE7">
        <w:rPr>
          <w:rFonts w:ascii="仿宋" w:eastAsia="仿宋" w:hAnsi="仿宋" w:hint="eastAsia"/>
          <w:sz w:val="32"/>
          <w:szCs w:val="32"/>
        </w:rPr>
        <w:t>广州精科生物技术有限公司、成都诺医德医学检验实验室有限公司、中国医学科学院肿瘤医院、中山大学肿瘤防治中心、广东省人民医院等10余家国内科研机构、大学附属医院及企业的30多位专家、学者共同参与编制完成。</w:t>
      </w:r>
    </w:p>
    <w:p w14:paraId="2B49C886" w14:textId="35A41CD3" w:rsidR="009D33F6" w:rsidRPr="00D36CE7" w:rsidRDefault="004D051C" w:rsidP="00D36CE7">
      <w:pPr>
        <w:spacing w:after="240" w:line="360" w:lineRule="auto"/>
        <w:ind w:firstLineChars="200" w:firstLine="643"/>
        <w:rPr>
          <w:rFonts w:ascii="仿宋" w:eastAsia="仿宋" w:hAnsi="仿宋"/>
          <w:b/>
          <w:bCs/>
          <w:sz w:val="32"/>
          <w:szCs w:val="32"/>
        </w:rPr>
      </w:pPr>
      <w:r w:rsidRPr="00D36CE7">
        <w:rPr>
          <w:rFonts w:ascii="仿宋" w:eastAsia="仿宋" w:hAnsi="仿宋"/>
          <w:b/>
          <w:bCs/>
          <w:sz w:val="32"/>
          <w:szCs w:val="32"/>
        </w:rPr>
        <w:t>三、 主要工作</w:t>
      </w:r>
      <w:r w:rsidR="00240E6E" w:rsidRPr="00D36CE7">
        <w:rPr>
          <w:rFonts w:ascii="仿宋" w:eastAsia="仿宋" w:hAnsi="仿宋" w:hint="eastAsia"/>
          <w:b/>
          <w:bCs/>
          <w:sz w:val="32"/>
          <w:szCs w:val="32"/>
        </w:rPr>
        <w:t>过</w:t>
      </w:r>
      <w:r w:rsidRPr="00D36CE7">
        <w:rPr>
          <w:rFonts w:ascii="仿宋" w:eastAsia="仿宋" w:hAnsi="仿宋"/>
          <w:b/>
          <w:bCs/>
          <w:sz w:val="32"/>
          <w:szCs w:val="32"/>
        </w:rPr>
        <w:t>程</w:t>
      </w:r>
    </w:p>
    <w:p w14:paraId="744189F8" w14:textId="314F429C" w:rsidR="0033363F" w:rsidRPr="00D36CE7" w:rsidRDefault="0033363F"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本团体标准按照GB/T 1.1—2020《标准化工作导则  第1部</w:t>
      </w:r>
      <w:r w:rsidRPr="00D36CE7">
        <w:rPr>
          <w:rFonts w:ascii="仿宋" w:eastAsia="仿宋" w:hAnsi="仿宋"/>
          <w:sz w:val="32"/>
          <w:szCs w:val="32"/>
        </w:rPr>
        <w:lastRenderedPageBreak/>
        <w:t>分：标准化文件的结构</w:t>
      </w:r>
    </w:p>
    <w:p w14:paraId="4808A675" w14:textId="5BE00746" w:rsidR="00925CE8" w:rsidRPr="00D36CE7" w:rsidRDefault="004D051C" w:rsidP="00D36CE7">
      <w:pPr>
        <w:spacing w:line="360" w:lineRule="auto"/>
        <w:ind w:firstLine="200"/>
        <w:rPr>
          <w:rFonts w:ascii="仿宋" w:eastAsia="仿宋" w:hAnsi="仿宋"/>
          <w:sz w:val="32"/>
          <w:szCs w:val="32"/>
        </w:rPr>
      </w:pPr>
      <w:r w:rsidRPr="00D36CE7">
        <w:rPr>
          <w:rFonts w:ascii="仿宋" w:eastAsia="仿宋" w:hAnsi="仿宋"/>
          <w:sz w:val="32"/>
          <w:szCs w:val="32"/>
        </w:rPr>
        <w:t>和起草规则》的规定起草。</w:t>
      </w:r>
    </w:p>
    <w:p w14:paraId="1B077FDF" w14:textId="4DDAA47E" w:rsidR="009D33F6" w:rsidRPr="00D36CE7" w:rsidRDefault="004D051C" w:rsidP="00D36CE7">
      <w:pPr>
        <w:pStyle w:val="TableParagraph"/>
        <w:adjustRightInd w:val="0"/>
        <w:snapToGrid w:val="0"/>
        <w:spacing w:line="360" w:lineRule="auto"/>
        <w:ind w:leftChars="49" w:left="103" w:rightChars="111" w:right="233" w:firstLineChars="200" w:firstLine="643"/>
        <w:jc w:val="both"/>
        <w:rPr>
          <w:rFonts w:ascii="仿宋" w:eastAsia="仿宋" w:hAnsi="仿宋" w:cs="Times New Roman"/>
          <w:b/>
          <w:sz w:val="32"/>
          <w:szCs w:val="32"/>
          <w:lang w:eastAsia="zh-CN"/>
        </w:rPr>
      </w:pPr>
      <w:r w:rsidRPr="00D36CE7">
        <w:rPr>
          <w:rFonts w:ascii="仿宋" w:eastAsia="仿宋" w:hAnsi="仿宋" w:cs="Times New Roman"/>
          <w:b/>
          <w:sz w:val="32"/>
          <w:szCs w:val="32"/>
          <w:lang w:eastAsia="zh-CN"/>
        </w:rPr>
        <w:t>1、成立标准</w:t>
      </w:r>
      <w:r w:rsidR="00240E6E" w:rsidRPr="00D36CE7">
        <w:rPr>
          <w:rFonts w:ascii="仿宋" w:eastAsia="仿宋" w:hAnsi="仿宋" w:cs="Times New Roman" w:hint="eastAsia"/>
          <w:b/>
          <w:sz w:val="32"/>
          <w:szCs w:val="32"/>
          <w:lang w:eastAsia="zh-CN"/>
        </w:rPr>
        <w:t>起草</w:t>
      </w:r>
      <w:r w:rsidR="00240E6E" w:rsidRPr="00D36CE7">
        <w:rPr>
          <w:rFonts w:ascii="仿宋" w:eastAsia="仿宋" w:hAnsi="仿宋" w:cs="Times New Roman"/>
          <w:b/>
          <w:sz w:val="32"/>
          <w:szCs w:val="32"/>
          <w:lang w:eastAsia="zh-CN"/>
        </w:rPr>
        <w:t>小</w:t>
      </w:r>
      <w:r w:rsidRPr="00D36CE7">
        <w:rPr>
          <w:rFonts w:ascii="仿宋" w:eastAsia="仿宋" w:hAnsi="仿宋" w:cs="Times New Roman"/>
          <w:b/>
          <w:sz w:val="32"/>
          <w:szCs w:val="32"/>
          <w:lang w:eastAsia="zh-CN"/>
        </w:rPr>
        <w:t>组</w:t>
      </w:r>
    </w:p>
    <w:p w14:paraId="2D2F5247" w14:textId="7D9BB808" w:rsidR="00177526" w:rsidRPr="00D36CE7" w:rsidRDefault="00177526" w:rsidP="00D36CE7">
      <w:pPr>
        <w:autoSpaceDE w:val="0"/>
        <w:autoSpaceDN w:val="0"/>
        <w:adjustRightInd w:val="0"/>
        <w:spacing w:line="360" w:lineRule="auto"/>
        <w:ind w:firstLineChars="200" w:firstLine="640"/>
        <w:rPr>
          <w:rFonts w:ascii="仿宋" w:eastAsia="仿宋" w:hAnsi="仿宋"/>
          <w:sz w:val="32"/>
          <w:szCs w:val="32"/>
        </w:rPr>
      </w:pPr>
      <w:r w:rsidRPr="00D36CE7">
        <w:rPr>
          <w:rFonts w:ascii="仿宋" w:eastAsia="仿宋" w:hAnsi="仿宋" w:hint="eastAsia"/>
          <w:sz w:val="32"/>
          <w:szCs w:val="32"/>
        </w:rPr>
        <w:t>2021年11月初，中国医药生物技术协会疾病模型专业委员会成立</w:t>
      </w:r>
      <w:r w:rsidR="0039286C" w:rsidRPr="00D36CE7">
        <w:rPr>
          <w:rFonts w:ascii="仿宋" w:eastAsia="仿宋" w:hAnsi="仿宋" w:hint="eastAsia"/>
          <w:sz w:val="32"/>
          <w:szCs w:val="32"/>
        </w:rPr>
        <w:t>本文件</w:t>
      </w:r>
      <w:r w:rsidRPr="00D36CE7">
        <w:rPr>
          <w:rFonts w:ascii="仿宋" w:eastAsia="仿宋" w:hAnsi="仿宋" w:hint="eastAsia"/>
          <w:sz w:val="32"/>
          <w:szCs w:val="32"/>
        </w:rPr>
        <w:t>草案编写工作组，分工搜集整理国内外的研究资料、行政法规文件、国内外相关标准与技术规范，开展系列研究工作，分析比较和相关撰写工作，形成了</w:t>
      </w:r>
      <w:r w:rsidR="00562E50" w:rsidRPr="00D36CE7">
        <w:rPr>
          <w:rFonts w:ascii="仿宋" w:eastAsia="仿宋" w:hAnsi="仿宋" w:hint="eastAsia"/>
          <w:sz w:val="32"/>
          <w:szCs w:val="32"/>
        </w:rPr>
        <w:t>《人正常乳腺及乳腺癌类器官制备、冻存、复苏和鉴定操作指南》</w:t>
      </w:r>
      <w:r w:rsidRPr="00D36CE7">
        <w:rPr>
          <w:rFonts w:ascii="仿宋" w:eastAsia="仿宋" w:hAnsi="仿宋" w:hint="eastAsia"/>
          <w:sz w:val="32"/>
          <w:szCs w:val="32"/>
        </w:rPr>
        <w:t>团体标准的编写框架，并于2022年1月完成</w:t>
      </w:r>
      <w:r w:rsidR="00562E50" w:rsidRPr="00D36CE7">
        <w:rPr>
          <w:rFonts w:ascii="仿宋" w:eastAsia="仿宋" w:hAnsi="仿宋" w:hint="eastAsia"/>
          <w:sz w:val="32"/>
          <w:szCs w:val="32"/>
        </w:rPr>
        <w:t>《人正常乳腺及乳腺癌类器官制备、冻存、复苏和鉴定操作指南》</w:t>
      </w:r>
      <w:r w:rsidRPr="00D36CE7">
        <w:rPr>
          <w:rFonts w:ascii="仿宋" w:eastAsia="仿宋" w:hAnsi="仿宋" w:hint="eastAsia"/>
          <w:sz w:val="32"/>
          <w:szCs w:val="32"/>
        </w:rPr>
        <w:t>标准编制的技术框架的确定。</w:t>
      </w:r>
    </w:p>
    <w:p w14:paraId="56F15EF5" w14:textId="77777777" w:rsidR="009D33F6" w:rsidRPr="00D36CE7" w:rsidRDefault="009D33F6" w:rsidP="00D36CE7">
      <w:pPr>
        <w:spacing w:line="0" w:lineRule="atLeast"/>
        <w:ind w:firstLine="200"/>
        <w:jc w:val="center"/>
        <w:rPr>
          <w:rFonts w:ascii="仿宋" w:eastAsia="仿宋" w:hAnsi="仿宋"/>
          <w:bCs/>
          <w:sz w:val="32"/>
          <w:szCs w:val="32"/>
        </w:rPr>
      </w:pPr>
      <w:bookmarkStart w:id="0" w:name="_Hlk51228191"/>
      <w:bookmarkEnd w:id="0"/>
    </w:p>
    <w:p w14:paraId="04D4D39F" w14:textId="469A7A67" w:rsidR="009D33F6" w:rsidRPr="00D36CE7" w:rsidRDefault="004D051C" w:rsidP="00D36CE7">
      <w:pPr>
        <w:pStyle w:val="TableParagraph"/>
        <w:adjustRightInd w:val="0"/>
        <w:snapToGrid w:val="0"/>
        <w:spacing w:line="360" w:lineRule="auto"/>
        <w:ind w:leftChars="49" w:left="103" w:rightChars="111" w:right="233" w:firstLineChars="200" w:firstLine="643"/>
        <w:jc w:val="both"/>
        <w:rPr>
          <w:rFonts w:ascii="仿宋" w:eastAsia="仿宋" w:hAnsi="仿宋" w:cs="Times New Roman"/>
          <w:b/>
          <w:sz w:val="32"/>
          <w:szCs w:val="32"/>
          <w:lang w:eastAsia="zh-CN"/>
        </w:rPr>
      </w:pPr>
      <w:r w:rsidRPr="00D36CE7">
        <w:rPr>
          <w:rFonts w:ascii="仿宋" w:eastAsia="仿宋" w:hAnsi="仿宋" w:cs="Times New Roman"/>
          <w:b/>
          <w:sz w:val="32"/>
          <w:szCs w:val="32"/>
          <w:lang w:eastAsia="zh-CN"/>
        </w:rPr>
        <w:t>2、标准</w:t>
      </w:r>
      <w:r w:rsidR="00240E6E" w:rsidRPr="00D36CE7">
        <w:rPr>
          <w:rFonts w:ascii="仿宋" w:eastAsia="仿宋" w:hAnsi="仿宋" w:cs="Times New Roman" w:hint="eastAsia"/>
          <w:b/>
          <w:sz w:val="32"/>
          <w:szCs w:val="32"/>
          <w:lang w:eastAsia="zh-CN"/>
        </w:rPr>
        <w:t>起草</w:t>
      </w:r>
      <w:r w:rsidR="00240E6E" w:rsidRPr="00D36CE7">
        <w:rPr>
          <w:rFonts w:ascii="仿宋" w:eastAsia="仿宋" w:hAnsi="仿宋" w:cs="Times New Roman"/>
          <w:b/>
          <w:sz w:val="32"/>
          <w:szCs w:val="32"/>
          <w:lang w:eastAsia="zh-CN"/>
        </w:rPr>
        <w:t>小</w:t>
      </w:r>
      <w:r w:rsidRPr="00D36CE7">
        <w:rPr>
          <w:rFonts w:ascii="仿宋" w:eastAsia="仿宋" w:hAnsi="仿宋" w:cs="Times New Roman"/>
          <w:b/>
          <w:sz w:val="32"/>
          <w:szCs w:val="32"/>
          <w:lang w:eastAsia="zh-CN"/>
        </w:rPr>
        <w:t>组的工作进展</w:t>
      </w:r>
    </w:p>
    <w:p w14:paraId="73C71C7A" w14:textId="07E450FD" w:rsidR="009D33F6" w:rsidRPr="00D36CE7" w:rsidRDefault="00573E2F"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2021年10月在中国医药生物技术协会疾病模型专业委员会成立大会上，正式提议类器官疾病模型团体标准的编制</w:t>
      </w:r>
      <w:r w:rsidRPr="00D36CE7">
        <w:rPr>
          <w:rFonts w:ascii="仿宋" w:eastAsia="仿宋" w:hAnsi="仿宋" w:hint="eastAsia"/>
          <w:sz w:val="32"/>
          <w:szCs w:val="32"/>
        </w:rPr>
        <w:t>。</w:t>
      </w:r>
      <w:r w:rsidR="004D051C" w:rsidRPr="00D36CE7">
        <w:rPr>
          <w:rFonts w:ascii="仿宋" w:eastAsia="仿宋" w:hAnsi="仿宋"/>
          <w:sz w:val="32"/>
          <w:szCs w:val="32"/>
        </w:rPr>
        <w:t>标准编制工作组在2021年11</w:t>
      </w:r>
      <w:r w:rsidRPr="00D36CE7">
        <w:rPr>
          <w:rFonts w:ascii="仿宋" w:eastAsia="仿宋" w:hAnsi="仿宋"/>
          <w:sz w:val="32"/>
          <w:szCs w:val="32"/>
        </w:rPr>
        <w:t>月正式成立</w:t>
      </w:r>
      <w:r w:rsidRPr="00D36CE7">
        <w:rPr>
          <w:rFonts w:ascii="仿宋" w:eastAsia="仿宋" w:hAnsi="仿宋" w:hint="eastAsia"/>
          <w:sz w:val="32"/>
          <w:szCs w:val="32"/>
        </w:rPr>
        <w:t>，</w:t>
      </w:r>
      <w:r w:rsidR="004D051C" w:rsidRPr="00D36CE7">
        <w:rPr>
          <w:rFonts w:ascii="仿宋" w:eastAsia="仿宋" w:hAnsi="仿宋"/>
          <w:sz w:val="32"/>
          <w:szCs w:val="32"/>
        </w:rPr>
        <w:t>总体</w:t>
      </w:r>
      <w:r w:rsidR="00240E6E" w:rsidRPr="00D36CE7">
        <w:rPr>
          <w:rFonts w:ascii="仿宋" w:eastAsia="仿宋" w:hAnsi="仿宋" w:hint="eastAsia"/>
          <w:sz w:val="32"/>
          <w:szCs w:val="32"/>
        </w:rPr>
        <w:t>工作</w:t>
      </w:r>
      <w:r w:rsidR="00240E6E" w:rsidRPr="00D36CE7">
        <w:rPr>
          <w:rFonts w:ascii="仿宋" w:eastAsia="仿宋" w:hAnsi="仿宋"/>
          <w:sz w:val="32"/>
          <w:szCs w:val="32"/>
        </w:rPr>
        <w:t>进展</w:t>
      </w:r>
      <w:r w:rsidR="004D051C" w:rsidRPr="00D36CE7">
        <w:rPr>
          <w:rFonts w:ascii="仿宋" w:eastAsia="仿宋" w:hAnsi="仿宋"/>
          <w:sz w:val="32"/>
          <w:szCs w:val="32"/>
        </w:rPr>
        <w:t>如下：</w:t>
      </w:r>
    </w:p>
    <w:p w14:paraId="1FD46A9C" w14:textId="09AFA4EA" w:rsidR="009D33F6" w:rsidRPr="00D36CE7" w:rsidRDefault="004D051C"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2021年11月至2022年5月：进行标准的</w:t>
      </w:r>
      <w:r w:rsidR="00573E2F" w:rsidRPr="00D36CE7">
        <w:rPr>
          <w:rFonts w:ascii="仿宋" w:eastAsia="仿宋" w:hAnsi="仿宋" w:hint="eastAsia"/>
          <w:sz w:val="32"/>
          <w:szCs w:val="32"/>
        </w:rPr>
        <w:t>草案</w:t>
      </w:r>
      <w:r w:rsidRPr="00D36CE7">
        <w:rPr>
          <w:rFonts w:ascii="仿宋" w:eastAsia="仿宋" w:hAnsi="仿宋"/>
          <w:sz w:val="32"/>
          <w:szCs w:val="32"/>
        </w:rPr>
        <w:t>撰写工作，定期组织起草组专家讨论会，对相关技术细节进行反复求证及修改</w:t>
      </w:r>
      <w:r w:rsidR="00573E2F" w:rsidRPr="00D36CE7">
        <w:rPr>
          <w:rFonts w:ascii="仿宋" w:eastAsia="仿宋" w:hAnsi="仿宋" w:hint="eastAsia"/>
          <w:sz w:val="32"/>
          <w:szCs w:val="32"/>
        </w:rPr>
        <w:t>，</w:t>
      </w:r>
      <w:r w:rsidR="00573E2F" w:rsidRPr="00D36CE7">
        <w:rPr>
          <w:rFonts w:ascii="仿宋" w:eastAsia="仿宋" w:hAnsi="仿宋"/>
          <w:sz w:val="32"/>
          <w:szCs w:val="32"/>
        </w:rPr>
        <w:t>最终形成标准草案</w:t>
      </w:r>
      <w:r w:rsidR="00C9539B" w:rsidRPr="00D36CE7">
        <w:rPr>
          <w:rFonts w:ascii="仿宋" w:eastAsia="仿宋" w:hAnsi="仿宋" w:hint="eastAsia"/>
          <w:sz w:val="32"/>
          <w:szCs w:val="32"/>
        </w:rPr>
        <w:t>稿</w:t>
      </w:r>
      <w:r w:rsidRPr="00D36CE7">
        <w:rPr>
          <w:rFonts w:ascii="仿宋" w:eastAsia="仿宋" w:hAnsi="仿宋" w:hint="eastAsia"/>
          <w:sz w:val="32"/>
          <w:szCs w:val="32"/>
        </w:rPr>
        <w:t>。</w:t>
      </w:r>
    </w:p>
    <w:p w14:paraId="2F18174D" w14:textId="1BE92C67" w:rsidR="00573E2F" w:rsidRPr="00D36CE7" w:rsidRDefault="004D051C"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2022年</w:t>
      </w:r>
      <w:r w:rsidR="00573E2F" w:rsidRPr="00D36CE7">
        <w:rPr>
          <w:rFonts w:ascii="仿宋" w:eastAsia="仿宋" w:hAnsi="仿宋" w:hint="eastAsia"/>
          <w:sz w:val="32"/>
          <w:szCs w:val="32"/>
        </w:rPr>
        <w:t>5</w:t>
      </w:r>
      <w:r w:rsidRPr="00D36CE7">
        <w:rPr>
          <w:rFonts w:ascii="仿宋" w:eastAsia="仿宋" w:hAnsi="仿宋"/>
          <w:sz w:val="32"/>
          <w:szCs w:val="32"/>
        </w:rPr>
        <w:t>月：</w:t>
      </w:r>
      <w:r w:rsidR="00573E2F" w:rsidRPr="00D36CE7">
        <w:rPr>
          <w:rFonts w:ascii="仿宋" w:eastAsia="仿宋" w:hAnsi="仿宋"/>
          <w:sz w:val="32"/>
          <w:szCs w:val="32"/>
        </w:rPr>
        <w:t>向中国医药生物技术协会提出立项申请</w:t>
      </w:r>
      <w:r w:rsidR="00573E2F" w:rsidRPr="00D36CE7">
        <w:rPr>
          <w:rFonts w:ascii="仿宋" w:eastAsia="仿宋" w:hAnsi="仿宋" w:hint="eastAsia"/>
          <w:sz w:val="32"/>
          <w:szCs w:val="32"/>
        </w:rPr>
        <w:t>。</w:t>
      </w:r>
    </w:p>
    <w:p w14:paraId="330AA0F0" w14:textId="06FE9965" w:rsidR="009D33F6" w:rsidRPr="00D36CE7" w:rsidRDefault="00573E2F"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2022年</w:t>
      </w:r>
      <w:r w:rsidRPr="00D36CE7">
        <w:rPr>
          <w:rFonts w:ascii="仿宋" w:eastAsia="仿宋" w:hAnsi="仿宋" w:hint="eastAsia"/>
          <w:sz w:val="32"/>
          <w:szCs w:val="32"/>
        </w:rPr>
        <w:t>6</w:t>
      </w:r>
      <w:r w:rsidRPr="00D36CE7">
        <w:rPr>
          <w:rFonts w:ascii="仿宋" w:eastAsia="仿宋" w:hAnsi="仿宋"/>
          <w:sz w:val="32"/>
          <w:szCs w:val="32"/>
        </w:rPr>
        <w:t>月：经</w:t>
      </w:r>
      <w:r w:rsidR="004D051C" w:rsidRPr="00D36CE7">
        <w:rPr>
          <w:rFonts w:ascii="仿宋" w:eastAsia="仿宋" w:hAnsi="仿宋"/>
          <w:sz w:val="32"/>
          <w:szCs w:val="32"/>
        </w:rPr>
        <w:t>中国医药生物技术协会</w:t>
      </w:r>
      <w:r w:rsidRPr="00D36CE7">
        <w:rPr>
          <w:rFonts w:ascii="仿宋" w:eastAsia="仿宋" w:hAnsi="仿宋"/>
          <w:sz w:val="32"/>
          <w:szCs w:val="32"/>
        </w:rPr>
        <w:t>标准工作专家委员会视频会议</w:t>
      </w:r>
      <w:r w:rsidR="004D051C" w:rsidRPr="00D36CE7">
        <w:rPr>
          <w:rFonts w:ascii="仿宋" w:eastAsia="仿宋" w:hAnsi="仿宋"/>
          <w:sz w:val="32"/>
          <w:szCs w:val="32"/>
        </w:rPr>
        <w:t>审</w:t>
      </w:r>
      <w:r w:rsidRPr="00D36CE7">
        <w:rPr>
          <w:rFonts w:ascii="仿宋" w:eastAsia="仿宋" w:hAnsi="仿宋" w:hint="eastAsia"/>
          <w:sz w:val="32"/>
          <w:szCs w:val="32"/>
        </w:rPr>
        <w:t>议，</w:t>
      </w:r>
      <w:r w:rsidR="004D051C" w:rsidRPr="00D36CE7">
        <w:rPr>
          <w:rFonts w:ascii="仿宋" w:eastAsia="仿宋" w:hAnsi="仿宋"/>
          <w:sz w:val="32"/>
          <w:szCs w:val="32"/>
        </w:rPr>
        <w:t>本团体标准</w:t>
      </w:r>
      <w:r w:rsidR="00766D1F" w:rsidRPr="00D36CE7">
        <w:rPr>
          <w:rFonts w:ascii="仿宋" w:eastAsia="仿宋" w:hAnsi="仿宋"/>
          <w:sz w:val="32"/>
          <w:szCs w:val="32"/>
        </w:rPr>
        <w:t>立项</w:t>
      </w:r>
      <w:r w:rsidR="004D051C" w:rsidRPr="00D36CE7">
        <w:rPr>
          <w:rFonts w:ascii="仿宋" w:eastAsia="仿宋" w:hAnsi="仿宋"/>
          <w:sz w:val="32"/>
          <w:szCs w:val="32"/>
        </w:rPr>
        <w:t>得到批准。</w:t>
      </w:r>
    </w:p>
    <w:p w14:paraId="39CCEEDB" w14:textId="356BBB5B" w:rsidR="009D33F6" w:rsidRPr="00D36CE7" w:rsidRDefault="004D051C"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2022年6月至2022年</w:t>
      </w:r>
      <w:r w:rsidR="00251C28" w:rsidRPr="00D36CE7">
        <w:rPr>
          <w:rFonts w:ascii="仿宋" w:eastAsia="仿宋" w:hAnsi="仿宋" w:hint="eastAsia"/>
          <w:sz w:val="32"/>
          <w:szCs w:val="32"/>
        </w:rPr>
        <w:t>9</w:t>
      </w:r>
      <w:r w:rsidRPr="00D36CE7">
        <w:rPr>
          <w:rFonts w:ascii="仿宋" w:eastAsia="仿宋" w:hAnsi="仿宋"/>
          <w:sz w:val="32"/>
          <w:szCs w:val="32"/>
        </w:rPr>
        <w:t>月</w:t>
      </w:r>
      <w:r w:rsidR="00FF4257" w:rsidRPr="00D36CE7">
        <w:rPr>
          <w:rFonts w:ascii="仿宋" w:eastAsia="仿宋" w:hAnsi="仿宋" w:hint="eastAsia"/>
          <w:sz w:val="32"/>
          <w:szCs w:val="32"/>
        </w:rPr>
        <w:t>底</w:t>
      </w:r>
      <w:r w:rsidRPr="00D36CE7">
        <w:rPr>
          <w:rFonts w:ascii="仿宋" w:eastAsia="仿宋" w:hAnsi="仿宋"/>
          <w:sz w:val="32"/>
          <w:szCs w:val="32"/>
        </w:rPr>
        <w:t>：</w:t>
      </w:r>
      <w:r w:rsidR="00766D1F" w:rsidRPr="00D36CE7">
        <w:rPr>
          <w:rFonts w:ascii="仿宋" w:eastAsia="仿宋" w:hAnsi="仿宋"/>
          <w:sz w:val="32"/>
          <w:szCs w:val="32"/>
        </w:rPr>
        <w:t>起草组根据专家提出的建议反馈对标准进行修改</w:t>
      </w:r>
      <w:r w:rsidR="00766D1F" w:rsidRPr="00D36CE7">
        <w:rPr>
          <w:rFonts w:ascii="仿宋" w:eastAsia="仿宋" w:hAnsi="仿宋" w:hint="eastAsia"/>
          <w:sz w:val="32"/>
          <w:szCs w:val="32"/>
        </w:rPr>
        <w:t>，</w:t>
      </w:r>
      <w:r w:rsidR="00766D1F" w:rsidRPr="00D36CE7">
        <w:rPr>
          <w:rFonts w:ascii="仿宋" w:eastAsia="仿宋" w:hAnsi="仿宋"/>
          <w:sz w:val="32"/>
          <w:szCs w:val="32"/>
        </w:rPr>
        <w:t>并</w:t>
      </w:r>
      <w:r w:rsidR="00766D1F" w:rsidRPr="00D36CE7">
        <w:rPr>
          <w:rFonts w:ascii="仿宋" w:eastAsia="仿宋" w:hAnsi="仿宋" w:hint="eastAsia"/>
          <w:sz w:val="32"/>
          <w:szCs w:val="32"/>
        </w:rPr>
        <w:t>向相关专家征求意见，并在相关</w:t>
      </w:r>
      <w:r w:rsidR="00A941FC" w:rsidRPr="00D36CE7">
        <w:rPr>
          <w:rFonts w:ascii="仿宋" w:eastAsia="仿宋" w:hAnsi="仿宋" w:hint="eastAsia"/>
          <w:sz w:val="32"/>
          <w:szCs w:val="32"/>
        </w:rPr>
        <w:t>数据及反馈</w:t>
      </w:r>
      <w:r w:rsidR="00A941FC" w:rsidRPr="00D36CE7">
        <w:rPr>
          <w:rFonts w:ascii="仿宋" w:eastAsia="仿宋" w:hAnsi="仿宋" w:hint="eastAsia"/>
          <w:sz w:val="32"/>
          <w:szCs w:val="32"/>
        </w:rPr>
        <w:lastRenderedPageBreak/>
        <w:t>意见的基础上，</w:t>
      </w:r>
      <w:r w:rsidRPr="00D36CE7">
        <w:rPr>
          <w:rFonts w:ascii="仿宋" w:eastAsia="仿宋" w:hAnsi="仿宋"/>
          <w:sz w:val="32"/>
          <w:szCs w:val="32"/>
        </w:rPr>
        <w:t>形成</w:t>
      </w:r>
      <w:r w:rsidR="00A941FC" w:rsidRPr="00D36CE7">
        <w:rPr>
          <w:rFonts w:ascii="仿宋" w:eastAsia="仿宋" w:hAnsi="仿宋"/>
          <w:sz w:val="32"/>
          <w:szCs w:val="32"/>
        </w:rPr>
        <w:t>征求意见</w:t>
      </w:r>
      <w:r w:rsidRPr="00D36CE7">
        <w:rPr>
          <w:rFonts w:ascii="仿宋" w:eastAsia="仿宋" w:hAnsi="仿宋"/>
          <w:sz w:val="32"/>
          <w:szCs w:val="32"/>
        </w:rPr>
        <w:t>稿</w:t>
      </w:r>
      <w:r w:rsidRPr="00D36CE7">
        <w:rPr>
          <w:rFonts w:ascii="仿宋" w:eastAsia="仿宋" w:hAnsi="仿宋" w:hint="eastAsia"/>
          <w:sz w:val="32"/>
          <w:szCs w:val="32"/>
        </w:rPr>
        <w:t>。</w:t>
      </w:r>
    </w:p>
    <w:p w14:paraId="715DB3B0" w14:textId="255B04F8" w:rsidR="00251C28" w:rsidRPr="00D36CE7" w:rsidRDefault="00251C28"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2022年9月</w:t>
      </w:r>
      <w:r w:rsidR="00FF4257" w:rsidRPr="00D36CE7">
        <w:rPr>
          <w:rFonts w:ascii="仿宋" w:eastAsia="仿宋" w:hAnsi="仿宋" w:hint="eastAsia"/>
          <w:sz w:val="32"/>
          <w:szCs w:val="32"/>
        </w:rPr>
        <w:t>底</w:t>
      </w:r>
      <w:r w:rsidRPr="00D36CE7">
        <w:rPr>
          <w:rFonts w:ascii="仿宋" w:eastAsia="仿宋" w:hAnsi="仿宋"/>
          <w:sz w:val="32"/>
          <w:szCs w:val="32"/>
        </w:rPr>
        <w:t>至2022年12月</w:t>
      </w:r>
      <w:r w:rsidRPr="00D36CE7">
        <w:rPr>
          <w:rFonts w:ascii="仿宋" w:eastAsia="仿宋" w:hAnsi="仿宋" w:hint="eastAsia"/>
          <w:sz w:val="32"/>
          <w:szCs w:val="32"/>
        </w:rPr>
        <w:t>：</w:t>
      </w:r>
      <w:r w:rsidRPr="00D36CE7">
        <w:rPr>
          <w:rFonts w:ascii="仿宋" w:eastAsia="仿宋" w:hAnsi="仿宋"/>
          <w:sz w:val="32"/>
          <w:szCs w:val="32"/>
        </w:rPr>
        <w:t>起草组根据</w:t>
      </w:r>
      <w:r w:rsidRPr="00D36CE7">
        <w:rPr>
          <w:rFonts w:ascii="仿宋" w:eastAsia="仿宋" w:hAnsi="仿宋" w:hint="eastAsia"/>
          <w:sz w:val="32"/>
          <w:szCs w:val="32"/>
        </w:rPr>
        <w:t>征求意见稿</w:t>
      </w:r>
      <w:r w:rsidRPr="00D36CE7">
        <w:rPr>
          <w:rFonts w:ascii="仿宋" w:eastAsia="仿宋" w:hAnsi="仿宋"/>
          <w:sz w:val="32"/>
          <w:szCs w:val="32"/>
        </w:rPr>
        <w:t>反馈</w:t>
      </w:r>
      <w:r w:rsidRPr="00D36CE7">
        <w:rPr>
          <w:rFonts w:ascii="仿宋" w:eastAsia="仿宋" w:hAnsi="仿宋" w:hint="eastAsia"/>
          <w:sz w:val="32"/>
          <w:szCs w:val="32"/>
        </w:rPr>
        <w:t>的信息</w:t>
      </w:r>
      <w:r w:rsidRPr="00D36CE7">
        <w:rPr>
          <w:rFonts w:ascii="仿宋" w:eastAsia="仿宋" w:hAnsi="仿宋"/>
          <w:sz w:val="32"/>
          <w:szCs w:val="32"/>
        </w:rPr>
        <w:t>对标准进行修改</w:t>
      </w:r>
      <w:r w:rsidRPr="00D36CE7">
        <w:rPr>
          <w:rFonts w:ascii="仿宋" w:eastAsia="仿宋" w:hAnsi="仿宋" w:hint="eastAsia"/>
          <w:sz w:val="32"/>
          <w:szCs w:val="32"/>
        </w:rPr>
        <w:t>，并结合相关专家的修改意见，形成送审稿。</w:t>
      </w:r>
    </w:p>
    <w:p w14:paraId="199423D9" w14:textId="407E5083" w:rsidR="00562E50" w:rsidRPr="00D36CE7" w:rsidRDefault="00562E50"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2022</w:t>
      </w:r>
      <w:r w:rsidRPr="00D36CE7">
        <w:rPr>
          <w:rFonts w:ascii="仿宋" w:eastAsia="仿宋" w:hAnsi="仿宋" w:hint="eastAsia"/>
          <w:sz w:val="32"/>
          <w:szCs w:val="32"/>
        </w:rPr>
        <w:t>年1</w:t>
      </w:r>
      <w:r w:rsidRPr="00D36CE7">
        <w:rPr>
          <w:rFonts w:ascii="仿宋" w:eastAsia="仿宋" w:hAnsi="仿宋"/>
          <w:sz w:val="32"/>
          <w:szCs w:val="32"/>
        </w:rPr>
        <w:t>2</w:t>
      </w:r>
      <w:r w:rsidRPr="00D36CE7">
        <w:rPr>
          <w:rFonts w:ascii="仿宋" w:eastAsia="仿宋" w:hAnsi="仿宋" w:hint="eastAsia"/>
          <w:sz w:val="32"/>
          <w:szCs w:val="32"/>
        </w:rPr>
        <w:t>月至2</w:t>
      </w:r>
      <w:r w:rsidRPr="00D36CE7">
        <w:rPr>
          <w:rFonts w:ascii="仿宋" w:eastAsia="仿宋" w:hAnsi="仿宋"/>
          <w:sz w:val="32"/>
          <w:szCs w:val="32"/>
        </w:rPr>
        <w:t>023</w:t>
      </w:r>
      <w:r w:rsidRPr="00D36CE7">
        <w:rPr>
          <w:rFonts w:ascii="仿宋" w:eastAsia="仿宋" w:hAnsi="仿宋" w:hint="eastAsia"/>
          <w:sz w:val="32"/>
          <w:szCs w:val="32"/>
        </w:rPr>
        <w:t>年1月</w:t>
      </w:r>
      <w:r w:rsidR="00DA7508" w:rsidRPr="00D36CE7">
        <w:rPr>
          <w:rFonts w:ascii="仿宋" w:eastAsia="仿宋" w:hAnsi="仿宋" w:hint="eastAsia"/>
          <w:sz w:val="32"/>
          <w:szCs w:val="32"/>
        </w:rPr>
        <w:t>底</w:t>
      </w:r>
      <w:r w:rsidRPr="00D36CE7">
        <w:rPr>
          <w:rFonts w:ascii="仿宋" w:eastAsia="仿宋" w:hAnsi="仿宋" w:hint="eastAsia"/>
          <w:sz w:val="32"/>
          <w:szCs w:val="32"/>
        </w:rPr>
        <w:t>：通过团体标准项目终审答辩，并结合审评专家意见对标准文本进行技术细节比对、修改，形成修订稿。</w:t>
      </w:r>
    </w:p>
    <w:p w14:paraId="7EEEF78A" w14:textId="77777777" w:rsidR="009D33F6" w:rsidRPr="00D36CE7" w:rsidRDefault="004D051C" w:rsidP="00D36CE7">
      <w:pPr>
        <w:spacing w:after="240" w:line="360" w:lineRule="auto"/>
        <w:ind w:firstLineChars="200" w:firstLine="643"/>
        <w:rPr>
          <w:rFonts w:ascii="仿宋" w:eastAsia="仿宋" w:hAnsi="仿宋"/>
          <w:b/>
          <w:bCs/>
          <w:sz w:val="32"/>
          <w:szCs w:val="32"/>
        </w:rPr>
      </w:pPr>
      <w:r w:rsidRPr="00D36CE7">
        <w:rPr>
          <w:rFonts w:ascii="仿宋" w:eastAsia="仿宋" w:hAnsi="仿宋"/>
          <w:b/>
          <w:bCs/>
          <w:sz w:val="32"/>
          <w:szCs w:val="32"/>
        </w:rPr>
        <w:t>四、标准主要内容</w:t>
      </w:r>
    </w:p>
    <w:p w14:paraId="309B52DC" w14:textId="77777777" w:rsidR="009D33F6" w:rsidRPr="00D36CE7" w:rsidRDefault="004D051C" w:rsidP="00D36CE7">
      <w:pPr>
        <w:pStyle w:val="TableParagraph"/>
        <w:adjustRightInd w:val="0"/>
        <w:snapToGrid w:val="0"/>
        <w:spacing w:line="360" w:lineRule="auto"/>
        <w:ind w:leftChars="49" w:left="103" w:rightChars="111" w:right="233" w:firstLineChars="200" w:firstLine="643"/>
        <w:jc w:val="both"/>
        <w:rPr>
          <w:rFonts w:ascii="仿宋" w:eastAsia="仿宋" w:hAnsi="仿宋" w:cs="Times New Roman"/>
          <w:b/>
          <w:sz w:val="32"/>
          <w:szCs w:val="32"/>
          <w:lang w:eastAsia="zh-CN"/>
        </w:rPr>
      </w:pPr>
      <w:r w:rsidRPr="00D36CE7">
        <w:rPr>
          <w:rFonts w:ascii="仿宋" w:eastAsia="仿宋" w:hAnsi="仿宋" w:cs="Times New Roman"/>
          <w:b/>
          <w:sz w:val="32"/>
          <w:szCs w:val="32"/>
          <w:lang w:eastAsia="zh-CN"/>
        </w:rPr>
        <w:t>1、编制原则</w:t>
      </w:r>
    </w:p>
    <w:p w14:paraId="51C680C9" w14:textId="665D6025" w:rsidR="009D33F6" w:rsidRPr="00D36CE7" w:rsidRDefault="0039286C" w:rsidP="00D36CE7">
      <w:pPr>
        <w:spacing w:after="240" w:line="360" w:lineRule="auto"/>
        <w:ind w:firstLineChars="200" w:firstLine="640"/>
        <w:rPr>
          <w:rFonts w:ascii="仿宋" w:eastAsia="仿宋" w:hAnsi="仿宋"/>
          <w:b/>
          <w:bCs/>
          <w:sz w:val="32"/>
          <w:szCs w:val="32"/>
        </w:rPr>
      </w:pPr>
      <w:r w:rsidRPr="00D36CE7">
        <w:rPr>
          <w:rFonts w:ascii="仿宋" w:eastAsia="仿宋" w:hAnsi="仿宋"/>
          <w:sz w:val="32"/>
          <w:szCs w:val="32"/>
        </w:rPr>
        <w:t>本文件</w:t>
      </w:r>
      <w:r w:rsidR="004D051C" w:rsidRPr="00D36CE7">
        <w:rPr>
          <w:rFonts w:ascii="仿宋" w:eastAsia="仿宋" w:hAnsi="仿宋"/>
          <w:sz w:val="32"/>
          <w:szCs w:val="32"/>
        </w:rPr>
        <w:t>的编写按照实际需求出发，遵循我国法规与相关伦理准则的原则。</w:t>
      </w:r>
    </w:p>
    <w:p w14:paraId="47478812" w14:textId="77777777" w:rsidR="009D33F6" w:rsidRPr="00D36CE7" w:rsidRDefault="004D051C" w:rsidP="00D36CE7">
      <w:pPr>
        <w:pStyle w:val="TableParagraph"/>
        <w:adjustRightInd w:val="0"/>
        <w:snapToGrid w:val="0"/>
        <w:spacing w:line="360" w:lineRule="auto"/>
        <w:ind w:leftChars="49" w:left="103" w:rightChars="111" w:right="233" w:firstLineChars="200" w:firstLine="643"/>
        <w:jc w:val="both"/>
        <w:rPr>
          <w:rFonts w:ascii="仿宋" w:eastAsia="仿宋" w:hAnsi="仿宋" w:cs="Times New Roman"/>
          <w:b/>
          <w:sz w:val="32"/>
          <w:szCs w:val="32"/>
          <w:lang w:eastAsia="zh-CN"/>
        </w:rPr>
      </w:pPr>
      <w:r w:rsidRPr="00D36CE7">
        <w:rPr>
          <w:rFonts w:ascii="仿宋" w:eastAsia="仿宋" w:hAnsi="仿宋" w:cs="Times New Roman"/>
          <w:b/>
          <w:sz w:val="32"/>
          <w:szCs w:val="32"/>
          <w:lang w:eastAsia="zh-CN"/>
        </w:rPr>
        <w:t>2、</w:t>
      </w:r>
      <w:bookmarkStart w:id="1" w:name="OLE_LINK13"/>
      <w:bookmarkStart w:id="2" w:name="OLE_LINK14"/>
      <w:r w:rsidRPr="00D36CE7">
        <w:rPr>
          <w:rFonts w:ascii="仿宋" w:eastAsia="仿宋" w:hAnsi="仿宋" w:cs="Times New Roman"/>
          <w:b/>
          <w:sz w:val="32"/>
          <w:szCs w:val="32"/>
          <w:lang w:eastAsia="zh-CN"/>
        </w:rPr>
        <w:t>范围</w:t>
      </w:r>
      <w:bookmarkEnd w:id="1"/>
      <w:bookmarkEnd w:id="2"/>
    </w:p>
    <w:p w14:paraId="23060B64" w14:textId="5F71FA76" w:rsidR="0039286C" w:rsidRPr="00D36CE7" w:rsidRDefault="0039286C" w:rsidP="00D36CE7">
      <w:pPr>
        <w:spacing w:after="240" w:line="360" w:lineRule="auto"/>
        <w:ind w:firstLineChars="200" w:firstLine="640"/>
        <w:rPr>
          <w:rFonts w:ascii="仿宋" w:eastAsia="仿宋" w:hAnsi="仿宋"/>
          <w:sz w:val="32"/>
          <w:szCs w:val="32"/>
        </w:rPr>
      </w:pPr>
      <w:r w:rsidRPr="00D36CE7">
        <w:rPr>
          <w:rFonts w:ascii="仿宋" w:eastAsia="仿宋" w:hAnsi="仿宋" w:hint="eastAsia"/>
          <w:sz w:val="32"/>
          <w:szCs w:val="32"/>
        </w:rPr>
        <w:t>本文件给出了获取人正常乳腺及乳腺癌组织类器官制备、传代、冻存、复苏和鉴定等的规范性操作和推荐方法。</w:t>
      </w:r>
    </w:p>
    <w:p w14:paraId="3AFAE78B" w14:textId="77777777" w:rsidR="0039286C" w:rsidRPr="00D36CE7" w:rsidRDefault="0039286C" w:rsidP="00D36CE7">
      <w:pPr>
        <w:spacing w:after="240" w:line="360" w:lineRule="auto"/>
        <w:ind w:firstLineChars="200" w:firstLine="640"/>
        <w:rPr>
          <w:rFonts w:ascii="仿宋" w:eastAsia="仿宋" w:hAnsi="仿宋"/>
          <w:sz w:val="32"/>
          <w:szCs w:val="32"/>
        </w:rPr>
      </w:pPr>
      <w:r w:rsidRPr="00D36CE7">
        <w:rPr>
          <w:rFonts w:ascii="仿宋" w:eastAsia="仿宋" w:hAnsi="仿宋" w:hint="eastAsia"/>
          <w:sz w:val="32"/>
          <w:szCs w:val="32"/>
        </w:rPr>
        <w:t>本文件适用于科研院所、医疗机构、制药企业等构建人源正常乳腺及乳腺癌组织类器官</w:t>
      </w:r>
    </w:p>
    <w:p w14:paraId="7B26D569" w14:textId="4691937E" w:rsidR="009D33F6" w:rsidRPr="00D36CE7" w:rsidRDefault="004D051C" w:rsidP="00D36CE7">
      <w:pPr>
        <w:pStyle w:val="TableParagraph"/>
        <w:adjustRightInd w:val="0"/>
        <w:snapToGrid w:val="0"/>
        <w:spacing w:line="360" w:lineRule="auto"/>
        <w:ind w:leftChars="49" w:left="103" w:rightChars="111" w:right="233" w:firstLineChars="200" w:firstLine="643"/>
        <w:jc w:val="both"/>
        <w:rPr>
          <w:rFonts w:ascii="仿宋" w:eastAsia="仿宋" w:hAnsi="仿宋" w:cs="Times New Roman"/>
          <w:b/>
          <w:sz w:val="32"/>
          <w:szCs w:val="32"/>
          <w:lang w:eastAsia="zh-CN"/>
        </w:rPr>
      </w:pPr>
      <w:r w:rsidRPr="00D36CE7">
        <w:rPr>
          <w:rFonts w:ascii="仿宋" w:eastAsia="仿宋" w:hAnsi="仿宋" w:cs="Times New Roman"/>
          <w:b/>
          <w:sz w:val="32"/>
          <w:szCs w:val="32"/>
          <w:lang w:eastAsia="zh-CN"/>
        </w:rPr>
        <w:t>3、主要技术内容</w:t>
      </w:r>
    </w:p>
    <w:p w14:paraId="1BD61110" w14:textId="246C9B76" w:rsidR="009D33F6" w:rsidRPr="00D36CE7" w:rsidRDefault="0039286C" w:rsidP="00D36CE7">
      <w:pPr>
        <w:pStyle w:val="TableParagraph"/>
        <w:adjustRightInd w:val="0"/>
        <w:snapToGrid w:val="0"/>
        <w:spacing w:line="360" w:lineRule="auto"/>
        <w:ind w:leftChars="49" w:left="103" w:rightChars="111" w:right="233" w:firstLineChars="200" w:firstLine="640"/>
        <w:jc w:val="both"/>
        <w:rPr>
          <w:rFonts w:ascii="仿宋" w:eastAsia="仿宋" w:hAnsi="仿宋" w:cs="Times New Roman"/>
          <w:sz w:val="32"/>
          <w:szCs w:val="32"/>
          <w:lang w:eastAsia="zh-CN"/>
        </w:rPr>
      </w:pPr>
      <w:r w:rsidRPr="00D36CE7">
        <w:rPr>
          <w:rFonts w:ascii="仿宋" w:eastAsia="仿宋" w:hAnsi="仿宋" w:cs="Times New Roman"/>
          <w:sz w:val="32"/>
          <w:szCs w:val="32"/>
          <w:lang w:eastAsia="zh-CN"/>
        </w:rPr>
        <w:t>本文件</w:t>
      </w:r>
      <w:r w:rsidR="004D051C" w:rsidRPr="00D36CE7">
        <w:rPr>
          <w:rFonts w:ascii="仿宋" w:eastAsia="仿宋" w:hAnsi="仿宋" w:cs="Times New Roman"/>
          <w:sz w:val="32"/>
          <w:szCs w:val="32"/>
          <w:lang w:eastAsia="zh-CN"/>
        </w:rPr>
        <w:t>提供了在获取人源正常乳腺组织及乳腺肿瘤组织后，类器官的制备，培 养传代、冻存复苏以及细胞来源鉴定等的实验方法，制定了构建人源正常乳腺及乳腺肿瘤类器官平台的一系列实验操作。</w:t>
      </w:r>
      <w:r w:rsidR="00562E50" w:rsidRPr="00D36CE7">
        <w:rPr>
          <w:rFonts w:ascii="仿宋" w:eastAsia="仿宋" w:hAnsi="仿宋" w:cs="Times New Roman" w:hint="eastAsia"/>
          <w:sz w:val="32"/>
          <w:szCs w:val="32"/>
          <w:lang w:eastAsia="zh-CN"/>
        </w:rPr>
        <w:t>团体</w:t>
      </w:r>
      <w:r w:rsidR="004D051C" w:rsidRPr="00D36CE7">
        <w:rPr>
          <w:rFonts w:ascii="仿宋" w:eastAsia="仿宋" w:hAnsi="仿宋" w:cs="Times New Roman"/>
          <w:sz w:val="32"/>
          <w:szCs w:val="32"/>
          <w:lang w:eastAsia="zh-CN"/>
        </w:rPr>
        <w:t>标准技术框架：</w:t>
      </w:r>
    </w:p>
    <w:p w14:paraId="7E594649" w14:textId="77777777" w:rsidR="009D33F6" w:rsidRPr="00D36CE7" w:rsidRDefault="004D051C">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bCs/>
          <w:sz w:val="32"/>
          <w:szCs w:val="32"/>
          <w:lang w:eastAsia="zh-CN"/>
        </w:rPr>
        <w:t>范围</w:t>
      </w:r>
    </w:p>
    <w:p w14:paraId="41EA568E" w14:textId="28BB7152" w:rsidR="009D33F6" w:rsidRPr="00D36CE7" w:rsidRDefault="00251C28">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hint="eastAsia"/>
          <w:bCs/>
          <w:sz w:val="32"/>
          <w:szCs w:val="32"/>
          <w:lang w:eastAsia="zh-CN"/>
        </w:rPr>
        <w:lastRenderedPageBreak/>
        <w:t>规范性使用文件</w:t>
      </w:r>
    </w:p>
    <w:p w14:paraId="56075F20" w14:textId="77777777" w:rsidR="009D33F6" w:rsidRPr="00D36CE7" w:rsidRDefault="004D051C">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bCs/>
          <w:sz w:val="32"/>
          <w:szCs w:val="32"/>
          <w:lang w:eastAsia="zh-CN"/>
        </w:rPr>
        <w:t>术语定义</w:t>
      </w:r>
    </w:p>
    <w:p w14:paraId="73D92AC9" w14:textId="77777777" w:rsidR="009D33F6" w:rsidRPr="00D36CE7" w:rsidRDefault="004D051C">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bCs/>
          <w:sz w:val="32"/>
          <w:szCs w:val="32"/>
          <w:lang w:eastAsia="zh-CN"/>
        </w:rPr>
        <w:t>通则</w:t>
      </w:r>
    </w:p>
    <w:p w14:paraId="6D4B4AE4" w14:textId="49597569" w:rsidR="009D33F6" w:rsidRPr="00D36CE7" w:rsidRDefault="00251C28">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hint="eastAsia"/>
          <w:bCs/>
          <w:sz w:val="32"/>
          <w:szCs w:val="32"/>
          <w:lang w:eastAsia="zh-CN"/>
        </w:rPr>
        <w:t>类器官制备</w:t>
      </w:r>
    </w:p>
    <w:p w14:paraId="07FA10C5" w14:textId="5D06CDC5" w:rsidR="00DA7508" w:rsidRPr="00D36CE7" w:rsidRDefault="00DA7508">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hint="eastAsia"/>
          <w:bCs/>
          <w:sz w:val="32"/>
          <w:szCs w:val="32"/>
          <w:lang w:eastAsia="zh-CN"/>
        </w:rPr>
        <w:t>类器官冻存和复苏</w:t>
      </w:r>
    </w:p>
    <w:p w14:paraId="7C84FFFD" w14:textId="36FCA7D4" w:rsidR="009D33F6" w:rsidRPr="00D36CE7" w:rsidRDefault="00251C28">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hint="eastAsia"/>
          <w:bCs/>
          <w:sz w:val="32"/>
          <w:szCs w:val="32"/>
          <w:lang w:eastAsia="zh-CN"/>
        </w:rPr>
        <w:t>类器官鉴定</w:t>
      </w:r>
    </w:p>
    <w:p w14:paraId="155D9429" w14:textId="759A0B79" w:rsidR="009D33F6" w:rsidRPr="00D36CE7" w:rsidRDefault="00251C28">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hint="eastAsia"/>
          <w:bCs/>
          <w:sz w:val="32"/>
          <w:szCs w:val="32"/>
          <w:lang w:eastAsia="zh-CN"/>
        </w:rPr>
        <w:t>数据管理</w:t>
      </w:r>
    </w:p>
    <w:p w14:paraId="31B7097C" w14:textId="7482ECA6" w:rsidR="00251C28" w:rsidRPr="00D36CE7" w:rsidRDefault="00251C28">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hint="eastAsia"/>
          <w:bCs/>
          <w:sz w:val="32"/>
          <w:szCs w:val="32"/>
          <w:lang w:eastAsia="zh-CN"/>
        </w:rPr>
        <w:t>废弃物处理</w:t>
      </w:r>
    </w:p>
    <w:p w14:paraId="5DBD94CA" w14:textId="2847AB30" w:rsidR="00251C28" w:rsidRPr="00D36CE7" w:rsidRDefault="00251C28">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hint="eastAsia"/>
          <w:bCs/>
          <w:sz w:val="32"/>
          <w:szCs w:val="32"/>
          <w:lang w:eastAsia="zh-CN"/>
        </w:rPr>
        <w:t>附录</w:t>
      </w:r>
    </w:p>
    <w:p w14:paraId="42099720" w14:textId="3A88DEFC" w:rsidR="009D33F6" w:rsidRPr="00D36CE7" w:rsidRDefault="004D051C">
      <w:pPr>
        <w:pStyle w:val="TableParagraph"/>
        <w:numPr>
          <w:ilvl w:val="0"/>
          <w:numId w:val="1"/>
        </w:numPr>
        <w:adjustRightInd w:val="0"/>
        <w:snapToGrid w:val="0"/>
        <w:spacing w:line="360" w:lineRule="auto"/>
        <w:ind w:rightChars="111" w:right="233"/>
        <w:rPr>
          <w:rFonts w:ascii="仿宋" w:eastAsia="仿宋" w:hAnsi="仿宋" w:cs="Times New Roman"/>
          <w:bCs/>
          <w:sz w:val="32"/>
          <w:szCs w:val="32"/>
          <w:lang w:eastAsia="zh-CN"/>
        </w:rPr>
      </w:pPr>
      <w:r w:rsidRPr="00D36CE7">
        <w:rPr>
          <w:rFonts w:ascii="仿宋" w:eastAsia="仿宋" w:hAnsi="仿宋" w:cs="Times New Roman"/>
          <w:bCs/>
          <w:sz w:val="32"/>
          <w:szCs w:val="32"/>
          <w:lang w:eastAsia="zh-CN"/>
        </w:rPr>
        <w:t>参考文献</w:t>
      </w:r>
    </w:p>
    <w:p w14:paraId="2FDF36E0" w14:textId="3BD9AB63" w:rsidR="00562E50" w:rsidRPr="00D36CE7" w:rsidRDefault="00562E50" w:rsidP="00D36CE7">
      <w:pPr>
        <w:ind w:firstLineChars="200" w:firstLine="640"/>
        <w:rPr>
          <w:rFonts w:ascii="仿宋" w:eastAsia="仿宋" w:hAnsi="仿宋"/>
          <w:sz w:val="32"/>
          <w:szCs w:val="32"/>
        </w:rPr>
      </w:pPr>
      <w:r w:rsidRPr="00D36CE7">
        <w:rPr>
          <w:rFonts w:ascii="仿宋" w:eastAsia="仿宋" w:hAnsi="仿宋" w:hint="eastAsia"/>
          <w:sz w:val="32"/>
          <w:szCs w:val="32"/>
        </w:rPr>
        <w:t>结合乳腺类器官及乳腺癌类器官的实际操作操作步骤，给出了相关操作建议，包括：仪器设备及试剂耗材建议、类器官制备操作步骤</w:t>
      </w:r>
      <w:r w:rsidRPr="00D36CE7">
        <w:rPr>
          <w:rFonts w:ascii="仿宋" w:eastAsia="仿宋" w:hAnsi="仿宋"/>
          <w:sz w:val="32"/>
          <w:szCs w:val="32"/>
        </w:rPr>
        <w:t>、</w:t>
      </w:r>
      <w:r w:rsidRPr="00D36CE7">
        <w:rPr>
          <w:rFonts w:ascii="仿宋" w:eastAsia="仿宋" w:hAnsi="仿宋" w:hint="eastAsia"/>
          <w:sz w:val="32"/>
          <w:szCs w:val="32"/>
        </w:rPr>
        <w:t>类器官冻存和复苏核心</w:t>
      </w:r>
      <w:r w:rsidR="006513EF" w:rsidRPr="00D36CE7">
        <w:rPr>
          <w:rFonts w:ascii="仿宋" w:eastAsia="仿宋" w:hAnsi="仿宋" w:hint="eastAsia"/>
          <w:sz w:val="32"/>
          <w:szCs w:val="32"/>
        </w:rPr>
        <w:t>步</w:t>
      </w:r>
      <w:r w:rsidRPr="00D36CE7">
        <w:rPr>
          <w:rFonts w:ascii="仿宋" w:eastAsia="仿宋" w:hAnsi="仿宋" w:hint="eastAsia"/>
          <w:sz w:val="32"/>
          <w:szCs w:val="32"/>
        </w:rPr>
        <w:t>骤。同时，对人正常乳腺类器官和乳腺癌类器官的鉴定步骤和方法提出了相关规程及建议，主要从：</w:t>
      </w:r>
      <w:r w:rsidR="006513EF" w:rsidRPr="00D36CE7">
        <w:rPr>
          <w:rFonts w:ascii="仿宋" w:eastAsia="仿宋" w:hAnsi="仿宋" w:hint="eastAsia"/>
          <w:sz w:val="32"/>
          <w:szCs w:val="32"/>
        </w:rPr>
        <w:t>概述、形态学观察、细胞活性分析、类器官组织学特征分析、分子分型鉴定等方面，对乳腺类器官的制备、冻存、复苏和鉴定给出实际实验操作建议。</w:t>
      </w:r>
      <w:r w:rsidR="00C9539B" w:rsidRPr="00D36CE7">
        <w:rPr>
          <w:rFonts w:ascii="仿宋" w:eastAsia="仿宋" w:hAnsi="仿宋" w:hint="eastAsia"/>
          <w:sz w:val="32"/>
          <w:szCs w:val="32"/>
        </w:rPr>
        <w:t>特别是对乳腺及乳腺癌类器官制备操作流程、工作条件、生物安全等级、操作人员资质、供体选择要求、类器官质量控制标准的相关实际操作步骤提供了具体的建议。本团体标准的撰写参考了</w:t>
      </w:r>
      <w:r w:rsidR="006513EF" w:rsidRPr="00D36CE7">
        <w:rPr>
          <w:rFonts w:ascii="仿宋" w:eastAsia="仿宋" w:hAnsi="仿宋" w:hint="eastAsia"/>
          <w:sz w:val="32"/>
          <w:szCs w:val="32"/>
        </w:rPr>
        <w:t>国际标准和国外先进标准</w:t>
      </w:r>
      <w:r w:rsidR="00C9539B" w:rsidRPr="00D36CE7">
        <w:rPr>
          <w:rFonts w:ascii="仿宋" w:eastAsia="仿宋" w:hAnsi="仿宋" w:hint="eastAsia"/>
          <w:sz w:val="32"/>
          <w:szCs w:val="32"/>
        </w:rPr>
        <w:t>的技术体系</w:t>
      </w:r>
      <w:r w:rsidR="006513EF" w:rsidRPr="00D36CE7">
        <w:rPr>
          <w:rFonts w:ascii="仿宋" w:eastAsia="仿宋" w:hAnsi="仿宋" w:hint="eastAsia"/>
          <w:sz w:val="32"/>
          <w:szCs w:val="32"/>
        </w:rPr>
        <w:t>，</w:t>
      </w:r>
      <w:r w:rsidR="00C9539B" w:rsidRPr="00D36CE7">
        <w:rPr>
          <w:rFonts w:ascii="仿宋" w:eastAsia="仿宋" w:hAnsi="仿宋" w:hint="eastAsia"/>
          <w:sz w:val="32"/>
          <w:szCs w:val="32"/>
        </w:rPr>
        <w:t>并对国际</w:t>
      </w:r>
      <w:r w:rsidR="006513EF" w:rsidRPr="00D36CE7">
        <w:rPr>
          <w:rFonts w:ascii="仿宋" w:eastAsia="仿宋" w:hAnsi="仿宋" w:hint="eastAsia"/>
          <w:sz w:val="32"/>
          <w:szCs w:val="32"/>
        </w:rPr>
        <w:t>、国外同类标准水平</w:t>
      </w:r>
      <w:r w:rsidR="00C9539B" w:rsidRPr="00D36CE7">
        <w:rPr>
          <w:rFonts w:ascii="仿宋" w:eastAsia="仿宋" w:hAnsi="仿宋" w:hint="eastAsia"/>
          <w:sz w:val="32"/>
          <w:szCs w:val="32"/>
        </w:rPr>
        <w:t>情况进行</w:t>
      </w:r>
      <w:r w:rsidR="006513EF" w:rsidRPr="00D36CE7">
        <w:rPr>
          <w:rFonts w:ascii="仿宋" w:eastAsia="仿宋" w:hAnsi="仿宋" w:hint="eastAsia"/>
          <w:sz w:val="32"/>
          <w:szCs w:val="32"/>
        </w:rPr>
        <w:t>对比，主要参考国外同行发表的学术论文并结合标准起草单位近年来成功构建类器官的实际经验</w:t>
      </w:r>
      <w:r w:rsidR="00C9539B" w:rsidRPr="00D36CE7">
        <w:rPr>
          <w:rFonts w:ascii="仿宋" w:eastAsia="仿宋" w:hAnsi="仿宋" w:hint="eastAsia"/>
          <w:sz w:val="32"/>
          <w:szCs w:val="32"/>
        </w:rPr>
        <w:t>和临床案例</w:t>
      </w:r>
      <w:r w:rsidR="006513EF" w:rsidRPr="00D36CE7">
        <w:rPr>
          <w:rFonts w:ascii="仿宋" w:eastAsia="仿宋" w:hAnsi="仿宋" w:hint="eastAsia"/>
          <w:sz w:val="32"/>
          <w:szCs w:val="32"/>
        </w:rPr>
        <w:t>撰写，国内尚未见</w:t>
      </w:r>
      <w:r w:rsidR="00FF4257" w:rsidRPr="00D36CE7">
        <w:rPr>
          <w:rFonts w:ascii="仿宋" w:eastAsia="仿宋" w:hAnsi="仿宋" w:hint="eastAsia"/>
          <w:sz w:val="32"/>
          <w:szCs w:val="32"/>
        </w:rPr>
        <w:t>乳腺</w:t>
      </w:r>
      <w:r w:rsidR="00C9539B" w:rsidRPr="00D36CE7">
        <w:rPr>
          <w:rFonts w:ascii="仿宋" w:eastAsia="仿宋" w:hAnsi="仿宋" w:hint="eastAsia"/>
          <w:sz w:val="32"/>
          <w:szCs w:val="32"/>
        </w:rPr>
        <w:t>及乳腺</w:t>
      </w:r>
      <w:r w:rsidR="006513EF" w:rsidRPr="00D36CE7">
        <w:rPr>
          <w:rFonts w:ascii="仿宋" w:eastAsia="仿宋" w:hAnsi="仿宋" w:hint="eastAsia"/>
          <w:sz w:val="32"/>
          <w:szCs w:val="32"/>
        </w:rPr>
        <w:t>癌</w:t>
      </w:r>
      <w:r w:rsidR="00C9539B" w:rsidRPr="00D36CE7">
        <w:rPr>
          <w:rFonts w:ascii="仿宋" w:eastAsia="仿宋" w:hAnsi="仿宋" w:hint="eastAsia"/>
          <w:sz w:val="32"/>
          <w:szCs w:val="32"/>
        </w:rPr>
        <w:t>类器官</w:t>
      </w:r>
      <w:r w:rsidR="006513EF" w:rsidRPr="00D36CE7">
        <w:rPr>
          <w:rFonts w:ascii="仿宋" w:eastAsia="仿宋" w:hAnsi="仿宋" w:hint="eastAsia"/>
          <w:sz w:val="32"/>
          <w:szCs w:val="32"/>
        </w:rPr>
        <w:t>标准操作规范。</w:t>
      </w:r>
    </w:p>
    <w:p w14:paraId="2672821E" w14:textId="77777777" w:rsidR="009D33F6" w:rsidRPr="00D36CE7" w:rsidRDefault="004D051C" w:rsidP="00D36CE7">
      <w:pPr>
        <w:spacing w:after="240" w:line="360" w:lineRule="auto"/>
        <w:ind w:firstLineChars="200" w:firstLine="643"/>
        <w:rPr>
          <w:rFonts w:ascii="仿宋" w:eastAsia="仿宋" w:hAnsi="仿宋"/>
          <w:b/>
          <w:bCs/>
          <w:sz w:val="32"/>
          <w:szCs w:val="32"/>
        </w:rPr>
      </w:pPr>
      <w:r w:rsidRPr="00D36CE7">
        <w:rPr>
          <w:rFonts w:ascii="仿宋" w:eastAsia="仿宋" w:hAnsi="仿宋"/>
          <w:b/>
          <w:bCs/>
          <w:sz w:val="32"/>
          <w:szCs w:val="32"/>
        </w:rPr>
        <w:lastRenderedPageBreak/>
        <w:t>五、与现行相关法律、法规、规章及相关标准，特别是强制性标准的协调性</w:t>
      </w:r>
    </w:p>
    <w:p w14:paraId="11F69344" w14:textId="667AF695" w:rsidR="009D33F6" w:rsidRPr="00D36CE7" w:rsidRDefault="0039286C" w:rsidP="00D36CE7">
      <w:pPr>
        <w:spacing w:line="360" w:lineRule="auto"/>
        <w:ind w:firstLineChars="200" w:firstLine="640"/>
        <w:rPr>
          <w:rFonts w:ascii="仿宋" w:eastAsia="仿宋" w:hAnsi="仿宋"/>
          <w:sz w:val="32"/>
          <w:szCs w:val="32"/>
        </w:rPr>
      </w:pPr>
      <w:r w:rsidRPr="00D36CE7">
        <w:rPr>
          <w:rFonts w:ascii="仿宋" w:eastAsia="仿宋" w:hAnsi="仿宋"/>
          <w:sz w:val="32"/>
          <w:szCs w:val="32"/>
        </w:rPr>
        <w:t>本文件</w:t>
      </w:r>
      <w:r w:rsidR="004D051C" w:rsidRPr="00D36CE7">
        <w:rPr>
          <w:rFonts w:ascii="仿宋" w:eastAsia="仿宋" w:hAnsi="仿宋"/>
          <w:sz w:val="32"/>
          <w:szCs w:val="32"/>
        </w:rPr>
        <w:t>符合有关的现行法律、法规，与现行的强制性国家标准没有冲突。</w:t>
      </w:r>
    </w:p>
    <w:p w14:paraId="2AB33181" w14:textId="77777777" w:rsidR="009D33F6" w:rsidRPr="00D36CE7" w:rsidRDefault="004D051C" w:rsidP="00D36CE7">
      <w:pPr>
        <w:spacing w:after="240" w:line="360" w:lineRule="auto"/>
        <w:ind w:firstLineChars="200" w:firstLine="643"/>
        <w:rPr>
          <w:rFonts w:ascii="仿宋" w:eastAsia="仿宋" w:hAnsi="仿宋"/>
          <w:b/>
          <w:bCs/>
          <w:sz w:val="32"/>
          <w:szCs w:val="32"/>
        </w:rPr>
      </w:pPr>
      <w:bookmarkStart w:id="3" w:name="_GoBack"/>
      <w:bookmarkEnd w:id="3"/>
      <w:r w:rsidRPr="00D36CE7">
        <w:rPr>
          <w:rFonts w:ascii="仿宋" w:eastAsia="仿宋" w:hAnsi="仿宋"/>
          <w:b/>
          <w:bCs/>
          <w:sz w:val="32"/>
          <w:szCs w:val="32"/>
        </w:rPr>
        <w:t>六、标准作为强制性或推荐性标准的建议</w:t>
      </w:r>
    </w:p>
    <w:p w14:paraId="377EF2B6" w14:textId="70426E62" w:rsidR="009D33F6" w:rsidRPr="00D36CE7" w:rsidRDefault="00A941FC" w:rsidP="00D36CE7">
      <w:pPr>
        <w:spacing w:after="240" w:line="360" w:lineRule="auto"/>
        <w:ind w:firstLineChars="200" w:firstLine="640"/>
        <w:rPr>
          <w:rFonts w:ascii="仿宋" w:eastAsia="仿宋" w:hAnsi="仿宋"/>
          <w:sz w:val="32"/>
          <w:szCs w:val="32"/>
        </w:rPr>
      </w:pPr>
      <w:r w:rsidRPr="00D36CE7">
        <w:rPr>
          <w:rFonts w:ascii="仿宋" w:eastAsia="仿宋" w:hAnsi="仿宋" w:hint="eastAsia"/>
          <w:sz w:val="32"/>
          <w:szCs w:val="32"/>
        </w:rPr>
        <w:t>建议推荐性标准</w:t>
      </w:r>
      <w:r w:rsidR="004D051C" w:rsidRPr="00D36CE7">
        <w:rPr>
          <w:rFonts w:ascii="仿宋" w:eastAsia="仿宋" w:hAnsi="仿宋"/>
          <w:sz w:val="32"/>
          <w:szCs w:val="32"/>
        </w:rPr>
        <w:t>。</w:t>
      </w:r>
    </w:p>
    <w:p w14:paraId="1C320996" w14:textId="77777777" w:rsidR="009D33F6" w:rsidRPr="00D36CE7" w:rsidRDefault="004D051C" w:rsidP="00D36CE7">
      <w:pPr>
        <w:spacing w:before="240" w:after="240" w:line="360" w:lineRule="auto"/>
        <w:ind w:firstLineChars="200" w:firstLine="643"/>
        <w:rPr>
          <w:rFonts w:ascii="仿宋" w:eastAsia="仿宋" w:hAnsi="仿宋"/>
          <w:b/>
          <w:bCs/>
          <w:sz w:val="32"/>
          <w:szCs w:val="32"/>
        </w:rPr>
      </w:pPr>
      <w:r w:rsidRPr="00D36CE7">
        <w:rPr>
          <w:rFonts w:ascii="仿宋" w:eastAsia="仿宋" w:hAnsi="仿宋"/>
          <w:b/>
          <w:bCs/>
          <w:sz w:val="32"/>
          <w:szCs w:val="32"/>
        </w:rPr>
        <w:t>七、其他应予说明的事项</w:t>
      </w:r>
    </w:p>
    <w:p w14:paraId="0676F130" w14:textId="0B777E1A" w:rsidR="00177526" w:rsidRPr="00D36CE7" w:rsidRDefault="000D3ED7" w:rsidP="00D36CE7">
      <w:pPr>
        <w:spacing w:after="240" w:line="360" w:lineRule="auto"/>
        <w:ind w:firstLineChars="200" w:firstLine="640"/>
        <w:rPr>
          <w:rFonts w:ascii="仿宋" w:eastAsia="仿宋" w:hAnsi="仿宋"/>
          <w:sz w:val="32"/>
          <w:szCs w:val="32"/>
        </w:rPr>
      </w:pPr>
      <w:r w:rsidRPr="00D36CE7">
        <w:rPr>
          <w:rFonts w:ascii="仿宋" w:eastAsia="仿宋" w:hAnsi="仿宋" w:hint="eastAsia"/>
          <w:sz w:val="32"/>
          <w:szCs w:val="32"/>
        </w:rPr>
        <w:t>无。</w:t>
      </w:r>
    </w:p>
    <w:sectPr w:rsidR="00177526" w:rsidRPr="00D36CE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6FC29" w14:textId="77777777" w:rsidR="0059055B" w:rsidRDefault="0059055B" w:rsidP="00251C28">
      <w:r>
        <w:separator/>
      </w:r>
    </w:p>
  </w:endnote>
  <w:endnote w:type="continuationSeparator" w:id="0">
    <w:p w14:paraId="56B7F9A1" w14:textId="77777777" w:rsidR="0059055B" w:rsidRDefault="0059055B" w:rsidP="0025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E0DB1" w14:textId="77777777" w:rsidR="0059055B" w:rsidRDefault="0059055B" w:rsidP="00251C28">
      <w:r>
        <w:separator/>
      </w:r>
    </w:p>
  </w:footnote>
  <w:footnote w:type="continuationSeparator" w:id="0">
    <w:p w14:paraId="080C9FBA" w14:textId="77777777" w:rsidR="0059055B" w:rsidRDefault="0059055B" w:rsidP="00251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C7E3D"/>
    <w:multiLevelType w:val="multilevel"/>
    <w:tmpl w:val="7B8C7E3D"/>
    <w:lvl w:ilvl="0">
      <w:start w:val="1"/>
      <w:numFmt w:val="decimal"/>
      <w:lvlText w:val="%1."/>
      <w:lvlJc w:val="left"/>
      <w:pPr>
        <w:ind w:left="1003" w:hanging="420"/>
      </w:pPr>
    </w:lvl>
    <w:lvl w:ilvl="1">
      <w:start w:val="1"/>
      <w:numFmt w:val="lowerLetter"/>
      <w:lvlText w:val="%2)"/>
      <w:lvlJc w:val="left"/>
      <w:pPr>
        <w:ind w:left="1423" w:hanging="420"/>
      </w:pPr>
    </w:lvl>
    <w:lvl w:ilvl="2">
      <w:start w:val="1"/>
      <w:numFmt w:val="lowerRoman"/>
      <w:lvlText w:val="%3."/>
      <w:lvlJc w:val="right"/>
      <w:pPr>
        <w:ind w:left="1843" w:hanging="420"/>
      </w:pPr>
    </w:lvl>
    <w:lvl w:ilvl="3">
      <w:start w:val="1"/>
      <w:numFmt w:val="decimal"/>
      <w:lvlText w:val="%4."/>
      <w:lvlJc w:val="left"/>
      <w:pPr>
        <w:ind w:left="2263" w:hanging="420"/>
      </w:pPr>
    </w:lvl>
    <w:lvl w:ilvl="4">
      <w:start w:val="1"/>
      <w:numFmt w:val="lowerLetter"/>
      <w:lvlText w:val="%5)"/>
      <w:lvlJc w:val="left"/>
      <w:pPr>
        <w:ind w:left="2683" w:hanging="420"/>
      </w:pPr>
    </w:lvl>
    <w:lvl w:ilvl="5">
      <w:start w:val="1"/>
      <w:numFmt w:val="lowerRoman"/>
      <w:lvlText w:val="%6."/>
      <w:lvlJc w:val="right"/>
      <w:pPr>
        <w:ind w:left="3103" w:hanging="420"/>
      </w:pPr>
    </w:lvl>
    <w:lvl w:ilvl="6">
      <w:start w:val="1"/>
      <w:numFmt w:val="decimal"/>
      <w:lvlText w:val="%7."/>
      <w:lvlJc w:val="left"/>
      <w:pPr>
        <w:ind w:left="3523" w:hanging="420"/>
      </w:pPr>
    </w:lvl>
    <w:lvl w:ilvl="7">
      <w:start w:val="1"/>
      <w:numFmt w:val="lowerLetter"/>
      <w:lvlText w:val="%8)"/>
      <w:lvlJc w:val="left"/>
      <w:pPr>
        <w:ind w:left="3943" w:hanging="420"/>
      </w:pPr>
    </w:lvl>
    <w:lvl w:ilvl="8">
      <w:start w:val="1"/>
      <w:numFmt w:val="lowerRoman"/>
      <w:lvlText w:val="%9."/>
      <w:lvlJc w:val="right"/>
      <w:pPr>
        <w:ind w:left="43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jM2I4ZDFhNmExNDc0MzYzMmIyY2ZiYTdkNzc4MmUifQ=="/>
  </w:docVars>
  <w:rsids>
    <w:rsidRoot w:val="00BF2D8B"/>
    <w:rsid w:val="000015E3"/>
    <w:rsid w:val="00006954"/>
    <w:rsid w:val="000124AE"/>
    <w:rsid w:val="00012D43"/>
    <w:rsid w:val="0001365E"/>
    <w:rsid w:val="00020F5E"/>
    <w:rsid w:val="0002725C"/>
    <w:rsid w:val="000326D6"/>
    <w:rsid w:val="000342AB"/>
    <w:rsid w:val="00034462"/>
    <w:rsid w:val="00043D71"/>
    <w:rsid w:val="000576C5"/>
    <w:rsid w:val="000608EB"/>
    <w:rsid w:val="00060F95"/>
    <w:rsid w:val="0006167D"/>
    <w:rsid w:val="00071818"/>
    <w:rsid w:val="0007279C"/>
    <w:rsid w:val="000854BE"/>
    <w:rsid w:val="000931D5"/>
    <w:rsid w:val="000933A1"/>
    <w:rsid w:val="000A0D42"/>
    <w:rsid w:val="000A3DE1"/>
    <w:rsid w:val="000B16AF"/>
    <w:rsid w:val="000D097A"/>
    <w:rsid w:val="000D1209"/>
    <w:rsid w:val="000D3ED7"/>
    <w:rsid w:val="000D62C5"/>
    <w:rsid w:val="000E2045"/>
    <w:rsid w:val="000F6F40"/>
    <w:rsid w:val="00101464"/>
    <w:rsid w:val="00104676"/>
    <w:rsid w:val="001145A5"/>
    <w:rsid w:val="001152D3"/>
    <w:rsid w:val="001257A0"/>
    <w:rsid w:val="00126897"/>
    <w:rsid w:val="00132EEF"/>
    <w:rsid w:val="00137E4C"/>
    <w:rsid w:val="00142199"/>
    <w:rsid w:val="00145854"/>
    <w:rsid w:val="001528A9"/>
    <w:rsid w:val="00154AFA"/>
    <w:rsid w:val="00155E7C"/>
    <w:rsid w:val="00157589"/>
    <w:rsid w:val="00163A5A"/>
    <w:rsid w:val="0016713F"/>
    <w:rsid w:val="0017015F"/>
    <w:rsid w:val="00175393"/>
    <w:rsid w:val="00176CEA"/>
    <w:rsid w:val="00177526"/>
    <w:rsid w:val="00187876"/>
    <w:rsid w:val="00193B6F"/>
    <w:rsid w:val="00194209"/>
    <w:rsid w:val="001A01D7"/>
    <w:rsid w:val="001A25E6"/>
    <w:rsid w:val="001A5773"/>
    <w:rsid w:val="001B0125"/>
    <w:rsid w:val="001B2855"/>
    <w:rsid w:val="001B62D1"/>
    <w:rsid w:val="001B71DB"/>
    <w:rsid w:val="001C7631"/>
    <w:rsid w:val="001D57C9"/>
    <w:rsid w:val="001E21BC"/>
    <w:rsid w:val="001E5F04"/>
    <w:rsid w:val="001F0B95"/>
    <w:rsid w:val="00200D5C"/>
    <w:rsid w:val="00207B22"/>
    <w:rsid w:val="00207BD4"/>
    <w:rsid w:val="0021078F"/>
    <w:rsid w:val="00215CC4"/>
    <w:rsid w:val="00223656"/>
    <w:rsid w:val="00224025"/>
    <w:rsid w:val="00235EFF"/>
    <w:rsid w:val="00237458"/>
    <w:rsid w:val="00240E6E"/>
    <w:rsid w:val="00244162"/>
    <w:rsid w:val="00251C28"/>
    <w:rsid w:val="00253D6B"/>
    <w:rsid w:val="00257E9E"/>
    <w:rsid w:val="002618A7"/>
    <w:rsid w:val="00267BDF"/>
    <w:rsid w:val="002706E3"/>
    <w:rsid w:val="00274742"/>
    <w:rsid w:val="002751BC"/>
    <w:rsid w:val="0028294B"/>
    <w:rsid w:val="00286F46"/>
    <w:rsid w:val="00290062"/>
    <w:rsid w:val="00290114"/>
    <w:rsid w:val="00290908"/>
    <w:rsid w:val="00295537"/>
    <w:rsid w:val="002A3A3D"/>
    <w:rsid w:val="002B1F1F"/>
    <w:rsid w:val="002B5EDF"/>
    <w:rsid w:val="002B7282"/>
    <w:rsid w:val="002B748C"/>
    <w:rsid w:val="002C3F44"/>
    <w:rsid w:val="002D04EB"/>
    <w:rsid w:val="002E36FD"/>
    <w:rsid w:val="002F259F"/>
    <w:rsid w:val="002F479E"/>
    <w:rsid w:val="0031037A"/>
    <w:rsid w:val="00313C26"/>
    <w:rsid w:val="00315B30"/>
    <w:rsid w:val="00316CF6"/>
    <w:rsid w:val="00317AAC"/>
    <w:rsid w:val="0033363F"/>
    <w:rsid w:val="00337375"/>
    <w:rsid w:val="00340B3F"/>
    <w:rsid w:val="003429FB"/>
    <w:rsid w:val="00342DDC"/>
    <w:rsid w:val="0034662F"/>
    <w:rsid w:val="00347E43"/>
    <w:rsid w:val="00350ED5"/>
    <w:rsid w:val="0035223E"/>
    <w:rsid w:val="00352FCD"/>
    <w:rsid w:val="00362BCB"/>
    <w:rsid w:val="0036727D"/>
    <w:rsid w:val="00381F04"/>
    <w:rsid w:val="00384C83"/>
    <w:rsid w:val="00384E9F"/>
    <w:rsid w:val="00390D40"/>
    <w:rsid w:val="0039286C"/>
    <w:rsid w:val="00393934"/>
    <w:rsid w:val="003B2070"/>
    <w:rsid w:val="003B317B"/>
    <w:rsid w:val="003B3733"/>
    <w:rsid w:val="003C1362"/>
    <w:rsid w:val="003C79FE"/>
    <w:rsid w:val="003E0DD6"/>
    <w:rsid w:val="003E22D1"/>
    <w:rsid w:val="003E2DEF"/>
    <w:rsid w:val="003E73D5"/>
    <w:rsid w:val="003F0167"/>
    <w:rsid w:val="003F4470"/>
    <w:rsid w:val="00414634"/>
    <w:rsid w:val="004164A3"/>
    <w:rsid w:val="004233EB"/>
    <w:rsid w:val="00425ECA"/>
    <w:rsid w:val="0043027B"/>
    <w:rsid w:val="00431B76"/>
    <w:rsid w:val="0043324B"/>
    <w:rsid w:val="00434C15"/>
    <w:rsid w:val="00443842"/>
    <w:rsid w:val="00444C60"/>
    <w:rsid w:val="00460F28"/>
    <w:rsid w:val="00461904"/>
    <w:rsid w:val="00462653"/>
    <w:rsid w:val="00463423"/>
    <w:rsid w:val="004649B3"/>
    <w:rsid w:val="00466D3C"/>
    <w:rsid w:val="00477400"/>
    <w:rsid w:val="00477517"/>
    <w:rsid w:val="004851AF"/>
    <w:rsid w:val="004873EE"/>
    <w:rsid w:val="00493373"/>
    <w:rsid w:val="004A1207"/>
    <w:rsid w:val="004A43EC"/>
    <w:rsid w:val="004B1F2D"/>
    <w:rsid w:val="004D051C"/>
    <w:rsid w:val="004D183C"/>
    <w:rsid w:val="004D1D7A"/>
    <w:rsid w:val="004E07CA"/>
    <w:rsid w:val="004E4988"/>
    <w:rsid w:val="004E681A"/>
    <w:rsid w:val="004E6A87"/>
    <w:rsid w:val="004F050B"/>
    <w:rsid w:val="00505492"/>
    <w:rsid w:val="00505AD1"/>
    <w:rsid w:val="00515592"/>
    <w:rsid w:val="00516B62"/>
    <w:rsid w:val="00521F6C"/>
    <w:rsid w:val="005221B1"/>
    <w:rsid w:val="0052302E"/>
    <w:rsid w:val="005277B0"/>
    <w:rsid w:val="005413FB"/>
    <w:rsid w:val="00543BF9"/>
    <w:rsid w:val="00546000"/>
    <w:rsid w:val="00546D4E"/>
    <w:rsid w:val="00553EDA"/>
    <w:rsid w:val="00555897"/>
    <w:rsid w:val="00555BD4"/>
    <w:rsid w:val="00561955"/>
    <w:rsid w:val="005626F4"/>
    <w:rsid w:val="00562E50"/>
    <w:rsid w:val="00564CC7"/>
    <w:rsid w:val="005735F5"/>
    <w:rsid w:val="00573E2F"/>
    <w:rsid w:val="0057441C"/>
    <w:rsid w:val="00574D18"/>
    <w:rsid w:val="00575670"/>
    <w:rsid w:val="005758C9"/>
    <w:rsid w:val="005770F4"/>
    <w:rsid w:val="00582B09"/>
    <w:rsid w:val="005849E7"/>
    <w:rsid w:val="005866DA"/>
    <w:rsid w:val="0059055B"/>
    <w:rsid w:val="0059702E"/>
    <w:rsid w:val="005A2EF2"/>
    <w:rsid w:val="005C0772"/>
    <w:rsid w:val="005C0B7A"/>
    <w:rsid w:val="005C4FB9"/>
    <w:rsid w:val="005C677B"/>
    <w:rsid w:val="005E1486"/>
    <w:rsid w:val="005E7A22"/>
    <w:rsid w:val="005F4043"/>
    <w:rsid w:val="005F565E"/>
    <w:rsid w:val="0060302D"/>
    <w:rsid w:val="006059F6"/>
    <w:rsid w:val="00605BE2"/>
    <w:rsid w:val="0062132D"/>
    <w:rsid w:val="00625453"/>
    <w:rsid w:val="0063165E"/>
    <w:rsid w:val="0063525F"/>
    <w:rsid w:val="0063730E"/>
    <w:rsid w:val="006513EF"/>
    <w:rsid w:val="00651B65"/>
    <w:rsid w:val="00652842"/>
    <w:rsid w:val="00660ED1"/>
    <w:rsid w:val="0067236D"/>
    <w:rsid w:val="00672874"/>
    <w:rsid w:val="006752F8"/>
    <w:rsid w:val="006762EC"/>
    <w:rsid w:val="006771B4"/>
    <w:rsid w:val="00677334"/>
    <w:rsid w:val="006802D5"/>
    <w:rsid w:val="006912EF"/>
    <w:rsid w:val="0069285E"/>
    <w:rsid w:val="00692BC3"/>
    <w:rsid w:val="006953A3"/>
    <w:rsid w:val="006958D0"/>
    <w:rsid w:val="006A11F5"/>
    <w:rsid w:val="006A169D"/>
    <w:rsid w:val="006A43FA"/>
    <w:rsid w:val="006B0785"/>
    <w:rsid w:val="006B1AA9"/>
    <w:rsid w:val="006B36B3"/>
    <w:rsid w:val="006B425C"/>
    <w:rsid w:val="006B760F"/>
    <w:rsid w:val="006C1A94"/>
    <w:rsid w:val="006C30CD"/>
    <w:rsid w:val="006C33FC"/>
    <w:rsid w:val="006C3B33"/>
    <w:rsid w:val="006C3EAA"/>
    <w:rsid w:val="006C4853"/>
    <w:rsid w:val="006C5AAB"/>
    <w:rsid w:val="006D0A88"/>
    <w:rsid w:val="006D76BF"/>
    <w:rsid w:val="006D7752"/>
    <w:rsid w:val="006E20D6"/>
    <w:rsid w:val="006E23C7"/>
    <w:rsid w:val="006E414D"/>
    <w:rsid w:val="006E50D4"/>
    <w:rsid w:val="006F0A75"/>
    <w:rsid w:val="007054FB"/>
    <w:rsid w:val="007113E6"/>
    <w:rsid w:val="00713894"/>
    <w:rsid w:val="00715ADC"/>
    <w:rsid w:val="00720C9C"/>
    <w:rsid w:val="007223F0"/>
    <w:rsid w:val="0072279C"/>
    <w:rsid w:val="00724C76"/>
    <w:rsid w:val="00743DEA"/>
    <w:rsid w:val="00744AEA"/>
    <w:rsid w:val="00751FCB"/>
    <w:rsid w:val="00757FFA"/>
    <w:rsid w:val="00766D1F"/>
    <w:rsid w:val="00772B60"/>
    <w:rsid w:val="00773EC5"/>
    <w:rsid w:val="00776159"/>
    <w:rsid w:val="007776C2"/>
    <w:rsid w:val="0078566A"/>
    <w:rsid w:val="007924DA"/>
    <w:rsid w:val="00794DB1"/>
    <w:rsid w:val="007979DB"/>
    <w:rsid w:val="007A0DFB"/>
    <w:rsid w:val="007A674B"/>
    <w:rsid w:val="007B3565"/>
    <w:rsid w:val="007B6A65"/>
    <w:rsid w:val="007C3573"/>
    <w:rsid w:val="007C5EE8"/>
    <w:rsid w:val="007C6AF6"/>
    <w:rsid w:val="007D08AB"/>
    <w:rsid w:val="007D5A67"/>
    <w:rsid w:val="007E02F6"/>
    <w:rsid w:val="007E374C"/>
    <w:rsid w:val="007E74F5"/>
    <w:rsid w:val="007F783B"/>
    <w:rsid w:val="00804A20"/>
    <w:rsid w:val="008144AB"/>
    <w:rsid w:val="008156F8"/>
    <w:rsid w:val="0084060B"/>
    <w:rsid w:val="0084224F"/>
    <w:rsid w:val="00854B90"/>
    <w:rsid w:val="00856864"/>
    <w:rsid w:val="008626A0"/>
    <w:rsid w:val="008636DB"/>
    <w:rsid w:val="0086583F"/>
    <w:rsid w:val="00871FD2"/>
    <w:rsid w:val="0087628D"/>
    <w:rsid w:val="00891C8F"/>
    <w:rsid w:val="008A1C80"/>
    <w:rsid w:val="008A3679"/>
    <w:rsid w:val="008A78D5"/>
    <w:rsid w:val="008B033C"/>
    <w:rsid w:val="008B0DA2"/>
    <w:rsid w:val="008B4AF3"/>
    <w:rsid w:val="008B5230"/>
    <w:rsid w:val="008B62B3"/>
    <w:rsid w:val="008E187B"/>
    <w:rsid w:val="008E2A48"/>
    <w:rsid w:val="008F5B70"/>
    <w:rsid w:val="00906CF1"/>
    <w:rsid w:val="009103AD"/>
    <w:rsid w:val="00913DC2"/>
    <w:rsid w:val="0092019A"/>
    <w:rsid w:val="00921E19"/>
    <w:rsid w:val="00922DB5"/>
    <w:rsid w:val="009258FE"/>
    <w:rsid w:val="00925CE8"/>
    <w:rsid w:val="00925D0F"/>
    <w:rsid w:val="0092611F"/>
    <w:rsid w:val="00926B3D"/>
    <w:rsid w:val="00931F6D"/>
    <w:rsid w:val="0093289F"/>
    <w:rsid w:val="009528BD"/>
    <w:rsid w:val="0096089A"/>
    <w:rsid w:val="00963AA9"/>
    <w:rsid w:val="0097416F"/>
    <w:rsid w:val="00984BC8"/>
    <w:rsid w:val="009859D5"/>
    <w:rsid w:val="009A16C4"/>
    <w:rsid w:val="009A4FC6"/>
    <w:rsid w:val="009B6798"/>
    <w:rsid w:val="009C1415"/>
    <w:rsid w:val="009C23E5"/>
    <w:rsid w:val="009C256B"/>
    <w:rsid w:val="009C68BE"/>
    <w:rsid w:val="009C7783"/>
    <w:rsid w:val="009D33F6"/>
    <w:rsid w:val="009E14B9"/>
    <w:rsid w:val="009E468C"/>
    <w:rsid w:val="009E482E"/>
    <w:rsid w:val="009E674E"/>
    <w:rsid w:val="009F1CCE"/>
    <w:rsid w:val="009F6EE9"/>
    <w:rsid w:val="00A04A0E"/>
    <w:rsid w:val="00A1000D"/>
    <w:rsid w:val="00A112CA"/>
    <w:rsid w:val="00A1178D"/>
    <w:rsid w:val="00A12EB9"/>
    <w:rsid w:val="00A21BD3"/>
    <w:rsid w:val="00A22FE3"/>
    <w:rsid w:val="00A30CFE"/>
    <w:rsid w:val="00A338FB"/>
    <w:rsid w:val="00A401AF"/>
    <w:rsid w:val="00A43A25"/>
    <w:rsid w:val="00A45FF5"/>
    <w:rsid w:val="00A5043B"/>
    <w:rsid w:val="00A50F20"/>
    <w:rsid w:val="00A51323"/>
    <w:rsid w:val="00A52AD0"/>
    <w:rsid w:val="00A63F38"/>
    <w:rsid w:val="00A644F4"/>
    <w:rsid w:val="00A70098"/>
    <w:rsid w:val="00A72F48"/>
    <w:rsid w:val="00A75B74"/>
    <w:rsid w:val="00A833B5"/>
    <w:rsid w:val="00A92C42"/>
    <w:rsid w:val="00A941FC"/>
    <w:rsid w:val="00A9727E"/>
    <w:rsid w:val="00AA0B51"/>
    <w:rsid w:val="00AA333F"/>
    <w:rsid w:val="00AB6DD5"/>
    <w:rsid w:val="00AB7D99"/>
    <w:rsid w:val="00AC033E"/>
    <w:rsid w:val="00AC3AF1"/>
    <w:rsid w:val="00AD2356"/>
    <w:rsid w:val="00AD3561"/>
    <w:rsid w:val="00AD404C"/>
    <w:rsid w:val="00AD76F5"/>
    <w:rsid w:val="00AE256D"/>
    <w:rsid w:val="00AE2E66"/>
    <w:rsid w:val="00AE4E76"/>
    <w:rsid w:val="00AF641A"/>
    <w:rsid w:val="00AF6985"/>
    <w:rsid w:val="00B068A9"/>
    <w:rsid w:val="00B127F9"/>
    <w:rsid w:val="00B135B2"/>
    <w:rsid w:val="00B14569"/>
    <w:rsid w:val="00B164BD"/>
    <w:rsid w:val="00B21809"/>
    <w:rsid w:val="00B2468D"/>
    <w:rsid w:val="00B277A3"/>
    <w:rsid w:val="00B33488"/>
    <w:rsid w:val="00B34B47"/>
    <w:rsid w:val="00B3676D"/>
    <w:rsid w:val="00B37808"/>
    <w:rsid w:val="00B44E26"/>
    <w:rsid w:val="00B563DA"/>
    <w:rsid w:val="00B57087"/>
    <w:rsid w:val="00B6501E"/>
    <w:rsid w:val="00B70BAD"/>
    <w:rsid w:val="00B7116A"/>
    <w:rsid w:val="00B72B95"/>
    <w:rsid w:val="00B914AD"/>
    <w:rsid w:val="00B96DED"/>
    <w:rsid w:val="00BA7647"/>
    <w:rsid w:val="00BB0285"/>
    <w:rsid w:val="00BB0690"/>
    <w:rsid w:val="00BB459F"/>
    <w:rsid w:val="00BC28AB"/>
    <w:rsid w:val="00BC6898"/>
    <w:rsid w:val="00BD4B3F"/>
    <w:rsid w:val="00BE233D"/>
    <w:rsid w:val="00BE2674"/>
    <w:rsid w:val="00BE2B8A"/>
    <w:rsid w:val="00BE3E7F"/>
    <w:rsid w:val="00BF2D8B"/>
    <w:rsid w:val="00BF3099"/>
    <w:rsid w:val="00BF44C3"/>
    <w:rsid w:val="00BF4811"/>
    <w:rsid w:val="00BF7960"/>
    <w:rsid w:val="00BF7CE7"/>
    <w:rsid w:val="00C03A96"/>
    <w:rsid w:val="00C04726"/>
    <w:rsid w:val="00C107F5"/>
    <w:rsid w:val="00C22817"/>
    <w:rsid w:val="00C22A47"/>
    <w:rsid w:val="00C23C82"/>
    <w:rsid w:val="00C33329"/>
    <w:rsid w:val="00C33EC9"/>
    <w:rsid w:val="00C3463E"/>
    <w:rsid w:val="00C45BBA"/>
    <w:rsid w:val="00C46AEE"/>
    <w:rsid w:val="00C5182F"/>
    <w:rsid w:val="00C6107C"/>
    <w:rsid w:val="00C741F6"/>
    <w:rsid w:val="00C75BC4"/>
    <w:rsid w:val="00C871F8"/>
    <w:rsid w:val="00C87284"/>
    <w:rsid w:val="00C87B07"/>
    <w:rsid w:val="00C948E4"/>
    <w:rsid w:val="00C9539B"/>
    <w:rsid w:val="00CA3441"/>
    <w:rsid w:val="00CB13D5"/>
    <w:rsid w:val="00CD2799"/>
    <w:rsid w:val="00CD5C9A"/>
    <w:rsid w:val="00CE3C36"/>
    <w:rsid w:val="00CE61C3"/>
    <w:rsid w:val="00CF108D"/>
    <w:rsid w:val="00CF4874"/>
    <w:rsid w:val="00CF7A18"/>
    <w:rsid w:val="00D00388"/>
    <w:rsid w:val="00D02D7F"/>
    <w:rsid w:val="00D03685"/>
    <w:rsid w:val="00D06C67"/>
    <w:rsid w:val="00D1062A"/>
    <w:rsid w:val="00D12AB2"/>
    <w:rsid w:val="00D15F69"/>
    <w:rsid w:val="00D1729C"/>
    <w:rsid w:val="00D20D56"/>
    <w:rsid w:val="00D2480C"/>
    <w:rsid w:val="00D2755D"/>
    <w:rsid w:val="00D30DF6"/>
    <w:rsid w:val="00D30FAF"/>
    <w:rsid w:val="00D320D9"/>
    <w:rsid w:val="00D33DF4"/>
    <w:rsid w:val="00D35DFD"/>
    <w:rsid w:val="00D36CE7"/>
    <w:rsid w:val="00D401B2"/>
    <w:rsid w:val="00D433AB"/>
    <w:rsid w:val="00D44179"/>
    <w:rsid w:val="00D45BEB"/>
    <w:rsid w:val="00D576F4"/>
    <w:rsid w:val="00D64F3E"/>
    <w:rsid w:val="00D67784"/>
    <w:rsid w:val="00D72B98"/>
    <w:rsid w:val="00D730CB"/>
    <w:rsid w:val="00D730EF"/>
    <w:rsid w:val="00D734D8"/>
    <w:rsid w:val="00D75855"/>
    <w:rsid w:val="00D86198"/>
    <w:rsid w:val="00DA3262"/>
    <w:rsid w:val="00DA7508"/>
    <w:rsid w:val="00DB39AF"/>
    <w:rsid w:val="00DB7B5D"/>
    <w:rsid w:val="00DC3067"/>
    <w:rsid w:val="00DC3D64"/>
    <w:rsid w:val="00DD5AB3"/>
    <w:rsid w:val="00DE1F4C"/>
    <w:rsid w:val="00DE578A"/>
    <w:rsid w:val="00E03F92"/>
    <w:rsid w:val="00E10303"/>
    <w:rsid w:val="00E13162"/>
    <w:rsid w:val="00E13DA4"/>
    <w:rsid w:val="00E15A51"/>
    <w:rsid w:val="00E23FCF"/>
    <w:rsid w:val="00E301CB"/>
    <w:rsid w:val="00E3606A"/>
    <w:rsid w:val="00E41A7C"/>
    <w:rsid w:val="00E53185"/>
    <w:rsid w:val="00E54C34"/>
    <w:rsid w:val="00E57805"/>
    <w:rsid w:val="00E609AF"/>
    <w:rsid w:val="00E636A1"/>
    <w:rsid w:val="00E70F27"/>
    <w:rsid w:val="00E77ABD"/>
    <w:rsid w:val="00E80418"/>
    <w:rsid w:val="00E84526"/>
    <w:rsid w:val="00EA69C9"/>
    <w:rsid w:val="00EB0F4C"/>
    <w:rsid w:val="00EB41E6"/>
    <w:rsid w:val="00EB7750"/>
    <w:rsid w:val="00ED20A5"/>
    <w:rsid w:val="00ED4DA5"/>
    <w:rsid w:val="00EE1D4B"/>
    <w:rsid w:val="00EE3672"/>
    <w:rsid w:val="00EE3803"/>
    <w:rsid w:val="00EE5445"/>
    <w:rsid w:val="00EF72F1"/>
    <w:rsid w:val="00F0116A"/>
    <w:rsid w:val="00F01C92"/>
    <w:rsid w:val="00F03172"/>
    <w:rsid w:val="00F041CE"/>
    <w:rsid w:val="00F048EE"/>
    <w:rsid w:val="00F04C81"/>
    <w:rsid w:val="00F106BB"/>
    <w:rsid w:val="00F1251A"/>
    <w:rsid w:val="00F12661"/>
    <w:rsid w:val="00F139AA"/>
    <w:rsid w:val="00F208D9"/>
    <w:rsid w:val="00F30936"/>
    <w:rsid w:val="00F30C75"/>
    <w:rsid w:val="00F3221D"/>
    <w:rsid w:val="00F33CFE"/>
    <w:rsid w:val="00F33F73"/>
    <w:rsid w:val="00F42D2D"/>
    <w:rsid w:val="00F46A04"/>
    <w:rsid w:val="00F478F4"/>
    <w:rsid w:val="00F52AB8"/>
    <w:rsid w:val="00F612E2"/>
    <w:rsid w:val="00F64D6A"/>
    <w:rsid w:val="00F721B6"/>
    <w:rsid w:val="00F726B5"/>
    <w:rsid w:val="00F743DE"/>
    <w:rsid w:val="00F751A0"/>
    <w:rsid w:val="00F81BAE"/>
    <w:rsid w:val="00F81E88"/>
    <w:rsid w:val="00F8327B"/>
    <w:rsid w:val="00F83F8E"/>
    <w:rsid w:val="00F91AFA"/>
    <w:rsid w:val="00F97F8D"/>
    <w:rsid w:val="00FA271F"/>
    <w:rsid w:val="00FC1843"/>
    <w:rsid w:val="00FD2740"/>
    <w:rsid w:val="00FD388C"/>
    <w:rsid w:val="00FE21B8"/>
    <w:rsid w:val="00FF3648"/>
    <w:rsid w:val="00FF4257"/>
    <w:rsid w:val="55A5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91CE8E"/>
  <w15:docId w15:val="{E69BBC13-50F0-4D17-A7A5-233F736A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szCs w:val="20"/>
    </w:rPr>
  </w:style>
  <w:style w:type="paragraph" w:styleId="a4">
    <w:name w:val="caption"/>
    <w:basedOn w:val="a"/>
    <w:next w:val="a"/>
    <w:unhideWhenUsed/>
    <w:qFormat/>
    <w:rPr>
      <w:rFonts w:asciiTheme="majorHAnsi" w:eastAsia="黑体" w:hAnsiTheme="majorHAnsi" w:cstheme="majorBidi"/>
      <w:sz w:val="20"/>
      <w:szCs w:val="20"/>
    </w:rPr>
  </w:style>
  <w:style w:type="paragraph" w:styleId="a5">
    <w:name w:val="annotation text"/>
    <w:basedOn w:val="a"/>
    <w:link w:val="Char"/>
    <w:semiHidden/>
    <w:unhideWhenUsed/>
    <w:qFormat/>
    <w:pPr>
      <w:jc w:val="left"/>
    </w:p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5"/>
    <w:next w:val="a5"/>
    <w:link w:val="Char3"/>
    <w:semiHidden/>
    <w:unhideWhenUsed/>
    <w:qFormat/>
    <w:rPr>
      <w:b/>
      <w:bCs/>
    </w:rPr>
  </w:style>
  <w:style w:type="table" w:styleId="ab">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Pr>
      <w:color w:val="0000FF" w:themeColor="hyperlink"/>
      <w:u w:val="single"/>
    </w:rPr>
  </w:style>
  <w:style w:type="character" w:styleId="ad">
    <w:name w:val="annotation reference"/>
    <w:basedOn w:val="a0"/>
    <w:semiHidden/>
    <w:unhideWhenUsed/>
    <w:qFormat/>
    <w:rPr>
      <w:sz w:val="21"/>
      <w:szCs w:val="21"/>
    </w:rPr>
  </w:style>
  <w:style w:type="paragraph" w:styleId="ae">
    <w:name w:val="List Paragraph"/>
    <w:basedOn w:val="a"/>
    <w:uiPriority w:val="34"/>
    <w:qFormat/>
    <w:pPr>
      <w:ind w:firstLineChars="200" w:firstLine="420"/>
    </w:pPr>
  </w:style>
  <w:style w:type="paragraph" w:customStyle="1" w:styleId="CharChar1CharCharCharChar">
    <w:name w:val="Char Char1 Char Char Char Char"/>
    <w:basedOn w:val="1"/>
    <w:qFormat/>
    <w:pPr>
      <w:snapToGrid w:val="0"/>
      <w:spacing w:before="240" w:after="240" w:line="348" w:lineRule="auto"/>
    </w:pPr>
    <w:rPr>
      <w:rFonts w:ascii="Tahoma" w:hAnsi="Tahoma"/>
      <w:bCs w:val="0"/>
      <w:kern w:val="2"/>
      <w:sz w:val="24"/>
      <w:szCs w:val="20"/>
    </w:rPr>
  </w:style>
  <w:style w:type="character" w:customStyle="1" w:styleId="1Char">
    <w:name w:val="标题 1 Char"/>
    <w:basedOn w:val="a0"/>
    <w:link w:val="1"/>
    <w:qFormat/>
    <w:rPr>
      <w:b/>
      <w:bCs/>
      <w:kern w:val="44"/>
      <w:sz w:val="44"/>
      <w:szCs w:val="44"/>
    </w:rPr>
  </w:style>
  <w:style w:type="character" w:customStyle="1" w:styleId="Char2">
    <w:name w:val="页眉 Char"/>
    <w:basedOn w:val="a0"/>
    <w:link w:val="a8"/>
    <w:rPr>
      <w:kern w:val="2"/>
      <w:sz w:val="18"/>
      <w:szCs w:val="18"/>
    </w:rPr>
  </w:style>
  <w:style w:type="character" w:customStyle="1" w:styleId="Char1">
    <w:name w:val="页脚 Char"/>
    <w:basedOn w:val="a0"/>
    <w:link w:val="a7"/>
    <w:rPr>
      <w:kern w:val="2"/>
      <w:sz w:val="18"/>
      <w:szCs w:val="18"/>
    </w:rPr>
  </w:style>
  <w:style w:type="character" w:customStyle="1" w:styleId="10">
    <w:name w:val="未处理的提及1"/>
    <w:basedOn w:val="a0"/>
    <w:uiPriority w:val="99"/>
    <w:semiHidden/>
    <w:unhideWhenUsed/>
    <w:rPr>
      <w:color w:val="605E5C"/>
      <w:shd w:val="clear" w:color="auto" w:fill="E1DFDD"/>
    </w:rPr>
  </w:style>
  <w:style w:type="character" w:customStyle="1" w:styleId="2Char">
    <w:name w:val="标题 2 Char"/>
    <w:basedOn w:val="a0"/>
    <w:link w:val="2"/>
    <w:rPr>
      <w:rFonts w:ascii="Arial" w:eastAsia="黑体" w:hAnsi="Arial"/>
      <w:b/>
      <w:bCs/>
      <w:kern w:val="2"/>
      <w:sz w:val="32"/>
      <w:szCs w:val="32"/>
    </w:rPr>
  </w:style>
  <w:style w:type="character" w:customStyle="1" w:styleId="3Char">
    <w:name w:val="标题 3 Char"/>
    <w:basedOn w:val="a0"/>
    <w:link w:val="3"/>
    <w:rPr>
      <w:b/>
      <w:bCs/>
      <w:kern w:val="2"/>
      <w:sz w:val="28"/>
      <w:szCs w:val="32"/>
    </w:rPr>
  </w:style>
  <w:style w:type="character" w:customStyle="1" w:styleId="Char0">
    <w:name w:val="批注框文本 Char"/>
    <w:basedOn w:val="a0"/>
    <w:link w:val="a6"/>
    <w:qFormat/>
    <w:rPr>
      <w:kern w:val="2"/>
      <w:sz w:val="18"/>
      <w:szCs w:val="18"/>
    </w:rPr>
  </w:style>
  <w:style w:type="paragraph" w:customStyle="1" w:styleId="af">
    <w:name w:val="段"/>
    <w:link w:val="Char4"/>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f"/>
    <w:qFormat/>
    <w:rPr>
      <w:rFonts w:ascii="宋体"/>
      <w:sz w:val="21"/>
    </w:rPr>
  </w:style>
  <w:style w:type="character" w:customStyle="1" w:styleId="nameboxcolor">
    <w:name w:val="nameboxcolor"/>
    <w:basedOn w:val="a0"/>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5"/>
    <w:semiHidden/>
    <w:qFormat/>
    <w:rPr>
      <w:kern w:val="2"/>
      <w:sz w:val="21"/>
      <w:szCs w:val="24"/>
    </w:rPr>
  </w:style>
  <w:style w:type="character" w:customStyle="1" w:styleId="Char3">
    <w:name w:val="批注主题 Char"/>
    <w:basedOn w:val="Char"/>
    <w:link w:val="aa"/>
    <w:semiHidden/>
    <w:qFormat/>
    <w:rPr>
      <w:b/>
      <w:bCs/>
      <w:kern w:val="2"/>
      <w:sz w:val="21"/>
      <w:szCs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1">
    <w:name w:val="_Style 31"/>
    <w:basedOn w:val="a"/>
    <w:next w:val="ae"/>
    <w:uiPriority w:val="34"/>
    <w:qFormat/>
    <w:pPr>
      <w:ind w:firstLineChars="200" w:firstLine="420"/>
    </w:pPr>
  </w:style>
  <w:style w:type="paragraph" w:customStyle="1" w:styleId="Style34">
    <w:name w:val="_Style 34"/>
    <w:basedOn w:val="a"/>
    <w:next w:val="ae"/>
    <w:qFormat/>
    <w:pPr>
      <w:ind w:firstLineChars="200" w:firstLine="420"/>
    </w:pPr>
    <w:rPr>
      <w:rFonts w:ascii="Calibri" w:hAnsi="Calibri"/>
      <w:szCs w:val="22"/>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Style36">
    <w:name w:val="_Style 36"/>
    <w:basedOn w:val="a"/>
    <w:next w:val="ae"/>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5BFFC-BDF9-426E-BA6B-CB85803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新工作项目建议书</dc:title>
  <dc:creator>yu ye</dc:creator>
  <cp:lastModifiedBy>李 昂</cp:lastModifiedBy>
  <cp:revision>6</cp:revision>
  <cp:lastPrinted>2020-10-15T07:23:00Z</cp:lastPrinted>
  <dcterms:created xsi:type="dcterms:W3CDTF">2023-02-06T06:00:00Z</dcterms:created>
  <dcterms:modified xsi:type="dcterms:W3CDTF">2023-02-13T03:20:00Z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0017CA97DC394C12BE719BF2FE934B33</vt:lpwstr>
  </property>
</Properties>
</file>