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eastAsia="zh-CN"/>
        </w:rPr>
        <w:t>云霄黄观音</w:t>
      </w:r>
      <w:r>
        <w:rPr>
          <w:rFonts w:hint="eastAsia"/>
          <w:b/>
          <w:sz w:val="36"/>
          <w:szCs w:val="36"/>
        </w:rPr>
        <w:t>》征求意见汇总处理表</w:t>
      </w:r>
    </w:p>
    <w:p>
      <w:pPr>
        <w:pStyle w:val="4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</w:t>
      </w:r>
      <w:r>
        <w:rPr>
          <w:rFonts w:hint="eastAsia"/>
          <w:b/>
          <w:lang w:val="en-US" w:eastAsia="zh-CN"/>
        </w:rPr>
        <w:t xml:space="preserve">2023 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 xml:space="preserve"> 2 </w:t>
      </w:r>
      <w:r>
        <w:rPr>
          <w:rFonts w:hint="eastAsia"/>
          <w:b/>
        </w:rPr>
        <w:t>月</w:t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>10</w:t>
      </w:r>
      <w:r>
        <w:rPr>
          <w:b/>
        </w:rPr>
        <w:t xml:space="preserve"> </w:t>
      </w:r>
      <w:r>
        <w:rPr>
          <w:rFonts w:hint="eastAsia"/>
          <w:b/>
        </w:rPr>
        <w:t>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75"/>
        <w:gridCol w:w="2372"/>
        <w:gridCol w:w="2265"/>
        <w:gridCol w:w="135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7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1391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328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796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33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t>术语和定义</w:t>
            </w:r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以</w:t>
            </w:r>
            <w:r>
              <w:rPr>
                <w:rFonts w:hint="eastAsia"/>
                <w:color w:val="auto"/>
                <w:szCs w:val="22"/>
              </w:rPr>
              <w:t>漳州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市</w:t>
            </w:r>
            <w:r>
              <w:rPr>
                <w:rFonts w:hint="eastAsia"/>
                <w:color w:val="auto"/>
                <w:szCs w:val="22"/>
              </w:rPr>
              <w:t>云霄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县</w:t>
            </w:r>
            <w:r>
              <w:rPr>
                <w:rFonts w:hint="eastAsia"/>
                <w:color w:val="auto"/>
                <w:szCs w:val="22"/>
              </w:rPr>
              <w:t>区域内</w:t>
            </w:r>
            <w:r>
              <w:rPr>
                <w:rFonts w:hint="eastAsia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Cs w:val="22"/>
              </w:rPr>
              <w:t>自然生态环境条件下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种植的黄观音茶树品种</w:t>
            </w:r>
            <w:r>
              <w:rPr>
                <w:rFonts w:hint="eastAsia"/>
                <w:color w:val="auto"/>
              </w:rPr>
              <w:t>的鲜叶为原料，</w:t>
            </w:r>
            <w:r>
              <w:rPr>
                <w:rFonts w:hint="eastAsia"/>
                <w:color w:val="auto"/>
                <w:szCs w:val="22"/>
              </w:rPr>
              <w:t>经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采摘、</w:t>
            </w:r>
            <w:r>
              <w:rPr>
                <w:rFonts w:hint="eastAsia"/>
                <w:color w:val="auto"/>
                <w:szCs w:val="22"/>
              </w:rPr>
              <w:t>萎凋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szCs w:val="22"/>
              </w:rPr>
              <w:t>晒青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、做青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摇</w:t>
            </w:r>
            <w:r>
              <w:rPr>
                <w:szCs w:val="22"/>
              </w:rPr>
              <w:t>青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、杀青、揉捻、烘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干</w:t>
            </w:r>
            <w:r>
              <w:rPr>
                <w:rFonts w:hint="eastAsia"/>
                <w:color w:val="auto"/>
                <w:szCs w:val="22"/>
              </w:rPr>
              <w:t>等工</w:t>
            </w:r>
            <w:r>
              <w:rPr>
                <w:rFonts w:hint="eastAsia"/>
                <w:color w:val="auto"/>
              </w:rPr>
              <w:t>序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结合“冷发酵”、“微-转-调”的特殊制作工艺</w:t>
            </w:r>
            <w:r>
              <w:rPr>
                <w:rFonts w:hint="eastAsia"/>
                <w:color w:val="auto"/>
              </w:rPr>
              <w:t>加工而成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具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</w:t>
            </w:r>
            <w:r>
              <w:rPr>
                <w:rFonts w:hint="eastAsia"/>
                <w:color w:val="auto"/>
                <w:szCs w:val="22"/>
              </w:rPr>
              <w:t>独特花香蜜韵特征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的</w:t>
            </w:r>
            <w:r>
              <w:rPr>
                <w:rFonts w:hint="eastAsia"/>
                <w:color w:val="auto"/>
              </w:rPr>
              <w:t>乌龙茶产品。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以</w:t>
            </w:r>
            <w:r>
              <w:rPr>
                <w:rFonts w:hint="eastAsia"/>
                <w:color w:val="auto"/>
                <w:highlight w:val="none"/>
              </w:rPr>
              <w:t>漳州市</w:t>
            </w:r>
            <w:r>
              <w:rPr>
                <w:color w:val="auto"/>
                <w:szCs w:val="22"/>
              </w:rPr>
              <w:t>云霄</w:t>
            </w:r>
            <w:r>
              <w:rPr>
                <w:rFonts w:hint="eastAsia"/>
                <w:color w:val="auto"/>
                <w:highlight w:val="none"/>
              </w:rPr>
              <w:t>县辖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行政</w:t>
            </w:r>
            <w:r>
              <w:rPr>
                <w:rFonts w:hint="eastAsia"/>
                <w:color w:val="auto"/>
                <w:highlight w:val="none"/>
              </w:rPr>
              <w:t>区域内</w:t>
            </w:r>
            <w:r>
              <w:rPr>
                <w:rFonts w:hint="eastAsia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Cs w:val="22"/>
              </w:rPr>
              <w:t>自然生态环境条件下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种植的黄观音茶树品种</w:t>
            </w:r>
            <w:r>
              <w:rPr>
                <w:rFonts w:hint="eastAsia"/>
                <w:color w:val="auto"/>
              </w:rPr>
              <w:t>的鲜叶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毛茶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</w:rPr>
              <w:t>为原料，</w:t>
            </w:r>
            <w:r>
              <w:rPr>
                <w:rFonts w:hint="eastAsia"/>
                <w:color w:val="auto"/>
                <w:szCs w:val="22"/>
              </w:rPr>
              <w:t>经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采摘、</w:t>
            </w:r>
            <w:r>
              <w:rPr>
                <w:rFonts w:hint="eastAsia"/>
                <w:color w:val="auto"/>
                <w:szCs w:val="22"/>
              </w:rPr>
              <w:t>萎凋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color w:val="auto"/>
                <w:szCs w:val="22"/>
              </w:rPr>
              <w:t>晒青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color w:val="auto"/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、做青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摇</w:t>
            </w:r>
            <w:r>
              <w:rPr>
                <w:color w:val="auto"/>
                <w:szCs w:val="22"/>
              </w:rPr>
              <w:t>青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color w:val="auto"/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、杀青、揉捻、烘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干</w:t>
            </w:r>
            <w:r>
              <w:rPr>
                <w:rFonts w:hint="eastAsia"/>
                <w:color w:val="auto"/>
                <w:szCs w:val="22"/>
              </w:rPr>
              <w:t>等工</w:t>
            </w:r>
            <w:r>
              <w:rPr>
                <w:rFonts w:hint="eastAsia"/>
                <w:color w:val="auto"/>
              </w:rPr>
              <w:t>序</w:t>
            </w:r>
            <w:r>
              <w:rPr>
                <w:rFonts w:hint="eastAsia"/>
                <w:color w:val="auto"/>
                <w:lang w:val="en-US" w:eastAsia="zh-CN"/>
              </w:rPr>
              <w:t>的特殊制作工艺</w:t>
            </w:r>
            <w:r>
              <w:rPr>
                <w:rFonts w:hint="eastAsia"/>
                <w:color w:val="auto"/>
              </w:rPr>
              <w:t>加工而成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具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</w:t>
            </w:r>
            <w:r>
              <w:rPr>
                <w:rFonts w:hint="eastAsia"/>
                <w:color w:val="auto"/>
                <w:szCs w:val="22"/>
              </w:rPr>
              <w:t>独特花香蜜韵特征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的</w:t>
            </w:r>
            <w:r>
              <w:rPr>
                <w:rFonts w:hint="eastAsia"/>
                <w:color w:val="auto"/>
              </w:rPr>
              <w:t>产品。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云霄县市场监督管理局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bookmarkStart w:id="0" w:name="_Toc14627"/>
            <w:bookmarkStart w:id="1" w:name="_Toc13508"/>
            <w:bookmarkStart w:id="2" w:name="_Toc15356"/>
            <w:bookmarkStart w:id="3" w:name="_Toc26715"/>
            <w:bookmarkStart w:id="4" w:name="_Toc7569"/>
            <w:bookmarkStart w:id="5" w:name="_Toc30775"/>
            <w:bookmarkStart w:id="6" w:name="_Toc31052"/>
            <w:r>
              <w:t>术语和定义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冷发酵：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做青过程中，采用低温方式，经过反复5至8次的晾青和摇青，历经8至12个小时，形成绿叶红镶边和花香蜜韵独特品质的发酵过程。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微-转-调：</w:t>
            </w:r>
            <w:bookmarkStart w:id="11" w:name="_GoBack"/>
            <w:bookmarkEnd w:id="11"/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lang w:eastAsia="zh-CN"/>
              </w:rPr>
              <w:t>精制过程中，采用传统的炭火进行阴火慢焙，经过多次焙火与静置，直到有微微的火香味，这一循环往复的焙火静置过程被称为“微-转-调”。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Arial" w:eastAsia="仿宋_GB2312" w:cs="HiddenHorzOCR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删除此项内容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云霄县茶叶科学研究所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bookmarkStart w:id="7" w:name="_Toc9641"/>
            <w:bookmarkStart w:id="8" w:name="_Toc25959"/>
            <w:bookmarkStart w:id="9" w:name="_Toc28510"/>
            <w:bookmarkStart w:id="10" w:name="_Toc4982"/>
            <w:r>
              <w:rPr>
                <w:rFonts w:hint="eastAsia"/>
                <w:color w:val="auto"/>
                <w:lang w:val="en-US" w:eastAsia="zh-CN"/>
              </w:rPr>
              <w:t>加工</w:t>
            </w:r>
            <w:r>
              <w:rPr>
                <w:rFonts w:hint="eastAsia"/>
                <w:color w:val="auto"/>
              </w:rPr>
              <w:t>技术</w:t>
            </w:r>
            <w:bookmarkEnd w:id="7"/>
            <w:bookmarkEnd w:id="8"/>
            <w:bookmarkEnd w:id="9"/>
            <w:r>
              <w:rPr>
                <w:rFonts w:hint="eastAsia"/>
                <w:color w:val="auto"/>
              </w:rPr>
              <w:t>要求</w:t>
            </w:r>
            <w:bookmarkEnd w:id="10"/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合格鲜叶应完整、新鲜均匀，以一芽三叶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中小开面为宜。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鲜叶应完整、新鲜匀</w:t>
            </w:r>
            <w:r>
              <w:rPr>
                <w:rFonts w:hint="eastAsia"/>
                <w:color w:val="auto"/>
                <w:lang w:val="en-US" w:eastAsia="zh-CN"/>
              </w:rPr>
              <w:t>净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以</w:t>
            </w:r>
            <w:r>
              <w:rPr>
                <w:rFonts w:hint="eastAsia"/>
                <w:color w:val="auto"/>
              </w:rPr>
              <w:t>中开面三</w:t>
            </w:r>
            <w:r>
              <w:rPr>
                <w:rFonts w:hint="eastAsia"/>
                <w:color w:val="auto"/>
                <w:lang w:val="en-US" w:eastAsia="zh-CN"/>
              </w:rPr>
              <w:t>四</w:t>
            </w:r>
            <w:r>
              <w:rPr>
                <w:rFonts w:hint="eastAsia"/>
                <w:color w:val="auto"/>
              </w:rPr>
              <w:t>叶为宜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夏秋季可带芽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lang w:eastAsia="zh-CN"/>
              </w:rPr>
              <w:t>福建农林大学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Arial" w:eastAsia="宋体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加工</w:t>
            </w:r>
            <w:r>
              <w:rPr>
                <w:rFonts w:hint="eastAsia"/>
                <w:color w:val="auto"/>
              </w:rPr>
              <w:t>技术要求</w:t>
            </w:r>
            <w:r>
              <w:rPr>
                <w:rFonts w:hint="eastAsia"/>
                <w:lang w:val="en-US" w:eastAsia="zh-CN"/>
              </w:rPr>
              <w:t>(做青)</w:t>
            </w:r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正常情况下，一般进行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</w:rPr>
              <w:t>次～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次摇青、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凉</w:t>
            </w:r>
            <w:r>
              <w:rPr>
                <w:rFonts w:hint="eastAsia" w:ascii="宋体" w:hAnsi="宋体" w:eastAsia="宋体" w:cs="宋体"/>
                <w:color w:val="auto"/>
              </w:rPr>
              <w:t>青，历时1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h～1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h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摇青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次数5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次，</w:t>
            </w:r>
            <w:r>
              <w:rPr>
                <w:rFonts w:hint="eastAsia"/>
                <w:color w:val="auto"/>
              </w:rPr>
              <w:t>摇青</w:t>
            </w:r>
            <w:r>
              <w:rPr>
                <w:rFonts w:hint="eastAsia"/>
                <w:color w:val="auto"/>
                <w:lang w:val="en-US" w:eastAsia="zh-CN"/>
              </w:rPr>
              <w:t>机转数每分钟10-20转，</w:t>
            </w:r>
            <w:r>
              <w:rPr>
                <w:rFonts w:hint="eastAsia" w:ascii="宋体" w:hAnsi="宋体" w:eastAsia="宋体" w:cs="宋体"/>
                <w:color w:val="auto"/>
              </w:rPr>
              <w:t>摇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凉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结合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</w:rPr>
              <w:t>历时1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</w:rPr>
              <w:t>h～1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h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lang w:eastAsia="zh-CN"/>
              </w:rPr>
              <w:t>福建农林大学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lang w:val="en-US" w:eastAsia="zh-CN"/>
              </w:rPr>
              <w:t>加工</w:t>
            </w:r>
            <w:r>
              <w:rPr>
                <w:rFonts w:hint="eastAsia"/>
                <w:color w:val="auto"/>
              </w:rPr>
              <w:t>技术要求</w:t>
            </w:r>
            <w:r>
              <w:rPr>
                <w:rFonts w:hint="eastAsia"/>
                <w:lang w:val="en-US" w:eastAsia="zh-CN"/>
              </w:rPr>
              <w:t>(适度要求)</w:t>
            </w:r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揉捻成条，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成条</w:t>
            </w:r>
            <w:r>
              <w:rPr>
                <w:rFonts w:hint="eastAsia" w:ascii="宋体" w:hAnsi="宋体"/>
                <w:color w:val="auto"/>
                <w:szCs w:val="21"/>
              </w:rPr>
              <w:t>率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0％以上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揉捻成条，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成条</w:t>
            </w:r>
            <w:r>
              <w:rPr>
                <w:rFonts w:hint="eastAsia" w:ascii="宋体" w:hAnsi="宋体"/>
                <w:color w:val="auto"/>
                <w:szCs w:val="21"/>
              </w:rPr>
              <w:t>率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0％以上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lang w:eastAsia="zh-CN"/>
              </w:rPr>
              <w:t>福建农林大学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A8BBF"/>
    <w:multiLevelType w:val="multilevel"/>
    <w:tmpl w:val="F14A8BBF"/>
    <w:lvl w:ilvl="0" w:tentative="0">
      <w:start w:val="1"/>
      <w:numFmt w:val="decimal"/>
      <w:pStyle w:val="8"/>
      <w:suff w:val="nothing"/>
      <w:lvlText w:val="%1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suff w:val="nothing"/>
      <w:lvlText w:val="%1.%2.%3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suff w:val="nothing"/>
      <w:lvlText w:val="%1.%2.%3.%4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MmZmMTcxYjBmNjM1NjlkZGQ4ODRiYWJiN2M4NjUifQ=="/>
  </w:docVars>
  <w:rsids>
    <w:rsidRoot w:val="65976542"/>
    <w:rsid w:val="00B44725"/>
    <w:rsid w:val="01EE2E82"/>
    <w:rsid w:val="039833E5"/>
    <w:rsid w:val="045F66F8"/>
    <w:rsid w:val="048D6C72"/>
    <w:rsid w:val="05DF0386"/>
    <w:rsid w:val="064C61F2"/>
    <w:rsid w:val="0BC55EA4"/>
    <w:rsid w:val="171B7AD0"/>
    <w:rsid w:val="1798573E"/>
    <w:rsid w:val="17D202F5"/>
    <w:rsid w:val="1F186C84"/>
    <w:rsid w:val="1F395263"/>
    <w:rsid w:val="201B761F"/>
    <w:rsid w:val="21200794"/>
    <w:rsid w:val="244349E5"/>
    <w:rsid w:val="265B13C7"/>
    <w:rsid w:val="26DE6231"/>
    <w:rsid w:val="285B3B5E"/>
    <w:rsid w:val="2AEF15F0"/>
    <w:rsid w:val="2BA552B9"/>
    <w:rsid w:val="2F5A0FDE"/>
    <w:rsid w:val="3213380F"/>
    <w:rsid w:val="34102548"/>
    <w:rsid w:val="345D0164"/>
    <w:rsid w:val="3AC40B6D"/>
    <w:rsid w:val="3F2F7405"/>
    <w:rsid w:val="40954C47"/>
    <w:rsid w:val="412261B5"/>
    <w:rsid w:val="435551F5"/>
    <w:rsid w:val="439F18AF"/>
    <w:rsid w:val="45480F09"/>
    <w:rsid w:val="47F26AD6"/>
    <w:rsid w:val="4BA874FD"/>
    <w:rsid w:val="4CC13663"/>
    <w:rsid w:val="51A4132D"/>
    <w:rsid w:val="53BE4AF2"/>
    <w:rsid w:val="542B02CA"/>
    <w:rsid w:val="56371AD4"/>
    <w:rsid w:val="58403C46"/>
    <w:rsid w:val="5A6A46B9"/>
    <w:rsid w:val="5ACD1752"/>
    <w:rsid w:val="5D077C9C"/>
    <w:rsid w:val="5D92677B"/>
    <w:rsid w:val="60FE2FE9"/>
    <w:rsid w:val="644B3A82"/>
    <w:rsid w:val="65976542"/>
    <w:rsid w:val="673E37E2"/>
    <w:rsid w:val="67577278"/>
    <w:rsid w:val="68622A07"/>
    <w:rsid w:val="6EC4456F"/>
    <w:rsid w:val="6F1C74FE"/>
    <w:rsid w:val="74B15F68"/>
    <w:rsid w:val="74C711D8"/>
    <w:rsid w:val="7749153B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标准文件_术语条一"/>
    <w:basedOn w:val="6"/>
    <w:next w:val="9"/>
    <w:qFormat/>
    <w:uiPriority w:val="0"/>
    <w:pPr>
      <w:ind w:left="420" w:hanging="420" w:hangingChars="200"/>
    </w:pPr>
    <w:rPr>
      <w:rFonts w:ascii="黑体" w:hAnsi="黑体" w:eastAsia="黑体" w:cs="黑体"/>
    </w:rPr>
  </w:style>
  <w:style w:type="paragraph" w:customStyle="1" w:styleId="6">
    <w:name w:val="标准文件_一级无标题"/>
    <w:basedOn w:val="7"/>
    <w:qFormat/>
    <w:uiPriority w:val="0"/>
    <w:pPr>
      <w:spacing w:before="4" w:beforeLines="1" w:after="4" w:afterLines="1"/>
      <w:outlineLvl w:val="9"/>
    </w:pPr>
    <w:rPr>
      <w:rFonts w:ascii="宋体" w:hAnsi="宋体" w:eastAsia="宋体" w:cs="宋体"/>
    </w:rPr>
  </w:style>
  <w:style w:type="paragraph" w:customStyle="1" w:styleId="7">
    <w:name w:val="标准文件_一级条标题"/>
    <w:basedOn w:val="8"/>
    <w:next w:val="9"/>
    <w:qFormat/>
    <w:uiPriority w:val="0"/>
    <w:pPr>
      <w:numPr>
        <w:ilvl w:val="1"/>
      </w:numPr>
      <w:spacing w:before="157" w:beforeLines="50" w:after="157" w:afterLines="50"/>
      <w:outlineLvl w:val="1"/>
    </w:pPr>
    <w:rPr>
      <w:rFonts w:hAnsi="Times New Roman"/>
    </w:rPr>
  </w:style>
  <w:style w:type="paragraph" w:customStyle="1" w:styleId="8">
    <w:name w:val="标准文件_章标题"/>
    <w:next w:val="9"/>
    <w:qFormat/>
    <w:uiPriority w:val="0"/>
    <w:pPr>
      <w:numPr>
        <w:ilvl w:val="0"/>
        <w:numId w:val="1"/>
      </w:numPr>
      <w:suppressAutoHyphens w:val="0"/>
      <w:spacing w:before="313" w:beforeLines="100" w:after="313" w:afterLines="100"/>
      <w:jc w:val="both"/>
      <w:outlineLvl w:val="0"/>
    </w:pPr>
    <w:rPr>
      <w:rFonts w:hint="eastAsia" w:ascii="黑体" w:hAnsi="Times New Roman" w:eastAsia="黑体" w:cs="黑体"/>
      <w:sz w:val="21"/>
    </w:rPr>
  </w:style>
  <w:style w:type="paragraph" w:customStyle="1" w:styleId="9">
    <w:name w:val="标准文件_段"/>
    <w:qFormat/>
    <w:uiPriority w:val="0"/>
    <w:pPr>
      <w:ind w:firstLine="420" w:firstLineChars="200"/>
      <w:jc w:val="both"/>
    </w:pPr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2022-08-15T09:21:00Z</dcterms:created>
  <dc:creator>北在北边</dc:creator>
  <cp:lastModifiedBy>木子李</cp:lastModifiedBy>
  <dcterms:modified xsi:type="dcterms:W3CDTF">2023-02-10T06:24:35Z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A05AD78236C243B08EA1FD0600CB33BA</vt:lpwstr>
  </property>
</Properties>
</file>