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T/HNSP</w:t>
      </w:r>
    </w:p>
    <w:p>
      <w:pPr>
        <w:spacing w:line="940" w:lineRule="exact"/>
        <w:jc w:val="distribute"/>
        <w:rPr>
          <w:rFonts w:eastAsia="黑体"/>
          <w:kern w:val="16"/>
          <w:sz w:val="60"/>
          <w:szCs w:val="60"/>
        </w:rPr>
      </w:pPr>
      <w:r>
        <w:rPr>
          <w:rFonts w:hint="eastAsia" w:hAnsi="黑体" w:eastAsia="黑体"/>
          <w:kern w:val="16"/>
          <w:sz w:val="60"/>
          <w:szCs w:val="60"/>
          <w:lang w:val="en-US" w:eastAsia="zh-CN"/>
        </w:rPr>
        <w:t>湖南省食品标准化协会</w:t>
      </w:r>
      <w:r>
        <w:rPr>
          <w:rFonts w:hint="eastAsia" w:hAnsi="黑体" w:eastAsia="黑体"/>
          <w:kern w:val="16"/>
          <w:sz w:val="60"/>
          <w:szCs w:val="60"/>
        </w:rPr>
        <w:t>团体</w:t>
      </w:r>
      <w:r>
        <w:rPr>
          <w:rFonts w:hAnsi="黑体" w:eastAsia="黑体"/>
          <w:kern w:val="16"/>
          <w:sz w:val="60"/>
          <w:szCs w:val="60"/>
        </w:rPr>
        <w:t>标准</w:t>
      </w:r>
    </w:p>
    <w:p>
      <w:pPr>
        <w:spacing w:line="300" w:lineRule="exact"/>
        <w:ind w:right="595" w:rightChars="186"/>
        <w:jc w:val="right"/>
        <w:rPr>
          <w:szCs w:val="22"/>
        </w:rPr>
      </w:pPr>
      <w:r>
        <w:rPr>
          <w:szCs w:val="22"/>
        </w:rPr>
        <w:t xml:space="preserve"> </w:t>
      </w:r>
    </w:p>
    <w:p>
      <w:pPr>
        <w:spacing w:line="300" w:lineRule="exact"/>
        <w:ind w:right="595" w:rightChars="186"/>
        <w:jc w:val="right"/>
        <w:outlineLvl w:val="0"/>
        <w:rPr>
          <w:rFonts w:eastAsia="黑体"/>
          <w:color w:val="000000"/>
          <w:sz w:val="28"/>
          <w:szCs w:val="28"/>
        </w:rPr>
      </w:pPr>
      <w:bookmarkStart w:id="0" w:name="_Toc17844"/>
      <w:r>
        <w:rPr>
          <w:rFonts w:hint="eastAsia" w:eastAsia="黑体"/>
          <w:sz w:val="28"/>
          <w:szCs w:val="28"/>
        </w:rPr>
        <w:t xml:space="preserve">T/HNSP </w:t>
      </w:r>
      <w:r>
        <w:rPr>
          <w:rFonts w:hint="eastAsia" w:eastAsia="黑体"/>
          <w:sz w:val="28"/>
          <w:szCs w:val="28"/>
          <w:lang w:val="en-US" w:eastAsia="zh-CN"/>
        </w:rPr>
        <w:t>001</w:t>
      </w:r>
      <w:r>
        <w:rPr>
          <w:rFonts w:eastAsia="黑体"/>
          <w:color w:val="000000"/>
          <w:sz w:val="28"/>
          <w:szCs w:val="28"/>
        </w:rPr>
        <w:t>-</w:t>
      </w:r>
      <w:r>
        <w:rPr>
          <w:rFonts w:hint="eastAsia" w:eastAsia="黑体"/>
          <w:color w:val="000000"/>
          <w:sz w:val="28"/>
          <w:szCs w:val="28"/>
        </w:rPr>
        <w:t>2022</w:t>
      </w:r>
      <w:bookmarkEnd w:id="0"/>
    </w:p>
    <w:p>
      <w:pPr>
        <w:rPr>
          <w:szCs w:val="21"/>
        </w:rPr>
      </w:pPr>
    </w:p>
    <w:p>
      <w:pPr>
        <w:widowControl/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drawing>
          <wp:inline distT="0" distB="0" distL="0" distR="0">
            <wp:extent cx="6050915" cy="15875"/>
            <wp:effectExtent l="0" t="0" r="6985" b="3175"/>
            <wp:docPr id="2" name="图片 2" descr="C:\Users\X58\AppData\Local\Temp\ksohtml\wps7FE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58\AppData\Local\Temp\ksohtml\wps7FED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jc w:val="left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autoSpaceDE w:val="0"/>
        <w:autoSpaceDN w:val="0"/>
        <w:spacing w:line="360" w:lineRule="auto"/>
        <w:jc w:val="center"/>
        <w:rPr>
          <w:rFonts w:hAnsi="黑体" w:eastAsia="黑体"/>
          <w:sz w:val="52"/>
          <w:szCs w:val="52"/>
        </w:rPr>
      </w:pPr>
    </w:p>
    <w:p>
      <w:pPr>
        <w:autoSpaceDE w:val="0"/>
        <w:autoSpaceDN w:val="0"/>
        <w:spacing w:line="360" w:lineRule="auto"/>
        <w:jc w:val="center"/>
        <w:rPr>
          <w:rFonts w:hAnsi="黑体" w:eastAsia="黑体"/>
          <w:sz w:val="52"/>
          <w:szCs w:val="52"/>
        </w:rPr>
      </w:pPr>
      <w:r>
        <w:rPr>
          <w:rFonts w:hint="eastAsia" w:hAnsi="黑体" w:eastAsia="黑体"/>
          <w:sz w:val="52"/>
          <w:szCs w:val="52"/>
        </w:rPr>
        <w:t>糖缓释主食</w:t>
      </w:r>
    </w:p>
    <w:p>
      <w:pPr>
        <w:pStyle w:val="5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</w:rPr>
      </w:pPr>
      <w:bookmarkStart w:id="3" w:name="_GoBack"/>
      <w:r>
        <w:rPr>
          <w:rFonts w:hint="eastAsia" w:ascii="Times New Roman" w:hAnsi="Times New Roman"/>
        </w:rPr>
        <w:t xml:space="preserve"> (</w:t>
      </w:r>
      <w:r>
        <w:rPr>
          <w:rFonts w:hint="eastAsia" w:ascii="Times New Roman" w:hAnsi="Times New Roman"/>
          <w:lang w:val="en-US" w:eastAsia="zh-CN"/>
        </w:rPr>
        <w:t>征求意见</w:t>
      </w:r>
      <w:r>
        <w:rPr>
          <w:rFonts w:hint="eastAsia" w:ascii="Times New Roman" w:hAnsi="Times New Roman"/>
        </w:rPr>
        <w:t>稿)</w:t>
      </w:r>
    </w:p>
    <w:bookmarkEnd w:id="3"/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spacing w:line="360" w:lineRule="auto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  <w:sectPr>
          <w:headerReference r:id="rId3" w:type="default"/>
          <w:pgSz w:w="11907" w:h="16839"/>
          <w:pgMar w:top="1361" w:right="1361" w:bottom="1361" w:left="1361" w:header="720" w:footer="720" w:gutter="0"/>
          <w:pgNumType w:fmt="upperRoman" w:start="1"/>
          <w:cols w:space="720" w:num="1"/>
          <w:docGrid w:linePitch="286" w:charSpace="0"/>
        </w:sect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107315</wp:posOffset>
                </wp:positionV>
                <wp:extent cx="2438400" cy="3905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02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8.45pt;height:30.75pt;width:192pt;z-index:251661312;mso-width-relative:page;mso-height-relative:page;" filled="f" stroked="f" coordsize="21600,21600" o:gfxdata="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w95HnaAAAACQEAAA8AAAAAAAAAAQAgAAAAIgAAAGRy&#10;cy9kb3ducmV2LnhtbFBLAQIUABQAAAAIAIdO4kDn2nNZ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02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97155</wp:posOffset>
                </wp:positionV>
                <wp:extent cx="2324100" cy="3333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22-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发布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5pt;margin-top:7.65pt;height:26.25pt;width:183pt;z-index:251660288;mso-width-relative:page;mso-height-relative:page;" filled="f" stroked="f" coordsize="21600,21600" o:gfxdata="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HhR79oAAAAIAQAADwAAAAAAAAABACAAAAAiAAAAZHJz&#10;L2Rvd25yZXYueG1sUEsBAhQAFAAAAAgAh07iQEnUBmk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22-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发布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495300</wp:posOffset>
                </wp:positionV>
                <wp:extent cx="3406140" cy="3619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line="360" w:lineRule="auto"/>
                              <w:ind w:firstLine="562" w:firstLineChars="200"/>
                              <w:rPr>
                                <w:rFonts w:hAnsi="宋体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宋体" w:eastAsia="宋体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湖南省食品标准化协会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3pt;margin-top:39pt;height:28.5pt;width:268.2pt;z-index:251662336;mso-width-relative:page;mso-height-relative:page;" filled="f" stroked="f" coordsize="21600,21600" o:gfxdata="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23LOS1wAAAAoBAAAPAAAAAAAAAAEAIAAAACIAAABkcnMvZG93&#10;bnJldi54bWxQSwECFAAUAAAACACHTuJAME/l9zoCAABoBAAADgAAAAAAAAABACAAAAAm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360" w:lineRule="auto"/>
                        <w:ind w:firstLine="562" w:firstLineChars="200"/>
                        <w:rPr>
                          <w:rFonts w:hAnsi="宋体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宋体" w:eastAsia="宋体"/>
                          <w:bCs/>
                          <w:sz w:val="28"/>
                          <w:szCs w:val="28"/>
                          <w:lang w:val="en-US" w:eastAsia="zh-CN"/>
                        </w:rPr>
                        <w:t>湖南省食品标准化协会</w:t>
                      </w:r>
                      <w:r>
                        <w:rPr>
                          <w:rFonts w:hint="eastAsia" w:hAnsi="宋体"/>
                          <w:b w:val="0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b w:val="0"/>
                          <w:sz w:val="28"/>
                          <w:szCs w:val="28"/>
                        </w:rPr>
                        <w:t>发 布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5486400" cy="19050"/>
            <wp:effectExtent l="0" t="0" r="0" b="0"/>
            <wp:wrapNone/>
            <wp:docPr id="3" name="图片 3" descr="C:\Users\X58\AppData\Local\Temp\ksohtml\wps7FE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58\AppData\Local\Temp\ksohtml\wps7FEE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1"/>
        <w:tabs>
          <w:tab w:val="left" w:pos="959"/>
        </w:tabs>
        <w:spacing w:before="850" w:after="680"/>
        <w:ind w:right="34"/>
        <w:outlineLvl w:val="0"/>
        <w:rPr>
          <w:lang w:eastAsia="zh-CN"/>
        </w:rPr>
      </w:pPr>
      <w:bookmarkStart w:id="1" w:name="_Toc16465"/>
      <w:r>
        <w:rPr>
          <w:rFonts w:hint="eastAsia"/>
          <w:lang w:eastAsia="zh-CN"/>
        </w:rPr>
        <w:t>前    言</w:t>
      </w:r>
      <w:bookmarkEnd w:id="1"/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本文件按照GB/T 1.1—2020《标准化工作导则  第1部分：标准化文件的结构和起草规则》的规定起草。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请注意本文件的某些内容可能涉及专利，本文件的发布机构不承担识别这些专利的责任。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本标准由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湖南省食品标准化协会</w:t>
      </w:r>
      <w:r>
        <w:rPr>
          <w:rFonts w:hint="eastAsia" w:ascii="宋体" w:hAnsi="宋体" w:eastAsia="宋体"/>
          <w:sz w:val="21"/>
          <w:szCs w:val="21"/>
        </w:rPr>
        <w:t>提出并归口。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本标准起草单位：代谢性疾病医学营养干预技术湖南省工程研究中心、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湖南省食品标准化协会</w:t>
      </w:r>
      <w:r>
        <w:rPr>
          <w:rFonts w:hint="eastAsia" w:ascii="宋体" w:hAnsi="宋体" w:eastAsia="宋体"/>
          <w:color w:val="000000"/>
          <w:sz w:val="21"/>
          <w:szCs w:val="21"/>
        </w:rPr>
        <w:t>、国家中医药管理局亚健康干预技术实验室、长沙能峰生物科技有限公司、湖南新诚智慧医药集团股份有限公司、湖南家点爱食品有限公司、湖南华诚生物资源股份有限公司、长沙医食健康科技有限公司、湖北协泰健康科技有限公司、湖北华大江声科技有限公司、厦门吉思麦食品科技有限公司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本标准主要起草人：刘东波、康信聪、王蕾、胡坤、黄维明、李坚、赖锡湖、伍睿宇、何蓉、黄华学、孙弘哲、王涛、纪忠来。</w:t>
      </w:r>
    </w:p>
    <w:p>
      <w:pPr>
        <w:spacing w:line="330" w:lineRule="exact"/>
        <w:ind w:firstLine="420" w:firstLineChars="200"/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仿宋_GB2312"/>
        </w:rPr>
      </w:pPr>
    </w:p>
    <w:p>
      <w:pPr>
        <w:pStyle w:val="18"/>
        <w:spacing w:before="240" w:beforeLines="100" w:after="240" w:afterLines="100"/>
        <w:rPr>
          <w:rFonts w:hAnsi="黑体"/>
          <w:b/>
          <w:szCs w:val="32"/>
        </w:rPr>
      </w:pPr>
      <w:r>
        <w:rPr>
          <w:rFonts w:hint="eastAsia" w:hAnsi="黑体"/>
          <w:b/>
          <w:szCs w:val="32"/>
        </w:rPr>
        <w:t>糖缓释主食</w:t>
      </w: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1.范围</w:t>
      </w:r>
    </w:p>
    <w:p>
      <w:pPr>
        <w:pStyle w:val="27"/>
        <w:spacing w:after="0"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本标准规定了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糖缓释主食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 w:bidi="en-US"/>
        </w:rPr>
        <w:t>要求、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检验方法、检验规则、标志、包装、运输、贮存和保质期等。</w:t>
      </w:r>
    </w:p>
    <w:p>
      <w:pPr>
        <w:pStyle w:val="27"/>
        <w:spacing w:before="120" w:after="120"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本标准适用于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以大米、小麦、薯类中一种或多种为主要原料，经过粉碎，添加其他谷物粉、药食同源植物粉、新食品原料粉为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辅料，添加或不添加食品添加剂，</w:t>
      </w:r>
      <w:r>
        <w:rPr>
          <w:rFonts w:hint="eastAsia" w:ascii="宋体" w:hAnsi="宋体" w:eastAsia="宋体" w:cs="宋体"/>
          <w:sz w:val="21"/>
          <w:szCs w:val="21"/>
        </w:rPr>
        <w:t>经配料、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加水、</w:t>
      </w:r>
      <w:r>
        <w:rPr>
          <w:rFonts w:hint="eastAsia" w:ascii="宋体" w:hAnsi="宋体" w:eastAsia="宋体" w:cs="宋体"/>
          <w:sz w:val="21"/>
          <w:szCs w:val="21"/>
        </w:rPr>
        <w:t>混合、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熟化或半熟化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成形、</w:t>
      </w:r>
      <w:r>
        <w:rPr>
          <w:rFonts w:hint="eastAsia" w:ascii="宋体" w:hAnsi="宋体" w:eastAsia="宋体" w:cs="宋体"/>
          <w:sz w:val="21"/>
          <w:szCs w:val="21"/>
        </w:rPr>
        <w:t>干燥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或不干燥</w:t>
      </w:r>
      <w:r>
        <w:rPr>
          <w:rFonts w:hint="eastAsia" w:ascii="宋体" w:hAnsi="宋体" w:eastAsia="宋体" w:cs="宋体"/>
          <w:sz w:val="21"/>
          <w:szCs w:val="21"/>
        </w:rPr>
        <w:t>、冷却、真空包装或非真空包装等加工工艺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包装而成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并供食用后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升糖指数缓慢的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糖缓释主食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7"/>
        <w:spacing w:after="0"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2.术语和定义</w:t>
      </w:r>
    </w:p>
    <w:p>
      <w:pPr>
        <w:pStyle w:val="27"/>
        <w:spacing w:after="0"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糖缓释主食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以大米、小麦、薯类中一种或多种为主要原料，经过粉碎，添加其他谷物粉、药食同源植物粉、新食品原料粉为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辅料，添加或不添加食品添加剂，</w:t>
      </w:r>
      <w:r>
        <w:rPr>
          <w:rFonts w:hint="eastAsia" w:ascii="宋体" w:hAnsi="宋体" w:eastAsia="宋体" w:cs="宋体"/>
          <w:sz w:val="21"/>
          <w:szCs w:val="21"/>
        </w:rPr>
        <w:t>经配料、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加水、</w:t>
      </w:r>
      <w:r>
        <w:rPr>
          <w:rFonts w:hint="eastAsia" w:ascii="宋体" w:hAnsi="宋体" w:eastAsia="宋体" w:cs="宋体"/>
          <w:sz w:val="21"/>
          <w:szCs w:val="21"/>
        </w:rPr>
        <w:t>混合、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熟化或半熟化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成形、</w:t>
      </w:r>
      <w:r>
        <w:rPr>
          <w:rFonts w:hint="eastAsia" w:ascii="宋体" w:hAnsi="宋体" w:eastAsia="宋体" w:cs="宋体"/>
          <w:sz w:val="21"/>
          <w:szCs w:val="21"/>
        </w:rPr>
        <w:t>干燥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或不干燥</w:t>
      </w:r>
      <w:r>
        <w:rPr>
          <w:rFonts w:hint="eastAsia" w:ascii="宋体" w:hAnsi="宋体" w:eastAsia="宋体" w:cs="宋体"/>
          <w:sz w:val="21"/>
          <w:szCs w:val="21"/>
        </w:rPr>
        <w:t>、冷却、真空包装或非真空包装等加工工艺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制成的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营养结构符合天然主食且血糖生成指数（GI）低于55（含）、可利用碳水化合物大于70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g/100g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（含）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一种主食。</w:t>
      </w:r>
    </w:p>
    <w:p>
      <w:pPr>
        <w:pStyle w:val="27"/>
        <w:spacing w:after="0"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可利用碳水化合物是指能被人体消化、吸收的碳水化合物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；可利用碳水化合物=总碳水化合物-膳食纤维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7"/>
        <w:spacing w:after="0"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3.规范性引用文件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lang w:val="zh-TW" w:bidi="zh-TW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GB/T 191      包装储运图示标志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2715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食品安全国家标准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 粮食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2760       食品安全国家标准  食品添加剂使用标准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2763       食品安全国家标准  食品中农药最大残留限量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4789.1     食品安全国家标准  食品微生物学检验 总则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4789.2     食品安全国家标准  食品微生物学检验 菌落总数检验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4789.3     食品安全国家标准  食品微生物学检验 大肠菌群检验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4789.4     食品安全国家标准  食品微生物学检验 沙门氏菌检验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4789.10    食品安全国家标准  食品微生物学检验 金黄色葡萄球菌检验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4806.5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 食品安全国家标准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玻璃制品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4806.7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食品安全国家标准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食品接触用塑料材料及制品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5009.3     食品安全国家标准  食品中水分的测定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5009.12    食品安全国家标准  食品中铅的测定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5009.14    食品安全国家标准  食品中镉的测定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5749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生活饮用水卫生标准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GB/T 6543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 运输包装用单瓦楞纸箱和双瓦楞纸箱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7718       食品安全国家标准  预包装食品标签通则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14881      食品安全国家标准  食品生产通用卫生规范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28050      食品安全国家标准  预包装食品营养标签通则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GB/T 28118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 食品包装用塑料与铝箔复合膜、袋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GB 31621      食品安全国家标准  食品经营过程卫生规范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WST/652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 xml:space="preserve">  中华人民共和国卫生行业标准  食物血糖生成指数测定方法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zh-TW" w:bidi="zh-TW"/>
        </w:rPr>
        <w:t>JJF 1070      定</w:t>
      </w:r>
      <w:r>
        <w:rPr>
          <w:rFonts w:hint="eastAsia" w:ascii="宋体" w:hAnsi="宋体" w:eastAsia="宋体" w:cs="宋体"/>
          <w:sz w:val="21"/>
          <w:szCs w:val="21"/>
          <w:lang w:val="zh-TW" w:bidi="zh-TW"/>
        </w:rPr>
        <w:t>量包装商品净含量计量检验规则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zh-TW" w:bidi="zh-TW"/>
        </w:rPr>
      </w:pPr>
      <w:r>
        <w:rPr>
          <w:rFonts w:hint="eastAsia" w:ascii="宋体" w:hAnsi="宋体" w:eastAsia="宋体" w:cs="宋体"/>
          <w:sz w:val="21"/>
          <w:szCs w:val="21"/>
          <w:lang w:val="zh-TW" w:bidi="zh-TW"/>
        </w:rPr>
        <w:t>国家质量监督检验检疫总局[2005]第75号令  《定量包装商品计量监督管理办法》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4.要求</w:t>
      </w: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4.1  原料要求  </w:t>
      </w:r>
    </w:p>
    <w:p>
      <w:pPr>
        <w:pStyle w:val="27"/>
        <w:spacing w:after="0"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大米、小麦应符合GB 2715的规定。</w:t>
      </w:r>
    </w:p>
    <w:p>
      <w:pPr>
        <w:pStyle w:val="27"/>
        <w:spacing w:after="0"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药食同源植物粉应符合《按照传统既是食品又是中药材的物质目录管理规定》的规定。</w:t>
      </w:r>
    </w:p>
    <w:p>
      <w:pPr>
        <w:pStyle w:val="27"/>
        <w:spacing w:after="0"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生产用水应符合GB 5749的规定。</w:t>
      </w:r>
    </w:p>
    <w:p>
      <w:pPr>
        <w:pStyle w:val="27"/>
        <w:spacing w:after="0"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其他原料应符合相应食品安全标准的规定。</w:t>
      </w: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4.2  感官要求</w:t>
      </w:r>
    </w:p>
    <w:p>
      <w:pPr>
        <w:pStyle w:val="27"/>
        <w:tabs>
          <w:tab w:val="left" w:pos="325"/>
        </w:tabs>
        <w:spacing w:after="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应符合表1的规定。</w:t>
      </w:r>
    </w:p>
    <w:p>
      <w:pPr>
        <w:pStyle w:val="14"/>
        <w:widowControl w:val="0"/>
        <w:spacing w:beforeLines="0" w:afterLines="0" w:line="360" w:lineRule="auto"/>
        <w:jc w:val="center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表1  感官要求</w:t>
      </w:r>
    </w:p>
    <w:tbl>
      <w:tblPr>
        <w:tblStyle w:val="11"/>
        <w:tblW w:w="52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854"/>
        <w:gridCol w:w="4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en-US"/>
              </w:rPr>
              <w:t>项目</w:t>
            </w:r>
          </w:p>
        </w:tc>
        <w:tc>
          <w:tcPr>
            <w:tcW w:w="1962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en-US"/>
              </w:rPr>
              <w:t>指标</w:t>
            </w:r>
          </w:p>
        </w:tc>
        <w:tc>
          <w:tcPr>
            <w:tcW w:w="2266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en-US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色泽</w:t>
            </w:r>
          </w:p>
        </w:tc>
        <w:tc>
          <w:tcPr>
            <w:tcW w:w="1962" w:type="pct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应呈本品特有的颜色，色泽均匀，无焦糊现象。</w:t>
            </w:r>
          </w:p>
        </w:tc>
        <w:tc>
          <w:tcPr>
            <w:tcW w:w="2266" w:type="pct"/>
            <w:vMerge w:val="restar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取适量试样置于洁净的白色磁盘中，在自然光下观察组织形态、色泽、杂质。闻其气味。煮熟后，用温开水漱口，品其滋味。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滋味和气味</w:t>
            </w:r>
          </w:p>
        </w:tc>
        <w:tc>
          <w:tcPr>
            <w:tcW w:w="1962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具有产品应有的滋味和气味，无异味</w:t>
            </w:r>
          </w:p>
        </w:tc>
        <w:tc>
          <w:tcPr>
            <w:tcW w:w="2266" w:type="pct"/>
            <w:vMerge w:val="continue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组织形态</w:t>
            </w:r>
          </w:p>
        </w:tc>
        <w:tc>
          <w:tcPr>
            <w:tcW w:w="1962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具有产品应有的组织形态，无霉变</w:t>
            </w:r>
          </w:p>
        </w:tc>
        <w:tc>
          <w:tcPr>
            <w:tcW w:w="2266" w:type="pct"/>
            <w:vMerge w:val="continue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杂质</w:t>
            </w:r>
          </w:p>
        </w:tc>
        <w:tc>
          <w:tcPr>
            <w:tcW w:w="1962" w:type="pct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bidi="en-US"/>
              </w:rPr>
              <w:t>无正常视力可见的外来杂质</w:t>
            </w:r>
          </w:p>
        </w:tc>
        <w:tc>
          <w:tcPr>
            <w:tcW w:w="2266" w:type="pct"/>
            <w:vMerge w:val="continue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</w:tbl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4.3  理化指标  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应符合表2的规定。</w:t>
      </w:r>
    </w:p>
    <w:tbl>
      <w:tblPr>
        <w:tblStyle w:val="11"/>
        <w:tblpPr w:leftFromText="180" w:rightFromText="180" w:vertAnchor="text" w:horzAnchor="page" w:tblpX="1199" w:tblpY="562"/>
        <w:tblOverlap w:val="never"/>
        <w:tblW w:w="54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77"/>
        <w:gridCol w:w="22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2448" w:type="pct"/>
            <w:shd w:val="clear" w:color="auto" w:fill="FFFFFF"/>
            <w:vAlign w:val="top"/>
          </w:tcPr>
          <w:p>
            <w:pPr>
              <w:pStyle w:val="32"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项目</w:t>
            </w:r>
          </w:p>
        </w:tc>
        <w:tc>
          <w:tcPr>
            <w:tcW w:w="1125" w:type="pct"/>
            <w:shd w:val="clear" w:color="auto" w:fill="FFFFFF"/>
            <w:vAlign w:val="top"/>
          </w:tcPr>
          <w:p>
            <w:pPr>
              <w:pStyle w:val="32"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指标</w:t>
            </w:r>
          </w:p>
        </w:tc>
        <w:tc>
          <w:tcPr>
            <w:tcW w:w="1426" w:type="pct"/>
            <w:shd w:val="clear" w:color="auto" w:fill="FFFFFF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</w:trPr>
        <w:tc>
          <w:tcPr>
            <w:tcW w:w="2448" w:type="pct"/>
            <w:shd w:val="clear" w:color="auto" w:fill="FFFFFF"/>
            <w:vAlign w:val="top"/>
          </w:tcPr>
          <w:p>
            <w:pPr>
              <w:pStyle w:val="32"/>
              <w:tabs>
                <w:tab w:val="left" w:pos="4008"/>
              </w:tabs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水分/(g/100g)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≤</w:t>
            </w:r>
          </w:p>
        </w:tc>
        <w:tc>
          <w:tcPr>
            <w:tcW w:w="1125" w:type="pct"/>
            <w:shd w:val="clear" w:color="auto" w:fill="FFFFFF"/>
            <w:vAlign w:val="top"/>
          </w:tcPr>
          <w:p>
            <w:pPr>
              <w:pStyle w:val="32"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14.0</w:t>
            </w:r>
          </w:p>
        </w:tc>
        <w:tc>
          <w:tcPr>
            <w:tcW w:w="1426" w:type="pct"/>
            <w:shd w:val="clear" w:color="auto" w:fill="FFFFFF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</w:trPr>
        <w:tc>
          <w:tcPr>
            <w:tcW w:w="2448" w:type="pct"/>
            <w:shd w:val="clear" w:color="auto" w:fill="FFFFFF"/>
            <w:vAlign w:val="top"/>
          </w:tcPr>
          <w:p>
            <w:pPr>
              <w:pStyle w:val="32"/>
              <w:tabs>
                <w:tab w:val="left" w:pos="397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可利用碳水化合物/(g/100g)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≥</w:t>
            </w:r>
          </w:p>
        </w:tc>
        <w:tc>
          <w:tcPr>
            <w:tcW w:w="1125" w:type="pct"/>
            <w:shd w:val="clear" w:color="auto" w:fill="FFFFFF"/>
            <w:vAlign w:val="top"/>
          </w:tcPr>
          <w:p>
            <w:pPr>
              <w:pStyle w:val="32"/>
              <w:tabs>
                <w:tab w:val="left" w:pos="397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70.0</w:t>
            </w:r>
          </w:p>
        </w:tc>
        <w:tc>
          <w:tcPr>
            <w:tcW w:w="1426" w:type="pct"/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28050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</w:trPr>
        <w:tc>
          <w:tcPr>
            <w:tcW w:w="2448" w:type="pct"/>
            <w:shd w:val="clear" w:color="auto" w:fill="FFFFFF"/>
            <w:vAlign w:val="top"/>
          </w:tcPr>
          <w:p>
            <w:pPr>
              <w:pStyle w:val="32"/>
              <w:tabs>
                <w:tab w:val="left" w:pos="4008"/>
              </w:tabs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GI值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≤</w:t>
            </w:r>
          </w:p>
        </w:tc>
        <w:tc>
          <w:tcPr>
            <w:tcW w:w="1125" w:type="pct"/>
            <w:shd w:val="clear" w:color="auto" w:fill="FFFFFF"/>
            <w:vAlign w:val="top"/>
          </w:tcPr>
          <w:p>
            <w:pPr>
              <w:pStyle w:val="32"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55</w:t>
            </w:r>
          </w:p>
        </w:tc>
        <w:tc>
          <w:tcPr>
            <w:tcW w:w="1426" w:type="pct"/>
            <w:shd w:val="clear" w:color="auto" w:fill="FFFFFF"/>
            <w:vAlign w:val="top"/>
          </w:tcPr>
          <w:p>
            <w:pPr>
              <w:pStyle w:val="32"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WST/652</w:t>
            </w:r>
          </w:p>
        </w:tc>
      </w:tr>
    </w:tbl>
    <w:p>
      <w:pPr>
        <w:pStyle w:val="14"/>
        <w:widowControl w:val="0"/>
        <w:spacing w:beforeLines="0" w:afterLines="0" w:line="360" w:lineRule="auto"/>
        <w:jc w:val="center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表2  理化指标</w:t>
      </w: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 xml:space="preserve">4.4  污染物限量  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应符合表3的规定。</w:t>
      </w:r>
    </w:p>
    <w:p>
      <w:pPr>
        <w:pStyle w:val="14"/>
        <w:widowControl w:val="0"/>
        <w:spacing w:beforeLines="0" w:afterLines="0" w:line="360" w:lineRule="auto"/>
        <w:jc w:val="center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表3  污染物限量</w:t>
      </w:r>
    </w:p>
    <w:tbl>
      <w:tblPr>
        <w:tblStyle w:val="11"/>
        <w:tblW w:w="9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412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right"/>
        </w:trPr>
        <w:tc>
          <w:tcPr>
            <w:tcW w:w="407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en-US" w:bidi="en-US"/>
              </w:rPr>
              <w:t>项    目</w:t>
            </w:r>
          </w:p>
        </w:tc>
        <w:tc>
          <w:tcPr>
            <w:tcW w:w="241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en-US"/>
              </w:rPr>
              <w:t>限    量</w:t>
            </w: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bidi="en-US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right"/>
        </w:trPr>
        <w:tc>
          <w:tcPr>
            <w:tcW w:w="4077" w:type="dxa"/>
            <w:vAlign w:val="center"/>
          </w:tcPr>
          <w:p>
            <w:pPr>
              <w:pStyle w:val="32"/>
              <w:tabs>
                <w:tab w:val="left" w:pos="3345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铅（以Pb计）/（mg/kg）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≤</w:t>
            </w:r>
          </w:p>
        </w:tc>
        <w:tc>
          <w:tcPr>
            <w:tcW w:w="241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0.1</w:t>
            </w: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en-US" w:bidi="en-US"/>
              </w:rPr>
              <w:t>GB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right"/>
        </w:trPr>
        <w:tc>
          <w:tcPr>
            <w:tcW w:w="4077" w:type="dxa"/>
            <w:vAlign w:val="center"/>
          </w:tcPr>
          <w:p>
            <w:pPr>
              <w:pStyle w:val="32"/>
              <w:tabs>
                <w:tab w:val="left" w:pos="3345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镉（以Cd计）/（mg/kg）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en-US"/>
              </w:rPr>
              <w:t>≤</w:t>
            </w:r>
          </w:p>
        </w:tc>
        <w:tc>
          <w:tcPr>
            <w:tcW w:w="241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0.2</w:t>
            </w: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5009.14</w:t>
            </w:r>
          </w:p>
        </w:tc>
      </w:tr>
    </w:tbl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4.5  微生物限量</w:t>
      </w: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/>
        </w:rPr>
        <w:t>4.5.1  微生物限量应符合表4的规定。</w:t>
      </w:r>
    </w:p>
    <w:p>
      <w:pPr>
        <w:pStyle w:val="14"/>
        <w:widowControl w:val="0"/>
        <w:spacing w:beforeLines="0" w:afterLines="0" w:line="360" w:lineRule="auto"/>
        <w:jc w:val="center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表4  微生物限量</w:t>
      </w:r>
    </w:p>
    <w:tbl>
      <w:tblPr>
        <w:tblStyle w:val="11"/>
        <w:tblW w:w="53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991"/>
        <w:gridCol w:w="1171"/>
        <w:gridCol w:w="1068"/>
        <w:gridCol w:w="1303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restar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项目</w:t>
            </w:r>
          </w:p>
        </w:tc>
        <w:tc>
          <w:tcPr>
            <w:tcW w:w="2300" w:type="pct"/>
            <w:gridSpan w:val="4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采样方案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及限量</w:t>
            </w:r>
          </w:p>
        </w:tc>
        <w:tc>
          <w:tcPr>
            <w:tcW w:w="1450" w:type="pct"/>
            <w:vMerge w:val="restar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Merge w:val="continue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503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n</w:t>
            </w:r>
          </w:p>
        </w:tc>
        <w:tc>
          <w:tcPr>
            <w:tcW w:w="594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c</w:t>
            </w:r>
          </w:p>
        </w:tc>
        <w:tc>
          <w:tcPr>
            <w:tcW w:w="54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m</w:t>
            </w:r>
          </w:p>
        </w:tc>
        <w:tc>
          <w:tcPr>
            <w:tcW w:w="65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M</w:t>
            </w:r>
          </w:p>
        </w:tc>
        <w:tc>
          <w:tcPr>
            <w:tcW w:w="1450" w:type="pct"/>
            <w:vMerge w:val="continue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菌落总数/(CFU/g)</w:t>
            </w:r>
          </w:p>
        </w:tc>
        <w:tc>
          <w:tcPr>
            <w:tcW w:w="503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5</w:t>
            </w:r>
          </w:p>
        </w:tc>
        <w:tc>
          <w:tcPr>
            <w:tcW w:w="594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2</w:t>
            </w:r>
          </w:p>
        </w:tc>
        <w:tc>
          <w:tcPr>
            <w:tcW w:w="54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4</w:t>
            </w:r>
          </w:p>
        </w:tc>
        <w:tc>
          <w:tcPr>
            <w:tcW w:w="65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5</w:t>
            </w:r>
          </w:p>
        </w:tc>
        <w:tc>
          <w:tcPr>
            <w:tcW w:w="1450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大肠菌群/(CFU/g)</w:t>
            </w:r>
          </w:p>
        </w:tc>
        <w:tc>
          <w:tcPr>
            <w:tcW w:w="503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5</w:t>
            </w:r>
          </w:p>
        </w:tc>
        <w:tc>
          <w:tcPr>
            <w:tcW w:w="594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</w:t>
            </w:r>
          </w:p>
        </w:tc>
        <w:tc>
          <w:tcPr>
            <w:tcW w:w="54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10</w:t>
            </w:r>
          </w:p>
        </w:tc>
        <w:tc>
          <w:tcPr>
            <w:tcW w:w="65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2</w:t>
            </w:r>
          </w:p>
        </w:tc>
        <w:tc>
          <w:tcPr>
            <w:tcW w:w="1450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4789.3平板计数法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 xml:space="preserve"> 样品的采集及处理按GB 4789.1</w:t>
            </w:r>
          </w:p>
        </w:tc>
      </w:tr>
    </w:tbl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/>
        </w:rPr>
      </w:pP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/>
        </w:rPr>
        <w:t>4.5.2  致病菌限量应符合表5的规定。</w:t>
      </w:r>
    </w:p>
    <w:p>
      <w:pPr>
        <w:pStyle w:val="14"/>
        <w:widowControl w:val="0"/>
        <w:spacing w:beforeLines="0" w:afterLines="0" w:line="360" w:lineRule="auto"/>
        <w:jc w:val="center"/>
        <w:outlineLvl w:val="9"/>
        <w:rPr>
          <w:rFonts w:hint="eastAsia" w:ascii="黑体" w:hAnsi="黑体" w:eastAsia="黑体" w:cs="黑体"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表5  致病菌限量</w:t>
      </w:r>
    </w:p>
    <w:tbl>
      <w:tblPr>
        <w:tblStyle w:val="11"/>
        <w:tblW w:w="53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44"/>
        <w:gridCol w:w="1250"/>
        <w:gridCol w:w="1250"/>
        <w:gridCol w:w="136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Merge w:val="restar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项目</w:t>
            </w:r>
          </w:p>
        </w:tc>
        <w:tc>
          <w:tcPr>
            <w:tcW w:w="2597" w:type="pct"/>
            <w:gridSpan w:val="4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采样方案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及限量</w:t>
            </w:r>
          </w:p>
        </w:tc>
        <w:tc>
          <w:tcPr>
            <w:tcW w:w="1439" w:type="pct"/>
            <w:vMerge w:val="restar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Merge w:val="continue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3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n</w:t>
            </w:r>
          </w:p>
        </w:tc>
        <w:tc>
          <w:tcPr>
            <w:tcW w:w="635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c</w:t>
            </w:r>
          </w:p>
        </w:tc>
        <w:tc>
          <w:tcPr>
            <w:tcW w:w="635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m</w:t>
            </w:r>
          </w:p>
        </w:tc>
        <w:tc>
          <w:tcPr>
            <w:tcW w:w="694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M</w:t>
            </w:r>
          </w:p>
        </w:tc>
        <w:tc>
          <w:tcPr>
            <w:tcW w:w="1439" w:type="pct"/>
            <w:vMerge w:val="continue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沙门氏菌</w:t>
            </w:r>
          </w:p>
        </w:tc>
        <w:tc>
          <w:tcPr>
            <w:tcW w:w="63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5</w:t>
            </w:r>
          </w:p>
        </w:tc>
        <w:tc>
          <w:tcPr>
            <w:tcW w:w="635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0/25g</w:t>
            </w:r>
          </w:p>
        </w:tc>
        <w:tc>
          <w:tcPr>
            <w:tcW w:w="694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--</w:t>
            </w:r>
          </w:p>
        </w:tc>
        <w:tc>
          <w:tcPr>
            <w:tcW w:w="143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金黄色葡萄球菌</w:t>
            </w:r>
          </w:p>
        </w:tc>
        <w:tc>
          <w:tcPr>
            <w:tcW w:w="632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5</w:t>
            </w:r>
          </w:p>
        </w:tc>
        <w:tc>
          <w:tcPr>
            <w:tcW w:w="635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</w:t>
            </w:r>
          </w:p>
        </w:tc>
        <w:tc>
          <w:tcPr>
            <w:tcW w:w="635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100CFU/g</w:t>
            </w:r>
          </w:p>
        </w:tc>
        <w:tc>
          <w:tcPr>
            <w:tcW w:w="694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1000CFU/g</w:t>
            </w:r>
          </w:p>
        </w:tc>
        <w:tc>
          <w:tcPr>
            <w:tcW w:w="1439" w:type="pct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>GB 4789.10第二法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pStyle w:val="33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bidi="en-US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en-US"/>
              </w:rPr>
              <w:t xml:space="preserve"> 样品的采样按GB 4789.1执行。</w:t>
            </w:r>
          </w:p>
        </w:tc>
      </w:tr>
    </w:tbl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/>
        </w:rPr>
        <w:t xml:space="preserve">4.6  食品添加剂  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4.6.1食品添加剂的质量应符合相关食品安全国家标准及规定。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4.6.2食品添加剂品种及其使用量应符合GB 2760及相关公告的规定。</w:t>
      </w:r>
    </w:p>
    <w:p>
      <w:pPr>
        <w:pStyle w:val="14"/>
        <w:widowControl w:val="0"/>
        <w:spacing w:beforeLines="0" w:afterLines="0" w:line="360" w:lineRule="auto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/>
        </w:rPr>
        <w:t>4.7</w:t>
      </w:r>
      <w:r>
        <w:rPr>
          <w:rFonts w:hint="eastAsia" w:ascii="黑体" w:hAnsi="黑体" w:eastAsia="黑体" w:cs="黑体"/>
          <w:kern w:val="2"/>
          <w:sz w:val="21"/>
          <w:szCs w:val="21"/>
          <w:lang w:val="zh-TW" w:eastAsia="zh-TW"/>
        </w:rPr>
        <w:t>农药最大残留限量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符合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GB 2763的规定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4.8 净含量及允许短缺量 </w:t>
      </w:r>
      <w:r>
        <w:rPr>
          <w:rFonts w:hint="eastAsia" w:ascii="宋体" w:hAnsi="宋体" w:eastAsia="宋体" w:cs="宋体"/>
          <w:b/>
          <w:kern w:val="2"/>
          <w:sz w:val="21"/>
          <w:szCs w:val="21"/>
        </w:rPr>
        <w:t xml:space="preserve"> 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符合国家质量监督检验检疫总局（2005）第75号令《定量包装商品计量监督管理办法》要求。净含量检测按JJF 1070规定进行。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4.9 生产加工过程卫生要求</w:t>
      </w:r>
    </w:p>
    <w:p>
      <w:pPr>
        <w:pStyle w:val="34"/>
        <w:keepNext w:val="0"/>
        <w:keepLines w:val="0"/>
        <w:spacing w:before="0" w:after="0" w:line="360" w:lineRule="auto"/>
        <w:ind w:firstLine="420" w:firstLineChars="200"/>
        <w:jc w:val="left"/>
        <w:outlineLvl w:val="9"/>
        <w:rPr>
          <w:rFonts w:hint="eastAsia" w:ascii="宋体" w:hAnsi="宋体" w:eastAsia="宋体" w:cs="宋体"/>
          <w:bCs w:val="0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bCs w:val="0"/>
          <w:sz w:val="21"/>
          <w:szCs w:val="21"/>
          <w:lang w:val="zh-TW" w:eastAsia="zh-TW" w:bidi="zh-TW"/>
        </w:rPr>
        <w:t>应符合GB 14881的规定。</w:t>
      </w:r>
    </w:p>
    <w:p>
      <w:pPr>
        <w:pStyle w:val="15"/>
        <w:spacing w:line="360" w:lineRule="auto"/>
        <w:ind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5.检验规则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5.1 组批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同一生产期内所生产的、同一类别、同一品质、且经包装出厂、规格相同的产品为同一批。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5.2 抽样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从同一规格、同一批次的产品中随机抽取样品。抽样基数不少于20个最小独立包装（总净重不少于500g），将抽取的样品分成2份，1份检验，1份备查。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5.3 出厂检验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5.3.1 产品出厂前，须由生产企业质量检验部门按标准规定送批检验。检验合格并签发</w:t>
      </w:r>
      <w:r>
        <w:rPr>
          <w:rFonts w:hint="eastAsia" w:ascii="宋体" w:hAnsi="宋体" w:eastAsia="宋体" w:cs="宋体"/>
          <w:kern w:val="2"/>
          <w:sz w:val="21"/>
          <w:szCs w:val="21"/>
          <w:lang w:val="zh-TW" w:bidi="zh-TW"/>
        </w:rPr>
        <w:t>出厂报告</w:t>
      </w: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的产品，方可出厂。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5.3.2 出厂检验项目包括：感官要求、水分、菌落总数、大肠菌群、净含量。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5.4 型式检验 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5.4.1 检验项目为本标准技术要求中规定的全部项目。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5.4.2 正常生产时，型式检验</w:t>
      </w:r>
      <w:r>
        <w:rPr>
          <w:rFonts w:hint="eastAsia" w:ascii="宋体" w:hAnsi="宋体" w:eastAsia="宋体" w:cs="宋体"/>
          <w:kern w:val="2"/>
          <w:sz w:val="21"/>
          <w:szCs w:val="21"/>
          <w:lang w:val="zh-TW" w:bidi="zh-TW"/>
        </w:rPr>
        <w:t>GI值每2年进行一次，其他项目</w:t>
      </w: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每</w:t>
      </w:r>
      <w:r>
        <w:rPr>
          <w:rFonts w:hint="eastAsia" w:ascii="宋体" w:hAnsi="宋体" w:eastAsia="宋体" w:cs="宋体"/>
          <w:kern w:val="2"/>
          <w:sz w:val="21"/>
          <w:szCs w:val="21"/>
          <w:lang w:val="zh-TW" w:bidi="zh-TW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年进行一次，发生下列情况之一的亦应进行：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a）主要原辅料、关键工艺、设备有较大变化时；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b）更换设备或长期停产后，恢复生产时；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c）出厂检验结果与上次型式检验结果有较大差异时；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d）原料产地或供货商发生变化时；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e）国家质量监督检验机构按有关规定需要抽检时。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 xml:space="preserve">5.5 判定规则 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5.5.1 检验项目全部符合本标准，判定为合格品。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5.5.2 检验结果中如果微生物指标不符合本标准，判定该批产品为不合格品，不得复检。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5.5.3 除微生物指标外的其他检验项目如不符合本标准时，允许对该批次产品留样复检。复检结果仍不符合本标准，判定该批产品为不合格品。</w:t>
      </w:r>
    </w:p>
    <w:p>
      <w:pPr>
        <w:pStyle w:val="15"/>
        <w:spacing w:line="360" w:lineRule="auto"/>
        <w:ind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6</w:t>
      </w: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.标识、包装、运输、贮存</w:t>
      </w:r>
    </w:p>
    <w:p>
      <w:pPr>
        <w:spacing w:line="360" w:lineRule="auto"/>
        <w:jc w:val="left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6.1 标志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6.1.1 产品标志应符合GB 7718、GB 28050及相关标准的规定。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6.1.2 包装贮运标志应符合GB/T 191规定。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 xml:space="preserve">6.1.3 </w:t>
      </w:r>
      <w:bookmarkStart w:id="2" w:name="OLE_LINK1"/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标签及说明书中应当标注</w:t>
      </w:r>
      <w:bookmarkEnd w:id="2"/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不适宜人群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6.2 包装</w:t>
      </w:r>
    </w:p>
    <w:p>
      <w:pPr>
        <w:pStyle w:val="30"/>
        <w:widowControl w:val="0"/>
        <w:spacing w:beforeLines="0" w:afterLines="0" w:line="36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6.2.1 包装材料应符合GB 4806.7、GB 4806.5或GB/T 28118的要求。</w:t>
      </w:r>
    </w:p>
    <w:p>
      <w:pPr>
        <w:pStyle w:val="30"/>
        <w:widowControl w:val="0"/>
        <w:spacing w:beforeLines="0" w:afterLines="0" w:line="36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6.2.2 外包装箱应符合GB/T 6543的要求。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6.3 贮存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应符合GB 31621的规定。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6.4 运输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应符合GB 31621的规定。</w:t>
      </w:r>
    </w:p>
    <w:p>
      <w:pPr>
        <w:pStyle w:val="30"/>
        <w:widowControl w:val="0"/>
        <w:spacing w:beforeLines="0" w:afterLines="0" w:line="360" w:lineRule="auto"/>
        <w:ind w:left="0"/>
        <w:jc w:val="left"/>
        <w:outlineLvl w:val="9"/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zh-TW" w:eastAsia="zh-TW" w:bidi="ar-SA"/>
        </w:rPr>
        <w:t>6.5 保质期</w:t>
      </w:r>
    </w:p>
    <w:p>
      <w:pPr>
        <w:pStyle w:val="30"/>
        <w:widowControl w:val="0"/>
        <w:spacing w:beforeLines="0" w:afterLines="0" w:line="360" w:lineRule="auto"/>
        <w:ind w:left="0" w:firstLine="420" w:firstLineChars="200"/>
        <w:jc w:val="left"/>
        <w:outlineLvl w:val="9"/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TW" w:eastAsia="zh-TW" w:bidi="zh-TW"/>
        </w:rPr>
        <w:t>在符合上述规定的贮存运输条件下，保质期12个月。</w:t>
      </w:r>
    </w:p>
    <w:p>
      <w:pPr>
        <w:pStyle w:val="15"/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135255</wp:posOffset>
                </wp:positionV>
                <wp:extent cx="27851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6575" y="1821815"/>
                          <a:ext cx="2785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pt;margin-top:10.65pt;height:0pt;width:219.3pt;z-index:251663360;mso-width-relative:page;mso-height-relative:page;" filled="f" stroked="t" coordsize="21600,21600" o:gfxdata="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5F84PWAAAACQEAAA8AAAAAAAAAAQAgAAAAIgAAAGRycy9kb3ducmV2LnhtbFBLAQIUABQAAAAI&#10;AIdO4kCLWYs67wEAAL0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4" w:type="default"/>
      <w:pgSz w:w="11907" w:h="16839"/>
      <w:pgMar w:top="1431" w:right="1426" w:bottom="956" w:left="1421" w:header="0" w:footer="7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8753"/>
      <w:jc w:val="both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ordWrap w:val="0"/>
      <w:rPr>
        <w:rFonts w:ascii="黑体" w:eastAsia="黑体"/>
        <w:sz w:val="24"/>
        <w:szCs w:val="18"/>
      </w:rPr>
    </w:pPr>
    <w:r>
      <w:rPr>
        <w:rFonts w:hint="eastAsia" w:ascii="黑体" w:eastAsia="黑体"/>
        <w:sz w:val="24"/>
        <w:szCs w:val="18"/>
      </w:rPr>
      <w:t xml:space="preserve">T/HNSP </w:t>
    </w:r>
    <w:r>
      <w:rPr>
        <w:rFonts w:hint="eastAsia" w:ascii="黑体" w:eastAsia="黑体"/>
        <w:sz w:val="24"/>
        <w:szCs w:val="18"/>
        <w:lang w:val="en-US" w:eastAsia="zh-CN"/>
      </w:rPr>
      <w:t>001</w:t>
    </w:r>
    <w:r>
      <w:rPr>
        <w:rFonts w:hint="eastAsia" w:ascii="黑体" w:eastAsia="黑体"/>
        <w:sz w:val="24"/>
        <w:szCs w:val="18"/>
      </w:rPr>
      <w:t>-2022</w:t>
    </w:r>
  </w:p>
  <w:p>
    <w:pPr>
      <w:pStyle w:val="8"/>
      <w:pBdr>
        <w:bottom w:val="none" w:color="auto" w:sz="0" w:space="0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71A0"/>
    <w:multiLevelType w:val="multilevel"/>
    <w:tmpl w:val="031871A0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pPr>
        <w:ind w:left="4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mallCaps w:val="0"/>
        <w:spacing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WFiZjk5Y2QwNzYyMDBkOGRmYzM5NDE3NmE3ZDYifQ=="/>
  </w:docVars>
  <w:rsids>
    <w:rsidRoot w:val="11C1281E"/>
    <w:rsid w:val="00010466"/>
    <w:rsid w:val="00015BB6"/>
    <w:rsid w:val="00016123"/>
    <w:rsid w:val="00035F4E"/>
    <w:rsid w:val="00036B2E"/>
    <w:rsid w:val="000C11A4"/>
    <w:rsid w:val="000C246B"/>
    <w:rsid w:val="000D2B17"/>
    <w:rsid w:val="000D5AF6"/>
    <w:rsid w:val="000F09A4"/>
    <w:rsid w:val="00130752"/>
    <w:rsid w:val="00132EBB"/>
    <w:rsid w:val="001760CD"/>
    <w:rsid w:val="001B48BE"/>
    <w:rsid w:val="001B75B9"/>
    <w:rsid w:val="001C2404"/>
    <w:rsid w:val="001C2F6C"/>
    <w:rsid w:val="001D75A7"/>
    <w:rsid w:val="001F7B20"/>
    <w:rsid w:val="002033C3"/>
    <w:rsid w:val="0022106A"/>
    <w:rsid w:val="00231BDB"/>
    <w:rsid w:val="002473F8"/>
    <w:rsid w:val="00264102"/>
    <w:rsid w:val="002974A3"/>
    <w:rsid w:val="002C430E"/>
    <w:rsid w:val="002E3AFB"/>
    <w:rsid w:val="002E7EB2"/>
    <w:rsid w:val="002F45CE"/>
    <w:rsid w:val="00307797"/>
    <w:rsid w:val="0031560E"/>
    <w:rsid w:val="00320AE5"/>
    <w:rsid w:val="00324296"/>
    <w:rsid w:val="00324B8E"/>
    <w:rsid w:val="003256DD"/>
    <w:rsid w:val="00330B95"/>
    <w:rsid w:val="00353C0F"/>
    <w:rsid w:val="00384742"/>
    <w:rsid w:val="00397221"/>
    <w:rsid w:val="003A00CC"/>
    <w:rsid w:val="003C7CFE"/>
    <w:rsid w:val="003D14DA"/>
    <w:rsid w:val="003F62F7"/>
    <w:rsid w:val="0043082A"/>
    <w:rsid w:val="00440A40"/>
    <w:rsid w:val="0045374C"/>
    <w:rsid w:val="00477D73"/>
    <w:rsid w:val="00497047"/>
    <w:rsid w:val="004B6088"/>
    <w:rsid w:val="004E43C6"/>
    <w:rsid w:val="0053320E"/>
    <w:rsid w:val="0054100F"/>
    <w:rsid w:val="00586602"/>
    <w:rsid w:val="005C121A"/>
    <w:rsid w:val="006253D6"/>
    <w:rsid w:val="006370A8"/>
    <w:rsid w:val="00643319"/>
    <w:rsid w:val="00670B38"/>
    <w:rsid w:val="006843A0"/>
    <w:rsid w:val="00695898"/>
    <w:rsid w:val="006A649E"/>
    <w:rsid w:val="006E483F"/>
    <w:rsid w:val="00737F50"/>
    <w:rsid w:val="00754675"/>
    <w:rsid w:val="00764013"/>
    <w:rsid w:val="00780566"/>
    <w:rsid w:val="00790191"/>
    <w:rsid w:val="007945F7"/>
    <w:rsid w:val="007949F0"/>
    <w:rsid w:val="007C65D2"/>
    <w:rsid w:val="007D4869"/>
    <w:rsid w:val="00813EE5"/>
    <w:rsid w:val="0087449E"/>
    <w:rsid w:val="00875F0B"/>
    <w:rsid w:val="0088648A"/>
    <w:rsid w:val="008865B2"/>
    <w:rsid w:val="00903A0C"/>
    <w:rsid w:val="00904B16"/>
    <w:rsid w:val="00910387"/>
    <w:rsid w:val="009375C0"/>
    <w:rsid w:val="00990622"/>
    <w:rsid w:val="009A56B5"/>
    <w:rsid w:val="009B3CCD"/>
    <w:rsid w:val="009D52A9"/>
    <w:rsid w:val="00A00A4B"/>
    <w:rsid w:val="00A15374"/>
    <w:rsid w:val="00A33A2F"/>
    <w:rsid w:val="00A47399"/>
    <w:rsid w:val="00A5169B"/>
    <w:rsid w:val="00AA6778"/>
    <w:rsid w:val="00AB3F47"/>
    <w:rsid w:val="00AB4C8C"/>
    <w:rsid w:val="00AB726E"/>
    <w:rsid w:val="00AE1A47"/>
    <w:rsid w:val="00B42B7D"/>
    <w:rsid w:val="00B657EE"/>
    <w:rsid w:val="00B75C6C"/>
    <w:rsid w:val="00BB6BC6"/>
    <w:rsid w:val="00BF4700"/>
    <w:rsid w:val="00BF52CB"/>
    <w:rsid w:val="00C125D9"/>
    <w:rsid w:val="00C30443"/>
    <w:rsid w:val="00C31C03"/>
    <w:rsid w:val="00C5726D"/>
    <w:rsid w:val="00C855CD"/>
    <w:rsid w:val="00C874D0"/>
    <w:rsid w:val="00CD131E"/>
    <w:rsid w:val="00CD690A"/>
    <w:rsid w:val="00D040D9"/>
    <w:rsid w:val="00D57D6A"/>
    <w:rsid w:val="00D71029"/>
    <w:rsid w:val="00D851D5"/>
    <w:rsid w:val="00D8592B"/>
    <w:rsid w:val="00D871A7"/>
    <w:rsid w:val="00DA0852"/>
    <w:rsid w:val="00DA665B"/>
    <w:rsid w:val="00DB3B62"/>
    <w:rsid w:val="00DB7DD4"/>
    <w:rsid w:val="00E30628"/>
    <w:rsid w:val="00E94D24"/>
    <w:rsid w:val="00EA0F8C"/>
    <w:rsid w:val="00F32AA0"/>
    <w:rsid w:val="00F61182"/>
    <w:rsid w:val="00F6395A"/>
    <w:rsid w:val="00F73D59"/>
    <w:rsid w:val="00FF7DB2"/>
    <w:rsid w:val="11C1281E"/>
    <w:rsid w:val="15F079BC"/>
    <w:rsid w:val="3E817FA2"/>
    <w:rsid w:val="4C1558FE"/>
    <w:rsid w:val="61BF2FA3"/>
    <w:rsid w:val="717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2"/>
    <w:qFormat/>
    <w:uiPriority w:val="1"/>
    <w:pPr>
      <w:ind w:left="420"/>
    </w:pPr>
    <w:rPr>
      <w:rFonts w:asciiTheme="minorHAnsi" w:hAnsiTheme="minorHAnsi" w:eastAsiaTheme="minorEastAsia" w:cstheme="minorBidi"/>
      <w:sz w:val="28"/>
      <w:szCs w:val="28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5">
    <w:name w:val="Plain Text"/>
    <w:basedOn w:val="1"/>
    <w:link w:val="39"/>
    <w:qFormat/>
    <w:uiPriority w:val="0"/>
    <w:rPr>
      <w:rFonts w:ascii="宋体" w:hAnsi="Courier New" w:cs="Courier New"/>
      <w:b/>
      <w:szCs w:val="21"/>
    </w:rPr>
  </w:style>
  <w:style w:type="paragraph" w:styleId="6">
    <w:name w:val="Balloon Text"/>
    <w:basedOn w:val="1"/>
    <w:link w:val="35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章标题"/>
    <w:next w:val="15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段"/>
    <w:link w:val="4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lang w:val="en-US" w:eastAsia="zh-CN" w:bidi="ar-SA"/>
    </w:rPr>
  </w:style>
  <w:style w:type="character" w:customStyle="1" w:styleId="16">
    <w:name w:val="页脚 Char"/>
    <w:basedOn w:val="13"/>
    <w:link w:val="7"/>
    <w:uiPriority w:val="0"/>
    <w:rPr>
      <w:rFonts w:eastAsia="仿宋_GB2312"/>
      <w:kern w:val="2"/>
      <w:sz w:val="18"/>
      <w:szCs w:val="32"/>
    </w:rPr>
  </w:style>
  <w:style w:type="character" w:customStyle="1" w:styleId="17">
    <w:name w:val="页眉 Char"/>
    <w:basedOn w:val="13"/>
    <w:link w:val="8"/>
    <w:qFormat/>
    <w:uiPriority w:val="99"/>
    <w:rPr>
      <w:rFonts w:eastAsia="仿宋_GB2312"/>
      <w:kern w:val="2"/>
      <w:sz w:val="18"/>
      <w:szCs w:val="18"/>
    </w:rPr>
  </w:style>
  <w:style w:type="paragraph" w:customStyle="1" w:styleId="18">
    <w:name w:val="前言、引言标题"/>
    <w:next w:val="1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封面标准号2"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0">
    <w:name w:val="发布部门"/>
    <w:next w:val="15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21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实施日期"/>
    <w:qFormat/>
    <w:uiPriority w:val="0"/>
    <w:pPr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7">
    <w:name w:val="Body text|1"/>
    <w:basedOn w:val="1"/>
    <w:qFormat/>
    <w:uiPriority w:val="0"/>
    <w:pPr>
      <w:spacing w:after="80" w:line="329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8">
    <w:name w:val="Table caption|1"/>
    <w:basedOn w:val="1"/>
    <w:qFormat/>
    <w:uiPriority w:val="0"/>
    <w:pPr>
      <w:spacing w:line="283" w:lineRule="auto"/>
      <w:ind w:firstLine="21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9">
    <w:name w:val="二级条标题"/>
    <w:next w:val="15"/>
    <w:qFormat/>
    <w:uiPriority w:val="0"/>
    <w:pPr>
      <w:spacing w:before="50" w:after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">
    <w:name w:val="一级条标题"/>
    <w:next w:val="15"/>
    <w:qFormat/>
    <w:uiPriority w:val="0"/>
    <w:pPr>
      <w:spacing w:beforeLines="50" w:afterLines="50"/>
      <w:ind w:left="156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1">
    <w:name w:val="正文表标题"/>
    <w:next w:val="15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Other|1"/>
    <w:basedOn w:val="1"/>
    <w:qFormat/>
    <w:uiPriority w:val="0"/>
    <w:pPr>
      <w:spacing w:after="80" w:line="329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3">
    <w:name w:val="样式2 表"/>
    <w:basedOn w:val="1"/>
    <w:qFormat/>
    <w:uiPriority w:val="0"/>
    <w:pPr>
      <w:spacing w:line="400" w:lineRule="exact"/>
      <w:jc w:val="center"/>
    </w:pPr>
    <w:rPr>
      <w:rFonts w:ascii="宋体" w:hAnsi="宋体"/>
      <w:sz w:val="18"/>
    </w:rPr>
  </w:style>
  <w:style w:type="paragraph" w:customStyle="1" w:styleId="34">
    <w:name w:val="章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黑体" w:cs="Times New Roman"/>
      <w:bCs/>
      <w:kern w:val="2"/>
      <w:sz w:val="21"/>
      <w:szCs w:val="32"/>
      <w:lang w:val="en-US" w:eastAsia="zh-CN" w:bidi="ar-SA"/>
    </w:rPr>
  </w:style>
  <w:style w:type="character" w:customStyle="1" w:styleId="35">
    <w:name w:val="批注框文本 Char"/>
    <w:basedOn w:val="13"/>
    <w:link w:val="6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table" w:customStyle="1" w:styleId="36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标题 1 Char"/>
    <w:basedOn w:val="13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39">
    <w:name w:val="纯文本 Char"/>
    <w:link w:val="5"/>
    <w:qFormat/>
    <w:uiPriority w:val="0"/>
    <w:rPr>
      <w:rFonts w:ascii="宋体" w:hAnsi="Courier New" w:eastAsia="仿宋_GB2312" w:cs="Courier New"/>
      <w:b/>
      <w:kern w:val="2"/>
      <w:sz w:val="32"/>
      <w:szCs w:val="21"/>
    </w:rPr>
  </w:style>
  <w:style w:type="character" w:customStyle="1" w:styleId="40">
    <w:name w:val="段 Char"/>
    <w:link w:val="15"/>
    <w:uiPriority w:val="0"/>
    <w:rPr>
      <w:rFonts w:ascii="宋体" w:eastAsia="Times New Roman"/>
    </w:rPr>
  </w:style>
  <w:style w:type="paragraph" w:customStyle="1" w:styleId="41">
    <w:name w:val="标题 11"/>
    <w:basedOn w:val="1"/>
    <w:qFormat/>
    <w:uiPriority w:val="1"/>
    <w:pPr>
      <w:autoSpaceDE w:val="0"/>
      <w:autoSpaceDN w:val="0"/>
      <w:spacing w:before="56"/>
      <w:ind w:right="33"/>
      <w:jc w:val="center"/>
      <w:outlineLvl w:val="1"/>
    </w:pPr>
    <w:rPr>
      <w:rFonts w:ascii="黑体" w:hAnsi="黑体" w:eastAsia="黑体" w:cs="黑体"/>
      <w:kern w:val="0"/>
      <w:lang w:eastAsia="en-US"/>
    </w:rPr>
  </w:style>
  <w:style w:type="character" w:customStyle="1" w:styleId="42">
    <w:name w:val="正文文本 Char"/>
    <w:basedOn w:val="13"/>
    <w:link w:val="3"/>
    <w:uiPriority w:val="1"/>
    <w:rPr>
      <w:rFonts w:asciiTheme="minorHAnsi" w:hAnsiTheme="minorHAnsi" w:eastAsiaTheme="minorEastAsia" w:cstheme="minorBidi"/>
      <w:kern w:val="2"/>
      <w:sz w:val="28"/>
      <w:szCs w:val="28"/>
    </w:rPr>
  </w:style>
  <w:style w:type="character" w:customStyle="1" w:styleId="43">
    <w:name w:val="fontstyle01"/>
    <w:basedOn w:val="13"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D26B0-73C1-40C6-BC93-C82F4C510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2541</Words>
  <Characters>3009</Characters>
  <Lines>72</Lines>
  <Paragraphs>20</Paragraphs>
  <TotalTime>7</TotalTime>
  <ScaleCrop>false</ScaleCrop>
  <LinksUpToDate>false</LinksUpToDate>
  <CharactersWithSpaces>10035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2022-10-25T02:12:00Z</dcterms:created>
  <dc:creator>LukesLv</dc:creator>
  <cp:lastModifiedBy>胡坤</cp:lastModifiedBy>
  <dcterms:modified xsi:type="dcterms:W3CDTF">2023-01-03T12:10:25Z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3DDF733363D449918D8ABDFAFF64B818</vt:lpwstr>
  </property>
</Properties>
</file>