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746"/>
        </w:tabs>
        <w:ind w:left="0" w:firstLine="2600" w:firstLineChars="500"/>
        <w:outlineLvl w:val="9"/>
        <w:rPr>
          <w:sz w:val="52"/>
          <w:szCs w:val="52"/>
        </w:rPr>
      </w:pPr>
      <w:bookmarkStart w:id="0" w:name="_Toc150782307"/>
      <w:bookmarkStart w:id="1" w:name="_Toc268575648"/>
      <w:bookmarkStart w:id="2" w:name="_Toc154030171"/>
      <w:bookmarkStart w:id="3" w:name="_Toc150782327"/>
    </w:p>
    <w:bookmarkEnd w:id="0"/>
    <w:bookmarkEnd w:id="1"/>
    <w:bookmarkEnd w:id="2"/>
    <w:bookmarkEnd w:id="3"/>
    <w:p>
      <w:pPr>
        <w:pStyle w:val="22"/>
        <w:ind w:firstLine="0" w:firstLineChars="0"/>
        <w:rPr>
          <w:rFonts w:ascii="黑体" w:hAnsi="黑体" w:eastAsia="黑体"/>
          <w:sz w:val="52"/>
          <w:szCs w:val="52"/>
        </w:rPr>
      </w:pPr>
    </w:p>
    <w:p>
      <w:pPr>
        <w:pStyle w:val="22"/>
        <w:ind w:firstLine="0" w:firstLineChars="0"/>
        <w:rPr>
          <w:rFonts w:ascii="黑体" w:hAnsi="黑体" w:eastAsia="黑体"/>
          <w:sz w:val="52"/>
          <w:szCs w:val="52"/>
        </w:rPr>
      </w:pPr>
    </w:p>
    <w:p>
      <w:pPr>
        <w:pStyle w:val="22"/>
        <w:ind w:left="424" w:leftChars="202" w:right="388" w:rightChars="185" w:firstLine="0" w:firstLineChars="0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团体标准</w:t>
      </w:r>
    </w:p>
    <w:p>
      <w:pPr>
        <w:pStyle w:val="22"/>
        <w:ind w:left="424" w:leftChars="202" w:right="388" w:rightChars="185" w:firstLine="0" w:firstLineChars="0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《</w:t>
      </w:r>
      <w:r>
        <w:rPr>
          <w:rFonts w:hint="eastAsia" w:hAnsi="宋体"/>
          <w:b/>
          <w:sz w:val="44"/>
          <w:szCs w:val="44"/>
          <w:lang w:eastAsia="zh-CN"/>
        </w:rPr>
        <w:t>大米中风味物质2-乙酰基-1-吡咯啉含量的测定 气相色谱质谱法</w:t>
      </w:r>
      <w:r>
        <w:rPr>
          <w:rFonts w:hint="eastAsia" w:hAnsi="宋体"/>
          <w:b/>
          <w:sz w:val="44"/>
          <w:szCs w:val="44"/>
        </w:rPr>
        <w:t>》编制说明</w:t>
      </w:r>
    </w:p>
    <w:p>
      <w:pPr>
        <w:pStyle w:val="22"/>
        <w:ind w:firstLine="422"/>
        <w:rPr>
          <w:rFonts w:hAnsi="宋体"/>
          <w:b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  <w:ind w:firstLine="0" w:firstLineChars="0"/>
      </w:pPr>
    </w:p>
    <w:p>
      <w:pPr>
        <w:pStyle w:val="22"/>
      </w:pPr>
    </w:p>
    <w:p>
      <w:pPr>
        <w:pStyle w:val="22"/>
        <w:ind w:left="0" w:leftChars="0" w:firstLine="0" w:firstLineChars="0"/>
      </w:pPr>
    </w:p>
    <w:p>
      <w:pPr>
        <w:pStyle w:val="22"/>
        <w:ind w:firstLine="883"/>
        <w:rPr>
          <w:rFonts w:hAnsi="宋体"/>
          <w:b/>
          <w:sz w:val="44"/>
          <w:szCs w:val="44"/>
        </w:rPr>
      </w:pPr>
    </w:p>
    <w:p>
      <w:pPr>
        <w:pStyle w:val="22"/>
        <w:ind w:firstLine="0" w:firstLineChars="0"/>
        <w:jc w:val="center"/>
        <w:rPr>
          <w:rFonts w:hAnsi="宋体"/>
          <w:b/>
          <w:sz w:val="44"/>
          <w:szCs w:val="44"/>
        </w:rPr>
      </w:pPr>
    </w:p>
    <w:p>
      <w:pPr>
        <w:pStyle w:val="22"/>
        <w:ind w:firstLine="0" w:firstLineChars="0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广西壮族自治区分析测试研究中心</w:t>
      </w:r>
    </w:p>
    <w:p>
      <w:pPr>
        <w:pStyle w:val="22"/>
        <w:ind w:firstLine="0" w:firstLineChars="0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广西大学</w:t>
      </w:r>
    </w:p>
    <w:p>
      <w:pPr>
        <w:pStyle w:val="22"/>
        <w:ind w:firstLine="0" w:firstLineChars="0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广西西大检测有限公司</w:t>
      </w:r>
    </w:p>
    <w:p>
      <w:pPr>
        <w:pStyle w:val="22"/>
        <w:ind w:firstLine="0" w:firstLineChars="0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广西壮族自治区产品质量检验研究院</w:t>
      </w:r>
    </w:p>
    <w:p>
      <w:pPr>
        <w:pStyle w:val="22"/>
        <w:ind w:firstLine="0" w:firstLineChars="0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2022年</w:t>
      </w:r>
      <w:r>
        <w:rPr>
          <w:rFonts w:hint="eastAsia" w:hAnsi="宋体"/>
          <w:b/>
          <w:sz w:val="32"/>
          <w:szCs w:val="32"/>
          <w:lang w:val="en-US" w:eastAsia="zh-CN"/>
        </w:rPr>
        <w:t>12</w:t>
      </w:r>
      <w:r>
        <w:rPr>
          <w:rFonts w:hint="eastAsia" w:hAnsi="宋体"/>
          <w:b/>
          <w:sz w:val="32"/>
          <w:szCs w:val="32"/>
        </w:rPr>
        <w:t>月</w:t>
      </w:r>
    </w:p>
    <w:p/>
    <w:p/>
    <w:p>
      <w:pPr>
        <w:pStyle w:val="22"/>
        <w:ind w:firstLine="562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ind w:firstLine="636" w:firstLineChars="198"/>
        <w:jc w:val="left"/>
        <w:outlineLvl w:val="0"/>
        <w:rPr>
          <w:rFonts w:ascii="仿宋" w:hAnsi="仿宋" w:eastAsia="仿宋"/>
          <w:b/>
          <w:sz w:val="32"/>
          <w:szCs w:val="32"/>
        </w:rPr>
      </w:pPr>
      <w:bookmarkStart w:id="4" w:name="_Toc102051962"/>
      <w:r>
        <w:rPr>
          <w:rFonts w:hint="eastAsia" w:ascii="仿宋" w:hAnsi="仿宋" w:eastAsia="仿宋"/>
          <w:b/>
          <w:sz w:val="32"/>
          <w:szCs w:val="32"/>
        </w:rPr>
        <w:t>一、编制背景及任务来源</w:t>
      </w:r>
      <w:bookmarkEnd w:id="4"/>
    </w:p>
    <w:p>
      <w:pPr>
        <w:numPr>
          <w:ilvl w:val="0"/>
          <w:numId w:val="1"/>
        </w:numPr>
        <w:spacing w:line="560" w:lineRule="exact"/>
        <w:ind w:left="0" w:firstLine="709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5" w:name="_Toc102051963"/>
      <w:r>
        <w:rPr>
          <w:rFonts w:hint="eastAsia" w:ascii="仿宋" w:hAnsi="仿宋" w:eastAsia="仿宋"/>
          <w:b/>
          <w:sz w:val="32"/>
          <w:szCs w:val="32"/>
        </w:rPr>
        <w:t>标准编制背景</w:t>
      </w:r>
      <w:bookmarkEnd w:id="5"/>
    </w:p>
    <w:p>
      <w:pPr>
        <w:autoSpaceDE w:val="0"/>
        <w:autoSpaceDN w:val="0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稻谷是一种禾本科植物，脱壳后即为大米，是世界三大主要粮食作物之一。我国水稻常年种植面积3000万公顷、产量2亿吨左右，是世界上水稻产量第一、种植面积第二大的国家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instrText xml:space="preserve">REF _Ref102052586 \r \h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[1]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。广西优质稻种植源远流长，历史悠久，是长江以南稻米的重要产区，全区每年水稻种植面积稳定在 3000 万亩左右，稻谷年产量在 1200 万吨以上，优质稻年产超 300 万吨以上。广西稻米一直有“北有五常稻花香，南有广西晚百香”的美誉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instrText xml:space="preserve">REF _Ref102052636 \r \h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[2]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。大米中富含多种氨基酸和蛋白质、生物碱、维生素以及人体必需的营养成分。随着居民消费水平升级，人们对于大米的要求不再局限于饱腹，而是对其口感及绿色生态特性更为重视，具有优质香味的大米更受青睐。2-乙酰基-1-吡咯啉（2-AP）是目前已经探明的香米的特征风味物质，其含量的高低直接影响香米的品质与价格。但由于该成分在天然大米中的含量通常低至微克每千克，在采用现代分析检测方法测定时，可能受到样品基质干扰、色谱分离共流出的等问题的影响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instrText xml:space="preserve">REF _Ref102052654 \r \h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[3]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autoSpaceDE w:val="0"/>
        <w:autoSpaceDN w:val="0"/>
        <w:ind w:firstLine="640" w:firstLineChars="200"/>
        <w:rPr>
          <w:rFonts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2-乙酰基-1-吡</w:t>
      </w:r>
      <w:bookmarkStart w:id="38" w:name="_GoBack"/>
      <w:bookmarkEnd w:id="38"/>
      <w:r>
        <w:rPr>
          <w:rFonts w:hint="eastAsia" w:ascii="仿宋" w:hAnsi="仿宋" w:eastAsia="仿宋"/>
          <w:kern w:val="0"/>
          <w:sz w:val="32"/>
          <w:szCs w:val="32"/>
        </w:rPr>
        <w:t>咯啉（2-AP），分子式</w:t>
      </w:r>
      <w:r>
        <w:rPr>
          <w:rFonts w:ascii="仿宋" w:hAnsi="仿宋" w:eastAsia="仿宋"/>
          <w:kern w:val="0"/>
          <w:sz w:val="32"/>
          <w:szCs w:val="32"/>
        </w:rPr>
        <w:t>C</w:t>
      </w:r>
      <w:r>
        <w:rPr>
          <w:rFonts w:ascii="仿宋" w:hAnsi="仿宋" w:eastAsia="仿宋"/>
          <w:kern w:val="0"/>
          <w:sz w:val="32"/>
          <w:szCs w:val="32"/>
          <w:vertAlign w:val="subscript"/>
        </w:rPr>
        <w:t>6</w:t>
      </w:r>
      <w:r>
        <w:rPr>
          <w:rFonts w:ascii="仿宋" w:hAnsi="仿宋" w:eastAsia="仿宋"/>
          <w:kern w:val="0"/>
          <w:sz w:val="32"/>
          <w:szCs w:val="32"/>
        </w:rPr>
        <w:t>H</w:t>
      </w:r>
      <w:r>
        <w:rPr>
          <w:rFonts w:ascii="仿宋" w:hAnsi="仿宋" w:eastAsia="仿宋"/>
          <w:kern w:val="0"/>
          <w:sz w:val="32"/>
          <w:szCs w:val="32"/>
          <w:vertAlign w:val="subscript"/>
        </w:rPr>
        <w:t>9</w:t>
      </w:r>
      <w:r>
        <w:rPr>
          <w:rFonts w:ascii="仿宋" w:hAnsi="仿宋" w:eastAsia="仿宋"/>
          <w:kern w:val="0"/>
          <w:sz w:val="32"/>
          <w:szCs w:val="32"/>
        </w:rPr>
        <w:t>NO</w:t>
      </w:r>
      <w:r>
        <w:rPr>
          <w:rFonts w:hint="eastAsia" w:ascii="仿宋" w:hAnsi="仿宋" w:eastAsia="仿宋"/>
          <w:kern w:val="0"/>
          <w:sz w:val="32"/>
          <w:szCs w:val="32"/>
        </w:rPr>
        <w:t>（化学结构式如图1）为淡黄色液体，是一种天然香物质，易溶于热水、乙醇和乙醚，是一种沸点比较</w:t>
      </w:r>
      <w:r>
        <w:rPr>
          <w:rFonts w:ascii="仿宋" w:hAnsi="仿宋" w:eastAsia="仿宋"/>
          <w:kern w:val="0"/>
          <w:sz w:val="32"/>
          <w:szCs w:val="32"/>
        </w:rPr>
        <w:t>低的小分子杂环化合物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其相对分子质量为</w:t>
      </w:r>
      <w:r>
        <w:rPr>
          <w:rFonts w:hint="eastAsia" w:ascii="仿宋" w:hAnsi="仿宋" w:eastAsia="仿宋"/>
          <w:kern w:val="0"/>
          <w:sz w:val="32"/>
          <w:szCs w:val="32"/>
        </w:rPr>
        <w:t>111.14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instrText xml:space="preserve">REF _Ref102052654 \r \h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[3]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。目前，常见的2-乙酰基吡咯啉的鉴定方法可分为定性分析和定量分析。定性分析方法主要为咀嚼法、热水法、氢氧化钾浸泡法3种，均是传统的感官评鉴方法，应用这些方法存在人员感官差异较大，鉴定结果准确性和可靠性难以保证以及缺乏定量分析结果等缺陷。但目前应用于稻米香气收集的技术，如超临界流体萃取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（SPE）</w:t>
      </w:r>
      <w:r>
        <w:rPr>
          <w:rFonts w:hint="eastAsia" w:ascii="仿宋" w:hAnsi="仿宋" w:eastAsia="仿宋"/>
          <w:kern w:val="0"/>
          <w:sz w:val="32"/>
          <w:szCs w:val="32"/>
        </w:rPr>
        <w:t>、溶剂萃取法、固相微萃取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（SPME）</w:t>
      </w:r>
      <w:r>
        <w:rPr>
          <w:rFonts w:hint="eastAsia" w:ascii="仿宋" w:hAnsi="仿宋" w:eastAsia="仿宋"/>
          <w:kern w:val="0"/>
          <w:sz w:val="32"/>
          <w:szCs w:val="32"/>
        </w:rPr>
        <w:t>、同时蒸馏萃取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（SDE）</w:t>
      </w:r>
      <w:r>
        <w:rPr>
          <w:rFonts w:hint="eastAsia" w:ascii="仿宋" w:hAnsi="仿宋" w:eastAsia="仿宋"/>
          <w:kern w:val="0"/>
          <w:sz w:val="32"/>
          <w:szCs w:val="32"/>
        </w:rPr>
        <w:t>和柱吸附等技术，存在设备投资高、样品及试剂消耗量大、操作步骤复杂和收集浓缩耗时等缺点，难以满足育种工作中大批量试验材料的鉴定工作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instrText xml:space="preserve">REF _Ref102052718 \r \h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[4]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。常用的检测方法主要有气相色谱（GC）法或气相色谱－质谱（GC-MS）法、气相色谱－嗅觉测试（GC-olfactory，GC-O）法、高效液相色谱－串联质谱（HPLC-MS/MS）法等</w:t>
      </w:r>
      <w:r>
        <w:rPr>
          <w:rFonts w:asciiTheme="minorEastAsia" w:hAnsiTheme="minorEastAsia" w:eastAsiaTheme="minorEastAsia"/>
          <w:kern w:val="0"/>
          <w:sz w:val="32"/>
          <w:szCs w:val="32"/>
          <w:vertAlign w:val="superscript"/>
        </w:rPr>
        <w:fldChar w:fldCharType="begin"/>
      </w:r>
      <w:r>
        <w:rPr>
          <w:rFonts w:asciiTheme="minorEastAsia" w:hAnsiTheme="minorEastAsia" w:eastAsiaTheme="minorEastAsia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Theme="minorEastAsia" w:hAnsiTheme="minorEastAsia" w:eastAsiaTheme="minorEastAsia"/>
          <w:kern w:val="0"/>
          <w:sz w:val="32"/>
          <w:szCs w:val="32"/>
          <w:vertAlign w:val="superscript"/>
        </w:rPr>
        <w:instrText xml:space="preserve">REF _Ref102052654 \r \h</w:instrText>
      </w:r>
      <w:r>
        <w:rPr>
          <w:rFonts w:asciiTheme="minorEastAsia" w:hAnsiTheme="minorEastAsia" w:eastAsiaTheme="minorEastAsia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Theme="minorEastAsia" w:hAnsiTheme="minorEastAsia" w:eastAsiaTheme="minorEastAsia"/>
          <w:kern w:val="0"/>
          <w:sz w:val="32"/>
          <w:szCs w:val="32"/>
          <w:vertAlign w:val="superscript"/>
        </w:rPr>
        <w:fldChar w:fldCharType="separate"/>
      </w:r>
      <w:r>
        <w:rPr>
          <w:rFonts w:asciiTheme="minorEastAsia" w:hAnsiTheme="minorEastAsia" w:eastAsiaTheme="minorEastAsia"/>
          <w:kern w:val="0"/>
          <w:sz w:val="32"/>
          <w:szCs w:val="32"/>
          <w:vertAlign w:val="superscript"/>
        </w:rPr>
        <w:t>[3]</w:t>
      </w:r>
      <w:r>
        <w:rPr>
          <w:rFonts w:asciiTheme="minorEastAsia" w:hAnsiTheme="minorEastAsia" w:eastAsiaTheme="minorEastAsia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jc w:val="center"/>
        <w:rPr>
          <w:rFonts w:ascii="仿宋" w:hAnsi="仿宋" w:eastAsia="仿宋"/>
          <w:kern w:val="0"/>
          <w:sz w:val="32"/>
          <w:szCs w:val="32"/>
        </w:rPr>
      </w:pPr>
      <w:r>
        <w:drawing>
          <wp:inline distT="0" distB="0" distL="0" distR="0">
            <wp:extent cx="1758315" cy="1228090"/>
            <wp:effectExtent l="19050" t="19050" r="133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066" cy="1228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ind w:firstLine="640" w:firstLineChars="200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图1:2-AP化学结构式</w:t>
      </w:r>
    </w:p>
    <w:p>
      <w:pPr>
        <w:autoSpaceDE w:val="0"/>
        <w:autoSpaceDN w:val="0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因此，本标准的制定，意义在于通过测定大米2-AP含量能够为市售香米的真假鉴别提供借鉴，同时筛选优质稻米品种，提高大米生产水平，实现大米的可持续性健康发展。</w:t>
      </w:r>
    </w:p>
    <w:p>
      <w:pPr>
        <w:numPr>
          <w:ilvl w:val="0"/>
          <w:numId w:val="1"/>
        </w:numPr>
        <w:spacing w:line="560" w:lineRule="exact"/>
        <w:ind w:left="0" w:firstLine="709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6" w:name="_Toc102051964"/>
      <w:r>
        <w:rPr>
          <w:rFonts w:hint="eastAsia" w:ascii="仿宋" w:hAnsi="仿宋" w:eastAsia="仿宋"/>
          <w:b/>
          <w:sz w:val="32"/>
          <w:szCs w:val="32"/>
        </w:rPr>
        <w:t>任务来源</w:t>
      </w:r>
      <w:bookmarkEnd w:id="6"/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《大米中2-乙酰基-1-吡咯琳含量的测定 气相色谱-质谱法》标准涉及测定大米2-乙酰基-1-吡咯啉含量，属于新制定标准，由广西壮族自治区分析测试研究中心提出。</w:t>
      </w:r>
    </w:p>
    <w:p>
      <w:pPr>
        <w:ind w:firstLine="636" w:firstLineChars="198"/>
        <w:jc w:val="left"/>
        <w:outlineLvl w:val="0"/>
        <w:rPr>
          <w:rFonts w:ascii="仿宋" w:hAnsi="仿宋" w:eastAsia="仿宋"/>
          <w:b/>
          <w:sz w:val="32"/>
          <w:szCs w:val="32"/>
        </w:rPr>
      </w:pPr>
      <w:bookmarkStart w:id="7" w:name="_Toc102051965"/>
      <w:r>
        <w:rPr>
          <w:rFonts w:hint="eastAsia" w:ascii="仿宋" w:hAnsi="仿宋" w:eastAsia="仿宋"/>
          <w:b/>
          <w:sz w:val="32"/>
          <w:szCs w:val="32"/>
        </w:rPr>
        <w:t>二、编制过程</w:t>
      </w:r>
      <w:bookmarkEnd w:id="7"/>
    </w:p>
    <w:p>
      <w:pPr>
        <w:pStyle w:val="38"/>
        <w:numPr>
          <w:ilvl w:val="0"/>
          <w:numId w:val="2"/>
        </w:numPr>
        <w:spacing w:line="560" w:lineRule="exact"/>
        <w:ind w:firstLineChars="0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8" w:name="_Toc102051966"/>
      <w:r>
        <w:rPr>
          <w:rFonts w:hint="eastAsia" w:ascii="仿宋" w:hAnsi="仿宋" w:eastAsia="仿宋"/>
          <w:b/>
          <w:sz w:val="32"/>
          <w:szCs w:val="32"/>
        </w:rPr>
        <w:t>项目启动</w:t>
      </w:r>
      <w:bookmarkEnd w:id="8"/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为确保团体标准《大米中2-乙酰基-1-吡咯琳含量的测定 气相色谱-质谱法》编制工作的顺利开展，2022年3月，广西壮族自治区分析测试研究中心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广西西大检测有限公司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kern w:val="0"/>
          <w:sz w:val="32"/>
          <w:szCs w:val="32"/>
        </w:rPr>
        <w:t>组建了项目编制组，明确工作职责，定期召开会议研究工作。项目课题组按GB/T1.1、GB/T1.2的要求，各编写小组人员开展了资料收集与分析、方法优化与调查等相关工作。从科研与生产实践两方面出发，进行前期广泛调查及数据收集，汇集各方面的资料，确定了编制时间进度安排，编写了《大米中2-乙酰基-1-吡咯琳含量的测定 气相色谱-质谱法》（征求意见稿）。</w:t>
      </w:r>
    </w:p>
    <w:p>
      <w:pPr>
        <w:pStyle w:val="38"/>
        <w:numPr>
          <w:ilvl w:val="0"/>
          <w:numId w:val="2"/>
        </w:numPr>
        <w:spacing w:line="560" w:lineRule="exact"/>
        <w:ind w:firstLineChars="0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9" w:name="_Toc102051967"/>
      <w:r>
        <w:rPr>
          <w:rFonts w:hint="eastAsia" w:ascii="仿宋" w:hAnsi="仿宋" w:eastAsia="仿宋"/>
          <w:b/>
          <w:sz w:val="32"/>
          <w:szCs w:val="32"/>
        </w:rPr>
        <w:t>收集国内外相关资料</w:t>
      </w:r>
      <w:bookmarkEnd w:id="9"/>
    </w:p>
    <w:p>
      <w:pPr>
        <w:tabs>
          <w:tab w:val="left" w:pos="7224"/>
        </w:tabs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10" w:name="_Toc102051968"/>
      <w:bookmarkStart w:id="11" w:name="_Toc73045679"/>
      <w:bookmarkStart w:id="12" w:name="_Toc23086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（1）相关研究资料</w:t>
      </w:r>
      <w:bookmarkEnd w:id="10"/>
      <w:r>
        <w:rPr>
          <w:rFonts w:ascii="宋体" w:hAnsi="宋体"/>
          <w:b/>
          <w:kern w:val="0"/>
          <w:sz w:val="32"/>
          <w:szCs w:val="32"/>
          <w:lang w:val="zh-CN"/>
        </w:rPr>
        <w:tab/>
      </w:r>
    </w:p>
    <w:p>
      <w:pPr>
        <w:pStyle w:val="22"/>
        <w:ind w:firstLine="640"/>
        <w:rPr>
          <w:rFonts w:hAnsi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编制工作启动后，收集同行相关研究报告，征求了相关院校、生产单位、国内同行和专家的意见，汇总整理，形成了标准编制所需的基础资料。</w:t>
      </w:r>
    </w:p>
    <w:p>
      <w:pPr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13" w:name="_Toc102051969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（2）国内相关标准概况</w:t>
      </w:r>
      <w:bookmarkEnd w:id="11"/>
      <w:bookmarkEnd w:id="12"/>
      <w:bookmarkEnd w:id="13"/>
    </w:p>
    <w:p>
      <w:pPr>
        <w:pStyle w:val="22"/>
        <w:ind w:firstLine="640"/>
        <w:rPr>
          <w:highlight w:val="yellow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检索，截止2022年4月30日，目前我国现行的国标及行业标准中，还没有相应的测定大米中2-乙酰基-吡咯琳含量的方法，有必要建立大米中2-乙酰基-1-吡咯琳含量测定的标准，规范实验室现有分析手段。本标准制定及实施后，能够填补大米中2-乙酰基-1-吡咯琳含量分析方法的空白。本方法适应目前场地调查的要求，分析方法准确、适用。</w:t>
      </w:r>
    </w:p>
    <w:p>
      <w:pPr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14" w:name="_Toc102051970"/>
      <w:bookmarkStart w:id="15" w:name="_Toc22078"/>
      <w:bookmarkStart w:id="16" w:name="_Toc73045680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（3）国外相关标准概况</w:t>
      </w:r>
      <w:bookmarkEnd w:id="14"/>
      <w:bookmarkEnd w:id="15"/>
      <w:bookmarkEnd w:id="16"/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目前为止，暂未查询到关于大米中2-乙酰基-吡咯琳含量测定方面的国际标准和国外标准等。</w:t>
      </w:r>
    </w:p>
    <w:p>
      <w:pPr>
        <w:pStyle w:val="38"/>
        <w:numPr>
          <w:ilvl w:val="0"/>
          <w:numId w:val="2"/>
        </w:numPr>
        <w:spacing w:line="560" w:lineRule="exact"/>
        <w:ind w:firstLineChars="0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17" w:name="_Toc102051971"/>
      <w:r>
        <w:rPr>
          <w:rFonts w:hint="eastAsia" w:ascii="仿宋" w:hAnsi="仿宋" w:eastAsia="仿宋"/>
          <w:b/>
          <w:sz w:val="32"/>
          <w:szCs w:val="32"/>
        </w:rPr>
        <w:t>标准编写</w:t>
      </w:r>
      <w:bookmarkEnd w:id="17"/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项目课题组按照《中华人民共和国标准化法》、《团体标准管理规定》的要求，并结合广西大米实际情况，起草了团体标准《大米中2-乙酰基-1-吡咯琳含量的测定 气相色谱-质谱法》（讨论稿）。</w:t>
      </w:r>
    </w:p>
    <w:p>
      <w:pPr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月，项目编制组充分讨论《大米中2-乙酰基-1-吡咯琳含量的测定 气相色谱-质谱法》（讨论稿），再次对讨论稿进行了详细研究，并修改完善形成《大米中2-乙酰基-1-吡咯琳含量的测定 气相色谱-质谱法》（征求意见稿）。</w:t>
      </w:r>
    </w:p>
    <w:p>
      <w:pPr>
        <w:pStyle w:val="38"/>
        <w:numPr>
          <w:ilvl w:val="0"/>
          <w:numId w:val="2"/>
        </w:numPr>
        <w:spacing w:line="560" w:lineRule="exact"/>
        <w:ind w:firstLineChars="0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18" w:name="_Toc102051972"/>
      <w:r>
        <w:rPr>
          <w:rFonts w:hint="eastAsia" w:ascii="仿宋" w:hAnsi="仿宋" w:eastAsia="仿宋"/>
          <w:b/>
          <w:sz w:val="32"/>
          <w:szCs w:val="32"/>
        </w:rPr>
        <w:t>征求意见</w:t>
      </w:r>
      <w:bookmarkEnd w:id="18"/>
    </w:p>
    <w:p>
      <w:pPr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月，项目编制组通过讨论，充分征求相关院校、国内同行和专家对《大米中2-乙酰基-1-吡咯琳气相色谱-质谱法》（征求意见稿）的意见，并修改完善标准，形成《大米中2-乙酰基-1-吡咯琳含量的测定 气相色谱-质谱法》（送审稿）。</w:t>
      </w:r>
    </w:p>
    <w:p>
      <w:pPr>
        <w:ind w:firstLine="643" w:firstLineChars="200"/>
        <w:jc w:val="left"/>
        <w:outlineLvl w:val="0"/>
        <w:rPr>
          <w:rFonts w:ascii="仿宋" w:hAnsi="仿宋" w:eastAsia="仿宋"/>
          <w:b/>
          <w:sz w:val="32"/>
          <w:szCs w:val="32"/>
        </w:rPr>
      </w:pPr>
      <w:bookmarkStart w:id="19" w:name="_Toc102051973"/>
      <w:r>
        <w:rPr>
          <w:rFonts w:hint="eastAsia" w:ascii="仿宋" w:hAnsi="仿宋" w:eastAsia="仿宋"/>
          <w:b/>
          <w:sz w:val="32"/>
          <w:szCs w:val="32"/>
        </w:rPr>
        <w:t>三、编制原则和主要内容确定</w:t>
      </w:r>
      <w:bookmarkEnd w:id="19"/>
    </w:p>
    <w:p>
      <w:pPr>
        <w:pStyle w:val="38"/>
        <w:numPr>
          <w:ilvl w:val="0"/>
          <w:numId w:val="3"/>
        </w:numPr>
        <w:ind w:firstLineChars="0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20" w:name="_Toc102051974"/>
      <w:r>
        <w:rPr>
          <w:rFonts w:hint="eastAsia" w:ascii="仿宋" w:hAnsi="仿宋" w:eastAsia="仿宋"/>
          <w:b/>
          <w:sz w:val="32"/>
          <w:szCs w:val="32"/>
        </w:rPr>
        <w:t>编制原则</w:t>
      </w:r>
      <w:bookmarkEnd w:id="20"/>
    </w:p>
    <w:p>
      <w:pPr>
        <w:spacing w:line="36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标准制定以保证适用的前提下，内容力求完整、准确、易于理解，充分注重标准的科学性、先进性、适用性、经济合理性、安全可靠性、切实可行及协调统一性为基本原则。编制本标准遵循如下依据：</w:t>
      </w:r>
    </w:p>
    <w:p>
      <w:pPr>
        <w:spacing w:line="360" w:lineRule="auto"/>
        <w:ind w:firstLine="960" w:firstLineChars="3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GB/T1.1-2020《标准化工作导则第1部分：标准化文件的结构和起草规则》</w:t>
      </w:r>
    </w:p>
    <w:p>
      <w:pPr>
        <w:spacing w:line="360" w:lineRule="auto"/>
        <w:ind w:firstLine="960" w:firstLineChars="3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GB/T27417-2017《合格评定化学分析方法确认和验证指南》</w:t>
      </w:r>
    </w:p>
    <w:p>
      <w:pPr>
        <w:spacing w:line="360" w:lineRule="auto"/>
        <w:ind w:firstLine="960" w:firstLineChars="3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GB/T27404-2008 实验室质量控制规范 食品理化检测</w:t>
      </w:r>
    </w:p>
    <w:p>
      <w:pPr>
        <w:pStyle w:val="38"/>
        <w:numPr>
          <w:ilvl w:val="0"/>
          <w:numId w:val="3"/>
        </w:numPr>
        <w:ind w:firstLineChars="0"/>
        <w:jc w:val="left"/>
        <w:outlineLvl w:val="1"/>
        <w:rPr>
          <w:rFonts w:ascii="仿宋" w:hAnsi="仿宋" w:eastAsia="仿宋"/>
          <w:b/>
          <w:sz w:val="32"/>
          <w:szCs w:val="32"/>
        </w:rPr>
      </w:pPr>
      <w:bookmarkStart w:id="21" w:name="_Toc102051975"/>
      <w:r>
        <w:rPr>
          <w:rFonts w:hint="eastAsia" w:ascii="仿宋" w:hAnsi="仿宋" w:eastAsia="仿宋"/>
          <w:b/>
          <w:sz w:val="32"/>
          <w:szCs w:val="32"/>
        </w:rPr>
        <w:t>主要内容确定</w:t>
      </w:r>
      <w:bookmarkEnd w:id="21"/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本标准规定了大米中2-乙酰基-1-吡咯琳含量测定的前处理方法、仪器检测方法、检出限及定量限，适用于测定大米中2-乙酰基-1-吡咯琳含量。</w:t>
      </w:r>
    </w:p>
    <w:p>
      <w:pPr>
        <w:tabs>
          <w:tab w:val="left" w:pos="7224"/>
        </w:tabs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22" w:name="_Toc102051976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（1）前处理方法的选择</w:t>
      </w:r>
      <w:bookmarkEnd w:id="22"/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大米试样脱壳后经冷冻研磨仪研磨成粉状，保存于-80摄氏度冰箱。准确称取1.0g（精确至0.0001g）试样至12mL螺纹盖培养管中，加入1mL提取剂，水浴加热后，涡旋混匀，静置冷却20min，用1mL注射器吸取上层清液过0.22μm聚四氟乙烯滤膜，待测。</w:t>
      </w:r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本标准结合应兴华等、赖政炀等建立的前处理方法基础上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REF _Ref102052727 \r \h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[5]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，对比了提取溶剂、提取时间影响因素的提取效率，优化提取工艺以确保得到最适最优的提取效率。实验数据汇总详见下列图表。</w:t>
      </w:r>
    </w:p>
    <w:p>
      <w:pPr>
        <w:pStyle w:val="22"/>
        <w:ind w:firstLine="0" w:firstLineChars="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表1 不同提取溶剂的提取效率对比</w:t>
      </w:r>
    </w:p>
    <w:tbl>
      <w:tblPr>
        <w:tblStyle w:val="15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2583"/>
        <w:gridCol w:w="258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75" w:type="pct"/>
            <w:gridSpan w:val="3"/>
            <w:vAlign w:val="center"/>
          </w:tcPr>
          <w:p>
            <w:pPr>
              <w:pStyle w:val="22"/>
              <w:widowControl w:val="0"/>
              <w:ind w:firstLine="3150" w:firstLineChars="1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提取条件</w:t>
            </w:r>
          </w:p>
        </w:tc>
        <w:tc>
          <w:tcPr>
            <w:tcW w:w="1025" w:type="pct"/>
            <w:vMerge w:val="restart"/>
            <w:vAlign w:val="center"/>
          </w:tcPr>
          <w:p>
            <w:pPr>
              <w:pStyle w:val="22"/>
              <w:widowControl w:val="0"/>
              <w:ind w:firstLine="485" w:firstLineChars="23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2-AP</w:t>
            </w:r>
          </w:p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回收率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275" w:firstLineChars="13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提取溶剂</w:t>
            </w:r>
          </w:p>
        </w:tc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630" w:firstLineChars="3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提取时间h</w:t>
            </w:r>
          </w:p>
        </w:tc>
        <w:tc>
          <w:tcPr>
            <w:tcW w:w="1326" w:type="pct"/>
            <w:vAlign w:val="center"/>
          </w:tcPr>
          <w:p>
            <w:pPr>
              <w:pStyle w:val="22"/>
              <w:widowControl w:val="0"/>
              <w:ind w:firstLine="630" w:firstLineChars="3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提取温度℃</w:t>
            </w:r>
          </w:p>
        </w:tc>
        <w:tc>
          <w:tcPr>
            <w:tcW w:w="1025" w:type="pct"/>
            <w:vMerge w:val="continue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275" w:firstLineChars="13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二氯甲烷</w:t>
            </w:r>
          </w:p>
        </w:tc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1326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80</w:t>
            </w:r>
          </w:p>
        </w:tc>
        <w:tc>
          <w:tcPr>
            <w:tcW w:w="1025" w:type="pct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275" w:firstLineChars="13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无水乙醇</w:t>
            </w:r>
          </w:p>
        </w:tc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1326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80</w:t>
            </w:r>
          </w:p>
        </w:tc>
        <w:tc>
          <w:tcPr>
            <w:tcW w:w="1025" w:type="pct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0" w:firstLineChars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二氯甲烷+无水乙醇（1+1）</w:t>
            </w:r>
          </w:p>
        </w:tc>
        <w:tc>
          <w:tcPr>
            <w:tcW w:w="1325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1326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80</w:t>
            </w:r>
          </w:p>
        </w:tc>
        <w:tc>
          <w:tcPr>
            <w:tcW w:w="1025" w:type="pct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93.96%</w:t>
            </w:r>
          </w:p>
        </w:tc>
      </w:tr>
    </w:tbl>
    <w:p>
      <w:pPr>
        <w:pStyle w:val="22"/>
        <w:ind w:firstLine="0" w:firstLineChars="0"/>
        <w:jc w:val="center"/>
        <w:rPr>
          <w:rFonts w:ascii="仿宋" w:hAnsi="仿宋" w:eastAsia="仿宋"/>
          <w:kern w:val="0"/>
          <w:sz w:val="28"/>
          <w:szCs w:val="28"/>
        </w:rPr>
      </w:pPr>
    </w:p>
    <w:p>
      <w:pPr>
        <w:pStyle w:val="22"/>
        <w:ind w:firstLine="0" w:firstLineChars="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表2 不同提取时间的提取效率比对</w:t>
      </w:r>
    </w:p>
    <w:tbl>
      <w:tblPr>
        <w:tblStyle w:val="15"/>
        <w:tblW w:w="49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394"/>
        <w:gridCol w:w="2586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06" w:type="pct"/>
            <w:gridSpan w:val="3"/>
            <w:vAlign w:val="center"/>
          </w:tcPr>
          <w:p>
            <w:pPr>
              <w:pStyle w:val="22"/>
              <w:widowControl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提取条件</w:t>
            </w:r>
          </w:p>
        </w:tc>
        <w:tc>
          <w:tcPr>
            <w:tcW w:w="1094" w:type="pct"/>
            <w:vMerge w:val="restart"/>
            <w:vAlign w:val="center"/>
          </w:tcPr>
          <w:p>
            <w:pPr>
              <w:pStyle w:val="22"/>
              <w:widowControl w:val="0"/>
              <w:ind w:firstLine="485" w:firstLineChars="23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2-AP</w:t>
            </w:r>
          </w:p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回收率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0" w:type="pct"/>
            <w:vAlign w:val="center"/>
          </w:tcPr>
          <w:p>
            <w:pPr>
              <w:pStyle w:val="22"/>
              <w:widowControl w:val="0"/>
              <w:ind w:firstLine="275" w:firstLineChars="13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提取溶剂</w:t>
            </w:r>
          </w:p>
        </w:tc>
        <w:tc>
          <w:tcPr>
            <w:tcW w:w="1224" w:type="pct"/>
            <w:vAlign w:val="center"/>
          </w:tcPr>
          <w:p>
            <w:pPr>
              <w:pStyle w:val="22"/>
              <w:widowControl w:val="0"/>
              <w:ind w:firstLine="630" w:firstLineChars="3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提取时间h</w:t>
            </w:r>
          </w:p>
        </w:tc>
        <w:tc>
          <w:tcPr>
            <w:tcW w:w="1322" w:type="pct"/>
            <w:vAlign w:val="center"/>
          </w:tcPr>
          <w:p>
            <w:pPr>
              <w:pStyle w:val="22"/>
              <w:widowControl w:val="0"/>
              <w:ind w:firstLine="630" w:firstLineChars="3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提取温度℃</w:t>
            </w:r>
          </w:p>
        </w:tc>
        <w:tc>
          <w:tcPr>
            <w:tcW w:w="1094" w:type="pct"/>
            <w:vMerge w:val="continue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60" w:type="pct"/>
            <w:vMerge w:val="restart"/>
            <w:vAlign w:val="center"/>
          </w:tcPr>
          <w:p>
            <w:pPr>
              <w:pStyle w:val="22"/>
              <w:widowControl w:val="0"/>
              <w:ind w:left="840" w:hanging="840" w:hangingChars="4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二氯甲烷+无水乙醇（1+1）</w:t>
            </w:r>
          </w:p>
        </w:tc>
        <w:tc>
          <w:tcPr>
            <w:tcW w:w="1224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1322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80</w:t>
            </w:r>
          </w:p>
        </w:tc>
        <w:tc>
          <w:tcPr>
            <w:tcW w:w="1094" w:type="pct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60" w:type="pct"/>
            <w:vMerge w:val="continue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24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1322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80</w:t>
            </w:r>
          </w:p>
        </w:tc>
        <w:tc>
          <w:tcPr>
            <w:tcW w:w="1094" w:type="pct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93.96%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0" w:type="pct"/>
            <w:vMerge w:val="continue"/>
            <w:vAlign w:val="center"/>
          </w:tcPr>
          <w:p>
            <w:pPr>
              <w:pStyle w:val="22"/>
              <w:widowControl w:val="0"/>
              <w:ind w:firstLine="0" w:firstLineChars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24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1322" w:type="pct"/>
            <w:vAlign w:val="center"/>
          </w:tcPr>
          <w:p>
            <w:pPr>
              <w:pStyle w:val="22"/>
              <w:widowControl w:val="0"/>
              <w:ind w:firstLine="1050" w:firstLineChars="5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80</w:t>
            </w:r>
          </w:p>
        </w:tc>
        <w:tc>
          <w:tcPr>
            <w:tcW w:w="1094" w:type="pct"/>
            <w:vAlign w:val="center"/>
          </w:tcPr>
          <w:p>
            <w:pPr>
              <w:pStyle w:val="22"/>
              <w:widowControl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64.38%</w:t>
            </w:r>
          </w:p>
        </w:tc>
      </w:tr>
    </w:tbl>
    <w:p>
      <w:pPr>
        <w:pStyle w:val="22"/>
        <w:ind w:firstLine="0" w:firstLineChars="0"/>
        <w:jc w:val="center"/>
        <w:rPr>
          <w:rFonts w:ascii="仿宋" w:hAnsi="仿宋" w:eastAsia="仿宋"/>
          <w:kern w:val="0"/>
          <w:sz w:val="28"/>
          <w:szCs w:val="28"/>
        </w:rPr>
      </w:pPr>
    </w:p>
    <w:p>
      <w:pPr>
        <w:pStyle w:val="29"/>
        <w:numPr>
          <w:ilvl w:val="0"/>
          <w:numId w:val="0"/>
        </w:numPr>
        <w:spacing w:before="156" w:after="156"/>
        <w:ind w:left="708" w:hanging="707" w:hangingChars="337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633085" cy="2628900"/>
            <wp:effectExtent l="19050" t="19050" r="24765" b="1905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6146" cy="26395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2"/>
        <w:ind w:firstLine="0" w:firstLineChars="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图2 不同提取试剂的2-AP（约6.4min）峰型对比</w:t>
      </w:r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实验表明，在现有的仪器条件下，二氯甲烷提取的试样的峰型较宽，无水乙醇提取的回收率相对较低，因此方法选择了以二氯甲烷+无水乙醇（1+1）作为提取剂，提取时间为3h继续试验。</w:t>
      </w:r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实际的实验操作中，结合仪器条件，仍可以采用较合适的溶剂，只要能够证明其能有效得从样品中提取出待测组分。</w:t>
      </w:r>
    </w:p>
    <w:p>
      <w:pPr>
        <w:tabs>
          <w:tab w:val="left" w:pos="7224"/>
        </w:tabs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23" w:name="_Toc102051977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（2）仪器参数</w:t>
      </w:r>
      <w:bookmarkEnd w:id="23"/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由于2-AP属于微量成分，选择离子SIM模式采集离子少，用于检测选定质荷比离子的离子流时间变长，因此选择SIM模式能够提高分析灵敏度。</w:t>
      </w:r>
    </w:p>
    <w:p>
      <w:pPr>
        <w:pStyle w:val="22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气相色谱条件: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a）仪器型号：安捷伦气相质谱联用仪7890A-5975C</w:t>
      </w:r>
    </w:p>
    <w:p>
      <w:pPr>
        <w:pStyle w:val="22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b) 色谱柱：TG-5MS（30m </w:t>
      </w:r>
      <w:r>
        <w:rPr>
          <w:rFonts w:ascii="仿宋" w:hAnsi="仿宋" w:eastAsia="仿宋" w:cs="Arial"/>
          <w:sz w:val="32"/>
          <w:szCs w:val="32"/>
        </w:rPr>
        <w:t>×</w:t>
      </w:r>
      <w:r>
        <w:rPr>
          <w:rFonts w:hint="eastAsia" w:ascii="仿宋" w:hAnsi="仿宋" w:eastAsia="仿宋" w:cs="Arial"/>
          <w:sz w:val="32"/>
          <w:szCs w:val="32"/>
        </w:rPr>
        <w:t xml:space="preserve"> 0.25mm</w:t>
      </w:r>
      <w:r>
        <w:rPr>
          <w:rFonts w:ascii="仿宋" w:hAnsi="仿宋" w:eastAsia="仿宋" w:cs="Arial"/>
          <w:sz w:val="32"/>
          <w:szCs w:val="32"/>
        </w:rPr>
        <w:t>×</w:t>
      </w:r>
      <w:r>
        <w:rPr>
          <w:rFonts w:hint="eastAsia" w:ascii="仿宋" w:hAnsi="仿宋" w:eastAsia="仿宋" w:cs="Arial"/>
          <w:sz w:val="32"/>
          <w:szCs w:val="32"/>
        </w:rPr>
        <w:t xml:space="preserve"> 0.25μm</w:t>
      </w:r>
      <w:r>
        <w:rPr>
          <w:rFonts w:hint="eastAsia" w:ascii="仿宋" w:hAnsi="仿宋" w:eastAsia="仿宋"/>
          <w:sz w:val="32"/>
          <w:szCs w:val="32"/>
        </w:rPr>
        <w:t>）毛细管气相色谱柱或等效柱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c) 载气条件：流速1.0ml/min,不分流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d) 进样口温度：200</w:t>
      </w:r>
      <w:r>
        <w:rPr>
          <w:rFonts w:hint="eastAsia" w:ascii="仿宋" w:hAnsi="仿宋" w:eastAsia="仿宋" w:cs="宋体"/>
          <w:sz w:val="32"/>
          <w:szCs w:val="32"/>
        </w:rPr>
        <w:t>℃</w:t>
      </w:r>
      <w:r>
        <w:rPr>
          <w:rFonts w:hint="eastAsia" w:ascii="仿宋" w:hAnsi="仿宋" w:eastAsia="仿宋"/>
          <w:sz w:val="32"/>
          <w:szCs w:val="32"/>
        </w:rPr>
        <w:t>，进样量：1μL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e) 柱温箱升温程度：炉温初始为50</w:t>
      </w:r>
      <w:r>
        <w:rPr>
          <w:rFonts w:hint="eastAsia" w:ascii="仿宋" w:hAnsi="仿宋" w:eastAsia="仿宋" w:cs="宋体"/>
          <w:sz w:val="32"/>
          <w:szCs w:val="32"/>
        </w:rPr>
        <w:t>℃，保持2min，以8℃/min升温至100℃保持2min，以50℃/min升温至280℃，保持2min；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f) 溶剂延迟时间：4min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质谱条件:</w:t>
      </w:r>
    </w:p>
    <w:p>
      <w:pPr>
        <w:pStyle w:val="22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a) 选择离子监测（SIM）：2-AP（m/z）：83（定量离子）,111,69,43；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b) 电离方式：电子轰击电离源（EI源，电子能量70eV）</w:t>
      </w:r>
    </w:p>
    <w:p>
      <w:pPr>
        <w:pStyle w:val="22"/>
        <w:ind w:firstLine="0"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c) 离子源温度：230</w:t>
      </w:r>
      <w:r>
        <w:rPr>
          <w:rFonts w:hint="eastAsia" w:ascii="仿宋" w:hAnsi="仿宋" w:eastAsia="仿宋" w:cs="宋体"/>
          <w:sz w:val="32"/>
          <w:szCs w:val="32"/>
        </w:rPr>
        <w:t>℃</w:t>
      </w:r>
    </w:p>
    <w:p>
      <w:pPr>
        <w:pStyle w:val="22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d) MS四级杆温度：150℃ </w:t>
      </w:r>
    </w:p>
    <w:p>
      <w:pPr>
        <w:pStyle w:val="22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e) 电离电压：-70V</w:t>
      </w:r>
    </w:p>
    <w:p>
      <w:pPr>
        <w:tabs>
          <w:tab w:val="left" w:pos="7224"/>
        </w:tabs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24" w:name="_Toc102051978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（3）检出限及定量限</w:t>
      </w:r>
      <w:bookmarkEnd w:id="24"/>
    </w:p>
    <w:p>
      <w:pPr>
        <w:pStyle w:val="22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参照国际纯粹与应用化学联合会（IUPAC）和GB/T 5009.1-2003的方法，以3倍基线噪声作为检出限，10倍基线噪声作为定量限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begin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</w:instrText>
      </w:r>
      <w:r>
        <w:rPr>
          <w:rFonts w:hint="eastAsia" w:ascii="仿宋" w:hAnsi="仿宋" w:eastAsia="仿宋"/>
          <w:kern w:val="0"/>
          <w:sz w:val="32"/>
          <w:szCs w:val="32"/>
          <w:vertAlign w:val="superscript"/>
        </w:rPr>
        <w:instrText xml:space="preserve">REF _Ref102052834 \r \h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instrText xml:space="preserve">  \* MERGEFORMAT </w:instrTex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separate"/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t>[6]</w:t>
      </w:r>
      <w:r>
        <w:rPr>
          <w:rFonts w:ascii="仿宋" w:hAnsi="仿宋" w:eastAsia="仿宋"/>
          <w:kern w:val="0"/>
          <w:sz w:val="32"/>
          <w:szCs w:val="32"/>
          <w:vertAlign w:val="superscript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。称样量为1g,定容体积为1mL时，检出限为2.5μg/kg，定量限为10μg/kg</w:t>
      </w:r>
      <w:bookmarkStart w:id="25" w:name="_Toc102051979"/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tabs>
          <w:tab w:val="left" w:pos="7224"/>
        </w:tabs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/>
          <w:b/>
          <w:kern w:val="0"/>
          <w:sz w:val="32"/>
          <w:szCs w:val="32"/>
          <w:lang w:val="zh-CN"/>
        </w:rPr>
        <w:t>（4）标准曲线的建立和线性范围的确定</w:t>
      </w:r>
      <w:bookmarkEnd w:id="25"/>
    </w:p>
    <w:p>
      <w:pPr>
        <w:pStyle w:val="29"/>
        <w:numPr>
          <w:ilvl w:val="0"/>
          <w:numId w:val="0"/>
        </w:numPr>
        <w:spacing w:before="156" w:after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取1000mg/L 2-乙酰基-1-吡咯啉储备液，用空白基质溶液稀释，配成质量浓度分别10，20,50,100,200,500,1000ng/ml的标准工作溶液（参考浓度，可根据实际需要调整）。</w:t>
      </w:r>
    </w:p>
    <w:p>
      <w:pPr>
        <w:pStyle w:val="29"/>
        <w:numPr>
          <w:ilvl w:val="0"/>
          <w:numId w:val="0"/>
        </w:numPr>
        <w:spacing w:before="156" w:after="15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由低质量浓度到高质量依次对标准系列溶液进样，以标准系列溶液中目标组分浓度为横坐标，以其对应的定量离子（83）峰面积为纵坐标，建立校准曲线。校准曲线的相关系数≥0.995，否则重新绘制校准曲线。</w:t>
      </w:r>
    </w:p>
    <w:p>
      <w:pPr>
        <w:pStyle w:val="29"/>
        <w:numPr>
          <w:ilvl w:val="0"/>
          <w:numId w:val="0"/>
        </w:numPr>
        <w:spacing w:before="156" w:after="156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表3 标准曲线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6"/>
        <w:gridCol w:w="3256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编号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浓度</w:t>
            </w:r>
            <w:r>
              <w:rPr>
                <w:rFonts w:hint="eastAsia" w:ascii="仿宋" w:hAnsi="仿宋" w:eastAsia="仿宋"/>
                <w:szCs w:val="21"/>
              </w:rPr>
              <w:t>ng/ml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峰面积Ab*s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St</w:t>
            </w:r>
            <w:r>
              <w:rPr>
                <w:rFonts w:hint="eastAsia" w:ascii="仿宋" w:hAnsi="仿宋" w:eastAsia="仿宋"/>
                <w:szCs w:val="21"/>
              </w:rPr>
              <w:t>d1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</w:t>
            </w:r>
            <w:r>
              <w:rPr>
                <w:rFonts w:hint="eastAsia" w:ascii="仿宋" w:hAnsi="仿宋" w:eastAsia="仿宋"/>
                <w:szCs w:val="21"/>
              </w:rPr>
              <w:t>td2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</w:t>
            </w:r>
            <w:r>
              <w:rPr>
                <w:rFonts w:hint="eastAsia" w:ascii="仿宋" w:hAnsi="仿宋" w:eastAsia="仿宋"/>
                <w:szCs w:val="21"/>
              </w:rPr>
              <w:t>td3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</w:t>
            </w:r>
            <w:r>
              <w:rPr>
                <w:rFonts w:hint="eastAsia" w:ascii="仿宋" w:hAnsi="仿宋" w:eastAsia="仿宋"/>
                <w:szCs w:val="21"/>
              </w:rPr>
              <w:t>td4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</w:t>
            </w:r>
            <w:r>
              <w:rPr>
                <w:rFonts w:hint="eastAsia" w:ascii="仿宋" w:hAnsi="仿宋" w:eastAsia="仿宋"/>
                <w:szCs w:val="21"/>
              </w:rPr>
              <w:t>td5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</w:t>
            </w:r>
            <w:r>
              <w:rPr>
                <w:rFonts w:hint="eastAsia" w:ascii="仿宋" w:hAnsi="仿宋" w:eastAsia="仿宋"/>
                <w:szCs w:val="21"/>
              </w:rPr>
              <w:t>td6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S</w:t>
            </w:r>
            <w:r>
              <w:rPr>
                <w:rFonts w:hint="eastAsia" w:ascii="仿宋" w:hAnsi="仿宋" w:eastAsia="仿宋"/>
                <w:szCs w:val="21"/>
              </w:rPr>
              <w:t>td7</w:t>
            </w:r>
          </w:p>
        </w:tc>
        <w:tc>
          <w:tcPr>
            <w:tcW w:w="325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3254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回归曲线</w:t>
            </w:r>
          </w:p>
        </w:tc>
        <w:tc>
          <w:tcPr>
            <w:tcW w:w="6510" w:type="dxa"/>
            <w:gridSpan w:val="2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Y=28.9X-19.581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3246" w:type="dxa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相关系数</w:t>
            </w:r>
          </w:p>
        </w:tc>
        <w:tc>
          <w:tcPr>
            <w:tcW w:w="6510" w:type="dxa"/>
            <w:gridSpan w:val="2"/>
            <w:vAlign w:val="center"/>
          </w:tcPr>
          <w:p>
            <w:pPr>
              <w:pStyle w:val="29"/>
              <w:widowControl w:val="0"/>
              <w:numPr>
                <w:ilvl w:val="0"/>
                <w:numId w:val="0"/>
              </w:numPr>
              <w:spacing w:before="156" w:after="156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R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=0.9998</w:t>
            </w:r>
          </w:p>
        </w:tc>
      </w:tr>
    </w:tbl>
    <w:p>
      <w:pPr>
        <w:tabs>
          <w:tab w:val="left" w:pos="7224"/>
        </w:tabs>
        <w:spacing w:line="360" w:lineRule="auto"/>
        <w:ind w:firstLine="482" w:firstLineChars="150"/>
        <w:jc w:val="left"/>
        <w:outlineLvl w:val="2"/>
        <w:rPr>
          <w:rFonts w:ascii="宋体" w:hAnsi="宋体"/>
          <w:b/>
          <w:kern w:val="0"/>
          <w:sz w:val="32"/>
          <w:szCs w:val="32"/>
          <w:lang w:val="zh-CN"/>
        </w:rPr>
      </w:pPr>
      <w:bookmarkStart w:id="26" w:name="_Toc102051980"/>
      <w:r>
        <w:rPr>
          <w:rFonts w:hint="eastAsia" w:ascii="宋体" w:hAnsi="宋体"/>
          <w:b/>
          <w:kern w:val="0"/>
          <w:sz w:val="32"/>
          <w:szCs w:val="32"/>
          <w:lang w:val="zh-CN"/>
        </w:rPr>
        <w:t>（5）标准方法的验证数据</w:t>
      </w:r>
      <w:bookmarkEnd w:id="26"/>
    </w:p>
    <w:p>
      <w:pPr>
        <w:pStyle w:val="29"/>
        <w:numPr>
          <w:ilvl w:val="0"/>
          <w:numId w:val="0"/>
        </w:numPr>
        <w:spacing w:before="156" w:after="156"/>
        <w:ind w:left="1078" w:hanging="1078" w:hangingChars="33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详见验证报告。</w:t>
      </w:r>
    </w:p>
    <w:p>
      <w:pPr>
        <w:pStyle w:val="29"/>
        <w:numPr>
          <w:ilvl w:val="0"/>
          <w:numId w:val="0"/>
        </w:numPr>
        <w:spacing w:before="156" w:after="156"/>
        <w:ind w:firstLine="643" w:firstLineChars="200"/>
        <w:outlineLvl w:val="0"/>
        <w:rPr>
          <w:rFonts w:ascii="仿宋" w:hAnsi="仿宋" w:eastAsia="仿宋"/>
          <w:b/>
          <w:kern w:val="2"/>
          <w:sz w:val="32"/>
          <w:szCs w:val="32"/>
        </w:rPr>
      </w:pPr>
      <w:bookmarkStart w:id="27" w:name="_Toc102051981"/>
      <w:r>
        <w:rPr>
          <w:rFonts w:hint="eastAsia" w:ascii="仿宋" w:hAnsi="仿宋" w:eastAsia="仿宋"/>
          <w:b/>
          <w:kern w:val="2"/>
          <w:sz w:val="32"/>
          <w:szCs w:val="32"/>
        </w:rPr>
        <w:t>四、标准实施建议</w:t>
      </w:r>
      <w:bookmarkEnd w:id="27"/>
    </w:p>
    <w:p>
      <w:pPr>
        <w:pStyle w:val="38"/>
        <w:numPr>
          <w:ilvl w:val="0"/>
          <w:numId w:val="4"/>
        </w:numPr>
        <w:ind w:firstLineChars="0"/>
        <w:outlineLvl w:val="1"/>
        <w:rPr>
          <w:rFonts w:ascii="仿宋" w:hAnsi="仿宋" w:eastAsia="仿宋"/>
          <w:b/>
          <w:sz w:val="32"/>
          <w:szCs w:val="32"/>
        </w:rPr>
      </w:pPr>
      <w:bookmarkStart w:id="28" w:name="_Toc102051982"/>
      <w:r>
        <w:rPr>
          <w:rFonts w:hint="eastAsia" w:ascii="仿宋" w:hAnsi="仿宋" w:eastAsia="仿宋"/>
          <w:b/>
          <w:sz w:val="32"/>
          <w:szCs w:val="32"/>
        </w:rPr>
        <w:t>广泛宣传</w:t>
      </w:r>
      <w:bookmarkEnd w:id="28"/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《大米中2-乙酰基-1-吡咯琳含量的测定 气相色谱-质谱法》作为广西今后大米香味评估的参考，各相关单位应充分利用多种形式广泛宣传，营造一个良好氛围。</w:t>
      </w:r>
    </w:p>
    <w:p>
      <w:pPr>
        <w:pStyle w:val="38"/>
        <w:numPr>
          <w:ilvl w:val="0"/>
          <w:numId w:val="4"/>
        </w:numPr>
        <w:ind w:firstLineChars="0"/>
        <w:outlineLvl w:val="1"/>
        <w:rPr>
          <w:rFonts w:ascii="仿宋" w:hAnsi="仿宋" w:eastAsia="仿宋"/>
          <w:b/>
          <w:sz w:val="32"/>
          <w:szCs w:val="32"/>
        </w:rPr>
      </w:pPr>
      <w:bookmarkStart w:id="29" w:name="_Toc102051983"/>
      <w:r>
        <w:rPr>
          <w:rFonts w:hint="eastAsia" w:ascii="仿宋" w:hAnsi="仿宋" w:eastAsia="仿宋"/>
          <w:b/>
          <w:sz w:val="32"/>
          <w:szCs w:val="32"/>
        </w:rPr>
        <w:t>组织实施</w:t>
      </w:r>
      <w:bookmarkEnd w:id="29"/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待标准发布后，相关单位应尽快制定</w:t>
      </w:r>
      <w:r>
        <w:rPr>
          <w:rFonts w:ascii="仿宋" w:hAnsi="仿宋" w:eastAsia="仿宋"/>
          <w:kern w:val="0"/>
          <w:sz w:val="32"/>
          <w:szCs w:val="32"/>
        </w:rPr>
        <w:t>指导</w:t>
      </w:r>
      <w:r>
        <w:rPr>
          <w:rFonts w:hint="eastAsia" w:ascii="仿宋" w:hAnsi="仿宋" w:eastAsia="仿宋"/>
          <w:kern w:val="0"/>
          <w:sz w:val="32"/>
          <w:szCs w:val="32"/>
        </w:rPr>
        <w:t>计划，促使相关单位和个人组织实施。</w:t>
      </w:r>
    </w:p>
    <w:p>
      <w:pPr>
        <w:pStyle w:val="38"/>
        <w:numPr>
          <w:ilvl w:val="0"/>
          <w:numId w:val="4"/>
        </w:numPr>
        <w:ind w:firstLineChars="0"/>
        <w:outlineLvl w:val="1"/>
        <w:rPr>
          <w:rFonts w:ascii="仿宋" w:hAnsi="仿宋" w:eastAsia="仿宋"/>
          <w:b/>
          <w:sz w:val="32"/>
          <w:szCs w:val="32"/>
        </w:rPr>
      </w:pPr>
      <w:bookmarkStart w:id="30" w:name="_Toc102051984"/>
      <w:r>
        <w:rPr>
          <w:rFonts w:hint="eastAsia" w:ascii="仿宋" w:hAnsi="仿宋" w:eastAsia="仿宋"/>
          <w:b/>
          <w:sz w:val="32"/>
          <w:szCs w:val="32"/>
        </w:rPr>
        <w:t>评价和改进</w:t>
      </w:r>
      <w:bookmarkEnd w:id="30"/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定期对《大米中2-乙酰基-1-吡咯琳含量的测定 气相色谱-质谱法》开展科学性、有效性、适宜性的评价，通过评价工作发现目前标准中存在问题和改进的方向，对现有标准进行完善。</w:t>
      </w:r>
    </w:p>
    <w:p>
      <w:pPr>
        <w:pStyle w:val="29"/>
        <w:numPr>
          <w:ilvl w:val="0"/>
          <w:numId w:val="0"/>
        </w:numPr>
        <w:spacing w:before="156" w:after="156"/>
        <w:ind w:firstLine="643" w:firstLineChars="200"/>
        <w:outlineLvl w:val="0"/>
        <w:rPr>
          <w:rFonts w:hint="eastAsia" w:ascii="仿宋" w:hAnsi="仿宋" w:eastAsia="仿宋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color w:val="auto"/>
          <w:kern w:val="2"/>
          <w:sz w:val="32"/>
          <w:szCs w:val="32"/>
        </w:rPr>
        <w:t>、标准水平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（一）、与现有标准及修订中的标准协调配套情况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本文件与现有标准及修订中的标准协调配套，未发现冲突情况。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（二）、涉及国内外专利及处置情况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经查，本文件没有涉及国内外专利。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六、与有关的现行法律、法规和强制性国家标准的关系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本文件与有关现行法律、法规和强制性国家标准具有一致性，无冲突之处。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七、重大分歧意见的处理经过和依据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无。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八.标准作为强制性或推荐性国家（或行业）标准的建议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无。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九.贯彻标准的要求和措施建议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无。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十、废止现行有关标准的建议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无。</w:t>
      </w:r>
    </w:p>
    <w:p>
      <w:pPr>
        <w:ind w:firstLine="643" w:firstLineChars="200"/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十一、其他应予以说明的事项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无。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《大米中2-乙酰基-1-吡咯琳气相色谱-质谱法》</w:t>
      </w:r>
    </w:p>
    <w:p>
      <w:pPr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标准编制组</w:t>
      </w:r>
    </w:p>
    <w:p>
      <w:pPr>
        <w:ind w:firstLine="6080" w:firstLineChars="19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2022年1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35"/>
        <w:autoSpaceDE w:val="0"/>
        <w:autoSpaceDN w:val="0"/>
        <w:adjustRightInd w:val="0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5"/>
        <w:autoSpaceDE w:val="0"/>
        <w:autoSpaceDN w:val="0"/>
        <w:adjustRightInd w:val="0"/>
        <w:ind w:firstLine="0" w:firstLineChars="0"/>
        <w:rPr>
          <w:rFonts w:ascii="仿宋" w:hAnsi="仿宋" w:eastAsia="仿宋"/>
          <w:b/>
          <w:kern w:val="2"/>
          <w:sz w:val="32"/>
          <w:szCs w:val="32"/>
        </w:rPr>
      </w:pPr>
      <w:bookmarkStart w:id="31" w:name="_Toc102051985"/>
      <w:r>
        <w:rPr>
          <w:rFonts w:hint="eastAsia" w:ascii="仿宋" w:hAnsi="仿宋" w:eastAsia="仿宋"/>
          <w:b/>
          <w:kern w:val="2"/>
          <w:sz w:val="32"/>
          <w:szCs w:val="32"/>
        </w:rPr>
        <w:t>参考文献</w:t>
      </w:r>
      <w:bookmarkEnd w:id="31"/>
      <w:r>
        <w:rPr>
          <w:rFonts w:ascii="仿宋" w:hAnsi="仿宋" w:eastAsia="仿宋"/>
          <w:b/>
          <w:kern w:val="2"/>
          <w:sz w:val="32"/>
          <w:szCs w:val="32"/>
        </w:rPr>
        <w:fldChar w:fldCharType="begin"/>
      </w:r>
      <w:r>
        <w:rPr>
          <w:rFonts w:ascii="仿宋" w:hAnsi="仿宋" w:eastAsia="仿宋"/>
          <w:b/>
          <w:kern w:val="2"/>
          <w:sz w:val="32"/>
          <w:szCs w:val="32"/>
        </w:rPr>
        <w:instrText xml:space="preserve"> ADDIN NE.Bib</w:instrText>
      </w:r>
      <w:r>
        <w:rPr>
          <w:rFonts w:ascii="仿宋" w:hAnsi="仿宋" w:eastAsia="仿宋"/>
          <w:b/>
          <w:kern w:val="2"/>
          <w:sz w:val="32"/>
          <w:szCs w:val="32"/>
        </w:rPr>
        <w:fldChar w:fldCharType="separate"/>
      </w:r>
    </w:p>
    <w:p>
      <w:pPr>
        <w:pStyle w:val="38"/>
        <w:numPr>
          <w:ilvl w:val="0"/>
          <w:numId w:val="5"/>
        </w:numPr>
        <w:ind w:firstLineChars="0"/>
        <w:jc w:val="left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lang w:val="zh-CN"/>
        </w:rPr>
        <w:fldChar w:fldCharType="end"/>
      </w:r>
      <w:bookmarkStart w:id="32" w:name="_Ref102052586"/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徐春春,纪龙,陈中督,方福平.中国水稻生产、市场与进出口贸易的回顾与展望[J].中国稻米,2021,27(04):17-21.</w:t>
      </w:r>
      <w:bookmarkEnd w:id="32"/>
    </w:p>
    <w:p>
      <w:pPr>
        <w:pStyle w:val="38"/>
        <w:numPr>
          <w:ilvl w:val="0"/>
          <w:numId w:val="5"/>
        </w:numPr>
        <w:ind w:firstLineChars="0"/>
        <w:jc w:val="left"/>
        <w:rPr>
          <w:rFonts w:cs="微软雅黑" w:asciiTheme="minorEastAsia" w:hAnsiTheme="minorEastAsia" w:eastAsiaTheme="minorEastAsia"/>
          <w:color w:val="333333"/>
          <w:szCs w:val="21"/>
          <w:shd w:val="clear" w:color="auto" w:fill="FFFFFF"/>
        </w:rPr>
      </w:pPr>
      <w:bookmarkStart w:id="33" w:name="_Ref102052636"/>
      <w:r>
        <w:rPr>
          <w:rFonts w:cs="微软雅黑" w:asciiTheme="minorEastAsia" w:hAnsiTheme="minorEastAsia" w:eastAsiaTheme="minorEastAsia"/>
          <w:color w:val="333333"/>
          <w:szCs w:val="21"/>
          <w:shd w:val="clear" w:color="auto" w:fill="FFFFFF"/>
        </w:rPr>
        <w:t>潘登,陈可夫.藤县：“广西香米”扶贫与品牌兼得[J].农家之友,2020(04):11.</w:t>
      </w:r>
      <w:bookmarkEnd w:id="33"/>
    </w:p>
    <w:p>
      <w:pPr>
        <w:pStyle w:val="38"/>
        <w:numPr>
          <w:ilvl w:val="0"/>
          <w:numId w:val="5"/>
        </w:numPr>
        <w:ind w:firstLineChars="0"/>
        <w:jc w:val="left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bookmarkStart w:id="34" w:name="_Ref102052654"/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胡亚微,杨洋,彭锦峰.香米特征香味成分2-乙酰基-1-吡咯啉提取及检测方法研究进展[J].色谱,2020,38(07):768-774.</w:t>
      </w:r>
      <w:bookmarkEnd w:id="34"/>
    </w:p>
    <w:p>
      <w:pPr>
        <w:pStyle w:val="38"/>
        <w:numPr>
          <w:ilvl w:val="0"/>
          <w:numId w:val="5"/>
        </w:numPr>
        <w:ind w:firstLineChars="0"/>
        <w:jc w:val="left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bookmarkStart w:id="35" w:name="_Ref102052718"/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赖政炀,陈孟君,杨钦沾,陆冬萍,曾秋梅.正交法优化水浴加热辅助提取香稻中2-乙酰基吡咯啉含量条件研究[J].现代食品,2020(21):210-214.DOI:10.16736/j.cnki.cn41-1434/ts.2020.21.063.</w:t>
      </w:r>
      <w:bookmarkEnd w:id="35"/>
    </w:p>
    <w:p>
      <w:pPr>
        <w:pStyle w:val="38"/>
        <w:numPr>
          <w:ilvl w:val="0"/>
          <w:numId w:val="5"/>
        </w:numPr>
        <w:ind w:firstLineChars="0"/>
        <w:jc w:val="left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bookmarkStart w:id="36" w:name="_Ref102052727"/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应兴华,徐霞,陈铭学,欧阳由男,朱智伟,闵捷.气相色谱-质谱技术分析香稻特征化合物2-乙酰基吡咯啉[J].色谱,2010,28(08):782-785.</w:t>
      </w:r>
      <w:bookmarkEnd w:id="36"/>
    </w:p>
    <w:p>
      <w:pPr>
        <w:pStyle w:val="38"/>
        <w:numPr>
          <w:ilvl w:val="0"/>
          <w:numId w:val="5"/>
        </w:numPr>
        <w:ind w:firstLineChars="0"/>
        <w:jc w:val="left"/>
        <w:rPr>
          <w:rFonts w:asciiTheme="minorEastAsia" w:hAnsiTheme="minorEastAsia" w:eastAsiaTheme="minorEastAsia"/>
          <w:szCs w:val="21"/>
          <w:lang w:val="zh-CN"/>
        </w:rPr>
      </w:pPr>
      <w:bookmarkStart w:id="37" w:name="_Ref102052834"/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刘洪,饶得花,任永浩,邱友媚,陈兴林,徐振江.香稻香气特征化合物2–乙酰基–1–吡咯啉测定方法的建立[J].湖南农业大学学报(自然科学版),2015,41(03):234-238.DOI:10.13331/j.cnki.jhau.2015.03.002.</w:t>
      </w:r>
      <w:bookmarkEnd w:id="37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82366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65512"/>
    <w:multiLevelType w:val="multilevel"/>
    <w:tmpl w:val="05665512"/>
    <w:lvl w:ilvl="0" w:tentative="0">
      <w:start w:val="1"/>
      <w:numFmt w:val="decimal"/>
      <w:lvlText w:val="[%1]"/>
      <w:lvlJc w:val="left"/>
      <w:pPr>
        <w:ind w:left="112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15BD35FD"/>
    <w:multiLevelType w:val="multilevel"/>
    <w:tmpl w:val="15BD35FD"/>
    <w:lvl w:ilvl="0" w:tentative="0">
      <w:start w:val="1"/>
      <w:numFmt w:val="chineseCountingThousand"/>
      <w:lvlText w:val="(%1)"/>
      <w:lvlJc w:val="left"/>
      <w:pPr>
        <w:ind w:left="1161" w:hanging="420"/>
      </w:pPr>
    </w:lvl>
    <w:lvl w:ilvl="1" w:tentative="0">
      <w:start w:val="1"/>
      <w:numFmt w:val="lowerLetter"/>
      <w:lvlText w:val="%2)"/>
      <w:lvlJc w:val="left"/>
      <w:pPr>
        <w:ind w:left="1581" w:hanging="420"/>
      </w:pPr>
    </w:lvl>
    <w:lvl w:ilvl="2" w:tentative="0">
      <w:start w:val="1"/>
      <w:numFmt w:val="lowerRoman"/>
      <w:lvlText w:val="%3."/>
      <w:lvlJc w:val="right"/>
      <w:pPr>
        <w:ind w:left="2001" w:hanging="420"/>
      </w:pPr>
    </w:lvl>
    <w:lvl w:ilvl="3" w:tentative="0">
      <w:start w:val="1"/>
      <w:numFmt w:val="decimal"/>
      <w:lvlText w:val="%4."/>
      <w:lvlJc w:val="left"/>
      <w:pPr>
        <w:ind w:left="2421" w:hanging="420"/>
      </w:pPr>
    </w:lvl>
    <w:lvl w:ilvl="4" w:tentative="0">
      <w:start w:val="1"/>
      <w:numFmt w:val="lowerLetter"/>
      <w:lvlText w:val="%5)"/>
      <w:lvlJc w:val="left"/>
      <w:pPr>
        <w:ind w:left="2841" w:hanging="420"/>
      </w:pPr>
    </w:lvl>
    <w:lvl w:ilvl="5" w:tentative="0">
      <w:start w:val="1"/>
      <w:numFmt w:val="lowerRoman"/>
      <w:lvlText w:val="%6."/>
      <w:lvlJc w:val="right"/>
      <w:pPr>
        <w:ind w:left="3261" w:hanging="420"/>
      </w:pPr>
    </w:lvl>
    <w:lvl w:ilvl="6" w:tentative="0">
      <w:start w:val="1"/>
      <w:numFmt w:val="decimal"/>
      <w:lvlText w:val="%7."/>
      <w:lvlJc w:val="left"/>
      <w:pPr>
        <w:ind w:left="3681" w:hanging="420"/>
      </w:pPr>
    </w:lvl>
    <w:lvl w:ilvl="7" w:tentative="0">
      <w:start w:val="1"/>
      <w:numFmt w:val="lowerLetter"/>
      <w:lvlText w:val="%8)"/>
      <w:lvlJc w:val="left"/>
      <w:pPr>
        <w:ind w:left="4101" w:hanging="420"/>
      </w:pPr>
    </w:lvl>
    <w:lvl w:ilvl="8" w:tentative="0">
      <w:start w:val="1"/>
      <w:numFmt w:val="lowerRoman"/>
      <w:lvlText w:val="%9."/>
      <w:lvlJc w:val="right"/>
      <w:pPr>
        <w:ind w:left="4521" w:hanging="420"/>
      </w:pPr>
    </w:lvl>
  </w:abstractNum>
  <w:abstractNum w:abstractNumId="2">
    <w:nsid w:val="38DC0DD0"/>
    <w:multiLevelType w:val="multilevel"/>
    <w:tmpl w:val="38DC0DD0"/>
    <w:lvl w:ilvl="0" w:tentative="0">
      <w:start w:val="1"/>
      <w:numFmt w:val="japaneseCounting"/>
      <w:pStyle w:val="29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70D1156"/>
    <w:multiLevelType w:val="multilevel"/>
    <w:tmpl w:val="470D1156"/>
    <w:lvl w:ilvl="0" w:tentative="0">
      <w:start w:val="1"/>
      <w:numFmt w:val="chineseCountingThousand"/>
      <w:lvlText w:val="(%1)"/>
      <w:lvlJc w:val="left"/>
      <w:pPr>
        <w:ind w:left="1128" w:hanging="420"/>
      </w:p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68D04673"/>
    <w:multiLevelType w:val="multilevel"/>
    <w:tmpl w:val="68D04673"/>
    <w:lvl w:ilvl="0" w:tentative="0">
      <w:start w:val="1"/>
      <w:numFmt w:val="chineseCountingThousand"/>
      <w:lvlText w:val="(%1)"/>
      <w:lvlJc w:val="left"/>
      <w:pPr>
        <w:ind w:left="1223" w:hanging="420"/>
      </w:pPr>
    </w:lvl>
    <w:lvl w:ilvl="1" w:tentative="0">
      <w:start w:val="1"/>
      <w:numFmt w:val="lowerLetter"/>
      <w:lvlText w:val="%2)"/>
      <w:lvlJc w:val="left"/>
      <w:pPr>
        <w:ind w:left="1643" w:hanging="420"/>
      </w:pPr>
    </w:lvl>
    <w:lvl w:ilvl="2" w:tentative="0">
      <w:start w:val="1"/>
      <w:numFmt w:val="lowerRoman"/>
      <w:lvlText w:val="%3."/>
      <w:lvlJc w:val="right"/>
      <w:pPr>
        <w:ind w:left="2063" w:hanging="420"/>
      </w:pPr>
    </w:lvl>
    <w:lvl w:ilvl="3" w:tentative="0">
      <w:start w:val="1"/>
      <w:numFmt w:val="decimal"/>
      <w:lvlText w:val="%4."/>
      <w:lvlJc w:val="left"/>
      <w:pPr>
        <w:ind w:left="2483" w:hanging="420"/>
      </w:pPr>
    </w:lvl>
    <w:lvl w:ilvl="4" w:tentative="0">
      <w:start w:val="1"/>
      <w:numFmt w:val="lowerLetter"/>
      <w:lvlText w:val="%5)"/>
      <w:lvlJc w:val="left"/>
      <w:pPr>
        <w:ind w:left="2903" w:hanging="420"/>
      </w:pPr>
    </w:lvl>
    <w:lvl w:ilvl="5" w:tentative="0">
      <w:start w:val="1"/>
      <w:numFmt w:val="lowerRoman"/>
      <w:lvlText w:val="%6."/>
      <w:lvlJc w:val="right"/>
      <w:pPr>
        <w:ind w:left="3323" w:hanging="420"/>
      </w:pPr>
    </w:lvl>
    <w:lvl w:ilvl="6" w:tentative="0">
      <w:start w:val="1"/>
      <w:numFmt w:val="decimal"/>
      <w:lvlText w:val="%7."/>
      <w:lvlJc w:val="left"/>
      <w:pPr>
        <w:ind w:left="3743" w:hanging="420"/>
      </w:pPr>
    </w:lvl>
    <w:lvl w:ilvl="7" w:tentative="0">
      <w:start w:val="1"/>
      <w:numFmt w:val="lowerLetter"/>
      <w:lvlText w:val="%8)"/>
      <w:lvlJc w:val="left"/>
      <w:pPr>
        <w:ind w:left="4163" w:hanging="420"/>
      </w:pPr>
    </w:lvl>
    <w:lvl w:ilvl="8" w:tentative="0">
      <w:start w:val="1"/>
      <w:numFmt w:val="lowerRoman"/>
      <w:lvlText w:val="%9."/>
      <w:lvlJc w:val="right"/>
      <w:pPr>
        <w:ind w:left="4583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mYyYTgwMTU3NDg4ZmM4MWY1NzZjYTEwOWMyNjAifQ=="/>
  </w:docVars>
  <w:rsids>
    <w:rsidRoot w:val="00AA5C08"/>
    <w:rsid w:val="00026100"/>
    <w:rsid w:val="00056032"/>
    <w:rsid w:val="00056A6D"/>
    <w:rsid w:val="000623AC"/>
    <w:rsid w:val="000818FD"/>
    <w:rsid w:val="000861B2"/>
    <w:rsid w:val="00095C7B"/>
    <w:rsid w:val="000A1288"/>
    <w:rsid w:val="000B7EF7"/>
    <w:rsid w:val="000E2864"/>
    <w:rsid w:val="000E421A"/>
    <w:rsid w:val="000F34B5"/>
    <w:rsid w:val="001174B6"/>
    <w:rsid w:val="00137AB6"/>
    <w:rsid w:val="00180AFA"/>
    <w:rsid w:val="001C265B"/>
    <w:rsid w:val="001E3B01"/>
    <w:rsid w:val="001E6065"/>
    <w:rsid w:val="00204252"/>
    <w:rsid w:val="00207F78"/>
    <w:rsid w:val="002259D2"/>
    <w:rsid w:val="002465DD"/>
    <w:rsid w:val="00256680"/>
    <w:rsid w:val="002576D9"/>
    <w:rsid w:val="0026134F"/>
    <w:rsid w:val="002C29D3"/>
    <w:rsid w:val="002F712D"/>
    <w:rsid w:val="0033421C"/>
    <w:rsid w:val="00373984"/>
    <w:rsid w:val="00397CFF"/>
    <w:rsid w:val="003A26C2"/>
    <w:rsid w:val="003B19DE"/>
    <w:rsid w:val="003B4125"/>
    <w:rsid w:val="003C6065"/>
    <w:rsid w:val="003D0769"/>
    <w:rsid w:val="003F4128"/>
    <w:rsid w:val="00400910"/>
    <w:rsid w:val="00427772"/>
    <w:rsid w:val="004639C3"/>
    <w:rsid w:val="00485023"/>
    <w:rsid w:val="00495F3C"/>
    <w:rsid w:val="004A23B4"/>
    <w:rsid w:val="004C66EF"/>
    <w:rsid w:val="004C69F0"/>
    <w:rsid w:val="004D1507"/>
    <w:rsid w:val="0051073A"/>
    <w:rsid w:val="00513A40"/>
    <w:rsid w:val="00552BAA"/>
    <w:rsid w:val="00561427"/>
    <w:rsid w:val="005B0E00"/>
    <w:rsid w:val="005B35BB"/>
    <w:rsid w:val="005E1E77"/>
    <w:rsid w:val="005F2E98"/>
    <w:rsid w:val="0064579C"/>
    <w:rsid w:val="0065468A"/>
    <w:rsid w:val="006E7EA4"/>
    <w:rsid w:val="0072628A"/>
    <w:rsid w:val="00781632"/>
    <w:rsid w:val="007821AD"/>
    <w:rsid w:val="00795C25"/>
    <w:rsid w:val="007C483D"/>
    <w:rsid w:val="008146C3"/>
    <w:rsid w:val="008364E2"/>
    <w:rsid w:val="00844CA2"/>
    <w:rsid w:val="0085342F"/>
    <w:rsid w:val="0087730E"/>
    <w:rsid w:val="00893553"/>
    <w:rsid w:val="00895A91"/>
    <w:rsid w:val="008B0C8B"/>
    <w:rsid w:val="008B3B51"/>
    <w:rsid w:val="008C7765"/>
    <w:rsid w:val="00907D4E"/>
    <w:rsid w:val="00923031"/>
    <w:rsid w:val="00934BFF"/>
    <w:rsid w:val="00935109"/>
    <w:rsid w:val="009353B5"/>
    <w:rsid w:val="00946105"/>
    <w:rsid w:val="00964470"/>
    <w:rsid w:val="009B1E1B"/>
    <w:rsid w:val="009C2079"/>
    <w:rsid w:val="009C60EC"/>
    <w:rsid w:val="009D52E3"/>
    <w:rsid w:val="00A261C2"/>
    <w:rsid w:val="00A40F25"/>
    <w:rsid w:val="00A5214E"/>
    <w:rsid w:val="00A620A2"/>
    <w:rsid w:val="00A77492"/>
    <w:rsid w:val="00A92F4F"/>
    <w:rsid w:val="00AA26C5"/>
    <w:rsid w:val="00AA5C08"/>
    <w:rsid w:val="00AB1CFC"/>
    <w:rsid w:val="00AE4DC2"/>
    <w:rsid w:val="00AF1D35"/>
    <w:rsid w:val="00B143DC"/>
    <w:rsid w:val="00B25CBE"/>
    <w:rsid w:val="00B3099E"/>
    <w:rsid w:val="00B33BC4"/>
    <w:rsid w:val="00B43138"/>
    <w:rsid w:val="00B56FBF"/>
    <w:rsid w:val="00B766F6"/>
    <w:rsid w:val="00BA49ED"/>
    <w:rsid w:val="00BA5523"/>
    <w:rsid w:val="00BC164E"/>
    <w:rsid w:val="00BD7FC2"/>
    <w:rsid w:val="00BE6F94"/>
    <w:rsid w:val="00C04024"/>
    <w:rsid w:val="00C3302D"/>
    <w:rsid w:val="00C6512C"/>
    <w:rsid w:val="00C66C84"/>
    <w:rsid w:val="00C905AC"/>
    <w:rsid w:val="00C93AE6"/>
    <w:rsid w:val="00CD1D05"/>
    <w:rsid w:val="00CE68A9"/>
    <w:rsid w:val="00D16C62"/>
    <w:rsid w:val="00D4071B"/>
    <w:rsid w:val="00D44365"/>
    <w:rsid w:val="00D61AB7"/>
    <w:rsid w:val="00D66635"/>
    <w:rsid w:val="00D66E7B"/>
    <w:rsid w:val="00D931AC"/>
    <w:rsid w:val="00DA019A"/>
    <w:rsid w:val="00DB2E65"/>
    <w:rsid w:val="00DC2E8E"/>
    <w:rsid w:val="00DC6839"/>
    <w:rsid w:val="00E10925"/>
    <w:rsid w:val="00E11B9B"/>
    <w:rsid w:val="00E2023B"/>
    <w:rsid w:val="00E50479"/>
    <w:rsid w:val="00E54DAE"/>
    <w:rsid w:val="00E613EF"/>
    <w:rsid w:val="00E6221F"/>
    <w:rsid w:val="00ED2B13"/>
    <w:rsid w:val="00EE6552"/>
    <w:rsid w:val="00F048AC"/>
    <w:rsid w:val="00F1569A"/>
    <w:rsid w:val="00F50F67"/>
    <w:rsid w:val="00F637C7"/>
    <w:rsid w:val="00F67EC7"/>
    <w:rsid w:val="00F71812"/>
    <w:rsid w:val="00FA1132"/>
    <w:rsid w:val="00FA3D3A"/>
    <w:rsid w:val="00FB1871"/>
    <w:rsid w:val="00FB1CC2"/>
    <w:rsid w:val="046131E5"/>
    <w:rsid w:val="0C7A7696"/>
    <w:rsid w:val="0D953C69"/>
    <w:rsid w:val="1154037B"/>
    <w:rsid w:val="13AD6D4F"/>
    <w:rsid w:val="1C913B5A"/>
    <w:rsid w:val="21B2571B"/>
    <w:rsid w:val="22AD1A45"/>
    <w:rsid w:val="23586E10"/>
    <w:rsid w:val="24544914"/>
    <w:rsid w:val="29EB3D68"/>
    <w:rsid w:val="2F6D18BB"/>
    <w:rsid w:val="35137087"/>
    <w:rsid w:val="3748095C"/>
    <w:rsid w:val="3D653486"/>
    <w:rsid w:val="455030B4"/>
    <w:rsid w:val="4BB569F8"/>
    <w:rsid w:val="52F169B6"/>
    <w:rsid w:val="5E5A0A7E"/>
    <w:rsid w:val="70587259"/>
    <w:rsid w:val="7C556F2D"/>
    <w:rsid w:val="7D20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endnote text"/>
    <w:basedOn w:val="1"/>
    <w:link w:val="39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footnote text"/>
    <w:basedOn w:val="1"/>
    <w:link w:val="4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styleId="20">
    <w:name w:val="footnote reference"/>
    <w:basedOn w:val="16"/>
    <w:semiHidden/>
    <w:unhideWhenUsed/>
    <w:qFormat/>
    <w:uiPriority w:val="99"/>
    <w:rPr>
      <w:vertAlign w:val="superscript"/>
    </w:rPr>
  </w:style>
  <w:style w:type="character" w:customStyle="1" w:styleId="21">
    <w:name w:val="段 Char"/>
    <w:link w:val="22"/>
    <w:qFormat/>
    <w:uiPriority w:val="0"/>
    <w:rPr>
      <w:rFonts w:ascii="宋体"/>
    </w:rPr>
  </w:style>
  <w:style w:type="paragraph" w:customStyle="1" w:styleId="22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章标题"/>
    <w:next w:val="22"/>
    <w:qFormat/>
    <w:uiPriority w:val="0"/>
    <w:pPr>
      <w:spacing w:before="312" w:beforeLines="100" w:after="312" w:afterLines="100"/>
      <w:ind w:left="72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标准文件_段"/>
    <w:link w:val="2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8">
    <w:name w:val="标准文件_段 Char"/>
    <w:link w:val="2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9">
    <w:name w:val="字母编号列项（一级）"/>
    <w:qFormat/>
    <w:uiPriority w:val="0"/>
    <w:pPr>
      <w:numPr>
        <w:ilvl w:val="0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页眉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16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框文本 Char"/>
    <w:basedOn w:val="16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标题 1 Char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文字 Char"/>
    <w:basedOn w:val="16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7">
    <w:name w:val="批注主题 Char"/>
    <w:basedOn w:val="36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尾注文本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脚注文本 Char"/>
    <w:basedOn w:val="16"/>
    <w:link w:val="1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1CBB-830F-42D7-A108-08408F006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3930</Words>
  <Characters>4709</Characters>
  <Lines>48</Lines>
  <Paragraphs>13</Paragraphs>
  <TotalTime>1</TotalTime>
  <ScaleCrop>false</ScaleCrop>
  <LinksUpToDate>false</LinksUpToDate>
  <CharactersWithSpaces>4835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2021-06-10T00:41:00Z</dcterms:created>
  <dc:creator>文斌</dc:creator>
  <cp:lastModifiedBy>大猩猩</cp:lastModifiedBy>
  <dcterms:modified xsi:type="dcterms:W3CDTF">2022-12-29T07:21:52Z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ACC7E35D974A4103AACBE9735831011A</vt:lpwstr>
  </property>
</Properties>
</file>