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65.080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924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G 21</w:t>
            </w:r>
            <w:r>
              <w:rPr>
                <w:rFonts w:ascii="黑体" w:hAnsi="黑体" w:eastAsia="黑体"/>
                <w:sz w:val="21"/>
                <w:szCs w:val="21"/>
              </w:rPr>
              <w:fldChar w:fldCharType="end"/>
            </w:r>
            <w:bookmarkEnd w:id="1"/>
          </w:p>
        </w:tc>
      </w:tr>
    </w:tbl>
    <w:p>
      <w:pPr>
        <w:pStyle w:val="50"/>
        <w:framePr w:w="9639" w:h="624" w:hRule="exact" w:hSpace="181" w:vSpace="181" w:wrap="around" w:hAnchor="page" w:x="1305" w:y="2269"/>
        <w:rPr>
          <w:rFonts w:ascii="黑体" w:hAnsi="黑体" w:eastAsia="黑体"/>
          <w:b w:val="0"/>
          <w:bCs w:val="0"/>
          <w:w w:val="100"/>
          <w:sz w:val="48"/>
          <w:szCs w:val="48"/>
        </w:rPr>
      </w:pPr>
      <w:bookmarkStart w:id="2"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2"/>
    <w:p>
      <w:pPr>
        <w:pStyle w:val="195"/>
        <w:framePr w:wrap="around"/>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GXAF</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rPr>
          <w:rFonts w:hint="eastAsia"/>
          <w:lang w:eastAsia="zh-CN"/>
        </w:rPr>
        <w:t>X</w:t>
      </w:r>
      <w:r>
        <w:rPr>
          <w:rFonts w:hint="eastAsia"/>
          <w:lang w:val="en-US" w:eastAsia="zh-CN"/>
        </w:rPr>
        <w:t>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rPr>
          <w:rFonts w:hint="eastAsia"/>
          <w:lang w:eastAsia="zh-CN"/>
        </w:rPr>
        <w:t>X</w:t>
      </w:r>
      <w:r>
        <w:rPr>
          <w:rFonts w:hint="eastAsia"/>
          <w:lang w:val="en-US" w:eastAsia="zh-CN"/>
        </w:rPr>
        <w:t>XXX</w:t>
      </w:r>
      <w:r>
        <w:fldChar w:fldCharType="end"/>
      </w:r>
      <w:bookmarkEnd w:id="5"/>
    </w:p>
    <w:p>
      <w:pPr>
        <w:pStyle w:val="196"/>
        <w:framePr w:wrap="around"/>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 xml:space="preserve">大米中风味物质2-乙酰基-1-吡咯啉含量的测定 </w:t>
      </w:r>
    </w:p>
    <w:p>
      <w:pPr>
        <w:pStyle w:val="197"/>
        <w:framePr w:h="6974" w:hRule="exact" w:wrap="around" w:x="1419" w:anchorLock="1"/>
      </w:pPr>
      <w:r>
        <w:rPr>
          <w:rFonts w:hint="eastAsia"/>
        </w:rPr>
        <w:t>气相色谱质谱法</w:t>
      </w:r>
      <w:r>
        <w:fldChar w:fldCharType="end"/>
      </w:r>
      <w:bookmarkEnd w:id="7"/>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hint="eastAsia" w:eastAsia="黑体"/>
          <w:szCs w:val="28"/>
        </w:rPr>
        <w:t>Determination of 2-acetyl-1-pyrroline in rice by gas chromatography-mass spectrometry</w:t>
      </w:r>
      <w:r>
        <w:rPr>
          <w:rFonts w:eastAsia="黑体"/>
          <w:szCs w:val="28"/>
        </w:rPr>
        <w:t> </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pPr>
        <w:pStyle w:val="125"/>
        <w:framePr w:w="9639" w:h="6974" w:hRule="exact" w:wrap="around" w:vAnchor="page" w:hAnchor="page" w:x="1419" w:y="6408" w:anchorLock="1"/>
        <w:spacing w:before="180" w:line="240" w:lineRule="atLeast"/>
        <w:textAlignment w:val="bottom"/>
        <w:rPr>
          <w:sz w:val="21"/>
          <w:szCs w:val="28"/>
        </w:rPr>
      </w:pPr>
    </w:p>
    <w:p>
      <w:pPr>
        <w:pStyle w:val="125"/>
        <w:framePr w:w="9639" w:h="6974" w:hRule="exact" w:wrap="around" w:vAnchor="page" w:hAnchor="page" w:x="1419" w:y="6408" w:anchorLock="1"/>
        <w:spacing w:before="720" w:beforeLines="300" w:after="72" w:afterLines="30" w:line="240" w:lineRule="auto"/>
        <w:textAlignment w:val="bottom"/>
        <w:rPr>
          <w:b/>
          <w:sz w:val="21"/>
          <w:szCs w:val="28"/>
        </w:rPr>
      </w:pPr>
    </w:p>
    <w:p>
      <w:pPr>
        <w:pStyle w:val="193"/>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fldChar w:fldCharType="separate"/>
      </w:r>
      <w:r>
        <w:rPr>
          <w:rFonts w:ascii="黑体"/>
        </w:rPr>
        <w:t>20</w:t>
      </w:r>
      <w:r>
        <w:rPr>
          <w:rFonts w:hint="eastAsia" w:ascii="黑体"/>
          <w:lang w:val="en-US" w:eastAsia="zh-CN"/>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2"/>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20</w:t>
      </w:r>
      <w:r>
        <w:rPr>
          <w:rFonts w:hint="eastAsia" w:ascii="黑体"/>
          <w:lang w:val="en-US" w:eastAsia="zh-CN"/>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5"/>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广西肥料协会</w:t>
      </w:r>
      <w:r>
        <w:rPr>
          <w:rFonts w:hAnsi="黑体"/>
          <w:w w:val="100"/>
          <w:sz w:val="28"/>
        </w:rPr>
        <w:fldChar w:fldCharType="end"/>
      </w:r>
      <w:bookmarkEnd w:id="16"/>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pPr>
        <w:pStyle w:val="89"/>
        <w:spacing w:after="360"/>
      </w:pPr>
      <w:bookmarkStart w:id="17"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p>
    <w:p>
      <w:pPr>
        <w:pStyle w:val="56"/>
        <w:ind w:firstLine="420"/>
        <w:rPr>
          <w:rFonts w:hint="eastAsia"/>
        </w:rPr>
      </w:pPr>
      <w:r>
        <w:rPr>
          <w:rFonts w:hint="eastAsia"/>
        </w:rPr>
        <w:t>请注意本文件的某些内容可能涉及专利。本文件的发布机构不承担识别专利的责任。</w:t>
      </w:r>
    </w:p>
    <w:p>
      <w:pPr>
        <w:pStyle w:val="56"/>
        <w:ind w:firstLine="420"/>
        <w:rPr>
          <w:rFonts w:hint="eastAsia"/>
        </w:rPr>
      </w:pPr>
      <w:r>
        <w:rPr>
          <w:rFonts w:hint="eastAsia"/>
        </w:rPr>
        <w:t>本文件由广西壮族自治区分析测试研究中心提出。</w:t>
      </w:r>
    </w:p>
    <w:p>
      <w:pPr>
        <w:pStyle w:val="56"/>
        <w:ind w:firstLine="420"/>
        <w:rPr>
          <w:rFonts w:hint="eastAsia"/>
        </w:rPr>
      </w:pPr>
      <w:r>
        <w:rPr>
          <w:rFonts w:hint="eastAsia"/>
        </w:rPr>
        <w:t>本文件由广西肥料协会归口。</w:t>
      </w:r>
    </w:p>
    <w:p>
      <w:pPr>
        <w:pStyle w:val="56"/>
        <w:ind w:firstLine="420"/>
        <w:rPr>
          <w:rFonts w:hint="eastAsia"/>
        </w:rPr>
      </w:pPr>
      <w:r>
        <w:rPr>
          <w:rFonts w:hint="eastAsia"/>
        </w:rPr>
        <w:t>本文件起草单位：广西壮族自治区分析测试研究中心、广西大学、广西西大检测有限公司、广西壮族自治区产品质量检验研究院。</w:t>
      </w:r>
    </w:p>
    <w:p>
      <w:pPr>
        <w:pStyle w:val="56"/>
        <w:ind w:firstLine="420"/>
        <w:rPr>
          <w:rFonts w:hint="eastAsia"/>
        </w:rPr>
      </w:pPr>
      <w:r>
        <w:rPr>
          <w:rFonts w:hint="eastAsia"/>
        </w:rPr>
        <w:t>本文件主要起草人：范晓苏、韦婷彦、黄一帆、裴根、潘扬昌、黄宏飞、沈方科、刘双斌、何善廉、陈桂鸾、韦英亮、梁鑫佳、莫达松。</w:t>
      </w:r>
    </w:p>
    <w:p>
      <w:pPr>
        <w:pStyle w:val="56"/>
        <w:ind w:firstLine="420"/>
        <w:rPr>
          <w:highlight w:val="yellow"/>
        </w:rPr>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linePitch="312" w:charSpace="0"/>
        </w:sectPr>
      </w:pPr>
      <w:bookmarkStart w:id="39" w:name="_GoBack"/>
      <w:bookmarkEnd w:id="39"/>
    </w:p>
    <w:bookmarkEnd w:id="17"/>
    <w:p>
      <w:pPr>
        <w:spacing w:line="20" w:lineRule="exact"/>
        <w:jc w:val="center"/>
        <w:rPr>
          <w:rFonts w:ascii="黑体" w:hAnsi="黑体" w:eastAsia="黑体"/>
          <w:sz w:val="32"/>
          <w:szCs w:val="32"/>
        </w:rPr>
      </w:pPr>
      <w:bookmarkStart w:id="18" w:name="BookMark4"/>
    </w:p>
    <w:p>
      <w:pPr>
        <w:spacing w:line="20" w:lineRule="exact"/>
        <w:jc w:val="center"/>
        <w:rPr>
          <w:rFonts w:ascii="黑体" w:hAnsi="黑体" w:eastAsia="黑体"/>
          <w:sz w:val="32"/>
          <w:szCs w:val="32"/>
        </w:rPr>
      </w:pPr>
    </w:p>
    <w:sdt>
      <w:sdtPr>
        <w:tag w:val="NEW_STAND_NAME"/>
        <w:id w:val="595910757"/>
        <w:lock w:val="sdtLocked"/>
        <w:placeholder>
          <w:docPart w:val="F48942916A9C46E898419A5B9A06E5FB"/>
        </w:placeholder>
      </w:sdtPr>
      <w:sdtEndPr>
        <w:rPr>
          <w:rFonts w:hint="eastAsia"/>
        </w:rPr>
      </w:sdtEndPr>
      <w:sdtContent>
        <w:p>
          <w:pPr>
            <w:pStyle w:val="177"/>
            <w:spacing w:before="2" w:beforeLines="1" w:after="528" w:afterLines="220"/>
          </w:pPr>
          <w:bookmarkStart w:id="19" w:name="NEW_STAND_NAME"/>
          <w:r>
            <w:rPr>
              <w:rFonts w:hint="eastAsia"/>
            </w:rPr>
            <w:t>大米中风味物质2-乙酰基-1-吡咯啉含量的测定 气相色谱质谱法</w:t>
          </w:r>
        </w:p>
      </w:sdtContent>
    </w:sdt>
    <w:bookmarkEnd w:id="19"/>
    <w:p>
      <w:pPr>
        <w:pStyle w:val="104"/>
        <w:spacing w:before="240" w:after="240"/>
      </w:pPr>
      <w:bookmarkStart w:id="20" w:name="_Toc17233333"/>
      <w:bookmarkStart w:id="21" w:name="_Toc26718930"/>
      <w:bookmarkStart w:id="22" w:name="_Toc24884211"/>
      <w:bookmarkStart w:id="23" w:name="_Toc26986771"/>
      <w:bookmarkStart w:id="24" w:name="_Toc26648465"/>
      <w:bookmarkStart w:id="25" w:name="_Toc24884218"/>
      <w:bookmarkStart w:id="26" w:name="_Toc17233325"/>
      <w:bookmarkStart w:id="27" w:name="_Toc26986530"/>
      <w:r>
        <w:rPr>
          <w:rFonts w:hint="eastAsia"/>
        </w:rPr>
        <w:t>范围</w:t>
      </w:r>
      <w:bookmarkEnd w:id="20"/>
      <w:bookmarkEnd w:id="21"/>
      <w:bookmarkEnd w:id="22"/>
      <w:bookmarkEnd w:id="23"/>
      <w:bookmarkEnd w:id="24"/>
      <w:bookmarkEnd w:id="25"/>
      <w:bookmarkEnd w:id="26"/>
      <w:bookmarkEnd w:id="27"/>
    </w:p>
    <w:p>
      <w:pPr>
        <w:pStyle w:val="56"/>
        <w:ind w:firstLine="420"/>
      </w:pPr>
      <w:bookmarkStart w:id="28" w:name="_Toc24884212"/>
      <w:bookmarkStart w:id="29" w:name="_Toc17233334"/>
      <w:bookmarkStart w:id="30" w:name="_Toc17233326"/>
      <w:bookmarkStart w:id="31" w:name="_Toc26648466"/>
      <w:bookmarkStart w:id="32" w:name="_Toc24884219"/>
      <w:r>
        <w:rPr>
          <w:rFonts w:hint="eastAsia"/>
        </w:rPr>
        <w:t>本文件描述了气相色谱质谱法测定大米中</w:t>
      </w:r>
      <w:bookmarkStart w:id="33" w:name="_Hlk107497834"/>
      <w:r>
        <w:rPr>
          <w:rFonts w:hint="eastAsia"/>
        </w:rPr>
        <w:t>风味物质</w:t>
      </w:r>
      <w:bookmarkEnd w:id="33"/>
      <w:r>
        <w:rPr>
          <w:rFonts w:hint="eastAsia"/>
        </w:rPr>
        <w:t>2-乙酰基-1-吡咯啉含量的原理，规定了试剂和材料、仪器和设备、分析步骤、结果计算和表述、精密度等的要求。</w:t>
      </w:r>
    </w:p>
    <w:p>
      <w:pPr>
        <w:pStyle w:val="56"/>
        <w:ind w:firstLine="420"/>
      </w:pPr>
      <w:r>
        <w:rPr>
          <w:rFonts w:hint="eastAsia"/>
        </w:rPr>
        <w:t>本文件适用于大米中风味物质2-乙酰基-1-吡咯啉含量的测定。</w:t>
      </w:r>
    </w:p>
    <w:p>
      <w:pPr>
        <w:pStyle w:val="104"/>
        <w:spacing w:before="240" w:after="240"/>
      </w:pPr>
      <w:bookmarkStart w:id="34" w:name="_Toc26986531"/>
      <w:bookmarkStart w:id="35" w:name="_Toc26986772"/>
      <w:bookmarkStart w:id="36" w:name="_Toc26718931"/>
      <w:r>
        <w:rPr>
          <w:rFonts w:hint="eastAsia"/>
        </w:rPr>
        <w:t>规范性引用文件</w:t>
      </w:r>
      <w:bookmarkEnd w:id="28"/>
      <w:bookmarkEnd w:id="29"/>
      <w:bookmarkEnd w:id="30"/>
      <w:bookmarkEnd w:id="31"/>
      <w:bookmarkEnd w:id="32"/>
      <w:bookmarkEnd w:id="34"/>
      <w:bookmarkEnd w:id="35"/>
      <w:bookmarkEnd w:id="36"/>
    </w:p>
    <w:sdt>
      <w:sdtPr>
        <w:rPr>
          <w:rFonts w:hint="eastAsia"/>
        </w:rPr>
        <w:id w:val="715848253"/>
        <w:placeholder>
          <w:docPart w:val="B3B4CEF93BF243109B9E2B936847B91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 xml:space="preserve">GB/T 5491 </w:t>
      </w:r>
      <w:r>
        <w:t xml:space="preserve"> </w:t>
      </w:r>
      <w:r>
        <w:rPr>
          <w:rFonts w:hint="eastAsia"/>
        </w:rPr>
        <w:t>粮食、油料检验 扦样、分样法</w:t>
      </w:r>
    </w:p>
    <w:p>
      <w:pPr>
        <w:pStyle w:val="56"/>
        <w:ind w:firstLine="420"/>
      </w:pPr>
      <w:r>
        <w:rPr>
          <w:rFonts w:hint="eastAsia"/>
        </w:rPr>
        <w:t>GB/T 6682  分析实验室用水规格和试验方法</w:t>
      </w:r>
    </w:p>
    <w:p>
      <w:pPr>
        <w:pStyle w:val="104"/>
        <w:spacing w:before="240" w:after="240"/>
      </w:pPr>
      <w:bookmarkStart w:id="37" w:name="_Toc97191425"/>
      <w:r>
        <w:rPr>
          <w:rFonts w:hint="eastAsia"/>
          <w:szCs w:val="21"/>
        </w:rPr>
        <w:t>术语和定义</w:t>
      </w:r>
      <w:bookmarkEnd w:id="37"/>
    </w:p>
    <w:sdt>
      <w:sdtPr>
        <w:id w:val="-1909835108"/>
        <w:placeholder>
          <w:docPart w:val="{e26db448-b590-4f8c-9a17-2b11c40e32b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r>
            <w:t>本文件没有需要界定的术语和定义。</w:t>
          </w:r>
        </w:p>
      </w:sdtContent>
    </w:sdt>
    <w:p>
      <w:pPr>
        <w:pStyle w:val="104"/>
        <w:spacing w:before="240" w:after="240"/>
      </w:pPr>
      <w:r>
        <w:rPr>
          <w:rFonts w:hint="eastAsia"/>
          <w:szCs w:val="21"/>
        </w:rPr>
        <w:t>原理</w:t>
      </w:r>
    </w:p>
    <w:sdt>
      <w:sdtPr>
        <w:id w:val="-505279646"/>
        <w:placeholder>
          <w:docPart w:val="2C3C7EFDF5054335A09A59A6A7BB76A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38" w:name="_Toc26986532"/>
          <w:bookmarkEnd w:id="38"/>
          <w:r>
            <w:rPr>
              <w:rFonts w:hint="eastAsia"/>
            </w:rPr>
            <w:t>大米试样在水浴加热条件下经二氯甲烷提取，气相色谱-质谱法测定，内标法定量。</w:t>
          </w:r>
        </w:p>
      </w:sdtContent>
    </w:sdt>
    <w:p>
      <w:pPr>
        <w:pStyle w:val="104"/>
        <w:spacing w:before="240" w:after="240"/>
      </w:pPr>
      <w:r>
        <w:rPr>
          <w:rFonts w:hint="eastAsia"/>
        </w:rPr>
        <w:t>试剂和材料</w:t>
      </w:r>
    </w:p>
    <w:p>
      <w:pPr>
        <w:pStyle w:val="105"/>
        <w:spacing w:before="120" w:after="120"/>
        <w:ind w:left="0"/>
        <w:rPr>
          <w:rFonts w:ascii="宋体" w:eastAsia="宋体"/>
        </w:rPr>
      </w:pPr>
      <w:r>
        <w:rPr>
          <w:rFonts w:hint="eastAsia" w:ascii="宋体" w:eastAsia="宋体"/>
        </w:rPr>
        <w:t>除特别说明外，下列试剂均为分析纯。</w:t>
      </w:r>
    </w:p>
    <w:p>
      <w:pPr>
        <w:pStyle w:val="105"/>
        <w:spacing w:before="120" w:after="120"/>
        <w:ind w:left="0"/>
        <w:rPr>
          <w:rFonts w:ascii="宋体" w:eastAsia="宋体"/>
        </w:rPr>
      </w:pPr>
      <w:r>
        <w:rPr>
          <w:rFonts w:hint="eastAsia" w:ascii="宋体" w:eastAsia="宋体"/>
        </w:rPr>
        <w:t>水为GB/T 6682 规定的一级水</w:t>
      </w:r>
    </w:p>
    <w:p>
      <w:pPr>
        <w:pStyle w:val="105"/>
        <w:spacing w:before="120" w:after="120"/>
        <w:ind w:left="0"/>
        <w:rPr>
          <w:rFonts w:ascii="宋体" w:eastAsia="宋体"/>
        </w:rPr>
      </w:pPr>
      <w:r>
        <w:rPr>
          <w:rFonts w:hint="eastAsia" w:ascii="宋体" w:eastAsia="宋体"/>
        </w:rPr>
        <w:t>二氯甲烷：色谱纯</w:t>
      </w:r>
    </w:p>
    <w:p>
      <w:pPr>
        <w:pStyle w:val="105"/>
        <w:spacing w:before="120" w:after="120"/>
        <w:ind w:left="0"/>
        <w:rPr>
          <w:rFonts w:ascii="宋体" w:eastAsia="宋体"/>
        </w:rPr>
      </w:pPr>
      <w:r>
        <w:rPr>
          <w:rFonts w:hint="eastAsia" w:ascii="宋体" w:eastAsia="宋体"/>
        </w:rPr>
        <w:t>无水硫酸钠：用前在105℃烘4h后备用，玻璃干燥器中储存</w:t>
      </w:r>
    </w:p>
    <w:p>
      <w:pPr>
        <w:pStyle w:val="105"/>
        <w:spacing w:before="120" w:after="120"/>
        <w:ind w:left="0"/>
        <w:rPr>
          <w:rFonts w:ascii="宋体" w:eastAsia="宋体"/>
        </w:rPr>
      </w:pPr>
      <w:r>
        <w:rPr>
          <w:rFonts w:hint="eastAsia" w:ascii="宋体" w:eastAsia="宋体"/>
        </w:rPr>
        <w:t>2-乙酰基-1-吡咯啉标准品（2-AP）</w:t>
      </w:r>
    </w:p>
    <w:p>
      <w:pPr>
        <w:pStyle w:val="105"/>
        <w:spacing w:before="120" w:after="120"/>
        <w:ind w:left="0"/>
        <w:rPr>
          <w:rFonts w:ascii="宋体" w:eastAsia="宋体"/>
        </w:rPr>
      </w:pPr>
      <w:r>
        <w:rPr>
          <w:rFonts w:hint="eastAsia" w:ascii="宋体" w:eastAsia="宋体"/>
        </w:rPr>
        <w:t>2,4,6-三甲基吡啶（TMP）</w:t>
      </w:r>
    </w:p>
    <w:p>
      <w:pPr>
        <w:pStyle w:val="105"/>
        <w:spacing w:before="120" w:after="120"/>
        <w:ind w:left="0"/>
        <w:rPr>
          <w:rFonts w:ascii="宋体" w:eastAsia="宋体"/>
        </w:rPr>
      </w:pPr>
      <w:r>
        <w:rPr>
          <w:rFonts w:hint="eastAsia" w:ascii="宋体" w:eastAsia="宋体"/>
        </w:rPr>
        <w:t>0.22μm有机滤膜</w:t>
      </w:r>
    </w:p>
    <w:p>
      <w:pPr>
        <w:pStyle w:val="105"/>
        <w:spacing w:before="120" w:after="120"/>
        <w:ind w:left="0"/>
        <w:rPr>
          <w:rFonts w:ascii="宋体" w:eastAsia="宋体"/>
        </w:rPr>
      </w:pPr>
      <w:r>
        <w:rPr>
          <w:rFonts w:hint="eastAsia" w:ascii="宋体" w:eastAsia="宋体"/>
        </w:rPr>
        <w:t>12mL螺纹盖培养管，或相当者</w:t>
      </w:r>
    </w:p>
    <w:p>
      <w:pPr>
        <w:pStyle w:val="105"/>
        <w:spacing w:before="120" w:after="120"/>
        <w:ind w:left="0"/>
      </w:pPr>
      <w:r>
        <w:rPr>
          <w:rFonts w:hint="eastAsia" w:ascii="宋体" w:eastAsia="宋体"/>
        </w:rPr>
        <w:t>标准溶液配制：</w:t>
      </w:r>
    </w:p>
    <w:p>
      <w:pPr>
        <w:pStyle w:val="105"/>
        <w:numPr>
          <w:ilvl w:val="0"/>
          <w:numId w:val="0"/>
        </w:numPr>
        <w:spacing w:before="120" w:after="120"/>
        <w:ind w:firstLine="210" w:firstLineChars="100"/>
        <w:rPr>
          <w:rFonts w:ascii="宋体" w:eastAsia="宋体"/>
        </w:rPr>
      </w:pPr>
      <w:r>
        <w:rPr>
          <w:rFonts w:hint="eastAsia" w:ascii="宋体" w:eastAsia="宋体"/>
        </w:rPr>
        <w:t xml:space="preserve">5.9.1  </w:t>
      </w:r>
      <w:r>
        <w:rPr>
          <w:rFonts w:hint="eastAsia" w:ascii="宋体" w:hAnsi="宋体" w:eastAsia="宋体" w:cs="宋体"/>
        </w:rPr>
        <w:t>2-乙酰基-1-吡咯啉(2-AP)标准储备液（10%w/w于甲苯）：准确称取2-乙酰基-1-吡咯啉0.1000</w:t>
      </w:r>
      <w:r>
        <w:rPr>
          <w:rFonts w:hint="eastAsia"/>
          <w:vertAlign w:val="superscript"/>
        </w:rPr>
        <w:t xml:space="preserve"> </w:t>
      </w:r>
      <w:r>
        <w:rPr>
          <w:rFonts w:hint="eastAsia" w:ascii="宋体" w:hAnsi="宋体" w:eastAsia="宋体" w:cs="宋体"/>
        </w:rPr>
        <w:t>g，置于10.0</w:t>
      </w:r>
      <w:r>
        <w:rPr>
          <w:rFonts w:hint="eastAsia"/>
          <w:vertAlign w:val="superscript"/>
        </w:rPr>
        <w:t xml:space="preserve"> </w:t>
      </w:r>
      <w:r>
        <w:rPr>
          <w:rFonts w:hint="eastAsia" w:ascii="宋体" w:hAnsi="宋体" w:eastAsia="宋体" w:cs="宋体"/>
        </w:rPr>
        <w:t>mL容量瓶中，加二氯甲烷溶解并定容至刻度，配置称浓度为1000</w:t>
      </w:r>
      <w:r>
        <w:rPr>
          <w:rFonts w:hint="eastAsia"/>
          <w:vertAlign w:val="superscript"/>
        </w:rPr>
        <w:t xml:space="preserve"> </w:t>
      </w:r>
      <w:r>
        <w:rPr>
          <w:rFonts w:hint="eastAsia" w:ascii="宋体" w:hAnsi="宋体" w:eastAsia="宋体" w:cs="宋体"/>
        </w:rPr>
        <w:t>mg/L储备液，于-80</w:t>
      </w:r>
      <w:r>
        <w:rPr>
          <w:rFonts w:hint="eastAsia"/>
          <w:vertAlign w:val="superscript"/>
        </w:rPr>
        <w:t xml:space="preserve"> </w:t>
      </w:r>
      <w:r>
        <w:rPr>
          <w:rFonts w:hint="eastAsia" w:ascii="宋体" w:hAnsi="宋体" w:eastAsia="宋体" w:cs="宋体"/>
        </w:rPr>
        <w:t>℃下避光保存，有</w:t>
      </w:r>
      <w:r>
        <w:rPr>
          <w:rFonts w:hint="eastAsia" w:ascii="宋体" w:eastAsia="宋体"/>
        </w:rPr>
        <w:t>效期6个月；</w:t>
      </w:r>
    </w:p>
    <w:p>
      <w:pPr>
        <w:pStyle w:val="56"/>
        <w:ind w:firstLine="210" w:firstLineChars="100"/>
        <w:rPr>
          <w:rFonts w:hAnsi="宋体" w:cs="宋体"/>
        </w:rPr>
      </w:pPr>
      <w:r>
        <w:rPr>
          <w:rFonts w:hint="eastAsia"/>
        </w:rPr>
        <w:t>5.9.2  内标储备液：准确称取2,4,6-三甲基吡啶（TMP）0.0100g，置于10.0mL容量瓶中，</w:t>
      </w:r>
      <w:r>
        <w:rPr>
          <w:rFonts w:hint="eastAsia" w:hAnsi="宋体" w:cs="宋体"/>
        </w:rPr>
        <w:t>加二氯甲烷溶解并定容至刻度，配置称浓度为1000</w:t>
      </w:r>
      <w:r>
        <w:rPr>
          <w:rFonts w:hint="eastAsia"/>
          <w:vertAlign w:val="superscript"/>
        </w:rPr>
        <w:t xml:space="preserve"> </w:t>
      </w:r>
      <w:r>
        <w:rPr>
          <w:rFonts w:hint="eastAsia" w:hAnsi="宋体" w:cs="宋体"/>
        </w:rPr>
        <w:t>mg/L储备液，于-20</w:t>
      </w:r>
      <w:r>
        <w:rPr>
          <w:rFonts w:hint="eastAsia"/>
          <w:vertAlign w:val="superscript"/>
        </w:rPr>
        <w:t xml:space="preserve"> </w:t>
      </w:r>
      <w:r>
        <w:rPr>
          <w:rFonts w:hint="eastAsia" w:hAnsi="宋体" w:cs="宋体"/>
        </w:rPr>
        <w:t>℃下避光保存，有效期6个月；</w:t>
      </w:r>
    </w:p>
    <w:p>
      <w:pPr>
        <w:pStyle w:val="56"/>
        <w:ind w:firstLine="210" w:firstLineChars="100"/>
        <w:rPr>
          <w:rFonts w:ascii="Times New Roman"/>
        </w:rPr>
      </w:pPr>
      <w:r>
        <w:rPr>
          <w:rFonts w:hint="eastAsia"/>
        </w:rPr>
        <w:t>5.9.3  内标工作液：取适量内标储备液，用二氯甲烷稀释浓度约为10</w:t>
      </w:r>
      <w:r>
        <w:rPr>
          <w:rFonts w:hint="eastAsia" w:ascii="Times New Roman"/>
        </w:rPr>
        <w:t>mg/L</w:t>
      </w:r>
      <w:r>
        <w:rPr>
          <w:rFonts w:hint="eastAsia"/>
        </w:rPr>
        <w:t>的标准工作液，有效期1个月；</w:t>
      </w:r>
    </w:p>
    <w:p>
      <w:pPr>
        <w:pStyle w:val="56"/>
        <w:ind w:firstLine="420"/>
        <w:rPr>
          <w:rFonts w:hAnsi="宋体" w:cs="宋体"/>
        </w:rPr>
      </w:pPr>
      <w:r>
        <w:rPr>
          <w:rFonts w:hint="eastAsia"/>
        </w:rPr>
        <w:t xml:space="preserve">5.9.4  </w:t>
      </w:r>
      <w:r>
        <w:rPr>
          <w:rFonts w:hint="eastAsia" w:hAnsi="宋体" w:cs="宋体"/>
        </w:rPr>
        <w:t>基质标准曲线液：取1000</w:t>
      </w:r>
      <w:r>
        <w:rPr>
          <w:rFonts w:hint="eastAsia"/>
          <w:vertAlign w:val="superscript"/>
        </w:rPr>
        <w:t xml:space="preserve"> </w:t>
      </w:r>
      <w:r>
        <w:rPr>
          <w:rFonts w:hint="eastAsia" w:hAnsi="宋体" w:cs="宋体"/>
        </w:rPr>
        <w:t>mg/L 2-乙酰基-1-吡咯啉储备液，用基质溶液稀释，配成质量浓度分别15、50、100、200、500、1000</w:t>
      </w:r>
      <w:r>
        <w:rPr>
          <w:rFonts w:hint="eastAsia"/>
          <w:vertAlign w:val="superscript"/>
        </w:rPr>
        <w:t xml:space="preserve"> </w:t>
      </w:r>
      <w:r>
        <w:rPr>
          <w:rFonts w:hint="eastAsia" w:hAnsi="宋体" w:cs="宋体"/>
        </w:rPr>
        <w:t>ng/ml的标准工作溶液，待用；</w:t>
      </w:r>
    </w:p>
    <w:p>
      <w:pPr>
        <w:pStyle w:val="56"/>
        <w:ind w:firstLine="420"/>
      </w:pPr>
      <w:r>
        <w:rPr>
          <w:rFonts w:hint="eastAsia"/>
        </w:rPr>
        <w:t xml:space="preserve">5.9.5  </w:t>
      </w:r>
      <w:r>
        <w:rPr>
          <w:rFonts w:hint="eastAsia" w:hAnsi="宋体" w:cs="宋体"/>
        </w:rPr>
        <w:t>基质标准工作液：需现配现用。</w:t>
      </w:r>
    </w:p>
    <w:p>
      <w:pPr>
        <w:pStyle w:val="104"/>
        <w:spacing w:before="240" w:after="240"/>
      </w:pPr>
      <w:r>
        <w:rPr>
          <w:rFonts w:hint="eastAsia"/>
        </w:rPr>
        <w:t>检测方法主要仪器和设备</w:t>
      </w:r>
    </w:p>
    <w:p>
      <w:pPr>
        <w:pStyle w:val="56"/>
        <w:ind w:firstLine="420"/>
      </w:pPr>
      <w:r>
        <w:rPr>
          <w:rFonts w:hint="eastAsia"/>
        </w:rPr>
        <w:t>包括但不限于以下内容：</w:t>
      </w:r>
    </w:p>
    <w:p>
      <w:pPr>
        <w:pStyle w:val="105"/>
        <w:numPr>
          <w:ilvl w:val="2"/>
          <w:numId w:val="0"/>
        </w:numPr>
        <w:spacing w:before="120" w:after="120"/>
        <w:ind w:firstLine="420" w:firstLineChars="200"/>
        <w:rPr>
          <w:rFonts w:ascii="宋体" w:eastAsia="宋体"/>
        </w:rPr>
      </w:pPr>
      <w:r>
        <w:rPr>
          <w:rFonts w:hint="eastAsia" w:ascii="宋体" w:eastAsia="宋体"/>
        </w:rPr>
        <w:t>——气相色谱-质谱联用仪：气相色谱-质谱，EI源；</w:t>
      </w:r>
    </w:p>
    <w:p>
      <w:pPr>
        <w:pStyle w:val="105"/>
        <w:numPr>
          <w:ilvl w:val="2"/>
          <w:numId w:val="0"/>
        </w:numPr>
        <w:spacing w:before="120" w:after="120"/>
        <w:ind w:firstLine="420" w:firstLineChars="200"/>
        <w:rPr>
          <w:rFonts w:ascii="宋体" w:eastAsia="宋体"/>
        </w:rPr>
      </w:pPr>
      <w:r>
        <w:rPr>
          <w:rFonts w:hint="eastAsia" w:ascii="宋体" w:eastAsia="宋体"/>
        </w:rPr>
        <w:t>——电子天平：感量0.1</w:t>
      </w:r>
      <w:r>
        <w:rPr>
          <w:rFonts w:hint="eastAsia"/>
          <w:vertAlign w:val="superscript"/>
        </w:rPr>
        <w:t xml:space="preserve"> </w:t>
      </w:r>
      <w:r>
        <w:rPr>
          <w:rFonts w:hint="eastAsia" w:ascii="宋体" w:eastAsia="宋体"/>
        </w:rPr>
        <w:t>g和0.1</w:t>
      </w:r>
      <w:r>
        <w:rPr>
          <w:rFonts w:hint="eastAsia"/>
          <w:vertAlign w:val="superscript"/>
        </w:rPr>
        <w:t xml:space="preserve"> </w:t>
      </w:r>
      <w:r>
        <w:rPr>
          <w:rFonts w:hint="eastAsia" w:ascii="宋体" w:eastAsia="宋体"/>
        </w:rPr>
        <w:t>mg；</w:t>
      </w:r>
    </w:p>
    <w:p>
      <w:pPr>
        <w:pStyle w:val="105"/>
        <w:numPr>
          <w:ilvl w:val="2"/>
          <w:numId w:val="0"/>
        </w:numPr>
        <w:spacing w:before="120" w:after="120"/>
        <w:ind w:firstLine="420" w:firstLineChars="200"/>
        <w:rPr>
          <w:rFonts w:ascii="宋体" w:eastAsia="宋体"/>
        </w:rPr>
      </w:pPr>
      <w:r>
        <w:rPr>
          <w:rFonts w:hint="eastAsia" w:ascii="宋体" w:eastAsia="宋体"/>
        </w:rPr>
        <w:t>——冷冻研磨仪；</w:t>
      </w:r>
    </w:p>
    <w:p>
      <w:pPr>
        <w:pStyle w:val="105"/>
        <w:numPr>
          <w:ilvl w:val="2"/>
          <w:numId w:val="0"/>
        </w:numPr>
        <w:spacing w:before="120" w:after="120"/>
        <w:ind w:firstLine="420" w:firstLineChars="200"/>
        <w:rPr>
          <w:rFonts w:ascii="宋体" w:eastAsia="宋体"/>
        </w:rPr>
      </w:pPr>
      <w:r>
        <w:rPr>
          <w:rFonts w:hint="eastAsia" w:ascii="宋体" w:eastAsia="宋体"/>
        </w:rPr>
        <w:t>——恒温水浴锅。</w:t>
      </w:r>
    </w:p>
    <w:p>
      <w:pPr>
        <w:pStyle w:val="104"/>
        <w:spacing w:before="240" w:after="240"/>
      </w:pPr>
      <w:r>
        <w:rPr>
          <w:rFonts w:hint="eastAsia"/>
        </w:rPr>
        <w:t>分析步骤</w:t>
      </w:r>
    </w:p>
    <w:p>
      <w:pPr>
        <w:pStyle w:val="105"/>
        <w:spacing w:before="120" w:after="120"/>
        <w:ind w:left="0"/>
        <w:rPr>
          <w:rFonts w:hAnsi="黑体"/>
        </w:rPr>
      </w:pPr>
      <w:r>
        <w:rPr>
          <w:rFonts w:hint="eastAsia" w:hAnsi="黑体"/>
        </w:rPr>
        <w:t>试样的制备与贮藏</w:t>
      </w:r>
    </w:p>
    <w:p>
      <w:pPr>
        <w:pStyle w:val="56"/>
        <w:ind w:firstLine="420"/>
      </w:pPr>
      <w:r>
        <w:rPr>
          <w:rFonts w:hint="eastAsia"/>
        </w:rPr>
        <w:t>按照GB 5491的规定将不少于1000</w:t>
      </w:r>
      <w:r>
        <w:rPr>
          <w:rFonts w:hint="eastAsia"/>
          <w:vertAlign w:val="superscript"/>
        </w:rPr>
        <w:t xml:space="preserve"> </w:t>
      </w:r>
      <w:r>
        <w:rPr>
          <w:rFonts w:hint="eastAsia"/>
        </w:rPr>
        <w:t>g大米（已脱壳）混匀，四分法取样，放入冷冻研磨仪中粉碎制成试样，放入密封袋中密封，做上标记，并置于-80</w:t>
      </w:r>
      <w:r>
        <w:rPr>
          <w:rFonts w:hint="eastAsia"/>
          <w:vertAlign w:val="superscript"/>
        </w:rPr>
        <w:t xml:space="preserve"> </w:t>
      </w:r>
      <w:r>
        <w:rPr>
          <w:rFonts w:hint="eastAsia" w:hAnsi="宋体" w:cs="宋体"/>
        </w:rPr>
        <w:t>℃</w:t>
      </w:r>
      <w:r>
        <w:rPr>
          <w:rFonts w:hint="eastAsia"/>
        </w:rPr>
        <w:t>条件下保存，待测。</w:t>
      </w:r>
    </w:p>
    <w:p>
      <w:pPr>
        <w:pStyle w:val="105"/>
        <w:spacing w:before="120" w:after="120"/>
        <w:ind w:left="0"/>
        <w:rPr>
          <w:rFonts w:hAnsi="黑体"/>
        </w:rPr>
      </w:pPr>
      <w:r>
        <w:rPr>
          <w:rFonts w:hint="eastAsia" w:hAnsi="黑体"/>
        </w:rPr>
        <w:t>试样提取</w:t>
      </w:r>
    </w:p>
    <w:p>
      <w:pPr>
        <w:pStyle w:val="165"/>
        <w:numPr>
          <w:ilvl w:val="3"/>
          <w:numId w:val="0"/>
        </w:numPr>
      </w:pPr>
      <w:r>
        <w:rPr>
          <w:rFonts w:hint="eastAsia"/>
        </w:rPr>
        <w:t xml:space="preserve">    准确称取1</w:t>
      </w:r>
      <w:r>
        <w:rPr>
          <w:rFonts w:hint="eastAsia"/>
          <w:vertAlign w:val="superscript"/>
        </w:rPr>
        <w:t xml:space="preserve"> </w:t>
      </w:r>
      <w:r>
        <w:rPr>
          <w:rFonts w:hint="eastAsia"/>
        </w:rPr>
        <w:t>g（精确至0.0001</w:t>
      </w:r>
      <w:r>
        <w:rPr>
          <w:rFonts w:hint="eastAsia"/>
          <w:vertAlign w:val="superscript"/>
        </w:rPr>
        <w:t xml:space="preserve"> </w:t>
      </w:r>
      <w:r>
        <w:rPr>
          <w:rFonts w:hint="eastAsia"/>
        </w:rPr>
        <w:t>g）制备好的试样于12</w:t>
      </w:r>
      <w:r>
        <w:rPr>
          <w:rFonts w:hint="eastAsia"/>
          <w:vertAlign w:val="superscript"/>
        </w:rPr>
        <w:t xml:space="preserve"> </w:t>
      </w:r>
      <w:r>
        <w:rPr>
          <w:rFonts w:hint="eastAsia"/>
        </w:rPr>
        <w:t>mL螺纹盖培养管中，加入10mg/L内标标准工作液0.01mL，向瓶中加入1</w:t>
      </w:r>
      <w:r>
        <w:rPr>
          <w:rFonts w:hint="eastAsia"/>
          <w:vertAlign w:val="superscript"/>
        </w:rPr>
        <w:t xml:space="preserve"> </w:t>
      </w:r>
      <w:r>
        <w:rPr>
          <w:rFonts w:hint="eastAsia"/>
        </w:rPr>
        <w:t>mL二氯甲烷，80</w:t>
      </w:r>
      <w:r>
        <w:rPr>
          <w:rFonts w:hint="eastAsia"/>
          <w:vertAlign w:val="superscript"/>
        </w:rPr>
        <w:t xml:space="preserve"> </w:t>
      </w:r>
      <w:r>
        <w:rPr>
          <w:rFonts w:hint="eastAsia" w:hAnsi="宋体" w:cs="宋体"/>
        </w:rPr>
        <w:t>℃下水浴提取3</w:t>
      </w:r>
      <w:r>
        <w:rPr>
          <w:rFonts w:hint="eastAsia"/>
          <w:vertAlign w:val="superscript"/>
        </w:rPr>
        <w:t xml:space="preserve"> </w:t>
      </w:r>
      <w:r>
        <w:rPr>
          <w:rFonts w:hint="eastAsia" w:hAnsi="宋体" w:cs="宋体"/>
        </w:rPr>
        <w:t>h，涡旋混匀，冷却静置20</w:t>
      </w:r>
      <w:r>
        <w:rPr>
          <w:rFonts w:hint="eastAsia"/>
          <w:vertAlign w:val="superscript"/>
        </w:rPr>
        <w:t xml:space="preserve"> </w:t>
      </w:r>
      <w:r>
        <w:rPr>
          <w:rFonts w:hint="eastAsia" w:hAnsi="宋体" w:cs="宋体"/>
        </w:rPr>
        <w:t>min，经0.22μm滤膜过滤，滤液供气相色谱质谱仪测定。</w:t>
      </w:r>
    </w:p>
    <w:p>
      <w:pPr>
        <w:pStyle w:val="105"/>
        <w:spacing w:before="120" w:after="120"/>
        <w:ind w:left="0"/>
        <w:rPr>
          <w:rFonts w:hAnsi="黑体"/>
        </w:rPr>
      </w:pPr>
      <w:r>
        <w:rPr>
          <w:rFonts w:hint="eastAsia" w:hAnsi="黑体"/>
        </w:rPr>
        <w:t>仪器分析条件</w:t>
      </w:r>
    </w:p>
    <w:p>
      <w:pPr>
        <w:pStyle w:val="230"/>
        <w:ind w:firstLine="0" w:firstLineChars="0"/>
      </w:pPr>
      <w:r>
        <w:rPr>
          <w:rFonts w:hint="eastAsia"/>
        </w:rPr>
        <w:t>7.3.1 气相色谱条件</w:t>
      </w:r>
    </w:p>
    <w:p>
      <w:pPr>
        <w:pStyle w:val="230"/>
        <w:ind w:firstLine="0" w:firstLineChars="0"/>
      </w:pPr>
      <w:r>
        <w:rPr>
          <w:rFonts w:hint="eastAsia"/>
        </w:rPr>
        <w:t xml:space="preserve">     a）色谱柱：BP-5MS（30</w:t>
      </w:r>
      <w:r>
        <w:rPr>
          <w:rFonts w:hint="eastAsia"/>
          <w:vertAlign w:val="superscript"/>
        </w:rPr>
        <w:t xml:space="preserve"> </w:t>
      </w:r>
      <w:r>
        <w:rPr>
          <w:rFonts w:hint="eastAsia"/>
        </w:rPr>
        <w:t>m</w:t>
      </w:r>
      <w:r>
        <w:t>×</w:t>
      </w:r>
      <w:r>
        <w:rPr>
          <w:rFonts w:hint="eastAsia"/>
        </w:rPr>
        <w:t>0.25</w:t>
      </w:r>
      <w:r>
        <w:rPr>
          <w:rFonts w:hint="eastAsia"/>
          <w:vertAlign w:val="superscript"/>
        </w:rPr>
        <w:t xml:space="preserve"> </w:t>
      </w:r>
      <w:r>
        <w:rPr>
          <w:rFonts w:hint="eastAsia"/>
        </w:rPr>
        <w:t>mm</w:t>
      </w:r>
      <w:r>
        <w:t>×</w:t>
      </w:r>
      <w:r>
        <w:rPr>
          <w:rFonts w:hint="eastAsia"/>
        </w:rPr>
        <w:t>0.25</w:t>
      </w:r>
      <w:r>
        <w:rPr>
          <w:rFonts w:ascii="Times New Roman"/>
        </w:rPr>
        <w:t>μm</w:t>
      </w:r>
      <w:r>
        <w:rPr>
          <w:rFonts w:hint="eastAsia"/>
        </w:rPr>
        <w:t>）毛细管气相色谱柱或等效柱</w:t>
      </w:r>
      <w:r>
        <w:rPr>
          <w:rFonts w:hint="eastAsia" w:hAnsi="宋体" w:cs="宋体"/>
        </w:rPr>
        <w:t>；</w:t>
      </w:r>
    </w:p>
    <w:p>
      <w:pPr>
        <w:pStyle w:val="230"/>
        <w:ind w:firstLine="0" w:firstLineChars="0"/>
      </w:pPr>
      <w:r>
        <w:rPr>
          <w:rFonts w:hint="eastAsia"/>
        </w:rPr>
        <w:t xml:space="preserve">     b) 载气条件：氦气，纯度</w:t>
      </w:r>
      <w:r>
        <w:rPr>
          <w:rFonts w:hint="eastAsia"/>
        </w:rPr>
        <w:sym w:font="Symbol" w:char="F0B3"/>
      </w:r>
      <w:r>
        <w:rPr>
          <w:rFonts w:hint="eastAsia"/>
        </w:rPr>
        <w:t>99.999%，流速：1.0</w:t>
      </w:r>
      <w:r>
        <w:rPr>
          <w:rFonts w:hint="eastAsia"/>
          <w:vertAlign w:val="superscript"/>
        </w:rPr>
        <w:t xml:space="preserve"> </w:t>
      </w:r>
      <w:r>
        <w:rPr>
          <w:rFonts w:hint="eastAsia"/>
        </w:rPr>
        <w:t>ml/min；</w:t>
      </w:r>
    </w:p>
    <w:p>
      <w:pPr>
        <w:pStyle w:val="230"/>
        <w:ind w:firstLine="525" w:firstLineChars="250"/>
      </w:pPr>
      <w:r>
        <w:rPr>
          <w:rFonts w:hint="eastAsia"/>
        </w:rPr>
        <w:t>c) 进样方式：不分流进样</w:t>
      </w:r>
      <w:r>
        <w:rPr>
          <w:rFonts w:hint="eastAsia" w:hAnsi="宋体" w:cs="宋体"/>
        </w:rPr>
        <w:t>；</w:t>
      </w:r>
    </w:p>
    <w:p>
      <w:pPr>
        <w:pStyle w:val="230"/>
        <w:ind w:firstLine="0" w:firstLineChars="0"/>
      </w:pPr>
      <w:r>
        <w:rPr>
          <w:rFonts w:hint="eastAsia"/>
        </w:rPr>
        <w:t xml:space="preserve">     d) 进样口温度：200</w:t>
      </w:r>
      <w:r>
        <w:rPr>
          <w:rFonts w:hint="eastAsia"/>
          <w:vertAlign w:val="superscript"/>
        </w:rPr>
        <w:t xml:space="preserve"> </w:t>
      </w:r>
      <w:r>
        <w:rPr>
          <w:rFonts w:hint="eastAsia" w:hAnsi="宋体" w:cs="宋体"/>
        </w:rPr>
        <w:t>℃</w:t>
      </w:r>
      <w:r>
        <w:rPr>
          <w:rFonts w:hint="eastAsia"/>
        </w:rPr>
        <w:t>；</w:t>
      </w:r>
    </w:p>
    <w:p>
      <w:pPr>
        <w:pStyle w:val="230"/>
        <w:ind w:firstLine="525" w:firstLineChars="250"/>
      </w:pPr>
      <w:r>
        <w:rPr>
          <w:rFonts w:hint="eastAsia"/>
        </w:rPr>
        <w:t>e) 进样量：1</w:t>
      </w:r>
      <w:r>
        <w:rPr>
          <w:rFonts w:ascii="Times New Roman"/>
        </w:rPr>
        <w:t>μL</w:t>
      </w:r>
      <w:r>
        <w:rPr>
          <w:rFonts w:hint="eastAsia" w:hAnsi="宋体" w:cs="宋体"/>
        </w:rPr>
        <w:t>；</w:t>
      </w:r>
    </w:p>
    <w:p>
      <w:pPr>
        <w:pStyle w:val="230"/>
        <w:ind w:left="840" w:hanging="840" w:hangingChars="400"/>
        <w:rPr>
          <w:rFonts w:hAnsi="宋体" w:cs="宋体"/>
        </w:rPr>
      </w:pPr>
      <w:r>
        <w:rPr>
          <w:rFonts w:hint="eastAsia"/>
        </w:rPr>
        <w:t xml:space="preserve">     f) 柱温箱升温程度：炉温初始为50</w:t>
      </w:r>
      <w:r>
        <w:rPr>
          <w:rFonts w:hint="eastAsia"/>
          <w:vertAlign w:val="superscript"/>
        </w:rPr>
        <w:t xml:space="preserve"> </w:t>
      </w:r>
      <w:r>
        <w:rPr>
          <w:rFonts w:hint="eastAsia" w:hAnsi="宋体" w:cs="宋体"/>
        </w:rPr>
        <w:t>℃，保持2</w:t>
      </w:r>
      <w:r>
        <w:rPr>
          <w:rFonts w:hint="eastAsia"/>
          <w:vertAlign w:val="superscript"/>
        </w:rPr>
        <w:t xml:space="preserve"> </w:t>
      </w:r>
      <w:r>
        <w:rPr>
          <w:rFonts w:hint="eastAsia" w:hAnsi="宋体" w:cs="宋体"/>
        </w:rPr>
        <w:t>min，以8</w:t>
      </w:r>
      <w:r>
        <w:rPr>
          <w:rFonts w:hint="eastAsia"/>
          <w:vertAlign w:val="superscript"/>
        </w:rPr>
        <w:t xml:space="preserve"> </w:t>
      </w:r>
      <w:r>
        <w:rPr>
          <w:rFonts w:hint="eastAsia" w:hAnsi="宋体" w:cs="宋体"/>
        </w:rPr>
        <w:t>℃/min升温至100</w:t>
      </w:r>
      <w:r>
        <w:rPr>
          <w:rFonts w:hint="eastAsia"/>
          <w:vertAlign w:val="superscript"/>
        </w:rPr>
        <w:t xml:space="preserve"> </w:t>
      </w:r>
      <w:r>
        <w:rPr>
          <w:rFonts w:hint="eastAsia" w:hAnsi="宋体" w:cs="宋体"/>
        </w:rPr>
        <w:t>℃保持2</w:t>
      </w:r>
      <w:r>
        <w:rPr>
          <w:rFonts w:hint="eastAsia"/>
          <w:vertAlign w:val="superscript"/>
        </w:rPr>
        <w:t xml:space="preserve"> </w:t>
      </w:r>
      <w:r>
        <w:rPr>
          <w:rFonts w:hint="eastAsia" w:hAnsi="宋体" w:cs="宋体"/>
        </w:rPr>
        <w:t>min，以50</w:t>
      </w:r>
    </w:p>
    <w:p>
      <w:pPr>
        <w:pStyle w:val="230"/>
        <w:ind w:left="840" w:leftChars="350" w:hanging="105" w:hangingChars="50"/>
      </w:pPr>
      <w:r>
        <w:rPr>
          <w:rFonts w:hint="eastAsia"/>
          <w:vertAlign w:val="superscript"/>
        </w:rPr>
        <w:t xml:space="preserve"> </w:t>
      </w:r>
      <w:r>
        <w:rPr>
          <w:rFonts w:hint="eastAsia" w:hAnsi="宋体" w:cs="宋体"/>
        </w:rPr>
        <w:t>℃/min升温至280</w:t>
      </w:r>
      <w:r>
        <w:rPr>
          <w:rFonts w:hint="eastAsia"/>
          <w:vertAlign w:val="superscript"/>
        </w:rPr>
        <w:t xml:space="preserve"> </w:t>
      </w:r>
      <w:r>
        <w:rPr>
          <w:rFonts w:hint="eastAsia" w:hAnsi="宋体" w:cs="宋体"/>
        </w:rPr>
        <w:t>℃，保持2</w:t>
      </w:r>
      <w:r>
        <w:rPr>
          <w:rFonts w:hint="eastAsia"/>
          <w:vertAlign w:val="superscript"/>
        </w:rPr>
        <w:t xml:space="preserve"> </w:t>
      </w:r>
      <w:r>
        <w:rPr>
          <w:rFonts w:hint="eastAsia" w:hAnsi="宋体" w:cs="宋体"/>
        </w:rPr>
        <w:t>min；</w:t>
      </w:r>
    </w:p>
    <w:bookmarkEnd w:id="18"/>
    <w:p>
      <w:pPr>
        <w:pStyle w:val="230"/>
        <w:ind w:firstLine="0" w:firstLineChars="0"/>
      </w:pPr>
      <w:r>
        <w:rPr>
          <w:rFonts w:hint="eastAsia"/>
        </w:rPr>
        <w:t>7.3.2 质谱条件</w:t>
      </w:r>
    </w:p>
    <w:p>
      <w:pPr>
        <w:pStyle w:val="230"/>
        <w:ind w:firstLine="0" w:firstLineChars="0"/>
      </w:pPr>
      <w:r>
        <w:rPr>
          <w:rFonts w:hint="eastAsia"/>
        </w:rPr>
        <w:t xml:space="preserve">     a）电离方式：电子轰击电离源（EI源）</w:t>
      </w:r>
      <w:r>
        <w:rPr>
          <w:rFonts w:hint="eastAsia" w:hAnsi="宋体" w:cs="宋体"/>
        </w:rPr>
        <w:t>；</w:t>
      </w:r>
    </w:p>
    <w:p>
      <w:pPr>
        <w:pStyle w:val="230"/>
        <w:ind w:firstLine="0" w:firstLineChars="0"/>
        <w:rPr>
          <w:rFonts w:hAnsi="宋体" w:cs="宋体"/>
        </w:rPr>
      </w:pPr>
      <w:r>
        <w:rPr>
          <w:rFonts w:hint="eastAsia"/>
        </w:rPr>
        <w:t xml:space="preserve">     b) 离子源温度：300</w:t>
      </w:r>
      <w:r>
        <w:rPr>
          <w:rFonts w:hint="eastAsia"/>
          <w:vertAlign w:val="superscript"/>
        </w:rPr>
        <w:t xml:space="preserve"> </w:t>
      </w:r>
      <w:r>
        <w:rPr>
          <w:rFonts w:hint="eastAsia" w:hAnsi="宋体" w:cs="宋体"/>
        </w:rPr>
        <w:t>℃；</w:t>
      </w:r>
    </w:p>
    <w:p>
      <w:pPr>
        <w:pStyle w:val="230"/>
        <w:ind w:firstLine="0" w:firstLineChars="0"/>
      </w:pPr>
      <w:r>
        <w:rPr>
          <w:rFonts w:hint="eastAsia"/>
        </w:rPr>
        <w:t xml:space="preserve">     c) 传输线温度：280℃；</w:t>
      </w:r>
    </w:p>
    <w:p>
      <w:pPr>
        <w:pStyle w:val="230"/>
        <w:ind w:firstLine="525" w:firstLineChars="250"/>
      </w:pPr>
      <w:r>
        <w:rPr>
          <w:rFonts w:hint="eastAsia"/>
        </w:rPr>
        <w:t>d) 溶剂延迟时间：4</w:t>
      </w:r>
      <w:r>
        <w:rPr>
          <w:rFonts w:hint="eastAsia"/>
          <w:vertAlign w:val="superscript"/>
        </w:rPr>
        <w:t xml:space="preserve"> </w:t>
      </w:r>
      <w:r>
        <w:rPr>
          <w:rFonts w:hint="eastAsia"/>
        </w:rPr>
        <w:t>min；</w:t>
      </w:r>
    </w:p>
    <w:p>
      <w:pPr>
        <w:pStyle w:val="230"/>
        <w:ind w:firstLine="525" w:firstLineChars="250"/>
      </w:pPr>
      <w:r>
        <w:rPr>
          <w:rFonts w:hint="eastAsia"/>
        </w:rPr>
        <w:t>e) 选择离子监测（SIM）：2-AP（m/z）：111、83、43（定量离子）；TMP（m/z）：121（定量离子）、106、79</w:t>
      </w:r>
    </w:p>
    <w:p>
      <w:pPr>
        <w:pStyle w:val="105"/>
        <w:spacing w:before="120" w:after="120"/>
        <w:ind w:left="0"/>
      </w:pPr>
      <w:r>
        <w:rPr>
          <w:rFonts w:hint="eastAsia"/>
        </w:rPr>
        <w:t>测定法</w:t>
      </w:r>
    </w:p>
    <w:p>
      <w:pPr>
        <w:pStyle w:val="230"/>
        <w:ind w:firstLine="0" w:firstLineChars="0"/>
      </w:pPr>
      <w:r>
        <w:rPr>
          <w:rFonts w:hint="eastAsia"/>
        </w:rPr>
        <w:t>6.4.1 定性测试</w:t>
      </w:r>
    </w:p>
    <w:p>
      <w:pPr>
        <w:pStyle w:val="230"/>
      </w:pPr>
      <w:r>
        <w:rPr>
          <w:rFonts w:hint="eastAsia"/>
        </w:rPr>
        <w:t>进行样品测定时，如果检出的色谱峰的保留时间与标准样品相一致，并且在扣除背景后的样品质谱</w:t>
      </w:r>
    </w:p>
    <w:p>
      <w:pPr>
        <w:pStyle w:val="230"/>
        <w:ind w:firstLine="0" w:firstLineChars="0"/>
      </w:pPr>
      <w:r>
        <w:rPr>
          <w:rFonts w:hint="eastAsia"/>
        </w:rPr>
        <w:t>中，所选择的离子均出现，所选择的离子丰度比与标准样品的离子丰度比相一致，相似度在允差之内（见表 1），则可判断样品中存在2-AP。如果不能确证，应重新进样，以扫描方式（有足够灵敏度）或采用增加其他确证离子的方式或用其他灵敏度更高的分析仪器来确证。</w:t>
      </w:r>
    </w:p>
    <w:p>
      <w:pPr>
        <w:pStyle w:val="230"/>
        <w:ind w:firstLine="0" w:firstLineChars="0"/>
        <w:jc w:val="center"/>
        <w:rPr>
          <w:szCs w:val="21"/>
        </w:rPr>
      </w:pPr>
      <w:r>
        <w:rPr>
          <w:rFonts w:hint="eastAsia"/>
          <w:szCs w:val="21"/>
        </w:rPr>
        <w:t>表1 使用气相色谱-质谱定性时相对离子丰度最大容许误差</w:t>
      </w:r>
    </w:p>
    <w:tbl>
      <w:tblPr>
        <w:tblStyle w:val="27"/>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8"/>
        <w:gridCol w:w="1720"/>
        <w:gridCol w:w="1914"/>
        <w:gridCol w:w="1914"/>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08" w:type="dxa"/>
            <w:vAlign w:val="center"/>
          </w:tcPr>
          <w:p>
            <w:pPr>
              <w:pStyle w:val="230"/>
              <w:ind w:firstLine="0" w:firstLineChars="0"/>
              <w:jc w:val="center"/>
            </w:pPr>
            <w:r>
              <w:rPr>
                <w:rFonts w:hint="eastAsia"/>
              </w:rPr>
              <w:t>相对离子丰度</w:t>
            </w:r>
          </w:p>
        </w:tc>
        <w:tc>
          <w:tcPr>
            <w:tcW w:w="1720" w:type="dxa"/>
            <w:vAlign w:val="center"/>
          </w:tcPr>
          <w:p>
            <w:pPr>
              <w:pStyle w:val="230"/>
              <w:jc w:val="center"/>
              <w:rPr>
                <w:rFonts w:hAnsi="宋体" w:cs="宋体"/>
              </w:rPr>
            </w:pPr>
            <w:r>
              <w:rPr>
                <w:rFonts w:hint="eastAsia" w:hAnsi="宋体" w:cs="宋体"/>
              </w:rPr>
              <w:t>&gt;50</w:t>
            </w:r>
            <w:r>
              <w:rPr>
                <w:rFonts w:hint="eastAsia"/>
              </w:rPr>
              <w:t>％</w:t>
            </w:r>
          </w:p>
        </w:tc>
        <w:tc>
          <w:tcPr>
            <w:tcW w:w="1914" w:type="dxa"/>
            <w:vAlign w:val="center"/>
          </w:tcPr>
          <w:p>
            <w:pPr>
              <w:pStyle w:val="230"/>
              <w:jc w:val="center"/>
            </w:pPr>
            <w:r>
              <w:rPr>
                <w:rFonts w:hint="eastAsia" w:hAnsi="宋体" w:cs="宋体"/>
              </w:rPr>
              <w:t>20</w:t>
            </w:r>
            <w:r>
              <w:rPr>
                <w:rFonts w:hint="eastAsia"/>
              </w:rPr>
              <w:t>％～</w:t>
            </w:r>
            <w:r>
              <w:rPr>
                <w:rFonts w:hint="eastAsia" w:hAnsi="宋体" w:cs="宋体"/>
              </w:rPr>
              <w:t>50</w:t>
            </w:r>
            <w:r>
              <w:rPr>
                <w:rFonts w:hint="eastAsia"/>
              </w:rPr>
              <w:t>％</w:t>
            </w:r>
          </w:p>
        </w:tc>
        <w:tc>
          <w:tcPr>
            <w:tcW w:w="1914" w:type="dxa"/>
            <w:vAlign w:val="center"/>
          </w:tcPr>
          <w:p>
            <w:pPr>
              <w:pStyle w:val="230"/>
              <w:jc w:val="center"/>
            </w:pPr>
            <w:r>
              <w:rPr>
                <w:rFonts w:hint="eastAsia" w:hAnsi="宋体" w:cs="宋体"/>
              </w:rPr>
              <w:t>10</w:t>
            </w:r>
            <w:r>
              <w:rPr>
                <w:rFonts w:hint="eastAsia"/>
              </w:rPr>
              <w:t>％～</w:t>
            </w:r>
            <w:r>
              <w:rPr>
                <w:rFonts w:hint="eastAsia" w:hAnsi="宋体" w:cs="宋体"/>
              </w:rPr>
              <w:t>20</w:t>
            </w:r>
            <w:r>
              <w:rPr>
                <w:rFonts w:hint="eastAsia"/>
              </w:rPr>
              <w:t>％</w:t>
            </w:r>
          </w:p>
        </w:tc>
        <w:tc>
          <w:tcPr>
            <w:tcW w:w="1914" w:type="dxa"/>
            <w:vAlign w:val="center"/>
          </w:tcPr>
          <w:p>
            <w:pPr>
              <w:pStyle w:val="230"/>
              <w:jc w:val="center"/>
            </w:pPr>
            <w:r>
              <w:rPr>
                <w:rFonts w:hint="eastAsia" w:hAnsi="宋体" w:cs="宋体"/>
              </w:rPr>
              <w:t>≤10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108" w:type="dxa"/>
            <w:vAlign w:val="center"/>
          </w:tcPr>
          <w:p>
            <w:pPr>
              <w:pStyle w:val="230"/>
              <w:ind w:firstLine="0" w:firstLineChars="0"/>
              <w:jc w:val="center"/>
            </w:pPr>
            <w:r>
              <w:rPr>
                <w:rFonts w:hint="eastAsia"/>
              </w:rPr>
              <w:t>允许的相对偏差</w:t>
            </w:r>
          </w:p>
        </w:tc>
        <w:tc>
          <w:tcPr>
            <w:tcW w:w="1720" w:type="dxa"/>
            <w:vAlign w:val="center"/>
          </w:tcPr>
          <w:p>
            <w:pPr>
              <w:pStyle w:val="230"/>
              <w:jc w:val="center"/>
            </w:pPr>
            <w:r>
              <w:rPr>
                <w:rFonts w:ascii="Times New Roman"/>
              </w:rPr>
              <w:t>±</w:t>
            </w:r>
            <w:r>
              <w:rPr>
                <w:rFonts w:hint="eastAsia" w:hAnsi="宋体" w:cs="宋体"/>
              </w:rPr>
              <w:t>10</w:t>
            </w:r>
            <w:r>
              <w:rPr>
                <w:rFonts w:hint="eastAsia"/>
              </w:rPr>
              <w:t>％</w:t>
            </w:r>
          </w:p>
        </w:tc>
        <w:tc>
          <w:tcPr>
            <w:tcW w:w="1914" w:type="dxa"/>
            <w:vAlign w:val="center"/>
          </w:tcPr>
          <w:p>
            <w:pPr>
              <w:pStyle w:val="230"/>
              <w:jc w:val="center"/>
            </w:pPr>
            <w:r>
              <w:rPr>
                <w:rFonts w:ascii="Times New Roman"/>
              </w:rPr>
              <w:t>±</w:t>
            </w:r>
            <w:r>
              <w:rPr>
                <w:rFonts w:hint="eastAsia" w:hAnsi="宋体" w:cs="宋体"/>
              </w:rPr>
              <w:t>15</w:t>
            </w:r>
            <w:r>
              <w:rPr>
                <w:rFonts w:hint="eastAsia"/>
              </w:rPr>
              <w:t>％</w:t>
            </w:r>
          </w:p>
        </w:tc>
        <w:tc>
          <w:tcPr>
            <w:tcW w:w="1914" w:type="dxa"/>
            <w:vAlign w:val="center"/>
          </w:tcPr>
          <w:p>
            <w:pPr>
              <w:pStyle w:val="230"/>
              <w:jc w:val="center"/>
            </w:pPr>
            <w:r>
              <w:rPr>
                <w:rFonts w:ascii="Times New Roman"/>
              </w:rPr>
              <w:t>±</w:t>
            </w:r>
            <w:r>
              <w:rPr>
                <w:rFonts w:hint="eastAsia" w:ascii="Times New Roman"/>
              </w:rPr>
              <w:t>2</w:t>
            </w:r>
            <w:r>
              <w:rPr>
                <w:rFonts w:hint="eastAsia" w:hAnsi="宋体" w:cs="宋体"/>
              </w:rPr>
              <w:t>0</w:t>
            </w:r>
            <w:r>
              <w:rPr>
                <w:rFonts w:hint="eastAsia"/>
              </w:rPr>
              <w:t>％</w:t>
            </w:r>
          </w:p>
        </w:tc>
        <w:tc>
          <w:tcPr>
            <w:tcW w:w="1914" w:type="dxa"/>
            <w:vAlign w:val="center"/>
          </w:tcPr>
          <w:p>
            <w:pPr>
              <w:pStyle w:val="230"/>
              <w:jc w:val="center"/>
            </w:pPr>
            <w:r>
              <w:rPr>
                <w:rFonts w:ascii="Times New Roman"/>
              </w:rPr>
              <w:t>±</w:t>
            </w:r>
            <w:r>
              <w:rPr>
                <w:rFonts w:hint="eastAsia" w:ascii="Times New Roman"/>
              </w:rPr>
              <w:t>5</w:t>
            </w:r>
            <w:r>
              <w:rPr>
                <w:rFonts w:hint="eastAsia" w:hAnsi="宋体" w:cs="宋体"/>
              </w:rPr>
              <w:t>0</w:t>
            </w:r>
            <w:r>
              <w:rPr>
                <w:rFonts w:hint="eastAsia"/>
              </w:rPr>
              <w:t>％</w:t>
            </w:r>
          </w:p>
        </w:tc>
      </w:tr>
    </w:tbl>
    <w:p>
      <w:pPr>
        <w:pStyle w:val="230"/>
        <w:ind w:firstLine="0" w:firstLineChars="0"/>
        <w:jc w:val="center"/>
        <w:rPr>
          <w:sz w:val="24"/>
          <w:szCs w:val="24"/>
        </w:rPr>
      </w:pPr>
    </w:p>
    <w:p>
      <w:pPr>
        <w:pStyle w:val="230"/>
        <w:ind w:firstLine="0" w:firstLineChars="0"/>
        <w:jc w:val="center"/>
        <w:rPr>
          <w:szCs w:val="21"/>
        </w:rPr>
      </w:pPr>
      <w:r>
        <w:rPr>
          <w:rFonts w:hint="eastAsia"/>
          <w:szCs w:val="21"/>
        </w:rPr>
        <w:t>表2 2-AP和TMPP特征离子、特征离子相对丰度和允许相对偏差</w:t>
      </w:r>
    </w:p>
    <w:tbl>
      <w:tblPr>
        <w:tblStyle w:val="2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2"/>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2392" w:type="dxa"/>
            <w:shd w:val="clear" w:color="auto" w:fill="auto"/>
            <w:vAlign w:val="center"/>
          </w:tcPr>
          <w:p>
            <w:pPr>
              <w:pStyle w:val="230"/>
              <w:ind w:firstLine="0" w:firstLineChars="0"/>
              <w:jc w:val="center"/>
              <w:rPr>
                <w:rFonts w:hAnsi="宋体"/>
                <w:szCs w:val="21"/>
              </w:rPr>
            </w:pPr>
            <w:r>
              <w:rPr>
                <w:rFonts w:hint="eastAsia" w:hAnsi="宋体"/>
                <w:szCs w:val="21"/>
              </w:rPr>
              <w:t>名称</w:t>
            </w:r>
          </w:p>
        </w:tc>
        <w:tc>
          <w:tcPr>
            <w:tcW w:w="2392" w:type="dxa"/>
            <w:shd w:val="clear" w:color="auto" w:fill="auto"/>
            <w:vAlign w:val="center"/>
          </w:tcPr>
          <w:p>
            <w:pPr>
              <w:pStyle w:val="230"/>
              <w:jc w:val="center"/>
              <w:rPr>
                <w:rFonts w:hAnsi="宋体"/>
                <w:szCs w:val="21"/>
              </w:rPr>
            </w:pPr>
            <w:r>
              <w:rPr>
                <w:rFonts w:hint="eastAsia" w:hAnsi="宋体"/>
                <w:szCs w:val="21"/>
              </w:rPr>
              <w:t>特征离子m/z</w:t>
            </w:r>
          </w:p>
        </w:tc>
        <w:tc>
          <w:tcPr>
            <w:tcW w:w="2393" w:type="dxa"/>
            <w:shd w:val="clear" w:color="auto" w:fill="auto"/>
            <w:vAlign w:val="center"/>
          </w:tcPr>
          <w:p>
            <w:pPr>
              <w:pStyle w:val="230"/>
              <w:jc w:val="center"/>
              <w:rPr>
                <w:rFonts w:hAnsi="宋体"/>
                <w:szCs w:val="21"/>
              </w:rPr>
            </w:pPr>
            <w:r>
              <w:rPr>
                <w:rFonts w:hint="eastAsia" w:hAnsi="宋体"/>
                <w:szCs w:val="21"/>
              </w:rPr>
              <w:t>相对强度%</w:t>
            </w:r>
          </w:p>
        </w:tc>
        <w:tc>
          <w:tcPr>
            <w:tcW w:w="2393" w:type="dxa"/>
            <w:shd w:val="clear" w:color="auto" w:fill="auto"/>
            <w:vAlign w:val="center"/>
          </w:tcPr>
          <w:p>
            <w:pPr>
              <w:pStyle w:val="230"/>
              <w:ind w:firstLine="0" w:firstLineChars="0"/>
              <w:jc w:val="center"/>
              <w:rPr>
                <w:rFonts w:hAnsi="宋体"/>
                <w:szCs w:val="21"/>
              </w:rPr>
            </w:pPr>
            <w:r>
              <w:rPr>
                <w:rFonts w:hint="eastAsia" w:hAnsi="宋体"/>
                <w:szCs w:val="21"/>
              </w:rPr>
              <w:t>允许相对偏差%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Merge w:val="restart"/>
            <w:shd w:val="clear" w:color="auto" w:fill="auto"/>
            <w:vAlign w:val="center"/>
          </w:tcPr>
          <w:p>
            <w:pPr>
              <w:pStyle w:val="230"/>
              <w:ind w:firstLine="0" w:firstLineChars="0"/>
              <w:jc w:val="center"/>
              <w:rPr>
                <w:rFonts w:hAnsi="宋体"/>
                <w:szCs w:val="21"/>
              </w:rPr>
            </w:pPr>
            <w:r>
              <w:rPr>
                <w:rFonts w:hint="eastAsia" w:hAnsi="宋体"/>
                <w:szCs w:val="21"/>
              </w:rPr>
              <w:t>2-AP</w:t>
            </w:r>
          </w:p>
        </w:tc>
        <w:tc>
          <w:tcPr>
            <w:tcW w:w="2392" w:type="dxa"/>
            <w:shd w:val="clear" w:color="auto" w:fill="auto"/>
            <w:vAlign w:val="center"/>
          </w:tcPr>
          <w:p>
            <w:pPr>
              <w:pStyle w:val="230"/>
              <w:jc w:val="center"/>
              <w:rPr>
                <w:rFonts w:hAnsi="宋体"/>
                <w:szCs w:val="21"/>
              </w:rPr>
            </w:pPr>
            <w:r>
              <w:rPr>
                <w:rFonts w:hint="eastAsia" w:hAnsi="宋体"/>
                <w:szCs w:val="21"/>
              </w:rPr>
              <w:t>43*</w:t>
            </w:r>
          </w:p>
        </w:tc>
        <w:tc>
          <w:tcPr>
            <w:tcW w:w="2393" w:type="dxa"/>
            <w:shd w:val="clear" w:color="auto" w:fill="auto"/>
            <w:vAlign w:val="center"/>
          </w:tcPr>
          <w:p>
            <w:pPr>
              <w:pStyle w:val="230"/>
              <w:jc w:val="center"/>
              <w:rPr>
                <w:rFonts w:hAnsi="宋体"/>
                <w:szCs w:val="21"/>
              </w:rPr>
            </w:pPr>
            <w:r>
              <w:rPr>
                <w:rFonts w:hint="eastAsia" w:hAnsi="宋体"/>
                <w:szCs w:val="21"/>
              </w:rPr>
              <w:t>100</w:t>
            </w:r>
          </w:p>
        </w:tc>
        <w:tc>
          <w:tcPr>
            <w:tcW w:w="2393" w:type="dxa"/>
            <w:shd w:val="clear" w:color="auto" w:fill="auto"/>
            <w:vAlign w:val="center"/>
          </w:tcPr>
          <w:p>
            <w:pPr>
              <w:pStyle w:val="230"/>
              <w:jc w:val="center"/>
              <w:rPr>
                <w:rFonts w:hAnsi="宋体"/>
                <w:szCs w:val="21"/>
              </w:rPr>
            </w:pP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Merge w:val="continue"/>
            <w:shd w:val="clear" w:color="auto" w:fill="auto"/>
            <w:vAlign w:val="center"/>
          </w:tcPr>
          <w:p>
            <w:pPr>
              <w:pStyle w:val="230"/>
              <w:jc w:val="center"/>
              <w:rPr>
                <w:rFonts w:hAnsi="宋体"/>
                <w:szCs w:val="21"/>
              </w:rPr>
            </w:pPr>
          </w:p>
        </w:tc>
        <w:tc>
          <w:tcPr>
            <w:tcW w:w="2392" w:type="dxa"/>
            <w:shd w:val="clear" w:color="auto" w:fill="auto"/>
            <w:vAlign w:val="center"/>
          </w:tcPr>
          <w:p>
            <w:pPr>
              <w:pStyle w:val="230"/>
              <w:jc w:val="center"/>
              <w:rPr>
                <w:rFonts w:hAnsi="宋体"/>
                <w:szCs w:val="21"/>
              </w:rPr>
            </w:pPr>
            <w:r>
              <w:rPr>
                <w:rFonts w:hint="eastAsia" w:hAnsi="宋体"/>
                <w:szCs w:val="21"/>
              </w:rPr>
              <w:t>83</w:t>
            </w:r>
          </w:p>
        </w:tc>
        <w:tc>
          <w:tcPr>
            <w:tcW w:w="2393" w:type="dxa"/>
            <w:shd w:val="clear" w:color="auto" w:fill="auto"/>
            <w:vAlign w:val="center"/>
          </w:tcPr>
          <w:p>
            <w:pPr>
              <w:pStyle w:val="230"/>
              <w:jc w:val="center"/>
              <w:rPr>
                <w:rFonts w:hAnsi="宋体"/>
                <w:szCs w:val="21"/>
              </w:rPr>
            </w:pPr>
            <w:r>
              <w:rPr>
                <w:rFonts w:hint="eastAsia" w:hAnsi="宋体"/>
                <w:szCs w:val="21"/>
              </w:rPr>
              <w:t>13</w:t>
            </w:r>
          </w:p>
        </w:tc>
        <w:tc>
          <w:tcPr>
            <w:tcW w:w="2393" w:type="dxa"/>
            <w:shd w:val="clear" w:color="auto" w:fill="auto"/>
            <w:vAlign w:val="center"/>
          </w:tcPr>
          <w:p>
            <w:pPr>
              <w:pStyle w:val="230"/>
              <w:jc w:val="center"/>
              <w:rPr>
                <w:rFonts w:hAnsi="宋体"/>
                <w:szCs w:val="21"/>
              </w:rPr>
            </w:pPr>
            <w:r>
              <w:rPr>
                <w:rFonts w:hAnsi="宋体"/>
                <w:szCs w:val="21"/>
              </w:rPr>
              <w:t>±</w:t>
            </w:r>
            <w:r>
              <w:rPr>
                <w:rFonts w:hint="eastAsia" w:hAnsi="宋体" w:cs="宋体"/>
                <w:szCs w:val="21"/>
              </w:rPr>
              <w:t>20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Merge w:val="continue"/>
            <w:shd w:val="clear" w:color="auto" w:fill="auto"/>
            <w:vAlign w:val="center"/>
          </w:tcPr>
          <w:p>
            <w:pPr>
              <w:pStyle w:val="230"/>
              <w:jc w:val="center"/>
              <w:rPr>
                <w:rFonts w:hAnsi="宋体"/>
                <w:szCs w:val="21"/>
              </w:rPr>
            </w:pPr>
          </w:p>
        </w:tc>
        <w:tc>
          <w:tcPr>
            <w:tcW w:w="2392" w:type="dxa"/>
            <w:shd w:val="clear" w:color="auto" w:fill="auto"/>
            <w:vAlign w:val="center"/>
          </w:tcPr>
          <w:p>
            <w:pPr>
              <w:pStyle w:val="230"/>
              <w:jc w:val="center"/>
              <w:rPr>
                <w:rFonts w:hAnsi="宋体"/>
                <w:szCs w:val="21"/>
              </w:rPr>
            </w:pPr>
            <w:r>
              <w:rPr>
                <w:rFonts w:hint="eastAsia" w:hAnsi="宋体"/>
                <w:szCs w:val="21"/>
              </w:rPr>
              <w:t>111</w:t>
            </w:r>
          </w:p>
        </w:tc>
        <w:tc>
          <w:tcPr>
            <w:tcW w:w="2393" w:type="dxa"/>
            <w:shd w:val="clear" w:color="auto" w:fill="auto"/>
            <w:vAlign w:val="center"/>
          </w:tcPr>
          <w:p>
            <w:pPr>
              <w:pStyle w:val="230"/>
              <w:jc w:val="center"/>
              <w:rPr>
                <w:rFonts w:hAnsi="宋体"/>
                <w:szCs w:val="21"/>
              </w:rPr>
            </w:pPr>
            <w:r>
              <w:rPr>
                <w:rFonts w:hint="eastAsia" w:hAnsi="宋体"/>
                <w:szCs w:val="21"/>
              </w:rPr>
              <w:t>5</w:t>
            </w:r>
          </w:p>
        </w:tc>
        <w:tc>
          <w:tcPr>
            <w:tcW w:w="2393" w:type="dxa"/>
            <w:shd w:val="clear" w:color="auto" w:fill="auto"/>
            <w:vAlign w:val="center"/>
          </w:tcPr>
          <w:p>
            <w:pPr>
              <w:pStyle w:val="230"/>
              <w:jc w:val="center"/>
              <w:rPr>
                <w:rFonts w:hAnsi="宋体"/>
                <w:szCs w:val="21"/>
              </w:rPr>
            </w:pPr>
            <w:r>
              <w:rPr>
                <w:rFonts w:hAnsi="宋体"/>
                <w:szCs w:val="21"/>
              </w:rPr>
              <w:t>±</w:t>
            </w:r>
            <w:r>
              <w:rPr>
                <w:rFonts w:hint="eastAsia" w:hAnsi="宋体" w:cs="宋体"/>
                <w:szCs w:val="21"/>
              </w:rPr>
              <w:t>50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Merge w:val="restart"/>
            <w:shd w:val="clear" w:color="auto" w:fill="auto"/>
            <w:vAlign w:val="center"/>
          </w:tcPr>
          <w:p>
            <w:pPr>
              <w:pStyle w:val="230"/>
              <w:ind w:firstLine="0" w:firstLineChars="0"/>
              <w:jc w:val="center"/>
              <w:rPr>
                <w:rFonts w:hAnsi="宋体"/>
                <w:szCs w:val="21"/>
              </w:rPr>
            </w:pPr>
            <w:r>
              <w:rPr>
                <w:rFonts w:hint="eastAsia" w:hAnsi="宋体"/>
                <w:szCs w:val="21"/>
              </w:rPr>
              <w:t>TMP</w:t>
            </w:r>
          </w:p>
        </w:tc>
        <w:tc>
          <w:tcPr>
            <w:tcW w:w="2392" w:type="dxa"/>
            <w:shd w:val="clear" w:color="auto" w:fill="auto"/>
            <w:vAlign w:val="center"/>
          </w:tcPr>
          <w:p>
            <w:pPr>
              <w:pStyle w:val="230"/>
              <w:jc w:val="center"/>
              <w:rPr>
                <w:rFonts w:hAnsi="宋体"/>
                <w:szCs w:val="21"/>
              </w:rPr>
            </w:pPr>
            <w:r>
              <w:rPr>
                <w:rFonts w:hint="eastAsia" w:hAnsi="宋体"/>
                <w:szCs w:val="21"/>
              </w:rPr>
              <w:t>121*</w:t>
            </w:r>
          </w:p>
        </w:tc>
        <w:tc>
          <w:tcPr>
            <w:tcW w:w="2393" w:type="dxa"/>
            <w:shd w:val="clear" w:color="auto" w:fill="auto"/>
            <w:vAlign w:val="center"/>
          </w:tcPr>
          <w:p>
            <w:pPr>
              <w:pStyle w:val="230"/>
              <w:jc w:val="center"/>
              <w:rPr>
                <w:rFonts w:hAnsi="宋体"/>
                <w:szCs w:val="21"/>
              </w:rPr>
            </w:pPr>
            <w:r>
              <w:rPr>
                <w:rFonts w:hint="eastAsia" w:hAnsi="宋体"/>
                <w:szCs w:val="21"/>
              </w:rPr>
              <w:t>100</w:t>
            </w:r>
          </w:p>
        </w:tc>
        <w:tc>
          <w:tcPr>
            <w:tcW w:w="2393" w:type="dxa"/>
            <w:shd w:val="clear" w:color="auto" w:fill="auto"/>
            <w:vAlign w:val="center"/>
          </w:tcPr>
          <w:p>
            <w:pPr>
              <w:pStyle w:val="230"/>
              <w:jc w:val="center"/>
              <w:rPr>
                <w:rFonts w:hAnsi="宋体"/>
                <w:szCs w:val="21"/>
              </w:rPr>
            </w:pP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Merge w:val="continue"/>
            <w:shd w:val="clear" w:color="auto" w:fill="auto"/>
            <w:vAlign w:val="center"/>
          </w:tcPr>
          <w:p>
            <w:pPr>
              <w:pStyle w:val="230"/>
              <w:jc w:val="center"/>
              <w:rPr>
                <w:rFonts w:hAnsi="宋体"/>
                <w:szCs w:val="21"/>
              </w:rPr>
            </w:pPr>
          </w:p>
        </w:tc>
        <w:tc>
          <w:tcPr>
            <w:tcW w:w="2392" w:type="dxa"/>
            <w:shd w:val="clear" w:color="auto" w:fill="auto"/>
            <w:vAlign w:val="center"/>
          </w:tcPr>
          <w:p>
            <w:pPr>
              <w:pStyle w:val="230"/>
              <w:jc w:val="center"/>
              <w:rPr>
                <w:rFonts w:hAnsi="宋体"/>
                <w:szCs w:val="21"/>
              </w:rPr>
            </w:pPr>
            <w:r>
              <w:rPr>
                <w:rFonts w:hint="eastAsia" w:hAnsi="宋体"/>
                <w:szCs w:val="21"/>
              </w:rPr>
              <w:t>79</w:t>
            </w:r>
          </w:p>
        </w:tc>
        <w:tc>
          <w:tcPr>
            <w:tcW w:w="2393" w:type="dxa"/>
            <w:shd w:val="clear" w:color="auto" w:fill="auto"/>
            <w:vAlign w:val="center"/>
          </w:tcPr>
          <w:p>
            <w:pPr>
              <w:pStyle w:val="230"/>
              <w:jc w:val="center"/>
              <w:rPr>
                <w:rFonts w:hAnsi="宋体"/>
                <w:szCs w:val="21"/>
              </w:rPr>
            </w:pPr>
            <w:r>
              <w:rPr>
                <w:rFonts w:hint="eastAsia" w:hAnsi="宋体"/>
                <w:szCs w:val="21"/>
              </w:rPr>
              <w:t>25</w:t>
            </w:r>
          </w:p>
        </w:tc>
        <w:tc>
          <w:tcPr>
            <w:tcW w:w="2393" w:type="dxa"/>
            <w:shd w:val="clear" w:color="auto" w:fill="auto"/>
            <w:vAlign w:val="center"/>
          </w:tcPr>
          <w:p>
            <w:pPr>
              <w:pStyle w:val="230"/>
              <w:jc w:val="center"/>
              <w:rPr>
                <w:rFonts w:hAnsi="宋体"/>
                <w:szCs w:val="21"/>
              </w:rPr>
            </w:pPr>
            <w:r>
              <w:rPr>
                <w:rFonts w:hAnsi="宋体"/>
                <w:szCs w:val="21"/>
              </w:rPr>
              <w:t>±</w:t>
            </w:r>
            <w:r>
              <w:rPr>
                <w:rFonts w:hint="eastAsia" w:hAnsi="宋体" w:cs="宋体"/>
                <w:szCs w:val="21"/>
              </w:rPr>
              <w:t>15</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Merge w:val="continue"/>
            <w:shd w:val="clear" w:color="auto" w:fill="auto"/>
            <w:vAlign w:val="center"/>
          </w:tcPr>
          <w:p>
            <w:pPr>
              <w:pStyle w:val="230"/>
              <w:jc w:val="center"/>
              <w:rPr>
                <w:rFonts w:hAnsi="宋体"/>
                <w:szCs w:val="21"/>
              </w:rPr>
            </w:pPr>
          </w:p>
        </w:tc>
        <w:tc>
          <w:tcPr>
            <w:tcW w:w="2392" w:type="dxa"/>
            <w:shd w:val="clear" w:color="auto" w:fill="auto"/>
            <w:vAlign w:val="center"/>
          </w:tcPr>
          <w:p>
            <w:pPr>
              <w:pStyle w:val="230"/>
              <w:jc w:val="center"/>
              <w:rPr>
                <w:rFonts w:hAnsi="宋体"/>
                <w:szCs w:val="21"/>
              </w:rPr>
            </w:pPr>
            <w:r>
              <w:rPr>
                <w:rFonts w:hint="eastAsia" w:hAnsi="宋体"/>
                <w:szCs w:val="21"/>
              </w:rPr>
              <w:t>106</w:t>
            </w:r>
          </w:p>
        </w:tc>
        <w:tc>
          <w:tcPr>
            <w:tcW w:w="2393" w:type="dxa"/>
            <w:shd w:val="clear" w:color="auto" w:fill="auto"/>
            <w:vAlign w:val="center"/>
          </w:tcPr>
          <w:p>
            <w:pPr>
              <w:pStyle w:val="230"/>
              <w:jc w:val="center"/>
              <w:rPr>
                <w:rFonts w:hAnsi="宋体"/>
                <w:szCs w:val="21"/>
              </w:rPr>
            </w:pPr>
            <w:r>
              <w:rPr>
                <w:rFonts w:hint="eastAsia" w:hAnsi="宋体"/>
                <w:szCs w:val="21"/>
              </w:rPr>
              <w:t>15</w:t>
            </w:r>
          </w:p>
        </w:tc>
        <w:tc>
          <w:tcPr>
            <w:tcW w:w="2393" w:type="dxa"/>
            <w:shd w:val="clear" w:color="auto" w:fill="auto"/>
            <w:vAlign w:val="center"/>
          </w:tcPr>
          <w:p>
            <w:pPr>
              <w:pStyle w:val="230"/>
              <w:jc w:val="center"/>
              <w:rPr>
                <w:rFonts w:hAnsi="宋体"/>
                <w:szCs w:val="21"/>
              </w:rPr>
            </w:pPr>
            <w:r>
              <w:rPr>
                <w:rFonts w:hAnsi="宋体"/>
                <w:szCs w:val="21"/>
              </w:rPr>
              <w:t>±</w:t>
            </w:r>
            <w:r>
              <w:rPr>
                <w:rFonts w:hint="eastAsia" w:hAnsi="宋体" w:cs="宋体"/>
                <w:szCs w:val="21"/>
              </w:rPr>
              <w:t>20</w:t>
            </w:r>
            <w:r>
              <w:rPr>
                <w:rFonts w:hint="eastAsia"/>
              </w:rPr>
              <w:t>％</w:t>
            </w:r>
          </w:p>
        </w:tc>
      </w:tr>
    </w:tbl>
    <w:p>
      <w:pPr>
        <w:pStyle w:val="230"/>
        <w:ind w:firstLine="0" w:firstLineChars="0"/>
      </w:pPr>
      <w:r>
        <w:rPr>
          <w:rFonts w:hint="eastAsia"/>
        </w:rPr>
        <w:t>*</w:t>
      </w:r>
      <w:r>
        <w:t>表示定量离子</w:t>
      </w:r>
    </w:p>
    <w:p>
      <w:pPr>
        <w:pStyle w:val="230"/>
        <w:ind w:firstLine="0" w:firstLineChars="0"/>
      </w:pPr>
      <w:r>
        <w:rPr>
          <w:rFonts w:hint="eastAsia"/>
        </w:rPr>
        <w:t>6.4.2 定量测试</w:t>
      </w:r>
    </w:p>
    <w:p>
      <w:pPr>
        <w:pStyle w:val="230"/>
      </w:pPr>
      <w:r>
        <w:rPr>
          <w:rFonts w:hint="eastAsia"/>
        </w:rPr>
        <w:t>本方法以2-AP定量离子（m/z 43）与TMP定量离子（m/z121）质量色谱图（见附录A）的峰面积比多点校准定量，内标法定量。为减少基质的影响，定量采用基质混合标准工作溶液，。</w:t>
      </w:r>
    </w:p>
    <w:p>
      <w:pPr>
        <w:pStyle w:val="105"/>
        <w:spacing w:before="120" w:after="120"/>
        <w:ind w:left="0"/>
      </w:pPr>
      <w:r>
        <w:rPr>
          <w:rFonts w:hint="eastAsia"/>
        </w:rPr>
        <w:t>平行试验</w:t>
      </w:r>
    </w:p>
    <w:p>
      <w:pPr>
        <w:pStyle w:val="230"/>
        <w:ind w:firstLine="0" w:firstLineChars="0"/>
      </w:pPr>
      <w:r>
        <w:rPr>
          <w:rFonts w:hint="eastAsia"/>
        </w:rPr>
        <w:t xml:space="preserve">    按以上步骤对统一试样进行平行测定。</w:t>
      </w:r>
    </w:p>
    <w:p>
      <w:pPr>
        <w:pStyle w:val="105"/>
        <w:spacing w:before="120" w:after="120"/>
        <w:ind w:left="0"/>
      </w:pPr>
      <w:r>
        <w:rPr>
          <w:rFonts w:hint="eastAsia"/>
        </w:rPr>
        <w:t>空白试验</w:t>
      </w:r>
    </w:p>
    <w:p>
      <w:pPr>
        <w:pStyle w:val="56"/>
        <w:ind w:firstLine="420"/>
      </w:pPr>
      <w:r>
        <w:rPr>
          <w:rFonts w:hint="eastAsia"/>
        </w:rPr>
        <w:t>除不称取试样外，均按上述步骤进行。</w:t>
      </w:r>
    </w:p>
    <w:p>
      <w:pPr>
        <w:pStyle w:val="104"/>
        <w:spacing w:before="240" w:after="240"/>
      </w:pPr>
      <w:r>
        <w:rPr>
          <w:rFonts w:hint="eastAsia"/>
        </w:rPr>
        <w:t>结果计算和表述</w:t>
      </w:r>
    </w:p>
    <w:p>
      <w:pPr>
        <w:pStyle w:val="56"/>
        <w:ind w:firstLine="420"/>
      </w:pPr>
      <w:r>
        <w:rPr>
          <w:rFonts w:hint="eastAsia"/>
        </w:rPr>
        <w:t>试样中2-乙酰基-1-吡咯啉（2-AP）的含量按公式（1）计算：</w:t>
      </w:r>
    </w:p>
    <w:p>
      <w:pPr>
        <w:pStyle w:val="56"/>
        <w:ind w:firstLine="420"/>
      </w:pPr>
    </w:p>
    <w:p>
      <w:pPr>
        <w:pStyle w:val="56"/>
        <w:ind w:firstLine="560"/>
        <w:jc w:val="center"/>
      </w:pPr>
      <m:oMath>
        <m:r>
          <m:rPr>
            <m:sty m:val="p"/>
          </m:rPr>
          <w:rPr>
            <w:rFonts w:ascii="Cambria Math" w:hAnsi="Cambria Math"/>
            <w:sz w:val="28"/>
            <w:szCs w:val="28"/>
          </w:rPr>
          <m:t>X=</m:t>
        </m:r>
        <m:f>
          <m:fPr>
            <m:ctrlPr>
              <w:rPr>
                <w:rFonts w:ascii="Cambria Math" w:hAnsi="Cambria Math"/>
                <w:sz w:val="28"/>
                <w:szCs w:val="28"/>
              </w:rPr>
            </m:ctrlPr>
          </m:fPr>
          <m:num>
            <m:r>
              <m:rPr/>
              <w:rPr>
                <w:rFonts w:ascii="Cambria Math" w:hAnsi="Cambria Math"/>
                <w:sz w:val="28"/>
                <w:szCs w:val="28"/>
              </w:rPr>
              <m:t>A×</m:t>
            </m:r>
            <m:sSub>
              <m:sSubPr>
                <m:ctrlPr>
                  <w:rPr>
                    <w:rFonts w:ascii="Cambria Math" w:hAnsi="Cambria Math"/>
                    <w:i/>
                    <w:sz w:val="28"/>
                    <w:szCs w:val="28"/>
                  </w:rPr>
                </m:ctrlPr>
              </m:sSubPr>
              <m:e>
                <m:r>
                  <m:rPr/>
                  <w:rPr>
                    <w:rFonts w:ascii="Cambria Math" w:hAnsi="Cambria Math"/>
                    <w:sz w:val="28"/>
                    <w:szCs w:val="28"/>
                  </w:rPr>
                  <m:t>C</m:t>
                </m:r>
                <m:ctrlPr>
                  <w:rPr>
                    <w:rFonts w:ascii="Cambria Math" w:hAnsi="Cambria Math"/>
                    <w:i/>
                    <w:sz w:val="28"/>
                    <w:szCs w:val="28"/>
                  </w:rPr>
                </m:ctrlPr>
              </m:e>
              <m:sub>
                <m:r>
                  <m:rPr/>
                  <w:rPr>
                    <w:rFonts w:ascii="Cambria Math" w:hAnsi="Cambria Math"/>
                    <w:sz w:val="28"/>
                    <w:szCs w:val="28"/>
                  </w:rPr>
                  <m:t>s</m:t>
                </m:r>
                <m:ctrlPr>
                  <w:rPr>
                    <w:rFonts w:ascii="Cambria Math" w:hAnsi="Cambria Math"/>
                    <w:i/>
                    <w:sz w:val="28"/>
                    <w:szCs w:val="28"/>
                  </w:rPr>
                </m:ctrlPr>
              </m:sub>
            </m:sSub>
            <m:r>
              <m:rPr/>
              <w:rPr>
                <w:rFonts w:ascii="Cambria Math" w:hAnsi="Cambria Math"/>
                <w:sz w:val="28"/>
                <w:szCs w:val="28"/>
              </w:rPr>
              <m:t>×V</m:t>
            </m:r>
            <m:ctrlPr>
              <w:rPr>
                <w:rFonts w:ascii="Cambria Math" w:hAnsi="Cambria Math"/>
                <w:sz w:val="28"/>
                <w:szCs w:val="28"/>
              </w:rPr>
            </m:ctrlPr>
          </m:num>
          <m:den>
            <m:sSub>
              <m:sSubPr>
                <m:ctrlPr>
                  <w:rPr>
                    <w:rFonts w:ascii="Cambria Math" w:hAnsi="Cambria Math"/>
                    <w:i/>
                    <w:sz w:val="28"/>
                    <w:szCs w:val="28"/>
                  </w:rPr>
                </m:ctrlPr>
              </m:sSubPr>
              <m:e>
                <m:r>
                  <m:rPr/>
                  <w:rPr>
                    <w:rFonts w:ascii="Cambria Math" w:hAnsi="Cambria Math"/>
                    <w:sz w:val="28"/>
                    <w:szCs w:val="28"/>
                  </w:rPr>
                  <m:t>A</m:t>
                </m:r>
                <m:ctrlPr>
                  <w:rPr>
                    <w:rFonts w:ascii="Cambria Math" w:hAnsi="Cambria Math"/>
                    <w:i/>
                    <w:sz w:val="28"/>
                    <w:szCs w:val="28"/>
                  </w:rPr>
                </m:ctrlPr>
              </m:e>
              <m:sub>
                <m:r>
                  <m:rPr/>
                  <w:rPr>
                    <w:rFonts w:ascii="Cambria Math" w:hAnsi="Cambria Math"/>
                    <w:sz w:val="28"/>
                    <w:szCs w:val="28"/>
                  </w:rPr>
                  <m:t>s</m:t>
                </m:r>
                <m:ctrlPr>
                  <w:rPr>
                    <w:rFonts w:ascii="Cambria Math" w:hAnsi="Cambria Math"/>
                    <w:i/>
                    <w:sz w:val="28"/>
                    <w:szCs w:val="28"/>
                  </w:rPr>
                </m:ctrlPr>
              </m:sub>
            </m:sSub>
            <m:r>
              <m:rPr/>
              <w:rPr>
                <w:rFonts w:ascii="Cambria Math" w:hAnsi="Cambria Math"/>
                <w:sz w:val="28"/>
                <w:szCs w:val="28"/>
              </w:rPr>
              <m:t>×m×1000</m:t>
            </m:r>
            <m:ctrlPr>
              <w:rPr>
                <w:rFonts w:ascii="Cambria Math" w:hAnsi="Cambria Math"/>
                <w:sz w:val="28"/>
                <w:szCs w:val="28"/>
              </w:rPr>
            </m:ctrlPr>
          </m:den>
        </m:f>
      </m:oMath>
      <w:r>
        <w:rPr>
          <w:rFonts w:hint="eastAsia" w:hAnsi="Cambria Math"/>
          <w:szCs w:val="21"/>
        </w:rPr>
        <w:t xml:space="preserve">      </w:t>
      </w:r>
      <w:r>
        <w:rPr>
          <w:rFonts w:ascii="Arial" w:hAnsi="Arial" w:cs="Arial"/>
          <w:szCs w:val="21"/>
        </w:rPr>
        <w:t>…………</w:t>
      </w:r>
      <w:r>
        <w:rPr>
          <w:rFonts w:hint="eastAsia" w:hAnsi="Cambria Math"/>
          <w:szCs w:val="21"/>
        </w:rPr>
        <w:t>（1）</w:t>
      </w:r>
    </w:p>
    <w:p>
      <w:pPr>
        <w:pStyle w:val="230"/>
      </w:pPr>
      <w:r>
        <w:t>式中：</w:t>
      </w:r>
    </w:p>
    <w:p>
      <w:pPr>
        <w:pStyle w:val="230"/>
        <w:ind w:firstLine="560"/>
      </w:pPr>
      <m:oMath>
        <m:r>
          <m:rPr>
            <m:sty m:val="p"/>
          </m:rPr>
          <w:rPr>
            <w:rFonts w:ascii="Cambria Math" w:hAnsi="Cambria Math"/>
            <w:sz w:val="28"/>
            <w:szCs w:val="28"/>
          </w:rPr>
          <m:t>X</m:t>
        </m:r>
      </m:oMath>
      <w:r>
        <w:rPr>
          <w:rFonts w:hint="eastAsia"/>
        </w:rPr>
        <w:t xml:space="preserve">     ——试样中2-AP含量</w:t>
      </w:r>
      <w:r>
        <w:t>，单位为</w:t>
      </w:r>
      <w:r>
        <w:rPr>
          <w:rFonts w:hint="eastAsia"/>
        </w:rPr>
        <w:t>微</w:t>
      </w:r>
      <w:r>
        <w:t>克每千克（</w:t>
      </w:r>
      <w:r>
        <w:rPr>
          <w:rFonts w:hint="eastAsia"/>
        </w:rPr>
        <w:t>m</w:t>
      </w:r>
      <w:r>
        <w:t>g/kg）</w:t>
      </w:r>
      <w:r>
        <w:rPr>
          <w:rFonts w:hint="eastAsia"/>
        </w:rPr>
        <w:t>；</w:t>
      </w:r>
    </w:p>
    <w:p>
      <w:pPr>
        <w:pStyle w:val="230"/>
        <w:ind w:firstLine="560"/>
      </w:pPr>
      <m:oMath>
        <m:r>
          <m:rPr/>
          <w:rPr>
            <w:rFonts w:ascii="Cambria Math" w:hAnsi="Cambria Math"/>
            <w:sz w:val="28"/>
            <w:szCs w:val="28"/>
          </w:rPr>
          <m:t>A</m:t>
        </m:r>
      </m:oMath>
      <w:r>
        <w:rPr>
          <w:rFonts w:hint="eastAsia"/>
        </w:rPr>
        <w:t xml:space="preserve">     ——试样</w:t>
      </w:r>
      <w:r>
        <w:t>溶液中</w:t>
      </w:r>
      <w:r>
        <w:rPr>
          <w:rFonts w:hint="eastAsia"/>
        </w:rPr>
        <w:t>2-AP与TMP定量离子</w:t>
      </w:r>
      <w:r>
        <w:t>的峰面积比值；</w:t>
      </w:r>
    </w:p>
    <w:p>
      <w:pPr>
        <w:pStyle w:val="230"/>
        <w:ind w:firstLine="560"/>
      </w:pPr>
      <m:oMath>
        <m:sSub>
          <m:sSubPr>
            <m:ctrlPr>
              <w:rPr>
                <w:rFonts w:ascii="Cambria Math" w:hAnsi="Cambria Math"/>
                <w:i/>
                <w:sz w:val="28"/>
                <w:szCs w:val="28"/>
              </w:rPr>
            </m:ctrlPr>
          </m:sSubPr>
          <m:e>
            <m:r>
              <m:rPr/>
              <w:rPr>
                <w:rFonts w:ascii="Cambria Math" w:hAnsi="Cambria Math"/>
                <w:sz w:val="28"/>
                <w:szCs w:val="28"/>
              </w:rPr>
              <m:t>A</m:t>
            </m:r>
            <m:ctrlPr>
              <w:rPr>
                <w:rFonts w:ascii="Cambria Math" w:hAnsi="Cambria Math"/>
                <w:i/>
                <w:sz w:val="28"/>
                <w:szCs w:val="28"/>
              </w:rPr>
            </m:ctrlPr>
          </m:e>
          <m:sub>
            <m:r>
              <m:rPr/>
              <w:rPr>
                <w:rFonts w:ascii="Cambria Math" w:hAnsi="Cambria Math"/>
                <w:sz w:val="28"/>
                <w:szCs w:val="28"/>
              </w:rPr>
              <m:t>s</m:t>
            </m:r>
            <m:ctrlPr>
              <w:rPr>
                <w:rFonts w:ascii="Cambria Math" w:hAnsi="Cambria Math"/>
                <w:i/>
                <w:sz w:val="28"/>
                <w:szCs w:val="28"/>
              </w:rPr>
            </m:ctrlPr>
          </m:sub>
        </m:sSub>
      </m:oMath>
      <w:r>
        <w:rPr>
          <w:rFonts w:hint="eastAsia"/>
          <w:vertAlign w:val="subscript"/>
        </w:rPr>
        <w:t xml:space="preserve">       </w:t>
      </w:r>
      <w:r>
        <w:rPr>
          <w:rFonts w:hint="eastAsia"/>
        </w:rPr>
        <w:t>——标准</w:t>
      </w:r>
      <w:r>
        <w:t>溶液中</w:t>
      </w:r>
      <w:r>
        <w:rPr>
          <w:rFonts w:hint="eastAsia"/>
        </w:rPr>
        <w:t>2-AP与TMP定量离子</w:t>
      </w:r>
      <w:r>
        <w:t>的峰面积比值；</w:t>
      </w:r>
    </w:p>
    <w:p>
      <w:pPr>
        <w:pStyle w:val="230"/>
        <w:ind w:firstLine="560"/>
      </w:pPr>
      <m:oMath>
        <m:sSub>
          <m:sSubPr>
            <m:ctrlPr>
              <w:rPr>
                <w:rFonts w:ascii="Cambria Math" w:hAnsi="Cambria Math"/>
                <w:i/>
                <w:sz w:val="28"/>
                <w:szCs w:val="28"/>
              </w:rPr>
            </m:ctrlPr>
          </m:sSubPr>
          <m:e>
            <m:r>
              <m:rPr/>
              <w:rPr>
                <w:rFonts w:ascii="Cambria Math" w:hAnsi="Cambria Math"/>
                <w:sz w:val="28"/>
                <w:szCs w:val="28"/>
              </w:rPr>
              <m:t>C</m:t>
            </m:r>
            <m:ctrlPr>
              <w:rPr>
                <w:rFonts w:ascii="Cambria Math" w:hAnsi="Cambria Math"/>
                <w:i/>
                <w:sz w:val="28"/>
                <w:szCs w:val="28"/>
              </w:rPr>
            </m:ctrlPr>
          </m:e>
          <m:sub>
            <m:r>
              <m:rPr/>
              <w:rPr>
                <w:rFonts w:ascii="Cambria Math" w:hAnsi="Cambria Math"/>
                <w:sz w:val="28"/>
                <w:szCs w:val="28"/>
              </w:rPr>
              <m:t>s</m:t>
            </m:r>
            <m:ctrlPr>
              <w:rPr>
                <w:rFonts w:ascii="Cambria Math" w:hAnsi="Cambria Math"/>
                <w:i/>
                <w:sz w:val="28"/>
                <w:szCs w:val="28"/>
              </w:rPr>
            </m:ctrlPr>
          </m:sub>
        </m:sSub>
      </m:oMath>
      <w:r>
        <w:t xml:space="preserve"> </w:t>
      </w:r>
      <w:r>
        <w:rPr>
          <w:rFonts w:hint="eastAsia"/>
        </w:rPr>
        <w:t xml:space="preserve">   ——</w:t>
      </w:r>
      <w:r>
        <w:t>标准溶液中</w:t>
      </w:r>
      <w:r>
        <w:rPr>
          <w:rFonts w:hint="eastAsia"/>
        </w:rPr>
        <w:t>2-AP浓度，单位为纳克每毫升（ng/mL）</w:t>
      </w:r>
      <w:r>
        <w:t>；</w:t>
      </w:r>
    </w:p>
    <w:p>
      <w:pPr>
        <w:pStyle w:val="230"/>
        <w:ind w:firstLine="560"/>
      </w:pPr>
      <m:oMath>
        <m:r>
          <m:rPr/>
          <w:rPr>
            <w:rFonts w:ascii="Cambria Math" w:hAnsi="Cambria Math"/>
            <w:sz w:val="28"/>
            <w:szCs w:val="28"/>
          </w:rPr>
          <m:t>V</m:t>
        </m:r>
      </m:oMath>
      <w:r>
        <w:t xml:space="preserve"> </w:t>
      </w:r>
      <w:r>
        <w:rPr>
          <w:rFonts w:hint="eastAsia"/>
        </w:rPr>
        <w:t xml:space="preserve">    ——定容体积的数值</w:t>
      </w:r>
      <w:r>
        <w:t>，单位为毫升（m</w:t>
      </w:r>
      <w:r>
        <w:rPr>
          <w:rFonts w:hint="eastAsia"/>
        </w:rPr>
        <w:t>L）；</w:t>
      </w:r>
    </w:p>
    <w:p>
      <w:pPr>
        <w:pStyle w:val="230"/>
        <w:ind w:firstLine="560"/>
      </w:pPr>
      <m:oMath>
        <m:r>
          <m:rPr/>
          <w:rPr>
            <w:rFonts w:ascii="Cambria Math" w:hAnsi="Cambria Math"/>
            <w:sz w:val="28"/>
            <w:szCs w:val="28"/>
          </w:rPr>
          <m:t>m</m:t>
        </m:r>
      </m:oMath>
      <w:r>
        <w:rPr>
          <w:rFonts w:hint="eastAsia"/>
          <w:sz w:val="28"/>
          <w:szCs w:val="28"/>
        </w:rPr>
        <w:t xml:space="preserve">   </w:t>
      </w:r>
      <w:r>
        <w:rPr>
          <w:rFonts w:hint="eastAsia"/>
        </w:rPr>
        <w:t>——试样</w:t>
      </w:r>
      <w:r>
        <w:t>质量的数值，单位为克（g</w:t>
      </w:r>
      <w:r>
        <w:rPr>
          <w:rFonts w:hint="eastAsia"/>
        </w:rPr>
        <w:t>）；</w:t>
      </w:r>
    </w:p>
    <w:p>
      <w:pPr>
        <w:pStyle w:val="230"/>
        <w:ind w:firstLine="560"/>
      </w:pPr>
      <w:r>
        <w:rPr>
          <w:rFonts w:hint="eastAsia"/>
          <w:sz w:val="28"/>
          <w:szCs w:val="28"/>
        </w:rPr>
        <w:t xml:space="preserve">1000 </w:t>
      </w:r>
      <w:r>
        <w:rPr>
          <w:rFonts w:hint="eastAsia"/>
        </w:rPr>
        <w:t>——单位换算系数</w:t>
      </w:r>
    </w:p>
    <w:p>
      <w:pPr>
        <w:pStyle w:val="230"/>
        <w:ind w:firstLine="0" w:firstLineChars="0"/>
      </w:pPr>
    </w:p>
    <w:p>
      <w:pPr>
        <w:widowControl/>
        <w:ind w:firstLine="360" w:firstLineChars="200"/>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注：计算结果应扣除空白值，测定结果用平行测定的算术平均值表示，保留三位有效数字。</w:t>
      </w:r>
    </w:p>
    <w:p>
      <w:pPr>
        <w:pStyle w:val="104"/>
        <w:spacing w:before="240" w:after="240"/>
      </w:pPr>
      <w:r>
        <w:rPr>
          <w:rFonts w:hint="eastAsia"/>
        </w:rPr>
        <w:t>精密度</w:t>
      </w:r>
    </w:p>
    <w:p>
      <w:pPr>
        <w:pStyle w:val="105"/>
        <w:spacing w:before="120" w:after="120"/>
        <w:ind w:left="0"/>
        <w:rPr>
          <w:rFonts w:eastAsia="宋体"/>
        </w:rPr>
      </w:pPr>
      <w:r>
        <w:rPr>
          <w:rFonts w:hint="eastAsia" w:eastAsia="宋体"/>
        </w:rPr>
        <w:t>在重复性条件下获得的两次独立测定结果的绝对差值与其算术平均值的比值（百分率），</w:t>
      </w:r>
      <w:r>
        <w:rPr>
          <w:rFonts w:ascii="Times New Roman" w:eastAsia="宋体"/>
        </w:rPr>
        <w:t>依据GB/T 27404-2008重复性要求</w:t>
      </w:r>
      <w:r>
        <w:rPr>
          <w:rFonts w:hint="eastAsia" w:eastAsia="宋体"/>
        </w:rPr>
        <w:t>，本标准中重复性应符合附录B的要求。</w:t>
      </w:r>
    </w:p>
    <w:p>
      <w:pPr>
        <w:pStyle w:val="105"/>
        <w:spacing w:before="120" w:after="120"/>
        <w:ind w:left="0"/>
        <w:rPr>
          <w:rFonts w:ascii="宋体" w:hAnsi="宋体" w:eastAsia="宋体"/>
        </w:rPr>
      </w:pPr>
      <w:r>
        <w:rPr>
          <w:rFonts w:hint="eastAsia" w:ascii="宋体" w:hAnsi="宋体" w:eastAsia="宋体"/>
        </w:rPr>
        <w:t>在再现性条件下获得的两次独立测定结果的绝对差值与其算术平均值的比值（百分率），</w:t>
      </w:r>
      <w:r>
        <w:rPr>
          <w:rFonts w:ascii="Times New Roman" w:eastAsia="宋体"/>
        </w:rPr>
        <w:t>依据GB/T 27404-2008</w:t>
      </w:r>
      <w:r>
        <w:rPr>
          <w:rFonts w:hint="eastAsia" w:ascii="Times New Roman" w:eastAsia="宋体"/>
        </w:rPr>
        <w:t>再现性</w:t>
      </w:r>
      <w:r>
        <w:rPr>
          <w:rFonts w:ascii="Times New Roman" w:eastAsia="宋体"/>
        </w:rPr>
        <w:t>要求</w:t>
      </w:r>
      <w:r>
        <w:rPr>
          <w:rFonts w:hint="eastAsia" w:ascii="Times New Roman" w:eastAsia="宋体"/>
        </w:rPr>
        <w:t>，</w:t>
      </w:r>
      <w:r>
        <w:rPr>
          <w:rFonts w:ascii="Times New Roman" w:eastAsia="宋体"/>
        </w:rPr>
        <w:t>本标准中再现性</w:t>
      </w:r>
      <w:r>
        <w:rPr>
          <w:rFonts w:hint="eastAsia" w:ascii="宋体" w:hAnsi="宋体" w:eastAsia="宋体"/>
        </w:rPr>
        <w:t>应符合附录C的要求。</w:t>
      </w:r>
    </w:p>
    <w:p>
      <w:pPr>
        <w:pStyle w:val="104"/>
        <w:spacing w:before="240" w:after="240"/>
      </w:pPr>
      <w:r>
        <w:rPr>
          <w:rFonts w:hint="eastAsia"/>
        </w:rPr>
        <w:t>定量限和回收率</w:t>
      </w:r>
    </w:p>
    <w:p>
      <w:pPr>
        <w:pStyle w:val="105"/>
        <w:spacing w:before="120" w:after="120"/>
        <w:ind w:left="0"/>
      </w:pPr>
      <w:r>
        <w:rPr>
          <w:rFonts w:hint="eastAsia"/>
        </w:rPr>
        <w:t>检出限和定量限</w:t>
      </w:r>
    </w:p>
    <w:p>
      <w:pPr>
        <w:pStyle w:val="56"/>
        <w:ind w:firstLine="420"/>
      </w:pPr>
      <w:r>
        <w:rPr>
          <w:rFonts w:hint="eastAsia"/>
        </w:rPr>
        <w:t>称样量为1</w:t>
      </w:r>
      <w:r>
        <w:rPr>
          <w:rFonts w:hint="eastAsia"/>
          <w:vertAlign w:val="superscript"/>
        </w:rPr>
        <w:t xml:space="preserve"> </w:t>
      </w:r>
      <w:r>
        <w:rPr>
          <w:rFonts w:hint="eastAsia"/>
        </w:rPr>
        <w:t>g,定容体积为1</w:t>
      </w:r>
      <w:r>
        <w:rPr>
          <w:rFonts w:hint="eastAsia"/>
          <w:vertAlign w:val="superscript"/>
        </w:rPr>
        <w:t xml:space="preserve"> </w:t>
      </w:r>
      <w:r>
        <w:rPr>
          <w:rFonts w:hint="eastAsia"/>
        </w:rPr>
        <w:t>mL时，检出限为0.005mg/kg，定量限为0.015mg/kg。</w:t>
      </w:r>
    </w:p>
    <w:p>
      <w:pPr>
        <w:pStyle w:val="105"/>
        <w:spacing w:before="120" w:after="120"/>
        <w:ind w:left="0"/>
      </w:pPr>
      <w:r>
        <w:rPr>
          <w:rFonts w:hint="eastAsia"/>
        </w:rPr>
        <w:t>回收率</w:t>
      </w:r>
    </w:p>
    <w:p>
      <w:pPr>
        <w:pStyle w:val="56"/>
        <w:ind w:firstLine="420"/>
      </w:pPr>
      <w:r>
        <w:t>当添加水平为</w:t>
      </w:r>
      <w:r>
        <w:rPr>
          <w:rFonts w:hint="eastAsia"/>
        </w:rPr>
        <w:t>0.030mg/kg～0.40μg/kg时，大米中的2-乙酰基-1-吡咯啉加标回收率范围为80％～110％。</w:t>
      </w:r>
    </w:p>
    <w:p>
      <w:pPr>
        <w:pStyle w:val="104"/>
        <w:spacing w:before="240" w:after="240"/>
      </w:pPr>
      <w:r>
        <w:rPr>
          <w:rFonts w:hint="eastAsia"/>
        </w:rPr>
        <w:t>线性范围</w:t>
      </w:r>
    </w:p>
    <w:p>
      <w:pPr>
        <w:pStyle w:val="56"/>
        <w:ind w:firstLine="0" w:firstLineChars="0"/>
      </w:pPr>
      <w:r>
        <w:rPr>
          <w:rFonts w:hint="eastAsia"/>
        </w:rPr>
        <w:t xml:space="preserve">    本方法的线性范围为15ng/mL</w:t>
      </w:r>
      <w:r>
        <w:rPr>
          <w:rFonts w:hint="eastAsia"/>
        </w:rPr>
        <w:sym w:font="Symbol" w:char="F07E"/>
      </w:r>
      <w:r>
        <w:rPr>
          <w:rFonts w:hint="eastAsia"/>
        </w:rPr>
        <w:t>1000</w:t>
      </w:r>
      <w:r>
        <w:rPr>
          <w:rFonts w:hint="eastAsia"/>
          <w:vertAlign w:val="superscript"/>
        </w:rPr>
        <w:t xml:space="preserve"> </w:t>
      </w:r>
      <w:r>
        <w:rPr>
          <w:rFonts w:hint="eastAsia"/>
        </w:rPr>
        <w:t>ng/mL。</w:t>
      </w:r>
    </w:p>
    <w:p>
      <w:pPr>
        <w:pStyle w:val="56"/>
        <w:ind w:firstLine="0" w:firstLineChars="0"/>
        <w:jc w:val="center"/>
      </w:pPr>
      <w:r>
        <w:br w:type="page"/>
      </w:r>
    </w:p>
    <w:p>
      <w:pPr>
        <w:pStyle w:val="56"/>
        <w:ind w:firstLine="0" w:firstLineChars="0"/>
        <w:jc w:val="center"/>
        <w:rPr>
          <w:b/>
          <w:bCs/>
          <w:sz w:val="28"/>
          <w:szCs w:val="28"/>
        </w:rPr>
      </w:pPr>
      <w:r>
        <w:rPr>
          <w:b/>
          <w:bCs/>
          <w:sz w:val="28"/>
          <w:szCs w:val="28"/>
        </w:rPr>
        <w:t>附录</w:t>
      </w:r>
      <w:r>
        <w:rPr>
          <w:rFonts w:hint="eastAsia"/>
          <w:b/>
          <w:bCs/>
          <w:sz w:val="28"/>
          <w:szCs w:val="28"/>
        </w:rPr>
        <w:t>A</w:t>
      </w:r>
    </w:p>
    <w:p>
      <w:pPr>
        <w:pStyle w:val="56"/>
        <w:ind w:firstLine="0" w:firstLineChars="0"/>
        <w:jc w:val="center"/>
      </w:pPr>
      <w:r>
        <w:drawing>
          <wp:inline distT="0" distB="0" distL="0" distR="0">
            <wp:extent cx="5486400" cy="2978785"/>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486400" cy="2978785"/>
                    </a:xfrm>
                    <a:prstGeom prst="rect">
                      <a:avLst/>
                    </a:prstGeom>
                    <a:noFill/>
                  </pic:spPr>
                </pic:pic>
              </a:graphicData>
            </a:graphic>
          </wp:inline>
        </w:drawing>
      </w:r>
    </w:p>
    <w:p>
      <w:pPr>
        <w:pStyle w:val="56"/>
        <w:ind w:firstLine="0" w:firstLineChars="0"/>
        <w:jc w:val="center"/>
      </w:pPr>
      <w:r>
        <w:rPr>
          <w:rFonts w:hint="eastAsia"/>
        </w:rPr>
        <w:t>图A.1 2-AP与TMP标准溶液SIM色谱图</w:t>
      </w: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rPr>
          <w:b/>
          <w:bCs/>
          <w:sz w:val="28"/>
          <w:szCs w:val="28"/>
        </w:rPr>
      </w:pPr>
      <w:r>
        <w:rPr>
          <w:b/>
          <w:bCs/>
          <w:sz w:val="28"/>
          <w:szCs w:val="28"/>
        </w:rPr>
        <w:t>附录</w:t>
      </w:r>
      <w:r>
        <w:rPr>
          <w:rFonts w:hint="eastAsia"/>
          <w:b/>
          <w:bCs/>
          <w:sz w:val="28"/>
          <w:szCs w:val="28"/>
        </w:rPr>
        <w:t>B</w:t>
      </w:r>
    </w:p>
    <w:p>
      <w:pPr>
        <w:pStyle w:val="56"/>
        <w:ind w:firstLine="0" w:firstLineChars="0"/>
        <w:jc w:val="center"/>
        <w:rPr>
          <w:b/>
          <w:bCs/>
          <w:sz w:val="28"/>
          <w:szCs w:val="28"/>
        </w:rPr>
      </w:pPr>
      <w:r>
        <w:rPr>
          <w:rFonts w:hint="eastAsia"/>
          <w:b/>
          <w:bCs/>
          <w:sz w:val="28"/>
          <w:szCs w:val="28"/>
        </w:rPr>
        <w:t>（规范性附录）</w:t>
      </w:r>
    </w:p>
    <w:p>
      <w:pPr>
        <w:pStyle w:val="56"/>
        <w:ind w:firstLine="0" w:firstLineChars="0"/>
        <w:jc w:val="center"/>
        <w:rPr>
          <w:b/>
          <w:bCs/>
          <w:sz w:val="28"/>
          <w:szCs w:val="28"/>
        </w:rPr>
      </w:pPr>
      <w:r>
        <w:rPr>
          <w:rFonts w:hint="eastAsia"/>
          <w:b/>
          <w:bCs/>
          <w:sz w:val="28"/>
          <w:szCs w:val="28"/>
        </w:rPr>
        <w:t>实验室内重复性要求</w:t>
      </w:r>
    </w:p>
    <w:p>
      <w:pPr>
        <w:pStyle w:val="56"/>
        <w:ind w:firstLine="0" w:firstLineChars="0"/>
        <w:jc w:val="center"/>
        <w:rPr>
          <w:b/>
          <w:bCs/>
          <w:sz w:val="28"/>
          <w:szCs w:val="28"/>
        </w:rPr>
      </w:pPr>
    </w:p>
    <w:p>
      <w:pPr>
        <w:pStyle w:val="56"/>
        <w:ind w:firstLine="0" w:firstLineChars="0"/>
        <w:jc w:val="center"/>
        <w:rPr>
          <w:b/>
          <w:bCs/>
          <w:sz w:val="28"/>
          <w:szCs w:val="28"/>
        </w:rPr>
      </w:pPr>
      <w:r>
        <w:rPr>
          <w:rFonts w:hint="eastAsia"/>
          <w:b/>
          <w:bCs/>
          <w:sz w:val="28"/>
          <w:szCs w:val="28"/>
        </w:rPr>
        <w:t>表B.1 实验室内重复性要求</w:t>
      </w:r>
    </w:p>
    <w:tbl>
      <w:tblPr>
        <w:tblStyle w:val="27"/>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4785" w:type="dxa"/>
            <w:vAlign w:val="center"/>
          </w:tcPr>
          <w:p>
            <w:pPr>
              <w:pStyle w:val="56"/>
              <w:ind w:firstLine="560"/>
              <w:jc w:val="center"/>
              <w:rPr>
                <w:sz w:val="28"/>
                <w:szCs w:val="28"/>
              </w:rPr>
            </w:pPr>
            <w:r>
              <w:rPr>
                <w:rFonts w:hint="eastAsia"/>
                <w:sz w:val="28"/>
                <w:szCs w:val="28"/>
              </w:rPr>
              <w:t>被测组分含量 mg/kg</w:t>
            </w:r>
          </w:p>
        </w:tc>
        <w:tc>
          <w:tcPr>
            <w:tcW w:w="4785" w:type="dxa"/>
            <w:vAlign w:val="center"/>
          </w:tcPr>
          <w:p>
            <w:pPr>
              <w:pStyle w:val="56"/>
              <w:ind w:firstLine="560"/>
              <w:jc w:val="center"/>
              <w:rPr>
                <w:sz w:val="28"/>
                <w:szCs w:val="28"/>
              </w:rPr>
            </w:pPr>
            <w:r>
              <w:rPr>
                <w:rFonts w:hint="eastAsia"/>
                <w:sz w:val="28"/>
                <w:szCs w:val="28"/>
              </w:rPr>
              <w:t>精密度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85" w:type="dxa"/>
            <w:vAlign w:val="center"/>
          </w:tcPr>
          <w:p>
            <w:pPr>
              <w:pStyle w:val="56"/>
              <w:ind w:firstLine="420"/>
              <w:jc w:val="center"/>
            </w:pPr>
            <w:r>
              <w:rPr>
                <w:rFonts w:hint="eastAsia" w:hAnsi="宋体" w:cs="宋体"/>
              </w:rPr>
              <w:t>＞</w:t>
            </w:r>
            <w:r>
              <w:rPr>
                <w:rFonts w:hint="eastAsia"/>
              </w:rPr>
              <w:t xml:space="preserve">0.001 </w:t>
            </w:r>
            <w:r>
              <w:rPr>
                <w:rFonts w:hint="eastAsia" w:hAnsi="宋体" w:cs="宋体"/>
              </w:rPr>
              <w:t>≦0.01</w:t>
            </w:r>
          </w:p>
        </w:tc>
        <w:tc>
          <w:tcPr>
            <w:tcW w:w="4785" w:type="dxa"/>
            <w:vAlign w:val="center"/>
          </w:tcPr>
          <w:p>
            <w:pPr>
              <w:pStyle w:val="56"/>
              <w:ind w:firstLine="420"/>
              <w:jc w:val="center"/>
            </w:pPr>
            <w:r>
              <w:rPr>
                <w:rFonts w:hint="eastAsia"/>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85" w:type="dxa"/>
            <w:vAlign w:val="center"/>
          </w:tcPr>
          <w:p>
            <w:pPr>
              <w:pStyle w:val="56"/>
              <w:ind w:firstLine="420"/>
              <w:jc w:val="center"/>
            </w:pPr>
            <w:r>
              <w:rPr>
                <w:rFonts w:hint="eastAsia" w:hAnsi="宋体" w:cs="宋体"/>
              </w:rPr>
              <w:t>＞</w:t>
            </w:r>
            <w:r>
              <w:rPr>
                <w:rFonts w:hint="eastAsia"/>
              </w:rPr>
              <w:t xml:space="preserve">0.01 </w:t>
            </w:r>
            <w:r>
              <w:rPr>
                <w:rFonts w:hint="eastAsia" w:hAnsi="宋体" w:cs="宋体"/>
              </w:rPr>
              <w:t>≦0.1</w:t>
            </w:r>
          </w:p>
        </w:tc>
        <w:tc>
          <w:tcPr>
            <w:tcW w:w="4785" w:type="dxa"/>
            <w:vAlign w:val="center"/>
          </w:tcPr>
          <w:p>
            <w:pPr>
              <w:pStyle w:val="56"/>
              <w:ind w:firstLine="420"/>
              <w:jc w:val="center"/>
            </w:pPr>
            <w:r>
              <w:rPr>
                <w:rFonts w:hint="eastAsia"/>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85" w:type="dxa"/>
            <w:vAlign w:val="center"/>
          </w:tcPr>
          <w:p>
            <w:pPr>
              <w:pStyle w:val="56"/>
              <w:ind w:firstLine="420"/>
              <w:jc w:val="center"/>
            </w:pPr>
            <w:r>
              <w:rPr>
                <w:rFonts w:hint="eastAsia" w:hAnsi="宋体" w:cs="宋体"/>
              </w:rPr>
              <w:t>＞</w:t>
            </w:r>
            <w:r>
              <w:rPr>
                <w:rFonts w:hint="eastAsia"/>
              </w:rPr>
              <w:t xml:space="preserve">0.1 </w:t>
            </w:r>
            <w:r>
              <w:rPr>
                <w:rFonts w:hint="eastAsia" w:hAnsi="宋体" w:cs="宋体"/>
              </w:rPr>
              <w:t>≦1</w:t>
            </w:r>
          </w:p>
        </w:tc>
        <w:tc>
          <w:tcPr>
            <w:tcW w:w="4785" w:type="dxa"/>
            <w:vAlign w:val="center"/>
          </w:tcPr>
          <w:p>
            <w:pPr>
              <w:pStyle w:val="56"/>
              <w:ind w:firstLine="420"/>
              <w:jc w:val="center"/>
            </w:pPr>
            <w:r>
              <w:rPr>
                <w:rFonts w:hint="eastAsi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85" w:type="dxa"/>
            <w:vAlign w:val="center"/>
          </w:tcPr>
          <w:p>
            <w:pPr>
              <w:pStyle w:val="56"/>
              <w:ind w:firstLine="420"/>
              <w:jc w:val="center"/>
            </w:pPr>
            <w:r>
              <w:rPr>
                <w:rFonts w:hint="eastAsia" w:hAnsi="宋体" w:cs="宋体"/>
              </w:rPr>
              <w:t>＞</w:t>
            </w:r>
            <w:r>
              <w:rPr>
                <w:rFonts w:hint="eastAsia"/>
              </w:rPr>
              <w:t>1</w:t>
            </w:r>
          </w:p>
        </w:tc>
        <w:tc>
          <w:tcPr>
            <w:tcW w:w="4785" w:type="dxa"/>
            <w:vAlign w:val="center"/>
          </w:tcPr>
          <w:p>
            <w:pPr>
              <w:pStyle w:val="56"/>
              <w:ind w:firstLine="420"/>
              <w:jc w:val="center"/>
            </w:pPr>
            <w:r>
              <w:rPr>
                <w:rFonts w:hint="eastAsia"/>
              </w:rPr>
              <w:t>14</w:t>
            </w:r>
          </w:p>
        </w:tc>
      </w:tr>
    </w:tbl>
    <w:p>
      <w:pPr>
        <w:pStyle w:val="56"/>
        <w:ind w:firstLine="0" w:firstLineChars="0"/>
      </w:pPr>
      <w:r>
        <w:br w:type="page"/>
      </w:r>
    </w:p>
    <w:p>
      <w:pPr>
        <w:pStyle w:val="56"/>
        <w:ind w:firstLine="0" w:firstLineChars="0"/>
        <w:jc w:val="center"/>
        <w:rPr>
          <w:b/>
          <w:bCs/>
          <w:sz w:val="28"/>
          <w:szCs w:val="28"/>
        </w:rPr>
      </w:pPr>
      <w:r>
        <w:rPr>
          <w:rFonts w:hint="eastAsia"/>
          <w:b/>
          <w:bCs/>
          <w:sz w:val="28"/>
          <w:szCs w:val="28"/>
        </w:rPr>
        <w:t>附录C</w:t>
      </w:r>
    </w:p>
    <w:p>
      <w:pPr>
        <w:pStyle w:val="56"/>
        <w:ind w:firstLine="0" w:firstLineChars="0"/>
        <w:jc w:val="center"/>
        <w:rPr>
          <w:b/>
          <w:bCs/>
          <w:sz w:val="28"/>
          <w:szCs w:val="28"/>
        </w:rPr>
      </w:pPr>
      <w:r>
        <w:rPr>
          <w:rFonts w:hint="eastAsia"/>
          <w:b/>
          <w:bCs/>
          <w:sz w:val="28"/>
          <w:szCs w:val="28"/>
        </w:rPr>
        <w:t>（规范性附录）</w:t>
      </w:r>
    </w:p>
    <w:p>
      <w:pPr>
        <w:pStyle w:val="56"/>
        <w:ind w:firstLine="0" w:firstLineChars="0"/>
        <w:jc w:val="center"/>
        <w:rPr>
          <w:b/>
          <w:bCs/>
          <w:sz w:val="28"/>
          <w:szCs w:val="28"/>
        </w:rPr>
      </w:pPr>
      <w:r>
        <w:rPr>
          <w:rFonts w:hint="eastAsia"/>
          <w:b/>
          <w:bCs/>
          <w:sz w:val="28"/>
          <w:szCs w:val="28"/>
        </w:rPr>
        <w:t>实验室间再现性要求</w:t>
      </w:r>
    </w:p>
    <w:p>
      <w:pPr>
        <w:pStyle w:val="56"/>
        <w:ind w:firstLine="0" w:firstLineChars="0"/>
        <w:jc w:val="center"/>
        <w:rPr>
          <w:b/>
          <w:bCs/>
          <w:sz w:val="28"/>
          <w:szCs w:val="28"/>
        </w:rPr>
      </w:pPr>
    </w:p>
    <w:p>
      <w:pPr>
        <w:pStyle w:val="56"/>
        <w:ind w:firstLine="0" w:firstLineChars="0"/>
        <w:jc w:val="center"/>
        <w:rPr>
          <w:b/>
          <w:bCs/>
          <w:sz w:val="28"/>
          <w:szCs w:val="28"/>
        </w:rPr>
      </w:pPr>
      <w:r>
        <w:rPr>
          <w:rFonts w:hint="eastAsia"/>
          <w:b/>
          <w:bCs/>
          <w:sz w:val="28"/>
          <w:szCs w:val="28"/>
        </w:rPr>
        <w:t>表C.1 实验室间再现性要求</w:t>
      </w:r>
    </w:p>
    <w:tbl>
      <w:tblPr>
        <w:tblStyle w:val="27"/>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4785" w:type="dxa"/>
            <w:vAlign w:val="center"/>
          </w:tcPr>
          <w:p>
            <w:pPr>
              <w:pStyle w:val="56"/>
              <w:ind w:firstLine="560"/>
              <w:jc w:val="center"/>
              <w:rPr>
                <w:sz w:val="28"/>
                <w:szCs w:val="28"/>
              </w:rPr>
            </w:pPr>
            <w:r>
              <w:rPr>
                <w:rFonts w:hint="eastAsia"/>
                <w:sz w:val="28"/>
                <w:szCs w:val="28"/>
              </w:rPr>
              <w:t>被测组分含量 mg/kg</w:t>
            </w:r>
          </w:p>
        </w:tc>
        <w:tc>
          <w:tcPr>
            <w:tcW w:w="4785" w:type="dxa"/>
            <w:vAlign w:val="center"/>
          </w:tcPr>
          <w:p>
            <w:pPr>
              <w:pStyle w:val="56"/>
              <w:ind w:firstLine="560"/>
              <w:jc w:val="center"/>
              <w:rPr>
                <w:sz w:val="28"/>
                <w:szCs w:val="28"/>
              </w:rPr>
            </w:pPr>
            <w:r>
              <w:rPr>
                <w:rFonts w:hint="eastAsia"/>
                <w:sz w:val="28"/>
                <w:szCs w:val="28"/>
              </w:rPr>
              <w:t>精密度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85" w:type="dxa"/>
            <w:vAlign w:val="center"/>
          </w:tcPr>
          <w:p>
            <w:pPr>
              <w:pStyle w:val="56"/>
              <w:ind w:firstLine="420"/>
              <w:jc w:val="center"/>
            </w:pPr>
            <w:r>
              <w:rPr>
                <w:rFonts w:hint="eastAsia" w:hAnsi="宋体" w:cs="宋体"/>
              </w:rPr>
              <w:t>＞</w:t>
            </w:r>
            <w:r>
              <w:rPr>
                <w:rFonts w:hint="eastAsia"/>
              </w:rPr>
              <w:t xml:space="preserve">0.001 </w:t>
            </w:r>
            <w:r>
              <w:rPr>
                <w:rFonts w:hint="eastAsia" w:hAnsi="宋体" w:cs="宋体"/>
              </w:rPr>
              <w:t>≦0.01</w:t>
            </w:r>
          </w:p>
        </w:tc>
        <w:tc>
          <w:tcPr>
            <w:tcW w:w="4785" w:type="dxa"/>
            <w:vAlign w:val="center"/>
          </w:tcPr>
          <w:p>
            <w:pPr>
              <w:pStyle w:val="56"/>
              <w:ind w:firstLine="420"/>
              <w:jc w:val="center"/>
            </w:pPr>
            <w:r>
              <w:rPr>
                <w:rFonts w:hint="eastAsia"/>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85" w:type="dxa"/>
            <w:vAlign w:val="center"/>
          </w:tcPr>
          <w:p>
            <w:pPr>
              <w:pStyle w:val="56"/>
              <w:ind w:firstLine="420"/>
              <w:jc w:val="center"/>
            </w:pPr>
            <w:r>
              <w:rPr>
                <w:rFonts w:hint="eastAsia" w:hAnsi="宋体" w:cs="宋体"/>
              </w:rPr>
              <w:t>＞</w:t>
            </w:r>
            <w:r>
              <w:rPr>
                <w:rFonts w:hint="eastAsia"/>
              </w:rPr>
              <w:t xml:space="preserve">0.01 </w:t>
            </w:r>
            <w:r>
              <w:rPr>
                <w:rFonts w:hint="eastAsia" w:hAnsi="宋体" w:cs="宋体"/>
              </w:rPr>
              <w:t>≦0.1</w:t>
            </w:r>
          </w:p>
        </w:tc>
        <w:tc>
          <w:tcPr>
            <w:tcW w:w="4785" w:type="dxa"/>
            <w:vAlign w:val="center"/>
          </w:tcPr>
          <w:p>
            <w:pPr>
              <w:pStyle w:val="56"/>
              <w:ind w:firstLine="420"/>
              <w:jc w:val="center"/>
            </w:pPr>
            <w:r>
              <w:rPr>
                <w:rFonts w:hint="eastAsia"/>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85" w:type="dxa"/>
            <w:vAlign w:val="center"/>
          </w:tcPr>
          <w:p>
            <w:pPr>
              <w:pStyle w:val="56"/>
              <w:ind w:firstLine="420"/>
              <w:jc w:val="center"/>
            </w:pPr>
            <w:r>
              <w:rPr>
                <w:rFonts w:hint="eastAsia" w:hAnsi="宋体" w:cs="宋体"/>
              </w:rPr>
              <w:t>＞</w:t>
            </w:r>
            <w:r>
              <w:rPr>
                <w:rFonts w:hint="eastAsia"/>
              </w:rPr>
              <w:t xml:space="preserve">0.1 </w:t>
            </w:r>
            <w:r>
              <w:rPr>
                <w:rFonts w:hint="eastAsia" w:hAnsi="宋体" w:cs="宋体"/>
              </w:rPr>
              <w:t>≦1</w:t>
            </w:r>
          </w:p>
        </w:tc>
        <w:tc>
          <w:tcPr>
            <w:tcW w:w="4785" w:type="dxa"/>
            <w:vAlign w:val="center"/>
          </w:tcPr>
          <w:p>
            <w:pPr>
              <w:pStyle w:val="56"/>
              <w:ind w:firstLine="420"/>
              <w:jc w:val="center"/>
            </w:pPr>
            <w:r>
              <w:rPr>
                <w:rFonts w:hint="eastAsi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85" w:type="dxa"/>
            <w:vAlign w:val="center"/>
          </w:tcPr>
          <w:p>
            <w:pPr>
              <w:pStyle w:val="56"/>
              <w:ind w:firstLine="420"/>
              <w:jc w:val="center"/>
            </w:pPr>
            <w:r>
              <w:rPr>
                <w:rFonts w:hint="eastAsia" w:hAnsi="宋体" w:cs="宋体"/>
              </w:rPr>
              <w:t>＞</w:t>
            </w:r>
            <w:r>
              <w:rPr>
                <w:rFonts w:hint="eastAsia"/>
              </w:rPr>
              <w:t>1</w:t>
            </w:r>
          </w:p>
        </w:tc>
        <w:tc>
          <w:tcPr>
            <w:tcW w:w="4785" w:type="dxa"/>
            <w:vAlign w:val="center"/>
          </w:tcPr>
          <w:p>
            <w:pPr>
              <w:pStyle w:val="56"/>
              <w:ind w:firstLine="420"/>
              <w:jc w:val="center"/>
            </w:pPr>
            <w:r>
              <w:rPr>
                <w:rFonts w:hint="eastAsia"/>
              </w:rPr>
              <w:t>19</w:t>
            </w:r>
          </w:p>
        </w:tc>
      </w:tr>
    </w:tbl>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sectPr>
      <w:headerReference r:id="rId13" w:type="default"/>
      <w:footerReference r:id="rId15" w:type="default"/>
      <w:headerReference r:id="rId14" w:type="even"/>
      <w:footerReference r:id="rId16" w:type="even"/>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roman"/>
    <w:pitch w:val="default"/>
    <w:sig w:usb0="00000000" w:usb1="00000000" w:usb2="00000000" w:usb3="00000000" w:csb0="00000000" w:csb1="00000000"/>
  </w:font>
  <w:font w:name="等线 Light">
    <w:altName w:val="宋体"/>
    <w:panose1 w:val="00000000000000000000"/>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T/GXAF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T/GXAF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T/GXAF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T/GXAF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993" w:firstLine="0"/>
      </w:pPr>
      <w:rPr>
        <w:rFonts w:hint="eastAsia" w:ascii="黑体" w:eastAsia="黑体"/>
        <w:b w:val="0"/>
        <w:i w:val="0"/>
        <w:sz w:val="21"/>
      </w:rPr>
    </w:lvl>
    <w:lvl w:ilvl="2" w:tentative="0">
      <w:start w:val="1"/>
      <w:numFmt w:val="decimal"/>
      <w:pStyle w:val="105"/>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2268"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iFu3R3pLkpoVAe6MX8cvGUkoBlg6DEmR65a6+gDkA/p7R78dp1+O3uDUXPCAhFCT0rVx67QTw4/MMrqo3eqMBA==" w:salt="k6Zcq6NDQLZd3qknB5uIKA=="/>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NmYyYTgwMTU3NDg4ZmM4MWY1NzZjYTEwOWMyNjAifQ=="/>
  </w:docVars>
  <w:rsids>
    <w:rsidRoot w:val="00E40B42"/>
    <w:rsid w:val="0000040A"/>
    <w:rsid w:val="00000A94"/>
    <w:rsid w:val="00001972"/>
    <w:rsid w:val="00001D9A"/>
    <w:rsid w:val="00004CA7"/>
    <w:rsid w:val="00007B3A"/>
    <w:rsid w:val="000107E0"/>
    <w:rsid w:val="00011FDE"/>
    <w:rsid w:val="00012FFD"/>
    <w:rsid w:val="00014162"/>
    <w:rsid w:val="00014340"/>
    <w:rsid w:val="00016A9C"/>
    <w:rsid w:val="00016B61"/>
    <w:rsid w:val="00016CC2"/>
    <w:rsid w:val="00022184"/>
    <w:rsid w:val="00022762"/>
    <w:rsid w:val="000238E0"/>
    <w:rsid w:val="000249DB"/>
    <w:rsid w:val="0002595E"/>
    <w:rsid w:val="00027CC3"/>
    <w:rsid w:val="000303C3"/>
    <w:rsid w:val="000331D3"/>
    <w:rsid w:val="000346A5"/>
    <w:rsid w:val="000359C3"/>
    <w:rsid w:val="00035A7D"/>
    <w:rsid w:val="000365ED"/>
    <w:rsid w:val="00041023"/>
    <w:rsid w:val="0004249A"/>
    <w:rsid w:val="00042CF1"/>
    <w:rsid w:val="00043282"/>
    <w:rsid w:val="00043849"/>
    <w:rsid w:val="00044286"/>
    <w:rsid w:val="00047F28"/>
    <w:rsid w:val="000503AA"/>
    <w:rsid w:val="000506A1"/>
    <w:rsid w:val="000515DD"/>
    <w:rsid w:val="0005265A"/>
    <w:rsid w:val="000539DD"/>
    <w:rsid w:val="00053BD3"/>
    <w:rsid w:val="000556ED"/>
    <w:rsid w:val="00055879"/>
    <w:rsid w:val="00055FE2"/>
    <w:rsid w:val="0005616F"/>
    <w:rsid w:val="0005725E"/>
    <w:rsid w:val="00060C2E"/>
    <w:rsid w:val="00061033"/>
    <w:rsid w:val="000619E9"/>
    <w:rsid w:val="000622D4"/>
    <w:rsid w:val="0006357D"/>
    <w:rsid w:val="00065363"/>
    <w:rsid w:val="00066C29"/>
    <w:rsid w:val="00067F1E"/>
    <w:rsid w:val="00071CC0"/>
    <w:rsid w:val="00071CFC"/>
    <w:rsid w:val="00073C8C"/>
    <w:rsid w:val="000756F9"/>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4963"/>
    <w:rsid w:val="000A7311"/>
    <w:rsid w:val="000B060F"/>
    <w:rsid w:val="000B1592"/>
    <w:rsid w:val="000B1FF2"/>
    <w:rsid w:val="000B3CDA"/>
    <w:rsid w:val="000B4FAD"/>
    <w:rsid w:val="000B6A0B"/>
    <w:rsid w:val="000C0F6C"/>
    <w:rsid w:val="000C11DB"/>
    <w:rsid w:val="000C1492"/>
    <w:rsid w:val="000C2FBD"/>
    <w:rsid w:val="000C4B41"/>
    <w:rsid w:val="000C57D6"/>
    <w:rsid w:val="000C6362"/>
    <w:rsid w:val="000C7666"/>
    <w:rsid w:val="000D0A9C"/>
    <w:rsid w:val="000D1795"/>
    <w:rsid w:val="000D1C5F"/>
    <w:rsid w:val="000D329A"/>
    <w:rsid w:val="000D4B9C"/>
    <w:rsid w:val="000D4EB6"/>
    <w:rsid w:val="000D753B"/>
    <w:rsid w:val="000E4C9E"/>
    <w:rsid w:val="000E6FD7"/>
    <w:rsid w:val="000F06E1"/>
    <w:rsid w:val="000F0B6F"/>
    <w:rsid w:val="000F0E3C"/>
    <w:rsid w:val="000F19D5"/>
    <w:rsid w:val="000F4050"/>
    <w:rsid w:val="000F4AEA"/>
    <w:rsid w:val="000F67E9"/>
    <w:rsid w:val="00104926"/>
    <w:rsid w:val="00110749"/>
    <w:rsid w:val="0011333A"/>
    <w:rsid w:val="00113B1E"/>
    <w:rsid w:val="0011711C"/>
    <w:rsid w:val="00122C8C"/>
    <w:rsid w:val="00123D9B"/>
    <w:rsid w:val="00124E4F"/>
    <w:rsid w:val="001260B7"/>
    <w:rsid w:val="001265CB"/>
    <w:rsid w:val="0013184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5F66"/>
    <w:rsid w:val="00187A0B"/>
    <w:rsid w:val="00190087"/>
    <w:rsid w:val="001913C4"/>
    <w:rsid w:val="0019348F"/>
    <w:rsid w:val="00193A07"/>
    <w:rsid w:val="00193D6D"/>
    <w:rsid w:val="00194C2C"/>
    <w:rsid w:val="00194C95"/>
    <w:rsid w:val="00195C34"/>
    <w:rsid w:val="00196EF5"/>
    <w:rsid w:val="001A1A53"/>
    <w:rsid w:val="001A234A"/>
    <w:rsid w:val="001A4CF3"/>
    <w:rsid w:val="001A6696"/>
    <w:rsid w:val="001B06E8"/>
    <w:rsid w:val="001B0BC6"/>
    <w:rsid w:val="001B0FBB"/>
    <w:rsid w:val="001B239B"/>
    <w:rsid w:val="001B71D0"/>
    <w:rsid w:val="001B71EE"/>
    <w:rsid w:val="001C04A8"/>
    <w:rsid w:val="001C2C03"/>
    <w:rsid w:val="001C42F7"/>
    <w:rsid w:val="001C49E5"/>
    <w:rsid w:val="001C680C"/>
    <w:rsid w:val="001C6D94"/>
    <w:rsid w:val="001C7FEA"/>
    <w:rsid w:val="001D0499"/>
    <w:rsid w:val="001D0BBE"/>
    <w:rsid w:val="001D0ED4"/>
    <w:rsid w:val="001D1BDE"/>
    <w:rsid w:val="001D212F"/>
    <w:rsid w:val="001D29D7"/>
    <w:rsid w:val="001D2DE7"/>
    <w:rsid w:val="001D411C"/>
    <w:rsid w:val="001D49F6"/>
    <w:rsid w:val="001D5B01"/>
    <w:rsid w:val="001E1B6A"/>
    <w:rsid w:val="001E2484"/>
    <w:rsid w:val="001E3CC4"/>
    <w:rsid w:val="001E4882"/>
    <w:rsid w:val="001E5B81"/>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4D37"/>
    <w:rsid w:val="0020527B"/>
    <w:rsid w:val="00205F2C"/>
    <w:rsid w:val="00210B15"/>
    <w:rsid w:val="002142EA"/>
    <w:rsid w:val="00214AD9"/>
    <w:rsid w:val="00215ADD"/>
    <w:rsid w:val="002204BB"/>
    <w:rsid w:val="00221B79"/>
    <w:rsid w:val="00221C6B"/>
    <w:rsid w:val="002253A1"/>
    <w:rsid w:val="00225CF8"/>
    <w:rsid w:val="0022794E"/>
    <w:rsid w:val="00227CC8"/>
    <w:rsid w:val="0023165D"/>
    <w:rsid w:val="00233D64"/>
    <w:rsid w:val="0023482A"/>
    <w:rsid w:val="002359CB"/>
    <w:rsid w:val="00243540"/>
    <w:rsid w:val="0024497B"/>
    <w:rsid w:val="0024515B"/>
    <w:rsid w:val="00246021"/>
    <w:rsid w:val="0024666E"/>
    <w:rsid w:val="00247F52"/>
    <w:rsid w:val="00250B25"/>
    <w:rsid w:val="00250BBE"/>
    <w:rsid w:val="002515C2"/>
    <w:rsid w:val="0025194F"/>
    <w:rsid w:val="00253899"/>
    <w:rsid w:val="00256740"/>
    <w:rsid w:val="0026148A"/>
    <w:rsid w:val="00262696"/>
    <w:rsid w:val="00263594"/>
    <w:rsid w:val="00263D25"/>
    <w:rsid w:val="002643C3"/>
    <w:rsid w:val="00264A0C"/>
    <w:rsid w:val="00266316"/>
    <w:rsid w:val="00266EEB"/>
    <w:rsid w:val="00267EF4"/>
    <w:rsid w:val="00270CB8"/>
    <w:rsid w:val="00272B08"/>
    <w:rsid w:val="002741A0"/>
    <w:rsid w:val="00280D0F"/>
    <w:rsid w:val="00281BB8"/>
    <w:rsid w:val="00281E9E"/>
    <w:rsid w:val="00282405"/>
    <w:rsid w:val="00285170"/>
    <w:rsid w:val="00285361"/>
    <w:rsid w:val="00290D6C"/>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6A0"/>
    <w:rsid w:val="002B7332"/>
    <w:rsid w:val="002B7F51"/>
    <w:rsid w:val="002C0222"/>
    <w:rsid w:val="002C09E7"/>
    <w:rsid w:val="002C1E06"/>
    <w:rsid w:val="002C3F07"/>
    <w:rsid w:val="002C5278"/>
    <w:rsid w:val="002C7EBB"/>
    <w:rsid w:val="002D06C1"/>
    <w:rsid w:val="002D2AF4"/>
    <w:rsid w:val="002D42B5"/>
    <w:rsid w:val="002D4F1A"/>
    <w:rsid w:val="002D6EC6"/>
    <w:rsid w:val="002D79AC"/>
    <w:rsid w:val="002E039D"/>
    <w:rsid w:val="002E09A8"/>
    <w:rsid w:val="002E3F75"/>
    <w:rsid w:val="002E4D5A"/>
    <w:rsid w:val="002E6326"/>
    <w:rsid w:val="002F30E0"/>
    <w:rsid w:val="002F35E4"/>
    <w:rsid w:val="002F3730"/>
    <w:rsid w:val="002F38E1"/>
    <w:rsid w:val="002F63EE"/>
    <w:rsid w:val="002F7AF6"/>
    <w:rsid w:val="00300E63"/>
    <w:rsid w:val="00302F5F"/>
    <w:rsid w:val="0030441D"/>
    <w:rsid w:val="00306063"/>
    <w:rsid w:val="0031166A"/>
    <w:rsid w:val="00313B85"/>
    <w:rsid w:val="00317988"/>
    <w:rsid w:val="003221B4"/>
    <w:rsid w:val="0032258D"/>
    <w:rsid w:val="00322E62"/>
    <w:rsid w:val="00324D13"/>
    <w:rsid w:val="00324EDD"/>
    <w:rsid w:val="003331E4"/>
    <w:rsid w:val="00335591"/>
    <w:rsid w:val="00336C61"/>
    <w:rsid w:val="00336C64"/>
    <w:rsid w:val="00337162"/>
    <w:rsid w:val="0034194F"/>
    <w:rsid w:val="00344605"/>
    <w:rsid w:val="003474AA"/>
    <w:rsid w:val="00350D1D"/>
    <w:rsid w:val="003513B5"/>
    <w:rsid w:val="00352C83"/>
    <w:rsid w:val="00352F1A"/>
    <w:rsid w:val="0036107C"/>
    <w:rsid w:val="003615D2"/>
    <w:rsid w:val="003636D2"/>
    <w:rsid w:val="0036429C"/>
    <w:rsid w:val="00364A53"/>
    <w:rsid w:val="00364B38"/>
    <w:rsid w:val="003654CB"/>
    <w:rsid w:val="00365AA9"/>
    <w:rsid w:val="00365F86"/>
    <w:rsid w:val="00365F87"/>
    <w:rsid w:val="00366E89"/>
    <w:rsid w:val="003705F4"/>
    <w:rsid w:val="00370C66"/>
    <w:rsid w:val="00370D58"/>
    <w:rsid w:val="00371316"/>
    <w:rsid w:val="00371594"/>
    <w:rsid w:val="00376713"/>
    <w:rsid w:val="003773DD"/>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F3D"/>
    <w:rsid w:val="0039666B"/>
    <w:rsid w:val="00396C2D"/>
    <w:rsid w:val="003974EB"/>
    <w:rsid w:val="00397CC5"/>
    <w:rsid w:val="003A1582"/>
    <w:rsid w:val="003A3D9C"/>
    <w:rsid w:val="003A4077"/>
    <w:rsid w:val="003A4AA7"/>
    <w:rsid w:val="003A57DD"/>
    <w:rsid w:val="003B09AD"/>
    <w:rsid w:val="003B1F18"/>
    <w:rsid w:val="003B2E75"/>
    <w:rsid w:val="003B56DA"/>
    <w:rsid w:val="003B5BF0"/>
    <w:rsid w:val="003B5C27"/>
    <w:rsid w:val="003B60BF"/>
    <w:rsid w:val="003B6BE3"/>
    <w:rsid w:val="003C010C"/>
    <w:rsid w:val="003C0A6C"/>
    <w:rsid w:val="003C0CE9"/>
    <w:rsid w:val="003C14F8"/>
    <w:rsid w:val="003C5A43"/>
    <w:rsid w:val="003D0519"/>
    <w:rsid w:val="003D0FF6"/>
    <w:rsid w:val="003D262C"/>
    <w:rsid w:val="003D6D61"/>
    <w:rsid w:val="003E091D"/>
    <w:rsid w:val="003E1C53"/>
    <w:rsid w:val="003E2A69"/>
    <w:rsid w:val="003E2D49"/>
    <w:rsid w:val="003E2FD4"/>
    <w:rsid w:val="003E35D6"/>
    <w:rsid w:val="003E49F6"/>
    <w:rsid w:val="003E5E2A"/>
    <w:rsid w:val="003E660F"/>
    <w:rsid w:val="003F0841"/>
    <w:rsid w:val="003F23D3"/>
    <w:rsid w:val="003F3F08"/>
    <w:rsid w:val="003F49F1"/>
    <w:rsid w:val="003F59B9"/>
    <w:rsid w:val="003F6272"/>
    <w:rsid w:val="00400E72"/>
    <w:rsid w:val="00401400"/>
    <w:rsid w:val="00403EE7"/>
    <w:rsid w:val="00404869"/>
    <w:rsid w:val="00405884"/>
    <w:rsid w:val="00407D39"/>
    <w:rsid w:val="0041477A"/>
    <w:rsid w:val="004167A3"/>
    <w:rsid w:val="00417C9A"/>
    <w:rsid w:val="00420584"/>
    <w:rsid w:val="0042541A"/>
    <w:rsid w:val="00432DAA"/>
    <w:rsid w:val="00433D1F"/>
    <w:rsid w:val="00434305"/>
    <w:rsid w:val="00435DF7"/>
    <w:rsid w:val="0044083F"/>
    <w:rsid w:val="00441AE7"/>
    <w:rsid w:val="00445574"/>
    <w:rsid w:val="004467FB"/>
    <w:rsid w:val="0045191C"/>
    <w:rsid w:val="00452D6B"/>
    <w:rsid w:val="00453EAF"/>
    <w:rsid w:val="00454484"/>
    <w:rsid w:val="0045517B"/>
    <w:rsid w:val="00462FC4"/>
    <w:rsid w:val="00463B77"/>
    <w:rsid w:val="00463C7B"/>
    <w:rsid w:val="004644A6"/>
    <w:rsid w:val="00464B0C"/>
    <w:rsid w:val="004659BD"/>
    <w:rsid w:val="00470775"/>
    <w:rsid w:val="004737F7"/>
    <w:rsid w:val="004746B1"/>
    <w:rsid w:val="0047583F"/>
    <w:rsid w:val="00475DE8"/>
    <w:rsid w:val="00481C44"/>
    <w:rsid w:val="00482403"/>
    <w:rsid w:val="00484936"/>
    <w:rsid w:val="00485C89"/>
    <w:rsid w:val="00486BE3"/>
    <w:rsid w:val="004905E4"/>
    <w:rsid w:val="00490A89"/>
    <w:rsid w:val="00490AB4"/>
    <w:rsid w:val="00492F02"/>
    <w:rsid w:val="004939AE"/>
    <w:rsid w:val="004A12DF"/>
    <w:rsid w:val="004A1BA8"/>
    <w:rsid w:val="004A421B"/>
    <w:rsid w:val="004A4B57"/>
    <w:rsid w:val="004A6049"/>
    <w:rsid w:val="004A63FA"/>
    <w:rsid w:val="004A6A3D"/>
    <w:rsid w:val="004B0272"/>
    <w:rsid w:val="004B2701"/>
    <w:rsid w:val="004B2E1B"/>
    <w:rsid w:val="004B3AA8"/>
    <w:rsid w:val="004B3E93"/>
    <w:rsid w:val="004C1FBC"/>
    <w:rsid w:val="004C25A2"/>
    <w:rsid w:val="004C3672"/>
    <w:rsid w:val="004C3F1D"/>
    <w:rsid w:val="004C458D"/>
    <w:rsid w:val="004C7556"/>
    <w:rsid w:val="004C7E8B"/>
    <w:rsid w:val="004C7E9D"/>
    <w:rsid w:val="004C7F67"/>
    <w:rsid w:val="004D076D"/>
    <w:rsid w:val="004D0DD3"/>
    <w:rsid w:val="004D0EF1"/>
    <w:rsid w:val="004D1AFC"/>
    <w:rsid w:val="004D2253"/>
    <w:rsid w:val="004D4406"/>
    <w:rsid w:val="004D699F"/>
    <w:rsid w:val="004D7C42"/>
    <w:rsid w:val="004E0465"/>
    <w:rsid w:val="004E05D7"/>
    <w:rsid w:val="004E127B"/>
    <w:rsid w:val="004E1C0A"/>
    <w:rsid w:val="004E30C5"/>
    <w:rsid w:val="004E4AA5"/>
    <w:rsid w:val="004E4AEE"/>
    <w:rsid w:val="004E59E3"/>
    <w:rsid w:val="004E64EA"/>
    <w:rsid w:val="004E67C0"/>
    <w:rsid w:val="004F011B"/>
    <w:rsid w:val="004F0180"/>
    <w:rsid w:val="004F2F0D"/>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1B3"/>
    <w:rsid w:val="00525B16"/>
    <w:rsid w:val="005262AE"/>
    <w:rsid w:val="00526981"/>
    <w:rsid w:val="00527286"/>
    <w:rsid w:val="00533D04"/>
    <w:rsid w:val="00534804"/>
    <w:rsid w:val="00534BDF"/>
    <w:rsid w:val="005354EA"/>
    <w:rsid w:val="0053585F"/>
    <w:rsid w:val="00535EC4"/>
    <w:rsid w:val="00535ED9"/>
    <w:rsid w:val="0053692B"/>
    <w:rsid w:val="00541853"/>
    <w:rsid w:val="00543BDA"/>
    <w:rsid w:val="005441CC"/>
    <w:rsid w:val="005473E9"/>
    <w:rsid w:val="005479DA"/>
    <w:rsid w:val="00547BCC"/>
    <w:rsid w:val="0055013B"/>
    <w:rsid w:val="00551F6F"/>
    <w:rsid w:val="00552EE4"/>
    <w:rsid w:val="00555044"/>
    <w:rsid w:val="00557E1C"/>
    <w:rsid w:val="00561475"/>
    <w:rsid w:val="00562308"/>
    <w:rsid w:val="00562EFF"/>
    <w:rsid w:val="00564121"/>
    <w:rsid w:val="0056487B"/>
    <w:rsid w:val="00564FB9"/>
    <w:rsid w:val="00570A58"/>
    <w:rsid w:val="00573D9E"/>
    <w:rsid w:val="005801E3"/>
    <w:rsid w:val="00581802"/>
    <w:rsid w:val="005836A8"/>
    <w:rsid w:val="0058409C"/>
    <w:rsid w:val="00584262"/>
    <w:rsid w:val="00586630"/>
    <w:rsid w:val="00587ADD"/>
    <w:rsid w:val="005921D5"/>
    <w:rsid w:val="00593A49"/>
    <w:rsid w:val="00596160"/>
    <w:rsid w:val="005961B2"/>
    <w:rsid w:val="005966E2"/>
    <w:rsid w:val="00597007"/>
    <w:rsid w:val="005A0966"/>
    <w:rsid w:val="005A11B7"/>
    <w:rsid w:val="005A260B"/>
    <w:rsid w:val="005A4A1B"/>
    <w:rsid w:val="005A60D2"/>
    <w:rsid w:val="005A7830"/>
    <w:rsid w:val="005A7FCE"/>
    <w:rsid w:val="005B0F3F"/>
    <w:rsid w:val="005B191C"/>
    <w:rsid w:val="005B4903"/>
    <w:rsid w:val="005B51CE"/>
    <w:rsid w:val="005B5885"/>
    <w:rsid w:val="005B5CD7"/>
    <w:rsid w:val="005B6CF6"/>
    <w:rsid w:val="005B7422"/>
    <w:rsid w:val="005C29B8"/>
    <w:rsid w:val="005C4A2F"/>
    <w:rsid w:val="005C5F21"/>
    <w:rsid w:val="005C7156"/>
    <w:rsid w:val="005D05F5"/>
    <w:rsid w:val="005D0C75"/>
    <w:rsid w:val="005D4171"/>
    <w:rsid w:val="005D6A95"/>
    <w:rsid w:val="005D6B2C"/>
    <w:rsid w:val="005D6D9C"/>
    <w:rsid w:val="005E2335"/>
    <w:rsid w:val="005E3249"/>
    <w:rsid w:val="005E34CA"/>
    <w:rsid w:val="005E3C18"/>
    <w:rsid w:val="005E4250"/>
    <w:rsid w:val="005E57B4"/>
    <w:rsid w:val="005E6812"/>
    <w:rsid w:val="005E6C82"/>
    <w:rsid w:val="005E7881"/>
    <w:rsid w:val="005E78E0"/>
    <w:rsid w:val="005F0D9C"/>
    <w:rsid w:val="005F284E"/>
    <w:rsid w:val="00600F8F"/>
    <w:rsid w:val="006015CE"/>
    <w:rsid w:val="00604784"/>
    <w:rsid w:val="00605F26"/>
    <w:rsid w:val="00606419"/>
    <w:rsid w:val="00607BC7"/>
    <w:rsid w:val="00607D29"/>
    <w:rsid w:val="006108CF"/>
    <w:rsid w:val="0061208C"/>
    <w:rsid w:val="00612952"/>
    <w:rsid w:val="00614CC1"/>
    <w:rsid w:val="00614F83"/>
    <w:rsid w:val="00615A9D"/>
    <w:rsid w:val="0061698A"/>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3AD1"/>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0193"/>
    <w:rsid w:val="00693C78"/>
    <w:rsid w:val="00696713"/>
    <w:rsid w:val="006A07AA"/>
    <w:rsid w:val="006A25E5"/>
    <w:rsid w:val="006A2B46"/>
    <w:rsid w:val="006A336D"/>
    <w:rsid w:val="006A35A1"/>
    <w:rsid w:val="006A37B9"/>
    <w:rsid w:val="006B05BC"/>
    <w:rsid w:val="006B16F3"/>
    <w:rsid w:val="006B2672"/>
    <w:rsid w:val="006B54BF"/>
    <w:rsid w:val="006B5F44"/>
    <w:rsid w:val="006B5F90"/>
    <w:rsid w:val="006B62E4"/>
    <w:rsid w:val="006C1BBA"/>
    <w:rsid w:val="006C2079"/>
    <w:rsid w:val="006C5A62"/>
    <w:rsid w:val="006C5D68"/>
    <w:rsid w:val="006C6976"/>
    <w:rsid w:val="006C6DD0"/>
    <w:rsid w:val="006D04EA"/>
    <w:rsid w:val="006D0731"/>
    <w:rsid w:val="006D16C4"/>
    <w:rsid w:val="006D3E96"/>
    <w:rsid w:val="006D4515"/>
    <w:rsid w:val="006D4BB1"/>
    <w:rsid w:val="006D4CA9"/>
    <w:rsid w:val="006D6593"/>
    <w:rsid w:val="006E05CA"/>
    <w:rsid w:val="006E27A7"/>
    <w:rsid w:val="006E378E"/>
    <w:rsid w:val="006E68B5"/>
    <w:rsid w:val="006E6ACA"/>
    <w:rsid w:val="006F03A8"/>
    <w:rsid w:val="006F2ACA"/>
    <w:rsid w:val="006F2ADC"/>
    <w:rsid w:val="006F2BFE"/>
    <w:rsid w:val="006F31E9"/>
    <w:rsid w:val="006F6079"/>
    <w:rsid w:val="006F6284"/>
    <w:rsid w:val="007002C5"/>
    <w:rsid w:val="00704387"/>
    <w:rsid w:val="00707669"/>
    <w:rsid w:val="00711CBA"/>
    <w:rsid w:val="00711FB5"/>
    <w:rsid w:val="00712A01"/>
    <w:rsid w:val="00714E5B"/>
    <w:rsid w:val="00714F58"/>
    <w:rsid w:val="00715A97"/>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0B0"/>
    <w:rsid w:val="007671CA"/>
    <w:rsid w:val="00767C61"/>
    <w:rsid w:val="0077008A"/>
    <w:rsid w:val="00773146"/>
    <w:rsid w:val="00773C1F"/>
    <w:rsid w:val="00774DA4"/>
    <w:rsid w:val="00776599"/>
    <w:rsid w:val="0078114B"/>
    <w:rsid w:val="00781DD2"/>
    <w:rsid w:val="00783ECF"/>
    <w:rsid w:val="0078413A"/>
    <w:rsid w:val="007959E8"/>
    <w:rsid w:val="00795E9C"/>
    <w:rsid w:val="007A0521"/>
    <w:rsid w:val="007A053A"/>
    <w:rsid w:val="007A2E12"/>
    <w:rsid w:val="007A3475"/>
    <w:rsid w:val="007A41C8"/>
    <w:rsid w:val="007A54CE"/>
    <w:rsid w:val="007A6FD9"/>
    <w:rsid w:val="007A7FFA"/>
    <w:rsid w:val="007B04EB"/>
    <w:rsid w:val="007B0D4F"/>
    <w:rsid w:val="007B2E6D"/>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2123"/>
    <w:rsid w:val="007F0151"/>
    <w:rsid w:val="007F0ED8"/>
    <w:rsid w:val="007F0F63"/>
    <w:rsid w:val="007F62C4"/>
    <w:rsid w:val="007F75CE"/>
    <w:rsid w:val="008013A4"/>
    <w:rsid w:val="008027CE"/>
    <w:rsid w:val="00802F42"/>
    <w:rsid w:val="00804383"/>
    <w:rsid w:val="00804BB7"/>
    <w:rsid w:val="00804BD8"/>
    <w:rsid w:val="00804D41"/>
    <w:rsid w:val="00810257"/>
    <w:rsid w:val="008104F5"/>
    <w:rsid w:val="00811072"/>
    <w:rsid w:val="00811369"/>
    <w:rsid w:val="00815419"/>
    <w:rsid w:val="008163C8"/>
    <w:rsid w:val="008164A1"/>
    <w:rsid w:val="00817325"/>
    <w:rsid w:val="008209E6"/>
    <w:rsid w:val="00821329"/>
    <w:rsid w:val="00823303"/>
    <w:rsid w:val="008233B2"/>
    <w:rsid w:val="00823A9F"/>
    <w:rsid w:val="00823C85"/>
    <w:rsid w:val="00825138"/>
    <w:rsid w:val="008269DD"/>
    <w:rsid w:val="00830621"/>
    <w:rsid w:val="008318CF"/>
    <w:rsid w:val="00832110"/>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10AE"/>
    <w:rsid w:val="00882F71"/>
    <w:rsid w:val="00883F93"/>
    <w:rsid w:val="00884DB3"/>
    <w:rsid w:val="00885A9D"/>
    <w:rsid w:val="0088646D"/>
    <w:rsid w:val="008864F6"/>
    <w:rsid w:val="0089049D"/>
    <w:rsid w:val="008928C9"/>
    <w:rsid w:val="008930CB"/>
    <w:rsid w:val="008938DC"/>
    <w:rsid w:val="00893FD1"/>
    <w:rsid w:val="00894836"/>
    <w:rsid w:val="00895172"/>
    <w:rsid w:val="00895680"/>
    <w:rsid w:val="00896DFF"/>
    <w:rsid w:val="0089762C"/>
    <w:rsid w:val="008A173B"/>
    <w:rsid w:val="008A1893"/>
    <w:rsid w:val="008A2FBB"/>
    <w:rsid w:val="008A4556"/>
    <w:rsid w:val="008A57E6"/>
    <w:rsid w:val="008A6F81"/>
    <w:rsid w:val="008A769A"/>
    <w:rsid w:val="008A78B3"/>
    <w:rsid w:val="008B0C9C"/>
    <w:rsid w:val="008B166D"/>
    <w:rsid w:val="008B17F4"/>
    <w:rsid w:val="008B3615"/>
    <w:rsid w:val="008B4AC4"/>
    <w:rsid w:val="008B50C8"/>
    <w:rsid w:val="008B5281"/>
    <w:rsid w:val="008B5ABA"/>
    <w:rsid w:val="008B7E05"/>
    <w:rsid w:val="008C1797"/>
    <w:rsid w:val="008C219C"/>
    <w:rsid w:val="008C475E"/>
    <w:rsid w:val="008C619A"/>
    <w:rsid w:val="008C6BEF"/>
    <w:rsid w:val="008D0CE8"/>
    <w:rsid w:val="008D2244"/>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6E1"/>
    <w:rsid w:val="008E6A84"/>
    <w:rsid w:val="008E7E9C"/>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6D1"/>
    <w:rsid w:val="00917382"/>
    <w:rsid w:val="00917E62"/>
    <w:rsid w:val="00920ADA"/>
    <w:rsid w:val="0092158C"/>
    <w:rsid w:val="00922A2D"/>
    <w:rsid w:val="009245AE"/>
    <w:rsid w:val="009245F5"/>
    <w:rsid w:val="009249EC"/>
    <w:rsid w:val="009273B3"/>
    <w:rsid w:val="00927B4A"/>
    <w:rsid w:val="009305B5"/>
    <w:rsid w:val="0093158B"/>
    <w:rsid w:val="00932A61"/>
    <w:rsid w:val="009378DD"/>
    <w:rsid w:val="009429D5"/>
    <w:rsid w:val="00942BF1"/>
    <w:rsid w:val="00945180"/>
    <w:rsid w:val="00945428"/>
    <w:rsid w:val="0094607B"/>
    <w:rsid w:val="009522BF"/>
    <w:rsid w:val="00953604"/>
    <w:rsid w:val="0095496B"/>
    <w:rsid w:val="00955D6C"/>
    <w:rsid w:val="00960F1E"/>
    <w:rsid w:val="009610DC"/>
    <w:rsid w:val="00961490"/>
    <w:rsid w:val="00961FB4"/>
    <w:rsid w:val="0096381A"/>
    <w:rsid w:val="00963FE4"/>
    <w:rsid w:val="00965E04"/>
    <w:rsid w:val="009674AD"/>
    <w:rsid w:val="00970CDC"/>
    <w:rsid w:val="00975727"/>
    <w:rsid w:val="00977010"/>
    <w:rsid w:val="00977D02"/>
    <w:rsid w:val="00977FF9"/>
    <w:rsid w:val="009809BB"/>
    <w:rsid w:val="0098364B"/>
    <w:rsid w:val="009838CC"/>
    <w:rsid w:val="009908A3"/>
    <w:rsid w:val="009911AF"/>
    <w:rsid w:val="00991875"/>
    <w:rsid w:val="00991F92"/>
    <w:rsid w:val="00992985"/>
    <w:rsid w:val="00993889"/>
    <w:rsid w:val="0099551B"/>
    <w:rsid w:val="00996BD2"/>
    <w:rsid w:val="00997867"/>
    <w:rsid w:val="00997BF1"/>
    <w:rsid w:val="009A089C"/>
    <w:rsid w:val="009A118E"/>
    <w:rsid w:val="009A21CD"/>
    <w:rsid w:val="009A278C"/>
    <w:rsid w:val="009A2BC2"/>
    <w:rsid w:val="009A42C1"/>
    <w:rsid w:val="009A5429"/>
    <w:rsid w:val="009A558C"/>
    <w:rsid w:val="009A72AD"/>
    <w:rsid w:val="009B09E0"/>
    <w:rsid w:val="009B0BC5"/>
    <w:rsid w:val="009B1247"/>
    <w:rsid w:val="009B6029"/>
    <w:rsid w:val="009B6971"/>
    <w:rsid w:val="009C27F1"/>
    <w:rsid w:val="009C3152"/>
    <w:rsid w:val="009C3257"/>
    <w:rsid w:val="009C4CFA"/>
    <w:rsid w:val="009C5070"/>
    <w:rsid w:val="009C584A"/>
    <w:rsid w:val="009D112C"/>
    <w:rsid w:val="009D1385"/>
    <w:rsid w:val="009D2911"/>
    <w:rsid w:val="009D47FA"/>
    <w:rsid w:val="009D4C5B"/>
    <w:rsid w:val="009D50D2"/>
    <w:rsid w:val="009D59C9"/>
    <w:rsid w:val="009D6BCA"/>
    <w:rsid w:val="009E0F62"/>
    <w:rsid w:val="009E4767"/>
    <w:rsid w:val="009E4A58"/>
    <w:rsid w:val="009E5A2D"/>
    <w:rsid w:val="009E5AB2"/>
    <w:rsid w:val="009E6120"/>
    <w:rsid w:val="009E6219"/>
    <w:rsid w:val="009F03B3"/>
    <w:rsid w:val="009F4651"/>
    <w:rsid w:val="00A0096C"/>
    <w:rsid w:val="00A01757"/>
    <w:rsid w:val="00A028C0"/>
    <w:rsid w:val="00A02BAE"/>
    <w:rsid w:val="00A04BB5"/>
    <w:rsid w:val="00A06A6B"/>
    <w:rsid w:val="00A07E47"/>
    <w:rsid w:val="00A129D0"/>
    <w:rsid w:val="00A12C33"/>
    <w:rsid w:val="00A138BA"/>
    <w:rsid w:val="00A14C8E"/>
    <w:rsid w:val="00A153D9"/>
    <w:rsid w:val="00A15F09"/>
    <w:rsid w:val="00A169B6"/>
    <w:rsid w:val="00A17155"/>
    <w:rsid w:val="00A17AF1"/>
    <w:rsid w:val="00A2271D"/>
    <w:rsid w:val="00A237D5"/>
    <w:rsid w:val="00A30EFC"/>
    <w:rsid w:val="00A31984"/>
    <w:rsid w:val="00A32D73"/>
    <w:rsid w:val="00A3367B"/>
    <w:rsid w:val="00A3597D"/>
    <w:rsid w:val="00A36BD2"/>
    <w:rsid w:val="00A36DD1"/>
    <w:rsid w:val="00A4006C"/>
    <w:rsid w:val="00A40091"/>
    <w:rsid w:val="00A4030F"/>
    <w:rsid w:val="00A41C79"/>
    <w:rsid w:val="00A41CB5"/>
    <w:rsid w:val="00A42CDF"/>
    <w:rsid w:val="00A4452E"/>
    <w:rsid w:val="00A4472C"/>
    <w:rsid w:val="00A44E69"/>
    <w:rsid w:val="00A4661E"/>
    <w:rsid w:val="00A55A60"/>
    <w:rsid w:val="00A55BD6"/>
    <w:rsid w:val="00A55D50"/>
    <w:rsid w:val="00A56CDC"/>
    <w:rsid w:val="00A57142"/>
    <w:rsid w:val="00A648CD"/>
    <w:rsid w:val="00A6537A"/>
    <w:rsid w:val="00A67866"/>
    <w:rsid w:val="00A70B07"/>
    <w:rsid w:val="00A723F8"/>
    <w:rsid w:val="00A7270F"/>
    <w:rsid w:val="00A77CCB"/>
    <w:rsid w:val="00A83D8D"/>
    <w:rsid w:val="00A8446B"/>
    <w:rsid w:val="00A8473F"/>
    <w:rsid w:val="00A862D6"/>
    <w:rsid w:val="00A8715E"/>
    <w:rsid w:val="00A9189F"/>
    <w:rsid w:val="00A91A19"/>
    <w:rsid w:val="00A9295B"/>
    <w:rsid w:val="00A93B09"/>
    <w:rsid w:val="00A952D7"/>
    <w:rsid w:val="00A963F7"/>
    <w:rsid w:val="00A96AD8"/>
    <w:rsid w:val="00AA052C"/>
    <w:rsid w:val="00AA1E45"/>
    <w:rsid w:val="00AA35F1"/>
    <w:rsid w:val="00AA4286"/>
    <w:rsid w:val="00AA456B"/>
    <w:rsid w:val="00AA57F5"/>
    <w:rsid w:val="00AA672E"/>
    <w:rsid w:val="00AA6EC9"/>
    <w:rsid w:val="00AB6309"/>
    <w:rsid w:val="00AB6C5F"/>
    <w:rsid w:val="00AB7129"/>
    <w:rsid w:val="00AC27A6"/>
    <w:rsid w:val="00AC30F7"/>
    <w:rsid w:val="00AC3A5A"/>
    <w:rsid w:val="00AC4D95"/>
    <w:rsid w:val="00AC5DF4"/>
    <w:rsid w:val="00AC7335"/>
    <w:rsid w:val="00AD0AEF"/>
    <w:rsid w:val="00AD11B7"/>
    <w:rsid w:val="00AD1A94"/>
    <w:rsid w:val="00AD1C05"/>
    <w:rsid w:val="00AD4126"/>
    <w:rsid w:val="00AD421C"/>
    <w:rsid w:val="00AD44FA"/>
    <w:rsid w:val="00AD759A"/>
    <w:rsid w:val="00AE070A"/>
    <w:rsid w:val="00AE101C"/>
    <w:rsid w:val="00AE2A69"/>
    <w:rsid w:val="00AE3612"/>
    <w:rsid w:val="00AE37E5"/>
    <w:rsid w:val="00AE5EB4"/>
    <w:rsid w:val="00AF0C18"/>
    <w:rsid w:val="00AF47C5"/>
    <w:rsid w:val="00AF5398"/>
    <w:rsid w:val="00AF5F3D"/>
    <w:rsid w:val="00B049AF"/>
    <w:rsid w:val="00B07242"/>
    <w:rsid w:val="00B10534"/>
    <w:rsid w:val="00B113DB"/>
    <w:rsid w:val="00B11D8A"/>
    <w:rsid w:val="00B12981"/>
    <w:rsid w:val="00B147DD"/>
    <w:rsid w:val="00B156FD"/>
    <w:rsid w:val="00B2101A"/>
    <w:rsid w:val="00B21F61"/>
    <w:rsid w:val="00B261F1"/>
    <w:rsid w:val="00B26422"/>
    <w:rsid w:val="00B265BC"/>
    <w:rsid w:val="00B2692C"/>
    <w:rsid w:val="00B31265"/>
    <w:rsid w:val="00B31FB1"/>
    <w:rsid w:val="00B33952"/>
    <w:rsid w:val="00B33C5E"/>
    <w:rsid w:val="00B342F4"/>
    <w:rsid w:val="00B34369"/>
    <w:rsid w:val="00B346A3"/>
    <w:rsid w:val="00B34DC2"/>
    <w:rsid w:val="00B378E5"/>
    <w:rsid w:val="00B4346D"/>
    <w:rsid w:val="00B440F4"/>
    <w:rsid w:val="00B447A5"/>
    <w:rsid w:val="00B4654C"/>
    <w:rsid w:val="00B47293"/>
    <w:rsid w:val="00B50E50"/>
    <w:rsid w:val="00B52120"/>
    <w:rsid w:val="00B54ABC"/>
    <w:rsid w:val="00B56FBE"/>
    <w:rsid w:val="00B60000"/>
    <w:rsid w:val="00B60ACF"/>
    <w:rsid w:val="00B62296"/>
    <w:rsid w:val="00B62B58"/>
    <w:rsid w:val="00B65149"/>
    <w:rsid w:val="00B65BA7"/>
    <w:rsid w:val="00B66567"/>
    <w:rsid w:val="00B66F52"/>
    <w:rsid w:val="00B66FE5"/>
    <w:rsid w:val="00B71608"/>
    <w:rsid w:val="00B72880"/>
    <w:rsid w:val="00B758BF"/>
    <w:rsid w:val="00B76CDB"/>
    <w:rsid w:val="00B77EC8"/>
    <w:rsid w:val="00B827A6"/>
    <w:rsid w:val="00B831CE"/>
    <w:rsid w:val="00B86677"/>
    <w:rsid w:val="00B87131"/>
    <w:rsid w:val="00B91B5D"/>
    <w:rsid w:val="00B939B1"/>
    <w:rsid w:val="00B96D40"/>
    <w:rsid w:val="00B97386"/>
    <w:rsid w:val="00BA263B"/>
    <w:rsid w:val="00BA42B2"/>
    <w:rsid w:val="00BA56EB"/>
    <w:rsid w:val="00BA58D4"/>
    <w:rsid w:val="00BA5909"/>
    <w:rsid w:val="00BA5B9E"/>
    <w:rsid w:val="00BA7C9A"/>
    <w:rsid w:val="00BB5F8F"/>
    <w:rsid w:val="00BB657A"/>
    <w:rsid w:val="00BC1A4E"/>
    <w:rsid w:val="00BC5DC7"/>
    <w:rsid w:val="00BC6B8B"/>
    <w:rsid w:val="00BC73D8"/>
    <w:rsid w:val="00BC7EE3"/>
    <w:rsid w:val="00BD1586"/>
    <w:rsid w:val="00BD42A6"/>
    <w:rsid w:val="00BD49A7"/>
    <w:rsid w:val="00BD52D7"/>
    <w:rsid w:val="00BD5AD2"/>
    <w:rsid w:val="00BE1027"/>
    <w:rsid w:val="00BE22F3"/>
    <w:rsid w:val="00BE3BD3"/>
    <w:rsid w:val="00BE5B52"/>
    <w:rsid w:val="00BE7B8D"/>
    <w:rsid w:val="00BF0993"/>
    <w:rsid w:val="00BF10A9"/>
    <w:rsid w:val="00BF1703"/>
    <w:rsid w:val="00BF231C"/>
    <w:rsid w:val="00BF51E5"/>
    <w:rsid w:val="00BF74A6"/>
    <w:rsid w:val="00C0027A"/>
    <w:rsid w:val="00C013AD"/>
    <w:rsid w:val="00C04904"/>
    <w:rsid w:val="00C056B3"/>
    <w:rsid w:val="00C07483"/>
    <w:rsid w:val="00C101C1"/>
    <w:rsid w:val="00C103E5"/>
    <w:rsid w:val="00C13319"/>
    <w:rsid w:val="00C13EE9"/>
    <w:rsid w:val="00C20D61"/>
    <w:rsid w:val="00C21540"/>
    <w:rsid w:val="00C21906"/>
    <w:rsid w:val="00C21BFA"/>
    <w:rsid w:val="00C24C8D"/>
    <w:rsid w:val="00C25FE2"/>
    <w:rsid w:val="00C26B53"/>
    <w:rsid w:val="00C279B2"/>
    <w:rsid w:val="00C33E50"/>
    <w:rsid w:val="00C34C20"/>
    <w:rsid w:val="00C3524A"/>
    <w:rsid w:val="00C35A3E"/>
    <w:rsid w:val="00C40C04"/>
    <w:rsid w:val="00C42130"/>
    <w:rsid w:val="00C423A4"/>
    <w:rsid w:val="00C423E3"/>
    <w:rsid w:val="00C429CF"/>
    <w:rsid w:val="00C44BF5"/>
    <w:rsid w:val="00C44DCC"/>
    <w:rsid w:val="00C51587"/>
    <w:rsid w:val="00C521D6"/>
    <w:rsid w:val="00C55232"/>
    <w:rsid w:val="00C553A4"/>
    <w:rsid w:val="00C55A06"/>
    <w:rsid w:val="00C55D03"/>
    <w:rsid w:val="00C601BC"/>
    <w:rsid w:val="00C6329F"/>
    <w:rsid w:val="00C63340"/>
    <w:rsid w:val="00C643F9"/>
    <w:rsid w:val="00C64E95"/>
    <w:rsid w:val="00C71372"/>
    <w:rsid w:val="00C72410"/>
    <w:rsid w:val="00C7287F"/>
    <w:rsid w:val="00C80589"/>
    <w:rsid w:val="00C80CB8"/>
    <w:rsid w:val="00C819F8"/>
    <w:rsid w:val="00C8248C"/>
    <w:rsid w:val="00C84E33"/>
    <w:rsid w:val="00C86D6F"/>
    <w:rsid w:val="00C87979"/>
    <w:rsid w:val="00C905FC"/>
    <w:rsid w:val="00C92D03"/>
    <w:rsid w:val="00C9319C"/>
    <w:rsid w:val="00C9435D"/>
    <w:rsid w:val="00C94DF2"/>
    <w:rsid w:val="00C9537A"/>
    <w:rsid w:val="00C96741"/>
    <w:rsid w:val="00CA063E"/>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610"/>
    <w:rsid w:val="00CC4AC8"/>
    <w:rsid w:val="00CC5233"/>
    <w:rsid w:val="00CC5A6F"/>
    <w:rsid w:val="00CC5DE6"/>
    <w:rsid w:val="00CC6E4E"/>
    <w:rsid w:val="00CC6FE8"/>
    <w:rsid w:val="00CC7202"/>
    <w:rsid w:val="00CC7A00"/>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25C"/>
    <w:rsid w:val="00D1489E"/>
    <w:rsid w:val="00D20737"/>
    <w:rsid w:val="00D20AA1"/>
    <w:rsid w:val="00D21E81"/>
    <w:rsid w:val="00D223DE"/>
    <w:rsid w:val="00D25E37"/>
    <w:rsid w:val="00D2661A"/>
    <w:rsid w:val="00D27582"/>
    <w:rsid w:val="00D27EC4"/>
    <w:rsid w:val="00D32719"/>
    <w:rsid w:val="00D33333"/>
    <w:rsid w:val="00D34C6B"/>
    <w:rsid w:val="00D352A2"/>
    <w:rsid w:val="00D4162B"/>
    <w:rsid w:val="00D4514F"/>
    <w:rsid w:val="00D451E2"/>
    <w:rsid w:val="00D45E89"/>
    <w:rsid w:val="00D45E8D"/>
    <w:rsid w:val="00D466AE"/>
    <w:rsid w:val="00D4734F"/>
    <w:rsid w:val="00D51BF3"/>
    <w:rsid w:val="00D609B3"/>
    <w:rsid w:val="00D6277A"/>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1E67"/>
    <w:rsid w:val="00DA24F8"/>
    <w:rsid w:val="00DA28E8"/>
    <w:rsid w:val="00DA38D3"/>
    <w:rsid w:val="00DA3932"/>
    <w:rsid w:val="00DA3AFC"/>
    <w:rsid w:val="00DA4FEF"/>
    <w:rsid w:val="00DA64F8"/>
    <w:rsid w:val="00DA6914"/>
    <w:rsid w:val="00DA6C15"/>
    <w:rsid w:val="00DB0258"/>
    <w:rsid w:val="00DB0903"/>
    <w:rsid w:val="00DB38EE"/>
    <w:rsid w:val="00DB498B"/>
    <w:rsid w:val="00DB66CA"/>
    <w:rsid w:val="00DB6BCA"/>
    <w:rsid w:val="00DB6F54"/>
    <w:rsid w:val="00DB73F7"/>
    <w:rsid w:val="00DC0321"/>
    <w:rsid w:val="00DC09DC"/>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6A8"/>
    <w:rsid w:val="00DF1961"/>
    <w:rsid w:val="00DF44DE"/>
    <w:rsid w:val="00E01138"/>
    <w:rsid w:val="00E02DFB"/>
    <w:rsid w:val="00E030F9"/>
    <w:rsid w:val="00E0311A"/>
    <w:rsid w:val="00E03138"/>
    <w:rsid w:val="00E0395C"/>
    <w:rsid w:val="00E06404"/>
    <w:rsid w:val="00E11A85"/>
    <w:rsid w:val="00E12495"/>
    <w:rsid w:val="00E13E12"/>
    <w:rsid w:val="00E15CCD"/>
    <w:rsid w:val="00E202EF"/>
    <w:rsid w:val="00E210B5"/>
    <w:rsid w:val="00E2552F"/>
    <w:rsid w:val="00E3137A"/>
    <w:rsid w:val="00E32CCF"/>
    <w:rsid w:val="00E34A98"/>
    <w:rsid w:val="00E35D1E"/>
    <w:rsid w:val="00E364F9"/>
    <w:rsid w:val="00E365FA"/>
    <w:rsid w:val="00E36789"/>
    <w:rsid w:val="00E40842"/>
    <w:rsid w:val="00E40B42"/>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1E0"/>
    <w:rsid w:val="00E70388"/>
    <w:rsid w:val="00E70E86"/>
    <w:rsid w:val="00E70F92"/>
    <w:rsid w:val="00E74313"/>
    <w:rsid w:val="00E74C54"/>
    <w:rsid w:val="00E75918"/>
    <w:rsid w:val="00E76E3C"/>
    <w:rsid w:val="00E76EC4"/>
    <w:rsid w:val="00E7782E"/>
    <w:rsid w:val="00E77A03"/>
    <w:rsid w:val="00E822E8"/>
    <w:rsid w:val="00E82554"/>
    <w:rsid w:val="00E82606"/>
    <w:rsid w:val="00E831C1"/>
    <w:rsid w:val="00E846C8"/>
    <w:rsid w:val="00E84957"/>
    <w:rsid w:val="00E84A55"/>
    <w:rsid w:val="00E85BFF"/>
    <w:rsid w:val="00E87C3D"/>
    <w:rsid w:val="00E90391"/>
    <w:rsid w:val="00E906C2"/>
    <w:rsid w:val="00E924BD"/>
    <w:rsid w:val="00E9311F"/>
    <w:rsid w:val="00E934D1"/>
    <w:rsid w:val="00E94AF0"/>
    <w:rsid w:val="00E95CC8"/>
    <w:rsid w:val="00E95D13"/>
    <w:rsid w:val="00E95DD3"/>
    <w:rsid w:val="00E969D5"/>
    <w:rsid w:val="00EA08DA"/>
    <w:rsid w:val="00EA58D1"/>
    <w:rsid w:val="00EA61BC"/>
    <w:rsid w:val="00EA63AC"/>
    <w:rsid w:val="00EA681A"/>
    <w:rsid w:val="00EA6EA4"/>
    <w:rsid w:val="00EA735B"/>
    <w:rsid w:val="00EB0FD0"/>
    <w:rsid w:val="00EB1E69"/>
    <w:rsid w:val="00EB2086"/>
    <w:rsid w:val="00EB31ED"/>
    <w:rsid w:val="00EB5EDF"/>
    <w:rsid w:val="00EB60FE"/>
    <w:rsid w:val="00EB74DB"/>
    <w:rsid w:val="00EC23BB"/>
    <w:rsid w:val="00EC2E6C"/>
    <w:rsid w:val="00EC5359"/>
    <w:rsid w:val="00EC562A"/>
    <w:rsid w:val="00ED01D8"/>
    <w:rsid w:val="00ED067A"/>
    <w:rsid w:val="00ED2B50"/>
    <w:rsid w:val="00ED6C62"/>
    <w:rsid w:val="00EE0350"/>
    <w:rsid w:val="00EE0719"/>
    <w:rsid w:val="00EE0E80"/>
    <w:rsid w:val="00EE12B0"/>
    <w:rsid w:val="00EE613F"/>
    <w:rsid w:val="00EE6980"/>
    <w:rsid w:val="00EE7295"/>
    <w:rsid w:val="00EE7869"/>
    <w:rsid w:val="00EF054A"/>
    <w:rsid w:val="00EF3235"/>
    <w:rsid w:val="00EF7E72"/>
    <w:rsid w:val="00F06D37"/>
    <w:rsid w:val="00F07135"/>
    <w:rsid w:val="00F07B9D"/>
    <w:rsid w:val="00F11586"/>
    <w:rsid w:val="00F1183B"/>
    <w:rsid w:val="00F11C9F"/>
    <w:rsid w:val="00F12263"/>
    <w:rsid w:val="00F1409D"/>
    <w:rsid w:val="00F14105"/>
    <w:rsid w:val="00F14214"/>
    <w:rsid w:val="00F157A9"/>
    <w:rsid w:val="00F16D80"/>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39E5"/>
    <w:rsid w:val="00F56511"/>
    <w:rsid w:val="00F6194E"/>
    <w:rsid w:val="00F623AC"/>
    <w:rsid w:val="00F6412A"/>
    <w:rsid w:val="00F65893"/>
    <w:rsid w:val="00F66A4A"/>
    <w:rsid w:val="00F6716C"/>
    <w:rsid w:val="00F67173"/>
    <w:rsid w:val="00F71E22"/>
    <w:rsid w:val="00F72142"/>
    <w:rsid w:val="00F72AE7"/>
    <w:rsid w:val="00F833BA"/>
    <w:rsid w:val="00F84FD0"/>
    <w:rsid w:val="00F859A8"/>
    <w:rsid w:val="00F86D87"/>
    <w:rsid w:val="00F9108B"/>
    <w:rsid w:val="00F91349"/>
    <w:rsid w:val="00F93709"/>
    <w:rsid w:val="00F93A8A"/>
    <w:rsid w:val="00F95248"/>
    <w:rsid w:val="00F956A9"/>
    <w:rsid w:val="00F963ED"/>
    <w:rsid w:val="00F966CF"/>
    <w:rsid w:val="00F96CAE"/>
    <w:rsid w:val="00F97C99"/>
    <w:rsid w:val="00FA123A"/>
    <w:rsid w:val="00FA1943"/>
    <w:rsid w:val="00FA585C"/>
    <w:rsid w:val="00FA662D"/>
    <w:rsid w:val="00FA73B1"/>
    <w:rsid w:val="00FA7E3D"/>
    <w:rsid w:val="00FB0CB9"/>
    <w:rsid w:val="00FB231D"/>
    <w:rsid w:val="00FB45F1"/>
    <w:rsid w:val="00FB483F"/>
    <w:rsid w:val="00FB4A72"/>
    <w:rsid w:val="00FB54E8"/>
    <w:rsid w:val="00FB7054"/>
    <w:rsid w:val="00FC0E04"/>
    <w:rsid w:val="00FC17B7"/>
    <w:rsid w:val="00FC22E8"/>
    <w:rsid w:val="00FC2CB7"/>
    <w:rsid w:val="00FC4090"/>
    <w:rsid w:val="00FC55B4"/>
    <w:rsid w:val="00FC7E9A"/>
    <w:rsid w:val="00FD00E6"/>
    <w:rsid w:val="00FD09A1"/>
    <w:rsid w:val="00FD2A7C"/>
    <w:rsid w:val="00FD2F87"/>
    <w:rsid w:val="00FD59EB"/>
    <w:rsid w:val="00FD7299"/>
    <w:rsid w:val="00FE084E"/>
    <w:rsid w:val="00FE1FBE"/>
    <w:rsid w:val="00FE3901"/>
    <w:rsid w:val="00FE39D3"/>
    <w:rsid w:val="00FE4BCE"/>
    <w:rsid w:val="00FE54AE"/>
    <w:rsid w:val="00FE576A"/>
    <w:rsid w:val="00FE7E79"/>
    <w:rsid w:val="00FF1439"/>
    <w:rsid w:val="00FF3E7D"/>
    <w:rsid w:val="00FF497B"/>
    <w:rsid w:val="00FF5B99"/>
    <w:rsid w:val="00FF5FC9"/>
    <w:rsid w:val="00FF730C"/>
    <w:rsid w:val="00FF73F4"/>
    <w:rsid w:val="00FF7CE4"/>
    <w:rsid w:val="00FF7E39"/>
    <w:rsid w:val="0F9D2262"/>
    <w:rsid w:val="11F30531"/>
    <w:rsid w:val="20781D6A"/>
    <w:rsid w:val="23E50165"/>
    <w:rsid w:val="3BE60613"/>
    <w:rsid w:val="3FD458F0"/>
    <w:rsid w:val="42AD0AAC"/>
    <w:rsid w:val="4ACE1691"/>
    <w:rsid w:val="4DCE0B37"/>
    <w:rsid w:val="4E8D61A3"/>
    <w:rsid w:val="4EE51D2E"/>
    <w:rsid w:val="536B48C3"/>
    <w:rsid w:val="578D77A3"/>
    <w:rsid w:val="58AD5632"/>
    <w:rsid w:val="5B75306D"/>
    <w:rsid w:val="5BD24E51"/>
    <w:rsid w:val="61B32000"/>
    <w:rsid w:val="66876AE4"/>
    <w:rsid w:val="6A2F55D6"/>
    <w:rsid w:val="709D5495"/>
    <w:rsid w:val="762C30DE"/>
    <w:rsid w:val="76500AE3"/>
    <w:rsid w:val="7ACB56B8"/>
    <w:rsid w:val="7E785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customStyle="1" w:styleId="46">
    <w:name w:val="引用1"/>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Lines="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ind w:left="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ind w:left="284"/>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customStyle="1" w:styleId="186">
    <w:name w:val="占位符文本1"/>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wrap="around"/>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qFormat/>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next w:val="56"/>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basedOn w:val="28"/>
    <w:link w:val="230"/>
    <w:qFormat/>
    <w:uiPriority w:val="0"/>
    <w:rPr>
      <w:rFonts w:ascii="宋体" w:hAnsi="Times New Roman"/>
      <w:sz w:val="21"/>
    </w:rPr>
  </w:style>
  <w:style w:type="paragraph" w:customStyle="1" w:styleId="232">
    <w:name w:val="一级条标题"/>
    <w:next w:val="230"/>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33">
    <w:name w:val="章标题"/>
    <w:next w:val="230"/>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234">
    <w:name w:val="二级无"/>
    <w:basedOn w:val="1"/>
    <w:qFormat/>
    <w:uiPriority w:val="0"/>
    <w:pPr>
      <w:widowControl/>
      <w:adjustRightInd/>
      <w:spacing w:line="240" w:lineRule="auto"/>
      <w:jc w:val="left"/>
      <w:outlineLvl w:val="3"/>
    </w:pPr>
    <w:rPr>
      <w:rFonts w:ascii="宋体" w:hAnsi="Times New Roman"/>
      <w:kern w:val="0"/>
    </w:rPr>
  </w:style>
  <w:style w:type="paragraph" w:customStyle="1" w:styleId="235">
    <w:name w:val="正文表标题"/>
    <w:next w:val="230"/>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character" w:styleId="236">
    <w:name w:val="Placeholder Text"/>
    <w:basedOn w:val="28"/>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emf"/><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48942916A9C46E898419A5B9A06E5FB"/>
        <w:style w:val=""/>
        <w:category>
          <w:name w:val="常规"/>
          <w:gallery w:val="placeholder"/>
        </w:category>
        <w:types>
          <w:type w:val="bbPlcHdr"/>
        </w:types>
        <w:behaviors>
          <w:behavior w:val="content"/>
        </w:behaviors>
        <w:description w:val=""/>
        <w:guid w:val="{3FBEECF1-B731-4F99-B6C2-E1D253088C9D}"/>
      </w:docPartPr>
      <w:docPartBody>
        <w:p>
          <w:pPr>
            <w:pStyle w:val="5"/>
          </w:pPr>
          <w:r>
            <w:rPr>
              <w:rStyle w:val="4"/>
              <w:rFonts w:hint="eastAsia"/>
            </w:rPr>
            <w:t>单击或点击此处输入文字。</w:t>
          </w:r>
        </w:p>
      </w:docPartBody>
    </w:docPart>
    <w:docPart>
      <w:docPartPr>
        <w:name w:val="B3B4CEF93BF243109B9E2B936847B910"/>
        <w:style w:val=""/>
        <w:category>
          <w:name w:val="常规"/>
          <w:gallery w:val="placeholder"/>
        </w:category>
        <w:types>
          <w:type w:val="bbPlcHdr"/>
        </w:types>
        <w:behaviors>
          <w:behavior w:val="content"/>
        </w:behaviors>
        <w:description w:val=""/>
        <w:guid w:val="{ADEF25A3-E837-4B45-8870-0C11C1D7FC92}"/>
      </w:docPartPr>
      <w:docPartBody>
        <w:p>
          <w:pPr>
            <w:pStyle w:val="6"/>
          </w:pPr>
          <w:r>
            <w:rPr>
              <w:rStyle w:val="4"/>
              <w:rFonts w:hint="eastAsia"/>
            </w:rPr>
            <w:t>选择一项。</w:t>
          </w:r>
        </w:p>
      </w:docPartBody>
    </w:docPart>
    <w:docPart>
      <w:docPartPr>
        <w:name w:val="2C3C7EFDF5054335A09A59A6A7BB76A4"/>
        <w:style w:val=""/>
        <w:category>
          <w:name w:val="常规"/>
          <w:gallery w:val="placeholder"/>
        </w:category>
        <w:types>
          <w:type w:val="bbPlcHdr"/>
        </w:types>
        <w:behaviors>
          <w:behavior w:val="content"/>
        </w:behaviors>
        <w:description w:val=""/>
        <w:guid w:val="{565D5E65-5360-4EAF-8BEF-1F1DBEDCC205}"/>
      </w:docPartPr>
      <w:docPartBody>
        <w:p>
          <w:pPr>
            <w:pStyle w:val="7"/>
          </w:pPr>
          <w:r>
            <w:rPr>
              <w:rStyle w:val="4"/>
              <w:rFonts w:hint="eastAsia"/>
            </w:rPr>
            <w:t>选择一项。</w:t>
          </w:r>
        </w:p>
      </w:docPartBody>
    </w:docPart>
    <w:docPart>
      <w:docPartPr>
        <w:name w:val="{e26db448-b590-4f8c-9a17-2b11c40e32b7}"/>
        <w:style w:val=""/>
        <w:category>
          <w:name w:val="常规"/>
          <w:gallery w:val="placeholder"/>
        </w:category>
        <w:types>
          <w:type w:val="bbPlcHdr"/>
        </w:types>
        <w:behaviors>
          <w:behavior w:val="content"/>
        </w:behaviors>
        <w:description w:val=""/>
        <w:guid w:val="{E26DB448-B590-4F8C-9A17-2B11C40E32B7}"/>
      </w:docPartPr>
      <w:docPartBody>
        <w:p>
          <w:pPr>
            <w:pStyle w:val="8"/>
          </w:pPr>
          <w:r>
            <w:rPr>
              <w:rStyle w:val="9"/>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roman"/>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7B6866"/>
    <w:rsid w:val="0001291F"/>
    <w:rsid w:val="00077A00"/>
    <w:rsid w:val="001A57E0"/>
    <w:rsid w:val="001D0F03"/>
    <w:rsid w:val="00266EC2"/>
    <w:rsid w:val="00294F94"/>
    <w:rsid w:val="002E4769"/>
    <w:rsid w:val="003434F5"/>
    <w:rsid w:val="00347BB9"/>
    <w:rsid w:val="00361AC3"/>
    <w:rsid w:val="003735DD"/>
    <w:rsid w:val="00396671"/>
    <w:rsid w:val="003976EA"/>
    <w:rsid w:val="003F7B5E"/>
    <w:rsid w:val="0040057E"/>
    <w:rsid w:val="00423BA9"/>
    <w:rsid w:val="0045156E"/>
    <w:rsid w:val="00461B1F"/>
    <w:rsid w:val="004741E2"/>
    <w:rsid w:val="004A6E42"/>
    <w:rsid w:val="004B00A9"/>
    <w:rsid w:val="004D3EC5"/>
    <w:rsid w:val="0057607D"/>
    <w:rsid w:val="00582D1F"/>
    <w:rsid w:val="0068456D"/>
    <w:rsid w:val="006E267B"/>
    <w:rsid w:val="006F7390"/>
    <w:rsid w:val="00705CC6"/>
    <w:rsid w:val="007203BE"/>
    <w:rsid w:val="00792D18"/>
    <w:rsid w:val="007B156A"/>
    <w:rsid w:val="007B6866"/>
    <w:rsid w:val="008154B1"/>
    <w:rsid w:val="008762E4"/>
    <w:rsid w:val="00897B2B"/>
    <w:rsid w:val="008D0C59"/>
    <w:rsid w:val="008D7585"/>
    <w:rsid w:val="00945336"/>
    <w:rsid w:val="00963A52"/>
    <w:rsid w:val="00982D99"/>
    <w:rsid w:val="009B678C"/>
    <w:rsid w:val="009C1505"/>
    <w:rsid w:val="00A27053"/>
    <w:rsid w:val="00A406A8"/>
    <w:rsid w:val="00A70114"/>
    <w:rsid w:val="00A71F1E"/>
    <w:rsid w:val="00A736B9"/>
    <w:rsid w:val="00AA2E64"/>
    <w:rsid w:val="00AD7F92"/>
    <w:rsid w:val="00AE07CE"/>
    <w:rsid w:val="00B267E7"/>
    <w:rsid w:val="00B646D1"/>
    <w:rsid w:val="00BB5E6E"/>
    <w:rsid w:val="00C0363D"/>
    <w:rsid w:val="00C453EF"/>
    <w:rsid w:val="00CB3747"/>
    <w:rsid w:val="00D23CD1"/>
    <w:rsid w:val="00DB409F"/>
    <w:rsid w:val="00DB6AC0"/>
    <w:rsid w:val="00DE6F1C"/>
    <w:rsid w:val="00E162EB"/>
    <w:rsid w:val="00E659A2"/>
    <w:rsid w:val="00E708EF"/>
    <w:rsid w:val="00E94F57"/>
    <w:rsid w:val="00EB4105"/>
    <w:rsid w:val="00ED43B3"/>
    <w:rsid w:val="00F465C6"/>
    <w:rsid w:val="00F70699"/>
    <w:rsid w:val="00F93D00"/>
    <w:rsid w:val="00FA39EA"/>
    <w:rsid w:val="00FC4B21"/>
    <w:rsid w:val="00FD18B7"/>
    <w:rsid w:val="00FD7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iPriority="99" w:semiHidden="0"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F48942916A9C46E898419A5B9A06E5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3B4CEF93BF243109B9E2B936847B9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C3C7EFDF5054335A09A59A6A7BB76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188D3C7BB97342F5A278B2FFD3184AB9"/>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9">
    <w:name w:val="Placeholder Text"/>
    <w:basedOn w:val="2"/>
    <w:unhideWhenUsed/>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50C105-9B8E-45A2-8D20-66BE38F4B8A0}">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11</Pages>
  <Words>2559</Words>
  <Characters>3230</Characters>
  <Lines>27</Lines>
  <Paragraphs>7</Paragraphs>
  <TotalTime>612</TotalTime>
  <ScaleCrop>false</ScaleCrop>
  <LinksUpToDate>false</LinksUpToDate>
  <CharactersWithSpaces>3429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2022-09-28T02:27:00Z</dcterms:created>
  <dc:creator>tang</dc:creator>
  <dc:description>&lt;config cover="true" show_menu="true" version="1.0.0" doctype="SDKXY"&gt;_x000d_
&lt;/config&gt;</dc:description>
  <cp:lastModifiedBy>大猩猩</cp:lastModifiedBy>
  <cp:lastPrinted>2021-02-02T08:22:00Z</cp:lastPrinted>
  <dcterms:modified xsi:type="dcterms:W3CDTF">2022-12-29T00:28:56Z</dcterms:modified>
  <dc:title>团体标准</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2052-11.1.0.12980</vt:lpwstr>
  </property>
  <property fmtid="{D5CDD505-2E9C-101B-9397-08002B2CF9AE}" pid="16" name="ICV">
    <vt:lpwstr>180FB38D1802467B84DA8373C9F524E4</vt:lpwstr>
  </property>
</Properties>
</file>