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1"/>
        <w:rPr>
          <w:color w:val="auto"/>
        </w:rPr>
      </w:pPr>
      <w:r>
        <w:rPr>
          <w:rFonts w:ascii="Times New Roman"/>
          <w:color w:val="auto"/>
        </w:rPr>
        <w:t>ICS</w:t>
      </w:r>
      <w:r>
        <w:rPr>
          <w:rFonts w:hAnsi="黑体"/>
          <w:color w:val="auto"/>
        </w:rPr>
        <w:t> </w:t>
      </w:r>
      <w:r>
        <w:rPr>
          <w:color w:val="auto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rPr>
          <w:color w:val="auto"/>
        </w:rPr>
        <w:instrText xml:space="preserve"> FORMTEXT </w:instrText>
      </w:r>
      <w:r>
        <w:rPr>
          <w:color w:val="auto"/>
        </w:rPr>
        <w:fldChar w:fldCharType="separate"/>
      </w:r>
      <w:r>
        <w:rPr>
          <w:rFonts w:hint="eastAsia"/>
          <w:color w:val="auto"/>
        </w:rPr>
        <w:t>点击此处添加ICS号</w:t>
      </w:r>
      <w:r>
        <w:rPr>
          <w:color w:val="auto"/>
        </w:rPr>
        <w:fldChar w:fldCharType="end"/>
      </w:r>
      <w:bookmarkEnd w:id="0"/>
    </w:p>
    <w:p>
      <w:pPr>
        <w:pStyle w:val="121"/>
        <w:rPr>
          <w:color w:val="auto"/>
        </w:rPr>
      </w:pPr>
      <w:r>
        <w:rPr>
          <w:color w:val="auto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>
        <w:rPr>
          <w:color w:val="auto"/>
        </w:rPr>
        <w:instrText xml:space="preserve"> FORMTEXT </w:instrText>
      </w:r>
      <w:r>
        <w:rPr>
          <w:color w:val="auto"/>
        </w:rPr>
        <w:fldChar w:fldCharType="separate"/>
      </w:r>
      <w:r>
        <w:rPr>
          <w:rFonts w:hint="eastAsia"/>
          <w:color w:val="auto"/>
        </w:rPr>
        <w:t>点击此处添加中国标准文献分类号</w:t>
      </w:r>
      <w:r>
        <w:rPr>
          <w:color w:val="auto"/>
        </w:rPr>
        <w:fldChar w:fldCharType="end"/>
      </w:r>
      <w:bookmarkEnd w:id="1"/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21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1905" b="0"/>
                      <wp:wrapNone/>
                      <wp:docPr id="4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4144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K4v7NUA&#10;AAAHAQAADwAAAAAAAAABACAAAAAiAAAAZHJzL2Rvd25yZXYueG1sUEsBAhQAFAAAAAgAh07iQLEz&#10;6MywAQAAZwMAAA4AAAAAAAAAAQAgAAAAJAEAAGRycy9lMm9Eb2MueG1sUEsFBgAAAAAGAAYAWQEA&#10;AEY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     </w:t>
            </w:r>
            <w:r>
              <w:rPr>
                <w:color w:val="auto"/>
              </w:rPr>
              <w:fldChar w:fldCharType="end"/>
            </w:r>
            <w:bookmarkEnd w:id="2"/>
          </w:p>
        </w:tc>
      </w:tr>
    </w:tbl>
    <w:p>
      <w:pPr>
        <w:pStyle w:val="107"/>
        <w:rPr>
          <w:color w:val="auto"/>
        </w:rPr>
      </w:pPr>
    </w:p>
    <w:p>
      <w:pPr>
        <w:pStyle w:val="108"/>
        <w:outlineLvl w:val="0"/>
        <w:rPr>
          <w:color w:val="auto"/>
        </w:rPr>
      </w:pPr>
      <w:bookmarkStart w:id="3" w:name="_Toc11759"/>
      <w:bookmarkStart w:id="4" w:name="_Toc24579"/>
      <w:r>
        <w:rPr>
          <w:rFonts w:hint="eastAsia"/>
          <w:color w:val="auto"/>
          <w:lang w:val="en-US" w:eastAsia="zh-CN"/>
        </w:rPr>
        <w:t>江西省营养学会团体</w:t>
      </w:r>
      <w:r>
        <w:rPr>
          <w:rFonts w:hint="eastAsia"/>
          <w:color w:val="auto"/>
        </w:rPr>
        <w:t>标准</w:t>
      </w:r>
      <w:bookmarkEnd w:id="3"/>
      <w:bookmarkEnd w:id="4"/>
    </w:p>
    <w:p>
      <w:pPr>
        <w:pStyle w:val="45"/>
        <w:rPr>
          <w:rFonts w:hAnsi="黑体"/>
          <w:color w:val="auto"/>
        </w:rPr>
      </w:pPr>
      <w:r>
        <w:rPr>
          <w:rFonts w:hint="eastAsia" w:ascii="Times New Roman"/>
          <w:color w:val="auto"/>
          <w:lang w:val="en-US" w:eastAsia="zh-CN"/>
        </w:rPr>
        <w:t>T</w:t>
      </w:r>
      <w:r>
        <w:rPr>
          <w:rFonts w:ascii="Times New Roman"/>
          <w:color w:val="auto"/>
        </w:rPr>
        <w:t xml:space="preserve"> </w:t>
      </w:r>
      <w:r>
        <w:rPr>
          <w:rFonts w:hAnsi="黑体"/>
          <w:color w:val="auto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5" w:name="StdNo0"/>
      <w:r>
        <w:rPr>
          <w:rFonts w:hAnsi="黑体"/>
          <w:color w:val="auto"/>
        </w:rPr>
        <w:instrText xml:space="preserve"> FORMTEXT </w:instrText>
      </w:r>
      <w:r>
        <w:rPr>
          <w:rFonts w:hAnsi="黑体"/>
          <w:color w:val="auto"/>
        </w:rPr>
        <w:fldChar w:fldCharType="separate"/>
      </w:r>
      <w:r>
        <w:rPr>
          <w:rFonts w:hAnsi="黑体"/>
          <w:color w:val="auto"/>
        </w:rPr>
        <w:t>XX</w:t>
      </w:r>
      <w:r>
        <w:rPr>
          <w:rFonts w:hAnsi="黑体"/>
          <w:color w:val="auto"/>
        </w:rPr>
        <w:fldChar w:fldCharType="end"/>
      </w:r>
      <w:bookmarkEnd w:id="5"/>
      <w:r>
        <w:rPr>
          <w:rFonts w:hAnsi="黑体"/>
          <w:color w:val="auto"/>
        </w:rPr>
        <w:t xml:space="preserve">/ </w:t>
      </w:r>
      <w:r>
        <w:rPr>
          <w:rFonts w:hAnsi="黑体"/>
          <w:color w:val="auto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6" w:name="StdNo1"/>
      <w:r>
        <w:rPr>
          <w:rFonts w:hAnsi="黑体"/>
          <w:color w:val="auto"/>
        </w:rPr>
        <w:instrText xml:space="preserve"> FORMTEXT </w:instrText>
      </w:r>
      <w:r>
        <w:rPr>
          <w:rFonts w:hAnsi="黑体"/>
          <w:color w:val="auto"/>
        </w:rPr>
        <w:fldChar w:fldCharType="separate"/>
      </w:r>
      <w:r>
        <w:rPr>
          <w:rFonts w:hAnsi="黑体"/>
          <w:color w:val="auto"/>
        </w:rPr>
        <w:t>XXXXX</w:t>
      </w:r>
      <w:r>
        <w:rPr>
          <w:rFonts w:hAnsi="黑体"/>
          <w:color w:val="auto"/>
        </w:rPr>
        <w:fldChar w:fldCharType="end"/>
      </w:r>
      <w:bookmarkEnd w:id="6"/>
      <w:r>
        <w:rPr>
          <w:rFonts w:hAnsi="黑体"/>
          <w:color w:val="auto"/>
        </w:rPr>
        <w:t>—</w:t>
      </w:r>
      <w:r>
        <w:rPr>
          <w:rFonts w:hAnsi="黑体"/>
          <w:color w:val="auto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7" w:name="StdNo2"/>
      <w:r>
        <w:rPr>
          <w:rFonts w:hAnsi="黑体"/>
          <w:color w:val="auto"/>
        </w:rPr>
        <w:instrText xml:space="preserve"> FORMTEXT </w:instrText>
      </w:r>
      <w:r>
        <w:rPr>
          <w:rFonts w:hAnsi="黑体"/>
          <w:color w:val="auto"/>
        </w:rPr>
        <w:fldChar w:fldCharType="separate"/>
      </w:r>
      <w:r>
        <w:rPr>
          <w:rFonts w:hAnsi="黑体"/>
          <w:color w:val="auto"/>
        </w:rPr>
        <w:t>XXXX</w:t>
      </w:r>
      <w:r>
        <w:rPr>
          <w:rFonts w:hAnsi="黑体"/>
          <w:color w:val="auto"/>
        </w:rPr>
        <w:fldChar w:fldCharType="end"/>
      </w:r>
      <w:bookmarkEnd w:id="7"/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74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7216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5g8svWAAAACAEA&#10;AA8AAAAAAAAAAQAgAAAAIgAAAGRycy9kb3ducmV2LnhtbFBLAQIUABQAAAAIAIdO4kD2n1EKqgEA&#10;AGcDAAAOAAAAAAAAAAEAIAAAACUBAABkcnMvZTJvRG9jLnhtbFBLBQYAAAAABgAGAFkBAABBBQAA&#10;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</w:rP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8" w:name="DT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     </w:t>
            </w:r>
            <w:r>
              <w:rPr>
                <w:color w:val="auto"/>
              </w:rPr>
              <w:fldChar w:fldCharType="end"/>
            </w:r>
            <w:bookmarkEnd w:id="8"/>
          </w:p>
        </w:tc>
      </w:tr>
    </w:tbl>
    <w:p>
      <w:pPr>
        <w:pStyle w:val="45"/>
        <w:rPr>
          <w:rFonts w:hAnsi="黑体"/>
          <w:color w:val="auto"/>
        </w:rPr>
      </w:pPr>
    </w:p>
    <w:p>
      <w:pPr>
        <w:pStyle w:val="45"/>
        <w:rPr>
          <w:rFonts w:hAnsi="黑体"/>
          <w:color w:val="auto"/>
        </w:rPr>
      </w:pPr>
    </w:p>
    <w:p>
      <w:pPr>
        <w:pStyle w:val="76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食用桑叶粉</w:t>
      </w:r>
    </w:p>
    <w:p>
      <w:pPr>
        <w:pStyle w:val="76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 xml:space="preserve">Edible mulberry leaf powder </w:t>
      </w:r>
    </w:p>
    <w:p>
      <w:pPr>
        <w:pStyle w:val="77"/>
        <w:rPr>
          <w:color w:val="auto"/>
        </w:rPr>
      </w:pPr>
    </w:p>
    <w:p>
      <w:pPr>
        <w:pStyle w:val="78"/>
        <w:rPr>
          <w:color w:val="auto"/>
        </w:rPr>
      </w:pPr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79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5080"/>
                      <wp:wrapNone/>
                      <wp:docPr id="3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5168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YmuktUAAAAKAQAA&#10;DwAAAAAAAAABACAAAAAiAAAAZHJzL2Rvd25yZXYueG1sUEsBAhQAFAAAAAgAh07iQI1ieZWqAQAA&#10;ZwMAAA4AAAAAAAAAAQAgAAAAJAEAAGRycy9lMm9Eb2MueG1sUEsFBgAAAAAGAAYAWQEAAEAFAAAA&#10;AA=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10160" b="0"/>
                      <wp:wrapNone/>
                      <wp:docPr id="2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6192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A+GL5dYAAAAJAQAA&#10;DwAAAAAAAAABACAAAAAiAAAAZHJzL2Rvd25yZXYueG1sUEsBAhQAFAAAAAgAh07iQBXfBLqpAQAA&#10;ZwMAAA4AAAAAAAAAAQAgAAAAJQEAAGRycy9lMm9Eb2MueG1sUEsFBgAAAAAGAAYAWQEAAEAFAAAA&#10;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80"/>
              <w:rPr>
                <w:color w:val="auto"/>
              </w:rPr>
            </w:pPr>
          </w:p>
        </w:tc>
      </w:tr>
    </w:tbl>
    <w:p>
      <w:pPr>
        <w:pStyle w:val="128"/>
        <w:rPr>
          <w:color w:val="auto"/>
        </w:rPr>
      </w:pPr>
      <w:r>
        <w:rPr>
          <w:rFonts w:ascii="黑体"/>
          <w:color w:val="auto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bookmarkStart w:id="9" w:name="FY"/>
      <w:r>
        <w:rPr>
          <w:rFonts w:ascii="黑体"/>
          <w:color w:val="auto"/>
        </w:rPr>
        <w:instrText xml:space="preserve"> FORMTEXT </w:instrText>
      </w:r>
      <w:r>
        <w:rPr>
          <w:rFonts w:ascii="黑体"/>
          <w:color w:val="auto"/>
        </w:rPr>
        <w:fldChar w:fldCharType="separate"/>
      </w:r>
      <w:r>
        <w:rPr>
          <w:rFonts w:ascii="黑体"/>
          <w:color w:val="auto"/>
        </w:rPr>
        <w:t>XXXX</w:t>
      </w:r>
      <w:r>
        <w:rPr>
          <w:rFonts w:ascii="黑体"/>
          <w:color w:val="auto"/>
        </w:rPr>
        <w:fldChar w:fldCharType="end"/>
      </w:r>
      <w:bookmarkEnd w:id="9"/>
      <w:r>
        <w:rPr>
          <w:color w:val="auto"/>
        </w:rPr>
        <w:t xml:space="preserve"> </w:t>
      </w:r>
      <w:r>
        <w:rPr>
          <w:rFonts w:ascii="黑体"/>
          <w:color w:val="auto"/>
        </w:rPr>
        <w:t>-</w:t>
      </w:r>
      <w:r>
        <w:rPr>
          <w:color w:val="auto"/>
        </w:rPr>
        <w:t xml:space="preserve"> </w:t>
      </w:r>
      <w:r>
        <w:rPr>
          <w:rFonts w:ascii="黑体"/>
          <w:color w:val="auto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  <w:color w:val="auto"/>
        </w:rPr>
        <w:instrText xml:space="preserve"> FORMTEXT </w:instrText>
      </w:r>
      <w:r>
        <w:rPr>
          <w:rFonts w:ascii="黑体"/>
          <w:color w:val="auto"/>
        </w:rPr>
        <w:fldChar w:fldCharType="separate"/>
      </w:r>
      <w:r>
        <w:rPr>
          <w:rFonts w:ascii="黑体"/>
          <w:color w:val="auto"/>
        </w:rPr>
        <w:t>XX</w:t>
      </w:r>
      <w:r>
        <w:rPr>
          <w:rFonts w:ascii="黑体"/>
          <w:color w:val="auto"/>
        </w:rPr>
        <w:fldChar w:fldCharType="end"/>
      </w:r>
      <w:r>
        <w:rPr>
          <w:color w:val="auto"/>
        </w:rPr>
        <w:t xml:space="preserve"> </w:t>
      </w:r>
      <w:r>
        <w:rPr>
          <w:rFonts w:ascii="黑体"/>
          <w:color w:val="auto"/>
        </w:rPr>
        <w:t>-</w:t>
      </w:r>
      <w:r>
        <w:rPr>
          <w:color w:val="auto"/>
        </w:rPr>
        <w:t xml:space="preserve"> </w:t>
      </w:r>
      <w:r>
        <w:rPr>
          <w:rFonts w:ascii="黑体"/>
          <w:color w:val="auto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bookmarkStart w:id="10" w:name="FD"/>
      <w:r>
        <w:rPr>
          <w:rFonts w:ascii="黑体"/>
          <w:color w:val="auto"/>
        </w:rPr>
        <w:instrText xml:space="preserve"> FORMTEXT </w:instrText>
      </w:r>
      <w:r>
        <w:rPr>
          <w:rFonts w:ascii="黑体"/>
          <w:color w:val="auto"/>
        </w:rPr>
        <w:fldChar w:fldCharType="separate"/>
      </w:r>
      <w:r>
        <w:rPr>
          <w:rFonts w:ascii="黑体"/>
          <w:color w:val="auto"/>
        </w:rPr>
        <w:t>XX</w:t>
      </w:r>
      <w:r>
        <w:rPr>
          <w:rFonts w:ascii="黑体"/>
          <w:color w:val="auto"/>
        </w:rPr>
        <w:fldChar w:fldCharType="end"/>
      </w:r>
      <w:bookmarkEnd w:id="10"/>
      <w:r>
        <w:rPr>
          <w:rFonts w:hint="eastAsia"/>
          <w:color w:val="auto"/>
        </w:rPr>
        <w:t>发布</w: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63360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WHazzWAAAA&#10;CwEAAA8AAAAAAAAAAQAgAAAAIgAAAGRycy9kb3ducmV2LnhtbFBLAQIUABQAAAAIAIdO4kA3tMMG&#10;5gEAANw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29"/>
        <w:rPr>
          <w:color w:val="auto"/>
        </w:rPr>
      </w:pPr>
      <w:r>
        <w:rPr>
          <w:rFonts w:ascii="黑体"/>
          <w:color w:val="auto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bookmarkStart w:id="11" w:name="SY"/>
      <w:r>
        <w:rPr>
          <w:rFonts w:ascii="黑体"/>
          <w:color w:val="auto"/>
        </w:rPr>
        <w:instrText xml:space="preserve"> FORMTEXT </w:instrText>
      </w:r>
      <w:r>
        <w:rPr>
          <w:rFonts w:ascii="黑体"/>
          <w:color w:val="auto"/>
        </w:rPr>
        <w:fldChar w:fldCharType="separate"/>
      </w:r>
      <w:r>
        <w:rPr>
          <w:rFonts w:ascii="黑体"/>
          <w:color w:val="auto"/>
        </w:rPr>
        <w:t>XXXX</w:t>
      </w:r>
      <w:r>
        <w:rPr>
          <w:rFonts w:ascii="黑体"/>
          <w:color w:val="auto"/>
        </w:rPr>
        <w:fldChar w:fldCharType="end"/>
      </w:r>
      <w:bookmarkEnd w:id="11"/>
      <w:r>
        <w:rPr>
          <w:color w:val="auto"/>
        </w:rPr>
        <w:t xml:space="preserve"> </w:t>
      </w:r>
      <w:r>
        <w:rPr>
          <w:rFonts w:ascii="黑体"/>
          <w:color w:val="auto"/>
        </w:rPr>
        <w:t>-</w:t>
      </w:r>
      <w:r>
        <w:rPr>
          <w:color w:val="auto"/>
        </w:rPr>
        <w:t xml:space="preserve"> </w:t>
      </w:r>
      <w:r>
        <w:rPr>
          <w:rFonts w:ascii="黑体"/>
          <w:color w:val="auto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12" w:name="SM"/>
      <w:r>
        <w:rPr>
          <w:rFonts w:ascii="黑体"/>
          <w:color w:val="auto"/>
        </w:rPr>
        <w:instrText xml:space="preserve"> FORMTEXT </w:instrText>
      </w:r>
      <w:r>
        <w:rPr>
          <w:rFonts w:ascii="黑体"/>
          <w:color w:val="auto"/>
        </w:rPr>
        <w:fldChar w:fldCharType="separate"/>
      </w:r>
      <w:r>
        <w:rPr>
          <w:rFonts w:ascii="黑体"/>
          <w:color w:val="auto"/>
        </w:rPr>
        <w:t>XX</w:t>
      </w:r>
      <w:r>
        <w:rPr>
          <w:rFonts w:ascii="黑体"/>
          <w:color w:val="auto"/>
        </w:rPr>
        <w:fldChar w:fldCharType="end"/>
      </w:r>
      <w:bookmarkEnd w:id="12"/>
      <w:r>
        <w:rPr>
          <w:color w:val="auto"/>
        </w:rPr>
        <w:t xml:space="preserve"> </w:t>
      </w:r>
      <w:r>
        <w:rPr>
          <w:rFonts w:ascii="黑体"/>
          <w:color w:val="auto"/>
        </w:rPr>
        <w:t>-</w:t>
      </w:r>
      <w:r>
        <w:rPr>
          <w:color w:val="auto"/>
        </w:rPr>
        <w:t xml:space="preserve"> </w:t>
      </w:r>
      <w:r>
        <w:rPr>
          <w:rFonts w:ascii="黑体"/>
          <w:color w:val="auto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13" w:name="SD"/>
      <w:r>
        <w:rPr>
          <w:rFonts w:ascii="黑体"/>
          <w:color w:val="auto"/>
        </w:rPr>
        <w:instrText xml:space="preserve"> FORMTEXT </w:instrText>
      </w:r>
      <w:r>
        <w:rPr>
          <w:rFonts w:ascii="黑体"/>
          <w:color w:val="auto"/>
        </w:rPr>
        <w:fldChar w:fldCharType="separate"/>
      </w:r>
      <w:r>
        <w:rPr>
          <w:rFonts w:ascii="黑体"/>
          <w:color w:val="auto"/>
        </w:rPr>
        <w:t>XX</w:t>
      </w:r>
      <w:r>
        <w:rPr>
          <w:rFonts w:ascii="黑体"/>
          <w:color w:val="auto"/>
        </w:rPr>
        <w:fldChar w:fldCharType="end"/>
      </w:r>
      <w:bookmarkEnd w:id="13"/>
      <w:r>
        <w:rPr>
          <w:rFonts w:hint="eastAsia"/>
          <w:color w:val="auto"/>
        </w:rPr>
        <w:t>实施</w:t>
      </w:r>
    </w:p>
    <w:p>
      <w:pPr>
        <w:pStyle w:val="109"/>
        <w:rPr>
          <w:color w:val="auto"/>
        </w:rPr>
      </w:pPr>
      <w:r>
        <w:rPr>
          <w:rFonts w:hint="eastAsia"/>
          <w:color w:val="auto"/>
          <w:lang w:val="en-US" w:eastAsia="zh-CN"/>
        </w:rPr>
        <w:t>江西省营养学会</w:t>
      </w:r>
      <w:bookmarkStart w:id="39" w:name="_GoBack"/>
      <w:bookmarkEnd w:id="39"/>
      <w:r>
        <w:rPr>
          <w:rFonts w:hAnsi="黑体"/>
          <w:color w:val="auto"/>
        </w:rPr>
        <w:t>   </w:t>
      </w:r>
      <w:r>
        <w:rPr>
          <w:rStyle w:val="71"/>
          <w:rFonts w:hint="eastAsia"/>
          <w:color w:val="auto"/>
        </w:rPr>
        <w:t>发布</w:t>
      </w:r>
    </w:p>
    <w:p>
      <w:pPr>
        <w:pStyle w:val="22"/>
        <w:rPr>
          <w:color w:val="auto"/>
        </w:rPr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05pt;margin-top:184.25pt;height:0pt;width:481.9pt;z-index:251664384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kHiX9cA&#10;AAAJAQAADwAAAAAAAAABACAAAAAiAAAAZHJzL2Rvd25yZXYueG1sUEsBAhQAFAAAAAgAh07iQAEO&#10;p5LnAQAA3A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8"/>
        <w:rPr>
          <w:rFonts w:hint="eastAsia"/>
          <w:color w:val="auto"/>
        </w:rPr>
      </w:pPr>
      <w:bookmarkStart w:id="14" w:name="_Toc29804"/>
      <w:bookmarkStart w:id="15" w:name="_Toc23041"/>
      <w:r>
        <w:rPr>
          <w:rFonts w:hint="eastAsia"/>
          <w:color w:val="auto"/>
        </w:rPr>
        <w:t>目</w:t>
      </w:r>
      <w:bookmarkStart w:id="16" w:name="BKML"/>
      <w:r>
        <w:rPr>
          <w:rFonts w:hAnsi="黑体"/>
          <w:color w:val="auto"/>
        </w:rPr>
        <w:t>  </w:t>
      </w:r>
      <w:r>
        <w:rPr>
          <w:rFonts w:hint="eastAsia"/>
          <w:color w:val="auto"/>
        </w:rPr>
        <w:t>次</w:t>
      </w:r>
      <w:bookmarkEnd w:id="14"/>
      <w:bookmarkEnd w:id="15"/>
      <w:bookmarkEnd w:id="16"/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</w:pPr>
      <w:r>
        <w:rPr>
          <w:color w:val="auto"/>
        </w:rPr>
        <w:fldChar w:fldCharType="begin" w:fldLock="1"/>
      </w:r>
      <w:r>
        <w:rPr>
          <w:color w:val="auto"/>
        </w:rPr>
        <w:instrText xml:space="preserve"> TOC \h \z \t"前言、引言标题,1,参考文献、索引标题,1,章标题,1,参考文献,1,附录标识,1,一级条标题, 3" \* MERGEFORMAT </w:instrText>
      </w:r>
      <w:r>
        <w:rPr>
          <w:color w:val="auto"/>
        </w:rPr>
        <w:fldChar w:fldCharType="separate"/>
      </w:r>
    </w:p>
    <w:p>
      <w:pPr>
        <w:pStyle w:val="22"/>
        <w:outlineLvl w:val="9"/>
        <w:rPr>
          <w:color w:val="auto"/>
        </w:rPr>
      </w:pPr>
      <w:r>
        <w:rPr>
          <w:color w:val="auto"/>
        </w:rPr>
        <w:fldChar w:fldCharType="end"/>
      </w: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4576"/>
        <w15:color w:val="DBDBDB"/>
        <w:docPartObj>
          <w:docPartGallery w:val="Table of Contents"/>
          <w:docPartUnique/>
        </w:docPartObj>
      </w:sdtPr>
      <w:sdtEndPr>
        <w:rPr>
          <w:rFonts w:ascii="宋体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18"/>
            <w:tabs>
              <w:tab w:val="right" w:leader="dot" w:pos="9354"/>
              <w:tab w:val="clear" w:pos="9241"/>
            </w:tabs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TOC \o "1-1" \h \u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fldChar w:fldCharType="begin"/>
          </w:r>
          <w:r>
            <w:instrText xml:space="preserve"> HYPERLINK \l _Toc28763 </w:instrText>
          </w:r>
          <w: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1 </w:t>
          </w:r>
          <w:r>
            <w:rPr>
              <w:rFonts w:hint="eastAsia"/>
            </w:rPr>
            <w:t>范围</w:t>
          </w:r>
          <w:r>
            <w:tab/>
          </w:r>
          <w:r>
            <w:fldChar w:fldCharType="begin"/>
          </w:r>
          <w:r>
            <w:instrText xml:space="preserve"> PAGEREF _Toc28763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8"/>
            <w:tabs>
              <w:tab w:val="right" w:leader="dot" w:pos="9354"/>
              <w:tab w:val="clear" w:pos="9241"/>
            </w:tabs>
          </w:pPr>
          <w:r>
            <w:rPr>
              <w:color w:val="auto"/>
            </w:rPr>
            <w:fldChar w:fldCharType="begin"/>
          </w:r>
          <w:r>
            <w:instrText xml:space="preserve"> HYPERLINK \l _Toc9186 </w:instrText>
          </w:r>
          <w: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2 </w:t>
          </w:r>
          <w:r>
            <w:rPr>
              <w:rFonts w:hint="eastAsia"/>
            </w:rPr>
            <w:t>规范性引用文件</w:t>
          </w:r>
          <w:r>
            <w:tab/>
          </w:r>
          <w:r>
            <w:fldChar w:fldCharType="begin"/>
          </w:r>
          <w:r>
            <w:instrText xml:space="preserve"> PAGEREF _Toc9186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8"/>
            <w:tabs>
              <w:tab w:val="right" w:leader="dot" w:pos="9354"/>
              <w:tab w:val="clear" w:pos="9241"/>
            </w:tabs>
          </w:pPr>
          <w:r>
            <w:rPr>
              <w:color w:val="auto"/>
            </w:rPr>
            <w:fldChar w:fldCharType="begin"/>
          </w:r>
          <w:r>
            <w:instrText xml:space="preserve"> HYPERLINK \l _Toc9899 </w:instrText>
          </w:r>
          <w: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3 </w:t>
          </w:r>
          <w:r>
            <w:rPr>
              <w:rFonts w:hint="eastAsia"/>
            </w:rPr>
            <w:t>术语和定义</w:t>
          </w:r>
          <w:r>
            <w:tab/>
          </w:r>
          <w:r>
            <w:fldChar w:fldCharType="begin"/>
          </w:r>
          <w:r>
            <w:instrText xml:space="preserve"> PAGEREF _Toc9899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8"/>
            <w:tabs>
              <w:tab w:val="right" w:leader="dot" w:pos="9354"/>
              <w:tab w:val="clear" w:pos="9241"/>
            </w:tabs>
          </w:pPr>
          <w:r>
            <w:rPr>
              <w:color w:val="auto"/>
            </w:rPr>
            <w:fldChar w:fldCharType="begin"/>
          </w:r>
          <w:r>
            <w:instrText xml:space="preserve"> HYPERLINK \l _Toc26601 </w:instrText>
          </w:r>
          <w: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  <w:lang w:val="en-US" w:eastAsia="zh-CN"/>
            </w:rPr>
            <w:t xml:space="preserve">4 </w:t>
          </w:r>
          <w:r>
            <w:rPr>
              <w:rFonts w:hint="eastAsia"/>
              <w:lang w:val="en-US" w:eastAsia="zh-CN"/>
            </w:rPr>
            <w:t>原料要求</w:t>
          </w:r>
          <w:r>
            <w:tab/>
          </w:r>
          <w:r>
            <w:fldChar w:fldCharType="begin"/>
          </w:r>
          <w:r>
            <w:instrText xml:space="preserve"> PAGEREF _Toc26601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8"/>
            <w:tabs>
              <w:tab w:val="right" w:leader="dot" w:pos="9354"/>
              <w:tab w:val="clear" w:pos="9241"/>
            </w:tabs>
          </w:pPr>
          <w:r>
            <w:rPr>
              <w:color w:val="auto"/>
            </w:rPr>
            <w:fldChar w:fldCharType="begin"/>
          </w:r>
          <w:r>
            <w:instrText xml:space="preserve"> HYPERLINK \l _Toc8785 </w:instrText>
          </w:r>
          <w: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5 </w:t>
          </w:r>
          <w:r>
            <w:rPr>
              <w:rFonts w:hint="eastAsia"/>
            </w:rPr>
            <w:t>加工</w:t>
          </w:r>
          <w:r>
            <w:rPr>
              <w:rFonts w:hint="eastAsia"/>
              <w:lang w:val="en-US" w:eastAsia="zh-CN"/>
            </w:rPr>
            <w:t>要求</w:t>
          </w:r>
          <w:r>
            <w:tab/>
          </w:r>
          <w:r>
            <w:fldChar w:fldCharType="begin"/>
          </w:r>
          <w:r>
            <w:instrText xml:space="preserve"> PAGEREF _Toc8785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8"/>
            <w:tabs>
              <w:tab w:val="right" w:leader="dot" w:pos="9354"/>
              <w:tab w:val="clear" w:pos="9241"/>
            </w:tabs>
          </w:pPr>
          <w:r>
            <w:rPr>
              <w:color w:val="auto"/>
            </w:rPr>
            <w:fldChar w:fldCharType="begin"/>
          </w:r>
          <w:r>
            <w:instrText xml:space="preserve"> HYPERLINK \l _Toc10212 </w:instrText>
          </w:r>
          <w: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  <w:lang w:val="en-US" w:eastAsia="zh-CN"/>
            </w:rPr>
            <w:t xml:space="preserve">6 </w:t>
          </w:r>
          <w:r>
            <w:rPr>
              <w:rFonts w:hint="eastAsia"/>
              <w:lang w:val="en-US" w:eastAsia="zh-CN"/>
            </w:rPr>
            <w:t>质量要求</w:t>
          </w:r>
          <w:r>
            <w:tab/>
          </w:r>
          <w:r>
            <w:fldChar w:fldCharType="begin"/>
          </w:r>
          <w:r>
            <w:instrText xml:space="preserve"> PAGEREF _Toc10212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8"/>
            <w:tabs>
              <w:tab w:val="right" w:leader="dot" w:pos="9354"/>
              <w:tab w:val="clear" w:pos="9241"/>
            </w:tabs>
          </w:pPr>
          <w:r>
            <w:rPr>
              <w:color w:val="auto"/>
            </w:rPr>
            <w:fldChar w:fldCharType="begin"/>
          </w:r>
          <w:r>
            <w:instrText xml:space="preserve"> HYPERLINK \l _Toc11069 </w:instrText>
          </w:r>
          <w: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  <w:lang w:val="en-US" w:eastAsia="zh-CN"/>
            </w:rPr>
            <w:t xml:space="preserve">7 </w:t>
          </w:r>
          <w:r>
            <w:rPr>
              <w:rFonts w:hint="eastAsia"/>
              <w:lang w:val="en-US" w:eastAsia="zh-CN"/>
            </w:rPr>
            <w:t>检测方法</w:t>
          </w:r>
          <w:r>
            <w:tab/>
          </w:r>
          <w:r>
            <w:fldChar w:fldCharType="begin"/>
          </w:r>
          <w:r>
            <w:instrText xml:space="preserve"> PAGEREF _Toc11069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8"/>
            <w:tabs>
              <w:tab w:val="right" w:leader="dot" w:pos="9354"/>
              <w:tab w:val="clear" w:pos="9241"/>
            </w:tabs>
          </w:pPr>
          <w:r>
            <w:rPr>
              <w:color w:val="auto"/>
            </w:rPr>
            <w:fldChar w:fldCharType="begin"/>
          </w:r>
          <w:r>
            <w:instrText xml:space="preserve"> HYPERLINK \l _Toc26343 </w:instrText>
          </w:r>
          <w: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  <w:lang w:val="en-US" w:eastAsia="zh-CN"/>
            </w:rPr>
            <w:t xml:space="preserve">8 </w:t>
          </w:r>
          <w:r>
            <w:rPr>
              <w:rFonts w:hint="eastAsia"/>
              <w:lang w:val="en-US" w:eastAsia="zh-CN"/>
            </w:rPr>
            <w:t>检验规则</w:t>
          </w:r>
          <w:r>
            <w:tab/>
          </w:r>
          <w:r>
            <w:fldChar w:fldCharType="begin"/>
          </w:r>
          <w:r>
            <w:instrText xml:space="preserve"> PAGEREF _Toc26343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8"/>
            <w:tabs>
              <w:tab w:val="right" w:leader="dot" w:pos="9354"/>
              <w:tab w:val="clear" w:pos="9241"/>
            </w:tabs>
          </w:pPr>
          <w:r>
            <w:rPr>
              <w:color w:val="auto"/>
            </w:rPr>
            <w:fldChar w:fldCharType="begin"/>
          </w:r>
          <w:r>
            <w:instrText xml:space="preserve"> HYPERLINK \l _Toc18385 </w:instrText>
          </w:r>
          <w: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  <w:lang w:val="en-US" w:eastAsia="zh-CN"/>
            </w:rPr>
            <w:t xml:space="preserve">9 </w:t>
          </w:r>
          <w:r>
            <w:rPr>
              <w:rFonts w:hint="eastAsia"/>
            </w:rPr>
            <w:t>标签、包装、贮存和运输</w:t>
          </w:r>
          <w:r>
            <w:tab/>
          </w:r>
          <w:r>
            <w:fldChar w:fldCharType="begin"/>
          </w:r>
          <w:r>
            <w:instrText xml:space="preserve"> PAGEREF _Toc18385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18"/>
            <w:tabs>
              <w:tab w:val="right" w:leader="dot" w:pos="9354"/>
              <w:tab w:val="clear" w:pos="9241"/>
            </w:tabs>
          </w:pPr>
          <w:r>
            <w:rPr>
              <w:color w:val="auto"/>
            </w:rPr>
            <w:fldChar w:fldCharType="begin"/>
          </w:r>
          <w:r>
            <w:instrText xml:space="preserve"> HYPERLINK \l _Toc21669 </w:instrText>
          </w:r>
          <w: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10 </w:t>
          </w:r>
          <w:r>
            <w:rPr>
              <w:rFonts w:hint="eastAsia"/>
              <w:lang w:val="en-US" w:eastAsia="zh-CN"/>
            </w:rPr>
            <w:t>追溯</w:t>
          </w:r>
          <w:r>
            <w:rPr>
              <w:rFonts w:hint="eastAsia"/>
            </w:rPr>
            <w:t>管理</w:t>
          </w:r>
          <w:r>
            <w:tab/>
          </w:r>
          <w:r>
            <w:fldChar w:fldCharType="begin"/>
          </w:r>
          <w:r>
            <w:instrText xml:space="preserve"> PAGEREF _Toc21669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color w:val="auto"/>
            </w:rPr>
            <w:fldChar w:fldCharType="end"/>
          </w:r>
        </w:p>
        <w:p>
          <w:pPr>
            <w:pStyle w:val="22"/>
            <w:outlineLvl w:val="9"/>
            <w:rPr>
              <w:color w:val="auto"/>
            </w:rPr>
          </w:pPr>
          <w:r>
            <w:rPr>
              <w:color w:val="auto"/>
            </w:rPr>
            <w:fldChar w:fldCharType="end"/>
          </w:r>
        </w:p>
      </w:sdtContent>
    </w:sdt>
    <w:p>
      <w:pPr>
        <w:pStyle w:val="110"/>
        <w:rPr>
          <w:rFonts w:hint="eastAsia"/>
          <w:color w:val="auto"/>
        </w:rPr>
      </w:pPr>
      <w:bookmarkStart w:id="17" w:name="_Toc3452"/>
      <w:bookmarkStart w:id="18" w:name="_Toc16193"/>
      <w:r>
        <w:rPr>
          <w:rFonts w:hint="eastAsia"/>
          <w:color w:val="auto"/>
        </w:rPr>
        <w:t>前</w:t>
      </w:r>
      <w:bookmarkStart w:id="19" w:name="BKQY"/>
      <w:r>
        <w:rPr>
          <w:rFonts w:hAnsi="黑体"/>
          <w:color w:val="auto"/>
        </w:rPr>
        <w:t>  </w:t>
      </w:r>
      <w:r>
        <w:rPr>
          <w:rFonts w:hint="eastAsia"/>
          <w:color w:val="auto"/>
        </w:rPr>
        <w:t>言</w:t>
      </w:r>
      <w:bookmarkEnd w:id="17"/>
      <w:bookmarkEnd w:id="18"/>
      <w:bookmarkEnd w:id="19"/>
    </w:p>
    <w:p>
      <w:pPr>
        <w:spacing w:before="156" w:beforeLines="50" w:after="156" w:afterLines="50" w:line="360" w:lineRule="auto"/>
        <w:jc w:val="left"/>
        <w:rPr>
          <w:rFonts w:hint="eastAsia" w:ascii="宋体" w:hAnsi="宋体"/>
          <w:color w:val="auto"/>
          <w:kern w:val="0"/>
          <w:lang w:val="en-US" w:eastAsia="zh-CN"/>
        </w:rPr>
      </w:pPr>
      <w:r>
        <w:rPr>
          <w:rFonts w:hint="eastAsia" w:ascii="宋体" w:hAnsi="宋体"/>
          <w:color w:val="auto"/>
          <w:kern w:val="0"/>
          <w:lang w:val="en-US" w:eastAsia="zh-CN"/>
        </w:rPr>
        <w:t>本文件按照GB/T 1.1-2020《标准化工作导则　第1部分：标准化文件的结构和起草规则》的规定起草。</w:t>
      </w:r>
    </w:p>
    <w:p>
      <w:pPr>
        <w:pStyle w:val="22"/>
        <w:ind w:left="0" w:leftChars="0" w:firstLine="0" w:firstLineChars="0"/>
        <w:rPr>
          <w:rFonts w:hint="eastAsia" w:ascii="宋体" w:hAnsi="宋体" w:eastAsia="宋体" w:cs="Times New Roman"/>
          <w:color w:val="auto"/>
          <w:kern w:val="0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0"/>
          <w:sz w:val="21"/>
          <w:szCs w:val="24"/>
          <w:lang w:val="en-US" w:eastAsia="zh-CN" w:bidi="ar-SA"/>
        </w:rPr>
        <w:t xml:space="preserve">请注意本文件的某些内容可能涉及专利。本文件的发布机构不承担识别专利的责任。 </w:t>
      </w:r>
    </w:p>
    <w:p>
      <w:pPr>
        <w:spacing w:before="156" w:beforeLines="50" w:after="156" w:afterLines="50" w:line="360" w:lineRule="auto"/>
        <w:jc w:val="left"/>
        <w:rPr>
          <w:color w:val="auto"/>
          <w:kern w:val="0"/>
        </w:rPr>
      </w:pPr>
      <w:r>
        <w:rPr>
          <w:rFonts w:hint="eastAsia" w:ascii="宋体" w:hAnsi="宋体"/>
          <w:color w:val="auto"/>
          <w:kern w:val="0"/>
        </w:rPr>
        <w:t>本</w:t>
      </w:r>
      <w:r>
        <w:rPr>
          <w:rFonts w:hint="eastAsia" w:ascii="宋体" w:hAnsi="宋体"/>
          <w:color w:val="auto"/>
          <w:kern w:val="0"/>
          <w:lang w:val="en-US" w:eastAsia="zh-CN"/>
        </w:rPr>
        <w:t>文件</w:t>
      </w:r>
      <w:r>
        <w:rPr>
          <w:rFonts w:hint="eastAsia" w:ascii="宋体" w:hAnsi="宋体"/>
          <w:color w:val="auto"/>
          <w:kern w:val="0"/>
        </w:rPr>
        <w:t>由江西省</w:t>
      </w:r>
      <w:r>
        <w:rPr>
          <w:rFonts w:hint="eastAsia" w:ascii="宋体" w:hAnsi="宋体"/>
          <w:color w:val="auto"/>
          <w:kern w:val="0"/>
          <w:lang w:val="en-US" w:eastAsia="zh-CN"/>
        </w:rPr>
        <w:t>营养学会</w:t>
      </w:r>
      <w:r>
        <w:rPr>
          <w:rFonts w:hint="eastAsia" w:ascii="宋体" w:hAnsi="宋体"/>
          <w:color w:val="auto"/>
          <w:kern w:val="0"/>
        </w:rPr>
        <w:t>提出</w:t>
      </w:r>
      <w:r>
        <w:rPr>
          <w:rFonts w:hint="eastAsia" w:ascii="宋体" w:hAnsi="宋体"/>
          <w:color w:val="auto"/>
          <w:kern w:val="0"/>
          <w:lang w:eastAsia="zh-CN"/>
        </w:rPr>
        <w:t>并归口</w:t>
      </w:r>
      <w:r>
        <w:rPr>
          <w:rFonts w:hint="eastAsia" w:ascii="宋体" w:hAnsi="宋体"/>
          <w:color w:val="auto"/>
          <w:kern w:val="0"/>
        </w:rPr>
        <w:t>。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/>
          <w:color w:val="auto"/>
          <w:kern w:val="0"/>
          <w:lang w:val="en-US" w:eastAsia="zh-CN"/>
        </w:rPr>
      </w:pPr>
      <w:r>
        <w:rPr>
          <w:rFonts w:hint="eastAsia" w:ascii="宋体" w:hAnsi="宋体"/>
          <w:color w:val="auto"/>
          <w:kern w:val="0"/>
        </w:rPr>
        <w:t>本标准起草单位：江西省经济作物研究所</w:t>
      </w:r>
      <w:r>
        <w:rPr>
          <w:rFonts w:hint="eastAsia" w:ascii="宋体" w:hAnsi="宋体"/>
          <w:color w:val="auto"/>
          <w:kern w:val="0"/>
          <w:lang w:eastAsia="zh-CN"/>
        </w:rPr>
        <w:t>、</w:t>
      </w:r>
      <w:r>
        <w:rPr>
          <w:rFonts w:hint="eastAsia" w:ascii="宋体" w:hAnsi="宋体"/>
          <w:color w:val="auto"/>
          <w:kern w:val="0"/>
          <w:lang w:val="en-US" w:eastAsia="zh-CN"/>
        </w:rPr>
        <w:t>南昌大学、江西凤凰沟生态产业发展有限公司</w:t>
      </w:r>
    </w:p>
    <w:p>
      <w:pPr>
        <w:spacing w:before="156" w:beforeLines="50" w:after="156" w:afterLines="50" w:line="360" w:lineRule="auto"/>
        <w:jc w:val="left"/>
        <w:rPr>
          <w:rFonts w:hint="default" w:ascii="宋体" w:hAnsi="宋体" w:eastAsia="宋体"/>
          <w:color w:val="auto"/>
          <w:kern w:val="0"/>
          <w:lang w:val="en-US" w:eastAsia="zh-CN"/>
        </w:rPr>
      </w:pPr>
      <w:r>
        <w:rPr>
          <w:rFonts w:hint="eastAsia" w:ascii="宋体" w:hAnsi="宋体"/>
          <w:color w:val="auto"/>
          <w:kern w:val="0"/>
        </w:rPr>
        <w:t>本</w:t>
      </w:r>
      <w:r>
        <w:rPr>
          <w:rFonts w:hint="eastAsia" w:ascii="宋体" w:hAnsi="宋体"/>
          <w:color w:val="auto"/>
          <w:kern w:val="0"/>
          <w:lang w:val="en-US" w:eastAsia="zh-CN"/>
        </w:rPr>
        <w:t>标准</w:t>
      </w:r>
      <w:r>
        <w:rPr>
          <w:rFonts w:hint="eastAsia" w:ascii="宋体" w:hAnsi="宋体"/>
          <w:color w:val="auto"/>
          <w:kern w:val="0"/>
        </w:rPr>
        <w:t>主要起草人：俞燕芳、</w:t>
      </w:r>
      <w:r>
        <w:rPr>
          <w:rFonts w:hint="eastAsia" w:ascii="宋体" w:hAnsi="宋体"/>
          <w:color w:val="auto"/>
          <w:kern w:val="0"/>
          <w:lang w:val="en-US" w:eastAsia="zh-CN"/>
        </w:rPr>
        <w:t>黄金枝、</w:t>
      </w:r>
      <w:r>
        <w:rPr>
          <w:rFonts w:hint="eastAsia" w:ascii="宋体" w:hAnsi="宋体"/>
          <w:color w:val="auto"/>
          <w:kern w:val="0"/>
        </w:rPr>
        <w:t>王军文、童忠飞、</w:t>
      </w:r>
      <w:r>
        <w:rPr>
          <w:rFonts w:hint="eastAsia" w:ascii="宋体" w:hAnsi="宋体"/>
          <w:color w:val="auto"/>
          <w:kern w:val="0"/>
          <w:lang w:val="en-US" w:eastAsia="zh-CN"/>
        </w:rPr>
        <w:t>陈芳、邓真华、王亚威、黎小萍、杜贤明、张贱根、夏裕辉、江亮辉、钟利军、</w:t>
      </w:r>
      <w:r>
        <w:rPr>
          <w:rFonts w:hint="eastAsia" w:ascii="宋体" w:hAnsi="宋体"/>
          <w:color w:val="auto"/>
          <w:kern w:val="0"/>
        </w:rPr>
        <w:t>胡桂萍、匡英秋</w:t>
      </w:r>
    </w:p>
    <w:p>
      <w:pPr>
        <w:pStyle w:val="22"/>
        <w:rPr>
          <w:rFonts w:hint="eastAsia"/>
          <w:color w:val="auto"/>
        </w:rPr>
      </w:pPr>
    </w:p>
    <w:p>
      <w:pPr>
        <w:pStyle w:val="40"/>
        <w:bidi w:val="0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pStyle w:val="48"/>
        <w:rPr>
          <w:rFonts w:hint="eastAsia"/>
          <w:color w:val="auto"/>
        </w:rPr>
      </w:pPr>
      <w:bookmarkStart w:id="20" w:name="_Toc5794"/>
      <w:bookmarkStart w:id="21" w:name="_Toc17731"/>
      <w:r>
        <w:rPr>
          <w:rFonts w:hint="eastAsia"/>
          <w:color w:val="auto"/>
          <w:lang w:val="en-US" w:eastAsia="zh-CN"/>
        </w:rPr>
        <w:t>食用</w:t>
      </w:r>
      <w:r>
        <w:rPr>
          <w:rFonts w:hint="eastAsia"/>
          <w:color w:val="auto"/>
        </w:rPr>
        <w:t>桑</w:t>
      </w:r>
      <w:bookmarkStart w:id="22" w:name="StandardName"/>
      <w:r>
        <w:rPr>
          <w:rFonts w:hint="eastAsia"/>
          <w:color w:val="auto"/>
        </w:rPr>
        <w:t>叶粉</w:t>
      </w:r>
      <w:bookmarkEnd w:id="20"/>
      <w:bookmarkEnd w:id="21"/>
      <w:bookmarkEnd w:id="22"/>
    </w:p>
    <w:p>
      <w:pPr>
        <w:pStyle w:val="43"/>
        <w:bidi w:val="0"/>
        <w:outlineLvl w:val="0"/>
        <w:rPr>
          <w:rFonts w:hint="eastAsia"/>
        </w:rPr>
      </w:pPr>
      <w:bookmarkStart w:id="23" w:name="_Toc80025382"/>
      <w:bookmarkStart w:id="24" w:name="_Toc28763"/>
      <w:r>
        <w:rPr>
          <w:rFonts w:hint="eastAsia"/>
        </w:rPr>
        <w:t>范围</w:t>
      </w:r>
      <w:bookmarkEnd w:id="23"/>
      <w:bookmarkEnd w:id="24"/>
    </w:p>
    <w:p>
      <w:pPr>
        <w:pStyle w:val="22"/>
        <w:ind w:firstLine="48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本</w:t>
      </w:r>
      <w:r>
        <w:rPr>
          <w:rFonts w:hint="eastAsia"/>
          <w:color w:val="auto"/>
          <w:lang w:val="en-US" w:eastAsia="zh-CN"/>
        </w:rPr>
        <w:t>文件</w:t>
      </w:r>
      <w:r>
        <w:rPr>
          <w:rFonts w:hint="eastAsia"/>
          <w:color w:val="auto"/>
        </w:rPr>
        <w:t>规定了</w:t>
      </w:r>
      <w:r>
        <w:rPr>
          <w:rFonts w:hint="eastAsia"/>
          <w:color w:val="auto"/>
          <w:lang w:val="en-US" w:eastAsia="zh-CN"/>
        </w:rPr>
        <w:t>食用</w:t>
      </w:r>
      <w:r>
        <w:rPr>
          <w:rFonts w:hint="eastAsia"/>
          <w:color w:val="auto"/>
        </w:rPr>
        <w:t>桑叶</w:t>
      </w:r>
      <w:r>
        <w:rPr>
          <w:rFonts w:hint="eastAsia"/>
          <w:color w:val="auto"/>
          <w:lang w:val="en-US" w:eastAsia="zh-CN"/>
        </w:rPr>
        <w:t>粉的术语和定义、原料要求、加工技术要求、质量要求、检测方法、标签、包装和贮存等。</w:t>
      </w:r>
    </w:p>
    <w:p>
      <w:pPr>
        <w:pStyle w:val="22"/>
        <w:rPr>
          <w:rFonts w:hint="eastAsia"/>
          <w:color w:val="auto"/>
        </w:rPr>
      </w:pPr>
      <w:r>
        <w:rPr>
          <w:rFonts w:hint="eastAsia"/>
          <w:color w:val="auto"/>
        </w:rPr>
        <w:t>本</w:t>
      </w:r>
      <w:r>
        <w:rPr>
          <w:rFonts w:hint="eastAsia"/>
          <w:color w:val="auto"/>
          <w:lang w:val="en-US" w:eastAsia="zh-CN"/>
        </w:rPr>
        <w:t>文件</w:t>
      </w:r>
      <w:r>
        <w:rPr>
          <w:rFonts w:hint="eastAsia"/>
          <w:color w:val="auto"/>
        </w:rPr>
        <w:t>适用于</w:t>
      </w:r>
      <w:r>
        <w:rPr>
          <w:rFonts w:hint="eastAsia"/>
          <w:color w:val="auto"/>
          <w:lang w:val="en-US" w:eastAsia="zh-CN"/>
        </w:rPr>
        <w:t>食用桑叶粉的加工和使用。</w:t>
      </w:r>
    </w:p>
    <w:p>
      <w:pPr>
        <w:pStyle w:val="43"/>
        <w:bidi w:val="0"/>
        <w:outlineLvl w:val="0"/>
        <w:rPr>
          <w:rFonts w:hint="eastAsia"/>
        </w:rPr>
      </w:pPr>
      <w:bookmarkStart w:id="25" w:name="_Toc80025383"/>
      <w:bookmarkStart w:id="26" w:name="_Toc9186"/>
      <w:r>
        <w:rPr>
          <w:rFonts w:hint="eastAsia"/>
        </w:rPr>
        <w:t>规范性引用文件</w:t>
      </w:r>
      <w:bookmarkEnd w:id="25"/>
      <w:bookmarkEnd w:id="26"/>
    </w:p>
    <w:p>
      <w:pPr>
        <w:pStyle w:val="22"/>
        <w:ind w:firstLine="48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2"/>
        <w:ind w:firstLine="48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GB 14881 食品生产通用卫生规范</w:t>
      </w:r>
    </w:p>
    <w:p>
      <w:pPr>
        <w:pStyle w:val="22"/>
        <w:ind w:firstLine="48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GB/T 32744 茶叶加工良好规范</w:t>
      </w:r>
    </w:p>
    <w:p>
      <w:pPr>
        <w:pStyle w:val="22"/>
        <w:ind w:firstLine="48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GB/T 191 包装储运图示标志</w:t>
      </w:r>
    </w:p>
    <w:p>
      <w:pPr>
        <w:pStyle w:val="22"/>
        <w:ind w:firstLine="48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GB 5009.3 食品安全国家标准 食品中水分的测定</w:t>
      </w:r>
    </w:p>
    <w:p>
      <w:pPr>
        <w:pStyle w:val="22"/>
        <w:ind w:firstLine="48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GB 5009.4 食品安全国家标准 食品中灰分的测定 </w:t>
      </w:r>
    </w:p>
    <w:p>
      <w:pPr>
        <w:pStyle w:val="22"/>
        <w:ind w:firstLine="48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GB 5009.5 食品安全国家标准 食品中蛋白质的测定</w:t>
      </w:r>
    </w:p>
    <w:p>
      <w:pPr>
        <w:pStyle w:val="2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GH/T 1091 代用茶</w:t>
      </w:r>
    </w:p>
    <w:p>
      <w:pPr>
        <w:pStyle w:val="22"/>
        <w:ind w:firstLine="480"/>
        <w:rPr>
          <w:rFonts w:hint="eastAsia"/>
          <w:color w:val="auto"/>
          <w:lang w:val="en-US" w:eastAsia="zh-CN"/>
        </w:rPr>
      </w:pPr>
    </w:p>
    <w:p>
      <w:pPr>
        <w:pStyle w:val="43"/>
        <w:bidi w:val="0"/>
        <w:outlineLvl w:val="0"/>
        <w:rPr>
          <w:rFonts w:hint="eastAsia"/>
        </w:rPr>
      </w:pPr>
      <w:bookmarkStart w:id="27" w:name="_Toc80025384"/>
      <w:bookmarkEnd w:id="27"/>
      <w:bookmarkStart w:id="28" w:name="_Toc9899"/>
      <w:r>
        <w:rPr>
          <w:rFonts w:hint="eastAsia"/>
        </w:rPr>
        <w:t>术语和定义</w:t>
      </w:r>
      <w:bookmarkEnd w:id="28"/>
    </w:p>
    <w:p>
      <w:pPr>
        <w:pStyle w:val="4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桑叶 </w:t>
      </w:r>
      <w:r>
        <w:rPr>
          <w:rFonts w:hint="default"/>
          <w:lang w:val="en-US" w:eastAsia="zh-CN"/>
        </w:rPr>
        <w:t>mulberry leaf</w:t>
      </w:r>
    </w:p>
    <w:p>
      <w:pPr>
        <w:pStyle w:val="2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桑科植物桑树的叶。</w:t>
      </w:r>
    </w:p>
    <w:p>
      <w:pPr>
        <w:pStyle w:val="40"/>
        <w:bidi w:val="0"/>
        <w:rPr>
          <w:rFonts w:hint="eastAsia"/>
        </w:rPr>
      </w:pPr>
      <w:r>
        <w:rPr>
          <w:rFonts w:hint="eastAsia"/>
          <w:lang w:val="en-US" w:eastAsia="zh-CN"/>
        </w:rPr>
        <w:t>食用</w:t>
      </w:r>
      <w:r>
        <w:rPr>
          <w:rFonts w:hint="eastAsia"/>
        </w:rPr>
        <w:t>桑叶粉</w:t>
      </w:r>
      <w:r>
        <w:rPr>
          <w:rFonts w:hint="eastAsia"/>
          <w:lang w:val="en-US" w:eastAsia="zh-CN"/>
        </w:rPr>
        <w:t>e</w:t>
      </w:r>
      <w:r>
        <w:rPr>
          <w:rFonts w:hint="default"/>
          <w:lang w:val="en-US" w:eastAsia="zh-CN"/>
        </w:rPr>
        <w:t>dible mulberry leaf powder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/>
          <w:color w:val="auto"/>
        </w:rPr>
        <w:t xml:space="preserve">     以</w:t>
      </w:r>
      <w:r>
        <w:rPr>
          <w:rFonts w:hint="eastAsia"/>
          <w:color w:val="auto"/>
          <w:lang w:val="en-US" w:eastAsia="zh-CN"/>
        </w:rPr>
        <w:t>新鲜</w:t>
      </w:r>
      <w:r>
        <w:rPr>
          <w:rFonts w:hint="eastAsia"/>
          <w:color w:val="auto"/>
        </w:rPr>
        <w:t>桑叶为原料，按</w:t>
      </w:r>
      <w:r>
        <w:rPr>
          <w:rFonts w:hint="eastAsia"/>
          <w:color w:val="auto"/>
          <w:lang w:val="en-US" w:eastAsia="zh-CN"/>
        </w:rPr>
        <w:t>食品原料</w:t>
      </w:r>
      <w:r>
        <w:rPr>
          <w:rFonts w:hint="eastAsia"/>
          <w:color w:val="auto"/>
        </w:rPr>
        <w:t>的要求，经</w:t>
      </w:r>
      <w:r>
        <w:rPr>
          <w:rFonts w:hint="eastAsia"/>
          <w:color w:val="auto"/>
          <w:lang w:val="en-US" w:eastAsia="zh-CN"/>
        </w:rPr>
        <w:t>切叶、杀青</w:t>
      </w:r>
      <w:r>
        <w:rPr>
          <w:rFonts w:hint="eastAsia"/>
          <w:color w:val="auto"/>
        </w:rPr>
        <w:t>、干燥、</w:t>
      </w:r>
      <w:r>
        <w:rPr>
          <w:rFonts w:hint="eastAsia"/>
          <w:color w:val="auto"/>
          <w:lang w:val="en-US" w:eastAsia="zh-CN"/>
        </w:rPr>
        <w:t>粉碎</w:t>
      </w:r>
      <w:r>
        <w:rPr>
          <w:rFonts w:hint="eastAsia"/>
          <w:color w:val="auto"/>
        </w:rPr>
        <w:t>等工艺制成的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  <w:t>粉末产品。</w:t>
      </w:r>
    </w:p>
    <w:p>
      <w:pPr>
        <w:pStyle w:val="43"/>
        <w:bidi w:val="0"/>
        <w:outlineLvl w:val="0"/>
        <w:rPr>
          <w:rFonts w:hint="eastAsia"/>
          <w:color w:val="auto"/>
        </w:rPr>
      </w:pPr>
      <w:bookmarkStart w:id="29" w:name="_Toc26601"/>
      <w:r>
        <w:rPr>
          <w:rFonts w:hint="eastAsia"/>
          <w:lang w:val="en-US" w:eastAsia="zh-CN"/>
        </w:rPr>
        <w:t>原料要求</w:t>
      </w:r>
      <w:bookmarkEnd w:id="29"/>
      <w:r>
        <w:rPr>
          <w:rFonts w:hint="eastAsia"/>
          <w:color w:val="auto"/>
          <w:lang w:val="en-US" w:eastAsia="zh-CN"/>
        </w:rPr>
        <w:t xml:space="preserve"> </w:t>
      </w:r>
    </w:p>
    <w:p>
      <w:pPr>
        <w:pStyle w:val="22"/>
        <w:bidi w:val="0"/>
        <w:rPr>
          <w:rFonts w:hint="default"/>
          <w:color w:val="auto"/>
          <w:lang w:val="en-US"/>
        </w:rPr>
      </w:pPr>
      <w:r>
        <w:rPr>
          <w:rFonts w:hint="eastAsia"/>
          <w:lang w:val="en-US" w:eastAsia="zh-CN"/>
        </w:rPr>
        <w:t>每年的6-9月份，在晴朗天气采摘桑树枝条中上部的叶片，要求原料无劣变、无异味、无异嗅、无其他夹杂物。</w:t>
      </w:r>
    </w:p>
    <w:p>
      <w:pPr>
        <w:pStyle w:val="43"/>
        <w:bidi w:val="0"/>
        <w:outlineLvl w:val="0"/>
        <w:rPr>
          <w:rFonts w:hint="eastAsia"/>
        </w:rPr>
      </w:pPr>
      <w:bookmarkStart w:id="30" w:name="_Toc8785"/>
      <w:r>
        <w:rPr>
          <w:rFonts w:hint="eastAsia"/>
        </w:rPr>
        <w:t>加工</w:t>
      </w:r>
      <w:r>
        <w:rPr>
          <w:rFonts w:hint="eastAsia"/>
          <w:lang w:val="en-US" w:eastAsia="zh-CN"/>
        </w:rPr>
        <w:t>要求</w:t>
      </w:r>
      <w:bookmarkEnd w:id="30"/>
    </w:p>
    <w:p>
      <w:pPr>
        <w:pStyle w:val="4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加工场地</w:t>
      </w:r>
    </w:p>
    <w:p>
      <w:pPr>
        <w:pStyle w:val="2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加工场地环境条件、加工车间、加工设备和人员执行</w:t>
      </w:r>
      <w:r>
        <w:rPr>
          <w:rFonts w:hint="default"/>
          <w:lang w:val="en-US" w:eastAsia="zh-CN"/>
        </w:rPr>
        <w:t>GB 14881</w:t>
      </w:r>
      <w:r>
        <w:rPr>
          <w:rFonts w:hint="eastAsia"/>
          <w:lang w:val="en-US" w:eastAsia="zh-CN"/>
        </w:rPr>
        <w:t>和</w:t>
      </w:r>
      <w:r>
        <w:rPr>
          <w:rFonts w:hint="eastAsia"/>
          <w:color w:val="auto"/>
          <w:lang w:val="en-US" w:eastAsia="zh-CN"/>
        </w:rPr>
        <w:t>GB/T 32744</w:t>
      </w:r>
      <w:r>
        <w:rPr>
          <w:rFonts w:hint="eastAsia"/>
          <w:lang w:val="en-US" w:eastAsia="zh-CN"/>
        </w:rPr>
        <w:t>的规定。</w:t>
      </w:r>
    </w:p>
    <w:p>
      <w:pPr>
        <w:pStyle w:val="40"/>
        <w:rPr>
          <w:rFonts w:hint="eastAsia"/>
          <w:color w:val="auto"/>
        </w:rPr>
      </w:pPr>
      <w:r>
        <w:rPr>
          <w:rFonts w:hint="eastAsia"/>
          <w:color w:val="auto"/>
        </w:rPr>
        <w:t>工艺流程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桑叶清洗→晾干→切叶→杀青→揉捻→</w:t>
      </w:r>
      <w:r>
        <w:rPr>
          <w:rFonts w:hint="eastAsia" w:cs="Times New Roman"/>
          <w:color w:val="auto"/>
          <w:kern w:val="2"/>
          <w:sz w:val="21"/>
          <w:szCs w:val="24"/>
          <w:lang w:val="en-US" w:eastAsia="zh-CN" w:bidi="ar-SA"/>
        </w:rPr>
        <w:t>初烘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→</w:t>
      </w:r>
      <w:r>
        <w:rPr>
          <w:rFonts w:hint="eastAsia" w:cs="Times New Roman"/>
          <w:color w:val="auto"/>
          <w:kern w:val="2"/>
          <w:sz w:val="21"/>
          <w:szCs w:val="24"/>
          <w:lang w:val="en-US" w:eastAsia="zh-CN" w:bidi="ar-SA"/>
        </w:rPr>
        <w:t>足烘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→粉碎</w:t>
      </w:r>
    </w:p>
    <w:p>
      <w:pPr>
        <w:pStyle w:val="40"/>
        <w:rPr>
          <w:rFonts w:hint="eastAsia"/>
          <w:color w:val="auto"/>
        </w:rPr>
      </w:pPr>
      <w:r>
        <w:rPr>
          <w:rFonts w:hint="eastAsia"/>
          <w:color w:val="auto"/>
        </w:rPr>
        <w:t>清洗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新鲜桑叶在干净的清水中冲洗1</w:t>
      </w:r>
      <w:r>
        <w:rPr>
          <w:rFonts w:hint="eastAsia" w:ascii="宋体" w:hAnsi="宋体" w:eastAsia="宋体" w:cs="Times New Roman"/>
          <w:color w:val="auto"/>
          <w:sz w:val="22"/>
          <w:szCs w:val="22"/>
          <w:lang w:val="en-US" w:eastAsia="zh-CN" w:bidi="ar-SA"/>
        </w:rPr>
        <w:t>～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2遍。</w:t>
      </w:r>
    </w:p>
    <w:p>
      <w:pPr>
        <w:pStyle w:val="40"/>
        <w:rPr>
          <w:rFonts w:hint="eastAsia"/>
          <w:color w:val="auto"/>
        </w:rPr>
      </w:pPr>
      <w:r>
        <w:rPr>
          <w:rFonts w:hint="eastAsia"/>
          <w:color w:val="auto"/>
        </w:rPr>
        <w:t>晾干</w:t>
      </w:r>
    </w:p>
    <w:p>
      <w:pPr>
        <w:pStyle w:val="22"/>
        <w:rPr>
          <w:rFonts w:hint="default" w:eastAsia="宋体"/>
          <w:color w:val="auto"/>
          <w:lang w:val="en-US" w:eastAsia="zh-CN"/>
        </w:rPr>
      </w:pPr>
      <w:r>
        <w:rPr>
          <w:rFonts w:hint="eastAsia" w:ascii="Times New Roman" w:cs="Times New Roman"/>
          <w:color w:val="auto"/>
          <w:kern w:val="2"/>
          <w:sz w:val="21"/>
          <w:szCs w:val="24"/>
          <w:lang w:val="en-US" w:eastAsia="zh-CN" w:bidi="ar-SA"/>
        </w:rPr>
        <w:t>清洗后的桑叶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摊放在干净的筛网上沥水</w:t>
      </w:r>
      <w:r>
        <w:rPr>
          <w:rFonts w:hint="eastAsia"/>
          <w:color w:val="auto"/>
          <w:lang w:val="en-US" w:eastAsia="zh-CN"/>
        </w:rPr>
        <w:t>，并用鼓风机吹至桑叶表面无明显水分。</w:t>
      </w:r>
    </w:p>
    <w:p>
      <w:pPr>
        <w:pStyle w:val="40"/>
        <w:rPr>
          <w:rFonts w:hint="eastAsia"/>
          <w:color w:val="auto"/>
        </w:rPr>
      </w:pPr>
      <w:r>
        <w:rPr>
          <w:rFonts w:hint="eastAsia"/>
          <w:color w:val="auto"/>
        </w:rPr>
        <w:t>切叶</w:t>
      </w:r>
    </w:p>
    <w:p>
      <w:pPr>
        <w:pStyle w:val="22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用切叶机将桑叶切成1</w:t>
      </w:r>
      <w:r>
        <w:t>cm</w:t>
      </w:r>
      <w:r>
        <w:rPr>
          <w:rFonts w:hint="eastAsia" w:hAnsi="宋体"/>
          <w:color w:val="auto"/>
        </w:rPr>
        <w:t>～2</w:t>
      </w:r>
      <w:r>
        <w:t>cm</w:t>
      </w:r>
      <w:r>
        <w:rPr>
          <w:rFonts w:hint="eastAsia" w:hAnsi="宋体"/>
          <w:color w:val="auto"/>
        </w:rPr>
        <w:t>宽、2</w:t>
      </w:r>
      <w:r>
        <w:t>cm</w:t>
      </w:r>
      <w:r>
        <w:rPr>
          <w:rFonts w:hint="eastAsia" w:hAnsi="宋体"/>
          <w:color w:val="auto"/>
        </w:rPr>
        <w:t>～3</w:t>
      </w:r>
      <w:r>
        <w:t>cm</w:t>
      </w:r>
      <w:r>
        <w:rPr>
          <w:rFonts w:hint="eastAsia" w:hAnsi="宋体"/>
          <w:color w:val="auto"/>
        </w:rPr>
        <w:t>长的长条状</w:t>
      </w:r>
      <w:r>
        <w:rPr>
          <w:rFonts w:hint="eastAsia"/>
          <w:color w:val="auto"/>
          <w:lang w:val="en-US" w:eastAsia="zh-CN"/>
        </w:rPr>
        <w:t>。</w:t>
      </w:r>
    </w:p>
    <w:p>
      <w:pPr>
        <w:pStyle w:val="40"/>
        <w:rPr>
          <w:rFonts w:hint="eastAsia"/>
          <w:color w:val="auto"/>
        </w:rPr>
      </w:pPr>
      <w:r>
        <w:rPr>
          <w:rFonts w:hint="eastAsia"/>
          <w:color w:val="auto"/>
        </w:rPr>
        <w:t>蒸青</w:t>
      </w:r>
    </w:p>
    <w:p>
      <w:pPr>
        <w:pStyle w:val="22"/>
        <w:rPr>
          <w:rFonts w:hint="eastAsia" w:hAnsi="宋体"/>
          <w:color w:val="auto"/>
          <w:sz w:val="22"/>
          <w:szCs w:val="22"/>
          <w:lang w:val="en-US" w:eastAsia="zh-CN"/>
        </w:rPr>
      </w:pPr>
      <w:r>
        <w:rPr>
          <w:rFonts w:hint="eastAsia" w:hAnsi="宋体"/>
          <w:color w:val="auto"/>
          <w:sz w:val="22"/>
          <w:szCs w:val="22"/>
          <w:lang w:val="en-US" w:eastAsia="zh-CN"/>
        </w:rPr>
        <w:t>将桑叶投入桑</w:t>
      </w: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汽热杀青机</w:t>
      </w:r>
      <w:r>
        <w:rPr>
          <w:rFonts w:hint="eastAsia" w:hAnsi="宋体"/>
          <w:color w:val="auto"/>
          <w:sz w:val="22"/>
          <w:szCs w:val="22"/>
          <w:lang w:val="en-US" w:eastAsia="zh-CN"/>
        </w:rPr>
        <w:t>的料斗，调节云叶轮使杀青槽内鲜叶层厚度保持在2cm左右，</w:t>
      </w: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蒸汽杀青</w:t>
      </w:r>
      <w:r>
        <w:rPr>
          <w:rFonts w:hint="eastAsia" w:hAnsi="宋体"/>
          <w:color w:val="auto"/>
          <w:sz w:val="22"/>
          <w:szCs w:val="22"/>
          <w:lang w:val="en-US" w:eastAsia="zh-CN"/>
        </w:rPr>
        <w:t>30s</w:t>
      </w: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>-</w:t>
      </w:r>
      <w:r>
        <w:rPr>
          <w:rFonts w:hint="eastAsia" w:hAnsi="宋体"/>
          <w:color w:val="auto"/>
          <w:sz w:val="22"/>
          <w:szCs w:val="22"/>
          <w:lang w:val="en-US" w:eastAsia="zh-CN"/>
        </w:rPr>
        <w:t>60s，杀青后及时摊凉。</w:t>
      </w:r>
    </w:p>
    <w:p>
      <w:pPr>
        <w:pStyle w:val="4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揉捻</w:t>
      </w:r>
    </w:p>
    <w:p>
      <w:pPr>
        <w:pStyle w:val="61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40" w:firstLineChars="200"/>
        <w:textAlignment w:val="auto"/>
        <w:rPr>
          <w:rFonts w:hint="eastAsia" w:ascii="宋体" w:hAnsi="宋体" w:eastAsia="宋体" w:cs="Times New Roman"/>
          <w:color w:val="auto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2"/>
          <w:szCs w:val="22"/>
          <w:lang w:val="en-US" w:eastAsia="zh-CN" w:bidi="ar-SA"/>
        </w:rPr>
        <w:t>采用茶叶揉捻机进行揉捻，投叶量以自然装满揉桶为宜，揉捻</w:t>
      </w:r>
      <w:r>
        <w:rPr>
          <w:rFonts w:hint="eastAsia" w:hAnsi="宋体" w:cs="Times New Roman"/>
          <w:color w:val="auto"/>
          <w:sz w:val="22"/>
          <w:szCs w:val="22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color w:val="auto"/>
          <w:sz w:val="22"/>
          <w:szCs w:val="22"/>
          <w:lang w:val="en-US" w:eastAsia="zh-CN" w:bidi="ar-SA"/>
        </w:rPr>
        <w:t>0min～</w:t>
      </w:r>
      <w:r>
        <w:rPr>
          <w:rFonts w:hint="eastAsia" w:hAnsi="宋体" w:cs="Times New Roman"/>
          <w:color w:val="auto"/>
          <w:sz w:val="22"/>
          <w:szCs w:val="22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color w:val="auto"/>
          <w:sz w:val="22"/>
          <w:szCs w:val="22"/>
          <w:lang w:val="en-US" w:eastAsia="zh-CN" w:bidi="ar-SA"/>
        </w:rPr>
        <w:t>0min</w:t>
      </w:r>
      <w:r>
        <w:rPr>
          <w:rFonts w:hint="eastAsia" w:hAnsi="宋体" w:cs="Times New Roman"/>
          <w:color w:val="auto"/>
          <w:sz w:val="22"/>
          <w:szCs w:val="22"/>
          <w:lang w:val="en-US" w:eastAsia="zh-CN" w:bidi="ar-SA"/>
        </w:rPr>
        <w:t>。</w:t>
      </w:r>
      <w:r>
        <w:rPr>
          <w:rFonts w:hint="eastAsia"/>
          <w:lang w:val="en-US" w:eastAsia="zh-CN"/>
        </w:rPr>
        <w:t>揉捻开始不加压揉捻5min～10min，后逐步加压，再减压，以解散团块，散发热量。</w:t>
      </w:r>
    </w:p>
    <w:p>
      <w:pPr>
        <w:pStyle w:val="4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初烘</w:t>
      </w:r>
    </w:p>
    <w:p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40" w:firstLineChars="200"/>
        <w:textAlignment w:val="auto"/>
        <w:rPr>
          <w:rFonts w:hint="eastAsia" w:ascii="宋体" w:hAnsi="宋体" w:eastAsia="宋体" w:cs="Times New Roman"/>
          <w:color w:val="auto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2"/>
          <w:szCs w:val="22"/>
          <w:lang w:val="en-US" w:eastAsia="zh-CN" w:bidi="ar-SA"/>
        </w:rPr>
        <w:t>用茶叶烘焙笼初烘，温度控制在80℃～90℃，烘至用手捏稍感刺手。</w:t>
      </w:r>
    </w:p>
    <w:p>
      <w:pPr>
        <w:pStyle w:val="4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足烘</w:t>
      </w:r>
    </w:p>
    <w:p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40" w:firstLineChars="200"/>
        <w:textAlignment w:val="auto"/>
        <w:rPr>
          <w:rFonts w:hint="eastAsia" w:ascii="宋体" w:hAnsi="宋体" w:eastAsia="宋体" w:cs="Times New Roman"/>
          <w:color w:val="auto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2"/>
          <w:szCs w:val="22"/>
          <w:lang w:val="en-US" w:eastAsia="zh-CN" w:bidi="ar-SA"/>
        </w:rPr>
        <w:t>用茶叶提香机、厢式烘焙机、食品干燥机等设备烘干，温度控制在100℃～120℃，烘至足干。</w:t>
      </w:r>
    </w:p>
    <w:p>
      <w:pPr>
        <w:pStyle w:val="40"/>
        <w:rPr>
          <w:rFonts w:hint="eastAsia"/>
          <w:color w:val="auto"/>
        </w:rPr>
      </w:pPr>
      <w:r>
        <w:rPr>
          <w:rFonts w:hint="eastAsia"/>
          <w:color w:val="auto"/>
        </w:rPr>
        <w:t>粉碎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先用普通药物粉碎机制成粗粉，再用超微粉碎机粉碎10</w:t>
      </w:r>
      <w:r>
        <w:rPr>
          <w:rFonts w:hint="eastAsia" w:ascii="宋体" w:hAnsi="宋体" w:eastAsia="宋体" w:cs="Times New Roman"/>
          <w:color w:val="auto"/>
          <w:sz w:val="22"/>
          <w:szCs w:val="22"/>
          <w:lang w:val="en-US" w:eastAsia="zh-CN" w:bidi="ar-SA"/>
        </w:rPr>
        <w:t>min～</w:t>
      </w:r>
      <w:r>
        <w:rPr>
          <w:rFonts w:hint="eastAsia"/>
          <w:color w:val="auto"/>
          <w:lang w:val="en-US" w:eastAsia="zh-CN"/>
        </w:rPr>
        <w:t>20min。</w:t>
      </w:r>
    </w:p>
    <w:p>
      <w:pPr>
        <w:pStyle w:val="43"/>
        <w:bidi w:val="0"/>
        <w:outlineLvl w:val="0"/>
        <w:rPr>
          <w:rFonts w:hint="default"/>
          <w:lang w:val="en-US" w:eastAsia="zh-CN"/>
        </w:rPr>
      </w:pPr>
      <w:bookmarkStart w:id="31" w:name="_Toc10212"/>
      <w:r>
        <w:rPr>
          <w:rFonts w:hint="eastAsia"/>
          <w:lang w:val="en-US" w:eastAsia="zh-CN"/>
        </w:rPr>
        <w:t>质量要求</w:t>
      </w:r>
      <w:bookmarkEnd w:id="31"/>
    </w:p>
    <w:p>
      <w:pPr>
        <w:pStyle w:val="40"/>
        <w:bidi w:val="0"/>
      </w:pPr>
      <w:r>
        <w:rPr>
          <w:lang w:val="en-US" w:eastAsia="zh-CN"/>
        </w:rPr>
        <w:t xml:space="preserve">基本要求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成品洁净，无异味，无劣变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且在包装、贮藏、运输和销售过程中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未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受污染。 </w:t>
      </w:r>
    </w:p>
    <w:p>
      <w:pPr>
        <w:pStyle w:val="40"/>
        <w:bidi w:val="0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感官要求</w:t>
      </w:r>
    </w:p>
    <w:p>
      <w:pPr>
        <w:pStyle w:val="2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应符合表1的规定。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表1  感官要求</w:t>
      </w: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5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vertAlign w:val="baseline"/>
                <w:lang w:val="en-US" w:eastAsia="zh-CN"/>
              </w:rPr>
              <w:t>项目</w:t>
            </w:r>
          </w:p>
        </w:tc>
        <w:tc>
          <w:tcPr>
            <w:tcW w:w="596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vertAlign w:val="baseline"/>
                <w:lang w:val="en-US" w:eastAsia="zh-CN"/>
              </w:rPr>
              <w:t>外观</w:t>
            </w:r>
          </w:p>
        </w:tc>
        <w:tc>
          <w:tcPr>
            <w:tcW w:w="596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vertAlign w:val="baseline"/>
                <w:lang w:val="en-US" w:eastAsia="zh-CN"/>
              </w:rPr>
              <w:t>绿色粉末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vertAlign w:val="baseline"/>
                <w:lang w:val="en-US" w:eastAsia="zh-CN"/>
              </w:rPr>
              <w:t>气味</w:t>
            </w:r>
          </w:p>
        </w:tc>
        <w:tc>
          <w:tcPr>
            <w:tcW w:w="596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vertAlign w:val="baseline"/>
                <w:lang w:val="en-US" w:eastAsia="zh-CN"/>
              </w:rPr>
              <w:t>具有桑叶特有的清香，无青臭气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vertAlign w:val="baseline"/>
                <w:lang w:val="en-US" w:eastAsia="zh-CN"/>
              </w:rPr>
              <w:t>杂质</w:t>
            </w:r>
          </w:p>
        </w:tc>
        <w:tc>
          <w:tcPr>
            <w:tcW w:w="596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vertAlign w:val="baseline"/>
                <w:lang w:val="en-US" w:eastAsia="zh-CN"/>
              </w:rPr>
              <w:t>无肉眼可见的外来杂质</w:t>
            </w:r>
          </w:p>
        </w:tc>
      </w:tr>
    </w:tbl>
    <w:p>
      <w:pPr>
        <w:pStyle w:val="40"/>
        <w:bidi w:val="0"/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理化指标</w:t>
      </w:r>
    </w:p>
    <w:p>
      <w:pPr>
        <w:pStyle w:val="2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应符合表2的规定。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表2  理化指标</w:t>
      </w: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5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vertAlign w:val="baseline"/>
                <w:lang w:val="en-US" w:eastAsia="zh-CN"/>
              </w:rPr>
              <w:t>项目</w:t>
            </w:r>
          </w:p>
        </w:tc>
        <w:tc>
          <w:tcPr>
            <w:tcW w:w="596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  <w:vertAlign w:val="baseline"/>
                <w:lang w:val="en-US"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>细度/</w:t>
            </w:r>
            <w:r>
              <w:rPr>
                <w:rFonts w:hint="eastAsia" w:ascii="Times New Roman" w:cs="Times New Roman"/>
                <w:color w:val="auto"/>
                <w:szCs w:val="18"/>
                <w:vertAlign w:val="baseline"/>
                <w:lang w:val="en-US" w:eastAsia="zh-CN"/>
              </w:rPr>
              <w:t>目</w:t>
            </w:r>
          </w:p>
        </w:tc>
        <w:tc>
          <w:tcPr>
            <w:tcW w:w="596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cs="Times New Roman"/>
                <w:color w:val="auto"/>
                <w:szCs w:val="18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>水分/</w:t>
            </w:r>
            <w:r>
              <w:rPr>
                <w:rFonts w:hint="eastAsia" w:ascii="Times New Roman" w:cs="Times New Roman"/>
                <w:color w:val="auto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>g/100 g</w:t>
            </w:r>
            <w:r>
              <w:rPr>
                <w:rFonts w:hint="eastAsia" w:ascii="Times New Roman" w:cs="Times New Roman"/>
                <w:color w:val="auto"/>
                <w:szCs w:val="18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96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cs="Times New Roman"/>
                <w:color w:val="auto"/>
                <w:szCs w:val="1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>灰分/</w:t>
            </w:r>
            <w:r>
              <w:rPr>
                <w:rFonts w:hint="eastAsia" w:ascii="Times New Roman" w:cs="Times New Roman"/>
                <w:color w:val="auto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>g/100g</w:t>
            </w:r>
            <w:r>
              <w:rPr>
                <w:rFonts w:hint="eastAsia" w:ascii="Times New Roman" w:cs="Times New Roman"/>
                <w:color w:val="auto"/>
                <w:szCs w:val="18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96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cs="Times New Roman"/>
                <w:color w:val="auto"/>
                <w:szCs w:val="1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>总蛋白质/</w:t>
            </w:r>
            <w:r>
              <w:rPr>
                <w:rFonts w:hint="eastAsia" w:ascii="Times New Roman" w:cs="Times New Roman"/>
                <w:color w:val="auto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>g/100g</w:t>
            </w:r>
            <w:r>
              <w:rPr>
                <w:rFonts w:hint="eastAsia" w:ascii="Times New Roman" w:cs="Times New Roman"/>
                <w:color w:val="auto"/>
                <w:szCs w:val="18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96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cs="Times New Roman"/>
                <w:color w:val="auto"/>
                <w:szCs w:val="1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>1-脱氧野尻霉素/</w:t>
            </w:r>
            <w:r>
              <w:rPr>
                <w:rFonts w:hint="eastAsia" w:ascii="Times New Roman" w:cs="Times New Roman"/>
                <w:color w:val="auto"/>
                <w:szCs w:val="18"/>
                <w:vertAlign w:val="baseline"/>
                <w:lang w:val="en-US" w:eastAsia="zh-CN"/>
              </w:rPr>
              <w:t>（m</w:t>
            </w: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>g/g</w:t>
            </w:r>
            <w:r>
              <w:rPr>
                <w:rFonts w:hint="eastAsia" w:ascii="Times New Roman" w:cs="Times New Roman"/>
                <w:color w:val="auto"/>
                <w:szCs w:val="18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960" w:type="dxa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18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cs="Times New Roman"/>
                <w:color w:val="auto"/>
                <w:szCs w:val="18"/>
                <w:vertAlign w:val="baseline"/>
                <w:lang w:val="en-US" w:eastAsia="zh-CN"/>
              </w:rPr>
              <w:t>0.4</w:t>
            </w:r>
          </w:p>
        </w:tc>
      </w:tr>
    </w:tbl>
    <w:p>
      <w:pPr>
        <w:pStyle w:val="40"/>
        <w:bidi w:val="0"/>
      </w:pPr>
      <w:bookmarkStart w:id="32" w:name="_Toc11069"/>
      <w:r>
        <w:rPr>
          <w:lang w:val="en-US" w:eastAsia="zh-CN"/>
        </w:rPr>
        <w:t xml:space="preserve">卫生指标 </w:t>
      </w:r>
    </w:p>
    <w:p>
      <w:pPr>
        <w:pStyle w:val="22"/>
        <w:bidi w:val="0"/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应符合</w:t>
      </w:r>
      <w:r>
        <w:rPr>
          <w:rFonts w:hint="eastAsia"/>
          <w:lang w:val="en-US" w:eastAsia="zh-CN"/>
        </w:rPr>
        <w:t>GH/T 1091</w:t>
      </w:r>
      <w:r>
        <w:rPr>
          <w:rFonts w:hint="eastAsia" w:ascii="宋体" w:hAnsi="Times New Roman" w:eastAsia="宋体" w:cs="Times New Roman"/>
          <w:kern w:val="0"/>
          <w:sz w:val="21"/>
          <w:szCs w:val="20"/>
          <w:lang w:val="en-US" w:eastAsia="zh-CN" w:bidi="ar-SA"/>
        </w:rPr>
        <w:t>的规定。相关标准未列项目</w:t>
      </w:r>
      <w:r>
        <w:rPr>
          <w:rFonts w:hint="default" w:ascii="宋体" w:hAnsi="Times New Roman" w:eastAsia="宋体" w:cs="Times New Roman"/>
          <w:kern w:val="0"/>
          <w:sz w:val="21"/>
          <w:szCs w:val="20"/>
          <w:lang w:val="en-US" w:eastAsia="zh-CN" w:bidi="ar-SA"/>
        </w:rPr>
        <w:t xml:space="preserve">及新增禁用、限用农药，按国家有关规定执行。 </w:t>
      </w:r>
    </w:p>
    <w:p>
      <w:pPr>
        <w:pStyle w:val="43"/>
        <w:bidi w:val="0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检测方法</w:t>
      </w:r>
      <w:bookmarkEnd w:id="32"/>
    </w:p>
    <w:p>
      <w:pPr>
        <w:pStyle w:val="40"/>
        <w:bidi w:val="0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感官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在光线充足</w:t>
      </w:r>
      <w:r>
        <w:rPr>
          <w:rFonts w:hint="eastAsia" w:ascii="宋体" w:cs="Times New Roman"/>
          <w:color w:val="auto"/>
          <w:kern w:val="0"/>
          <w:sz w:val="21"/>
          <w:szCs w:val="20"/>
          <w:lang w:val="en-US" w:eastAsia="zh-CN" w:bidi="ar-SA"/>
        </w:rPr>
        <w:t>、干净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的环境中,取20g试样倒在白色瓷盘中，逐项检查外观、滋味、气味等。</w:t>
      </w:r>
    </w:p>
    <w:p>
      <w:pPr>
        <w:pStyle w:val="40"/>
        <w:bidi w:val="0"/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细度</w:t>
      </w:r>
    </w:p>
    <w:p>
      <w:pPr>
        <w:pStyle w:val="22"/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取试样100g置于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200目的</w:t>
      </w:r>
      <w:r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标准筛内，反复振荡后，试样全部通过。</w:t>
      </w:r>
    </w:p>
    <w:p>
      <w:pPr>
        <w:pStyle w:val="40"/>
        <w:bidi w:val="0"/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水分</w:t>
      </w:r>
    </w:p>
    <w:p>
      <w:pPr>
        <w:pStyle w:val="22"/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按GB5009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.</w:t>
      </w:r>
      <w:r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3的规定执行。</w:t>
      </w:r>
    </w:p>
    <w:p>
      <w:pPr>
        <w:pStyle w:val="40"/>
        <w:bidi w:val="0"/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灰分</w:t>
      </w:r>
    </w:p>
    <w:p>
      <w:pPr>
        <w:pStyle w:val="22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按</w:t>
      </w:r>
      <w:r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GB5009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.</w:t>
      </w:r>
      <w:r>
        <w:rPr>
          <w:rFonts w:hint="eastAsia" w:cs="Times New Roman"/>
          <w:color w:val="auto"/>
          <w:kern w:val="0"/>
          <w:sz w:val="21"/>
          <w:szCs w:val="20"/>
          <w:lang w:val="en-US" w:eastAsia="zh-CN" w:bidi="ar-SA"/>
        </w:rPr>
        <w:t>4</w:t>
      </w:r>
      <w:r>
        <w:rPr>
          <w:rFonts w:hint="default" w:ascii="Times New Roman" w:hAnsi="Times New Roman" w:cs="Times New Roman"/>
          <w:color w:val="auto"/>
          <w:lang w:val="en-US" w:eastAsia="zh-CN"/>
        </w:rPr>
        <w:t>的规定执行。</w:t>
      </w:r>
    </w:p>
    <w:p>
      <w:pPr>
        <w:pStyle w:val="40"/>
        <w:bidi w:val="0"/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总蛋白质</w:t>
      </w:r>
    </w:p>
    <w:p>
      <w:pPr>
        <w:pStyle w:val="22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按</w:t>
      </w:r>
      <w:r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GB5009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.</w:t>
      </w:r>
      <w:r>
        <w:rPr>
          <w:rFonts w:hint="eastAsia" w:cs="Times New Roman"/>
          <w:color w:val="auto"/>
          <w:kern w:val="0"/>
          <w:sz w:val="21"/>
          <w:szCs w:val="20"/>
          <w:lang w:val="en-US" w:eastAsia="zh-CN" w:bidi="ar-SA"/>
        </w:rPr>
        <w:t>5</w:t>
      </w:r>
      <w:r>
        <w:rPr>
          <w:rFonts w:hint="default" w:ascii="Times New Roman" w:hAnsi="Times New Roman" w:cs="Times New Roman"/>
          <w:color w:val="auto"/>
          <w:lang w:val="en-US" w:eastAsia="zh-CN"/>
        </w:rPr>
        <w:t>的规定执行。</w:t>
      </w:r>
    </w:p>
    <w:p>
      <w:pPr>
        <w:pStyle w:val="40"/>
        <w:bidi w:val="0"/>
        <w:ind w:left="0" w:leftChars="0" w:firstLine="0" w:firstLineChars="0"/>
        <w:rPr>
          <w:rFonts w:hint="eastAsia"/>
          <w:color w:val="auto"/>
          <w:lang w:val="en-US" w:eastAsia="zh-CN"/>
        </w:rPr>
      </w:pPr>
      <w:bookmarkStart w:id="33" w:name="_Toc3499"/>
      <w:r>
        <w:rPr>
          <w:rFonts w:hint="default"/>
          <w:color w:val="auto"/>
          <w:lang w:val="en-US" w:eastAsia="zh-CN"/>
        </w:rPr>
        <w:t>1-脱氧野尻霉素</w:t>
      </w:r>
      <w:bookmarkEnd w:id="33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按规范性附录</w:t>
      </w:r>
      <w:r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A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测定方法进行。</w:t>
      </w:r>
    </w:p>
    <w:p>
      <w:pPr>
        <w:pStyle w:val="43"/>
        <w:bidi w:val="0"/>
        <w:outlineLvl w:val="0"/>
        <w:rPr>
          <w:rFonts w:hint="eastAsia"/>
          <w:lang w:val="en-US" w:eastAsia="zh-CN"/>
        </w:rPr>
      </w:pPr>
      <w:bookmarkStart w:id="34" w:name="_Toc26343"/>
      <w:r>
        <w:rPr>
          <w:rFonts w:hint="eastAsia"/>
          <w:lang w:val="en-US" w:eastAsia="zh-CN"/>
        </w:rPr>
        <w:t>检验规则</w:t>
      </w:r>
      <w:bookmarkEnd w:id="34"/>
      <w:r>
        <w:rPr>
          <w:rFonts w:hint="eastAsia"/>
          <w:lang w:val="en-US" w:eastAsia="zh-CN"/>
        </w:rPr>
        <w:t xml:space="preserve"> </w:t>
      </w:r>
    </w:p>
    <w:p>
      <w:pPr>
        <w:pStyle w:val="40"/>
        <w:bidi w:val="0"/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组批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同一批原料、同一规格的产品为一批。 </w:t>
      </w:r>
    </w:p>
    <w:p>
      <w:pPr>
        <w:pStyle w:val="40"/>
        <w:bidi w:val="0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出厂检验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每批产品均应进行出厂检验，出厂检验项目为：外观性状、水分、</w:t>
      </w:r>
      <w:r>
        <w:rPr>
          <w:rFonts w:hint="eastAsia" w:ascii="宋体" w:cs="Times New Roman"/>
          <w:color w:val="auto"/>
          <w:kern w:val="0"/>
          <w:sz w:val="21"/>
          <w:szCs w:val="20"/>
          <w:lang w:val="en-US" w:eastAsia="zh-CN" w:bidi="ar-SA"/>
        </w:rPr>
        <w:t>灰分、总蛋白质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含量。 </w:t>
      </w:r>
    </w:p>
    <w:p>
      <w:pPr>
        <w:pStyle w:val="40"/>
        <w:bidi w:val="0"/>
        <w:ind w:left="0" w:leftChars="0" w:firstLine="0" w:firstLineChars="0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型式检验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本标准规定的全部指标项目为型式检验项目，型式检验每年检验一次</w:t>
      </w:r>
      <w:r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,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有下列情况之一时亦应进行 型式检验：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a</w:t>
      </w:r>
      <w:r>
        <w:rPr>
          <w:rFonts w:hint="eastAsia" w:ascii="宋体" w:cs="Times New Roman"/>
          <w:color w:val="auto"/>
          <w:kern w:val="0"/>
          <w:sz w:val="21"/>
          <w:szCs w:val="20"/>
          <w:lang w:val="en-US" w:eastAsia="zh-CN" w:bidi="ar-SA"/>
        </w:rPr>
        <w:t>）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新产品投产时；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b</w:t>
      </w:r>
      <w:r>
        <w:rPr>
          <w:rFonts w:hint="eastAsia" w:ascii="宋体" w:cs="Times New Roman"/>
          <w:color w:val="auto"/>
          <w:kern w:val="0"/>
          <w:sz w:val="21"/>
          <w:szCs w:val="20"/>
          <w:lang w:val="en-US" w:eastAsia="zh-CN" w:bidi="ar-SA"/>
        </w:rPr>
        <w:t>）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更换设备或长期停产再恢复生产时；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c</w:t>
      </w:r>
      <w:r>
        <w:rPr>
          <w:rFonts w:hint="eastAsia" w:ascii="宋体" w:cs="Times New Roman"/>
          <w:color w:val="auto"/>
          <w:kern w:val="0"/>
          <w:sz w:val="21"/>
          <w:szCs w:val="20"/>
          <w:lang w:val="en-US" w:eastAsia="zh-CN" w:bidi="ar-SA"/>
        </w:rPr>
        <w:t>）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出厂检验结果与上次型式检验结果有较大差异时；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d</w:t>
      </w:r>
      <w:r>
        <w:rPr>
          <w:rFonts w:hint="eastAsia" w:ascii="宋体" w:cs="Times New Roman"/>
          <w:color w:val="auto"/>
          <w:kern w:val="0"/>
          <w:sz w:val="21"/>
          <w:szCs w:val="20"/>
          <w:lang w:val="en-US" w:eastAsia="zh-CN" w:bidi="ar-SA"/>
        </w:rPr>
        <w:t>）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原料、工艺可能影响产品质量时；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e</w:t>
      </w:r>
      <w:r>
        <w:rPr>
          <w:rFonts w:hint="eastAsia" w:ascii="宋体" w:cs="Times New Roman"/>
          <w:color w:val="auto"/>
          <w:kern w:val="0"/>
          <w:sz w:val="21"/>
          <w:szCs w:val="20"/>
          <w:lang w:val="en-US" w:eastAsia="zh-CN" w:bidi="ar-SA"/>
        </w:rPr>
        <w:t>）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国家监管部门提出要求时；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f</w:t>
      </w:r>
      <w:r>
        <w:rPr>
          <w:rFonts w:hint="eastAsia" w:ascii="宋体" w:cs="Times New Roman"/>
          <w:color w:val="auto"/>
          <w:kern w:val="0"/>
          <w:sz w:val="21"/>
          <w:szCs w:val="20"/>
          <w:lang w:val="en-US" w:eastAsia="zh-CN" w:bidi="ar-SA"/>
        </w:rPr>
        <w:t>）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停产</w:t>
      </w:r>
      <w:r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6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个月以上恢复生产时。 </w:t>
      </w:r>
    </w:p>
    <w:p>
      <w:pPr>
        <w:pStyle w:val="40"/>
        <w:bidi w:val="0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判定规则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检验项目全部符合本标准要求时，判定该批产品质量符合本文件的规定。检验项目如出现不合格时，应重新自同批产品中抽取两倍量样品进行复检，以复检结果为准。若仍有1项不合格判定该批产品不符合本文件的规定。</w:t>
      </w:r>
    </w:p>
    <w:p>
      <w:pPr>
        <w:pStyle w:val="43"/>
        <w:bidi w:val="0"/>
        <w:outlineLvl w:val="0"/>
        <w:rPr>
          <w:rFonts w:hint="eastAsia"/>
          <w:lang w:val="en-US" w:eastAsia="zh-CN"/>
        </w:rPr>
      </w:pPr>
      <w:bookmarkStart w:id="35" w:name="_Toc89092681"/>
      <w:bookmarkStart w:id="36" w:name="_Toc18385"/>
      <w:bookmarkStart w:id="37" w:name="_Toc89092693"/>
      <w:r>
        <w:rPr>
          <w:rFonts w:hint="eastAsia"/>
        </w:rPr>
        <w:t>标签、包装、贮存和运输</w:t>
      </w:r>
      <w:bookmarkEnd w:id="35"/>
      <w:bookmarkEnd w:id="36"/>
      <w:bookmarkEnd w:id="37"/>
    </w:p>
    <w:p>
      <w:pPr>
        <w:pStyle w:val="40"/>
        <w:bidi w:val="0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标签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储运图示标志应符合 GB/T 191 的规定。标签应符合 GB 7718 的规定。</w:t>
      </w:r>
    </w:p>
    <w:p>
      <w:pPr>
        <w:pStyle w:val="40"/>
        <w:rPr>
          <w:rFonts w:hint="eastAsia"/>
          <w:color w:val="auto"/>
        </w:rPr>
      </w:pPr>
      <w:r>
        <w:rPr>
          <w:rFonts w:hint="eastAsia"/>
          <w:color w:val="auto"/>
        </w:rPr>
        <w:t>包装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接触桑叶粉的包装材料应符合相应的卫生要求，应清洁、干燥、无异味、无毒、气密性良好</w:t>
      </w:r>
      <w:r>
        <w:rPr>
          <w:rFonts w:hint="eastAsia" w:ascii="宋体" w:cs="Times New Roman"/>
          <w:color w:val="auto"/>
          <w:kern w:val="0"/>
          <w:sz w:val="21"/>
          <w:szCs w:val="20"/>
          <w:lang w:val="en-US" w:eastAsia="zh-CN" w:bidi="ar-SA"/>
        </w:rPr>
        <w:t>，内包装宜用密闭性良好的铝箔袋</w:t>
      </w: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。运输包装箱的图示标志应符合GB/T 191的要求。</w:t>
      </w:r>
    </w:p>
    <w:p>
      <w:pPr>
        <w:pStyle w:val="40"/>
        <w:rPr>
          <w:rFonts w:hint="eastAsia" w:ascii="宋体" w:hAnsi="宋体" w:cs="Times New Roman"/>
          <w:color w:val="auto"/>
          <w:kern w:val="0"/>
          <w:sz w:val="22"/>
          <w:szCs w:val="22"/>
          <w:lang w:val="en-US" w:eastAsia="zh-CN" w:bidi="ar-SA"/>
        </w:rPr>
      </w:pPr>
      <w:r>
        <w:rPr>
          <w:rFonts w:hint="eastAsia"/>
          <w:color w:val="auto"/>
          <w:lang w:val="en-US" w:eastAsia="zh-CN"/>
        </w:rPr>
        <w:t>贮存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cs="Times New Roman"/>
          <w:color w:val="auto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包装好的桑叶粉贮存于清洁、干燥、无异味的专用仓库内，宜冷藏。</w:t>
      </w:r>
    </w:p>
    <w:p>
      <w:pPr>
        <w:pStyle w:val="4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运输</w:t>
      </w:r>
    </w:p>
    <w:p>
      <w:pPr>
        <w:pStyle w:val="22"/>
        <w:rPr>
          <w:rFonts w:hint="default" w:eastAsia="宋体"/>
          <w:color w:val="auto"/>
          <w:lang w:val="en-US" w:eastAsia="zh-CN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>运输工具应清洁、干净、无异味、无污染，不得与有毒、有害、有异味物品混装混运。尽量轻拿轻放、避免曝晒雨淋。</w:t>
      </w:r>
    </w:p>
    <w:p>
      <w:pPr>
        <w:pStyle w:val="43"/>
        <w:bidi w:val="0"/>
        <w:outlineLvl w:val="0"/>
        <w:rPr>
          <w:rFonts w:hint="eastAsia"/>
        </w:rPr>
      </w:pPr>
      <w:bookmarkStart w:id="38" w:name="_Toc21669"/>
      <w:r>
        <w:rPr>
          <w:rFonts w:hint="eastAsia"/>
          <w:lang w:val="en-US" w:eastAsia="zh-CN"/>
        </w:rPr>
        <w:t>追溯</w:t>
      </w:r>
      <w:r>
        <w:rPr>
          <w:rFonts w:hint="eastAsia"/>
        </w:rPr>
        <w:t>管理</w:t>
      </w:r>
      <w:bookmarkEnd w:id="38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auto"/>
          <w:kern w:val="0"/>
          <w:sz w:val="21"/>
          <w:szCs w:val="20"/>
          <w:lang w:val="en-US" w:eastAsia="zh-CN" w:bidi="ar-SA"/>
        </w:rPr>
        <w:t xml:space="preserve">应建立立记录制度和追溯方法。记录原料采购、加工、储存、运输、入库、出库、检验和销售等各个环节活动。记录应准确、完整、清晰实现可追溯性。 </w:t>
      </w:r>
    </w:p>
    <w:p>
      <w:pPr>
        <w:pStyle w:val="22"/>
        <w:ind w:firstLine="0" w:firstLineChars="0"/>
        <w:rPr>
          <w:rFonts w:hint="eastAsia"/>
          <w:color w:val="auto"/>
        </w:rPr>
      </w:pPr>
    </w:p>
    <w:p>
      <w:pPr>
        <w:pStyle w:val="22"/>
        <w:ind w:firstLine="0" w:firstLineChars="0"/>
        <w:rPr>
          <w:rFonts w:hint="eastAsia"/>
          <w:color w:val="auto"/>
        </w:rPr>
      </w:pPr>
    </w:p>
    <w:p>
      <w:pPr>
        <w:pStyle w:val="127"/>
        <w:framePr w:wrap="around" w:vAnchor="text" w:hAnchor="page" w:x="3670" w:y="229"/>
        <w:rPr>
          <w:rFonts w:hint="eastAsia"/>
          <w:color w:val="auto"/>
        </w:rPr>
      </w:pPr>
      <w:r>
        <w:rPr>
          <w:color w:val="auto"/>
        </w:rPr>
        <w:t>_________________________________</w:t>
      </w:r>
    </w:p>
    <w:p>
      <w:pPr>
        <w:pStyle w:val="22"/>
        <w:ind w:firstLine="0" w:firstLineChars="0"/>
        <w:rPr>
          <w:rFonts w:hint="eastAsia"/>
          <w:color w:val="auto"/>
        </w:rPr>
      </w:pPr>
    </w:p>
    <w:p>
      <w:pPr>
        <w:pStyle w:val="22"/>
        <w:ind w:firstLine="0" w:firstLineChars="0"/>
        <w:rPr>
          <w:rFonts w:hint="eastAsia"/>
          <w:color w:val="auto"/>
        </w:rPr>
      </w:pPr>
    </w:p>
    <w:p>
      <w:pPr>
        <w:pStyle w:val="22"/>
        <w:ind w:firstLine="0" w:firstLineChars="0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附 录 A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（规范性附录）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桑叶粉1-脱氧野尻霉素（DNJ）含量检测方法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A.1 试剂和材料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A.1.1 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乙腈（色谱纯）；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A.1.2 超纯水（二次重蒸水）；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A.1.3 盐酸（分析纯）；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A.1.4 四硼酸钾（分析纯）；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A.1.5 硼酸（分析纯）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A.1.4 芴甲氧羰酰氯（分析纯）；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A.1.5 甘氨酸（分析纯）；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A.1.5 1-脱氧野尻霉素（对照品）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A.2 仪器和设备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A.2.1 高效液相色谱仪（荧光检测器）；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A.2.2 C18色谱柱（ 250mm*4.6mm，5um）；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A.2.3 分析天平；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A.2.4 超声波清洗器；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A.2.5 一般实验室设备。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A.3 测定步骤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A.3.1 对照品溶液制备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称取4 mg DNJ 标准品定容于 100ml 蒸馏水中，得标准溶液母液。用蒸馏水将母液稀释成2.5、5、10、20、40μg/ml的标准溶液系列。</w:t>
      </w: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A.3.2 供试品溶液的制备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取本品粉末约 0.1g，精密称定，置于 10ml的离心管中，加入8ml 盐酸（0.05mol/L）溶液，涡旋混合30s，12000r/min离心10min，取上清液，残渣再加入8ml盐酸溶液（0.05mol/L）同前重复提取一次，合并两次提取液，置 50ml 容量瓶中加蒸馏水定容至 50ml，即得。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A.3.3 衍生化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取上述对照品和供试品溶液100μL于1.5ml的离心管中，加100μL硼酸盐缓冲液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pH8.5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，再加入200 μL芴甲氧羰酰氯溶液（5 mmol/L，溶解于乙腈中），混匀，25℃水浴 20 min 后加入100μL甘氨酸（1 mol/L）、100 μL 醋酸（1%）及超纯水 400 μL，以 0.45 μm 微孔滤膜过滤器过滤，收集滤液备测。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A.3.4 含量测定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采用高效液相色谱法测定。高效液相色谱条件为：进样量 10 μL，流动相为乙腈-0.1％乙酸（体积比 45:55），柱温 25℃；流速为0.5 ml/min，荧光检测器激发波长 254 nm，发射波长 322 nm。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A.4 计算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以不同浓度的标准溶液浓度X对色谱峰面积Y 进行线性回归，做出标准曲线回归方程。样品中芦丁的含量（以质量百分数 X 计）计算公式如下：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m:oMathPara>
        <m:oMath>
          <m:r>
            <m:rPr>
              <m:sty m:val="p"/>
            </m:rPr>
            <w:rPr>
              <w:rFonts w:hint="eastAsia" w:ascii="Times New Roman" w:hAnsi="Times New Roman" w:eastAsia="宋体" w:cs="Times New Roman"/>
              <w:color w:val="auto"/>
              <w:kern w:val="0"/>
              <w:sz w:val="21"/>
              <w:szCs w:val="21"/>
              <w:lang w:val="en-US" w:eastAsia="zh-CN" w:bidi="ar"/>
            </w:rPr>
            <m:t>X</m:t>
          </m:r>
          <m:r>
            <m:rPr/>
            <w:rPr>
              <w:rFonts w:ascii="Cambria Math" w:hAnsi="Cambria Math" w:cs="Times New Roman"/>
              <w:color w:val="auto"/>
              <w:kern w:val="0"/>
              <w:sz w:val="21"/>
              <w:szCs w:val="21"/>
              <w:lang w:val="en-US" w:bidi="ar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auto"/>
                  <w:kern w:val="0"/>
                  <w:sz w:val="21"/>
                  <w:szCs w:val="21"/>
                  <w:lang w:val="en-US" w:bidi="ar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1"/>
                  <w:szCs w:val="21"/>
                  <w:lang w:val="en-US" w:eastAsia="zh-CN" w:bidi="ar"/>
                </w:rPr>
                <m:t>ρ</m:t>
              </m:r>
              <m:r>
                <m:rPr>
                  <m:sty m:val="p"/>
                </m:r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1"/>
                  <w:szCs w:val="21"/>
                  <w:lang w:val="en-US" w:eastAsia="zh-CN" w:bidi="ar"/>
                </w:rPr>
                <m:t>×</m:t>
              </m:r>
              <m:r>
                <m:rPr>
                  <m:sty m:val="p"/>
                </m:rPr>
                <w:rPr>
                  <w:rFonts w:hint="default" w:ascii="Cambria Math" w:hAnsi="Cambria Math" w:eastAsia="微软雅黑" w:cs="微软雅黑"/>
                  <w:color w:val="auto"/>
                  <w:kern w:val="0"/>
                  <w:sz w:val="21"/>
                  <w:szCs w:val="21"/>
                  <w:lang w:val="en-US" w:eastAsia="zh-CN" w:bidi="ar"/>
                </w:rPr>
                <m:t>V</m:t>
              </m:r>
              <m:ctrlPr>
                <w:rPr>
                  <w:rFonts w:ascii="Cambria Math" w:hAnsi="Cambria Math" w:cs="Times New Roman"/>
                  <w:i/>
                  <w:color w:val="auto"/>
                  <w:kern w:val="0"/>
                  <w:sz w:val="21"/>
                  <w:szCs w:val="21"/>
                  <w:lang w:val="en-US" w:bidi="ar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color w:val="auto"/>
                  <w:kern w:val="0"/>
                  <w:sz w:val="21"/>
                  <w:szCs w:val="21"/>
                  <w:lang w:val="en-US" w:eastAsia="zh-CN" w:bidi="ar"/>
                </w:rPr>
                <m:t>m</m:t>
              </m:r>
              <m:r>
                <m:rPr>
                  <m:sty m:val="p"/>
                </m:r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1"/>
                  <w:szCs w:val="21"/>
                  <w:lang w:val="en-US" w:eastAsia="zh-CN" w:bidi="ar"/>
                </w:rPr>
                <m:t>×</m:t>
              </m:r>
              <m:r>
                <m:rPr>
                  <m:sty m:val="p"/>
                </m:rPr>
                <w:rPr>
                  <w:rFonts w:hint="default" w:ascii="Cambria Math" w:hAnsi="Cambria Math" w:eastAsia="微软雅黑" w:cs="微软雅黑"/>
                  <w:color w:val="auto"/>
                  <w:kern w:val="0"/>
                  <w:sz w:val="21"/>
                  <w:szCs w:val="21"/>
                  <w:lang w:val="en-US" w:eastAsia="zh-CN" w:bidi="ar"/>
                </w:rPr>
                <m:t>1000</m:t>
              </m:r>
              <m:ctrlPr>
                <w:rPr>
                  <w:rFonts w:ascii="Cambria Math" w:hAnsi="Cambria Math" w:cs="Times New Roman"/>
                  <w:i/>
                  <w:color w:val="auto"/>
                  <w:kern w:val="0"/>
                  <w:sz w:val="21"/>
                  <w:szCs w:val="21"/>
                  <w:lang w:val="en-US" w:bidi="ar"/>
                </w:rPr>
              </m:ctrlPr>
            </m:den>
          </m:f>
        </m:oMath>
      </m:oMathPara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式中：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X---试样中待测组分含量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单位为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 w:bidi="ar"/>
        </w:rPr>
        <w:t>毫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克每克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 w:bidi="ar"/>
        </w:rPr>
        <w:t>（m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g/g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 w:bidi="ar"/>
        </w:rPr>
        <w:t>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ρ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---由标准曲线得出的测试液中某种组分的质量浓度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单位为微克每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 w:bidi="ar"/>
        </w:rPr>
        <w:t>毫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升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μg/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 w:bidi="ar"/>
        </w:rPr>
        <w:t>mL）；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V---定容体积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单位为毫升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mL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 w:bidi="ar"/>
        </w:rPr>
        <w:t>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m ---试样质量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单位为克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g</w:t>
      </w:r>
      <w:r>
        <w:rPr>
          <w:rFonts w:hint="eastAsia" w:cs="Times New Roman"/>
          <w:color w:val="auto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计算结果保留三位有效数字。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>A.5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 精密度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 在重复性条件下，完成两次平行测定结果的相对偏差不大于 10%。</w:t>
      </w: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0"/>
          <w:lang w:val="en-US" w:eastAsia="zh-CN" w:bidi="ar"/>
        </w:rPr>
        <w:t xml:space="preserve"> </w:t>
      </w:r>
    </w:p>
    <w:p>
      <w:pPr>
        <w:pStyle w:val="22"/>
        <w:ind w:firstLine="0" w:firstLineChars="0"/>
        <w:rPr>
          <w:rFonts w:hint="eastAsia"/>
          <w:color w:val="auto"/>
        </w:rPr>
      </w:pPr>
    </w:p>
    <w:sectPr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</w:pPr>
    <w:r>
      <w:rPr>
        <w:rFonts w:hint="eastAsia"/>
        <w:lang w:val="en-US" w:eastAsia="zh-CN"/>
      </w:rPr>
      <w:t>T</w:t>
    </w:r>
    <w:r>
      <w:t>XX/ XXXXX—XXXX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4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50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19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6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43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6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6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7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8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3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5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2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59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60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26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24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8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03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3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55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OTU3NzEwMWI2YmM5MDYxNmNhMzk3NzdhMzg1OTIifQ=="/>
  </w:docVars>
  <w:rsids>
    <w:rsidRoot w:val="00035925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67CDF"/>
    <w:rsid w:val="00074FBE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43F73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B1CB5"/>
    <w:rsid w:val="003C11CB"/>
    <w:rsid w:val="003C75F3"/>
    <w:rsid w:val="003C78A3"/>
    <w:rsid w:val="003D2356"/>
    <w:rsid w:val="003E1867"/>
    <w:rsid w:val="003E5729"/>
    <w:rsid w:val="003F4EE0"/>
    <w:rsid w:val="00402153"/>
    <w:rsid w:val="00402FC1"/>
    <w:rsid w:val="00425082"/>
    <w:rsid w:val="00431DEB"/>
    <w:rsid w:val="00446B29"/>
    <w:rsid w:val="00453F9A"/>
    <w:rsid w:val="00471E91"/>
    <w:rsid w:val="00474675"/>
    <w:rsid w:val="0047470C"/>
    <w:rsid w:val="004A35F9"/>
    <w:rsid w:val="004B24C1"/>
    <w:rsid w:val="004C292F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D77CF"/>
    <w:rsid w:val="005E19E7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07E8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6421"/>
    <w:rsid w:val="00724EFB"/>
    <w:rsid w:val="007419C3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7198C"/>
    <w:rsid w:val="00872C1F"/>
    <w:rsid w:val="00873B42"/>
    <w:rsid w:val="008856D8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1971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5C38"/>
    <w:rsid w:val="00A36BBE"/>
    <w:rsid w:val="00A41DB3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23C8D"/>
    <w:rsid w:val="00B353EB"/>
    <w:rsid w:val="00B439C4"/>
    <w:rsid w:val="00B4535E"/>
    <w:rsid w:val="00B52A8C"/>
    <w:rsid w:val="00B636A8"/>
    <w:rsid w:val="00B665C6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C3E0C"/>
    <w:rsid w:val="00CC58D3"/>
    <w:rsid w:val="00CC784D"/>
    <w:rsid w:val="00D0337B"/>
    <w:rsid w:val="00D079B2"/>
    <w:rsid w:val="00D114E9"/>
    <w:rsid w:val="00D429C6"/>
    <w:rsid w:val="00D47748"/>
    <w:rsid w:val="00D54CC3"/>
    <w:rsid w:val="00D6041A"/>
    <w:rsid w:val="00D633EB"/>
    <w:rsid w:val="00D80BF3"/>
    <w:rsid w:val="00D82FF7"/>
    <w:rsid w:val="00D847FE"/>
    <w:rsid w:val="00D964EA"/>
    <w:rsid w:val="00D966D0"/>
    <w:rsid w:val="00DA0C59"/>
    <w:rsid w:val="00DA3991"/>
    <w:rsid w:val="00DB7E6C"/>
    <w:rsid w:val="00DD5A29"/>
    <w:rsid w:val="00DD5D9D"/>
    <w:rsid w:val="00DE35CB"/>
    <w:rsid w:val="00DE5440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4B99"/>
    <w:rsid w:val="00F52DAB"/>
    <w:rsid w:val="00F543F0"/>
    <w:rsid w:val="00F81D29"/>
    <w:rsid w:val="00F91C4D"/>
    <w:rsid w:val="00F92FD9"/>
    <w:rsid w:val="00FA6684"/>
    <w:rsid w:val="00FA731E"/>
    <w:rsid w:val="00FB2B38"/>
    <w:rsid w:val="00FC6358"/>
    <w:rsid w:val="00FD320D"/>
    <w:rsid w:val="00FE23DE"/>
    <w:rsid w:val="010922E9"/>
    <w:rsid w:val="03F755C0"/>
    <w:rsid w:val="09A62284"/>
    <w:rsid w:val="0A923A4D"/>
    <w:rsid w:val="0F195511"/>
    <w:rsid w:val="0F7A727F"/>
    <w:rsid w:val="13B66C68"/>
    <w:rsid w:val="1ED410E6"/>
    <w:rsid w:val="1F573CF0"/>
    <w:rsid w:val="1FB00C1B"/>
    <w:rsid w:val="20B510A2"/>
    <w:rsid w:val="21B77B6F"/>
    <w:rsid w:val="21FB4297"/>
    <w:rsid w:val="262D14A1"/>
    <w:rsid w:val="31A73A1C"/>
    <w:rsid w:val="361854CA"/>
    <w:rsid w:val="36A06FE1"/>
    <w:rsid w:val="376B336C"/>
    <w:rsid w:val="3D735D34"/>
    <w:rsid w:val="3DBD0004"/>
    <w:rsid w:val="424C07B7"/>
    <w:rsid w:val="4ADF18B2"/>
    <w:rsid w:val="4C142484"/>
    <w:rsid w:val="4FB86B3A"/>
    <w:rsid w:val="50475648"/>
    <w:rsid w:val="50A671E3"/>
    <w:rsid w:val="51FB5326"/>
    <w:rsid w:val="597B0EF6"/>
    <w:rsid w:val="5B2277B3"/>
    <w:rsid w:val="69410BAF"/>
    <w:rsid w:val="7016777F"/>
    <w:rsid w:val="746135BF"/>
    <w:rsid w:val="79BD4728"/>
    <w:rsid w:val="7ADD51E8"/>
    <w:rsid w:val="7BB51529"/>
    <w:rsid w:val="7C074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32">
    <w:name w:val="Default Paragraph Font"/>
    <w:semiHidden/>
    <w:qFormat/>
    <w:uiPriority w:val="0"/>
  </w:style>
  <w:style w:type="table" w:default="1" w:styleId="3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5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6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7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8">
    <w:name w:val="Document Map"/>
    <w:basedOn w:val="1"/>
    <w:semiHidden/>
    <w:qFormat/>
    <w:uiPriority w:val="0"/>
    <w:pPr>
      <w:shd w:val="clear" w:color="auto" w:fill="000080"/>
    </w:pPr>
  </w:style>
  <w:style w:type="paragraph" w:styleId="9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0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1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2">
    <w:name w:val="toc 3"/>
    <w:basedOn w:val="1"/>
    <w:next w:val="1"/>
    <w:semiHidden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3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4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5">
    <w:name w:val="endnote text"/>
    <w:basedOn w:val="1"/>
    <w:semiHidden/>
    <w:qFormat/>
    <w:uiPriority w:val="0"/>
    <w:pPr>
      <w:snapToGrid w:val="0"/>
      <w:jc w:val="left"/>
    </w:pPr>
  </w:style>
  <w:style w:type="paragraph" w:styleId="16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7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right" w:leader="dot" w:pos="9241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19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20">
    <w:name w:val="index heading"/>
    <w:basedOn w:val="1"/>
    <w:next w:val="21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1">
    <w:name w:val="index 1"/>
    <w:basedOn w:val="1"/>
    <w:next w:val="22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2">
    <w:name w:val="段"/>
    <w:link w:val="3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3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4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5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6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7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styleId="28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9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1">
    <w:name w:val="Table Grid"/>
    <w:basedOn w:val="30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3">
    <w:name w:val="endnote reference"/>
    <w:basedOn w:val="32"/>
    <w:semiHidden/>
    <w:qFormat/>
    <w:uiPriority w:val="0"/>
    <w:rPr>
      <w:vertAlign w:val="superscript"/>
    </w:rPr>
  </w:style>
  <w:style w:type="character" w:styleId="34">
    <w:name w:val="page number"/>
    <w:basedOn w:val="32"/>
    <w:qFormat/>
    <w:uiPriority w:val="0"/>
    <w:rPr>
      <w:rFonts w:ascii="Times New Roman" w:hAnsi="Times New Roman" w:eastAsia="宋体"/>
      <w:sz w:val="18"/>
    </w:rPr>
  </w:style>
  <w:style w:type="character" w:styleId="35">
    <w:name w:val="FollowedHyperlink"/>
    <w:basedOn w:val="32"/>
    <w:qFormat/>
    <w:uiPriority w:val="0"/>
    <w:rPr>
      <w:color w:val="800080"/>
      <w:u w:val="single"/>
    </w:rPr>
  </w:style>
  <w:style w:type="character" w:styleId="36">
    <w:name w:val="Emphasis"/>
    <w:basedOn w:val="32"/>
    <w:qFormat/>
    <w:uiPriority w:val="0"/>
    <w:rPr>
      <w:i/>
    </w:rPr>
  </w:style>
  <w:style w:type="character" w:styleId="37">
    <w:name w:val="Hyperlink"/>
    <w:basedOn w:val="32"/>
    <w:qFormat/>
    <w:uiPriority w:val="99"/>
    <w:rPr>
      <w:color w:val="0000FF"/>
      <w:spacing w:val="0"/>
      <w:w w:val="100"/>
      <w:szCs w:val="21"/>
      <w:u w:val="single"/>
    </w:rPr>
  </w:style>
  <w:style w:type="character" w:styleId="38">
    <w:name w:val="footnote reference"/>
    <w:basedOn w:val="32"/>
    <w:semiHidden/>
    <w:qFormat/>
    <w:uiPriority w:val="0"/>
    <w:rPr>
      <w:vertAlign w:val="superscript"/>
    </w:rPr>
  </w:style>
  <w:style w:type="character" w:customStyle="1" w:styleId="39">
    <w:name w:val="段 Char"/>
    <w:basedOn w:val="32"/>
    <w:link w:val="22"/>
    <w:qFormat/>
    <w:uiPriority w:val="0"/>
    <w:rPr>
      <w:rFonts w:ascii="宋体"/>
      <w:sz w:val="21"/>
      <w:lang w:val="en-US" w:eastAsia="zh-CN" w:bidi="ar-SA"/>
    </w:rPr>
  </w:style>
  <w:style w:type="paragraph" w:customStyle="1" w:styleId="40">
    <w:name w:val="一级条标题"/>
    <w:next w:val="22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2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3">
    <w:name w:val="章标题"/>
    <w:next w:val="22"/>
    <w:link w:val="136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4">
    <w:name w:val="二级条标题"/>
    <w:basedOn w:val="40"/>
    <w:next w:val="22"/>
    <w:qFormat/>
    <w:uiPriority w:val="0"/>
    <w:pPr>
      <w:numPr>
        <w:ilvl w:val="2"/>
        <w:numId w:val="2"/>
      </w:numPr>
      <w:spacing w:before="50" w:after="50"/>
      <w:outlineLvl w:val="3"/>
    </w:pPr>
  </w:style>
  <w:style w:type="paragraph" w:customStyle="1" w:styleId="45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6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">
    <w:name w:val="目次、标准名称标题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9">
    <w:name w:val="三级条标题"/>
    <w:basedOn w:val="44"/>
    <w:next w:val="22"/>
    <w:qFormat/>
    <w:uiPriority w:val="0"/>
    <w:pPr>
      <w:numPr>
        <w:ilvl w:val="3"/>
        <w:numId w:val="2"/>
      </w:numPr>
      <w:outlineLvl w:val="4"/>
    </w:pPr>
  </w:style>
  <w:style w:type="paragraph" w:customStyle="1" w:styleId="50">
    <w:name w:val="示例"/>
    <w:next w:val="51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1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2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">
    <w:name w:val="四级条标题"/>
    <w:basedOn w:val="49"/>
    <w:next w:val="22"/>
    <w:qFormat/>
    <w:uiPriority w:val="0"/>
    <w:pPr>
      <w:numPr>
        <w:ilvl w:val="4"/>
        <w:numId w:val="2"/>
      </w:numPr>
      <w:outlineLvl w:val="5"/>
    </w:pPr>
  </w:style>
  <w:style w:type="paragraph" w:customStyle="1" w:styleId="54">
    <w:name w:val="五级条标题"/>
    <w:basedOn w:val="53"/>
    <w:next w:val="22"/>
    <w:qFormat/>
    <w:uiPriority w:val="0"/>
    <w:pPr>
      <w:numPr>
        <w:ilvl w:val="5"/>
        <w:numId w:val="2"/>
      </w:numPr>
      <w:outlineLvl w:val="6"/>
    </w:pPr>
  </w:style>
  <w:style w:type="paragraph" w:customStyle="1" w:styleId="55">
    <w:name w:val="注："/>
    <w:next w:val="22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6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7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9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0">
    <w:name w:val="示例×："/>
    <w:basedOn w:val="43"/>
    <w:qFormat/>
    <w:uiPriority w:val="0"/>
    <w:pPr>
      <w:numPr>
        <w:ilvl w:val="0"/>
        <w:numId w:val="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61">
    <w:name w:val="二级无"/>
    <w:basedOn w:val="44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62">
    <w:name w:val="注：（正文）"/>
    <w:basedOn w:val="55"/>
    <w:next w:val="22"/>
    <w:qFormat/>
    <w:uiPriority w:val="0"/>
  </w:style>
  <w:style w:type="paragraph" w:customStyle="1" w:styleId="63">
    <w:name w:val="注×：（正文）"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4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5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6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7">
    <w:name w:val="标准书眉_偶数页"/>
    <w:basedOn w:val="42"/>
    <w:next w:val="1"/>
    <w:qFormat/>
    <w:uiPriority w:val="0"/>
    <w:pPr>
      <w:jc w:val="left"/>
    </w:pPr>
    <w:rPr>
      <w:rFonts w:ascii="黑体" w:eastAsia="黑体"/>
    </w:rPr>
  </w:style>
  <w:style w:type="paragraph" w:customStyle="1" w:styleId="68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9">
    <w:name w:val="参考文献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0">
    <w:name w:val="参考文献、索引标题"/>
    <w:basedOn w:val="1"/>
    <w:next w:val="2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1">
    <w:name w:val="发布"/>
    <w:basedOn w:val="32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2">
    <w:name w:val="发布部门"/>
    <w:next w:val="22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3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4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5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7">
    <w:name w:val="封面标准英文名称"/>
    <w:basedOn w:val="76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8">
    <w:name w:val="封面一致性程度标识"/>
    <w:basedOn w:val="77"/>
    <w:qFormat/>
    <w:uiPriority w:val="0"/>
    <w:pPr>
      <w:spacing w:before="440"/>
    </w:pPr>
    <w:rPr>
      <w:rFonts w:ascii="宋体" w:eastAsia="宋体"/>
    </w:rPr>
  </w:style>
  <w:style w:type="paragraph" w:customStyle="1" w:styleId="79">
    <w:name w:val="封面标准文稿类别"/>
    <w:basedOn w:val="78"/>
    <w:qFormat/>
    <w:uiPriority w:val="0"/>
    <w:pPr>
      <w:spacing w:after="160" w:line="240" w:lineRule="auto"/>
    </w:pPr>
    <w:rPr>
      <w:sz w:val="24"/>
    </w:rPr>
  </w:style>
  <w:style w:type="paragraph" w:customStyle="1" w:styleId="80">
    <w:name w:val="封面标准文稿编辑信息"/>
    <w:basedOn w:val="79"/>
    <w:qFormat/>
    <w:uiPriority w:val="0"/>
    <w:pPr>
      <w:spacing w:before="180" w:line="180" w:lineRule="exact"/>
    </w:pPr>
    <w:rPr>
      <w:sz w:val="21"/>
    </w:rPr>
  </w:style>
  <w:style w:type="paragraph" w:customStyle="1" w:styleId="8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2">
    <w:name w:val="附录标识"/>
    <w:basedOn w:val="1"/>
    <w:next w:val="22"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3">
    <w:name w:val="附录标题"/>
    <w:basedOn w:val="22"/>
    <w:next w:val="22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4">
    <w:name w:val="附录表标号"/>
    <w:basedOn w:val="1"/>
    <w:next w:val="22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5">
    <w:name w:val="附录表标题"/>
    <w:basedOn w:val="1"/>
    <w:next w:val="22"/>
    <w:qFormat/>
    <w:uiPriority w:val="0"/>
    <w:pPr>
      <w:numPr>
        <w:ilvl w:val="1"/>
        <w:numId w:val="1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6">
    <w:name w:val="附录二级条标题"/>
    <w:basedOn w:val="1"/>
    <w:next w:val="22"/>
    <w:qFormat/>
    <w:uiPriority w:val="0"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7">
    <w:name w:val="附录二级无"/>
    <w:basedOn w:val="86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8">
    <w:name w:val="附录公式"/>
    <w:basedOn w:val="22"/>
    <w:next w:val="22"/>
    <w:link w:val="89"/>
    <w:qFormat/>
    <w:uiPriority w:val="0"/>
  </w:style>
  <w:style w:type="character" w:customStyle="1" w:styleId="89">
    <w:name w:val="附录公式 Char"/>
    <w:basedOn w:val="39"/>
    <w:link w:val="88"/>
    <w:qFormat/>
    <w:uiPriority w:val="0"/>
  </w:style>
  <w:style w:type="paragraph" w:customStyle="1" w:styleId="90">
    <w:name w:val="附录公式编号制表符"/>
    <w:basedOn w:val="1"/>
    <w:next w:val="22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1">
    <w:name w:val="附录三级条标题"/>
    <w:basedOn w:val="86"/>
    <w:next w:val="22"/>
    <w:qFormat/>
    <w:uiPriority w:val="0"/>
    <w:pPr>
      <w:numPr>
        <w:ilvl w:val="4"/>
        <w:numId w:val="10"/>
      </w:numPr>
      <w:outlineLvl w:val="4"/>
    </w:pPr>
  </w:style>
  <w:style w:type="paragraph" w:customStyle="1" w:styleId="92">
    <w:name w:val="附录三级无"/>
    <w:basedOn w:val="91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3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4">
    <w:name w:val="附录四级条标题"/>
    <w:basedOn w:val="91"/>
    <w:next w:val="22"/>
    <w:qFormat/>
    <w:uiPriority w:val="0"/>
    <w:pPr>
      <w:numPr>
        <w:ilvl w:val="5"/>
        <w:numId w:val="10"/>
      </w:numPr>
      <w:outlineLvl w:val="5"/>
    </w:pPr>
  </w:style>
  <w:style w:type="paragraph" w:customStyle="1" w:styleId="95">
    <w:name w:val="附录四级无"/>
    <w:basedOn w:val="94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6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7">
    <w:name w:val="附录图标题"/>
    <w:basedOn w:val="1"/>
    <w:next w:val="22"/>
    <w:qFormat/>
    <w:uiPriority w:val="0"/>
    <w:pPr>
      <w:numPr>
        <w:ilvl w:val="1"/>
        <w:numId w:val="13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8">
    <w:name w:val="附录五级条标题"/>
    <w:basedOn w:val="94"/>
    <w:next w:val="22"/>
    <w:qFormat/>
    <w:uiPriority w:val="0"/>
    <w:pPr>
      <w:numPr>
        <w:ilvl w:val="6"/>
        <w:numId w:val="10"/>
      </w:numPr>
      <w:outlineLvl w:val="6"/>
    </w:pPr>
  </w:style>
  <w:style w:type="paragraph" w:customStyle="1" w:styleId="99">
    <w:name w:val="附录五级无"/>
    <w:basedOn w:val="98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0">
    <w:name w:val="附录章标题"/>
    <w:next w:val="22"/>
    <w:qFormat/>
    <w:uiPriority w:val="0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1">
    <w:name w:val="附录一级条标题"/>
    <w:basedOn w:val="100"/>
    <w:next w:val="22"/>
    <w:qFormat/>
    <w:uiPriority w:val="0"/>
    <w:pPr>
      <w:numPr>
        <w:ilvl w:val="2"/>
        <w:numId w:val="10"/>
      </w:numPr>
      <w:autoSpaceDN w:val="0"/>
      <w:spacing w:before="50" w:beforeLines="50" w:after="50" w:afterLines="50"/>
      <w:outlineLvl w:val="2"/>
    </w:pPr>
  </w:style>
  <w:style w:type="paragraph" w:customStyle="1" w:styleId="102">
    <w:name w:val="附录一级无"/>
    <w:basedOn w:val="101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3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5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其他标准标志"/>
    <w:basedOn w:val="64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8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9">
    <w:name w:val="其他发布部门"/>
    <w:basedOn w:val="72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0">
    <w:name w:val="前言、引言标题"/>
    <w:next w:val="22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1">
    <w:name w:val="三级无"/>
    <w:basedOn w:val="4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2">
    <w:name w:val="实施日期"/>
    <w:basedOn w:val="73"/>
    <w:qFormat/>
    <w:uiPriority w:val="0"/>
    <w:pPr>
      <w:framePr w:vAnchor="page" w:hAnchor="page"/>
      <w:jc w:val="right"/>
    </w:pPr>
  </w:style>
  <w:style w:type="paragraph" w:customStyle="1" w:styleId="113">
    <w:name w:val="示例后文字"/>
    <w:basedOn w:val="22"/>
    <w:next w:val="22"/>
    <w:qFormat/>
    <w:uiPriority w:val="0"/>
    <w:pPr>
      <w:ind w:firstLine="360"/>
    </w:pPr>
    <w:rPr>
      <w:sz w:val="18"/>
    </w:rPr>
  </w:style>
  <w:style w:type="paragraph" w:customStyle="1" w:styleId="114">
    <w:name w:val="首示例"/>
    <w:next w:val="22"/>
    <w:link w:val="115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5">
    <w:name w:val="首示例 Char"/>
    <w:basedOn w:val="32"/>
    <w:link w:val="114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16">
    <w:name w:val="四级无"/>
    <w:basedOn w:val="5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7">
    <w:name w:val="条文脚注"/>
    <w:basedOn w:val="23"/>
    <w:qFormat/>
    <w:uiPriority w:val="0"/>
    <w:pPr>
      <w:numPr>
        <w:ilvl w:val="0"/>
        <w:numId w:val="0"/>
      </w:numPr>
      <w:tabs>
        <w:tab w:val="clear" w:pos="0"/>
      </w:tabs>
      <w:jc w:val="both"/>
    </w:pPr>
    <w:rPr>
      <w:rFonts w:ascii="宋体"/>
    </w:rPr>
  </w:style>
  <w:style w:type="paragraph" w:customStyle="1" w:styleId="118">
    <w:name w:val="图标脚注说明"/>
    <w:basedOn w:val="22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9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20">
    <w:name w:val="图的脚注"/>
    <w:next w:val="22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1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2">
    <w:name w:val="五级无"/>
    <w:basedOn w:val="54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3">
    <w:name w:val="一级无"/>
    <w:basedOn w:val="40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4">
    <w:name w:val="正文表标题"/>
    <w:next w:val="22"/>
    <w:qFormat/>
    <w:uiPriority w:val="0"/>
    <w:pPr>
      <w:numPr>
        <w:ilvl w:val="0"/>
        <w:numId w:val="16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正文公式编号制表符"/>
    <w:basedOn w:val="22"/>
    <w:next w:val="22"/>
    <w:qFormat/>
    <w:uiPriority w:val="0"/>
    <w:pPr>
      <w:ind w:firstLine="0" w:firstLineChars="0"/>
    </w:pPr>
  </w:style>
  <w:style w:type="paragraph" w:customStyle="1" w:styleId="126">
    <w:name w:val="正文图标题"/>
    <w:next w:val="22"/>
    <w:qFormat/>
    <w:uiPriority w:val="0"/>
    <w:pPr>
      <w:numPr>
        <w:ilvl w:val="0"/>
        <w:numId w:val="17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7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8">
    <w:name w:val="其他发布日期"/>
    <w:basedOn w:val="73"/>
    <w:qFormat/>
    <w:uiPriority w:val="0"/>
    <w:pPr>
      <w:framePr w:vAnchor="page" w:hAnchor="page" w:x="1419"/>
    </w:pPr>
  </w:style>
  <w:style w:type="paragraph" w:customStyle="1" w:styleId="129">
    <w:name w:val="其他实施日期"/>
    <w:basedOn w:val="112"/>
    <w:qFormat/>
    <w:uiPriority w:val="0"/>
  </w:style>
  <w:style w:type="paragraph" w:customStyle="1" w:styleId="130">
    <w:name w:val="封面标准名称2"/>
    <w:basedOn w:val="76"/>
    <w:qFormat/>
    <w:uiPriority w:val="0"/>
    <w:pPr>
      <w:framePr w:y="4469"/>
      <w:spacing w:before="630" w:beforeLines="630"/>
    </w:pPr>
  </w:style>
  <w:style w:type="paragraph" w:customStyle="1" w:styleId="131">
    <w:name w:val="封面标准英文名称2"/>
    <w:basedOn w:val="77"/>
    <w:qFormat/>
    <w:uiPriority w:val="0"/>
    <w:pPr>
      <w:framePr w:y="4469"/>
    </w:pPr>
  </w:style>
  <w:style w:type="paragraph" w:customStyle="1" w:styleId="132">
    <w:name w:val="封面一致性程度标识2"/>
    <w:basedOn w:val="78"/>
    <w:qFormat/>
    <w:uiPriority w:val="0"/>
    <w:pPr>
      <w:framePr w:y="4469"/>
    </w:pPr>
  </w:style>
  <w:style w:type="paragraph" w:customStyle="1" w:styleId="133">
    <w:name w:val="封面标准文稿类别2"/>
    <w:basedOn w:val="79"/>
    <w:qFormat/>
    <w:uiPriority w:val="0"/>
    <w:pPr>
      <w:framePr w:y="4469"/>
    </w:pPr>
  </w:style>
  <w:style w:type="paragraph" w:customStyle="1" w:styleId="134">
    <w:name w:val="封面标准文稿编辑信息2"/>
    <w:basedOn w:val="80"/>
    <w:qFormat/>
    <w:uiPriority w:val="0"/>
    <w:pPr>
      <w:framePr w:y="4469"/>
    </w:pPr>
  </w:style>
  <w:style w:type="character" w:customStyle="1" w:styleId="135">
    <w:name w:val="标题 1 Char"/>
    <w:link w:val="2"/>
    <w:qFormat/>
    <w:uiPriority w:val="0"/>
    <w:rPr>
      <w:b/>
      <w:kern w:val="44"/>
      <w:sz w:val="44"/>
    </w:rPr>
  </w:style>
  <w:style w:type="character" w:customStyle="1" w:styleId="136">
    <w:name w:val="章标题 Char"/>
    <w:link w:val="43"/>
    <w:qFormat/>
    <w:uiPriority w:val="0"/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2759</Words>
  <Characters>3332</Characters>
  <Lines>13</Lines>
  <Paragraphs>3</Paragraphs>
  <TotalTime>3</TotalTime>
  <ScaleCrop>false</ScaleCrop>
  <LinksUpToDate>false</LinksUpToDate>
  <CharactersWithSpaces>3547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2021-08-16T08:56:00Z</dcterms:created>
  <dc:creator>CNIS</dc:creator>
  <cp:lastModifiedBy>yyf</cp:lastModifiedBy>
  <dcterms:modified xsi:type="dcterms:W3CDTF">2022-12-07T07:40:41Z</dcterms:modified>
  <dc:title>标准名称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E6788109AEF34733BB956A3C6C0AFF50</vt:lpwstr>
  </property>
</Properties>
</file>