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746"/>
        </w:tabs>
        <w:spacing w:before="312" w:after="312"/>
        <w:ind w:left="0" w:firstLine="2600" w:firstLineChars="500"/>
        <w:outlineLvl w:val="9"/>
        <w:rPr>
          <w:color w:val="auto"/>
          <w:sz w:val="52"/>
          <w:szCs w:val="52"/>
        </w:rPr>
      </w:pPr>
      <w:bookmarkStart w:id="0" w:name="_Toc150782327"/>
      <w:bookmarkStart w:id="1" w:name="_Toc154030171"/>
      <w:bookmarkStart w:id="2" w:name="_Toc268575648"/>
      <w:bookmarkStart w:id="3" w:name="_Toc150782307"/>
    </w:p>
    <w:bookmarkEnd w:id="0"/>
    <w:bookmarkEnd w:id="1"/>
    <w:bookmarkEnd w:id="2"/>
    <w:bookmarkEnd w:id="3"/>
    <w:p>
      <w:pPr>
        <w:pStyle w:val="23"/>
        <w:ind w:firstLine="0" w:firstLineChars="0"/>
        <w:rPr>
          <w:rFonts w:ascii="黑体" w:hAnsi="黑体" w:eastAsia="黑体"/>
          <w:color w:val="auto"/>
          <w:sz w:val="52"/>
          <w:szCs w:val="52"/>
        </w:rPr>
      </w:pPr>
    </w:p>
    <w:p>
      <w:pPr>
        <w:pStyle w:val="23"/>
        <w:ind w:firstLine="0" w:firstLineChars="0"/>
        <w:rPr>
          <w:rFonts w:ascii="黑体" w:hAnsi="黑体" w:eastAsia="黑体"/>
          <w:color w:val="auto"/>
          <w:sz w:val="52"/>
          <w:szCs w:val="52"/>
        </w:rPr>
      </w:pPr>
    </w:p>
    <w:p>
      <w:pPr>
        <w:pStyle w:val="23"/>
        <w:ind w:left="424" w:leftChars="202" w:right="388" w:rightChars="185" w:firstLine="0" w:firstLineChars="0"/>
        <w:jc w:val="center"/>
        <w:rPr>
          <w:rFonts w:hAnsi="宋体"/>
          <w:b/>
          <w:color w:val="auto"/>
          <w:sz w:val="44"/>
          <w:szCs w:val="44"/>
        </w:rPr>
      </w:pPr>
      <w:r>
        <w:rPr>
          <w:rFonts w:hint="eastAsia" w:hAnsi="宋体"/>
          <w:b/>
          <w:color w:val="auto"/>
          <w:sz w:val="44"/>
          <w:szCs w:val="44"/>
        </w:rPr>
        <w:t>团体标准</w:t>
      </w:r>
    </w:p>
    <w:p>
      <w:pPr>
        <w:pStyle w:val="23"/>
        <w:ind w:left="424" w:leftChars="202" w:right="388" w:rightChars="185" w:firstLine="0" w:firstLineChars="0"/>
        <w:jc w:val="center"/>
        <w:rPr>
          <w:rFonts w:hAnsi="宋体"/>
          <w:b/>
          <w:color w:val="auto"/>
          <w:sz w:val="44"/>
          <w:szCs w:val="44"/>
        </w:rPr>
      </w:pPr>
      <w:r>
        <w:rPr>
          <w:rFonts w:hint="eastAsia" w:hAnsi="宋体"/>
          <w:b/>
          <w:color w:val="auto"/>
          <w:sz w:val="44"/>
          <w:szCs w:val="44"/>
        </w:rPr>
        <w:t>《</w:t>
      </w:r>
      <w:r>
        <w:rPr>
          <w:rFonts w:hint="eastAsia" w:hAnsi="宋体"/>
          <w:b/>
          <w:color w:val="auto"/>
          <w:sz w:val="44"/>
          <w:szCs w:val="44"/>
          <w:lang w:val="en-US" w:eastAsia="zh-CN"/>
        </w:rPr>
        <w:t>复合肥料</w:t>
      </w:r>
      <w:r>
        <w:rPr>
          <w:rFonts w:hint="eastAsia" w:hAnsi="宋体"/>
          <w:b/>
          <w:color w:val="auto"/>
          <w:sz w:val="44"/>
          <w:szCs w:val="44"/>
        </w:rPr>
        <w:t>中褐藻寡糖含量的检测方法》编制说明</w:t>
      </w:r>
    </w:p>
    <w:p>
      <w:pPr>
        <w:pStyle w:val="23"/>
        <w:ind w:firstLine="422"/>
        <w:rPr>
          <w:rFonts w:hAnsi="宋体"/>
          <w:b/>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ind w:firstLine="0" w:firstLineChars="0"/>
        <w:rPr>
          <w:color w:val="auto"/>
        </w:rPr>
      </w:pPr>
    </w:p>
    <w:p>
      <w:pPr>
        <w:pStyle w:val="23"/>
        <w:ind w:firstLine="0" w:firstLineChars="0"/>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ind w:firstLine="0" w:firstLineChars="0"/>
        <w:jc w:val="both"/>
        <w:rPr>
          <w:rFonts w:hAnsi="宋体"/>
          <w:b/>
          <w:color w:val="auto"/>
          <w:sz w:val="44"/>
          <w:szCs w:val="44"/>
        </w:rPr>
      </w:pPr>
    </w:p>
    <w:p>
      <w:pPr>
        <w:pStyle w:val="23"/>
        <w:ind w:firstLine="0" w:firstLineChars="0"/>
        <w:jc w:val="center"/>
        <w:rPr>
          <w:rFonts w:hint="eastAsia" w:hAnsi="宋体"/>
          <w:b/>
          <w:color w:val="auto"/>
          <w:sz w:val="44"/>
          <w:szCs w:val="44"/>
        </w:rPr>
      </w:pPr>
      <w:r>
        <w:rPr>
          <w:rFonts w:hint="eastAsia" w:hAnsi="宋体"/>
          <w:b/>
          <w:color w:val="auto"/>
          <w:sz w:val="44"/>
          <w:szCs w:val="44"/>
        </w:rPr>
        <w:t>南宁汉和生物科技股份有限公司</w:t>
      </w:r>
    </w:p>
    <w:p>
      <w:pPr>
        <w:pStyle w:val="23"/>
        <w:ind w:firstLine="0" w:firstLineChars="0"/>
        <w:jc w:val="center"/>
        <w:rPr>
          <w:rFonts w:hint="eastAsia" w:hAnsi="宋体"/>
          <w:b/>
          <w:color w:val="auto"/>
          <w:sz w:val="44"/>
          <w:szCs w:val="44"/>
        </w:rPr>
      </w:pPr>
      <w:r>
        <w:rPr>
          <w:rFonts w:hint="eastAsia" w:hAnsi="宋体"/>
          <w:b/>
          <w:color w:val="auto"/>
          <w:sz w:val="44"/>
          <w:szCs w:val="44"/>
        </w:rPr>
        <w:t>新胜利工业集团有限公司</w:t>
      </w:r>
    </w:p>
    <w:p>
      <w:pPr>
        <w:pStyle w:val="23"/>
        <w:ind w:firstLine="0" w:firstLineChars="0"/>
        <w:jc w:val="center"/>
        <w:rPr>
          <w:rFonts w:hAnsi="宋体"/>
          <w:b/>
          <w:color w:val="auto"/>
          <w:sz w:val="32"/>
          <w:szCs w:val="32"/>
        </w:rPr>
      </w:pPr>
      <w:r>
        <w:rPr>
          <w:rFonts w:hint="eastAsia" w:hAnsi="宋体"/>
          <w:b/>
          <w:color w:val="auto"/>
          <w:sz w:val="32"/>
          <w:szCs w:val="32"/>
        </w:rPr>
        <w:t>2022年</w:t>
      </w:r>
      <w:r>
        <w:rPr>
          <w:rFonts w:hint="eastAsia" w:hAnsi="宋体"/>
          <w:b/>
          <w:color w:val="auto"/>
          <w:sz w:val="32"/>
          <w:szCs w:val="32"/>
          <w:lang w:val="en-US" w:eastAsia="zh-CN"/>
        </w:rPr>
        <w:t>10</w:t>
      </w:r>
      <w:r>
        <w:rPr>
          <w:rFonts w:hint="eastAsia" w:hAnsi="宋体"/>
          <w:b/>
          <w:color w:val="auto"/>
          <w:sz w:val="32"/>
          <w:szCs w:val="32"/>
        </w:rPr>
        <w:t>月</w:t>
      </w:r>
    </w:p>
    <w:p>
      <w:pPr>
        <w:rPr>
          <w:color w:val="auto"/>
        </w:rPr>
      </w:pPr>
    </w:p>
    <w:p>
      <w:pPr>
        <w:spacing w:line="520" w:lineRule="exact"/>
        <w:jc w:val="left"/>
        <w:outlineLvl w:val="0"/>
        <w:rPr>
          <w:rFonts w:ascii="仿宋" w:hAnsi="仿宋" w:eastAsia="仿宋"/>
          <w:b/>
          <w:color w:val="auto"/>
          <w:sz w:val="28"/>
          <w:szCs w:val="28"/>
        </w:rPr>
      </w:pPr>
    </w:p>
    <w:p>
      <w:pPr>
        <w:pStyle w:val="23"/>
        <w:ind w:firstLine="562"/>
        <w:rPr>
          <w:rFonts w:ascii="仿宋" w:hAnsi="仿宋" w:eastAsia="仿宋"/>
          <w:b/>
          <w:color w:val="auto"/>
          <w:sz w:val="28"/>
          <w:szCs w:val="28"/>
        </w:rPr>
      </w:pPr>
      <w:r>
        <w:rPr>
          <w:rFonts w:ascii="仿宋" w:hAnsi="仿宋" w:eastAsia="仿宋"/>
          <w:b/>
          <w:color w:val="auto"/>
          <w:sz w:val="28"/>
          <w:szCs w:val="28"/>
        </w:rPr>
        <w:br w:type="page"/>
      </w:r>
    </w:p>
    <w:p>
      <w:pPr>
        <w:ind w:firstLine="636" w:firstLineChars="198"/>
        <w:jc w:val="left"/>
        <w:outlineLvl w:val="0"/>
        <w:rPr>
          <w:rFonts w:ascii="仿宋" w:hAnsi="仿宋" w:eastAsia="仿宋"/>
          <w:b/>
          <w:color w:val="auto"/>
          <w:sz w:val="32"/>
          <w:szCs w:val="32"/>
        </w:rPr>
      </w:pPr>
      <w:bookmarkStart w:id="4" w:name="_Toc102051962"/>
      <w:r>
        <w:rPr>
          <w:rFonts w:hint="eastAsia" w:ascii="仿宋" w:hAnsi="仿宋" w:eastAsia="仿宋"/>
          <w:b/>
          <w:color w:val="auto"/>
          <w:sz w:val="32"/>
          <w:szCs w:val="32"/>
        </w:rPr>
        <w:t>一、编制背景及任务来源</w:t>
      </w:r>
      <w:bookmarkEnd w:id="4"/>
    </w:p>
    <w:p>
      <w:pPr>
        <w:numPr>
          <w:ilvl w:val="0"/>
          <w:numId w:val="1"/>
        </w:numPr>
        <w:spacing w:line="560" w:lineRule="exact"/>
        <w:ind w:left="0" w:firstLine="709"/>
        <w:jc w:val="left"/>
        <w:outlineLvl w:val="1"/>
        <w:rPr>
          <w:rFonts w:ascii="仿宋" w:hAnsi="仿宋" w:eastAsia="仿宋"/>
          <w:b/>
          <w:color w:val="auto"/>
          <w:sz w:val="32"/>
          <w:szCs w:val="32"/>
        </w:rPr>
      </w:pPr>
      <w:bookmarkStart w:id="5" w:name="_Toc102051963"/>
      <w:r>
        <w:rPr>
          <w:rFonts w:hint="eastAsia" w:ascii="仿宋" w:hAnsi="仿宋" w:eastAsia="仿宋"/>
          <w:b/>
          <w:color w:val="auto"/>
          <w:sz w:val="32"/>
          <w:szCs w:val="32"/>
        </w:rPr>
        <w:t>标准编制背景</w:t>
      </w:r>
      <w:bookmarkEnd w:id="5"/>
    </w:p>
    <w:p>
      <w:pPr>
        <w:autoSpaceDE w:val="0"/>
        <w:autoSpaceDN w:val="0"/>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我国以18亿亩耕地，养活 14亿人口，粮食供给将是一个长期存在的问题。因此，通过科学技术投入以增加粮食产量和品质，提高农民收入是我们的一项长期任务。长期以来，肥料的不合理使用导致生态环境、土壤理化性质以及微生物群落结构受到了不同程度的破坏，同时造成了资源浪费、环境污染和生产成本的增加，也导致了农产品的品质的严重下降。在化肥工业中，氮肥占主导地位，其次是磷钾肥，而氮肥的过量使用带来了一系列的环境问题，包括由于径流和淋溶导致的地表水及地下水的污染，挥发导致的空气污染，作物中硝酸盐积累量增加[</w:t>
      </w: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3</w:t>
      </w:r>
      <w:r>
        <w:rPr>
          <w:rFonts w:hint="eastAsia" w:ascii="仿宋" w:hAnsi="仿宋" w:eastAsia="仿宋"/>
          <w:color w:val="auto"/>
          <w:kern w:val="0"/>
          <w:sz w:val="28"/>
          <w:szCs w:val="28"/>
        </w:rPr>
        <w:t>]，严重威胁人类健康。据报道[</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我国耕地面积仅占世界的7%，却使用了世界的35%的氮肥，过量使用氮肥使得绝大部分农田土壤发生酸化、板结现象。氮素在影响作物产量方面占有重要地位，适当提高氮肥的施用量可提高作物产量在许多作物种植中都得到了证明。</w:t>
      </w:r>
    </w:p>
    <w:p>
      <w:pPr>
        <w:autoSpaceDE w:val="0"/>
        <w:autoSpaceDN w:val="0"/>
        <w:ind w:firstLine="560" w:firstLineChars="200"/>
        <w:rPr>
          <w:rFonts w:hint="eastAsia" w:ascii="仿宋" w:hAnsi="仿宋" w:eastAsia="仿宋"/>
          <w:color w:val="auto"/>
          <w:kern w:val="0"/>
          <w:sz w:val="28"/>
          <w:szCs w:val="28"/>
        </w:rPr>
      </w:pPr>
      <w:r>
        <w:rPr>
          <w:rFonts w:hint="eastAsia" w:ascii="仿宋" w:hAnsi="仿宋" w:eastAsia="仿宋"/>
          <w:color w:val="auto"/>
          <w:kern w:val="0"/>
          <w:sz w:val="28"/>
          <w:szCs w:val="28"/>
        </w:rPr>
        <w:t>因此，如何提高</w:t>
      </w:r>
      <w:r>
        <w:rPr>
          <w:rFonts w:hint="eastAsia" w:ascii="仿宋" w:hAnsi="仿宋" w:eastAsia="仿宋"/>
          <w:color w:val="auto"/>
          <w:kern w:val="0"/>
          <w:sz w:val="28"/>
          <w:szCs w:val="28"/>
          <w:lang w:val="en-US" w:eastAsia="zh-CN"/>
        </w:rPr>
        <w:t>肥料</w:t>
      </w:r>
      <w:r>
        <w:rPr>
          <w:rFonts w:hint="eastAsia" w:ascii="仿宋" w:hAnsi="仿宋" w:eastAsia="仿宋"/>
          <w:color w:val="auto"/>
          <w:kern w:val="0"/>
          <w:sz w:val="28"/>
          <w:szCs w:val="28"/>
        </w:rPr>
        <w:t>利用率，最大限度地发挥其在农业生产中的增产增收作用成为亟待解决的问题</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在复合肥料中添加具有促进植物生长，促进养分吸收利用的生物刺激素</w:t>
      </w:r>
      <w:r>
        <w:rPr>
          <w:rFonts w:hint="eastAsia" w:ascii="仿宋" w:hAnsi="仿宋" w:eastAsia="仿宋"/>
          <w:color w:val="auto"/>
          <w:kern w:val="0"/>
          <w:sz w:val="28"/>
          <w:szCs w:val="28"/>
        </w:rPr>
        <w:t>无疑是目前较为有效的解决办法</w:t>
      </w:r>
      <w:r>
        <w:rPr>
          <w:rFonts w:hint="eastAsia" w:ascii="仿宋" w:hAnsi="仿宋" w:eastAsia="仿宋"/>
          <w:color w:val="auto"/>
          <w:kern w:val="0"/>
          <w:sz w:val="28"/>
          <w:szCs w:val="28"/>
          <w:lang w:val="en-US" w:eastAsia="zh-CN"/>
        </w:rPr>
        <w:t>之一</w:t>
      </w:r>
      <w:r>
        <w:rPr>
          <w:rFonts w:hint="eastAsia" w:ascii="仿宋" w:hAnsi="仿宋" w:eastAsia="仿宋"/>
          <w:color w:val="auto"/>
          <w:kern w:val="0"/>
          <w:sz w:val="28"/>
          <w:szCs w:val="28"/>
        </w:rPr>
        <w:t>。</w:t>
      </w:r>
    </w:p>
    <w:p>
      <w:pPr>
        <w:autoSpaceDE w:val="0"/>
        <w:autoSpaceDN w:val="0"/>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褐藻寡糖是以海藻为原料，经过酸解、碱解或酶解使得海藻多糖水解得到聚合度2-</w:t>
      </w:r>
      <w:r>
        <w:rPr>
          <w:rFonts w:hint="eastAsia" w:ascii="仿宋" w:hAnsi="仿宋" w:eastAsia="仿宋"/>
          <w:color w:val="auto"/>
          <w:kern w:val="0"/>
          <w:sz w:val="28"/>
          <w:szCs w:val="28"/>
          <w:lang w:val="en-US" w:eastAsia="zh-CN"/>
        </w:rPr>
        <w:t>2</w:t>
      </w:r>
      <w:r>
        <w:rPr>
          <w:rFonts w:hint="eastAsia" w:ascii="仿宋" w:hAnsi="仿宋" w:eastAsia="仿宋"/>
          <w:color w:val="auto"/>
          <w:kern w:val="0"/>
          <w:sz w:val="28"/>
          <w:szCs w:val="28"/>
        </w:rPr>
        <w:t>0的寡糖片段。褐藻寡糖通过促进激素含量、蛋白酶、淀粉酶和脂肪酶的活力，能够明显增强细胞内的激素含量，从而对细胞的生长进行调控。可打破种子休眠促进萌发；促进根和茎叶生长；保花保果；促进果实成熟。褐藻寡糖能增强植物抗逆性：褐藻寡糖处理能诱导植物增强多种抗逆酶类，使体内的抗逆指标明显增强，对引起细胞损伤的物质进行清除，调控植株生长状况从而提高植物的抗逆能力。褐藻寡糖的羧基含有负电荷基团，负电荷结合了氮肥中的氨、铵态氮，在特定的条件下形成络合物，缓慢释放氮养分，抑制其向硝态氮及亚硝态氮的转化，最终达到减少氮素损失及长期供氮的目的，从而提高了氮肥的利用率。</w:t>
      </w:r>
    </w:p>
    <w:p>
      <w:pPr>
        <w:autoSpaceDE w:val="0"/>
        <w:autoSpaceDN w:val="0"/>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近年来，随着人们对食品安全意识日益增强，褐藻寡糖作为机理清</w:t>
      </w:r>
      <w:r>
        <w:rPr>
          <w:rFonts w:hint="eastAsia" w:ascii="仿宋" w:hAnsi="仿宋" w:eastAsia="仿宋"/>
          <w:color w:val="auto"/>
          <w:kern w:val="0"/>
          <w:sz w:val="28"/>
          <w:szCs w:val="28"/>
          <w:lang w:val="en-US" w:eastAsia="zh-CN"/>
        </w:rPr>
        <w:t>析</w:t>
      </w:r>
      <w:r>
        <w:rPr>
          <w:rFonts w:hint="eastAsia" w:ascii="仿宋" w:hAnsi="仿宋" w:eastAsia="仿宋"/>
          <w:color w:val="auto"/>
          <w:kern w:val="0"/>
          <w:sz w:val="28"/>
          <w:szCs w:val="28"/>
        </w:rPr>
        <w:t>，效果显著的生物刺激素[5</w:t>
      </w:r>
      <w:r>
        <w:rPr>
          <w:rFonts w:hint="eastAsia" w:ascii="仿宋" w:hAnsi="仿宋" w:eastAsia="仿宋"/>
          <w:color w:val="auto"/>
          <w:kern w:val="0"/>
          <w:sz w:val="28"/>
          <w:szCs w:val="28"/>
          <w:lang w:val="en-US" w:eastAsia="zh-CN"/>
        </w:rPr>
        <w:t>-6</w:t>
      </w:r>
      <w:r>
        <w:rPr>
          <w:rFonts w:hint="eastAsia" w:ascii="仿宋" w:hAnsi="仿宋" w:eastAsia="仿宋"/>
          <w:color w:val="auto"/>
          <w:kern w:val="0"/>
          <w:sz w:val="28"/>
          <w:szCs w:val="28"/>
        </w:rPr>
        <w:t>]，且具有提高</w:t>
      </w:r>
      <w:r>
        <w:rPr>
          <w:rFonts w:hint="eastAsia" w:ascii="仿宋" w:hAnsi="仿宋" w:eastAsia="仿宋"/>
          <w:color w:val="auto"/>
          <w:kern w:val="0"/>
          <w:sz w:val="28"/>
          <w:szCs w:val="28"/>
          <w:lang w:val="en-US" w:eastAsia="zh-CN"/>
        </w:rPr>
        <w:t>肥料</w:t>
      </w:r>
      <w:r>
        <w:rPr>
          <w:rFonts w:hint="eastAsia" w:ascii="仿宋" w:hAnsi="仿宋" w:eastAsia="仿宋"/>
          <w:color w:val="auto"/>
          <w:kern w:val="0"/>
          <w:sz w:val="28"/>
          <w:szCs w:val="28"/>
        </w:rPr>
        <w:t>利用率的作用。将褐藻寡糖与</w:t>
      </w:r>
      <w:r>
        <w:rPr>
          <w:rFonts w:hint="eastAsia" w:ascii="仿宋" w:hAnsi="仿宋" w:eastAsia="仿宋"/>
          <w:color w:val="auto"/>
          <w:kern w:val="0"/>
          <w:sz w:val="28"/>
          <w:szCs w:val="28"/>
          <w:lang w:val="en-US" w:eastAsia="zh-CN"/>
        </w:rPr>
        <w:t>复合肥料</w:t>
      </w:r>
      <w:r>
        <w:rPr>
          <w:rFonts w:hint="eastAsia" w:ascii="仿宋" w:hAnsi="仿宋" w:eastAsia="仿宋"/>
          <w:color w:val="auto"/>
          <w:kern w:val="0"/>
          <w:sz w:val="28"/>
          <w:szCs w:val="28"/>
        </w:rPr>
        <w:t>结合，生产含褐藻寡糖的</w:t>
      </w:r>
      <w:r>
        <w:rPr>
          <w:rFonts w:hint="eastAsia" w:ascii="仿宋" w:hAnsi="仿宋" w:eastAsia="仿宋"/>
          <w:color w:val="auto"/>
          <w:kern w:val="0"/>
          <w:sz w:val="28"/>
          <w:szCs w:val="28"/>
          <w:lang w:eastAsia="zh-CN"/>
        </w:rPr>
        <w:t>复合肥料</w:t>
      </w:r>
      <w:r>
        <w:rPr>
          <w:rFonts w:hint="eastAsia" w:ascii="仿宋" w:hAnsi="仿宋" w:eastAsia="仿宋"/>
          <w:color w:val="auto"/>
          <w:kern w:val="0"/>
          <w:sz w:val="28"/>
          <w:szCs w:val="28"/>
        </w:rPr>
        <w:t>符合科学发展和国家减施增效政策。当前市场上含褐藻寡糖产品众多，效果良莠不济，缺乏简便且行之有效的鉴别方法。</w:t>
      </w:r>
    </w:p>
    <w:p>
      <w:pPr>
        <w:autoSpaceDE w:val="0"/>
        <w:autoSpaceDN w:val="0"/>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因此，本标准的制定，意义在于通过测定</w:t>
      </w:r>
      <w:r>
        <w:rPr>
          <w:rFonts w:hint="eastAsia" w:ascii="仿宋" w:hAnsi="仿宋" w:eastAsia="仿宋"/>
          <w:color w:val="auto"/>
          <w:kern w:val="0"/>
          <w:sz w:val="28"/>
          <w:szCs w:val="28"/>
          <w:lang w:eastAsia="zh-CN"/>
        </w:rPr>
        <w:t>复合肥料</w:t>
      </w:r>
      <w:r>
        <w:rPr>
          <w:rFonts w:hint="eastAsia" w:ascii="仿宋" w:hAnsi="仿宋" w:eastAsia="仿宋"/>
          <w:color w:val="auto"/>
          <w:kern w:val="0"/>
          <w:sz w:val="28"/>
          <w:szCs w:val="28"/>
        </w:rPr>
        <w:t>中的褐藻寡糖含量，能够为当前市售的众多宣传含褐藻寡糖</w:t>
      </w:r>
      <w:r>
        <w:rPr>
          <w:rFonts w:hint="eastAsia" w:ascii="仿宋" w:hAnsi="仿宋" w:eastAsia="仿宋"/>
          <w:color w:val="auto"/>
          <w:kern w:val="0"/>
          <w:sz w:val="28"/>
          <w:szCs w:val="28"/>
          <w:lang w:eastAsia="zh-CN"/>
        </w:rPr>
        <w:t>复合肥料</w:t>
      </w:r>
      <w:r>
        <w:rPr>
          <w:rFonts w:hint="eastAsia" w:ascii="仿宋" w:hAnsi="仿宋" w:eastAsia="仿宋"/>
          <w:color w:val="auto"/>
          <w:kern w:val="0"/>
          <w:sz w:val="28"/>
          <w:szCs w:val="28"/>
        </w:rPr>
        <w:t>的真假鉴别提供借鉴。</w:t>
      </w:r>
    </w:p>
    <w:p>
      <w:pPr>
        <w:numPr>
          <w:ilvl w:val="0"/>
          <w:numId w:val="1"/>
        </w:numPr>
        <w:spacing w:line="560" w:lineRule="exact"/>
        <w:ind w:left="0" w:firstLine="709"/>
        <w:jc w:val="left"/>
        <w:outlineLvl w:val="1"/>
        <w:rPr>
          <w:rFonts w:ascii="仿宋" w:hAnsi="仿宋" w:eastAsia="仿宋"/>
          <w:b/>
          <w:color w:val="auto"/>
          <w:sz w:val="32"/>
          <w:szCs w:val="32"/>
        </w:rPr>
      </w:pPr>
      <w:bookmarkStart w:id="6" w:name="_Toc102051964"/>
      <w:r>
        <w:rPr>
          <w:rFonts w:hint="eastAsia" w:ascii="仿宋" w:hAnsi="仿宋" w:eastAsia="仿宋"/>
          <w:b/>
          <w:color w:val="auto"/>
          <w:sz w:val="32"/>
          <w:szCs w:val="32"/>
        </w:rPr>
        <w:t>任务来源</w:t>
      </w:r>
      <w:bookmarkEnd w:id="6"/>
    </w:p>
    <w:p>
      <w:pPr>
        <w:autoSpaceDE w:val="0"/>
        <w:autoSpaceDN w:val="0"/>
        <w:adjustRightInd w:val="0"/>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w:t>
      </w:r>
      <w:r>
        <w:rPr>
          <w:rFonts w:hint="eastAsia" w:ascii="仿宋" w:hAnsi="仿宋" w:eastAsia="仿宋"/>
          <w:color w:val="auto"/>
          <w:kern w:val="0"/>
          <w:sz w:val="32"/>
          <w:szCs w:val="32"/>
          <w:lang w:val="en-US" w:eastAsia="zh-CN"/>
        </w:rPr>
        <w:t>复合肥料</w:t>
      </w:r>
      <w:r>
        <w:rPr>
          <w:rFonts w:hint="eastAsia" w:ascii="仿宋" w:hAnsi="仿宋" w:eastAsia="仿宋"/>
          <w:color w:val="auto"/>
          <w:kern w:val="0"/>
          <w:sz w:val="32"/>
          <w:szCs w:val="32"/>
        </w:rPr>
        <w:t>中褐藻寡糖含量的检测方法》标准涉及测定褐藻寡糖含量，属于新制定标准，由南宁汉和生物科技股份有限公司提出。</w:t>
      </w:r>
    </w:p>
    <w:p>
      <w:pPr>
        <w:ind w:firstLine="636" w:firstLineChars="198"/>
        <w:jc w:val="left"/>
        <w:outlineLvl w:val="0"/>
        <w:rPr>
          <w:rFonts w:ascii="仿宋" w:hAnsi="仿宋" w:eastAsia="仿宋"/>
          <w:b/>
          <w:color w:val="auto"/>
          <w:sz w:val="32"/>
          <w:szCs w:val="32"/>
        </w:rPr>
      </w:pPr>
      <w:bookmarkStart w:id="7" w:name="_Toc102051965"/>
      <w:r>
        <w:rPr>
          <w:rFonts w:hint="eastAsia" w:ascii="仿宋" w:hAnsi="仿宋" w:eastAsia="仿宋"/>
          <w:b/>
          <w:color w:val="auto"/>
          <w:sz w:val="32"/>
          <w:szCs w:val="32"/>
        </w:rPr>
        <w:t>二、编制过程</w:t>
      </w:r>
      <w:bookmarkEnd w:id="7"/>
    </w:p>
    <w:p>
      <w:pPr>
        <w:pStyle w:val="39"/>
        <w:numPr>
          <w:ilvl w:val="0"/>
          <w:numId w:val="2"/>
        </w:numPr>
        <w:spacing w:line="560" w:lineRule="exact"/>
        <w:ind w:firstLineChars="0"/>
        <w:jc w:val="left"/>
        <w:outlineLvl w:val="1"/>
        <w:rPr>
          <w:rFonts w:ascii="仿宋" w:hAnsi="仿宋" w:eastAsia="仿宋"/>
          <w:b/>
          <w:color w:val="auto"/>
          <w:sz w:val="32"/>
          <w:szCs w:val="32"/>
        </w:rPr>
      </w:pPr>
      <w:bookmarkStart w:id="8" w:name="_Toc102051966"/>
      <w:r>
        <w:rPr>
          <w:rFonts w:hint="eastAsia" w:ascii="仿宋" w:hAnsi="仿宋" w:eastAsia="仿宋"/>
          <w:b/>
          <w:color w:val="auto"/>
          <w:sz w:val="32"/>
          <w:szCs w:val="32"/>
        </w:rPr>
        <w:t>项目启动</w:t>
      </w:r>
      <w:bookmarkEnd w:id="8"/>
    </w:p>
    <w:p>
      <w:pPr>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为确保团体标准《</w:t>
      </w:r>
      <w:r>
        <w:rPr>
          <w:rFonts w:hint="eastAsia" w:ascii="仿宋" w:hAnsi="仿宋" w:eastAsia="仿宋"/>
          <w:color w:val="auto"/>
          <w:kern w:val="0"/>
          <w:sz w:val="32"/>
          <w:szCs w:val="32"/>
          <w:lang w:val="en-US" w:eastAsia="zh-CN"/>
        </w:rPr>
        <w:t>复合肥料</w:t>
      </w:r>
      <w:r>
        <w:rPr>
          <w:rFonts w:hint="eastAsia" w:ascii="仿宋" w:hAnsi="仿宋" w:eastAsia="仿宋"/>
          <w:color w:val="auto"/>
          <w:kern w:val="0"/>
          <w:sz w:val="32"/>
          <w:szCs w:val="32"/>
        </w:rPr>
        <w:t>中褐藻寡糖含量的检测方法》编制工作的顺利开展，2022年6月，南宁汉和生物科技股份有限公司组建了项目编制组，明确工作职责，定期召开会议研究工作。项目课题组按</w:t>
      </w:r>
      <w:r>
        <w:rPr>
          <w:rFonts w:hint="eastAsia" w:ascii="仿宋" w:hAnsi="仿宋" w:eastAsia="仿宋"/>
          <w:b/>
          <w:bCs/>
          <w:color w:val="auto"/>
          <w:kern w:val="0"/>
          <w:sz w:val="32"/>
          <w:szCs w:val="32"/>
          <w:u w:val="single"/>
        </w:rPr>
        <w:t>GB/T1.1、GB/T1.2的要求，</w:t>
      </w:r>
      <w:r>
        <w:rPr>
          <w:rFonts w:hint="eastAsia" w:ascii="仿宋" w:hAnsi="仿宋" w:eastAsia="仿宋"/>
          <w:color w:val="auto"/>
          <w:kern w:val="0"/>
          <w:sz w:val="32"/>
          <w:szCs w:val="32"/>
        </w:rPr>
        <w:t>各编写小组人员开展了资料收集与分析、方法优化与调查等相关工作。从科研与生产实践两方面出发，进行前期广泛调查及数据收集，汇集各方面的资料，确定了编制时间进度安排，编写了《</w:t>
      </w:r>
      <w:r>
        <w:rPr>
          <w:rFonts w:hint="eastAsia" w:ascii="仿宋" w:hAnsi="仿宋" w:eastAsia="仿宋"/>
          <w:color w:val="auto"/>
          <w:kern w:val="0"/>
          <w:sz w:val="32"/>
          <w:szCs w:val="32"/>
          <w:lang w:val="en-US" w:eastAsia="zh-CN"/>
        </w:rPr>
        <w:t>复合肥料</w:t>
      </w:r>
      <w:r>
        <w:rPr>
          <w:rFonts w:hint="eastAsia" w:ascii="仿宋" w:hAnsi="仿宋" w:eastAsia="仿宋"/>
          <w:color w:val="auto"/>
          <w:kern w:val="0"/>
          <w:sz w:val="32"/>
          <w:szCs w:val="32"/>
        </w:rPr>
        <w:t>中褐藻寡糖含量的检测方法》（征求</w:t>
      </w:r>
      <w:bookmarkStart w:id="33" w:name="_GoBack"/>
      <w:bookmarkEnd w:id="33"/>
      <w:r>
        <w:rPr>
          <w:rFonts w:hint="eastAsia" w:ascii="仿宋" w:hAnsi="仿宋" w:eastAsia="仿宋"/>
          <w:color w:val="auto"/>
          <w:kern w:val="0"/>
          <w:sz w:val="32"/>
          <w:szCs w:val="32"/>
        </w:rPr>
        <w:t>意见稿）。</w:t>
      </w:r>
    </w:p>
    <w:p>
      <w:pPr>
        <w:pStyle w:val="39"/>
        <w:numPr>
          <w:ilvl w:val="0"/>
          <w:numId w:val="2"/>
        </w:numPr>
        <w:spacing w:line="560" w:lineRule="exact"/>
        <w:ind w:firstLineChars="0"/>
        <w:jc w:val="left"/>
        <w:outlineLvl w:val="1"/>
        <w:rPr>
          <w:rFonts w:ascii="仿宋" w:hAnsi="仿宋" w:eastAsia="仿宋"/>
          <w:b/>
          <w:color w:val="auto"/>
          <w:sz w:val="32"/>
          <w:szCs w:val="32"/>
        </w:rPr>
      </w:pPr>
      <w:bookmarkStart w:id="9" w:name="_Toc102051967"/>
      <w:r>
        <w:rPr>
          <w:rFonts w:hint="eastAsia" w:ascii="仿宋" w:hAnsi="仿宋" w:eastAsia="仿宋"/>
          <w:b/>
          <w:color w:val="auto"/>
          <w:sz w:val="32"/>
          <w:szCs w:val="32"/>
        </w:rPr>
        <w:t>收集国内外相关资料</w:t>
      </w:r>
      <w:bookmarkEnd w:id="9"/>
    </w:p>
    <w:p>
      <w:pPr>
        <w:tabs>
          <w:tab w:val="left" w:pos="7224"/>
        </w:tabs>
        <w:spacing w:line="360" w:lineRule="auto"/>
        <w:ind w:firstLine="482" w:firstLineChars="150"/>
        <w:jc w:val="left"/>
        <w:outlineLvl w:val="2"/>
        <w:rPr>
          <w:rFonts w:ascii="宋体" w:hAnsi="宋体"/>
          <w:b/>
          <w:color w:val="auto"/>
          <w:kern w:val="0"/>
          <w:sz w:val="32"/>
          <w:szCs w:val="32"/>
          <w:lang w:val="zh-CN"/>
        </w:rPr>
      </w:pPr>
      <w:bookmarkStart w:id="10" w:name="_Toc102051968"/>
      <w:bookmarkStart w:id="11" w:name="_Toc23086"/>
      <w:bookmarkStart w:id="12" w:name="_Toc73045679"/>
      <w:r>
        <w:rPr>
          <w:rFonts w:hint="eastAsia" w:ascii="宋体" w:hAnsi="宋体"/>
          <w:b/>
          <w:color w:val="auto"/>
          <w:kern w:val="0"/>
          <w:sz w:val="32"/>
          <w:szCs w:val="32"/>
          <w:lang w:val="zh-CN"/>
        </w:rPr>
        <w:t>（1）相关研究资料</w:t>
      </w:r>
      <w:bookmarkEnd w:id="10"/>
      <w:r>
        <w:rPr>
          <w:rFonts w:ascii="宋体" w:hAnsi="宋体"/>
          <w:b/>
          <w:color w:val="auto"/>
          <w:kern w:val="0"/>
          <w:sz w:val="32"/>
          <w:szCs w:val="32"/>
          <w:lang w:val="zh-CN"/>
        </w:rPr>
        <w:tab/>
      </w:r>
    </w:p>
    <w:p>
      <w:pPr>
        <w:pStyle w:val="23"/>
        <w:ind w:firstLine="640"/>
        <w:rPr>
          <w:rFonts w:hAnsi="宋体"/>
          <w:b/>
          <w:color w:val="auto"/>
          <w:kern w:val="0"/>
          <w:sz w:val="32"/>
          <w:szCs w:val="32"/>
          <w:lang w:val="zh-CN"/>
        </w:rPr>
      </w:pPr>
      <w:r>
        <w:rPr>
          <w:rFonts w:hint="eastAsia" w:ascii="仿宋" w:hAnsi="仿宋" w:eastAsia="仿宋"/>
          <w:color w:val="auto"/>
          <w:kern w:val="0"/>
          <w:sz w:val="32"/>
          <w:szCs w:val="32"/>
        </w:rPr>
        <w:t>编制工作启动后，收集同行相关研究报告，征求了相关院校、生产单位、国内同行和专家的意见，汇总整理，形成了标准编制所需的基础资料。</w:t>
      </w:r>
    </w:p>
    <w:p>
      <w:pPr>
        <w:spacing w:line="360" w:lineRule="auto"/>
        <w:ind w:firstLine="482" w:firstLineChars="150"/>
        <w:jc w:val="left"/>
        <w:outlineLvl w:val="2"/>
        <w:rPr>
          <w:rFonts w:ascii="宋体" w:hAnsi="宋体"/>
          <w:b/>
          <w:color w:val="auto"/>
          <w:kern w:val="0"/>
          <w:sz w:val="32"/>
          <w:szCs w:val="32"/>
          <w:lang w:val="zh-CN"/>
        </w:rPr>
      </w:pPr>
      <w:bookmarkStart w:id="13" w:name="_Toc102051969"/>
      <w:r>
        <w:rPr>
          <w:rFonts w:hint="eastAsia" w:ascii="宋体" w:hAnsi="宋体"/>
          <w:b/>
          <w:color w:val="auto"/>
          <w:kern w:val="0"/>
          <w:sz w:val="32"/>
          <w:szCs w:val="32"/>
          <w:lang w:val="zh-CN"/>
        </w:rPr>
        <w:t>（2）国内相关标准概况</w:t>
      </w:r>
      <w:bookmarkEnd w:id="11"/>
      <w:bookmarkEnd w:id="12"/>
      <w:bookmarkEnd w:id="13"/>
    </w:p>
    <w:p>
      <w:pPr>
        <w:pStyle w:val="23"/>
        <w:ind w:firstLine="640"/>
        <w:rPr>
          <w:color w:val="auto"/>
          <w:highlight w:val="yellow"/>
        </w:rPr>
      </w:pPr>
      <w:r>
        <w:rPr>
          <w:rFonts w:hint="eastAsia" w:ascii="仿宋" w:hAnsi="仿宋" w:eastAsia="仿宋"/>
          <w:color w:val="auto"/>
          <w:kern w:val="0"/>
          <w:sz w:val="32"/>
          <w:szCs w:val="32"/>
        </w:rPr>
        <w:t>根据检索，截止2022年7月30日，目前我国现行的国标及行业标准中，还没有相应的测定</w:t>
      </w:r>
      <w:r>
        <w:rPr>
          <w:rFonts w:hint="eastAsia" w:ascii="仿宋" w:hAnsi="仿宋" w:eastAsia="仿宋"/>
          <w:color w:val="auto"/>
          <w:kern w:val="0"/>
          <w:sz w:val="32"/>
          <w:szCs w:val="32"/>
          <w:lang w:val="en-US" w:eastAsia="zh-CN"/>
        </w:rPr>
        <w:t>复合肥料</w:t>
      </w:r>
      <w:r>
        <w:rPr>
          <w:rFonts w:hint="eastAsia" w:ascii="仿宋" w:hAnsi="仿宋" w:eastAsia="仿宋"/>
          <w:color w:val="auto"/>
          <w:kern w:val="0"/>
          <w:sz w:val="32"/>
          <w:szCs w:val="32"/>
        </w:rPr>
        <w:t>中褐藻寡糖含量的方法，有必要建立</w:t>
      </w:r>
      <w:r>
        <w:rPr>
          <w:rFonts w:hint="eastAsia" w:ascii="仿宋" w:hAnsi="仿宋" w:eastAsia="仿宋"/>
          <w:color w:val="auto"/>
          <w:kern w:val="0"/>
          <w:sz w:val="32"/>
          <w:szCs w:val="32"/>
          <w:lang w:val="en-US" w:eastAsia="zh-CN"/>
        </w:rPr>
        <w:t>复合肥料</w:t>
      </w:r>
      <w:r>
        <w:rPr>
          <w:rFonts w:hint="eastAsia" w:ascii="仿宋" w:hAnsi="仿宋" w:eastAsia="仿宋"/>
          <w:color w:val="auto"/>
          <w:kern w:val="0"/>
          <w:sz w:val="32"/>
          <w:szCs w:val="32"/>
        </w:rPr>
        <w:t>中褐藻寡糖含量测定的标准，规范实验室现有分析手段。本标准制定及实施后，能够填补</w:t>
      </w:r>
      <w:r>
        <w:rPr>
          <w:rFonts w:hint="eastAsia" w:ascii="仿宋" w:hAnsi="仿宋" w:eastAsia="仿宋"/>
          <w:color w:val="auto"/>
          <w:kern w:val="0"/>
          <w:sz w:val="32"/>
          <w:szCs w:val="32"/>
          <w:lang w:val="en-US" w:eastAsia="zh-CN"/>
        </w:rPr>
        <w:t>复合肥料</w:t>
      </w:r>
      <w:r>
        <w:rPr>
          <w:rFonts w:hint="eastAsia" w:ascii="仿宋" w:hAnsi="仿宋" w:eastAsia="仿宋"/>
          <w:color w:val="auto"/>
          <w:kern w:val="0"/>
          <w:sz w:val="32"/>
          <w:szCs w:val="32"/>
        </w:rPr>
        <w:t>中褐藻寡糖含量分析方法的空白。本方法适应目前场地调查的要求，分析方法准确、适用。</w:t>
      </w:r>
    </w:p>
    <w:p>
      <w:pPr>
        <w:spacing w:line="360" w:lineRule="auto"/>
        <w:ind w:firstLine="482" w:firstLineChars="150"/>
        <w:jc w:val="left"/>
        <w:outlineLvl w:val="2"/>
        <w:rPr>
          <w:rFonts w:ascii="宋体" w:hAnsi="宋体"/>
          <w:b/>
          <w:color w:val="auto"/>
          <w:kern w:val="0"/>
          <w:sz w:val="32"/>
          <w:szCs w:val="32"/>
          <w:lang w:val="zh-CN"/>
        </w:rPr>
      </w:pPr>
      <w:bookmarkStart w:id="14" w:name="_Toc22078"/>
      <w:bookmarkStart w:id="15" w:name="_Toc73045680"/>
      <w:bookmarkStart w:id="16" w:name="_Toc102051970"/>
      <w:r>
        <w:rPr>
          <w:rFonts w:hint="eastAsia" w:ascii="宋体" w:hAnsi="宋体"/>
          <w:b/>
          <w:color w:val="auto"/>
          <w:kern w:val="0"/>
          <w:sz w:val="32"/>
          <w:szCs w:val="32"/>
          <w:lang w:val="zh-CN"/>
        </w:rPr>
        <w:t>（3）国外相关标准概况</w:t>
      </w:r>
      <w:bookmarkEnd w:id="14"/>
      <w:bookmarkEnd w:id="15"/>
      <w:bookmarkEnd w:id="16"/>
    </w:p>
    <w:p>
      <w:pPr>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目前为止，暂未查询到关于</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中褐藻寡糖含量测定方面的国际标准和国外标准等。</w:t>
      </w:r>
    </w:p>
    <w:p>
      <w:pPr>
        <w:pStyle w:val="39"/>
        <w:numPr>
          <w:ilvl w:val="0"/>
          <w:numId w:val="2"/>
        </w:numPr>
        <w:spacing w:line="560" w:lineRule="exact"/>
        <w:ind w:firstLineChars="0"/>
        <w:jc w:val="left"/>
        <w:outlineLvl w:val="1"/>
        <w:rPr>
          <w:rFonts w:ascii="仿宋" w:hAnsi="仿宋" w:eastAsia="仿宋"/>
          <w:b/>
          <w:color w:val="auto"/>
          <w:sz w:val="32"/>
          <w:szCs w:val="32"/>
        </w:rPr>
      </w:pPr>
      <w:bookmarkStart w:id="17" w:name="_Toc102051971"/>
      <w:r>
        <w:rPr>
          <w:rFonts w:hint="eastAsia" w:ascii="仿宋" w:hAnsi="仿宋" w:eastAsia="仿宋"/>
          <w:b/>
          <w:color w:val="auto"/>
          <w:sz w:val="32"/>
          <w:szCs w:val="32"/>
        </w:rPr>
        <w:t>标准编写</w:t>
      </w:r>
      <w:bookmarkEnd w:id="17"/>
    </w:p>
    <w:p>
      <w:pPr>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项目课题组按照《中华人民共和国标准化法》、《团体标准管理规定》的要求，起草了团体标准《</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中褐藻寡糖含量的检测方法》（讨论稿）。</w:t>
      </w:r>
    </w:p>
    <w:p>
      <w:pPr>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9月，项目编制组充分讨论《</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中褐藻寡糖含量的检测方法》（讨论稿），再次对讨论稿进行了详细研究，并修改完善形成《</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中褐藻寡糖含量的检测方法》（征求意见稿）。</w:t>
      </w:r>
    </w:p>
    <w:p>
      <w:pPr>
        <w:pStyle w:val="39"/>
        <w:numPr>
          <w:ilvl w:val="0"/>
          <w:numId w:val="2"/>
        </w:numPr>
        <w:spacing w:line="560" w:lineRule="exact"/>
        <w:ind w:firstLineChars="0"/>
        <w:jc w:val="left"/>
        <w:outlineLvl w:val="1"/>
        <w:rPr>
          <w:rFonts w:ascii="仿宋" w:hAnsi="仿宋" w:eastAsia="仿宋"/>
          <w:b/>
          <w:color w:val="auto"/>
          <w:sz w:val="32"/>
          <w:szCs w:val="32"/>
        </w:rPr>
      </w:pPr>
      <w:bookmarkStart w:id="18" w:name="_Toc102051972"/>
      <w:r>
        <w:rPr>
          <w:rFonts w:hint="eastAsia" w:ascii="仿宋" w:hAnsi="仿宋" w:eastAsia="仿宋"/>
          <w:b/>
          <w:color w:val="auto"/>
          <w:sz w:val="32"/>
          <w:szCs w:val="32"/>
        </w:rPr>
        <w:t>征求意见</w:t>
      </w:r>
      <w:bookmarkEnd w:id="18"/>
    </w:p>
    <w:p>
      <w:pPr>
        <w:spacing w:line="360" w:lineRule="auto"/>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4月，项目编制组通过讨论，充分征求相关院校、国内同行和专家对《</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中褐藻寡糖含量的检测方法》（征求意见稿）的意见，并修改完善标准，形成《</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中褐藻寡糖含量的检测方法》（送审稿）。</w:t>
      </w:r>
    </w:p>
    <w:p>
      <w:pPr>
        <w:ind w:firstLine="643" w:firstLineChars="200"/>
        <w:jc w:val="left"/>
        <w:outlineLvl w:val="0"/>
        <w:rPr>
          <w:rFonts w:ascii="仿宋" w:hAnsi="仿宋" w:eastAsia="仿宋"/>
          <w:b/>
          <w:color w:val="auto"/>
          <w:sz w:val="32"/>
          <w:szCs w:val="32"/>
        </w:rPr>
      </w:pPr>
      <w:bookmarkStart w:id="19" w:name="_Toc102051973"/>
      <w:r>
        <w:rPr>
          <w:rFonts w:hint="eastAsia" w:ascii="仿宋" w:hAnsi="仿宋" w:eastAsia="仿宋"/>
          <w:b/>
          <w:color w:val="auto"/>
          <w:sz w:val="32"/>
          <w:szCs w:val="32"/>
        </w:rPr>
        <w:t>三、编制原则和主要内容确定</w:t>
      </w:r>
      <w:bookmarkEnd w:id="19"/>
    </w:p>
    <w:p>
      <w:pPr>
        <w:pStyle w:val="39"/>
        <w:numPr>
          <w:ilvl w:val="0"/>
          <w:numId w:val="3"/>
        </w:numPr>
        <w:ind w:firstLineChars="0"/>
        <w:jc w:val="left"/>
        <w:outlineLvl w:val="1"/>
        <w:rPr>
          <w:rFonts w:ascii="仿宋" w:hAnsi="仿宋" w:eastAsia="仿宋"/>
          <w:b/>
          <w:color w:val="auto"/>
          <w:sz w:val="32"/>
          <w:szCs w:val="32"/>
        </w:rPr>
      </w:pPr>
      <w:bookmarkStart w:id="20" w:name="_Toc102051974"/>
      <w:r>
        <w:rPr>
          <w:rFonts w:hint="eastAsia" w:ascii="仿宋" w:hAnsi="仿宋" w:eastAsia="仿宋"/>
          <w:b/>
          <w:color w:val="auto"/>
          <w:sz w:val="32"/>
          <w:szCs w:val="32"/>
        </w:rPr>
        <w:t>编制原则</w:t>
      </w:r>
      <w:bookmarkEnd w:id="20"/>
    </w:p>
    <w:p>
      <w:pPr>
        <w:spacing w:line="360" w:lineRule="auto"/>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标准制定以保证适用的前提下，内容力求完整、准确、易于理解，充分注重标准的科学性、先进性、适用性、经济合理性、安全可靠性、切实可行及协调统一性为基本原则。编制本标准遵循如下依据：</w:t>
      </w:r>
    </w:p>
    <w:p>
      <w:pPr>
        <w:spacing w:line="360" w:lineRule="auto"/>
        <w:ind w:firstLine="960" w:firstLineChars="300"/>
        <w:rPr>
          <w:rFonts w:ascii="仿宋" w:hAnsi="仿宋" w:eastAsia="仿宋"/>
          <w:color w:val="auto"/>
          <w:kern w:val="0"/>
          <w:sz w:val="32"/>
          <w:szCs w:val="32"/>
        </w:rPr>
      </w:pPr>
      <w:r>
        <w:rPr>
          <w:rFonts w:hint="eastAsia" w:ascii="仿宋" w:hAnsi="仿宋" w:eastAsia="仿宋"/>
          <w:color w:val="auto"/>
          <w:kern w:val="0"/>
          <w:sz w:val="32"/>
          <w:szCs w:val="32"/>
        </w:rPr>
        <w:t>GB/T1.1-2020《标准化工作导则第1部分：标准化文件的结构和起草规则》</w:t>
      </w:r>
    </w:p>
    <w:p>
      <w:pPr>
        <w:spacing w:line="360" w:lineRule="auto"/>
        <w:ind w:firstLine="960" w:firstLineChars="300"/>
        <w:rPr>
          <w:rFonts w:ascii="仿宋" w:hAnsi="仿宋" w:eastAsia="仿宋"/>
          <w:color w:val="auto"/>
          <w:kern w:val="0"/>
          <w:sz w:val="32"/>
          <w:szCs w:val="32"/>
        </w:rPr>
      </w:pPr>
      <w:r>
        <w:rPr>
          <w:rFonts w:hint="eastAsia" w:ascii="仿宋" w:hAnsi="仿宋" w:eastAsia="仿宋"/>
          <w:color w:val="auto"/>
          <w:kern w:val="0"/>
          <w:sz w:val="32"/>
          <w:szCs w:val="32"/>
        </w:rPr>
        <w:t>GB/T27417-2017《合格评定化学分析方法确认和验证指南》</w:t>
      </w:r>
    </w:p>
    <w:p>
      <w:pPr>
        <w:spacing w:line="360" w:lineRule="auto"/>
        <w:ind w:firstLine="960" w:firstLineChars="300"/>
        <w:rPr>
          <w:rFonts w:ascii="仿宋" w:hAnsi="仿宋" w:eastAsia="仿宋"/>
          <w:color w:val="auto"/>
          <w:kern w:val="0"/>
          <w:sz w:val="32"/>
          <w:szCs w:val="32"/>
        </w:rPr>
      </w:pPr>
      <w:r>
        <w:rPr>
          <w:rFonts w:hint="eastAsia" w:ascii="仿宋" w:hAnsi="仿宋" w:eastAsia="仿宋"/>
          <w:color w:val="auto"/>
          <w:kern w:val="0"/>
          <w:sz w:val="32"/>
          <w:szCs w:val="32"/>
        </w:rPr>
        <w:t>GB/T27404-2008 实验室质量控制规范 食品理化检测</w:t>
      </w:r>
    </w:p>
    <w:p>
      <w:pPr>
        <w:pStyle w:val="39"/>
        <w:numPr>
          <w:ilvl w:val="0"/>
          <w:numId w:val="3"/>
        </w:numPr>
        <w:ind w:firstLineChars="0"/>
        <w:jc w:val="left"/>
        <w:outlineLvl w:val="1"/>
        <w:rPr>
          <w:rFonts w:ascii="仿宋" w:hAnsi="仿宋" w:eastAsia="仿宋"/>
          <w:b/>
          <w:color w:val="auto"/>
          <w:sz w:val="32"/>
          <w:szCs w:val="32"/>
        </w:rPr>
      </w:pPr>
      <w:bookmarkStart w:id="21" w:name="_Toc102051975"/>
      <w:r>
        <w:rPr>
          <w:rFonts w:hint="eastAsia" w:ascii="仿宋" w:hAnsi="仿宋" w:eastAsia="仿宋"/>
          <w:b/>
          <w:color w:val="auto"/>
          <w:sz w:val="32"/>
          <w:szCs w:val="32"/>
        </w:rPr>
        <w:t>主要内容确定</w:t>
      </w:r>
      <w:bookmarkEnd w:id="21"/>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本标准规定了</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中褐藻寡糖含量测定的检测方法、检出限及定量限，适用于测定</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w:t>
      </w:r>
      <w:bookmarkStart w:id="22" w:name="_Toc102051976"/>
    </w:p>
    <w:p>
      <w:pPr>
        <w:pStyle w:val="23"/>
        <w:ind w:firstLine="0" w:firstLineChars="0"/>
        <w:rPr>
          <w:rFonts w:hAnsi="宋体"/>
          <w:b/>
          <w:color w:val="auto"/>
          <w:kern w:val="0"/>
          <w:sz w:val="32"/>
          <w:szCs w:val="32"/>
          <w:lang w:val="zh-CN"/>
        </w:rPr>
      </w:pPr>
      <w:r>
        <w:rPr>
          <w:rFonts w:hint="eastAsia" w:hAnsi="宋体"/>
          <w:b/>
          <w:color w:val="auto"/>
          <w:kern w:val="0"/>
          <w:sz w:val="32"/>
          <w:szCs w:val="32"/>
        </w:rPr>
        <w:t>（1）检测</w:t>
      </w:r>
      <w:r>
        <w:rPr>
          <w:rFonts w:hint="eastAsia" w:hAnsi="宋体"/>
          <w:b/>
          <w:color w:val="auto"/>
          <w:kern w:val="0"/>
          <w:sz w:val="32"/>
          <w:szCs w:val="32"/>
          <w:lang w:val="zh-CN"/>
        </w:rPr>
        <w:t>方法</w:t>
      </w:r>
      <w:bookmarkEnd w:id="22"/>
    </w:p>
    <w:p>
      <w:pPr>
        <w:pStyle w:val="43"/>
        <w:rPr>
          <w:rFonts w:ascii="宋体"/>
          <w:color w:val="auto"/>
        </w:rPr>
      </w:pPr>
      <w:r>
        <w:rPr>
          <w:rFonts w:hint="eastAsia" w:ascii="仿宋" w:hAnsi="仿宋" w:eastAsia="仿宋"/>
          <w:color w:val="auto"/>
          <w:sz w:val="32"/>
          <w:szCs w:val="32"/>
        </w:rPr>
        <w:t>原理：</w:t>
      </w:r>
      <w:sdt>
        <w:sdtPr>
          <w:rPr>
            <w:rFonts w:ascii="宋体"/>
            <w:color w:val="auto"/>
            <w:sz w:val="32"/>
          </w:rPr>
          <w:id w:val="-1909835108"/>
          <w:placeholder>
            <w:docPart w:val="AEA38745855B4FCF8E60178383EC67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color w:val="auto"/>
            <w:sz w:val="32"/>
          </w:rPr>
        </w:sdtEndPr>
        <w:sdtContent>
          <w:r>
            <w:rPr>
              <w:rFonts w:hint="eastAsia" w:ascii="宋体"/>
              <w:color w:val="auto"/>
              <w:sz w:val="32"/>
            </w:rPr>
            <w:t>利用酶解法生产的褐藻寡糖因其通过β消除形成双键的糖醛酸结构在波长235nm处有稳定吸收，吸收值与褐藻寡糖浓度呈正比例线性关系，通过计算可得褐藻寡糖的含量。</w:t>
          </w:r>
        </w:sdtContent>
      </w:sdt>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方法：</w:t>
      </w:r>
    </w:p>
    <w:p>
      <w:pPr>
        <w:pStyle w:val="23"/>
        <w:ind w:firstLine="640"/>
        <w:rPr>
          <w:rFonts w:ascii="仿宋" w:hAnsi="仿宋" w:eastAsia="仿宋"/>
          <w:color w:val="auto"/>
          <w:kern w:val="0"/>
          <w:sz w:val="32"/>
          <w:szCs w:val="32"/>
        </w:rPr>
      </w:pPr>
      <w:bookmarkStart w:id="23" w:name="_Toc102051977"/>
      <w:r>
        <w:rPr>
          <w:rFonts w:hint="eastAsia" w:ascii="仿宋" w:hAnsi="仿宋" w:eastAsia="仿宋"/>
          <w:color w:val="auto"/>
          <w:kern w:val="0"/>
          <w:sz w:val="32"/>
          <w:szCs w:val="32"/>
        </w:rPr>
        <w:t>称取一定量的含褐藻寡糖</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样品试样于100ml容量瓶中用去离子水溶解瓶并定容，摇匀，过滤。再准确移取1.00ml溶液于10ml比色管中，用去离子水定容，摇匀。标准工作溶液和试样溶液同时在235nm波长下，用1cm石英比色皿测定吸光值，并以褐藻寡糖的浓度为横坐标，吸光值为纵坐标绘制曲线。</w:t>
      </w:r>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试样中的褐藻寡糖含量W%按以下公式计算：</w:t>
      </w:r>
    </w:p>
    <w:p>
      <w:pPr>
        <w:pStyle w:val="23"/>
        <w:ind w:firstLine="640"/>
        <w:rPr>
          <w:rFonts w:ascii="仿宋" w:hAnsi="仿宋" w:eastAsia="仿宋"/>
          <w:color w:val="auto"/>
          <w:kern w:val="0"/>
          <w:sz w:val="32"/>
          <w:szCs w:val="32"/>
        </w:rPr>
      </w:pPr>
      <m:oMathPara>
        <m:oMath>
          <m:r>
            <m:rPr>
              <m:sty m:val="p"/>
            </m:rPr>
            <w:rPr>
              <w:rFonts w:hint="eastAsia" w:ascii="Cambria Math" w:hAnsi="Cambria Math" w:eastAsia="仿宋"/>
              <w:color w:val="auto"/>
              <w:kern w:val="0"/>
              <w:sz w:val="32"/>
              <w:szCs w:val="32"/>
            </w:rPr>
            <m:t>w=</m:t>
          </m:r>
          <m:f>
            <m:fPr>
              <m:ctrlPr>
                <w:rPr>
                  <w:rFonts w:hint="eastAsia" w:ascii="Cambria Math" w:hAnsi="Cambria Math" w:eastAsia="仿宋"/>
                  <w:color w:val="auto"/>
                  <w:kern w:val="0"/>
                  <w:sz w:val="32"/>
                  <w:szCs w:val="32"/>
                </w:rPr>
              </m:ctrlPr>
            </m:fPr>
            <m:num>
              <m:r>
                <m:rPr>
                  <m:sty m:val="p"/>
                </m:rPr>
                <w:rPr>
                  <w:rFonts w:hint="eastAsia" w:ascii="Cambria Math" w:hAnsi="Cambria Math" w:eastAsia="仿宋"/>
                  <w:color w:val="auto"/>
                  <w:kern w:val="0"/>
                  <w:sz w:val="32"/>
                  <w:szCs w:val="32"/>
                </w:rPr>
                <m:t>x∙V∙f</m:t>
              </m:r>
              <m:ctrlPr>
                <w:rPr>
                  <w:rFonts w:hint="eastAsia" w:ascii="Cambria Math" w:hAnsi="Cambria Math" w:eastAsia="仿宋"/>
                  <w:color w:val="auto"/>
                  <w:kern w:val="0"/>
                  <w:sz w:val="32"/>
                  <w:szCs w:val="32"/>
                </w:rPr>
              </m:ctrlPr>
            </m:num>
            <m:den>
              <m:r>
                <m:rPr>
                  <m:sty m:val="p"/>
                </m:rPr>
                <w:rPr>
                  <w:rFonts w:hint="eastAsia" w:ascii="Cambria Math" w:hAnsi="Cambria Math" w:eastAsia="仿宋"/>
                  <w:color w:val="auto"/>
                  <w:kern w:val="0"/>
                  <w:sz w:val="32"/>
                  <w:szCs w:val="32"/>
                </w:rPr>
                <m:t>m×</m:t>
              </m:r>
              <m:sSup>
                <m:sSupPr>
                  <m:ctrlPr>
                    <w:rPr>
                      <w:rFonts w:hint="eastAsia" w:ascii="Cambria Math" w:hAnsi="Cambria Math" w:eastAsia="仿宋"/>
                      <w:color w:val="auto"/>
                      <w:kern w:val="0"/>
                      <w:sz w:val="32"/>
                      <w:szCs w:val="32"/>
                    </w:rPr>
                  </m:ctrlPr>
                </m:sSupPr>
                <m:e>
                  <m:r>
                    <m:rPr>
                      <m:sty m:val="p"/>
                    </m:rPr>
                    <w:rPr>
                      <w:rFonts w:hint="eastAsia" w:ascii="Cambria Math" w:hAnsi="Cambria Math" w:eastAsia="仿宋"/>
                      <w:color w:val="auto"/>
                      <w:kern w:val="0"/>
                      <w:sz w:val="32"/>
                      <w:szCs w:val="32"/>
                    </w:rPr>
                    <m:t>10</m:t>
                  </m:r>
                  <m:ctrlPr>
                    <w:rPr>
                      <w:rFonts w:hint="eastAsia" w:ascii="Cambria Math" w:hAnsi="Cambria Math" w:eastAsia="仿宋"/>
                      <w:color w:val="auto"/>
                      <w:kern w:val="0"/>
                      <w:sz w:val="32"/>
                      <w:szCs w:val="32"/>
                    </w:rPr>
                  </m:ctrlPr>
                </m:e>
                <m:sup>
                  <m:r>
                    <m:rPr>
                      <m:sty m:val="p"/>
                    </m:rPr>
                    <w:rPr>
                      <w:rFonts w:hint="eastAsia" w:ascii="Cambria Math" w:hAnsi="Cambria Math" w:eastAsia="仿宋"/>
                      <w:color w:val="auto"/>
                      <w:kern w:val="0"/>
                      <w:sz w:val="32"/>
                      <w:szCs w:val="32"/>
                    </w:rPr>
                    <m:t>3</m:t>
                  </m:r>
                  <m:ctrlPr>
                    <w:rPr>
                      <w:rFonts w:hint="eastAsia" w:ascii="Cambria Math" w:hAnsi="Cambria Math" w:eastAsia="仿宋"/>
                      <w:color w:val="auto"/>
                      <w:kern w:val="0"/>
                      <w:sz w:val="32"/>
                      <w:szCs w:val="32"/>
                    </w:rPr>
                  </m:ctrlPr>
                </m:sup>
              </m:sSup>
              <m:ctrlPr>
                <w:rPr>
                  <w:rFonts w:hint="eastAsia" w:ascii="Cambria Math" w:hAnsi="Cambria Math" w:eastAsia="仿宋"/>
                  <w:color w:val="auto"/>
                  <w:kern w:val="0"/>
                  <w:sz w:val="32"/>
                  <w:szCs w:val="32"/>
                </w:rPr>
              </m:ctrlPr>
            </m:den>
          </m:f>
          <m:r>
            <m:rPr>
              <m:sty m:val="p"/>
            </m:rPr>
            <w:rPr>
              <w:rFonts w:hint="eastAsia" w:ascii="Cambria Math" w:hAnsi="Cambria Math" w:eastAsia="仿宋"/>
              <w:color w:val="auto"/>
              <w:kern w:val="0"/>
              <w:sz w:val="32"/>
              <w:szCs w:val="32"/>
            </w:rPr>
            <m:t>×100</m:t>
          </m:r>
        </m:oMath>
      </m:oMathPara>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式中：</w:t>
      </w:r>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X——由标准曲线查出的试样溶液中褐藻寡糖的含量，mg/ml；</w:t>
      </w:r>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V——试样的定容体积，ml；</w:t>
      </w:r>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f——试样溶液的稀释倍数；</w:t>
      </w:r>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m——试样的称样质量，g。</w:t>
      </w:r>
    </w:p>
    <w:p>
      <w:pPr>
        <w:tabs>
          <w:tab w:val="left" w:pos="7224"/>
        </w:tabs>
        <w:spacing w:line="360" w:lineRule="auto"/>
        <w:ind w:firstLine="482" w:firstLineChars="150"/>
        <w:jc w:val="left"/>
        <w:outlineLvl w:val="2"/>
        <w:rPr>
          <w:rFonts w:ascii="宋体" w:hAnsi="宋体"/>
          <w:b/>
          <w:color w:val="auto"/>
          <w:kern w:val="0"/>
          <w:sz w:val="32"/>
          <w:szCs w:val="32"/>
        </w:rPr>
      </w:pPr>
      <w:r>
        <w:rPr>
          <w:rFonts w:hint="eastAsia" w:ascii="宋体" w:hAnsi="宋体"/>
          <w:b/>
          <w:color w:val="auto"/>
          <w:kern w:val="0"/>
          <w:sz w:val="32"/>
          <w:szCs w:val="32"/>
          <w:lang w:val="zh-CN"/>
        </w:rPr>
        <w:t>（2）仪器</w:t>
      </w:r>
      <w:bookmarkEnd w:id="23"/>
      <w:r>
        <w:rPr>
          <w:rFonts w:hint="eastAsia" w:ascii="宋体" w:hAnsi="宋体"/>
          <w:b/>
          <w:color w:val="auto"/>
          <w:kern w:val="0"/>
          <w:sz w:val="32"/>
          <w:szCs w:val="32"/>
        </w:rPr>
        <w:t>及试剂</w:t>
      </w:r>
    </w:p>
    <w:p>
      <w:pPr>
        <w:pStyle w:val="23"/>
        <w:ind w:firstLine="0" w:firstLineChars="0"/>
        <w:rPr>
          <w:rFonts w:ascii="仿宋" w:hAnsi="仿宋" w:eastAsia="仿宋"/>
          <w:color w:val="auto"/>
          <w:sz w:val="32"/>
          <w:szCs w:val="32"/>
        </w:rPr>
      </w:pPr>
      <w:r>
        <w:rPr>
          <w:rFonts w:hint="eastAsia" w:ascii="仿宋" w:hAnsi="仿宋" w:eastAsia="仿宋"/>
          <w:color w:val="auto"/>
          <w:sz w:val="32"/>
          <w:szCs w:val="32"/>
        </w:rPr>
        <w:t xml:space="preserve">     a）分光光度计</w:t>
      </w:r>
    </w:p>
    <w:p>
      <w:pPr>
        <w:pStyle w:val="23"/>
        <w:ind w:firstLine="800" w:firstLineChars="250"/>
        <w:rPr>
          <w:rFonts w:ascii="仿宋" w:hAnsi="仿宋" w:eastAsia="仿宋"/>
          <w:color w:val="auto"/>
          <w:sz w:val="32"/>
          <w:szCs w:val="32"/>
        </w:rPr>
      </w:pPr>
      <w:r>
        <w:rPr>
          <w:rFonts w:hint="eastAsia" w:ascii="仿宋" w:hAnsi="仿宋" w:eastAsia="仿宋"/>
          <w:color w:val="auto"/>
          <w:sz w:val="32"/>
          <w:szCs w:val="32"/>
        </w:rPr>
        <w:t>b) 分析天平：感应量为0.0001g。</w:t>
      </w:r>
    </w:p>
    <w:p>
      <w:pPr>
        <w:pStyle w:val="23"/>
        <w:ind w:firstLine="0" w:firstLineChars="0"/>
        <w:rPr>
          <w:rFonts w:ascii="仿宋" w:hAnsi="仿宋" w:eastAsia="仿宋"/>
          <w:color w:val="auto"/>
          <w:sz w:val="32"/>
          <w:szCs w:val="32"/>
        </w:rPr>
      </w:pPr>
      <w:r>
        <w:rPr>
          <w:rFonts w:hint="eastAsia" w:ascii="仿宋" w:hAnsi="仿宋" w:eastAsia="仿宋"/>
          <w:color w:val="auto"/>
          <w:sz w:val="32"/>
          <w:szCs w:val="32"/>
        </w:rPr>
        <w:t xml:space="preserve">     c) 褐藻寡糖标准品：含量≥95%；</w:t>
      </w:r>
    </w:p>
    <w:p>
      <w:pPr>
        <w:tabs>
          <w:tab w:val="left" w:pos="7224"/>
        </w:tabs>
        <w:spacing w:line="360" w:lineRule="auto"/>
        <w:ind w:firstLine="482" w:firstLineChars="150"/>
        <w:jc w:val="left"/>
        <w:outlineLvl w:val="2"/>
        <w:rPr>
          <w:rFonts w:ascii="宋体" w:hAnsi="宋体"/>
          <w:b/>
          <w:color w:val="auto"/>
          <w:kern w:val="0"/>
          <w:sz w:val="32"/>
          <w:szCs w:val="32"/>
          <w:lang w:val="zh-CN"/>
        </w:rPr>
      </w:pPr>
      <w:bookmarkStart w:id="24" w:name="_Toc102051978"/>
      <w:r>
        <w:rPr>
          <w:rFonts w:hint="eastAsia" w:ascii="宋体" w:hAnsi="宋体"/>
          <w:b/>
          <w:color w:val="auto"/>
          <w:kern w:val="0"/>
          <w:sz w:val="32"/>
          <w:szCs w:val="32"/>
          <w:lang w:val="zh-CN"/>
        </w:rPr>
        <w:t>（3）检出限及定量限</w:t>
      </w:r>
      <w:bookmarkEnd w:id="24"/>
    </w:p>
    <w:p>
      <w:pPr>
        <w:pStyle w:val="23"/>
        <w:ind w:firstLine="640"/>
        <w:rPr>
          <w:rFonts w:ascii="仿宋" w:hAnsi="仿宋" w:eastAsia="仿宋"/>
          <w:color w:val="auto"/>
          <w:kern w:val="0"/>
          <w:sz w:val="32"/>
          <w:szCs w:val="32"/>
        </w:rPr>
      </w:pPr>
      <w:r>
        <w:rPr>
          <w:rFonts w:hint="eastAsia" w:ascii="仿宋" w:hAnsi="仿宋" w:eastAsia="仿宋"/>
          <w:color w:val="auto"/>
          <w:kern w:val="0"/>
          <w:sz w:val="32"/>
          <w:szCs w:val="32"/>
        </w:rPr>
        <w:t>参照国际纯粹与应用化学联合会（IUPAC）和GB/T 5009.1-2003的方法，以3倍空白值标准偏差作为检出限，10空白值标准偏差作为定量限</w:t>
      </w:r>
      <w:r>
        <w:rPr>
          <w:color w:val="auto"/>
        </w:rPr>
        <w:fldChar w:fldCharType="begin"/>
      </w:r>
      <w:r>
        <w:rPr>
          <w:color w:val="auto"/>
        </w:rPr>
        <w:instrText xml:space="preserve">REF _Ref102052834 \r \h  \* MERGEFORMAT </w:instrText>
      </w:r>
      <w:r>
        <w:rPr>
          <w:color w:val="auto"/>
        </w:rPr>
        <w:fldChar w:fldCharType="separate"/>
      </w:r>
      <w:r>
        <w:rPr>
          <w:rFonts w:ascii="仿宋" w:hAnsi="仿宋" w:eastAsia="仿宋"/>
          <w:color w:val="auto"/>
          <w:kern w:val="0"/>
          <w:sz w:val="32"/>
          <w:szCs w:val="32"/>
          <w:vertAlign w:val="superscript"/>
        </w:rPr>
        <w:t>[6]</w:t>
      </w:r>
      <w:r>
        <w:rPr>
          <w:rFonts w:ascii="仿宋" w:hAnsi="仿宋" w:eastAsia="仿宋"/>
          <w:color w:val="auto"/>
          <w:kern w:val="0"/>
          <w:sz w:val="32"/>
          <w:szCs w:val="32"/>
          <w:vertAlign w:val="superscript"/>
        </w:rPr>
        <w:fldChar w:fldCharType="end"/>
      </w:r>
      <w:r>
        <w:rPr>
          <w:rFonts w:hint="eastAsia" w:ascii="仿宋" w:hAnsi="仿宋" w:eastAsia="仿宋"/>
          <w:color w:val="auto"/>
          <w:kern w:val="0"/>
          <w:sz w:val="32"/>
          <w:szCs w:val="32"/>
        </w:rPr>
        <w:t>。称样量为1g,定容体积为1mL时，检出限为0.13mg/kg，定量限为0.46mg/kg</w:t>
      </w:r>
      <w:bookmarkStart w:id="25" w:name="_Toc102051979"/>
      <w:r>
        <w:rPr>
          <w:rFonts w:hint="eastAsia" w:ascii="仿宋" w:hAnsi="仿宋" w:eastAsia="仿宋"/>
          <w:color w:val="auto"/>
          <w:kern w:val="0"/>
          <w:sz w:val="32"/>
          <w:szCs w:val="32"/>
        </w:rPr>
        <w:t>。</w:t>
      </w:r>
    </w:p>
    <w:p>
      <w:pPr>
        <w:tabs>
          <w:tab w:val="left" w:pos="7224"/>
        </w:tabs>
        <w:spacing w:line="360" w:lineRule="auto"/>
        <w:ind w:firstLine="482" w:firstLineChars="150"/>
        <w:jc w:val="left"/>
        <w:outlineLvl w:val="2"/>
        <w:rPr>
          <w:rFonts w:ascii="宋体" w:hAnsi="宋体"/>
          <w:b/>
          <w:color w:val="auto"/>
          <w:kern w:val="0"/>
          <w:sz w:val="32"/>
          <w:szCs w:val="32"/>
          <w:lang w:val="zh-CN"/>
        </w:rPr>
      </w:pPr>
      <w:r>
        <w:rPr>
          <w:rFonts w:hint="eastAsia" w:ascii="宋体" w:hAnsi="宋体"/>
          <w:b/>
          <w:color w:val="auto"/>
          <w:kern w:val="0"/>
          <w:sz w:val="32"/>
          <w:szCs w:val="32"/>
          <w:lang w:val="zh-CN"/>
        </w:rPr>
        <w:t>（4）标准曲线的建立和线性范围的确定</w:t>
      </w:r>
      <w:bookmarkEnd w:id="25"/>
    </w:p>
    <w:p>
      <w:pPr>
        <w:pStyle w:val="30"/>
        <w:numPr>
          <w:ilvl w:val="0"/>
          <w:numId w:val="0"/>
        </w:numPr>
        <w:spacing w:before="156" w:after="156"/>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取褐藻寡糖储备液（1.0mg/ml），用去离子水配制成浓度分别是0mg/ml、0.02mg/ml、0.04mg/ml、0.06mg/ml、0.08mg/ml、0.10mg/ml的标准工作溶液。（参考浓度，可根据实际需要调整）。</w:t>
      </w:r>
    </w:p>
    <w:p>
      <w:pPr>
        <w:pStyle w:val="30"/>
        <w:numPr>
          <w:ilvl w:val="0"/>
          <w:numId w:val="0"/>
        </w:numPr>
        <w:spacing w:before="156" w:after="156"/>
        <w:ind w:firstLine="640" w:firstLineChars="200"/>
        <w:rPr>
          <w:rFonts w:ascii="仿宋" w:hAnsi="仿宋" w:eastAsia="仿宋"/>
          <w:color w:val="auto"/>
          <w:sz w:val="32"/>
          <w:szCs w:val="32"/>
        </w:rPr>
      </w:pPr>
      <w:r>
        <w:rPr>
          <w:rFonts w:hint="eastAsia" w:ascii="仿宋" w:hAnsi="仿宋" w:eastAsia="仿宋"/>
          <w:color w:val="auto"/>
          <w:sz w:val="32"/>
          <w:szCs w:val="32"/>
          <w:highlight w:val="none"/>
        </w:rPr>
        <w:t>由低质量浓度到高质量依次对标准系列溶液测定，以标准系列溶液中目标组分浓度为横坐标，以其对应的吸光值纵坐标，建立校准曲线。校准曲线的相关</w:t>
      </w:r>
      <w:r>
        <w:rPr>
          <w:rFonts w:hint="eastAsia" w:ascii="仿宋" w:hAnsi="仿宋" w:eastAsia="仿宋"/>
          <w:color w:val="auto"/>
          <w:sz w:val="32"/>
          <w:szCs w:val="32"/>
        </w:rPr>
        <w:t>系数≥0.999，否则重新绘制校准曲线。</w:t>
      </w:r>
    </w:p>
    <w:p>
      <w:pPr>
        <w:pStyle w:val="30"/>
        <w:numPr>
          <w:ilvl w:val="0"/>
          <w:numId w:val="0"/>
        </w:numPr>
        <w:spacing w:before="156" w:after="156"/>
        <w:ind w:firstLine="640" w:firstLineChars="200"/>
        <w:jc w:val="center"/>
        <w:rPr>
          <w:rFonts w:ascii="仿宋" w:hAnsi="仿宋" w:eastAsia="仿宋"/>
          <w:color w:val="auto"/>
          <w:sz w:val="32"/>
          <w:szCs w:val="32"/>
        </w:rPr>
      </w:pPr>
      <w:r>
        <w:rPr>
          <w:rFonts w:hint="eastAsia" w:ascii="仿宋" w:hAnsi="仿宋" w:eastAsia="仿宋"/>
          <w:color w:val="auto"/>
          <w:sz w:val="32"/>
          <w:szCs w:val="32"/>
        </w:rPr>
        <w:t>表3 标准曲线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46"/>
        <w:gridCol w:w="3256"/>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编号</w:t>
            </w:r>
          </w:p>
        </w:tc>
        <w:tc>
          <w:tcPr>
            <w:tcW w:w="3256" w:type="dxa"/>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浓度</w:t>
            </w:r>
            <w:r>
              <w:rPr>
                <w:rFonts w:hint="eastAsia" w:ascii="仿宋" w:hAnsi="仿宋" w:eastAsia="仿宋"/>
                <w:color w:val="auto"/>
                <w:szCs w:val="21"/>
              </w:rPr>
              <w:t>mg/ml</w:t>
            </w:r>
          </w:p>
        </w:tc>
        <w:tc>
          <w:tcPr>
            <w:tcW w:w="3254"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吸收值A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St</w:t>
            </w:r>
            <w:r>
              <w:rPr>
                <w:rFonts w:hint="eastAsia" w:ascii="仿宋" w:hAnsi="仿宋" w:eastAsia="仿宋"/>
                <w:color w:val="auto"/>
                <w:szCs w:val="21"/>
              </w:rPr>
              <w:t>d1</w:t>
            </w:r>
          </w:p>
        </w:tc>
        <w:tc>
          <w:tcPr>
            <w:tcW w:w="325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w:t>
            </w:r>
          </w:p>
        </w:tc>
        <w:tc>
          <w:tcPr>
            <w:tcW w:w="3254"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S</w:t>
            </w:r>
            <w:r>
              <w:rPr>
                <w:rFonts w:hint="eastAsia" w:ascii="仿宋" w:hAnsi="仿宋" w:eastAsia="仿宋"/>
                <w:color w:val="auto"/>
                <w:szCs w:val="21"/>
              </w:rPr>
              <w:t>td2</w:t>
            </w:r>
          </w:p>
        </w:tc>
        <w:tc>
          <w:tcPr>
            <w:tcW w:w="325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0.02</w:t>
            </w:r>
          </w:p>
        </w:tc>
        <w:tc>
          <w:tcPr>
            <w:tcW w:w="3254"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S</w:t>
            </w:r>
            <w:r>
              <w:rPr>
                <w:rFonts w:hint="eastAsia" w:ascii="仿宋" w:hAnsi="仿宋" w:eastAsia="仿宋"/>
                <w:color w:val="auto"/>
                <w:szCs w:val="21"/>
              </w:rPr>
              <w:t>td3</w:t>
            </w:r>
          </w:p>
        </w:tc>
        <w:tc>
          <w:tcPr>
            <w:tcW w:w="325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0.04</w:t>
            </w:r>
          </w:p>
        </w:tc>
        <w:tc>
          <w:tcPr>
            <w:tcW w:w="3254"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S</w:t>
            </w:r>
            <w:r>
              <w:rPr>
                <w:rFonts w:hint="eastAsia" w:ascii="仿宋" w:hAnsi="仿宋" w:eastAsia="仿宋"/>
                <w:color w:val="auto"/>
                <w:szCs w:val="21"/>
              </w:rPr>
              <w:t>td4</w:t>
            </w:r>
          </w:p>
        </w:tc>
        <w:tc>
          <w:tcPr>
            <w:tcW w:w="325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0.06</w:t>
            </w:r>
          </w:p>
        </w:tc>
        <w:tc>
          <w:tcPr>
            <w:tcW w:w="3254"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S</w:t>
            </w:r>
            <w:r>
              <w:rPr>
                <w:rFonts w:hint="eastAsia" w:ascii="仿宋" w:hAnsi="仿宋" w:eastAsia="仿宋"/>
                <w:color w:val="auto"/>
                <w:szCs w:val="21"/>
              </w:rPr>
              <w:t>td5</w:t>
            </w:r>
          </w:p>
        </w:tc>
        <w:tc>
          <w:tcPr>
            <w:tcW w:w="325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0.08</w:t>
            </w:r>
          </w:p>
        </w:tc>
        <w:tc>
          <w:tcPr>
            <w:tcW w:w="3254"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S</w:t>
            </w:r>
            <w:r>
              <w:rPr>
                <w:rFonts w:hint="eastAsia" w:ascii="仿宋" w:hAnsi="仿宋" w:eastAsia="仿宋"/>
                <w:color w:val="auto"/>
                <w:szCs w:val="21"/>
              </w:rPr>
              <w:t>td6</w:t>
            </w:r>
          </w:p>
        </w:tc>
        <w:tc>
          <w:tcPr>
            <w:tcW w:w="325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0.10</w:t>
            </w:r>
          </w:p>
        </w:tc>
        <w:tc>
          <w:tcPr>
            <w:tcW w:w="3254"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jc w:val="center"/>
              <w:rPr>
                <w:rFonts w:ascii="仿宋" w:hAnsi="仿宋" w:eastAsia="仿宋"/>
                <w:color w:val="auto"/>
                <w:szCs w:val="21"/>
              </w:rPr>
            </w:pPr>
            <w:r>
              <w:rPr>
                <w:rFonts w:hint="eastAsia" w:ascii="仿宋" w:hAnsi="仿宋" w:eastAsia="仿宋"/>
                <w:color w:val="auto"/>
                <w:szCs w:val="21"/>
              </w:rPr>
              <w:t>回归曲线</w:t>
            </w:r>
          </w:p>
        </w:tc>
        <w:tc>
          <w:tcPr>
            <w:tcW w:w="6510" w:type="dxa"/>
            <w:gridSpan w:val="2"/>
            <w:vAlign w:val="center"/>
          </w:tcPr>
          <w:p>
            <w:pPr>
              <w:pStyle w:val="30"/>
              <w:widowControl w:val="0"/>
              <w:numPr>
                <w:ilvl w:val="0"/>
                <w:numId w:val="0"/>
              </w:numPr>
              <w:spacing w:before="156" w:after="156"/>
              <w:jc w:val="center"/>
              <w:rPr>
                <w:rFonts w:ascii="仿宋" w:hAnsi="仿宋" w:eastAsia="仿宋"/>
                <w:color w:val="auto"/>
                <w:szCs w:val="21"/>
              </w:rPr>
            </w:pPr>
            <w:r>
              <w:rPr>
                <w:rFonts w:ascii="仿宋" w:hAnsi="仿宋" w:eastAsia="仿宋"/>
                <w:color w:val="auto"/>
                <w:szCs w:val="21"/>
              </w:rPr>
              <w:t>y = 9.0868 x + 0.0054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3246" w:type="dxa"/>
            <w:vAlign w:val="center"/>
          </w:tcPr>
          <w:p>
            <w:pPr>
              <w:pStyle w:val="30"/>
              <w:widowControl w:val="0"/>
              <w:numPr>
                <w:ilvl w:val="0"/>
                <w:numId w:val="0"/>
              </w:numPr>
              <w:spacing w:before="156" w:after="156" w:line="240" w:lineRule="exact"/>
              <w:jc w:val="center"/>
              <w:rPr>
                <w:rFonts w:ascii="仿宋" w:hAnsi="仿宋" w:eastAsia="仿宋"/>
                <w:color w:val="auto"/>
                <w:szCs w:val="21"/>
              </w:rPr>
            </w:pPr>
            <w:r>
              <w:rPr>
                <w:rFonts w:ascii="仿宋" w:hAnsi="仿宋" w:eastAsia="仿宋"/>
                <w:color w:val="auto"/>
                <w:szCs w:val="21"/>
              </w:rPr>
              <w:t>相关系数</w:t>
            </w:r>
          </w:p>
        </w:tc>
        <w:tc>
          <w:tcPr>
            <w:tcW w:w="6510" w:type="dxa"/>
            <w:gridSpan w:val="2"/>
            <w:vAlign w:val="center"/>
          </w:tcPr>
          <w:p>
            <w:pPr>
              <w:pStyle w:val="30"/>
              <w:widowControl w:val="0"/>
              <w:numPr>
                <w:ilvl w:val="0"/>
                <w:numId w:val="0"/>
              </w:numPr>
              <w:spacing w:before="156" w:after="156" w:line="240" w:lineRule="exact"/>
              <w:jc w:val="center"/>
              <w:rPr>
                <w:rFonts w:ascii="仿宋" w:hAnsi="仿宋" w:eastAsia="仿宋"/>
                <w:color w:val="auto"/>
                <w:szCs w:val="21"/>
              </w:rPr>
            </w:pPr>
            <w:r>
              <w:rPr>
                <w:rFonts w:hint="eastAsia" w:ascii="仿宋" w:hAnsi="仿宋" w:eastAsia="仿宋"/>
                <w:color w:val="auto"/>
                <w:szCs w:val="21"/>
              </w:rPr>
              <w:t>R</w:t>
            </w:r>
            <w:r>
              <w:rPr>
                <w:rFonts w:hint="eastAsia" w:ascii="仿宋" w:hAnsi="仿宋" w:eastAsia="仿宋"/>
                <w:color w:val="auto"/>
                <w:szCs w:val="21"/>
                <w:vertAlign w:val="superscript"/>
              </w:rPr>
              <w:t>2</w:t>
            </w:r>
            <w:r>
              <w:rPr>
                <w:rFonts w:hint="eastAsia" w:ascii="仿宋" w:hAnsi="仿宋" w:eastAsia="仿宋"/>
                <w:color w:val="auto"/>
                <w:szCs w:val="21"/>
              </w:rPr>
              <w:t>=0.9999</w:t>
            </w:r>
          </w:p>
        </w:tc>
      </w:tr>
    </w:tbl>
    <w:p>
      <w:pPr>
        <w:tabs>
          <w:tab w:val="left" w:pos="7224"/>
        </w:tabs>
        <w:spacing w:line="360" w:lineRule="auto"/>
        <w:ind w:firstLine="482" w:firstLineChars="150"/>
        <w:jc w:val="left"/>
        <w:outlineLvl w:val="2"/>
        <w:rPr>
          <w:rFonts w:ascii="宋体" w:hAnsi="宋体"/>
          <w:b/>
          <w:color w:val="auto"/>
          <w:kern w:val="0"/>
          <w:sz w:val="32"/>
          <w:szCs w:val="32"/>
          <w:lang w:val="zh-CN"/>
        </w:rPr>
      </w:pPr>
      <w:bookmarkStart w:id="26" w:name="_Toc102051980"/>
      <w:r>
        <w:rPr>
          <w:rFonts w:hint="eastAsia" w:ascii="宋体" w:hAnsi="宋体"/>
          <w:b/>
          <w:color w:val="auto"/>
          <w:kern w:val="0"/>
          <w:sz w:val="32"/>
          <w:szCs w:val="32"/>
          <w:lang w:val="zh-CN"/>
        </w:rPr>
        <w:t>（5）标准方法的验证数据</w:t>
      </w:r>
      <w:bookmarkEnd w:id="26"/>
    </w:p>
    <w:p>
      <w:pPr>
        <w:pStyle w:val="30"/>
        <w:numPr>
          <w:ilvl w:val="0"/>
          <w:numId w:val="0"/>
        </w:numPr>
        <w:spacing w:before="156" w:after="156"/>
        <w:ind w:left="1078" w:hanging="1078" w:hangingChars="337"/>
        <w:rPr>
          <w:rFonts w:ascii="仿宋" w:hAnsi="仿宋" w:eastAsia="仿宋"/>
          <w:color w:val="auto"/>
          <w:sz w:val="32"/>
          <w:szCs w:val="32"/>
        </w:rPr>
      </w:pPr>
      <w:r>
        <w:rPr>
          <w:rFonts w:hint="eastAsia" w:ascii="仿宋" w:hAnsi="仿宋" w:eastAsia="仿宋"/>
          <w:color w:val="auto"/>
          <w:sz w:val="32"/>
          <w:szCs w:val="32"/>
        </w:rPr>
        <w:t xml:space="preserve">    详见验证报告。</w:t>
      </w:r>
    </w:p>
    <w:p>
      <w:pPr>
        <w:pStyle w:val="30"/>
        <w:numPr>
          <w:ilvl w:val="0"/>
          <w:numId w:val="0"/>
        </w:numPr>
        <w:spacing w:before="156" w:after="156"/>
        <w:ind w:firstLine="643" w:firstLineChars="200"/>
        <w:outlineLvl w:val="0"/>
        <w:rPr>
          <w:rFonts w:ascii="仿宋" w:hAnsi="仿宋" w:eastAsia="仿宋"/>
          <w:b/>
          <w:color w:val="auto"/>
          <w:kern w:val="2"/>
          <w:sz w:val="32"/>
          <w:szCs w:val="32"/>
        </w:rPr>
      </w:pPr>
      <w:bookmarkStart w:id="27" w:name="_Toc102051981"/>
      <w:r>
        <w:rPr>
          <w:rFonts w:hint="eastAsia" w:ascii="仿宋" w:hAnsi="仿宋" w:eastAsia="仿宋"/>
          <w:b/>
          <w:color w:val="auto"/>
          <w:kern w:val="2"/>
          <w:sz w:val="32"/>
          <w:szCs w:val="32"/>
        </w:rPr>
        <w:t>四、标准实施建议</w:t>
      </w:r>
      <w:bookmarkEnd w:id="27"/>
    </w:p>
    <w:p>
      <w:pPr>
        <w:pStyle w:val="39"/>
        <w:numPr>
          <w:ilvl w:val="0"/>
          <w:numId w:val="4"/>
        </w:numPr>
        <w:ind w:firstLineChars="0"/>
        <w:outlineLvl w:val="1"/>
        <w:rPr>
          <w:rFonts w:ascii="仿宋" w:hAnsi="仿宋" w:eastAsia="仿宋"/>
          <w:b/>
          <w:color w:val="auto"/>
          <w:sz w:val="32"/>
          <w:szCs w:val="32"/>
        </w:rPr>
      </w:pPr>
      <w:bookmarkStart w:id="28" w:name="_Toc102051982"/>
      <w:r>
        <w:rPr>
          <w:rFonts w:hint="eastAsia" w:ascii="仿宋" w:hAnsi="仿宋" w:eastAsia="仿宋"/>
          <w:b/>
          <w:color w:val="auto"/>
          <w:sz w:val="32"/>
          <w:szCs w:val="32"/>
        </w:rPr>
        <w:t>广泛宣传</w:t>
      </w:r>
      <w:bookmarkEnd w:id="28"/>
    </w:p>
    <w:p>
      <w:pPr>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中褐藻寡糖含量的检测方法》作为</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中褐藻寡糖含量的评估的参考，各相关单位应充分利用多种形式广泛宣传，营造一个良好氛围。</w:t>
      </w:r>
    </w:p>
    <w:p>
      <w:pPr>
        <w:pStyle w:val="39"/>
        <w:numPr>
          <w:ilvl w:val="0"/>
          <w:numId w:val="4"/>
        </w:numPr>
        <w:ind w:firstLineChars="0"/>
        <w:outlineLvl w:val="1"/>
        <w:rPr>
          <w:rFonts w:ascii="仿宋" w:hAnsi="仿宋" w:eastAsia="仿宋"/>
          <w:b/>
          <w:color w:val="auto"/>
          <w:sz w:val="32"/>
          <w:szCs w:val="32"/>
        </w:rPr>
      </w:pPr>
      <w:bookmarkStart w:id="29" w:name="_Toc102051983"/>
      <w:r>
        <w:rPr>
          <w:rFonts w:hint="eastAsia" w:ascii="仿宋" w:hAnsi="仿宋" w:eastAsia="仿宋"/>
          <w:b/>
          <w:color w:val="auto"/>
          <w:sz w:val="32"/>
          <w:szCs w:val="32"/>
        </w:rPr>
        <w:t>组织实施</w:t>
      </w:r>
      <w:bookmarkEnd w:id="29"/>
    </w:p>
    <w:p>
      <w:pPr>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待标准发布后，相关单位应尽快制定</w:t>
      </w:r>
      <w:r>
        <w:rPr>
          <w:rFonts w:ascii="仿宋" w:hAnsi="仿宋" w:eastAsia="仿宋"/>
          <w:color w:val="auto"/>
          <w:kern w:val="0"/>
          <w:sz w:val="32"/>
          <w:szCs w:val="32"/>
        </w:rPr>
        <w:t>指导</w:t>
      </w:r>
      <w:r>
        <w:rPr>
          <w:rFonts w:hint="eastAsia" w:ascii="仿宋" w:hAnsi="仿宋" w:eastAsia="仿宋"/>
          <w:color w:val="auto"/>
          <w:kern w:val="0"/>
          <w:sz w:val="32"/>
          <w:szCs w:val="32"/>
        </w:rPr>
        <w:t>计划，促使相关单位和个人组织实施。</w:t>
      </w:r>
    </w:p>
    <w:p>
      <w:pPr>
        <w:pStyle w:val="39"/>
        <w:numPr>
          <w:ilvl w:val="0"/>
          <w:numId w:val="4"/>
        </w:numPr>
        <w:ind w:firstLineChars="0"/>
        <w:outlineLvl w:val="1"/>
        <w:rPr>
          <w:rFonts w:ascii="仿宋" w:hAnsi="仿宋" w:eastAsia="仿宋"/>
          <w:b/>
          <w:color w:val="auto"/>
          <w:sz w:val="32"/>
          <w:szCs w:val="32"/>
        </w:rPr>
      </w:pPr>
      <w:bookmarkStart w:id="30" w:name="_Toc102051984"/>
      <w:r>
        <w:rPr>
          <w:rFonts w:hint="eastAsia" w:ascii="仿宋" w:hAnsi="仿宋" w:eastAsia="仿宋"/>
          <w:b/>
          <w:color w:val="auto"/>
          <w:sz w:val="32"/>
          <w:szCs w:val="32"/>
        </w:rPr>
        <w:t>评价和改进</w:t>
      </w:r>
      <w:bookmarkEnd w:id="30"/>
    </w:p>
    <w:p>
      <w:pPr>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定期对《</w:t>
      </w:r>
      <w:r>
        <w:rPr>
          <w:rFonts w:hint="eastAsia" w:ascii="仿宋" w:hAnsi="仿宋" w:eastAsia="仿宋"/>
          <w:color w:val="auto"/>
          <w:kern w:val="0"/>
          <w:sz w:val="32"/>
          <w:szCs w:val="32"/>
          <w:lang w:eastAsia="zh-CN"/>
        </w:rPr>
        <w:t>复合肥料</w:t>
      </w:r>
      <w:r>
        <w:rPr>
          <w:rFonts w:hint="eastAsia" w:ascii="仿宋" w:hAnsi="仿宋" w:eastAsia="仿宋"/>
          <w:color w:val="auto"/>
          <w:kern w:val="0"/>
          <w:sz w:val="32"/>
          <w:szCs w:val="32"/>
        </w:rPr>
        <w:t>中褐藻寡糖含量的检测方法》开展科学性、有效性、适宜性的评价，通过评价工作发现目前标准中存在问题和改进的方向，对现有标准进行完善。</w:t>
      </w:r>
    </w:p>
    <w:p>
      <w:pPr>
        <w:pStyle w:val="30"/>
        <w:numPr>
          <w:ilvl w:val="0"/>
          <w:numId w:val="0"/>
        </w:numPr>
        <w:spacing w:before="156" w:after="156"/>
        <w:ind w:firstLine="643" w:firstLineChars="200"/>
        <w:outlineLvl w:val="0"/>
        <w:rPr>
          <w:rFonts w:hint="eastAsia" w:ascii="仿宋" w:hAnsi="仿宋" w:eastAsia="仿宋"/>
          <w:b/>
          <w:color w:val="auto"/>
          <w:kern w:val="2"/>
          <w:sz w:val="32"/>
          <w:szCs w:val="32"/>
        </w:rPr>
      </w:pPr>
      <w:r>
        <w:rPr>
          <w:rFonts w:hint="eastAsia" w:ascii="仿宋" w:hAnsi="仿宋" w:eastAsia="仿宋"/>
          <w:b/>
          <w:color w:val="auto"/>
          <w:kern w:val="2"/>
          <w:sz w:val="32"/>
          <w:szCs w:val="32"/>
          <w:lang w:eastAsia="zh-CN"/>
        </w:rPr>
        <w:t>五</w:t>
      </w:r>
      <w:r>
        <w:rPr>
          <w:rFonts w:hint="eastAsia" w:ascii="仿宋" w:hAnsi="仿宋" w:eastAsia="仿宋"/>
          <w:b/>
          <w:color w:val="auto"/>
          <w:kern w:val="2"/>
          <w:sz w:val="32"/>
          <w:szCs w:val="32"/>
        </w:rPr>
        <w:t>、标准水平</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（一）、与现有标准及修订中的标准协调配套情况</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本文件与现有标准及修订中的标准协调配套，未发现冲突情况。</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（二）、涉及国内外专利及处置情况</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经查，本文件没有涉及国内外专利。</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六、与有关的现行法律、法规和强制性国家标准的关系</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本文件与有关现行法律、法规和强制性国家标准具有一致性，无冲突之处。</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七、重大分歧意见的处理经过和依据</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无。</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八.标准作为强制性或推荐性国家（或行业）标准的建议</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无。</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九.贯彻标准的要求和措施建议</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无。</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十、废止现行有关标准的建议</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无。</w:t>
      </w:r>
    </w:p>
    <w:p>
      <w:pPr>
        <w:ind w:firstLine="643" w:firstLineChars="200"/>
        <w:rPr>
          <w:rFonts w:hint="eastAsia" w:ascii="仿宋" w:hAnsi="仿宋" w:eastAsia="仿宋" w:cs="Times New Roman"/>
          <w:b/>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十一、其他应予以说明的事项</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无。</w:t>
      </w:r>
    </w:p>
    <w:p>
      <w:pPr>
        <w:ind w:firstLine="640" w:firstLineChars="200"/>
        <w:rPr>
          <w:rFonts w:hint="eastAsia" w:ascii="仿宋" w:hAnsi="仿宋" w:eastAsia="仿宋"/>
          <w:color w:val="auto"/>
          <w:kern w:val="0"/>
          <w:sz w:val="32"/>
          <w:szCs w:val="32"/>
        </w:rPr>
      </w:pPr>
    </w:p>
    <w:p>
      <w:pPr>
        <w:ind w:firstLine="4160" w:firstLineChars="1300"/>
        <w:rPr>
          <w:rFonts w:hint="eastAsia" w:ascii="仿宋" w:hAnsi="仿宋" w:eastAsia="仿宋"/>
          <w:color w:val="auto"/>
          <w:kern w:val="0"/>
          <w:sz w:val="32"/>
          <w:szCs w:val="32"/>
        </w:rPr>
      </w:pPr>
      <w:r>
        <w:rPr>
          <w:rFonts w:hint="eastAsia" w:ascii="仿宋" w:hAnsi="仿宋" w:eastAsia="仿宋"/>
          <w:color w:val="auto"/>
          <w:kern w:val="0"/>
          <w:sz w:val="32"/>
          <w:szCs w:val="32"/>
        </w:rPr>
        <w:t>《复合肥料中褐藻寡糖含量的检测方法》</w:t>
      </w:r>
    </w:p>
    <w:p>
      <w:pPr>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 xml:space="preserve">                   </w:t>
      </w:r>
      <w:r>
        <w:rPr>
          <w:rFonts w:hint="eastAsia" w:ascii="仿宋" w:hAnsi="仿宋" w:eastAsia="仿宋"/>
          <w:color w:val="auto"/>
          <w:kern w:val="0"/>
          <w:sz w:val="32"/>
          <w:szCs w:val="32"/>
          <w:lang w:val="en-US" w:eastAsia="zh-CN"/>
        </w:rPr>
        <w:t xml:space="preserve">                 </w:t>
      </w:r>
      <w:r>
        <w:rPr>
          <w:rFonts w:hint="eastAsia" w:ascii="仿宋" w:hAnsi="仿宋" w:eastAsia="仿宋"/>
          <w:color w:val="auto"/>
          <w:kern w:val="0"/>
          <w:sz w:val="32"/>
          <w:szCs w:val="32"/>
        </w:rPr>
        <w:t>标准编制组</w:t>
      </w:r>
    </w:p>
    <w:p>
      <w:pPr>
        <w:ind w:firstLine="6080" w:firstLineChars="1900"/>
        <w:rPr>
          <w:rFonts w:ascii="仿宋" w:hAnsi="仿宋" w:eastAsia="仿宋"/>
          <w:color w:val="auto"/>
          <w:kern w:val="0"/>
          <w:sz w:val="32"/>
          <w:szCs w:val="32"/>
        </w:rPr>
      </w:pPr>
      <w:r>
        <w:rPr>
          <w:rFonts w:hint="eastAsia" w:ascii="仿宋" w:hAnsi="仿宋" w:eastAsia="仿宋"/>
          <w:color w:val="auto"/>
          <w:kern w:val="0"/>
          <w:sz w:val="32"/>
          <w:szCs w:val="32"/>
        </w:rPr>
        <w:t>2022年1</w:t>
      </w:r>
      <w:r>
        <w:rPr>
          <w:rFonts w:hint="eastAsia" w:ascii="仿宋" w:hAnsi="仿宋" w:eastAsia="仿宋"/>
          <w:color w:val="auto"/>
          <w:kern w:val="0"/>
          <w:sz w:val="32"/>
          <w:szCs w:val="32"/>
          <w:lang w:val="en-US" w:eastAsia="zh-CN"/>
        </w:rPr>
        <w:t>0</w:t>
      </w:r>
      <w:r>
        <w:rPr>
          <w:rFonts w:hint="eastAsia" w:ascii="仿宋" w:hAnsi="仿宋" w:eastAsia="仿宋"/>
          <w:color w:val="auto"/>
          <w:kern w:val="0"/>
          <w:sz w:val="32"/>
          <w:szCs w:val="32"/>
        </w:rPr>
        <w:t>月</w:t>
      </w:r>
      <w:r>
        <w:rPr>
          <w:rFonts w:hint="eastAsia" w:ascii="仿宋" w:hAnsi="仿宋" w:eastAsia="仿宋"/>
          <w:color w:val="auto"/>
          <w:kern w:val="0"/>
          <w:sz w:val="32"/>
          <w:szCs w:val="32"/>
          <w:lang w:val="en-US" w:eastAsia="zh-CN"/>
        </w:rPr>
        <w:t>30</w:t>
      </w:r>
      <w:r>
        <w:rPr>
          <w:rFonts w:hint="eastAsia" w:ascii="仿宋" w:hAnsi="仿宋" w:eastAsia="仿宋"/>
          <w:color w:val="auto"/>
          <w:kern w:val="0"/>
          <w:sz w:val="32"/>
          <w:szCs w:val="32"/>
        </w:rPr>
        <w:t>日</w:t>
      </w:r>
    </w:p>
    <w:p>
      <w:pPr>
        <w:ind w:firstLine="640" w:firstLineChars="200"/>
        <w:rPr>
          <w:rFonts w:ascii="仿宋" w:hAnsi="仿宋" w:eastAsia="仿宋"/>
          <w:color w:val="auto"/>
          <w:kern w:val="0"/>
          <w:sz w:val="32"/>
          <w:szCs w:val="32"/>
        </w:rPr>
      </w:pPr>
    </w:p>
    <w:p>
      <w:pPr>
        <w:pStyle w:val="36"/>
        <w:autoSpaceDE w:val="0"/>
        <w:autoSpaceDN w:val="0"/>
        <w:adjustRightInd w:val="0"/>
        <w:ind w:firstLine="0" w:firstLineChars="0"/>
        <w:rPr>
          <w:rFonts w:ascii="仿宋" w:hAnsi="仿宋" w:eastAsia="仿宋"/>
          <w:color w:val="auto"/>
          <w:sz w:val="32"/>
          <w:szCs w:val="32"/>
        </w:rPr>
      </w:pPr>
    </w:p>
    <w:p>
      <w:pPr>
        <w:pStyle w:val="30"/>
        <w:numPr>
          <w:ilvl w:val="0"/>
          <w:numId w:val="0"/>
        </w:numPr>
        <w:spacing w:before="156" w:after="156"/>
        <w:ind w:firstLine="643" w:firstLineChars="200"/>
        <w:outlineLvl w:val="0"/>
        <w:rPr>
          <w:rFonts w:ascii="仿宋" w:hAnsi="仿宋" w:eastAsia="仿宋"/>
          <w:b/>
          <w:color w:val="auto"/>
          <w:kern w:val="2"/>
          <w:sz w:val="32"/>
          <w:szCs w:val="32"/>
        </w:rPr>
      </w:pPr>
      <w:bookmarkStart w:id="31" w:name="_Toc102051985"/>
      <w:r>
        <w:rPr>
          <w:rFonts w:hint="eastAsia" w:ascii="仿宋" w:hAnsi="仿宋" w:eastAsia="仿宋"/>
          <w:b/>
          <w:color w:val="auto"/>
          <w:kern w:val="2"/>
          <w:sz w:val="32"/>
          <w:szCs w:val="32"/>
        </w:rPr>
        <w:t>参考文献</w:t>
      </w:r>
      <w:bookmarkEnd w:id="31"/>
      <w:r>
        <w:rPr>
          <w:rFonts w:ascii="仿宋" w:hAnsi="仿宋" w:eastAsia="仿宋"/>
          <w:b/>
          <w:color w:val="auto"/>
          <w:kern w:val="2"/>
          <w:sz w:val="32"/>
          <w:szCs w:val="32"/>
        </w:rPr>
        <w:fldChar w:fldCharType="begin"/>
      </w:r>
      <w:r>
        <w:rPr>
          <w:rFonts w:ascii="仿宋" w:hAnsi="仿宋" w:eastAsia="仿宋"/>
          <w:b/>
          <w:color w:val="auto"/>
          <w:kern w:val="2"/>
          <w:sz w:val="32"/>
          <w:szCs w:val="32"/>
        </w:rPr>
        <w:instrText xml:space="preserve"> ADDIN NE.Bib</w:instrText>
      </w:r>
      <w:r>
        <w:rPr>
          <w:rFonts w:ascii="仿宋" w:hAnsi="仿宋" w:eastAsia="仿宋"/>
          <w:b/>
          <w:color w:val="auto"/>
          <w:kern w:val="2"/>
          <w:sz w:val="32"/>
          <w:szCs w:val="32"/>
        </w:rPr>
        <w:fldChar w:fldCharType="separate"/>
      </w:r>
    </w:p>
    <w:p>
      <w:pPr>
        <w:pStyle w:val="39"/>
        <w:numPr>
          <w:ilvl w:val="0"/>
          <w:numId w:val="5"/>
        </w:numPr>
        <w:ind w:firstLineChars="0"/>
        <w:jc w:val="left"/>
        <w:rPr>
          <w:rFonts w:asciiTheme="minorEastAsia" w:hAnsiTheme="minorEastAsia" w:eastAsiaTheme="minorEastAsia"/>
          <w:color w:val="auto"/>
          <w:szCs w:val="21"/>
          <w:shd w:val="clear" w:color="auto" w:fill="FFFFFF"/>
        </w:rPr>
      </w:pPr>
      <w:r>
        <w:rPr>
          <w:color w:val="auto"/>
          <w:lang w:val="zh-CN"/>
        </w:rPr>
        <w:fldChar w:fldCharType="end"/>
      </w:r>
      <w:r>
        <w:rPr>
          <w:rFonts w:hint="eastAsia" w:asciiTheme="minorEastAsia" w:hAnsiTheme="minorEastAsia" w:eastAsiaTheme="minorEastAsia"/>
          <w:color w:val="auto"/>
          <w:szCs w:val="21"/>
          <w:shd w:val="clear" w:color="auto" w:fill="FFFFFF"/>
        </w:rPr>
        <w:t>Kellman</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L.M.,</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Hillaire</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Marcel</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C.,</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Evaluation</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of</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nitrogen</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isotopes</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as</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indicators</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of  nitrate contamination</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sources</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in</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an</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agricultural</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watershed.Agriculture，Ecosystems</w:t>
      </w:r>
      <w:r>
        <w:rPr>
          <w:rFonts w:hint="eastAsia" w:asciiTheme="minorEastAsia" w:hAnsiTheme="minorEastAsia" w:eastAsiaTheme="minorEastAsia"/>
          <w:color w:val="auto"/>
          <w:szCs w:val="21"/>
          <w:shd w:val="clear" w:color="auto" w:fill="FFFFFF"/>
          <w:lang w:val="en-US" w:eastAsia="zh-CN"/>
        </w:rPr>
        <w:t xml:space="preserve"> </w:t>
      </w:r>
      <w:r>
        <w:rPr>
          <w:rFonts w:hint="eastAsia" w:asciiTheme="minorEastAsia" w:hAnsiTheme="minorEastAsia" w:eastAsiaTheme="minorEastAsia"/>
          <w:color w:val="auto"/>
          <w:szCs w:val="21"/>
          <w:shd w:val="clear" w:color="auto" w:fill="FFFFFF"/>
        </w:rPr>
        <w:t>and Environment，2003(95): 87</w:t>
      </w:r>
      <w:r>
        <w:rPr>
          <w:rFonts w:hint="eastAsia" w:asciiTheme="minorEastAsia" w:hAnsiTheme="minorEastAsia" w:eastAsiaTheme="minorEastAsia"/>
          <w:color w:val="auto"/>
          <w:szCs w:val="21"/>
          <w:shd w:val="clear" w:color="auto" w:fill="FFFFFF"/>
          <w:lang w:val="en-US" w:eastAsia="zh-CN"/>
        </w:rPr>
        <w:t>-</w:t>
      </w:r>
      <w:r>
        <w:rPr>
          <w:rFonts w:hint="eastAsia" w:asciiTheme="minorEastAsia" w:hAnsiTheme="minorEastAsia" w:eastAsiaTheme="minorEastAsia"/>
          <w:color w:val="auto"/>
          <w:szCs w:val="21"/>
          <w:shd w:val="clear" w:color="auto" w:fill="FFFFFF"/>
        </w:rPr>
        <w:t>102</w:t>
      </w:r>
    </w:p>
    <w:p>
      <w:pPr>
        <w:pStyle w:val="39"/>
        <w:numPr>
          <w:ilvl w:val="0"/>
          <w:numId w:val="5"/>
        </w:numPr>
        <w:ind w:firstLineChars="0"/>
        <w:jc w:val="left"/>
        <w:rPr>
          <w:rFonts w:hint="eastAsia" w:cs="微软雅黑" w:asciiTheme="minorEastAsia" w:hAnsiTheme="minorEastAsia" w:eastAsiaTheme="minorEastAsia"/>
          <w:color w:val="auto"/>
          <w:szCs w:val="21"/>
          <w:shd w:val="clear" w:color="auto" w:fill="FFFFFF"/>
        </w:rPr>
      </w:pPr>
      <w:r>
        <w:rPr>
          <w:rFonts w:hint="eastAsia" w:cs="微软雅黑" w:asciiTheme="minorEastAsia" w:hAnsiTheme="minorEastAsia" w:eastAsiaTheme="minorEastAsia"/>
          <w:color w:val="auto"/>
          <w:szCs w:val="21"/>
          <w:shd w:val="clear" w:color="auto" w:fill="FFFFFF"/>
        </w:rPr>
        <w:t>Lægreid</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M.,Bockman,</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O.C.,</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Kaarstad</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O.,</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New</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York:</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Agriculture,</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Fertilizers</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and</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the Environment. CABI Publishing,</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 xml:space="preserve">1999 </w:t>
      </w:r>
    </w:p>
    <w:p>
      <w:pPr>
        <w:pStyle w:val="39"/>
        <w:numPr>
          <w:ilvl w:val="0"/>
          <w:numId w:val="5"/>
        </w:numPr>
        <w:ind w:firstLineChars="0"/>
        <w:jc w:val="left"/>
        <w:rPr>
          <w:rFonts w:hint="eastAsia" w:cs="微软雅黑" w:asciiTheme="minorEastAsia" w:hAnsiTheme="minorEastAsia" w:eastAsiaTheme="minorEastAsia"/>
          <w:color w:val="auto"/>
          <w:szCs w:val="21"/>
          <w:shd w:val="clear" w:color="auto" w:fill="FFFFFF"/>
        </w:rPr>
      </w:pPr>
      <w:r>
        <w:rPr>
          <w:rFonts w:hint="eastAsia" w:cs="微软雅黑" w:asciiTheme="minorEastAsia" w:hAnsiTheme="minorEastAsia" w:eastAsiaTheme="minorEastAsia"/>
          <w:color w:val="auto"/>
          <w:szCs w:val="21"/>
          <w:shd w:val="clear" w:color="auto" w:fill="FFFFFF"/>
        </w:rPr>
        <w:t>Yan</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X.,</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Jin  J.Y.,</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He</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P,</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et</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al.,</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Recent</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Advances</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in</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Technology</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of</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Increasing</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Fertilizer</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Use Efficiency.</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Agricultural</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Sciences in China,</w:t>
      </w:r>
      <w:r>
        <w:rPr>
          <w:rFonts w:hint="eastAsia" w:cs="微软雅黑" w:asciiTheme="minorEastAsia" w:hAnsiTheme="minorEastAsia" w:eastAsiaTheme="minorEastAsia"/>
          <w:color w:val="auto"/>
          <w:szCs w:val="21"/>
          <w:shd w:val="clear" w:color="auto" w:fill="FFFFFF"/>
          <w:lang w:val="en-US" w:eastAsia="zh-CN"/>
        </w:rPr>
        <w:t xml:space="preserve"> </w:t>
      </w:r>
      <w:r>
        <w:rPr>
          <w:rFonts w:hint="eastAsia" w:cs="微软雅黑" w:asciiTheme="minorEastAsia" w:hAnsiTheme="minorEastAsia" w:eastAsiaTheme="minorEastAsia"/>
          <w:color w:val="auto"/>
          <w:szCs w:val="21"/>
          <w:shd w:val="clear" w:color="auto" w:fill="FFFFFF"/>
        </w:rPr>
        <w:t xml:space="preserve">2008.4(7): 450~459 </w:t>
      </w:r>
    </w:p>
    <w:p>
      <w:pPr>
        <w:pStyle w:val="39"/>
        <w:numPr>
          <w:ilvl w:val="0"/>
          <w:numId w:val="5"/>
        </w:numPr>
        <w:ind w:firstLineChars="0"/>
        <w:jc w:val="left"/>
        <w:rPr>
          <w:rFonts w:hint="eastAsia" w:cs="微软雅黑" w:asciiTheme="minorEastAsia" w:hAnsiTheme="minorEastAsia" w:eastAsiaTheme="minorEastAsia"/>
          <w:color w:val="auto"/>
          <w:szCs w:val="21"/>
          <w:shd w:val="clear" w:color="auto" w:fill="FFFFFF"/>
        </w:rPr>
      </w:pPr>
      <w:r>
        <w:rPr>
          <w:rFonts w:hint="eastAsia" w:cs="微软雅黑" w:asciiTheme="minorEastAsia" w:hAnsiTheme="minorEastAsia" w:eastAsiaTheme="minorEastAsia"/>
          <w:color w:val="auto"/>
          <w:szCs w:val="21"/>
          <w:shd w:val="clear" w:color="auto" w:fill="FFFFFF"/>
        </w:rPr>
        <w:t xml:space="preserve"> 张涛.从氮肥的诸多反思看低碳经济: 政府应该引导农民合理用肥.中国农资， 2010(03):19~19. </w:t>
      </w:r>
    </w:p>
    <w:p>
      <w:pPr>
        <w:pStyle w:val="39"/>
        <w:numPr>
          <w:ilvl w:val="0"/>
          <w:numId w:val="5"/>
        </w:numPr>
        <w:ind w:firstLineChars="0"/>
        <w:jc w:val="left"/>
        <w:rPr>
          <w:rFonts w:hint="eastAsia" w:cs="微软雅黑" w:asciiTheme="minorEastAsia" w:hAnsiTheme="minorEastAsia" w:eastAsiaTheme="minorEastAsia"/>
          <w:color w:val="auto"/>
          <w:szCs w:val="21"/>
          <w:shd w:val="clear" w:color="auto" w:fill="FFFFFF"/>
          <w:lang w:val="en-US" w:eastAsia="zh-CN"/>
        </w:rPr>
      </w:pPr>
      <w:r>
        <w:rPr>
          <w:rFonts w:hint="eastAsia" w:cs="微软雅黑" w:asciiTheme="minorEastAsia" w:hAnsiTheme="minorEastAsia" w:eastAsiaTheme="minorEastAsia"/>
          <w:color w:val="auto"/>
          <w:szCs w:val="21"/>
          <w:shd w:val="clear" w:color="auto" w:fill="FFFFFF"/>
          <w:lang w:val="en-US" w:eastAsia="zh-CN"/>
        </w:rPr>
        <w:t>刘瑞志.褐藻寡糖促进植物生长与抗逆效应机理研究：[D].青岛:中国海洋大学.2009</w:t>
      </w:r>
    </w:p>
    <w:p>
      <w:pPr>
        <w:pStyle w:val="39"/>
        <w:numPr>
          <w:ilvl w:val="0"/>
          <w:numId w:val="5"/>
        </w:numPr>
        <w:ind w:firstLineChars="0"/>
        <w:jc w:val="left"/>
        <w:rPr>
          <w:rFonts w:hint="eastAsia" w:asciiTheme="minorEastAsia" w:hAnsiTheme="minorEastAsia" w:eastAsiaTheme="minorEastAsia"/>
          <w:color w:val="auto"/>
          <w:szCs w:val="21"/>
          <w:shd w:val="clear" w:color="auto" w:fill="FFFFFF"/>
          <w:lang w:val="en-US" w:eastAsia="zh-CN"/>
        </w:rPr>
      </w:pPr>
      <w:bookmarkStart w:id="32" w:name="_Ref102052654"/>
      <w:r>
        <w:rPr>
          <w:rFonts w:hint="eastAsia" w:asciiTheme="minorEastAsia" w:hAnsiTheme="minorEastAsia" w:eastAsiaTheme="minorEastAsia"/>
          <w:color w:val="auto"/>
          <w:szCs w:val="21"/>
          <w:shd w:val="clear" w:color="auto" w:fill="FFFFFF"/>
          <w:lang w:val="en-US" w:eastAsia="zh-CN"/>
        </w:rPr>
        <w:t>张运红.</w:t>
      </w:r>
      <w:r>
        <w:rPr>
          <w:rFonts w:hint="eastAsia" w:asciiTheme="minorEastAsia" w:hAnsiTheme="minorEastAsia" w:eastAsiaTheme="minorEastAsia"/>
          <w:color w:val="auto"/>
          <w:szCs w:val="21"/>
          <w:shd w:val="clear" w:color="auto" w:fill="FFFFFF"/>
          <w:lang w:val="en-US" w:eastAsia="zh-CN"/>
        </w:rPr>
        <w:fldChar w:fldCharType="begin"/>
      </w:r>
      <w:r>
        <w:rPr>
          <w:rFonts w:hint="eastAsia" w:asciiTheme="minorEastAsia" w:hAnsiTheme="minorEastAsia" w:eastAsiaTheme="minorEastAsia"/>
          <w:color w:val="auto"/>
          <w:szCs w:val="21"/>
          <w:shd w:val="clear" w:color="auto" w:fill="FFFFFF"/>
          <w:lang w:val="en-US" w:eastAsia="zh-CN"/>
        </w:rPr>
        <w:instrText xml:space="preserve"> HYPERLINK "https://wwwwvip.lunwen.in:8086/KNS8/download?filename=JVjRzl1Nx50bMVDbFVmMKRDWFVnTklDZ5Z1S5ljeyQmUoJHRO9maUlzbKpWcqljSupWMQdlQqhVejFHTzsUSjtCUQhldllUQTdDMwUlc3YUaxBncwADbPlFbHd2TvJ0bMF2K5JWMixGSHZ0V5EUbpl1bhB1RC9SU&amp;tablename=CDFD1214&amp;dflag=nhdown&amp;ArticleTitle=%0A      %E9%AB%98%E6%B4%BB%E6%80%A7%E5%AF%A1%E7%B3%96%E7%AD%9B%E9%80%89%E5%8F%8A%E5%85%B6%E4%BF%83%E8%BF%9B%E6%A4%8D%E7%89%A9%E7%94%9F%E9%95%BF%E7%9A%84%E7%94%9F%E7%90%86%E6%9C%BA%E5%88%B6%E7%A0%94%E7%A9%B6%0A      -%E5%BC%A0%E8%BF%90%E7%BA%A2&amp;FileType=pdfdown&amp;dflag=pdfdown&amp;ddata=1011405197.nh|CDFD1214|%0A      %E9%AB%98%E6%B4%BB%E6%80%A7%E5%AF%A1%E7%B3%96%E7%AD%9B%E9%80%89%E5%8F%8A%E5%85%B6%E4%BF%83%E8%BF%9B%E6%A4%8D%E7%89%A9%E7%94%9F%E9%95%BF%E7%9A%84%E7%94%9F%E7%90%86%E6%9C%BA%E5%88%B6%E7%A0%94%E7%A9%B6%0A      |%E5%BC%A0%E8%BF%90%E7%BA%A2|%E5%8D%8E%E4%B8%AD%E5%86%9C%E4%B8%9A%E5%A4%A7%E5%AD%A6|%0A%E5%8D%9A%E5%A3%AB%0A|null&amp;siteid=www.51xialunwen.com&amp;username=62823509&amp;userid=1220554" \t "https://wwwwvip.lunwen.in:8086/kns/brief/_blank" </w:instrText>
      </w:r>
      <w:r>
        <w:rPr>
          <w:rFonts w:hint="eastAsia" w:asciiTheme="minorEastAsia" w:hAnsiTheme="minorEastAsia" w:eastAsiaTheme="minorEastAsia"/>
          <w:color w:val="auto"/>
          <w:szCs w:val="21"/>
          <w:shd w:val="clear" w:color="auto" w:fill="FFFFFF"/>
          <w:lang w:val="en-US" w:eastAsia="zh-CN"/>
        </w:rPr>
        <w:fldChar w:fldCharType="separate"/>
      </w:r>
      <w:r>
        <w:rPr>
          <w:rFonts w:hint="eastAsia" w:asciiTheme="minorEastAsia" w:hAnsiTheme="minorEastAsia" w:eastAsiaTheme="minorEastAsia"/>
          <w:color w:val="auto"/>
          <w:szCs w:val="21"/>
          <w:shd w:val="clear" w:color="auto" w:fill="FFFFFF"/>
          <w:lang w:val="en-US" w:eastAsia="zh-CN"/>
        </w:rPr>
        <w:t>高活性寡糖筛选及其促进植物生长的生理机制研究</w:t>
      </w:r>
      <w:r>
        <w:rPr>
          <w:rFonts w:hint="eastAsia" w:asciiTheme="minorEastAsia" w:hAnsiTheme="minorEastAsia" w:eastAsiaTheme="minorEastAsia"/>
          <w:color w:val="auto"/>
          <w:szCs w:val="21"/>
          <w:shd w:val="clear" w:color="auto" w:fill="FFFFFF"/>
          <w:lang w:val="en-US" w:eastAsia="zh-CN"/>
        </w:rPr>
        <w:fldChar w:fldCharType="end"/>
      </w:r>
      <w:r>
        <w:rPr>
          <w:rFonts w:hint="eastAsia" w:asciiTheme="minorEastAsia" w:hAnsiTheme="minorEastAsia" w:eastAsiaTheme="minorEastAsia"/>
          <w:color w:val="auto"/>
          <w:szCs w:val="21"/>
          <w:shd w:val="clear" w:color="auto" w:fill="FFFFFF"/>
          <w:lang w:val="en-US" w:eastAsia="zh-CN"/>
        </w:rPr>
        <w:t>：[D].武汉：华中农业大学,2011</w:t>
      </w:r>
      <w:bookmarkEnd w:id="32"/>
    </w:p>
    <w:p>
      <w:pPr>
        <w:pStyle w:val="39"/>
        <w:numPr>
          <w:ilvl w:val="0"/>
          <w:numId w:val="0"/>
        </w:numPr>
        <w:jc w:val="left"/>
        <w:rPr>
          <w:rFonts w:hint="eastAsia" w:asciiTheme="minorEastAsia" w:hAnsiTheme="minorEastAsia" w:eastAsiaTheme="minorEastAsia"/>
          <w:color w:val="auto"/>
          <w:szCs w:val="21"/>
          <w:shd w:val="clear" w:color="auto" w:fill="FFFFFF"/>
          <w:lang w:val="zh-CN"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823660"/>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65512"/>
    <w:multiLevelType w:val="multilevel"/>
    <w:tmpl w:val="05665512"/>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15BD35FD"/>
    <w:multiLevelType w:val="multilevel"/>
    <w:tmpl w:val="15BD35FD"/>
    <w:lvl w:ilvl="0" w:tentative="0">
      <w:start w:val="1"/>
      <w:numFmt w:val="chineseCountingThousand"/>
      <w:lvlText w:val="(%1)"/>
      <w:lvlJc w:val="left"/>
      <w:pPr>
        <w:ind w:left="1161" w:hanging="420"/>
      </w:pPr>
    </w:lvl>
    <w:lvl w:ilvl="1" w:tentative="0">
      <w:start w:val="1"/>
      <w:numFmt w:val="lowerLetter"/>
      <w:lvlText w:val="%2)"/>
      <w:lvlJc w:val="left"/>
      <w:pPr>
        <w:ind w:left="1581" w:hanging="420"/>
      </w:pPr>
    </w:lvl>
    <w:lvl w:ilvl="2" w:tentative="0">
      <w:start w:val="1"/>
      <w:numFmt w:val="lowerRoman"/>
      <w:lvlText w:val="%3."/>
      <w:lvlJc w:val="right"/>
      <w:pPr>
        <w:ind w:left="2001" w:hanging="420"/>
      </w:pPr>
    </w:lvl>
    <w:lvl w:ilvl="3" w:tentative="0">
      <w:start w:val="1"/>
      <w:numFmt w:val="decimal"/>
      <w:lvlText w:val="%4."/>
      <w:lvlJc w:val="left"/>
      <w:pPr>
        <w:ind w:left="2421" w:hanging="420"/>
      </w:pPr>
    </w:lvl>
    <w:lvl w:ilvl="4" w:tentative="0">
      <w:start w:val="1"/>
      <w:numFmt w:val="lowerLetter"/>
      <w:lvlText w:val="%5)"/>
      <w:lvlJc w:val="left"/>
      <w:pPr>
        <w:ind w:left="2841" w:hanging="420"/>
      </w:pPr>
    </w:lvl>
    <w:lvl w:ilvl="5" w:tentative="0">
      <w:start w:val="1"/>
      <w:numFmt w:val="lowerRoman"/>
      <w:lvlText w:val="%6."/>
      <w:lvlJc w:val="right"/>
      <w:pPr>
        <w:ind w:left="3261" w:hanging="420"/>
      </w:pPr>
    </w:lvl>
    <w:lvl w:ilvl="6" w:tentative="0">
      <w:start w:val="1"/>
      <w:numFmt w:val="decimal"/>
      <w:lvlText w:val="%7."/>
      <w:lvlJc w:val="left"/>
      <w:pPr>
        <w:ind w:left="3681" w:hanging="420"/>
      </w:pPr>
    </w:lvl>
    <w:lvl w:ilvl="7" w:tentative="0">
      <w:start w:val="1"/>
      <w:numFmt w:val="lowerLetter"/>
      <w:lvlText w:val="%8)"/>
      <w:lvlJc w:val="left"/>
      <w:pPr>
        <w:ind w:left="4101" w:hanging="420"/>
      </w:pPr>
    </w:lvl>
    <w:lvl w:ilvl="8" w:tentative="0">
      <w:start w:val="1"/>
      <w:numFmt w:val="lowerRoman"/>
      <w:lvlText w:val="%9."/>
      <w:lvlJc w:val="right"/>
      <w:pPr>
        <w:ind w:left="4521" w:hanging="420"/>
      </w:pPr>
    </w:lvl>
  </w:abstractNum>
  <w:abstractNum w:abstractNumId="2">
    <w:nsid w:val="38DC0DD0"/>
    <w:multiLevelType w:val="multilevel"/>
    <w:tmpl w:val="38DC0DD0"/>
    <w:lvl w:ilvl="0" w:tentative="0">
      <w:start w:val="1"/>
      <w:numFmt w:val="japaneseCounting"/>
      <w:pStyle w:val="30"/>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470D1156"/>
    <w:multiLevelType w:val="multilevel"/>
    <w:tmpl w:val="470D1156"/>
    <w:lvl w:ilvl="0" w:tentative="0">
      <w:start w:val="1"/>
      <w:numFmt w:val="chineseCountingThousand"/>
      <w:lvlText w:val="(%1)"/>
      <w:lvlJc w:val="left"/>
      <w:pPr>
        <w:ind w:left="1128" w:hanging="420"/>
      </w:p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
    <w:nsid w:val="68D04673"/>
    <w:multiLevelType w:val="multilevel"/>
    <w:tmpl w:val="68D04673"/>
    <w:lvl w:ilvl="0" w:tentative="0">
      <w:start w:val="1"/>
      <w:numFmt w:val="chineseCountingThousand"/>
      <w:lvlText w:val="(%1)"/>
      <w:lvlJc w:val="left"/>
      <w:pPr>
        <w:ind w:left="1223" w:hanging="420"/>
      </w:p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4NmYyYTgwMTU3NDg4ZmM4MWY1NzZjYTEwOWMyNjAifQ=="/>
  </w:docVars>
  <w:rsids>
    <w:rsidRoot w:val="00AA5C08"/>
    <w:rsid w:val="00026100"/>
    <w:rsid w:val="00056032"/>
    <w:rsid w:val="00056A6D"/>
    <w:rsid w:val="000623AC"/>
    <w:rsid w:val="000818FD"/>
    <w:rsid w:val="000861B2"/>
    <w:rsid w:val="00095C7B"/>
    <w:rsid w:val="000A1288"/>
    <w:rsid w:val="000B7EF7"/>
    <w:rsid w:val="000E2864"/>
    <w:rsid w:val="000E421A"/>
    <w:rsid w:val="000F34B5"/>
    <w:rsid w:val="001174B6"/>
    <w:rsid w:val="00137AB6"/>
    <w:rsid w:val="001545F5"/>
    <w:rsid w:val="00180AFA"/>
    <w:rsid w:val="001B282A"/>
    <w:rsid w:val="001C265B"/>
    <w:rsid w:val="001E3B01"/>
    <w:rsid w:val="001E6065"/>
    <w:rsid w:val="00204252"/>
    <w:rsid w:val="00207F78"/>
    <w:rsid w:val="002259D2"/>
    <w:rsid w:val="002465DD"/>
    <w:rsid w:val="00256680"/>
    <w:rsid w:val="002576D9"/>
    <w:rsid w:val="0026134F"/>
    <w:rsid w:val="00272B1F"/>
    <w:rsid w:val="002A7131"/>
    <w:rsid w:val="002C29D3"/>
    <w:rsid w:val="002F712D"/>
    <w:rsid w:val="0033421C"/>
    <w:rsid w:val="00373984"/>
    <w:rsid w:val="00397CFF"/>
    <w:rsid w:val="003A26C2"/>
    <w:rsid w:val="003B19DE"/>
    <w:rsid w:val="003B4125"/>
    <w:rsid w:val="003C6065"/>
    <w:rsid w:val="003D0769"/>
    <w:rsid w:val="003F4128"/>
    <w:rsid w:val="00400910"/>
    <w:rsid w:val="00427772"/>
    <w:rsid w:val="004639C3"/>
    <w:rsid w:val="00485023"/>
    <w:rsid w:val="00495F3C"/>
    <w:rsid w:val="004A23B4"/>
    <w:rsid w:val="004C66EF"/>
    <w:rsid w:val="004C69F0"/>
    <w:rsid w:val="004D1507"/>
    <w:rsid w:val="0051073A"/>
    <w:rsid w:val="00513A40"/>
    <w:rsid w:val="00552BAA"/>
    <w:rsid w:val="00561427"/>
    <w:rsid w:val="005B0E00"/>
    <w:rsid w:val="005B35BB"/>
    <w:rsid w:val="005C62F9"/>
    <w:rsid w:val="005E1E77"/>
    <w:rsid w:val="005F2E98"/>
    <w:rsid w:val="006109B7"/>
    <w:rsid w:val="0064579C"/>
    <w:rsid w:val="0065468A"/>
    <w:rsid w:val="006942C2"/>
    <w:rsid w:val="006E7EA4"/>
    <w:rsid w:val="0072628A"/>
    <w:rsid w:val="00774A85"/>
    <w:rsid w:val="00781632"/>
    <w:rsid w:val="007821AD"/>
    <w:rsid w:val="00790C36"/>
    <w:rsid w:val="00795C25"/>
    <w:rsid w:val="007C483D"/>
    <w:rsid w:val="008146C3"/>
    <w:rsid w:val="008364E2"/>
    <w:rsid w:val="00844CA2"/>
    <w:rsid w:val="0085342F"/>
    <w:rsid w:val="00876755"/>
    <w:rsid w:val="0087730E"/>
    <w:rsid w:val="00893553"/>
    <w:rsid w:val="00895A91"/>
    <w:rsid w:val="008B0C8B"/>
    <w:rsid w:val="008B3B51"/>
    <w:rsid w:val="008C7765"/>
    <w:rsid w:val="008E063A"/>
    <w:rsid w:val="00907D4E"/>
    <w:rsid w:val="00914C68"/>
    <w:rsid w:val="00923031"/>
    <w:rsid w:val="00934BFF"/>
    <w:rsid w:val="00935109"/>
    <w:rsid w:val="009353B5"/>
    <w:rsid w:val="00946105"/>
    <w:rsid w:val="00953CAF"/>
    <w:rsid w:val="00964470"/>
    <w:rsid w:val="009B1E1B"/>
    <w:rsid w:val="009C2079"/>
    <w:rsid w:val="009C5327"/>
    <w:rsid w:val="009C60EC"/>
    <w:rsid w:val="009D52E3"/>
    <w:rsid w:val="00A05F5F"/>
    <w:rsid w:val="00A261C2"/>
    <w:rsid w:val="00A40F25"/>
    <w:rsid w:val="00A5214E"/>
    <w:rsid w:val="00A620A2"/>
    <w:rsid w:val="00A77492"/>
    <w:rsid w:val="00A92F4F"/>
    <w:rsid w:val="00AA26C5"/>
    <w:rsid w:val="00AA5C08"/>
    <w:rsid w:val="00AB1CFC"/>
    <w:rsid w:val="00AE4DC2"/>
    <w:rsid w:val="00AF1D35"/>
    <w:rsid w:val="00B143DC"/>
    <w:rsid w:val="00B25CBE"/>
    <w:rsid w:val="00B3099E"/>
    <w:rsid w:val="00B33BC4"/>
    <w:rsid w:val="00B43138"/>
    <w:rsid w:val="00B56FBF"/>
    <w:rsid w:val="00B766F6"/>
    <w:rsid w:val="00BA49ED"/>
    <w:rsid w:val="00BA5523"/>
    <w:rsid w:val="00BC164E"/>
    <w:rsid w:val="00BD7FC2"/>
    <w:rsid w:val="00BE6F94"/>
    <w:rsid w:val="00C04024"/>
    <w:rsid w:val="00C3302D"/>
    <w:rsid w:val="00C6512C"/>
    <w:rsid w:val="00C66C84"/>
    <w:rsid w:val="00C905AC"/>
    <w:rsid w:val="00C93AE6"/>
    <w:rsid w:val="00CB0F01"/>
    <w:rsid w:val="00CD1D05"/>
    <w:rsid w:val="00CE68A9"/>
    <w:rsid w:val="00D16C62"/>
    <w:rsid w:val="00D4071B"/>
    <w:rsid w:val="00D44365"/>
    <w:rsid w:val="00D61AB7"/>
    <w:rsid w:val="00D66635"/>
    <w:rsid w:val="00D66E7B"/>
    <w:rsid w:val="00D931AC"/>
    <w:rsid w:val="00DA019A"/>
    <w:rsid w:val="00DB2E65"/>
    <w:rsid w:val="00DC2E8E"/>
    <w:rsid w:val="00DC6839"/>
    <w:rsid w:val="00E10925"/>
    <w:rsid w:val="00E11B9B"/>
    <w:rsid w:val="00E2023B"/>
    <w:rsid w:val="00E50479"/>
    <w:rsid w:val="00E54DAE"/>
    <w:rsid w:val="00E613EF"/>
    <w:rsid w:val="00E6221F"/>
    <w:rsid w:val="00ED2B13"/>
    <w:rsid w:val="00EE6552"/>
    <w:rsid w:val="00F048AC"/>
    <w:rsid w:val="00F1569A"/>
    <w:rsid w:val="00F37A1C"/>
    <w:rsid w:val="00F50F67"/>
    <w:rsid w:val="00F637C7"/>
    <w:rsid w:val="00F67EC7"/>
    <w:rsid w:val="00F71812"/>
    <w:rsid w:val="00FA1132"/>
    <w:rsid w:val="00FA3D3A"/>
    <w:rsid w:val="00FB1871"/>
    <w:rsid w:val="00FB1CC2"/>
    <w:rsid w:val="046131E5"/>
    <w:rsid w:val="0C7A7696"/>
    <w:rsid w:val="0CCB0D6E"/>
    <w:rsid w:val="0D953C69"/>
    <w:rsid w:val="0E2B5D40"/>
    <w:rsid w:val="10476770"/>
    <w:rsid w:val="1154037B"/>
    <w:rsid w:val="13AD6D4F"/>
    <w:rsid w:val="21B2571B"/>
    <w:rsid w:val="24544914"/>
    <w:rsid w:val="29EB3D68"/>
    <w:rsid w:val="2F6D18BB"/>
    <w:rsid w:val="30B67293"/>
    <w:rsid w:val="30BE678B"/>
    <w:rsid w:val="32A80AC8"/>
    <w:rsid w:val="35137087"/>
    <w:rsid w:val="36F272D2"/>
    <w:rsid w:val="3748095C"/>
    <w:rsid w:val="3F817128"/>
    <w:rsid w:val="3F951276"/>
    <w:rsid w:val="455030B4"/>
    <w:rsid w:val="4A162E25"/>
    <w:rsid w:val="4BB569F8"/>
    <w:rsid w:val="5C700ABB"/>
    <w:rsid w:val="5E5A0A7E"/>
    <w:rsid w:val="5F4C71DF"/>
    <w:rsid w:val="661C0503"/>
    <w:rsid w:val="6FC11A26"/>
    <w:rsid w:val="70587259"/>
    <w:rsid w:val="7D1B3E7F"/>
    <w:rsid w:val="7D201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7"/>
    <w:unhideWhenUsed/>
    <w:uiPriority w:val="99"/>
    <w:pPr>
      <w:jc w:val="left"/>
    </w:pPr>
  </w:style>
  <w:style w:type="paragraph" w:styleId="5">
    <w:name w:val="toc 3"/>
    <w:basedOn w:val="1"/>
    <w:next w:val="1"/>
    <w:unhideWhenUsed/>
    <w:qFormat/>
    <w:uiPriority w:val="39"/>
    <w:pPr>
      <w:ind w:left="840" w:leftChars="400"/>
    </w:pPr>
  </w:style>
  <w:style w:type="paragraph" w:styleId="6">
    <w:name w:val="endnote text"/>
    <w:basedOn w:val="1"/>
    <w:link w:val="40"/>
    <w:semiHidden/>
    <w:unhideWhenUsed/>
    <w:qFormat/>
    <w:uiPriority w:val="99"/>
    <w:pPr>
      <w:snapToGrid w:val="0"/>
      <w:jc w:val="left"/>
    </w:pPr>
  </w:style>
  <w:style w:type="paragraph" w:styleId="7">
    <w:name w:val="Balloon Text"/>
    <w:basedOn w:val="1"/>
    <w:link w:val="33"/>
    <w:unhideWhenUsed/>
    <w:qFormat/>
    <w:uiPriority w:val="99"/>
    <w:rPr>
      <w:sz w:val="18"/>
      <w:szCs w:val="18"/>
    </w:rPr>
  </w:style>
  <w:style w:type="paragraph" w:styleId="8">
    <w:name w:val="footer"/>
    <w:basedOn w:val="1"/>
    <w:link w:val="32"/>
    <w:unhideWhenUsed/>
    <w:qFormat/>
    <w:uiPriority w:val="99"/>
    <w:pPr>
      <w:tabs>
        <w:tab w:val="center" w:pos="4153"/>
        <w:tab w:val="right" w:pos="8306"/>
      </w:tabs>
      <w:snapToGrid w:val="0"/>
      <w:jc w:val="left"/>
    </w:pPr>
    <w:rPr>
      <w:sz w:val="18"/>
      <w:szCs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41"/>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4"/>
    <w:next w:val="4"/>
    <w:link w:val="38"/>
    <w:semiHidden/>
    <w:unhideWhenUsed/>
    <w:qFormat/>
    <w:uiPriority w:val="99"/>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ndnote reference"/>
    <w:basedOn w:val="17"/>
    <w:semiHidden/>
    <w:unhideWhenUsed/>
    <w:qFormat/>
    <w:uiPriority w:val="99"/>
    <w:rPr>
      <w:vertAlign w:val="superscript"/>
    </w:rPr>
  </w:style>
  <w:style w:type="character" w:styleId="19">
    <w:name w:val="Hyperlink"/>
    <w:basedOn w:val="17"/>
    <w:unhideWhenUsed/>
    <w:qFormat/>
    <w:uiPriority w:val="99"/>
    <w:rPr>
      <w:color w:val="0000FF" w:themeColor="hyperlink"/>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段 Char"/>
    <w:link w:val="23"/>
    <w:qFormat/>
    <w:uiPriority w:val="0"/>
    <w:rPr>
      <w:rFonts w:ascii="宋体"/>
    </w:rPr>
  </w:style>
  <w:style w:type="paragraph" w:customStyle="1" w:styleId="23">
    <w:name w:val="段"/>
    <w:link w:val="2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4">
    <w:name w:val="章标题"/>
    <w:next w:val="23"/>
    <w:qFormat/>
    <w:uiPriority w:val="0"/>
    <w:pPr>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标准文件_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标准文件_段 Char"/>
    <w:link w:val="28"/>
    <w:qFormat/>
    <w:uiPriority w:val="0"/>
    <w:rPr>
      <w:rFonts w:ascii="宋体" w:hAnsi="Times New Roman" w:eastAsia="宋体" w:cs="Times New Roman"/>
      <w:kern w:val="0"/>
      <w:szCs w:val="20"/>
    </w:rPr>
  </w:style>
  <w:style w:type="paragraph" w:customStyle="1" w:styleId="30">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 w:type="character" w:customStyle="1" w:styleId="31">
    <w:name w:val="页眉 Char"/>
    <w:basedOn w:val="17"/>
    <w:link w:val="9"/>
    <w:qFormat/>
    <w:uiPriority w:val="99"/>
    <w:rPr>
      <w:rFonts w:ascii="Times New Roman" w:hAnsi="Times New Roman" w:eastAsia="宋体" w:cs="Times New Roman"/>
      <w:sz w:val="18"/>
      <w:szCs w:val="18"/>
    </w:rPr>
  </w:style>
  <w:style w:type="character" w:customStyle="1" w:styleId="32">
    <w:name w:val="页脚 Char"/>
    <w:basedOn w:val="17"/>
    <w:link w:val="8"/>
    <w:qFormat/>
    <w:uiPriority w:val="99"/>
    <w:rPr>
      <w:rFonts w:ascii="Times New Roman" w:hAnsi="Times New Roman" w:eastAsia="宋体" w:cs="Times New Roman"/>
      <w:sz w:val="18"/>
      <w:szCs w:val="18"/>
    </w:rPr>
  </w:style>
  <w:style w:type="character" w:customStyle="1" w:styleId="33">
    <w:name w:val="批注框文本 Char"/>
    <w:basedOn w:val="17"/>
    <w:link w:val="7"/>
    <w:semiHidden/>
    <w:qFormat/>
    <w:uiPriority w:val="99"/>
    <w:rPr>
      <w:rFonts w:ascii="Times New Roman" w:hAnsi="Times New Roman" w:eastAsia="宋体" w:cs="Times New Roman"/>
      <w:sz w:val="18"/>
      <w:szCs w:val="18"/>
    </w:rPr>
  </w:style>
  <w:style w:type="character" w:customStyle="1" w:styleId="34">
    <w:name w:val="标题 1 Char"/>
    <w:basedOn w:val="17"/>
    <w:link w:val="2"/>
    <w:qFormat/>
    <w:uiPriority w:val="9"/>
    <w:rPr>
      <w:rFonts w:ascii="Times New Roman" w:hAnsi="Times New Roman" w:eastAsia="宋体" w:cs="Times New Roman"/>
      <w:b/>
      <w:bCs/>
      <w:kern w:val="44"/>
      <w:sz w:val="44"/>
      <w:szCs w:val="44"/>
    </w:rPr>
  </w:style>
  <w:style w:type="character" w:customStyle="1" w:styleId="35">
    <w:name w:val="标题 2 Char"/>
    <w:basedOn w:val="17"/>
    <w:link w:val="3"/>
    <w:qFormat/>
    <w:uiPriority w:val="9"/>
    <w:rPr>
      <w:rFonts w:asciiTheme="majorHAnsi" w:hAnsiTheme="majorHAnsi" w:eastAsiaTheme="majorEastAsia" w:cstheme="majorBidi"/>
      <w:b/>
      <w:bCs/>
      <w:sz w:val="32"/>
      <w:szCs w:val="32"/>
    </w:rPr>
  </w:style>
  <w:style w:type="paragraph" w:customStyle="1" w:styleId="36">
    <w:name w:val="列出段落1"/>
    <w:basedOn w:val="1"/>
    <w:qFormat/>
    <w:uiPriority w:val="34"/>
    <w:pPr>
      <w:ind w:firstLine="420" w:firstLineChars="200"/>
    </w:pPr>
  </w:style>
  <w:style w:type="character" w:customStyle="1" w:styleId="37">
    <w:name w:val="批注文字 Char"/>
    <w:basedOn w:val="17"/>
    <w:link w:val="4"/>
    <w:qFormat/>
    <w:uiPriority w:val="99"/>
    <w:rPr>
      <w:rFonts w:ascii="Times New Roman" w:hAnsi="Times New Roman" w:eastAsia="宋体" w:cs="Times New Roman"/>
      <w:kern w:val="2"/>
      <w:sz w:val="21"/>
      <w:szCs w:val="24"/>
    </w:rPr>
  </w:style>
  <w:style w:type="character" w:customStyle="1" w:styleId="38">
    <w:name w:val="批注主题 Char"/>
    <w:basedOn w:val="37"/>
    <w:link w:val="14"/>
    <w:semiHidden/>
    <w:qFormat/>
    <w:uiPriority w:val="99"/>
    <w:rPr>
      <w:rFonts w:ascii="Times New Roman" w:hAnsi="Times New Roman" w:eastAsia="宋体" w:cs="Times New Roman"/>
      <w:b/>
      <w:bCs/>
      <w:kern w:val="2"/>
      <w:sz w:val="21"/>
      <w:szCs w:val="24"/>
    </w:rPr>
  </w:style>
  <w:style w:type="paragraph" w:styleId="39">
    <w:name w:val="List Paragraph"/>
    <w:basedOn w:val="1"/>
    <w:unhideWhenUsed/>
    <w:qFormat/>
    <w:uiPriority w:val="99"/>
    <w:pPr>
      <w:ind w:firstLine="420" w:firstLineChars="200"/>
    </w:pPr>
  </w:style>
  <w:style w:type="character" w:customStyle="1" w:styleId="40">
    <w:name w:val="尾注文本 Char"/>
    <w:basedOn w:val="17"/>
    <w:link w:val="6"/>
    <w:semiHidden/>
    <w:qFormat/>
    <w:uiPriority w:val="99"/>
    <w:rPr>
      <w:rFonts w:ascii="Times New Roman" w:hAnsi="Times New Roman" w:eastAsia="宋体" w:cs="Times New Roman"/>
      <w:kern w:val="2"/>
      <w:sz w:val="21"/>
      <w:szCs w:val="24"/>
    </w:rPr>
  </w:style>
  <w:style w:type="character" w:customStyle="1" w:styleId="41">
    <w:name w:val="脚注文本 Char"/>
    <w:basedOn w:val="17"/>
    <w:link w:val="11"/>
    <w:semiHidden/>
    <w:qFormat/>
    <w:uiPriority w:val="99"/>
    <w:rPr>
      <w:rFonts w:ascii="Times New Roman" w:hAnsi="Times New Roman" w:eastAsia="宋体" w:cs="Times New Roman"/>
      <w:kern w:val="2"/>
      <w:sz w:val="18"/>
      <w:szCs w:val="18"/>
    </w:rPr>
  </w:style>
  <w:style w:type="character" w:customStyle="1" w:styleId="42">
    <w:name w:val="fontstyle01"/>
    <w:basedOn w:val="17"/>
    <w:qFormat/>
    <w:uiPriority w:val="0"/>
    <w:rPr>
      <w:rFonts w:ascii="宋体" w:hAnsi="宋体" w:eastAsia="宋体" w:cs="宋体"/>
      <w:color w:val="000000"/>
      <w:sz w:val="24"/>
      <w:szCs w:val="24"/>
    </w:rPr>
  </w:style>
  <w:style w:type="paragraph" w:customStyle="1" w:styleId="43">
    <w:name w:val="标准书眉一"/>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A38745855B4FCF8E60178383EC6797"/>
        <w:style w:val=""/>
        <w:category>
          <w:name w:val="常规"/>
          <w:gallery w:val="placeholder"/>
        </w:category>
        <w:types>
          <w:type w:val="bbPlcHdr"/>
        </w:types>
        <w:behaviors>
          <w:behavior w:val="content"/>
        </w:behaviors>
        <w:description w:val=""/>
        <w:guid w:val="{82F1B5A8-B521-46FE-8A28-71FD1FC9E8B7}"/>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01EB"/>
    <w:rsid w:val="000F763A"/>
    <w:rsid w:val="007601EB"/>
    <w:rsid w:val="009A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AEA38745855B4FCF8E60178383EC679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1CBB-830F-42D7-A108-08408F006E9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3364</Words>
  <Characters>4044</Characters>
  <Lines>40</Lines>
  <Paragraphs>11</Paragraphs>
  <TotalTime>2</TotalTime>
  <ScaleCrop>false</ScaleCrop>
  <LinksUpToDate>false</LinksUpToDate>
  <CharactersWithSpaces>4172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2021-06-10T00:41:00Z</dcterms:created>
  <dc:creator>文斌</dc:creator>
  <cp:lastModifiedBy>大猩猩</cp:lastModifiedBy>
  <dcterms:modified xsi:type="dcterms:W3CDTF">2022-12-17T01:25:29Z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ACC7E35D974A4103AACBE9735831011A</vt:lpwstr>
  </property>
</Properties>
</file>