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both"/>
        <w:textAlignment w:val="baseline"/>
        <w:rPr>
          <w:rFonts w:ascii="黑体" w:hAnsi="黑体" w:eastAsia="黑体" w:cs="黑体"/>
          <w:sz w:val="21"/>
          <w:szCs w:val="21"/>
          <w:lang w:val="en-US" w:bidi="ar-SA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bidi="ar-SA"/>
        </w:rPr>
        <w:t>ICS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 xml:space="preserve"> 6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5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02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0.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2</w:t>
      </w:r>
      <w:r>
        <w:rPr>
          <w:rFonts w:ascii="黑体" w:hAnsi="黑体" w:eastAsia="黑体" w:cs="黑体"/>
          <w:sz w:val="21"/>
          <w:szCs w:val="21"/>
          <w:lang w:val="en-US" w:bidi="ar-SA"/>
        </w:rPr>
        <w:t>0</w:t>
      </w:r>
    </w:p>
    <w:p>
      <w:pPr>
        <w:widowControl/>
        <w:snapToGrid w:val="0"/>
        <w:spacing w:line="288" w:lineRule="auto"/>
        <w:jc w:val="both"/>
        <w:textAlignment w:val="baseline"/>
        <w:rPr>
          <w:rFonts w:hint="eastAsia" w:ascii="黑体" w:hAnsi="黑体" w:eastAsia="黑体" w:cs="黑体"/>
          <w:sz w:val="21"/>
          <w:szCs w:val="21"/>
          <w:lang w:val="en-US" w:eastAsia="zh-CN" w:bidi="ar-SA"/>
        </w:rPr>
      </w:pPr>
      <w:r>
        <w:rPr>
          <w:rFonts w:ascii="黑体" w:hAnsi="黑体" w:eastAsia="黑体" w:cs="黑体"/>
          <w:b/>
          <w:bCs/>
          <w:sz w:val="21"/>
          <w:szCs w:val="21"/>
          <w:lang w:val="en-US" w:bidi="ar-SA"/>
        </w:rPr>
        <w:t xml:space="preserve">B </w:t>
      </w:r>
      <w:r>
        <w:rPr>
          <w:rFonts w:hint="eastAsia" w:ascii="黑体" w:hAnsi="黑体" w:eastAsia="黑体" w:cs="黑体"/>
          <w:sz w:val="21"/>
          <w:szCs w:val="21"/>
          <w:lang w:val="en-US" w:bidi="ar-SA"/>
        </w:rPr>
        <w:t>3</w:t>
      </w:r>
      <w:r>
        <w:rPr>
          <w:rFonts w:hint="eastAsia" w:ascii="黑体" w:hAnsi="黑体" w:eastAsia="黑体" w:cs="黑体"/>
          <w:sz w:val="21"/>
          <w:szCs w:val="21"/>
          <w:lang w:val="en-US" w:eastAsia="zh-CN" w:bidi="ar-SA"/>
        </w:rPr>
        <w:t>8</w:t>
      </w:r>
    </w:p>
    <w:p>
      <w:pPr>
        <w:tabs>
          <w:tab w:val="left" w:pos="9680"/>
        </w:tabs>
        <w:snapToGrid w:val="0"/>
        <w:spacing w:line="1930" w:lineRule="exact"/>
        <w:ind w:right="275"/>
        <w:jc w:val="distribute"/>
        <w:textAlignment w:val="baseline"/>
        <w:rPr>
          <w:rFonts w:ascii="黑体" w:eastAsia="黑体"/>
          <w:spacing w:val="-73"/>
          <w:sz w:val="72"/>
          <w:szCs w:val="72"/>
        </w:rPr>
      </w:pPr>
      <w:r>
        <w:rPr>
          <w:rFonts w:hint="eastAsia" w:ascii="黑体" w:eastAsia="黑体"/>
          <w:spacing w:val="-73"/>
          <w:sz w:val="72"/>
          <w:szCs w:val="72"/>
        </w:rPr>
        <w:t>团体标准</w:t>
      </w:r>
    </w:p>
    <w:p>
      <w:pPr>
        <w:snapToGrid w:val="0"/>
        <w:spacing w:before="307"/>
        <w:ind w:right="55"/>
        <w:jc w:val="right"/>
        <w:textAlignment w:val="baseline"/>
        <w:rPr>
          <w:rFonts w:hint="eastAsia" w:ascii="黑体" w:hAnsi="黑体" w:eastAsia="黑体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lang w:val="en-US"/>
        </w:rPr>
        <w:t xml:space="preserve">  </w:t>
      </w:r>
      <w:r>
        <w:rPr>
          <w:rFonts w:ascii="Times New Roman" w:hAnsi="Times New Roman" w:eastAsia="黑体" w:cs="Times New Roman"/>
          <w:b/>
          <w:bCs/>
          <w:sz w:val="28"/>
          <w:lang w:val="en-US"/>
        </w:rPr>
        <w:t>T/CAI</w:t>
      </w:r>
      <w:r>
        <w:rPr>
          <w:rFonts w:ascii="Times New Roman" w:hAnsi="Times New Roman" w:eastAsia="黑体" w:cs="Times New Roman"/>
          <w:sz w:val="28"/>
          <w:lang w:val="en-US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lang w:val="en-US"/>
        </w:rPr>
        <w:t xml:space="preserve"> xx</w:t>
      </w:r>
      <w:r>
        <w:rPr>
          <w:rFonts w:hint="eastAsia" w:ascii="黑体" w:hAnsi="黑体" w:eastAsia="黑体" w:cs="黑体"/>
          <w:sz w:val="28"/>
          <w:lang w:val="en-US"/>
        </w:rPr>
        <w:t>-202</w:t>
      </w:r>
      <w:r>
        <w:rPr>
          <w:rFonts w:hint="eastAsia" w:ascii="黑体" w:hAnsi="黑体" w:eastAsia="黑体" w:cs="黑体"/>
          <w:sz w:val="28"/>
          <w:lang w:val="en-US" w:eastAsia="zh-CN"/>
        </w:rPr>
        <w:t>2</w:t>
      </w:r>
    </w:p>
    <w:p>
      <w:pPr>
        <w:pStyle w:val="5"/>
        <w:snapToGrid w:val="0"/>
        <w:spacing w:before="2"/>
        <w:textAlignment w:val="baseline"/>
        <w:rPr>
          <w:rFonts w:ascii="黑体"/>
          <w:sz w:val="30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266700</wp:posOffset>
                </wp:positionV>
                <wp:extent cx="6120130" cy="0"/>
                <wp:effectExtent l="0" t="0" r="0" b="0"/>
                <wp:wrapTopAndBottom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15pt;margin-top:21pt;height:0pt;width:481.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sCO0D9YAAAAK&#10;AQAADwAAAGRycy9kb3ducmV2LnhtbE2PzU7DMBCE70i8g7VIXCpqJ4UKhTg9ALlxoYC4buMliYjX&#10;aez+wNOzFQc4zuyn2ZlydfSD2tMU+8AWsrkBRdwE13Nr4fWlvroFFROywyEwWfiiCKvq/KzEwoUD&#10;P9N+nVolIRwLtNClNBZax6Yjj3EeRmK5fYTJYxI5tdpNeJBwP+jcmKX22LN86HCk+46az/XOW4j1&#10;G23r71kzM++LNlC+fXh6RGsvLzJzByrRMf3BcKov1aGSTpuwYxfVIPomXwhq4TqXTScgy5YZqM2v&#10;o6tS/59Q/QBQSwMEFAAAAAgAh07iQErfIjrfAQAAzwMAAA4AAABkcnMvZTJvRG9jLnhtbK1TS24b&#10;MQzdF+gdBO3rsZ0maAceZxE33RStgaYHoPXxCNAPouKxz9JrdNVNj5NrlNI4TptsvMgsNBRFPvI9&#10;UYvrvbNspxKa4Ds+m0w5U14Eafy24z/ubt994AwzeAk2eNXxg0J+vXz7ZjHEVs1DH6xUiRGIx3aI&#10;He9zjm3ToOiVA5yEqDwd6pAcZNqmbSMTDITubDOfTq+aISQZUxAKkbyr8ZAfEdM5gEFrI9QqiHun&#10;fB5Rk7KQiRL2JiJf1m61ViJ/0xpVZrbjxDTXlYqQvSlrs1xAu00QeyOOLcA5LTzj5MB4KnqCWkEG&#10;dp/MCyhnRAoYdJ6I4JqRSFWEWMymz7T53kNUlQtJjfEkOr4erPi6WydmZMffc+bB0YU//Pz18PsP&#10;uyjaDBFbCrnx63TcYVynQnSvkyt/osD2Vc/DSU+1z0yQ82pGpC5IavF41jwlxoT5swqOFaPj1vhC&#10;FVrYfcFMxSj0MaS4rWdDxz9ezi8JDmjuNN03mS5S7+i3NReDNfLWWFsyMG03NzaxHZS7r1+hRLj/&#10;hZUiK8B+jKtH41T0CuQnL1k+RFLF02PgpQWnJGdW0dspFgFCm8HYcyKptPXUQVF11LFYmyAPVd7q&#10;p3uuPR5nsgzSv/ua/fQO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CO0D9YAAAAKAQAADwAA&#10;AAAAAAABACAAAAAiAAAAZHJzL2Rvd25yZXYueG1sUEsBAhQAFAAAAAgAh07iQErfIjr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before="2268" w:after="200"/>
        <w:ind w:left="-6" w:firstLine="6"/>
        <w:jc w:val="center"/>
        <w:textAlignment w:val="baseline"/>
        <w:rPr>
          <w:rFonts w:ascii="黑体" w:hAnsi="黑体" w:eastAsia="黑体" w:cs="黑体"/>
          <w:sz w:val="52"/>
          <w:szCs w:val="52"/>
          <w:lang w:val="en-US" w:bidi="ar-SA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 w:bidi="ar-SA"/>
        </w:rPr>
        <w:t>临潭党参</w:t>
      </w:r>
      <w:r>
        <w:rPr>
          <w:rFonts w:hint="eastAsia" w:ascii="黑体" w:hAnsi="黑体" w:eastAsia="黑体" w:cs="黑体"/>
          <w:sz w:val="52"/>
          <w:szCs w:val="52"/>
          <w:lang w:val="en-US" w:bidi="ar-SA"/>
        </w:rPr>
        <w:t>种植技术规程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hint="eastAsia" w:ascii="黑体" w:eastAsia="黑体"/>
          <w:sz w:val="40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T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echnical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>regulation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s for p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lanting 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of Lintan</w:t>
      </w:r>
      <w:r>
        <w:rPr>
          <w:rFonts w:hint="eastAsia" w:ascii="黑体" w:hAnsi="黑体" w:eastAsia="黑体" w:cs="黑体"/>
          <w:sz w:val="28"/>
          <w:szCs w:val="28"/>
          <w:lang w:val="en-US" w:bidi="ar-SA"/>
        </w:rPr>
        <w:t xml:space="preserve"> Codonopsis pilosula</w:t>
      </w:r>
    </w:p>
    <w:p>
      <w:pPr>
        <w:snapToGrid w:val="0"/>
        <w:spacing w:after="200" w:line="567" w:lineRule="exact"/>
        <w:ind w:left="-6" w:firstLine="6"/>
        <w:jc w:val="center"/>
        <w:textAlignment w:val="baseline"/>
        <w:rPr>
          <w:rFonts w:ascii="黑体" w:eastAsia="黑体"/>
          <w:sz w:val="40"/>
          <w:lang w:val="en-US"/>
        </w:rPr>
      </w:pPr>
      <w:r>
        <w:rPr>
          <w:rFonts w:hint="eastAsia" w:ascii="黑体" w:eastAsia="黑体"/>
          <w:sz w:val="40"/>
          <w:lang w:val="en-US"/>
        </w:rPr>
        <w:t>（</w:t>
      </w:r>
      <w:r>
        <w:rPr>
          <w:rFonts w:hint="eastAsia" w:ascii="黑体" w:eastAsia="黑体"/>
          <w:sz w:val="40"/>
          <w:lang w:val="en-US" w:eastAsia="zh-CN"/>
        </w:rPr>
        <w:t>征求意见</w:t>
      </w:r>
      <w:r>
        <w:rPr>
          <w:rFonts w:hint="eastAsia" w:ascii="黑体" w:eastAsia="黑体"/>
          <w:sz w:val="40"/>
          <w:lang w:val="en-US"/>
        </w:rPr>
        <w:t>稿）</w:t>
      </w: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textAlignment w:val="baseline"/>
        <w:rPr>
          <w:rFonts w:ascii="黑体"/>
          <w:sz w:val="52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pStyle w:val="5"/>
        <w:snapToGrid w:val="0"/>
        <w:spacing w:before="1"/>
        <w:textAlignment w:val="baseline"/>
        <w:rPr>
          <w:rFonts w:ascii="黑体"/>
          <w:sz w:val="69"/>
          <w:lang w:val="en-US"/>
        </w:rPr>
      </w:pPr>
    </w:p>
    <w:p>
      <w:pPr>
        <w:tabs>
          <w:tab w:val="left" w:pos="7283"/>
        </w:tabs>
        <w:snapToGrid w:val="0"/>
        <w:spacing w:after="59"/>
        <w:ind w:right="55"/>
        <w:jc w:val="both"/>
        <w:textAlignment w:val="baseline"/>
        <w:rPr>
          <w:rFonts w:ascii="黑体" w:eastAsia="黑体"/>
          <w:sz w:val="28"/>
          <w:lang w:val="en-US"/>
        </w:rPr>
      </w:pPr>
      <w:r>
        <w:rPr>
          <w:rFonts w:hint="eastAsia" w:ascii="黑体" w:eastAsia="黑体"/>
          <w:sz w:val="28"/>
          <w:lang w:val="en-US"/>
        </w:rPr>
        <w:t>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pacing w:val="-70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  <w:lang w:val="en-US"/>
        </w:rPr>
        <w:t>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z w:val="28"/>
        </w:rPr>
        <w:t>发布</w:t>
      </w:r>
      <w:r>
        <w:rPr>
          <w:rFonts w:hint="eastAsia" w:ascii="黑体" w:eastAsia="黑体"/>
          <w:sz w:val="28"/>
          <w:lang w:val="en-US"/>
        </w:rPr>
        <w:t xml:space="preserve">                              202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hint="eastAsia" w:ascii="黑体" w:eastAsia="黑体"/>
          <w:sz w:val="28"/>
          <w:lang w:val="en-US"/>
        </w:rPr>
        <w:t xml:space="preserve"> -</w:t>
      </w:r>
      <w:r>
        <w:rPr>
          <w:rFonts w:hint="eastAsia" w:ascii="黑体" w:eastAsia="黑体"/>
          <w:spacing w:val="-72"/>
          <w:sz w:val="28"/>
          <w:lang w:val="en-US"/>
        </w:rPr>
        <w:t xml:space="preserve"> xx </w:t>
      </w:r>
      <w:r>
        <w:rPr>
          <w:rFonts w:hint="eastAsia" w:ascii="黑体" w:eastAsia="黑体"/>
          <w:sz w:val="28"/>
          <w:lang w:val="en-US"/>
        </w:rPr>
        <w:t>-xx</w:t>
      </w:r>
      <w:r>
        <w:rPr>
          <w:rFonts w:hint="eastAsia" w:ascii="黑体" w:eastAsia="黑体"/>
          <w:spacing w:val="-72"/>
          <w:sz w:val="28"/>
          <w:lang w:val="en-US"/>
        </w:rPr>
        <w:t xml:space="preserve"> </w:t>
      </w:r>
      <w:r>
        <w:rPr>
          <w:rFonts w:hint="eastAsia" w:ascii="黑体" w:eastAsia="黑体"/>
          <w:sz w:val="28"/>
        </w:rPr>
        <w:t>实施</w:t>
      </w:r>
    </w:p>
    <w:p>
      <w:pPr>
        <w:pStyle w:val="5"/>
        <w:snapToGrid w:val="0"/>
        <w:spacing w:line="20" w:lineRule="exact"/>
        <w:ind w:left="-80"/>
        <w:textAlignment w:val="baseline"/>
        <w:rPr>
          <w:rFonts w:ascii="黑体"/>
          <w:sz w:val="24"/>
        </w:rPr>
      </w:pPr>
      <w:r>
        <w:rPr>
          <w:rFonts w:ascii="黑体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795645" cy="76200"/>
                <wp:effectExtent l="0" t="0" r="0" b="0"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645" cy="76200"/>
                          <a:chOff x="0" y="0"/>
                          <a:chExt cx="9638" cy="15"/>
                        </a:xfrm>
                      </wpg:grpSpPr>
                      <wps:wsp>
                        <wps:cNvPr id="5" name="直线 5"/>
                        <wps:cNvCnPr/>
                        <wps:spPr>
                          <a:xfrm>
                            <a:off x="0" y="8"/>
                            <a:ext cx="96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6pt;width:456.35pt;" coordsize="9638,15" o:gfxdata="UEsDBAoAAAAAAIdO4kAAAAAAAAAAAAAAAAAEAAAAZHJzL1BLAwQUAAAACACHTuJACE3SRNUAAAAE&#10;AQAADwAAAGRycy9kb3ducmV2LnhtbE2PT0vDQBDF74LfYRnBm93diH8asylS1FMRbAXpbZqdJqHZ&#10;3ZDdJu23d/SilwfDe7z3m2Jxcp0YaYht8Ab0TIEgXwXb+trA5+b15hFETOgtdsGTgTNFWJSXFwXm&#10;Nkz+g8Z1qgWX+JijgSalPpcyVg05jLPQk2dvHwaHic+hlnbAictdJzOl7qXD1vNCgz0tG6oO66Mz&#10;8Dbh9HyrX8bVYb88bzd3718rTcZcX2n1BCLRKf2F4Qef0aFkpl04ehtFZ4AfSb/K3lxnDyB2HMoU&#10;yLKQ/+HLb1BLAwQUAAAACACHTuJA94H9GkcCAADzBAAADgAAAGRycy9lMm9Eb2MueG1spZTNbhMx&#10;EMfvSLyD5TvZJDRps8qmh6bNBUGlwgM4Xu+uJX/J42STOweO3HkNTnDgaVBfg7F3k0AqpApy2Phj&#10;Zjz/33g8v95pRbbCg7SmoKPBkBJhuC2lqQv64f3dqytKIDBTMmWNKOheAL1evHwxb10uxraxqhSe&#10;YBADeesK2oTg8iwD3gjNYGCdMLhZWa9ZwKmvs9KzFqNrlY2Hw2nWWl86b7kAwNVlt0n7iP45AW1V&#10;SS6Wlm+0MKGL6oViASVBIx3QRcq2qgQP76oKRCCqoKg0pC8eguN1/GaLOctrz1wjeZ8Ce04KZ5o0&#10;kwYPPYZassDIxssnobTk3oKtwoBbnXVCEhFUMRqesVl5u3FJS523tTtCx0KdUf/nsPzt9t4TWRZ0&#10;SolhGgv++P3jz8+fyEVk07o6R5OVdw/u3vcLdTeLcneV1/EfhZBdoro/UhW7QDguTi5nk+nFhBKO&#10;e5dTvAMddd5gaZ548ea295tNX+NVjE6jSfTIDsdlMatjEq3DewgnOPB/cB4a5kRiDlF5Dwez7+F8&#10;+fr47QdJCcWT0eTG9GQgB4T0VyxXnewDlpO8xOOojuXOQ1gJq0kcFFRJExNiOdu+gdCBOJjEZWVI&#10;W9DZZBwRM+zICjsBh9phVcHUyReskuWdVCp6gK/XN8qTLYtdkX494D/M4iFLBk1nl7Y6CY1g5a0p&#10;Sdg7vC8GnwkaU9CipEQJfFXiCBNleWBSPccS1SuDJY5IO4hxtLblPrFN61jkZJF6IV2Hvm9js/0+&#10;T1ant2r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hN0kTVAAAABAEAAA8AAAAAAAAAAQAgAAAA&#10;IgAAAGRycy9kb3ducmV2LnhtbFBLAQIUABQAAAAIAIdO4kD3gf0aRwIAAPMEAAAOAAAAAAAAAAEA&#10;IAAAACQBAABkcnMvZTJvRG9jLnhtbFBLBQYAAAAABgAGAFkBAADdBQAAAAA=&#10;">
                <o:lock v:ext="edit" aspectratio="f"/>
                <v:line id="直线 5" o:spid="_x0000_s1026" o:spt="20" style="position:absolute;left:0;top:8;height:0;width:9638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</w:p>
    <w:p>
      <w:pPr>
        <w:pStyle w:val="5"/>
        <w:snapToGrid w:val="0"/>
        <w:spacing w:before="4"/>
        <w:jc w:val="center"/>
        <w:textAlignment w:val="baseline"/>
        <w:rPr>
          <w:rFonts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中国农业国际合作促进会    发  布</w:t>
      </w:r>
    </w:p>
    <w:p>
      <w:pPr>
        <w:snapToGrid w:val="0"/>
        <w:textAlignment w:val="baseline"/>
        <w:rPr>
          <w:rFonts w:ascii="黑体" w:eastAsia="黑体"/>
          <w:sz w:val="28"/>
        </w:rPr>
        <w:sectPr>
          <w:headerReference r:id="rId3" w:type="default"/>
          <w:headerReference r:id="rId4" w:type="even"/>
          <w:type w:val="continuous"/>
          <w:pgSz w:w="11910" w:h="16840"/>
          <w:pgMar w:top="1134" w:right="1134" w:bottom="1134" w:left="1701" w:header="1228" w:footer="720" w:gutter="0"/>
          <w:cols w:space="720" w:num="1"/>
        </w:sectPr>
      </w:pPr>
    </w:p>
    <w:p>
      <w:pPr>
        <w:pStyle w:val="3"/>
        <w:tabs>
          <w:tab w:val="left" w:pos="638"/>
        </w:tabs>
        <w:snapToGrid w:val="0"/>
        <w:spacing w:before="850" w:after="680"/>
        <w:ind w:right="731"/>
        <w:jc w:val="center"/>
        <w:textAlignment w:val="baseline"/>
      </w:pPr>
      <w:r>
        <w:t>前</w:t>
      </w:r>
      <w:r>
        <w:tab/>
      </w:r>
      <w:r>
        <w:t>言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本文件按照GB/T 1.1—2020《标准化工作导则  第1部分：标准化文件的结构和起草规则》的规定起草。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default" w:ascii="Times New Roman" w:hAnsi="Times New Roman" w:cs="Times New Roman"/>
          <w:highlight w:val="none"/>
          <w:lang w:val="en-US"/>
        </w:rPr>
        <w:t>请注意本文件的某些内容可能涉及专利。本文件的发布机构不承担识别专利的责任。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</w:rPr>
      </w:pPr>
      <w:r>
        <w:rPr>
          <w:rFonts w:hint="eastAsia"/>
        </w:rPr>
        <w:t>本文件由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临潭县农畜产品质量安全检测检验中心</w:t>
      </w:r>
      <w:r>
        <w:rPr>
          <w:rFonts w:hint="eastAsia"/>
        </w:rPr>
        <w:t>提出。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eastAsia"/>
          <w:highlight w:val="none"/>
          <w:lang w:val="en-US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val="en-US"/>
        </w:rPr>
        <w:t>文件</w:t>
      </w:r>
      <w:r>
        <w:rPr>
          <w:rFonts w:hint="eastAsia"/>
          <w:highlight w:val="none"/>
        </w:rPr>
        <w:t>由中国农业国际合作促进会归口。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本文件起草单位：</w:t>
      </w:r>
      <w:r>
        <w:rPr>
          <w:rFonts w:hint="default"/>
          <w:highlight w:val="none"/>
          <w:lang w:val="en-US" w:eastAsia="zh-CN"/>
        </w:rPr>
        <w:t>临潭县农畜产品质量安全检测检验中心</w:t>
      </w:r>
    </w:p>
    <w:p>
      <w:pPr>
        <w:pStyle w:val="5"/>
        <w:snapToGrid w:val="0"/>
        <w:spacing w:line="24" w:lineRule="atLeast"/>
        <w:ind w:firstLine="420" w:firstLineChars="200"/>
        <w:textAlignment w:val="baseline"/>
        <w:sectPr>
          <w:headerReference r:id="rId5" w:type="default"/>
          <w:footerReference r:id="rId6" w:type="default"/>
          <w:footerReference r:id="rId7" w:type="even"/>
          <w:pgSz w:w="11910" w:h="16840"/>
          <w:pgMar w:top="1134" w:right="1134" w:bottom="1134" w:left="1701" w:header="1077" w:footer="907" w:gutter="0"/>
          <w:pgNumType w:start="1"/>
          <w:cols w:space="720" w:num="1"/>
        </w:sectPr>
      </w:pPr>
      <w:r>
        <w:rPr>
          <w:rFonts w:hint="eastAsia"/>
          <w:highlight w:val="none"/>
        </w:rPr>
        <w:t>本文件主要起草人：</w:t>
      </w:r>
      <w:r>
        <w:rPr>
          <w:rFonts w:hint="eastAsia"/>
        </w:rPr>
        <w:t xml:space="preserve">               </w:t>
      </w:r>
    </w:p>
    <w:p>
      <w:pPr>
        <w:pStyle w:val="3"/>
        <w:snapToGrid w:val="0"/>
        <w:spacing w:before="468" w:after="468"/>
        <w:ind w:left="283" w:right="215"/>
        <w:jc w:val="center"/>
        <w:textAlignment w:val="baseline"/>
        <w:rPr>
          <w:lang w:val="en-US" w:bidi="en-US"/>
        </w:rPr>
      </w:pPr>
      <w:r>
        <w:rPr>
          <w:rFonts w:hint="eastAsia" w:cs="黑体"/>
          <w:color w:val="auto"/>
          <w:sz w:val="32"/>
          <w:lang w:val="en-US" w:eastAsia="zh-CN" w:bidi="en-US"/>
        </w:rPr>
        <w:t>临潭</w:t>
      </w:r>
      <w:r>
        <w:rPr>
          <w:rFonts w:hint="eastAsia" w:ascii="黑体" w:hAnsi="黑体" w:eastAsia="黑体" w:cs="黑体"/>
          <w:color w:val="auto"/>
          <w:sz w:val="32"/>
          <w:lang w:val="en-US" w:eastAsia="zh-CN" w:bidi="en-US"/>
        </w:rPr>
        <w:t>党参</w:t>
      </w:r>
      <w:r>
        <w:rPr>
          <w:rFonts w:hint="eastAsia"/>
          <w:lang w:val="en-US" w:bidi="en-US"/>
        </w:rPr>
        <w:t>种植技术规程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范围</w:t>
      </w:r>
    </w:p>
    <w:p>
      <w:pPr>
        <w:pStyle w:val="5"/>
        <w:snapToGrid w:val="0"/>
        <w:spacing w:before="7"/>
        <w:ind w:right="495" w:firstLine="438" w:firstLineChars="236"/>
        <w:textAlignment w:val="baseline"/>
        <w:rPr>
          <w:spacing w:val="-12"/>
          <w:lang w:val="en-US"/>
        </w:rPr>
      </w:pPr>
      <w:r>
        <w:rPr>
          <w:rFonts w:hint="eastAsia"/>
          <w:spacing w:val="-12"/>
          <w:lang w:val="en-US"/>
        </w:rPr>
        <w:t>本文件规定了</w:t>
      </w:r>
      <w:r>
        <w:rPr>
          <w:rFonts w:hint="eastAsia"/>
          <w:spacing w:val="-12"/>
          <w:lang w:val="en-US" w:eastAsia="zh-CN"/>
        </w:rPr>
        <w:t>临潭</w:t>
      </w:r>
      <w:r>
        <w:rPr>
          <w:rFonts w:hint="eastAsia"/>
          <w:spacing w:val="-12"/>
          <w:lang w:val="en-US"/>
        </w:rPr>
        <w:t>党参的术语和定义、</w:t>
      </w:r>
      <w:r>
        <w:rPr>
          <w:rFonts w:hint="eastAsia"/>
          <w:spacing w:val="-12"/>
          <w:lang w:val="en-US" w:eastAsia="zh-CN"/>
        </w:rPr>
        <w:t>产地环境</w:t>
      </w:r>
      <w:r>
        <w:rPr>
          <w:rFonts w:hint="eastAsia"/>
          <w:spacing w:val="-12"/>
          <w:lang w:val="en-US"/>
        </w:rPr>
        <w:t>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品种</w:t>
      </w:r>
      <w:r>
        <w:rPr>
          <w:rFonts w:hint="eastAsia"/>
          <w:spacing w:val="-12"/>
          <w:lang w:val="en-US"/>
        </w:rPr>
        <w:t>、</w:t>
      </w:r>
      <w:r>
        <w:rPr>
          <w:rFonts w:hint="eastAsia"/>
          <w:spacing w:val="-12"/>
          <w:lang w:val="en-US" w:eastAsia="zh-CN"/>
        </w:rPr>
        <w:t>种植技术、病虫害防治、采收和贮存要求</w:t>
      </w:r>
      <w:r>
        <w:rPr>
          <w:rFonts w:hint="eastAsia"/>
          <w:spacing w:val="-12"/>
          <w:lang w:val="en-US"/>
        </w:rPr>
        <w:t>。</w:t>
      </w:r>
    </w:p>
    <w:p>
      <w:pPr>
        <w:pStyle w:val="5"/>
        <w:snapToGrid w:val="0"/>
        <w:spacing w:before="7"/>
        <w:ind w:right="495" w:firstLine="438" w:firstLineChars="236"/>
        <w:textAlignment w:val="baseline"/>
        <w:rPr>
          <w:spacing w:val="-7"/>
        </w:rPr>
      </w:pPr>
      <w:r>
        <w:rPr>
          <w:rFonts w:hint="eastAsia"/>
          <w:spacing w:val="-12"/>
          <w:lang w:val="en-US"/>
        </w:rPr>
        <w:t>本文件适用于甘南藏族自治州临潭县</w:t>
      </w:r>
      <w:r>
        <w:rPr>
          <w:rFonts w:hint="eastAsia"/>
          <w:spacing w:val="-12"/>
          <w:lang w:val="en-US" w:eastAsia="zh-CN"/>
        </w:rPr>
        <w:t>区</w:t>
      </w:r>
      <w:r>
        <w:rPr>
          <w:rFonts w:hint="default"/>
          <w:spacing w:val="-12"/>
          <w:lang w:val="en-US"/>
        </w:rPr>
        <w:t>域范围内</w:t>
      </w:r>
      <w:r>
        <w:rPr>
          <w:rFonts w:hint="eastAsia"/>
          <w:spacing w:val="-12"/>
          <w:lang w:val="en-US" w:eastAsia="zh-CN"/>
        </w:rPr>
        <w:t>党参的栽培和生产</w:t>
      </w:r>
      <w:r>
        <w:rPr>
          <w:rFonts w:hint="eastAsia"/>
          <w:spacing w:val="-12"/>
          <w:lang w:val="en-US"/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468" w:after="468"/>
        <w:textAlignment w:val="baseline"/>
        <w:rPr>
          <w:rFonts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规范性引用文件</w:t>
      </w:r>
    </w:p>
    <w:p>
      <w:pPr>
        <w:pStyle w:val="5"/>
        <w:snapToGrid w:val="0"/>
        <w:spacing w:before="1" w:line="278" w:lineRule="auto"/>
        <w:ind w:left="138" w:firstLine="420"/>
        <w:textAlignment w:val="baseline"/>
        <w:rPr>
          <w:color w:val="000000"/>
          <w:spacing w:val="-3"/>
        </w:rPr>
      </w:pPr>
      <w:r>
        <w:rPr>
          <w:color w:val="000000"/>
          <w:spacing w:val="-13"/>
        </w:rPr>
        <w:t>下列文件</w:t>
      </w:r>
      <w:r>
        <w:rPr>
          <w:rFonts w:hint="eastAsia"/>
          <w:color w:val="000000"/>
          <w:spacing w:val="-13"/>
        </w:rPr>
        <w:t>的内容通过文字的规范性引用而构成本文件必不可少的条款。其中，注日期的引用文件，仅该日期对应的版本适用于本文件；不注日期的引用文件，其最新版本</w:t>
      </w:r>
      <w:r>
        <w:rPr>
          <w:color w:val="000000"/>
          <w:spacing w:val="-3"/>
        </w:rPr>
        <w:t>（包括所有的修改单）适用于本文件。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3095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环境空气质量标准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GB 5084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农田灌溉水质标准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highlight w:val="none"/>
          <w:lang w:val="en-US"/>
        </w:rPr>
        <w:t>GB</w:t>
      </w:r>
      <w:r>
        <w:rPr>
          <w:rFonts w:ascii="Times New Roman" w:hAnsi="Times New Roman" w:eastAsia="宋体" w:cs="Times New Roman"/>
          <w:color w:val="000000"/>
          <w:spacing w:val="0"/>
          <w:sz w:val="21"/>
          <w:szCs w:val="21"/>
          <w:highlight w:val="none"/>
          <w:lang w:val="en-US"/>
        </w:rPr>
        <w:t xml:space="preserve"> 15618   土壤环境质量标准</w:t>
      </w:r>
    </w:p>
    <w:p>
      <w:pPr>
        <w:pStyle w:val="5"/>
        <w:spacing w:line="279" w:lineRule="auto"/>
        <w:ind w:firstLine="420"/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SB/T 11095   中药材仓库技术规范</w:t>
      </w:r>
    </w:p>
    <w:p>
      <w:pPr>
        <w:pStyle w:val="5"/>
        <w:spacing w:line="279" w:lineRule="auto"/>
        <w:ind w:firstLine="420"/>
        <w:rPr>
          <w:rFonts w:hint="default" w:ascii="Times New Roman" w:hAnsi="Times New Roman" w:cs="Times New Roman"/>
          <w:color w:val="000000"/>
          <w:highlight w:val="none"/>
          <w:lang w:val="en-US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4416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党参病虫害综合防治技术规程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bidi="ar-SA"/>
        </w:rPr>
        <w:t>术语和定义</w:t>
      </w:r>
    </w:p>
    <w:p>
      <w:pPr>
        <w:pStyle w:val="23"/>
        <w:widowControl w:val="0"/>
        <w:ind w:firstLine="420"/>
        <w:rPr>
          <w:rFonts w:ascii="Times New Roman" w:hAnsi="Times New Roman" w:cs="Times New Roman"/>
          <w:sz w:val="21"/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下列术语和定义适用于本文件。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临潭</w:t>
      </w: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 xml:space="preserve">党参 </w:t>
      </w:r>
      <w:r>
        <w:rPr>
          <w:rFonts w:hint="eastAsia" w:ascii="黑体" w:hAnsi="黑体" w:cs="黑体"/>
          <w:kern w:val="44"/>
          <w:sz w:val="21"/>
          <w:szCs w:val="22"/>
          <w:lang w:val="en-US" w:eastAsia="zh-CN" w:bidi="ar-SA"/>
        </w:rPr>
        <w:t>Lintan Codonopsis pilosula</w:t>
      </w:r>
    </w:p>
    <w:p>
      <w:pPr>
        <w:pStyle w:val="23"/>
        <w:ind w:firstLine="420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产自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甘南藏族自治州临潭县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域范围内，根据本</w:t>
      </w:r>
      <w:r>
        <w:rPr>
          <w:rFonts w:hint="eastAsia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种植生产的</w:t>
      </w:r>
      <w:r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党参。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0" w:beforeLines="100" w:after="0" w:afterLines="100"/>
        <w:ind w:left="567" w:leftChars="0" w:hanging="567" w:firstLineChars="0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  <w:t>芦头</w:t>
      </w: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 xml:space="preserve"> </w:t>
      </w:r>
      <w:r>
        <w:rPr>
          <w:rFonts w:hint="eastAsia" w:ascii="黑体" w:hAnsi="黑体" w:cs="黑体"/>
          <w:kern w:val="44"/>
          <w:sz w:val="21"/>
          <w:szCs w:val="22"/>
          <w:lang w:val="en-US" w:eastAsia="zh-CN" w:bidi="ar-SA"/>
        </w:rPr>
        <w:t>rhizome</w:t>
      </w:r>
    </w:p>
    <w:p>
      <w:pPr>
        <w:pStyle w:val="23"/>
        <w:widowControl w:val="0"/>
        <w:ind w:firstLine="420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主根顶端密集横生皱纹的部位</w:t>
      </w:r>
      <w:bookmarkStart w:id="1" w:name="_GoBack"/>
      <w:bookmarkEnd w:id="1"/>
      <w:r>
        <w:rPr>
          <w:rFonts w:hint="default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ascii="Tahoma" w:hAnsi="Tahoma" w:cs="Times New Roman"/>
          <w:kern w:val="44"/>
          <w:sz w:val="21"/>
          <w:szCs w:val="22"/>
          <w:highlight w:val="none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highlight w:val="none"/>
          <w:lang w:val="en-US" w:eastAsia="zh-CN" w:bidi="ar-SA"/>
        </w:rPr>
        <w:t>产地环境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海拔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2200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3926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年平均气温3.2℃，≥0℃积温1920℃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土壤环境质量符合GB 15618的规定，灌溉用水质量符合GB 5084的规定，环境空气质量</w:t>
      </w:r>
      <w:r>
        <w:rPr>
          <w:rFonts w:hint="eastAsia" w:asci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GB 3095的规定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default" w:ascii="Tahoma" w:hAnsi="Tahoma" w:cs="Times New Roman"/>
          <w:kern w:val="44"/>
          <w:sz w:val="21"/>
          <w:szCs w:val="22"/>
          <w:lang w:val="en-US" w:eastAsia="zh-CN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品种</w:t>
      </w:r>
    </w:p>
    <w:p>
      <w:pPr>
        <w:pStyle w:val="23"/>
        <w:widowControl w:val="0"/>
        <w:ind w:firstLine="42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高产、抗病性强的本地</w:t>
      </w:r>
      <w:r>
        <w:rPr>
          <w:rFonts w:hint="default" w:ascii="Times New Roman" w:hAnsi="Times New Roman" w:eastAsia="宋体" w:cs="Times New Roman"/>
          <w:color w:val="000000" w:themeColor="text1"/>
          <w:szCs w:val="21"/>
          <w:lang w:val="zh-CN" w:eastAsia="zh-CN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党参品种。</w:t>
      </w:r>
    </w:p>
    <w:p>
      <w:pPr>
        <w:pStyle w:val="23"/>
        <w:widowControl w:val="0"/>
        <w:ind w:firstLine="42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2"/>
        </w:numPr>
        <w:ind w:left="283" w:hanging="283"/>
        <w:rPr>
          <w:rFonts w:hint="default" w:ascii="Tahoma" w:hAnsi="Tahoma" w:eastAsia="黑体" w:cs="Times New Roman"/>
          <w:color w:val="000000" w:themeColor="text1"/>
          <w:kern w:val="44"/>
          <w:sz w:val="21"/>
          <w:szCs w:val="2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黑体" w:cs="Times New Roman"/>
          <w:kern w:val="44"/>
          <w:sz w:val="21"/>
          <w:szCs w:val="22"/>
          <w:lang w:val="en-US" w:eastAsia="zh-CN" w:bidi="ar-SA"/>
        </w:rPr>
        <w:t>种植技术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选地整块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选</w:t>
      </w:r>
      <w:r>
        <w:rPr>
          <w:rFonts w:hint="eastAsia" w:ascii="Times New Roman" w:hAnsi="Times New Roman" w:cs="Times New Roman"/>
          <w:sz w:val="21"/>
          <w:lang w:val="en-US" w:eastAsia="zh-CN"/>
        </w:rPr>
        <w:t>地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土层深厚、疏松、排水良好、富含有机质的沙壤土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，pH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值在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5. 5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~ 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7. 5之间，背阳的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半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阴坡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育苗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整</w:t>
      </w:r>
      <w:r>
        <w:rPr>
          <w:rFonts w:hint="eastAsia" w:ascii="Times New Roman" w:hAnsi="Times New Roman" w:cs="Times New Roman"/>
          <w:sz w:val="21"/>
          <w:lang w:val="en-US" w:eastAsia="zh-CN"/>
        </w:rPr>
        <w:t>地</w:t>
      </w:r>
    </w:p>
    <w:p>
      <w:pPr>
        <w:pStyle w:val="3"/>
        <w:keepNext/>
        <w:keepLines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88" w:lineRule="auto"/>
        <w:ind w:firstLine="420" w:firstLineChars="200"/>
        <w:textAlignment w:val="baseline"/>
        <w:rPr>
          <w:rFonts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44"/>
          <w:sz w:val="21"/>
          <w:szCs w:val="44"/>
          <w:lang w:val="en-US" w:eastAsia="zh-CN" w:bidi="ar-SA"/>
        </w:rPr>
        <w:t>秋季深翻土壤 40 cm以上，捡除杂物，每667 m</w:t>
      </w:r>
      <w:r>
        <w:rPr>
          <w:rFonts w:hint="eastAsia" w:ascii="Times New Roman" w:hAnsi="Times New Roman" w:eastAsia="宋体" w:cs="Times New Roman"/>
          <w:b w:val="0"/>
          <w:bCs w:val="0"/>
          <w:kern w:val="44"/>
          <w:sz w:val="21"/>
          <w:szCs w:val="44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kern w:val="44"/>
          <w:sz w:val="21"/>
          <w:szCs w:val="44"/>
          <w:lang w:val="en-US" w:eastAsia="zh-CN" w:bidi="ar-SA"/>
        </w:rPr>
        <w:t>腐熟农家肥施 2000 kg~ 3000 kg，或施复合肥 (N:P:K= 15:15:15) 30 kg~50 kg ，耙平备用</w:t>
      </w:r>
      <w:r>
        <w:rPr>
          <w:rFonts w:ascii="Times New Roman" w:hAnsi="Times New Roman" w:eastAsia="宋体" w:cs="Times New Roman"/>
          <w:sz w:val="21"/>
        </w:rPr>
        <w:t>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bookmarkStart w:id="0" w:name="_Toc373505152"/>
      <w:r>
        <w:rPr>
          <w:rFonts w:hint="eastAsia" w:ascii="Times New Roman" w:hAnsi="Times New Roman" w:cs="Times New Roman"/>
          <w:sz w:val="21"/>
          <w:lang w:val="en-US" w:eastAsia="zh-CN"/>
        </w:rPr>
        <w:t>种苗繁育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播种时间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选用当年生种子于白露前后播种。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播种方式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highlight w:val="none"/>
          <w:lang w:val="en-US" w:eastAsia="zh-CN"/>
        </w:rPr>
        <w:t>在6.1.2的基础上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，土壤应深翻、整平、耙细，浇透水。种子均匀撒于苗床后，用3 cm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/>
        </w:rPr>
        <w:t>~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5 cm钉耙耙平，覆盖麦草遮阳。苗床应每周喷水1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/>
        </w:rPr>
        <w:t>~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2次，保持土壤湿润。</w:t>
      </w:r>
    </w:p>
    <w:p>
      <w:pPr>
        <w:pStyle w:val="3"/>
        <w:keepLines/>
        <w:widowControl/>
        <w:numPr>
          <w:ilvl w:val="3"/>
          <w:numId w:val="2"/>
        </w:numPr>
        <w:snapToGrid w:val="0"/>
        <w:spacing w:before="312" w:after="312"/>
        <w:ind w:left="850" w:leftChars="0" w:hanging="850" w:firstLineChars="0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用种量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每667㎡用种2 kg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/>
        </w:rPr>
        <w:t>~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3 kg。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苗田管理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>党参育苗田无需追肥。待苗出齐后去掉覆盖的麦草，苗高约6 cm时应适当间苗，以防过密影响生长，及时除杂草。</w:t>
      </w:r>
    </w:p>
    <w:bookmarkEnd w:id="0"/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leftChars="0" w:hanging="709" w:firstLineChars="0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参苗要求</w:t>
      </w:r>
    </w:p>
    <w:p>
      <w:pPr>
        <w:pStyle w:val="3"/>
        <w:keepLines/>
        <w:widowControl/>
        <w:numPr>
          <w:ilvl w:val="-1"/>
          <w:numId w:val="0"/>
        </w:numPr>
        <w:snapToGrid w:val="0"/>
        <w:spacing w:before="312" w:after="312"/>
        <w:ind w:left="0" w:firstLine="420" w:firstLineChars="200"/>
        <w:textAlignment w:val="baseline"/>
      </w:pPr>
      <w:r>
        <w:rPr>
          <w:rFonts w:hint="eastAsia" w:ascii="Times New Roman" w:hAnsi="Times New Roman" w:eastAsia="宋体" w:cs="Times New Roman"/>
          <w:b w:val="0"/>
          <w:bCs w:val="0"/>
          <w:sz w:val="21"/>
        </w:rPr>
        <w:t>选择苗龄达到1年，苗高10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</w:rPr>
        <w:t>cm</w:t>
      </w:r>
      <w:r>
        <w:rPr>
          <w:rFonts w:hint="eastAsia" w:ascii="Times New Roman" w:hAnsi="Times New Roman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/>
        </w:rPr>
        <w:t>~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1"/>
        </w:rPr>
        <w:t>15 cm，生长健壮、均匀、头梢尾完整、条长无分权、头部有1~2个牙眼的参苗移栽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hanging="709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移栽时间</w:t>
      </w:r>
    </w:p>
    <w:p>
      <w:pPr>
        <w:pStyle w:val="23"/>
        <w:widowControl w:val="0"/>
        <w:ind w:firstLine="420"/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11月至翌年</w:t>
      </w:r>
      <w:r>
        <w:rPr>
          <w:rFonts w:hint="eastAsia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月中旬，根芽萌发前移栽。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hanging="709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移栽方法</w:t>
      </w:r>
    </w:p>
    <w:p>
      <w:pPr>
        <w:pStyle w:val="23"/>
        <w:widowControl w:val="0"/>
        <w:ind w:firstLine="420"/>
        <w:rPr>
          <w:rFonts w:hint="eastAsia" w:ascii="Times New Roman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宜采用沟栽，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按行距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 cm~30 cm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、深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cm左右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横向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沟</w:t>
      </w:r>
      <w:r>
        <w:rPr>
          <w:rFonts w:hint="eastAsia" w:ascii="Times New Roman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按株距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10 cm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斜放于坡度小于15°整好的沟坡上，根头抬起</w:t>
      </w:r>
      <w:r>
        <w:rPr>
          <w:rFonts w:hint="eastAsia" w:ascii="Times New Roman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尾部不得弯曲，根系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自然舒展，覆土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过根头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4 cm~5 cm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，压实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耙平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hanging="709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移栽密度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可按株距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cm，行距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cm定植，每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667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default" w:ascii="Times New Roman" w:hAnsi="Times New Roman" w:cs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20000</w:t>
      </w:r>
      <w:r>
        <w:rPr>
          <w:rFonts w:hint="eastAsia" w:asci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株移栽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田间管理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中耕除草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党参首次移栽后，需除草3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次。在苗高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cm~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时进行第一次中耕除草，苗高15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cm~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时，结合追肥进行第二次锄草</w:t>
      </w:r>
      <w:r>
        <w:rPr>
          <w:rFonts w:hint="eastAsia" w:ascii="Times New Roman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随后根据杂草生长情况进行</w:t>
      </w:r>
      <w:r>
        <w:rPr>
          <w:rFonts w:asci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ind w:left="709" w:hanging="709"/>
        <w:textAlignment w:val="baseline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追肥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60" w:line="307" w:lineRule="exact"/>
        <w:ind w:left="0" w:right="0" w:firstLine="420"/>
        <w:jc w:val="both"/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苗高15</w:t>
      </w:r>
      <w:r>
        <w:rPr>
          <w:rFonts w:hint="eastAsia" w:ascii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cm~</w:t>
      </w:r>
      <w:r>
        <w:rPr>
          <w:rFonts w:hint="eastAsia" w:ascii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hint="eastAsia" w:ascii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时，进行追肥</w:t>
      </w:r>
      <w:r>
        <w:rPr>
          <w:rFonts w:hint="eastAsia" w:ascii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，每667㎡追施尿素或磷肥10 kg~15 kg</w:t>
      </w:r>
      <w:r>
        <w:rPr>
          <w:rFonts w:hint="eastAsia" w:ascii="Times New Roman" w:hAnsi="Times New Roman" w:cs="Times New Roman"/>
          <w:color w:val="000000" w:themeColor="text1"/>
          <w:spacing w:val="0"/>
          <w:w w:val="100"/>
          <w:positio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2"/>
          <w:numId w:val="2"/>
        </w:numPr>
        <w:snapToGrid w:val="0"/>
        <w:spacing w:before="312" w:after="312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打尖</w:t>
      </w:r>
    </w:p>
    <w:p>
      <w:pPr>
        <w:pStyle w:val="23"/>
        <w:keepLines/>
        <w:widowControl w:val="0"/>
        <w:numPr>
          <w:ilvl w:val="0"/>
          <w:numId w:val="0"/>
        </w:numPr>
        <w:snapToGrid w:val="0"/>
        <w:spacing w:before="312" w:after="0"/>
        <w:ind w:leftChars="200"/>
        <w:textAlignment w:val="baseline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对于不采种的参苗进行打尖处理，当其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株高</w:t>
      </w:r>
      <w:r>
        <w:rPr>
          <w:rFonts w:hint="eastAsia" w:ascii="Times New Roman" w:cs="Times New Roman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约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cs="Times New Roman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在其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距离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地面</w:t>
      </w:r>
      <w:r>
        <w:rPr>
          <w:rFonts w:hint="eastAsia" w:ascii="Times New Roman" w:cs="Times New Roman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 xml:space="preserve">20 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cm</w:t>
      </w:r>
      <w:r>
        <w:rPr>
          <w:rFonts w:hint="eastAsia" w:ascii="Times New Roman" w:hAnsi="Times New Roman" w:eastAsia="宋体" w:cs="Times New Roman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处剪除上部嫩梢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病虫害防治</w:t>
      </w:r>
    </w:p>
    <w:p>
      <w:pPr>
        <w:pStyle w:val="23"/>
        <w:widowControl w:val="0"/>
        <w:ind w:firstLine="420"/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病虫害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防治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cs="Times New Roman"/>
          <w:color w:val="000000"/>
          <w:highlight w:val="none"/>
          <w:lang w:val="en-US"/>
        </w:rPr>
        <w:t>DB62/T 4416</w:t>
      </w:r>
      <w:r>
        <w:rPr>
          <w:rFonts w:hint="eastAsia" w:ascii="Times New Roman" w:cs="Times New Roman"/>
          <w:color w:val="000000"/>
          <w:highlight w:val="none"/>
          <w:lang w:val="en-US" w:eastAsia="zh-CN"/>
        </w:rPr>
        <w:t>执行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0" w:beforeLines="100" w:after="0" w:afterLines="100"/>
        <w:ind w:left="283" w:hanging="283"/>
        <w:textAlignment w:val="baseline"/>
        <w:rPr>
          <w:rFonts w:hint="eastAsia" w:ascii="Tahoma" w:hAnsi="Tahoma" w:cs="Times New Roman"/>
          <w:kern w:val="44"/>
          <w:sz w:val="21"/>
          <w:szCs w:val="22"/>
          <w:lang w:val="en-US" w:bidi="ar-SA"/>
        </w:rPr>
      </w:pPr>
      <w:r>
        <w:rPr>
          <w:rFonts w:hint="eastAsia" w:ascii="Tahoma" w:hAnsi="Tahoma" w:cs="Times New Roman"/>
          <w:kern w:val="44"/>
          <w:sz w:val="21"/>
          <w:szCs w:val="22"/>
          <w:lang w:val="en-US" w:eastAsia="zh-CN" w:bidi="ar-SA"/>
        </w:rPr>
        <w:t>采收和贮存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hint="default"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采收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移栽后1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2年收获为宜。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10月下旬至11月上旬，党参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地上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部分枯萎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后，选晴天，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割掉茎叶深挖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刨出全根，避免伤根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按粗细大小分别晾晒10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15 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Lines/>
        <w:widowControl/>
        <w:numPr>
          <w:ilvl w:val="1"/>
          <w:numId w:val="2"/>
        </w:numPr>
        <w:snapToGrid w:val="0"/>
        <w:spacing w:before="312" w:after="312"/>
        <w:ind w:left="567" w:hanging="567"/>
        <w:textAlignment w:val="baseline"/>
        <w:rPr>
          <w:rFonts w:hint="eastAsia" w:ascii="Times New Roman" w:hAnsi="Times New Roman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贮存</w:t>
      </w:r>
    </w:p>
    <w:p>
      <w:pPr>
        <w:pStyle w:val="23"/>
        <w:widowControl w:val="0"/>
        <w:ind w:firstLine="420"/>
        <w:rPr>
          <w:rFonts w:hint="default" w:ascii="Times New Roman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贮存符合SB/T 11095 的要求。</w:t>
      </w:r>
    </w:p>
    <w:p>
      <w:pPr>
        <w:pStyle w:val="3"/>
        <w:keepLines/>
        <w:widowControl/>
        <w:numPr>
          <w:ilvl w:val="0"/>
          <w:numId w:val="2"/>
        </w:numPr>
        <w:snapToGrid w:val="0"/>
        <w:spacing w:before="312" w:after="312"/>
        <w:ind w:left="283" w:leftChars="0" w:hanging="283" w:firstLineChars="0"/>
        <w:textAlignment w:val="baseline"/>
        <w:rPr>
          <w:rFonts w:ascii="Times New Roman" w:hAnsi="Times New Roman" w:cs="Times New Roman"/>
          <w:sz w:val="21"/>
          <w:lang w:val="en-US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>留种技术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260" w:line="307" w:lineRule="exact"/>
        <w:ind w:left="0" w:right="0" w:firstLine="420"/>
        <w:jc w:val="both"/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选用二年生以上的植株所结的种子作种，在9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~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10 月，果实呈黄白色、种子浅褐色时，即可采种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，若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种子成熟不一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，可分期分批采收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。种子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晒干脱粒，去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杂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质后</w:t>
      </w:r>
      <w:r>
        <w:rPr>
          <w:rFonts w:hint="eastAsia" w:ascii="Times New Roman"/>
          <w:color w:val="000000" w:themeColor="text1"/>
          <w:sz w:val="21"/>
          <w:szCs w:val="22"/>
          <w:highlight w:val="none"/>
          <w:lang w:val="en-US"/>
          <w14:textFill>
            <w14:solidFill>
              <w14:schemeClr w14:val="tx1"/>
            </w14:solidFill>
          </w14:textFill>
        </w:rPr>
        <w:t>，置干燥通风处贮藏。</w:t>
      </w:r>
    </w:p>
    <w:p>
      <w:pPr>
        <w:pStyle w:val="23"/>
        <w:widowControl w:val="0"/>
        <w:ind w:firstLine="420"/>
        <w:rPr>
          <w:rFonts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801370</wp:posOffset>
                </wp:positionV>
                <wp:extent cx="1923415" cy="0"/>
                <wp:effectExtent l="0" t="0" r="196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8pt;margin-top:63.1pt;height:0pt;width:151.45pt;z-index:251666432;mso-width-relative:page;mso-height-relative:page;" filled="f" stroked="t" coordsize="21600,21600" o:gfxdata="UEsDBAoAAAAAAIdO4kAAAAAAAAAAAAAAAAAEAAAAZHJzL1BLAwQUAAAACACHTuJAHpOQO9cAAAAL&#10;AQAADwAAAGRycy9kb3ducmV2LnhtbE2PTU/DMAyG70j8h8hIXCaWLNOqqmu6A9AbFwaIa9Z4bUXj&#10;dE32Ab8eIyHB0X4fvX5cbi5+ECecYh/IwGKuQCA1wfXUGnh9qe9yEDFZcnYIhAY+McKmur4qbeHC&#10;mZ7xtE2t4BKKhTXQpTQWUsamQ2/jPIxInO3D5G3icWqlm+yZy/0gtVKZ9LYnvtDZEe87bD62R28g&#10;1m94qL9mzUy9L9uA+vDw9GiNub1ZqDWIhJf0B8OPPqtDxU67cCQXxWBA58uMUQ50pkEwscqzFYjd&#10;70ZWpfz/Q/UNUEsDBBQAAAAIAIdO4kCyB3JP7wEAANMDAAAOAAAAZHJzL2Uyb0RvYy54bWytUzuO&#10;2zAQ7QPkDgT7WLIDL2LB8hZrbJp8DCQ5wJiiJAL8gcO17EvkAgHSJVXK9LlNNsfIkLK92d1mi6gg&#10;h/N5nPc4Wl7ujWY7GVA5W/PppORMWuEaZbuaf/p4/eIVZxjBNqCdlTU/SOSXq+fPloOv5Mz1Tjcy&#10;MAKxWA2+5n2MvioKFL00gBPnpaVg64KBSMfQFU2AgdCNLmZleVEMLjQ+OCERybseg/yIGJ4C6NpW&#10;Cbl24sZIG0fUIDVEooS98shXudu2lSK+b1uUkemaE9OYV7qE7G1ai9USqi6A75U4tgBPaeEBJwPK&#10;0qVnqDVEYDdBPYIySgSHro0T4UwxEsmKEItp+UCbDz14mbmQ1OjPouP/gxXvdpvAVEOTwJkFQw9+&#10;++Xn78/f/vz6Suvtj+9smkQaPFaUe2U34XhCvwmJ8b4NJu3Ehe2zsIezsHIfmSDndDF7ebEgzcUp&#10;VtwV+oDxtXSGJaPmWtnEGSrYvcFIl1HqKSW5rbtWWud305YNNV/MZ3NCBprFlmaATOOJD9qOM9Ad&#10;DbmIISOi06pJ1QkHQ7e90oHtII1G/sakHho5ehdzco8jghDfumZ0T8uTn1o7wuQ27+GnnteA/ViT&#10;QwmKSrSlLQk6SpisrWsOWdnsp7fOice5TMP07zlX3/2L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k5A71wAAAAsBAAAPAAAAAAAAAAEAIAAAACIAAABkcnMvZG93bnJldi54bWxQSwECFAAUAAAA&#10;CACHTuJAsgdy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first"/>
      <w:footerReference r:id="rId8" w:type="default"/>
      <w:footerReference r:id="rId9" w:type="even"/>
      <w:pgSz w:w="11910" w:h="16840"/>
      <w:pgMar w:top="1134" w:right="1134" w:bottom="1134" w:left="1701" w:header="1077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hint="eastAsia" w:eastAsia="黑体"/>
        <w:lang w:val="en-US" w:eastAsia="zh-CN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</w:t>
    </w:r>
    <w:r>
      <w:rPr>
        <w:rFonts w:hint="eastAsia" w:ascii="黑体" w:hAnsi="黑体" w:eastAsia="黑体" w:cs="黑体"/>
        <w:lang w:val="en-US" w:eastAsia="zh-C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/>
      <w:rPr>
        <w:rFonts w:eastAsia="黑体"/>
        <w:lang w:val="en-US"/>
      </w:rPr>
    </w:pPr>
    <w:r>
      <w:rPr>
        <w:rFonts w:ascii="Times New Roman" w:hAnsi="Times New Roman" w:eastAsia="黑体" w:cs="Times New Roman"/>
        <w:b/>
        <w:bCs/>
        <w:lang w:val="en-US"/>
      </w:rPr>
      <w:t>T/CAI</w:t>
    </w:r>
    <w:r>
      <w:rPr>
        <w:rFonts w:hint="eastAsia" w:ascii="黑体" w:hAnsi="黑体" w:eastAsia="黑体" w:cs="黑体"/>
        <w:lang w:val="en-US"/>
      </w:rPr>
      <w:t xml:space="preserve"> 1xx-2021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A3011"/>
    <w:multiLevelType w:val="multilevel"/>
    <w:tmpl w:val="3C3A3011"/>
    <w:lvl w:ilvl="0" w:tentative="0">
      <w:start w:val="1"/>
      <w:numFmt w:val="decimal"/>
      <w:lvlText w:val="%1"/>
      <w:lvlJc w:val="left"/>
      <w:pPr>
        <w:ind w:left="283" w:hanging="283"/>
      </w:pPr>
      <w:rPr>
        <w:rFonts w:hint="default" w:ascii="黑体" w:hAnsi="黑体" w:eastAsia="黑体" w:cs="宋体"/>
      </w:rPr>
    </w:lvl>
    <w:lvl w:ilvl="1" w:tentative="0">
      <w:start w:val="1"/>
      <w:numFmt w:val="decimal"/>
      <w:lvlText w:val="%1.%2  "/>
      <w:lvlJc w:val="left"/>
      <w:pPr>
        <w:ind w:left="567" w:hanging="567"/>
      </w:pPr>
      <w:rPr>
        <w:rFonts w:hint="default" w:ascii="黑体" w:hAnsi="黑体" w:eastAsia="宋体" w:cs="宋体"/>
      </w:rPr>
    </w:lvl>
    <w:lvl w:ilvl="2" w:tentative="0">
      <w:start w:val="1"/>
      <w:numFmt w:val="decimal"/>
      <w:lvlText w:val="%1.%2.%3 "/>
      <w:lvlJc w:val="left"/>
      <w:pPr>
        <w:ind w:left="709" w:hanging="709"/>
      </w:pPr>
      <w:rPr>
        <w:rFonts w:hint="default" w:ascii="黑体" w:hAnsi="黑体" w:eastAsia="宋体" w:cs="宋体"/>
      </w:rPr>
    </w:lvl>
    <w:lvl w:ilvl="3" w:tentative="0">
      <w:start w:val="1"/>
      <w:numFmt w:val="decimal"/>
      <w:lvlText w:val="%1.%2.%3.%4 "/>
      <w:lvlJc w:val="left"/>
      <w:pPr>
        <w:ind w:left="850" w:hanging="850"/>
      </w:pPr>
      <w:rPr>
        <w:rFonts w:hint="default" w:ascii="黑体" w:hAnsi="黑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ZmMzZTBiZWI4ZjYxNTZmYzcyMTIyMDdlNjc3MTIifQ=="/>
  </w:docVars>
  <w:rsids>
    <w:rsidRoot w:val="00D364DE"/>
    <w:rsid w:val="0004284E"/>
    <w:rsid w:val="001E5ADC"/>
    <w:rsid w:val="002A752B"/>
    <w:rsid w:val="00406A4C"/>
    <w:rsid w:val="00477A17"/>
    <w:rsid w:val="004D5AC9"/>
    <w:rsid w:val="004F411E"/>
    <w:rsid w:val="00630687"/>
    <w:rsid w:val="00714220"/>
    <w:rsid w:val="007C0AED"/>
    <w:rsid w:val="008340D0"/>
    <w:rsid w:val="0085151A"/>
    <w:rsid w:val="008956B2"/>
    <w:rsid w:val="00962A8E"/>
    <w:rsid w:val="00B446D7"/>
    <w:rsid w:val="00CC0BFD"/>
    <w:rsid w:val="00CC3303"/>
    <w:rsid w:val="00D364DE"/>
    <w:rsid w:val="00E6420A"/>
    <w:rsid w:val="00EC32A1"/>
    <w:rsid w:val="00F64FA7"/>
    <w:rsid w:val="00FF5B27"/>
    <w:rsid w:val="022B6E18"/>
    <w:rsid w:val="04BB5134"/>
    <w:rsid w:val="081845CB"/>
    <w:rsid w:val="09D34D6F"/>
    <w:rsid w:val="0ACF15A0"/>
    <w:rsid w:val="0BB723BC"/>
    <w:rsid w:val="0BE758F2"/>
    <w:rsid w:val="0CC40D1C"/>
    <w:rsid w:val="0D6C3070"/>
    <w:rsid w:val="0E127FC5"/>
    <w:rsid w:val="0E9301A8"/>
    <w:rsid w:val="10A9041C"/>
    <w:rsid w:val="11A34771"/>
    <w:rsid w:val="12C23ECB"/>
    <w:rsid w:val="137A5709"/>
    <w:rsid w:val="14971E50"/>
    <w:rsid w:val="17D84F21"/>
    <w:rsid w:val="1824437E"/>
    <w:rsid w:val="197C7533"/>
    <w:rsid w:val="1BF55A21"/>
    <w:rsid w:val="1CDA6BC9"/>
    <w:rsid w:val="1D5D69B0"/>
    <w:rsid w:val="1DA0266A"/>
    <w:rsid w:val="1E030D9D"/>
    <w:rsid w:val="2003405C"/>
    <w:rsid w:val="20641098"/>
    <w:rsid w:val="2158486D"/>
    <w:rsid w:val="22214155"/>
    <w:rsid w:val="22603664"/>
    <w:rsid w:val="23BF7F9C"/>
    <w:rsid w:val="270353AD"/>
    <w:rsid w:val="27662B90"/>
    <w:rsid w:val="278F7FEF"/>
    <w:rsid w:val="27C67CA3"/>
    <w:rsid w:val="27E81DFA"/>
    <w:rsid w:val="288F0069"/>
    <w:rsid w:val="291A7EA0"/>
    <w:rsid w:val="2A22335B"/>
    <w:rsid w:val="2A860B19"/>
    <w:rsid w:val="2B6C37C8"/>
    <w:rsid w:val="2E6017DC"/>
    <w:rsid w:val="2EC43A58"/>
    <w:rsid w:val="31F82598"/>
    <w:rsid w:val="3270618F"/>
    <w:rsid w:val="34BB1A17"/>
    <w:rsid w:val="35C679D5"/>
    <w:rsid w:val="362832D4"/>
    <w:rsid w:val="375463A2"/>
    <w:rsid w:val="3868691E"/>
    <w:rsid w:val="389E2510"/>
    <w:rsid w:val="38FF582C"/>
    <w:rsid w:val="3BAB16A2"/>
    <w:rsid w:val="3D5D17E8"/>
    <w:rsid w:val="3E2F3E8B"/>
    <w:rsid w:val="3FEA2BFF"/>
    <w:rsid w:val="413E2BF1"/>
    <w:rsid w:val="41E67444"/>
    <w:rsid w:val="435B3B47"/>
    <w:rsid w:val="45F379FF"/>
    <w:rsid w:val="469466BC"/>
    <w:rsid w:val="48CF7937"/>
    <w:rsid w:val="4A277EA5"/>
    <w:rsid w:val="4A887025"/>
    <w:rsid w:val="4E3534CA"/>
    <w:rsid w:val="4EB36A7E"/>
    <w:rsid w:val="51617B94"/>
    <w:rsid w:val="519002C4"/>
    <w:rsid w:val="545210D7"/>
    <w:rsid w:val="54A138AB"/>
    <w:rsid w:val="5582386B"/>
    <w:rsid w:val="57A72AE1"/>
    <w:rsid w:val="584C0CC1"/>
    <w:rsid w:val="5A311229"/>
    <w:rsid w:val="5DD302CC"/>
    <w:rsid w:val="5E2A51EA"/>
    <w:rsid w:val="5E9610C7"/>
    <w:rsid w:val="5FED74E2"/>
    <w:rsid w:val="61685B93"/>
    <w:rsid w:val="634C3F48"/>
    <w:rsid w:val="64E20C1D"/>
    <w:rsid w:val="684A4F30"/>
    <w:rsid w:val="69942FD0"/>
    <w:rsid w:val="69CB0A19"/>
    <w:rsid w:val="6A63133C"/>
    <w:rsid w:val="6B304859"/>
    <w:rsid w:val="6C132D0C"/>
    <w:rsid w:val="6C7C15D3"/>
    <w:rsid w:val="6CE6660F"/>
    <w:rsid w:val="6D6D72B0"/>
    <w:rsid w:val="6DFD4E15"/>
    <w:rsid w:val="6F370705"/>
    <w:rsid w:val="71747CA4"/>
    <w:rsid w:val="72AA3F34"/>
    <w:rsid w:val="774567A4"/>
    <w:rsid w:val="784D2EB8"/>
    <w:rsid w:val="7A6F4495"/>
    <w:rsid w:val="7D253FDF"/>
    <w:rsid w:val="7D8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55"/>
      <w:outlineLvl w:val="0"/>
    </w:pPr>
    <w:rPr>
      <w:rFonts w:ascii="黑体" w:hAnsi="黑体" w:eastAsia="黑体" w:cs="黑体"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2"/>
    </w:pPr>
    <w:rPr>
      <w:rFonts w:ascii="Times New Roman" w:hAnsi="Times New Roman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73" w:hanging="736"/>
    </w:pPr>
  </w:style>
  <w:style w:type="paragraph" w:customStyle="1" w:styleId="17">
    <w:name w:val="Table Paragraph"/>
    <w:basedOn w:val="1"/>
    <w:qFormat/>
    <w:uiPriority w:val="1"/>
    <w:pPr>
      <w:spacing w:before="38"/>
      <w:jc w:val="center"/>
    </w:pPr>
  </w:style>
  <w:style w:type="character" w:customStyle="1" w:styleId="18">
    <w:name w:val="批注文字 字符"/>
    <w:basedOn w:val="13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9">
    <w:name w:val="批注主题 字符"/>
    <w:basedOn w:val="18"/>
    <w:link w:val="11"/>
    <w:qFormat/>
    <w:uiPriority w:val="0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20">
    <w:name w:val="批注框文本 字符"/>
    <w:basedOn w:val="13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1">
    <w:name w:val="二级条标题"/>
    <w:basedOn w:val="22"/>
    <w:next w:val="23"/>
    <w:qFormat/>
    <w:uiPriority w:val="0"/>
    <w:pPr>
      <w:numPr>
        <w:numId w:val="0"/>
      </w:numPr>
      <w:outlineLvl w:val="3"/>
    </w:pPr>
  </w:style>
  <w:style w:type="paragraph" w:customStyle="1" w:styleId="22">
    <w:name w:val="一级条标题"/>
    <w:next w:val="23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三级条标题"/>
    <w:basedOn w:val="21"/>
    <w:next w:val="23"/>
    <w:qFormat/>
    <w:uiPriority w:val="0"/>
    <w:pPr>
      <w:outlineLvl w:val="4"/>
    </w:pPr>
  </w:style>
  <w:style w:type="paragraph" w:customStyle="1" w:styleId="25">
    <w:name w:val="Body text|1"/>
    <w:basedOn w:val="1"/>
    <w:qFormat/>
    <w:uiPriority w:val="0"/>
    <w:pPr>
      <w:widowControl w:val="0"/>
      <w:shd w:val="clear" w:color="auto" w:fill="auto"/>
      <w:spacing w:line="32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标准文件_一级条标题"/>
    <w:basedOn w:val="27"/>
    <w:next w:val="28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7">
    <w:name w:val="标准文件_章标题"/>
    <w:next w:val="28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0F109-85E6-4F30-A64C-E3238B3B8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1395</Words>
  <Characters>1718</Characters>
  <Lines>16</Lines>
  <Paragraphs>4</Paragraphs>
  <TotalTime>1</TotalTime>
  <ScaleCrop>false</ScaleCrop>
  <LinksUpToDate>false</LinksUpToDate>
  <CharactersWithSpaces>1884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2021-01-07T01:17:00Z</dcterms:created>
  <dc:creator>WIN-10</dc:creator>
  <cp:lastModifiedBy>pearl Z</cp:lastModifiedBy>
  <dcterms:modified xsi:type="dcterms:W3CDTF">2022-12-16T02:24:51Z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BE50A94A07454EEE84089CF7D9378B8C</vt:lpwstr>
  </property>
</Properties>
</file>