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8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土工用非织造布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TEzMTAyMzBiZmNiODFmOGZjY2NkYTY3YTczNzIifQ=="/>
  </w:docVars>
  <w:rsids>
    <w:rsidRoot w:val="00000000"/>
    <w:rsid w:val="07C6366B"/>
    <w:rsid w:val="0A8E53A5"/>
    <w:rsid w:val="0EE315A2"/>
    <w:rsid w:val="10B808B4"/>
    <w:rsid w:val="145F408E"/>
    <w:rsid w:val="22C33E81"/>
    <w:rsid w:val="308F160D"/>
    <w:rsid w:val="3833225F"/>
    <w:rsid w:val="3928045D"/>
    <w:rsid w:val="40B351C7"/>
    <w:rsid w:val="419B382D"/>
    <w:rsid w:val="4BA455F6"/>
    <w:rsid w:val="56690780"/>
    <w:rsid w:val="5F490A55"/>
    <w:rsid w:val="602033D2"/>
    <w:rsid w:val="65D90A8F"/>
    <w:rsid w:val="664E7723"/>
    <w:rsid w:val="6D623EF8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TotalTime>1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2022-12-12T06:33:39Z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0306173979C9424C8641707EB5E54F2E</vt:lpwstr>
  </property>
</Properties>
</file>