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5"/>
        <w:framePr w:wrap="around"/>
        <w:tabs>
          <w:tab w:val="left" w:pos="7371"/>
        </w:tabs>
        <w:rPr>
          <w:rFonts w:hint="eastAsia" w:ascii="Times New Roman" w:eastAsia="黑体" w:cs="Times New Roman"/>
          <w:color w:val="auto"/>
          <w:lang w:eastAsia="zh-CN"/>
        </w:rPr>
      </w:pPr>
      <w:bookmarkStart w:id="0" w:name="_Hlk101526748"/>
      <w:bookmarkStart w:id="62" w:name="_GoBack"/>
      <w:r>
        <w:rPr>
          <w:rFonts w:ascii="Times New Roman" w:cs="Times New Roman"/>
          <w:color w:val="auto"/>
        </w:rPr>
        <w:t>ICS 77.</w:t>
      </w:r>
      <w:r>
        <w:rPr>
          <w:rFonts w:hint="eastAsia" w:ascii="Times New Roman" w:cs="Times New Roman"/>
          <w:color w:val="auto"/>
          <w:lang w:val="en-US" w:eastAsia="zh-CN"/>
        </w:rPr>
        <w:t>XX</w:t>
      </w:r>
      <w:r>
        <w:rPr>
          <w:rFonts w:ascii="Times New Roman" w:cs="Times New Roman"/>
          <w:color w:val="auto"/>
        </w:rPr>
        <w:t>.</w:t>
      </w:r>
      <w:r>
        <w:rPr>
          <w:rFonts w:hint="eastAsia" w:ascii="Times New Roman" w:cs="Times New Roman"/>
          <w:color w:val="auto"/>
          <w:lang w:val="en-US" w:eastAsia="zh-CN"/>
        </w:rPr>
        <w:t>XX</w:t>
      </w:r>
    </w:p>
    <w:p>
      <w:pPr>
        <w:pStyle w:val="135"/>
        <w:framePr w:wrap="around"/>
        <w:rPr>
          <w:rFonts w:hint="eastAsia" w:ascii="Times New Roman" w:eastAsia="黑体" w:cs="Times New Roman"/>
          <w:color w:val="auto"/>
          <w:lang w:val="en-US" w:eastAsia="zh-CN"/>
        </w:rPr>
      </w:pPr>
      <w:r>
        <w:rPr>
          <w:rFonts w:ascii="Times New Roman" w:cs="Times New Roman"/>
          <w:color w:val="auto"/>
        </w:rPr>
        <w:t xml:space="preserve">CCS H </w:t>
      </w:r>
      <w:r>
        <w:rPr>
          <w:rFonts w:hint="eastAsia" w:ascii="Times New Roman" w:cs="Times New Roman"/>
          <w:color w:val="auto"/>
          <w:lang w:val="en-US" w:eastAsia="zh-CN"/>
        </w:rPr>
        <w:t>XX</w:t>
      </w:r>
    </w:p>
    <w:bookmarkEnd w:id="0"/>
    <w:p>
      <w:pPr>
        <w:pStyle w:val="79"/>
        <w:framePr w:w="0" w:hRule="auto" w:wrap="around" w:x="1368" w:y="2365"/>
        <w:rPr>
          <w:rFonts w:ascii="Times New Roman" w:cs="Times New Roman"/>
          <w:color w:val="auto"/>
        </w:rPr>
      </w:pPr>
      <w:r>
        <w:rPr>
          <w:rFonts w:ascii="Times New Roman" w:cs="Times New Roman"/>
          <w:color w:val="auto"/>
        </w:rPr>
        <w:t>团体标准</w:t>
      </w:r>
    </w:p>
    <w:p>
      <w:pPr>
        <w:pStyle w:val="59"/>
        <w:framePr w:w="9366" w:h="1689" w:hRule="exact" w:wrap="around" w:x="1733" w:y="2604"/>
        <w:rPr>
          <w:rFonts w:ascii="Times New Roman" w:cs="Times New Roman"/>
          <w:color w:val="auto"/>
        </w:rPr>
      </w:pPr>
    </w:p>
    <w:p>
      <w:pPr>
        <w:pStyle w:val="123"/>
        <w:framePr w:w="9366" w:h="1689" w:hRule="exact" w:hSpace="284" w:vSpace="0" w:wrap="around" w:x="1733" w:y="2604"/>
        <w:jc w:val="right"/>
        <w:rPr>
          <w:rFonts w:ascii="Times New Roman" w:cs="Times New Roman"/>
          <w:color w:val="auto"/>
          <w:spacing w:val="0"/>
          <w:w w:val="100"/>
        </w:rPr>
      </w:pPr>
      <w:r>
        <w:rPr>
          <w:rFonts w:ascii="Times New Roman" w:cs="Times New Roman"/>
          <w:color w:val="auto"/>
          <w:spacing w:val="0"/>
          <w:w w:val="100"/>
        </w:rPr>
        <w:t>T/SSEA</w:t>
      </w:r>
      <w:r>
        <w:rPr>
          <w:rFonts w:hint="eastAsia" w:ascii="Times New Roman" w:cs="Times New Roman"/>
          <w:color w:val="auto"/>
          <w:spacing w:val="0"/>
          <w:w w:val="100"/>
        </w:rPr>
        <w:t xml:space="preserve"> </w:t>
      </w:r>
      <w:r>
        <w:rPr>
          <w:rFonts w:hint="eastAsia" w:ascii="Times New Roman" w:cs="Times New Roman"/>
          <w:color w:val="auto"/>
          <w:spacing w:val="0"/>
          <w:w w:val="100"/>
          <w:lang w:val="en-US" w:eastAsia="zh-CN"/>
        </w:rPr>
        <w:t>XXX</w:t>
      </w:r>
      <w:r>
        <w:rPr>
          <w:rFonts w:ascii="Times New Roman" w:cs="Times New Roman"/>
          <w:color w:val="auto"/>
          <w:spacing w:val="0"/>
          <w:w w:val="100"/>
        </w:rPr>
        <w:t>—2022</w:t>
      </w:r>
    </w:p>
    <w:p>
      <w:pPr>
        <w:pStyle w:val="59"/>
        <w:framePr w:w="9366" w:h="1689" w:hRule="exact" w:wrap="around" w:x="1733" w:y="2604"/>
        <w:rPr>
          <w:rFonts w:ascii="Times New Roman" w:cs="Times New Roman"/>
          <w:color w:val="auto"/>
        </w:rPr>
      </w:pPr>
    </w:p>
    <w:p>
      <w:pPr>
        <w:pStyle w:val="59"/>
        <w:framePr w:w="9366" w:h="1689" w:hRule="exact" w:wrap="around" w:x="1733" w:y="2604"/>
        <w:rPr>
          <w:rFonts w:ascii="Times New Roman" w:cs="Times New Roman"/>
          <w:color w:val="auto"/>
        </w:rPr>
      </w:pPr>
    </w:p>
    <w:p>
      <w:pPr>
        <w:pStyle w:val="90"/>
        <w:framePr w:h="7669" w:hRule="exact" w:wrap="around" w:x="1351" w:y="5593"/>
        <w:rPr>
          <w:rFonts w:hint="eastAsia" w:ascii="Times New Roman" w:cs="Times New Roman"/>
          <w:color w:val="auto"/>
        </w:rPr>
      </w:pPr>
      <w:r>
        <w:rPr>
          <w:rFonts w:hint="eastAsia" w:ascii="Times New Roman" w:cs="Times New Roman"/>
          <w:color w:val="auto"/>
        </w:rPr>
        <w:t>钢铁企业环境、社会和治理（ESG）</w:t>
      </w:r>
    </w:p>
    <w:p>
      <w:pPr>
        <w:pStyle w:val="90"/>
        <w:framePr w:h="7669" w:hRule="exact" w:wrap="around" w:x="1351" w:y="5593"/>
        <w:rPr>
          <w:rFonts w:ascii="Times New Roman" w:cs="Times New Roman"/>
          <w:color w:val="auto"/>
          <w:sz w:val="28"/>
          <w:szCs w:val="28"/>
        </w:rPr>
      </w:pPr>
      <w:r>
        <w:rPr>
          <w:rFonts w:hint="eastAsia" w:ascii="Times New Roman" w:cs="Times New Roman"/>
          <w:color w:val="auto"/>
        </w:rPr>
        <w:t xml:space="preserve"> 第2部分 评价要求</w:t>
      </w:r>
    </w:p>
    <w:p>
      <w:pPr>
        <w:pStyle w:val="90"/>
        <w:framePr w:h="7669" w:hRule="exact" w:wrap="around" w:x="1351" w:y="5593"/>
        <w:spacing w:line="240" w:lineRule="auto"/>
        <w:rPr>
          <w:rFonts w:hint="eastAsia" w:ascii="Times New Roman" w:cs="Times New Roman"/>
          <w:color w:val="auto"/>
          <w:sz w:val="28"/>
          <w:szCs w:val="28"/>
        </w:rPr>
      </w:pPr>
      <w:r>
        <w:rPr>
          <w:rFonts w:hint="eastAsia" w:ascii="Times New Roman" w:cs="Times New Roman"/>
          <w:color w:val="auto"/>
          <w:sz w:val="28"/>
          <w:szCs w:val="28"/>
          <w:lang w:val="en-US" w:eastAsia="zh-CN"/>
        </w:rPr>
        <w:t>E</w:t>
      </w:r>
      <w:r>
        <w:rPr>
          <w:rFonts w:hint="eastAsia" w:ascii="Times New Roman" w:cs="Times New Roman"/>
          <w:color w:val="auto"/>
          <w:sz w:val="28"/>
          <w:szCs w:val="28"/>
        </w:rPr>
        <w:t>nvironmental, social and governance</w:t>
      </w:r>
      <w:r>
        <w:rPr>
          <w:rFonts w:hint="eastAsia" w:ascii="Times New Roman" w:cs="Times New Roman"/>
          <w:color w:val="auto"/>
          <w:sz w:val="28"/>
          <w:szCs w:val="28"/>
          <w:lang w:val="en-US" w:eastAsia="zh-CN"/>
        </w:rPr>
        <w:t xml:space="preserve"> (ESG) </w:t>
      </w:r>
      <w:r>
        <w:rPr>
          <w:rFonts w:hint="eastAsia" w:ascii="Times New Roman" w:cs="Times New Roman"/>
          <w:color w:val="auto"/>
          <w:sz w:val="28"/>
          <w:szCs w:val="28"/>
        </w:rPr>
        <w:t xml:space="preserve"> </w:t>
      </w:r>
      <w:r>
        <w:rPr>
          <w:rFonts w:hint="eastAsia" w:ascii="Times New Roman" w:cs="Times New Roman"/>
          <w:color w:val="auto"/>
          <w:sz w:val="28"/>
          <w:szCs w:val="28"/>
          <w:lang w:val="en-US" w:eastAsia="zh-CN"/>
        </w:rPr>
        <w:t xml:space="preserve">of </w:t>
      </w:r>
      <w:r>
        <w:rPr>
          <w:rFonts w:hint="eastAsia" w:ascii="Times New Roman" w:cs="Times New Roman"/>
          <w:color w:val="auto"/>
          <w:sz w:val="28"/>
          <w:szCs w:val="28"/>
        </w:rPr>
        <w:t xml:space="preserve"> iron and steel enterprises</w:t>
      </w:r>
    </w:p>
    <w:p>
      <w:pPr>
        <w:pStyle w:val="90"/>
        <w:framePr w:h="7669" w:hRule="exact" w:wrap="around" w:x="1351" w:y="5593"/>
        <w:spacing w:line="240" w:lineRule="auto"/>
        <w:rPr>
          <w:rFonts w:ascii="Times New Roman" w:cs="Times New Roman"/>
          <w:color w:val="auto"/>
          <w:sz w:val="28"/>
          <w:szCs w:val="28"/>
        </w:rPr>
      </w:pPr>
      <w:r>
        <w:rPr>
          <w:rFonts w:hint="eastAsia" w:ascii="Times New Roman" w:cs="Times New Roman"/>
          <w:color w:val="auto"/>
          <w:sz w:val="28"/>
          <w:szCs w:val="28"/>
        </w:rPr>
        <w:t>—</w:t>
      </w:r>
      <w:r>
        <w:rPr>
          <w:rFonts w:ascii="Times New Roman" w:cs="Times New Roman"/>
          <w:color w:val="auto"/>
          <w:sz w:val="28"/>
          <w:szCs w:val="28"/>
        </w:rPr>
        <w:t xml:space="preserve">part </w:t>
      </w:r>
      <w:r>
        <w:rPr>
          <w:rFonts w:hint="eastAsia" w:ascii="Times New Roman" w:cs="Times New Roman"/>
          <w:color w:val="auto"/>
          <w:sz w:val="28"/>
          <w:szCs w:val="28"/>
          <w:lang w:val="en-US" w:eastAsia="zh-CN"/>
        </w:rPr>
        <w:t>2</w:t>
      </w:r>
      <w:r>
        <w:rPr>
          <w:rFonts w:ascii="Times New Roman" w:cs="Times New Roman"/>
          <w:color w:val="auto"/>
          <w:sz w:val="28"/>
          <w:szCs w:val="28"/>
        </w:rPr>
        <w:t xml:space="preserve">: </w:t>
      </w:r>
      <w:r>
        <w:rPr>
          <w:rFonts w:hint="eastAsia" w:ascii="Times New Roman" w:cs="Times New Roman"/>
          <w:color w:val="auto"/>
          <w:sz w:val="28"/>
          <w:szCs w:val="28"/>
          <w:lang w:val="en-US" w:eastAsia="zh-CN"/>
        </w:rPr>
        <w:t>E</w:t>
      </w:r>
      <w:r>
        <w:rPr>
          <w:rFonts w:hint="eastAsia" w:ascii="Times New Roman" w:cs="Times New Roman"/>
          <w:color w:val="auto"/>
          <w:sz w:val="28"/>
          <w:szCs w:val="28"/>
        </w:rPr>
        <w:t>valuation requirements</w:t>
      </w:r>
    </w:p>
    <w:p>
      <w:pPr>
        <w:pStyle w:val="92"/>
        <w:framePr w:h="7669" w:hRule="exact" w:wrap="around" w:x="1351" w:y="5593"/>
        <w:spacing w:before="120" w:afterLines="50"/>
        <w:rPr>
          <w:rFonts w:ascii="Times New Roman" w:eastAsia="黑体" w:cs="Times New Roman"/>
          <w:color w:val="auto"/>
        </w:rPr>
      </w:pPr>
    </w:p>
    <w:p>
      <w:pPr>
        <w:pStyle w:val="142"/>
        <w:framePr w:wrap="around" w:hAnchor="page" w:x="1486" w:y="14041"/>
        <w:rPr>
          <w:color w:val="auto"/>
        </w:rPr>
      </w:pPr>
      <w:r>
        <w:rPr>
          <w:color w:val="auto"/>
        </w:rPr>
        <w:t xml:space="preserve">2022 - </w:t>
      </w:r>
      <w:r>
        <w:rPr>
          <w:rFonts w:hint="eastAsia"/>
          <w:color w:val="auto"/>
          <w:lang w:val="en-US" w:eastAsia="zh-CN"/>
        </w:rPr>
        <w:t>XX</w:t>
      </w:r>
      <w:r>
        <w:rPr>
          <w:color w:val="auto"/>
        </w:rPr>
        <w:t>-</w:t>
      </w:r>
      <w:r>
        <w:rPr>
          <w:rFonts w:hint="eastAsia"/>
          <w:color w:val="auto"/>
          <w:lang w:val="en-US" w:eastAsia="zh-CN"/>
        </w:rPr>
        <w:t>XX</w:t>
      </w:r>
      <w:r>
        <w:rPr>
          <w:color w:val="auto"/>
        </w:rPr>
        <w:t>发布</w:t>
      </w:r>
      <w:r>
        <w:rPr>
          <w:color w:val="auto"/>
        </w:rPr>
        <w:pict>
          <v:line id="Line 10" o:spid="_x0000_s2051" o:spt="20" style="position:absolute;left:0pt;margin-left:-3.45pt;margin-top:728.5pt;height:0pt;width:481.9pt;mso-position-vertical-relative:page;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nVwwEAAI8DAAAOAAAAZHJzL2Uyb0RvYy54bWysU02PEzEMvSPxH6Lc6bRd7QpGne5hu8tl&#10;BZWAH+AmTidSvhSHTvvvcdJuWeCCEHPI2BP72e/Zs7o/eicOmMnGMMjFbC4FBhW1DftBfvv69O69&#10;FFQgaHAx4CBPSPJ+/fbNako9LuMYncYsGCRQP6VBjqWkvutIjeiBZjFh4EsTs4fCbt53OsPE6N51&#10;y/n8rpti1ilHhUT8dXO+lOuGbwyq8tkYwiLcILm30s7czl09u/UK+n2GNFp1aQP+oQsPNnDRK9QG&#10;Cojv2f4B5a3KkaIpMxV9F42xChsHZrOY/8bmywgJGxcWh9JVJvp/sOrTYZuF1Tw7lieA5xk924CC&#10;XdZmStRzyEPY5otHaZsr0aPJvr6Zgjg2PU9XPfFYhOKPdwsmdcO46uWu+5mYMpWPGL2oxiAdF20K&#10;wuGZChfj0JeQWscFMQ3yw+3yluGAN8U4KGz6xL1T2Ldcis7qJ+tczaC83z24LA5QZ9+eSolxfwmr&#10;RTZA4zmuXZ23YkTQj0GLckosSuD1lbUFj1oKh7zt1WJA6AtY9zeRXNqFmoBtMy88q8ZnVau1i/rU&#10;xO6qx1NvHV82tK7Va5/t1//R+gcAAAD//wMAUEsDBBQABgAIAAAAIQCTCGeo3QAAAAwBAAAPAAAA&#10;ZHJzL2Rvd25yZXYueG1sTI9BT8JAEIXvJv6HzZh4IbAVBaV2S4zamxdB43Xojm1jd7Z0F6j+eoeD&#10;keO8eXnve9lycK3aUx8azwauJgko4tLbhisDb+tifAcqRGSLrWcy8E0Blvn5WYap9Qd+pf0qVkpC&#10;OKRooI6xS7UOZU0Ow8R3xPL79L3DKGdfadvjQcJdq6dJMtcOG5aGGjt6rKn8Wu2cgVC807b4GZWj&#10;5OO68jTdPr08ozGXF8PDPahIQ/w3wxFf0CEXpo3fsQ2qNTCeL8Qp+s3sVkaJYzE7Sps/SeeZPh2R&#10;/wIAAP//AwBQSwECLQAUAAYACAAAACEAtoM4kv4AAADhAQAAEwAAAAAAAAAAAAAAAAAAAAAAW0Nv&#10;bnRlbnRfVHlwZXNdLnhtbFBLAQItABQABgAIAAAAIQA4/SH/1gAAAJQBAAALAAAAAAAAAAAAAAAA&#10;AC8BAABfcmVscy8ucmVsc1BLAQItABQABgAIAAAAIQDkdVnVwwEAAI8DAAAOAAAAAAAAAAAAAAAA&#10;AC4CAABkcnMvZTJvRG9jLnhtbFBLAQItABQABgAIAAAAIQCTCGeo3QAAAAwBAAAPAAAAAAAAAAAA&#10;AAAAAB0EAABkcnMvZG93bnJldi54bWxQSwUGAAAAAAQABADzAAAAJwUAAAAA&#10;">
            <v:path arrowok="t"/>
            <v:fill focussize="0,0"/>
            <v:stroke/>
            <v:imagedata o:title=""/>
            <o:lock v:ext="edit"/>
            <w10:anchorlock/>
          </v:line>
        </w:pict>
      </w:r>
    </w:p>
    <w:p>
      <w:pPr>
        <w:pStyle w:val="143"/>
        <w:framePr w:wrap="around" w:hAnchor="page" w:x="7201" w:y="14026"/>
        <w:rPr>
          <w:color w:val="auto"/>
        </w:rPr>
      </w:pPr>
      <w:r>
        <w:rPr>
          <w:color w:val="auto"/>
        </w:rPr>
        <w:t>2022 -</w:t>
      </w:r>
      <w:r>
        <w:rPr>
          <w:rFonts w:hint="eastAsia"/>
          <w:color w:val="auto"/>
          <w:lang w:val="en-US" w:eastAsia="zh-CN"/>
        </w:rPr>
        <w:t>XX</w:t>
      </w:r>
      <w:r>
        <w:rPr>
          <w:color w:val="auto"/>
        </w:rPr>
        <w:t xml:space="preserve"> - </w:t>
      </w:r>
      <w:r>
        <w:rPr>
          <w:rFonts w:hint="eastAsia"/>
          <w:color w:val="auto"/>
          <w:lang w:val="en-US" w:eastAsia="zh-CN"/>
        </w:rPr>
        <w:t>XX</w:t>
      </w:r>
      <w:r>
        <w:rPr>
          <w:color w:val="auto"/>
        </w:rPr>
        <w:t>实施</w:t>
      </w:r>
    </w:p>
    <w:p>
      <w:pPr>
        <w:pStyle w:val="86"/>
        <w:framePr w:wrap="around" w:x="2096" w:y="14845"/>
        <w:rPr>
          <w:rFonts w:ascii="Times New Roman" w:cs="Times New Roman"/>
          <w:color w:val="auto"/>
        </w:rPr>
      </w:pPr>
      <w:r>
        <w:rPr>
          <w:rFonts w:ascii="Times New Roman" w:cs="Times New Roman"/>
          <w:color w:val="auto"/>
          <w:sz w:val="36"/>
          <w:szCs w:val="36"/>
        </w:rPr>
        <w:t>中国特钢企业协会</w:t>
      </w:r>
      <w:r>
        <w:rPr>
          <w:rFonts w:ascii="Times New Roman" w:eastAsia="黑体" w:cs="Times New Roman"/>
          <w:color w:val="auto"/>
        </w:rPr>
        <w:t>发布</w:t>
      </w:r>
    </w:p>
    <w:p>
      <w:pPr>
        <w:pStyle w:val="123"/>
        <w:framePr w:wrap="around" w:x="2096" w:y="14845"/>
        <w:jc w:val="both"/>
        <w:rPr>
          <w:rFonts w:ascii="Times New Roman" w:cs="Times New Roman"/>
          <w:color w:val="auto"/>
        </w:rPr>
      </w:pPr>
    </w:p>
    <w:p>
      <w:pPr>
        <w:pStyle w:val="26"/>
        <w:rPr>
          <w:color w:val="auto"/>
        </w:rPr>
      </w:pPr>
      <w:r>
        <w:rPr>
          <w:color w:val="auto"/>
        </w:rPr>
        <w:pict>
          <v:line id="Line 11" o:spid="_x0000_s2050" o:spt="20" style="position:absolute;left:0pt;margin-left:-10.2pt;margin-top:117.4pt;height:0pt;width:481.9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iWrwwEAAI8DAAAOAAAAZHJzL2Uyb0RvYy54bWysU02PEzEMvSPxH6Lc6bRd7QpGne5hu8tl&#10;BZWAH+AmTidSvhSHTvvvcdJuWeCCEHPI2BP72e/Zs7o/eicOmMnGMMjFbC4FBhW1DftBfvv69O69&#10;FFQgaHAx4CBPSPJ+/fbNako9LuMYncYsGCRQP6VBjqWkvutIjeiBZjFh4EsTs4fCbt53OsPE6N51&#10;y/n8rpti1ilHhUT8dXO+lOuGbwyq8tkYwiLcILm30s7czl09u/UK+n2GNFp1aQP+oQsPNnDRK9QG&#10;Cojv2f4B5a3KkaIpMxV9F42xChsHZrOY/8bmywgJGxcWh9JVJvp/sOrTYZuF1Ty7hRQBPM/o2QYU&#10;7LI2U6KeQx7CNl88SttciR5N9vXNFMSx6Xm66onHIhR/vFswqRuWXb3cdT8TU6byEaMX1Rik46JN&#10;QTg8U+FiHPoSUuu4IKZBfrhd3jIc8KYYB4VNn7h3CvuWS9FZ/WSdqxmU97sHl8UB6uzbUykx7i9h&#10;tcgGaDzHtavzVowI+jFoUU6JRQm8vrK24FFL4ZC3vVoMCH0B6/4mkku7UBOwbeaFZ9X4rGq1dlGf&#10;mthd9XjqrePLhta1eu2z/fo/Wv8AAAD//wMAUEsDBBQABgAIAAAAIQCdpffQ3gAAAAsBAAAPAAAA&#10;ZHJzL2Rvd25yZXYueG1sTI9BS8NAEIXvgv9hGcFLaTdtUEzMpoiamxer4nWaHZNgdjbNbtvor3eE&#10;gh7fvMeb7xXryfXqQGPoPBtYLhJQxLW3HTcGXl+q+Q2oEJEt9p7JwBcFWJfnZwXm1h/5mQ6b2Cgp&#10;4ZCjgTbGIdc61C05DAs/EIv34UeHUeTYaDviUcpdr1dJcq0ddiwfWhzovqX6c7N3BkL1Rrvqe1bP&#10;kve08bTaPTw9ojGXF9PdLahIU/wLwy++oEMpTFu/ZxtUb2C+TAU9GkizLAUliewqkXXb00WXhf6/&#10;ofwBAAD//wMAUEsBAi0AFAAGAAgAAAAhALaDOJL+AAAA4QEAABMAAAAAAAAAAAAAAAAAAAAAAFtD&#10;b250ZW50X1R5cGVzXS54bWxQSwECLQAUAAYACAAAACEAOP0h/9YAAACUAQAACwAAAAAAAAAAAAAA&#10;AAAvAQAAX3JlbHMvLnJlbHNQSwECLQAUAAYACAAAACEApOYlq8MBAACPAwAADgAAAAAAAAAAAAAA&#10;AAAuAgAAZHJzL2Uyb0RvYy54bWxQSwECLQAUAAYACAAAACEAnaX30N4AAAALAQAADwAAAAAAAAAA&#10;AAAAAAAdBAAAZHJzL2Rvd25yZXYueG1sUEsFBgAAAAAEAAQA8wAAACgFAAAAAA==&#10;">
            <v:path arrowok="t"/>
            <v:fill focussize="0,0"/>
            <v:stroke/>
            <v:imagedata o:title=""/>
            <o:lock v:ext="edit"/>
            <w10:anchorlock/>
          </v:line>
        </w:pict>
      </w:r>
      <w:bookmarkStart w:id="1" w:name="_Toc534127476"/>
      <w:bookmarkStart w:id="2" w:name="_Toc40476791"/>
      <w:bookmarkStart w:id="3" w:name="_Toc26452183"/>
      <w:bookmarkStart w:id="4" w:name="_Toc499733965"/>
      <w:bookmarkStart w:id="5" w:name="_Toc1337"/>
      <w:bookmarkStart w:id="6" w:name="_Toc40475545"/>
      <w:bookmarkStart w:id="7" w:name="_Toc499735461"/>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rPr>
          <w:rFonts w:ascii="宋体"/>
          <w:color w:val="auto"/>
        </w:rPr>
      </w:pPr>
      <w:r>
        <w:rPr>
          <w:rFonts w:ascii="宋体"/>
          <w:color w:val="auto"/>
        </w:rPr>
        <w:drawing>
          <wp:inline distT="0" distB="0" distL="0" distR="0">
            <wp:extent cx="808355" cy="768350"/>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1"/>
                    <a:srcRect/>
                    <a:stretch>
                      <a:fillRect/>
                    </a:stretch>
                  </pic:blipFill>
                  <pic:spPr>
                    <a:xfrm>
                      <a:off x="0" y="0"/>
                      <a:ext cx="808355" cy="768350"/>
                    </a:xfrm>
                    <a:prstGeom prst="rect">
                      <a:avLst/>
                    </a:prstGeom>
                    <a:noFill/>
                    <a:ln w="9525">
                      <a:noFill/>
                      <a:miter lim="800000"/>
                      <a:headEnd/>
                      <a:tailEnd/>
                    </a:ln>
                  </pic:spPr>
                </pic:pic>
              </a:graphicData>
            </a:graphic>
          </wp:inline>
        </w:drawing>
      </w:r>
      <w:r>
        <w:rPr>
          <w:rFonts w:hint="eastAsia" w:ascii="宋体"/>
          <w:color w:val="auto"/>
        </w:rPr>
        <w:t>版权保护文件</w:t>
      </w:r>
    </w:p>
    <w:p>
      <w:pPr>
        <w:spacing w:beforeLines="50" w:afterLines="50"/>
        <w:rPr>
          <w:rFonts w:ascii="宋体"/>
          <w:color w:val="auto"/>
        </w:rPr>
      </w:pPr>
      <w:r>
        <w:rPr>
          <w:rFonts w:hint="eastAsia" w:ascii="宋体"/>
          <w:color w:val="auto"/>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pPr>
        <w:spacing w:beforeLines="50" w:afterLines="50"/>
        <w:rPr>
          <w:rFonts w:ascii="宋体"/>
          <w:color w:val="auto"/>
        </w:rPr>
      </w:pPr>
    </w:p>
    <w:p>
      <w:pPr>
        <w:spacing w:beforeLines="50" w:afterLines="50"/>
        <w:rPr>
          <w:rFonts w:ascii="宋体" w:hAnsi="宋体"/>
          <w:color w:val="auto"/>
        </w:rPr>
        <w:sectPr>
          <w:footerReference r:id="rId3" w:type="default"/>
          <w:pgSz w:w="11906" w:h="16838"/>
          <w:pgMar w:top="1440" w:right="1466" w:bottom="1440" w:left="1620" w:header="851" w:footer="992" w:gutter="0"/>
          <w:pgNumType w:fmt="upperRoman" w:start="1"/>
          <w:cols w:space="425" w:num="1"/>
          <w:docGrid w:type="lines" w:linePitch="312" w:charSpace="0"/>
        </w:sectPr>
      </w:pPr>
    </w:p>
    <w:bookmarkEnd w:id="1"/>
    <w:bookmarkEnd w:id="2"/>
    <w:bookmarkEnd w:id="3"/>
    <w:bookmarkEnd w:id="4"/>
    <w:bookmarkEnd w:id="5"/>
    <w:bookmarkEnd w:id="6"/>
    <w:bookmarkEnd w:id="7"/>
    <w:p>
      <w:pPr>
        <w:pStyle w:val="160"/>
        <w:spacing w:before="156" w:beforeLines="50" w:after="156" w:afterLines="50" w:line="360" w:lineRule="auto"/>
        <w:jc w:val="center"/>
        <w:rPr>
          <w:rFonts w:eastAsia="黑体"/>
          <w:b w:val="0"/>
          <w:color w:val="auto"/>
          <w:sz w:val="32"/>
          <w:szCs w:val="32"/>
          <w:lang w:val="zh-CN"/>
        </w:rPr>
      </w:pPr>
      <w:bookmarkStart w:id="8" w:name="_Toc5018"/>
      <w:bookmarkStart w:id="9" w:name="_Toc8056"/>
      <w:r>
        <w:rPr>
          <w:rFonts w:hint="eastAsia" w:eastAsia="黑体"/>
          <w:b w:val="0"/>
          <w:color w:val="auto"/>
          <w:sz w:val="32"/>
          <w:szCs w:val="32"/>
          <w:lang w:val="zh-CN"/>
        </w:rPr>
        <w:t>目</w:t>
      </w:r>
      <w:r>
        <w:rPr>
          <w:rFonts w:eastAsia="黑体"/>
          <w:b w:val="0"/>
          <w:color w:val="auto"/>
          <w:sz w:val="32"/>
          <w:szCs w:val="32"/>
          <w:lang w:val="zh-CN"/>
        </w:rPr>
        <w:t>  </w:t>
      </w:r>
      <w:r>
        <w:rPr>
          <w:rFonts w:hint="eastAsia" w:eastAsia="黑体"/>
          <w:b w:val="0"/>
          <w:color w:val="auto"/>
          <w:sz w:val="32"/>
          <w:szCs w:val="32"/>
          <w:lang w:val="zh-CN"/>
        </w:rPr>
        <w:t>次</w:t>
      </w:r>
      <w:bookmarkEnd w:id="8"/>
      <w:bookmarkEnd w:id="9"/>
    </w:p>
    <w:p>
      <w:pPr>
        <w:pStyle w:val="22"/>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rPr>
      </w:pPr>
      <w:r>
        <w:rPr>
          <w:rFonts w:ascii="Times New Roman"/>
          <w:color w:val="auto"/>
        </w:rPr>
        <w:fldChar w:fldCharType="begin"/>
      </w:r>
      <w:r>
        <w:rPr>
          <w:rFonts w:ascii="Times New Roman"/>
          <w:color w:val="auto"/>
        </w:rPr>
        <w:instrText xml:space="preserve"> TOC \o "1-3" \h \z \u </w:instrText>
      </w:r>
      <w:r>
        <w:rPr>
          <w:rFonts w:ascii="Times New Roman"/>
          <w:color w:val="auto"/>
        </w:rPr>
        <w:fldChar w:fldCharType="separate"/>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\l _Toc23487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前  言</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_Toc23487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2</w:t>
      </w:r>
      <w:r>
        <w:rPr>
          <w:rFonts w:hint="default" w:ascii="Times New Roman" w:hAnsi="Times New Roman" w:eastAsia="宋体" w:cs="Times New Roman"/>
          <w:color w:val="auto"/>
        </w:rPr>
        <w:fldChar w:fldCharType="end"/>
      </w:r>
      <w:r>
        <w:rPr>
          <w:rFonts w:hint="default" w:ascii="Times New Roman" w:hAnsi="Times New Roman" w:eastAsia="宋体" w:cs="Times New Roman"/>
          <w:color w:val="auto"/>
        </w:rPr>
        <w:fldChar w:fldCharType="end"/>
      </w:r>
    </w:p>
    <w:p>
      <w:pPr>
        <w:pStyle w:val="31"/>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rPr>
      </w:pPr>
      <w:r>
        <w:rPr>
          <w:rFonts w:hint="default" w:ascii="Times New Roman" w:hAnsi="Times New Roman" w:eastAsia="宋体" w:cs="Times New Roman"/>
          <w:bCs w:val="0"/>
          <w:color w:val="auto"/>
          <w:szCs w:val="21"/>
          <w:lang w:val="zh-CN"/>
        </w:rPr>
        <w:fldChar w:fldCharType="begin"/>
      </w:r>
      <w:r>
        <w:rPr>
          <w:rFonts w:hint="default" w:ascii="Times New Roman" w:hAnsi="Times New Roman" w:eastAsia="宋体" w:cs="Times New Roman"/>
          <w:bCs w:val="0"/>
          <w:color w:val="auto"/>
          <w:szCs w:val="21"/>
          <w:lang w:val="zh-CN"/>
        </w:rPr>
        <w:instrText xml:space="preserve"> HYPERLINK \l _Toc3548 </w:instrText>
      </w:r>
      <w:r>
        <w:rPr>
          <w:rFonts w:hint="default" w:ascii="Times New Roman" w:hAnsi="Times New Roman" w:eastAsia="宋体" w:cs="Times New Roman"/>
          <w:bCs w:val="0"/>
          <w:color w:val="auto"/>
          <w:szCs w:val="21"/>
          <w:lang w:val="zh-CN"/>
        </w:rPr>
        <w:fldChar w:fldCharType="separate"/>
      </w:r>
      <w:r>
        <w:rPr>
          <w:rFonts w:hint="default" w:ascii="Times New Roman" w:hAnsi="Times New Roman" w:eastAsia="宋体" w:cs="Times New Roman"/>
          <w:bCs w:val="0"/>
          <w:i w:val="0"/>
          <w:iCs w:val="0"/>
          <w:color w:val="auto"/>
          <w:szCs w:val="21"/>
        </w:rPr>
        <w:t xml:space="preserve">1 </w:t>
      </w:r>
      <w:r>
        <w:rPr>
          <w:rFonts w:hint="default" w:ascii="Times New Roman" w:hAnsi="Times New Roman" w:eastAsia="宋体" w:cs="Times New Roman"/>
          <w:color w:val="auto"/>
        </w:rPr>
        <w:t>范围</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_Toc3548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3</w:t>
      </w:r>
      <w:r>
        <w:rPr>
          <w:rFonts w:hint="default" w:ascii="Times New Roman" w:hAnsi="Times New Roman" w:eastAsia="宋体" w:cs="Times New Roman"/>
          <w:color w:val="auto"/>
        </w:rPr>
        <w:fldChar w:fldCharType="end"/>
      </w:r>
      <w:r>
        <w:rPr>
          <w:rFonts w:hint="default" w:ascii="Times New Roman" w:hAnsi="Times New Roman" w:eastAsia="宋体" w:cs="Times New Roman"/>
          <w:bCs w:val="0"/>
          <w:color w:val="auto"/>
          <w:szCs w:val="21"/>
          <w:lang w:val="zh-CN"/>
        </w:rPr>
        <w:fldChar w:fldCharType="end"/>
      </w:r>
    </w:p>
    <w:p>
      <w:pPr>
        <w:pStyle w:val="31"/>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rPr>
      </w:pPr>
      <w:r>
        <w:rPr>
          <w:rFonts w:hint="default" w:ascii="Times New Roman" w:hAnsi="Times New Roman" w:eastAsia="宋体" w:cs="Times New Roman"/>
          <w:bCs w:val="0"/>
          <w:color w:val="auto"/>
          <w:szCs w:val="21"/>
          <w:lang w:val="zh-CN"/>
        </w:rPr>
        <w:fldChar w:fldCharType="begin"/>
      </w:r>
      <w:r>
        <w:rPr>
          <w:rFonts w:hint="default" w:ascii="Times New Roman" w:hAnsi="Times New Roman" w:eastAsia="宋体" w:cs="Times New Roman"/>
          <w:bCs w:val="0"/>
          <w:color w:val="auto"/>
          <w:szCs w:val="21"/>
          <w:lang w:val="zh-CN"/>
        </w:rPr>
        <w:instrText xml:space="preserve"> HYPERLINK \l _Toc19324 </w:instrText>
      </w:r>
      <w:r>
        <w:rPr>
          <w:rFonts w:hint="default" w:ascii="Times New Roman" w:hAnsi="Times New Roman" w:eastAsia="宋体" w:cs="Times New Roman"/>
          <w:bCs w:val="0"/>
          <w:color w:val="auto"/>
          <w:szCs w:val="21"/>
          <w:lang w:val="zh-CN"/>
        </w:rPr>
        <w:fldChar w:fldCharType="separate"/>
      </w:r>
      <w:r>
        <w:rPr>
          <w:rFonts w:hint="default" w:ascii="Times New Roman" w:hAnsi="Times New Roman" w:eastAsia="宋体" w:cs="Times New Roman"/>
          <w:bCs w:val="0"/>
          <w:i w:val="0"/>
          <w:iCs w:val="0"/>
          <w:color w:val="auto"/>
          <w:szCs w:val="21"/>
        </w:rPr>
        <w:t xml:space="preserve">2 </w:t>
      </w:r>
      <w:r>
        <w:rPr>
          <w:rFonts w:hint="default" w:ascii="Times New Roman" w:hAnsi="Times New Roman" w:eastAsia="宋体" w:cs="Times New Roman"/>
          <w:color w:val="auto"/>
        </w:rPr>
        <w:t>规范性引用文件</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_Toc19324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3</w:t>
      </w:r>
      <w:r>
        <w:rPr>
          <w:rFonts w:hint="default" w:ascii="Times New Roman" w:hAnsi="Times New Roman" w:eastAsia="宋体" w:cs="Times New Roman"/>
          <w:color w:val="auto"/>
        </w:rPr>
        <w:fldChar w:fldCharType="end"/>
      </w:r>
      <w:r>
        <w:rPr>
          <w:rFonts w:hint="default" w:ascii="Times New Roman" w:hAnsi="Times New Roman" w:eastAsia="宋体" w:cs="Times New Roman"/>
          <w:bCs w:val="0"/>
          <w:color w:val="auto"/>
          <w:szCs w:val="21"/>
          <w:lang w:val="zh-CN"/>
        </w:rPr>
        <w:fldChar w:fldCharType="end"/>
      </w:r>
    </w:p>
    <w:p>
      <w:pPr>
        <w:pStyle w:val="31"/>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rPr>
      </w:pPr>
      <w:r>
        <w:rPr>
          <w:rFonts w:hint="default" w:ascii="Times New Roman" w:hAnsi="Times New Roman" w:eastAsia="宋体" w:cs="Times New Roman"/>
          <w:bCs w:val="0"/>
          <w:color w:val="auto"/>
          <w:szCs w:val="21"/>
          <w:lang w:val="zh-CN"/>
        </w:rPr>
        <w:fldChar w:fldCharType="begin"/>
      </w:r>
      <w:r>
        <w:rPr>
          <w:rFonts w:hint="default" w:ascii="Times New Roman" w:hAnsi="Times New Roman" w:eastAsia="宋体" w:cs="Times New Roman"/>
          <w:bCs w:val="0"/>
          <w:color w:val="auto"/>
          <w:szCs w:val="21"/>
          <w:lang w:val="zh-CN"/>
        </w:rPr>
        <w:instrText xml:space="preserve"> HYPERLINK \l _Toc6083 </w:instrText>
      </w:r>
      <w:r>
        <w:rPr>
          <w:rFonts w:hint="default" w:ascii="Times New Roman" w:hAnsi="Times New Roman" w:eastAsia="宋体" w:cs="Times New Roman"/>
          <w:bCs w:val="0"/>
          <w:color w:val="auto"/>
          <w:szCs w:val="21"/>
          <w:lang w:val="zh-CN"/>
        </w:rPr>
        <w:fldChar w:fldCharType="separate"/>
      </w:r>
      <w:r>
        <w:rPr>
          <w:rFonts w:hint="default" w:ascii="Times New Roman" w:hAnsi="Times New Roman" w:eastAsia="宋体" w:cs="Times New Roman"/>
          <w:bCs w:val="0"/>
          <w:i w:val="0"/>
          <w:iCs w:val="0"/>
          <w:color w:val="auto"/>
          <w:szCs w:val="21"/>
        </w:rPr>
        <w:t xml:space="preserve">3 </w:t>
      </w:r>
      <w:r>
        <w:rPr>
          <w:rFonts w:hint="default" w:ascii="Times New Roman" w:hAnsi="Times New Roman" w:eastAsia="宋体" w:cs="Times New Roman"/>
          <w:color w:val="auto"/>
        </w:rPr>
        <w:t>术语和定义</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_Toc6083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3</w:t>
      </w:r>
      <w:r>
        <w:rPr>
          <w:rFonts w:hint="default" w:ascii="Times New Roman" w:hAnsi="Times New Roman" w:eastAsia="宋体" w:cs="Times New Roman"/>
          <w:color w:val="auto"/>
        </w:rPr>
        <w:fldChar w:fldCharType="end"/>
      </w:r>
      <w:r>
        <w:rPr>
          <w:rFonts w:hint="default" w:ascii="Times New Roman" w:hAnsi="Times New Roman" w:eastAsia="宋体" w:cs="Times New Roman"/>
          <w:bCs w:val="0"/>
          <w:color w:val="auto"/>
          <w:szCs w:val="21"/>
          <w:lang w:val="zh-CN"/>
        </w:rPr>
        <w:fldChar w:fldCharType="end"/>
      </w:r>
    </w:p>
    <w:p>
      <w:pPr>
        <w:pStyle w:val="31"/>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rPr>
      </w:pPr>
      <w:r>
        <w:rPr>
          <w:rFonts w:hint="default" w:ascii="Times New Roman" w:hAnsi="Times New Roman" w:eastAsia="宋体" w:cs="Times New Roman"/>
          <w:bCs w:val="0"/>
          <w:color w:val="auto"/>
          <w:szCs w:val="21"/>
          <w:lang w:val="zh-CN"/>
        </w:rPr>
        <w:fldChar w:fldCharType="begin"/>
      </w:r>
      <w:r>
        <w:rPr>
          <w:rFonts w:hint="default" w:ascii="Times New Roman" w:hAnsi="Times New Roman" w:eastAsia="宋体" w:cs="Times New Roman"/>
          <w:bCs w:val="0"/>
          <w:color w:val="auto"/>
          <w:szCs w:val="21"/>
          <w:lang w:val="zh-CN"/>
        </w:rPr>
        <w:instrText xml:space="preserve"> HYPERLINK \l _Toc9253 </w:instrText>
      </w:r>
      <w:r>
        <w:rPr>
          <w:rFonts w:hint="default" w:ascii="Times New Roman" w:hAnsi="Times New Roman" w:eastAsia="宋体" w:cs="Times New Roman"/>
          <w:bCs w:val="0"/>
          <w:color w:val="auto"/>
          <w:szCs w:val="21"/>
          <w:lang w:val="zh-CN"/>
        </w:rPr>
        <w:fldChar w:fldCharType="separate"/>
      </w:r>
      <w:r>
        <w:rPr>
          <w:rFonts w:hint="default" w:ascii="Times New Roman" w:hAnsi="Times New Roman" w:eastAsia="宋体" w:cs="Times New Roman"/>
          <w:bCs w:val="0"/>
          <w:i w:val="0"/>
          <w:iCs w:val="0"/>
          <w:color w:val="auto"/>
          <w:szCs w:val="21"/>
        </w:rPr>
        <w:t xml:space="preserve">4 </w:t>
      </w:r>
      <w:r>
        <w:rPr>
          <w:rFonts w:hint="default" w:ascii="Times New Roman" w:hAnsi="Times New Roman" w:eastAsia="宋体" w:cs="Times New Roman"/>
          <w:color w:val="auto"/>
          <w:lang w:val="en-US" w:eastAsia="zh-CN"/>
        </w:rPr>
        <w:t>评价原则</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_Toc9253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3</w:t>
      </w:r>
      <w:r>
        <w:rPr>
          <w:rFonts w:hint="default" w:ascii="Times New Roman" w:hAnsi="Times New Roman" w:eastAsia="宋体" w:cs="Times New Roman"/>
          <w:color w:val="auto"/>
        </w:rPr>
        <w:fldChar w:fldCharType="end"/>
      </w:r>
      <w:r>
        <w:rPr>
          <w:rFonts w:hint="default" w:ascii="Times New Roman" w:hAnsi="Times New Roman" w:eastAsia="宋体" w:cs="Times New Roman"/>
          <w:bCs w:val="0"/>
          <w:color w:val="auto"/>
          <w:szCs w:val="21"/>
          <w:lang w:val="zh-CN"/>
        </w:rPr>
        <w:fldChar w:fldCharType="end"/>
      </w:r>
    </w:p>
    <w:p>
      <w:pPr>
        <w:pStyle w:val="14"/>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rPr>
      </w:pPr>
      <w:r>
        <w:rPr>
          <w:rFonts w:hint="default" w:ascii="Times New Roman" w:hAnsi="Times New Roman" w:eastAsia="宋体" w:cs="Times New Roman"/>
          <w:bCs w:val="0"/>
          <w:color w:val="auto"/>
          <w:szCs w:val="21"/>
          <w:lang w:val="zh-CN"/>
        </w:rPr>
        <w:fldChar w:fldCharType="begin"/>
      </w:r>
      <w:r>
        <w:rPr>
          <w:rFonts w:hint="default" w:ascii="Times New Roman" w:hAnsi="Times New Roman" w:eastAsia="宋体" w:cs="Times New Roman"/>
          <w:bCs w:val="0"/>
          <w:color w:val="auto"/>
          <w:szCs w:val="21"/>
          <w:lang w:val="zh-CN"/>
        </w:rPr>
        <w:instrText xml:space="preserve"> HYPERLINK \l _Toc26956 </w:instrText>
      </w:r>
      <w:r>
        <w:rPr>
          <w:rFonts w:hint="default" w:ascii="Times New Roman" w:hAnsi="Times New Roman" w:eastAsia="宋体" w:cs="Times New Roman"/>
          <w:bCs w:val="0"/>
          <w:color w:val="auto"/>
          <w:szCs w:val="21"/>
          <w:lang w:val="zh-CN"/>
        </w:rPr>
        <w:fldChar w:fldCharType="separate"/>
      </w:r>
      <w:r>
        <w:rPr>
          <w:rFonts w:hint="default" w:ascii="Times New Roman" w:hAnsi="Times New Roman" w:eastAsia="宋体" w:cs="Times New Roman"/>
          <w:bCs w:val="0"/>
          <w:i w:val="0"/>
          <w:iCs w:val="0"/>
          <w:caps w:val="0"/>
          <w:strike w:val="0"/>
          <w:dstrike w:val="0"/>
          <w:vanish w:val="0"/>
          <w:color w:val="auto"/>
          <w:spacing w:val="0"/>
          <w:kern w:val="0"/>
          <w:position w:val="0"/>
          <w:szCs w:val="21"/>
          <w:vertAlign w:val="baseline"/>
        </w:rPr>
        <w:t xml:space="preserve">4.1 </w:t>
      </w:r>
      <w:r>
        <w:rPr>
          <w:rFonts w:hint="default" w:ascii="Times New Roman" w:hAnsi="Times New Roman" w:eastAsia="宋体" w:cs="Times New Roman"/>
          <w:color w:val="auto"/>
        </w:rPr>
        <w:t>科学性原则</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_Toc26956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3</w:t>
      </w:r>
      <w:r>
        <w:rPr>
          <w:rFonts w:hint="default" w:ascii="Times New Roman" w:hAnsi="Times New Roman" w:eastAsia="宋体" w:cs="Times New Roman"/>
          <w:color w:val="auto"/>
        </w:rPr>
        <w:fldChar w:fldCharType="end"/>
      </w:r>
      <w:r>
        <w:rPr>
          <w:rFonts w:hint="default" w:ascii="Times New Roman" w:hAnsi="Times New Roman" w:eastAsia="宋体" w:cs="Times New Roman"/>
          <w:bCs w:val="0"/>
          <w:color w:val="auto"/>
          <w:szCs w:val="21"/>
          <w:lang w:val="zh-CN"/>
        </w:rPr>
        <w:fldChar w:fldCharType="end"/>
      </w:r>
    </w:p>
    <w:p>
      <w:pPr>
        <w:pStyle w:val="14"/>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rPr>
      </w:pPr>
      <w:r>
        <w:rPr>
          <w:rFonts w:hint="default" w:ascii="Times New Roman" w:hAnsi="Times New Roman" w:eastAsia="宋体" w:cs="Times New Roman"/>
          <w:bCs w:val="0"/>
          <w:color w:val="auto"/>
          <w:szCs w:val="21"/>
          <w:lang w:val="zh-CN"/>
        </w:rPr>
        <w:fldChar w:fldCharType="begin"/>
      </w:r>
      <w:r>
        <w:rPr>
          <w:rFonts w:hint="default" w:ascii="Times New Roman" w:hAnsi="Times New Roman" w:eastAsia="宋体" w:cs="Times New Roman"/>
          <w:bCs w:val="0"/>
          <w:color w:val="auto"/>
          <w:szCs w:val="21"/>
          <w:lang w:val="zh-CN"/>
        </w:rPr>
        <w:instrText xml:space="preserve"> HYPERLINK \l _Toc24868 </w:instrText>
      </w:r>
      <w:r>
        <w:rPr>
          <w:rFonts w:hint="default" w:ascii="Times New Roman" w:hAnsi="Times New Roman" w:eastAsia="宋体" w:cs="Times New Roman"/>
          <w:bCs w:val="0"/>
          <w:color w:val="auto"/>
          <w:szCs w:val="21"/>
          <w:lang w:val="zh-CN"/>
        </w:rPr>
        <w:fldChar w:fldCharType="separate"/>
      </w:r>
      <w:r>
        <w:rPr>
          <w:rFonts w:hint="default" w:ascii="Times New Roman" w:hAnsi="Times New Roman" w:eastAsia="宋体" w:cs="Times New Roman"/>
          <w:bCs w:val="0"/>
          <w:i w:val="0"/>
          <w:iCs w:val="0"/>
          <w:caps w:val="0"/>
          <w:strike w:val="0"/>
          <w:dstrike w:val="0"/>
          <w:vanish w:val="0"/>
          <w:color w:val="auto"/>
          <w:spacing w:val="0"/>
          <w:kern w:val="0"/>
          <w:position w:val="0"/>
          <w:szCs w:val="21"/>
          <w:vertAlign w:val="baseline"/>
        </w:rPr>
        <w:t xml:space="preserve">4.2 </w:t>
      </w:r>
      <w:r>
        <w:rPr>
          <w:rFonts w:hint="default" w:ascii="Times New Roman" w:hAnsi="Times New Roman" w:eastAsia="宋体" w:cs="Times New Roman"/>
          <w:color w:val="auto"/>
        </w:rPr>
        <w:t>公正性原则</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_Toc24868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3</w:t>
      </w:r>
      <w:r>
        <w:rPr>
          <w:rFonts w:hint="default" w:ascii="Times New Roman" w:hAnsi="Times New Roman" w:eastAsia="宋体" w:cs="Times New Roman"/>
          <w:color w:val="auto"/>
        </w:rPr>
        <w:fldChar w:fldCharType="end"/>
      </w:r>
      <w:r>
        <w:rPr>
          <w:rFonts w:hint="default" w:ascii="Times New Roman" w:hAnsi="Times New Roman" w:eastAsia="宋体" w:cs="Times New Roman"/>
          <w:bCs w:val="0"/>
          <w:color w:val="auto"/>
          <w:szCs w:val="21"/>
          <w:lang w:val="zh-CN"/>
        </w:rPr>
        <w:fldChar w:fldCharType="end"/>
      </w:r>
    </w:p>
    <w:p>
      <w:pPr>
        <w:pStyle w:val="14"/>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rPr>
      </w:pPr>
      <w:r>
        <w:rPr>
          <w:rFonts w:hint="default" w:ascii="Times New Roman" w:hAnsi="Times New Roman" w:eastAsia="宋体" w:cs="Times New Roman"/>
          <w:bCs w:val="0"/>
          <w:color w:val="auto"/>
          <w:szCs w:val="21"/>
          <w:lang w:val="zh-CN"/>
        </w:rPr>
        <w:fldChar w:fldCharType="begin"/>
      </w:r>
      <w:r>
        <w:rPr>
          <w:rFonts w:hint="default" w:ascii="Times New Roman" w:hAnsi="Times New Roman" w:eastAsia="宋体" w:cs="Times New Roman"/>
          <w:bCs w:val="0"/>
          <w:color w:val="auto"/>
          <w:szCs w:val="21"/>
          <w:lang w:val="zh-CN"/>
        </w:rPr>
        <w:instrText xml:space="preserve"> HYPERLINK \l _Toc20774 </w:instrText>
      </w:r>
      <w:r>
        <w:rPr>
          <w:rFonts w:hint="default" w:ascii="Times New Roman" w:hAnsi="Times New Roman" w:eastAsia="宋体" w:cs="Times New Roman"/>
          <w:bCs w:val="0"/>
          <w:color w:val="auto"/>
          <w:szCs w:val="21"/>
          <w:lang w:val="zh-CN"/>
        </w:rPr>
        <w:fldChar w:fldCharType="separate"/>
      </w:r>
      <w:r>
        <w:rPr>
          <w:rFonts w:hint="default" w:ascii="Times New Roman" w:hAnsi="Times New Roman" w:eastAsia="宋体" w:cs="Times New Roman"/>
          <w:bCs w:val="0"/>
          <w:i w:val="0"/>
          <w:iCs w:val="0"/>
          <w:caps w:val="0"/>
          <w:strike w:val="0"/>
          <w:dstrike w:val="0"/>
          <w:vanish w:val="0"/>
          <w:color w:val="auto"/>
          <w:spacing w:val="0"/>
          <w:kern w:val="0"/>
          <w:position w:val="0"/>
          <w:szCs w:val="21"/>
          <w:vertAlign w:val="baseline"/>
        </w:rPr>
        <w:t xml:space="preserve">4.3 </w:t>
      </w:r>
      <w:r>
        <w:rPr>
          <w:rFonts w:hint="default" w:ascii="Times New Roman" w:hAnsi="Times New Roman" w:eastAsia="宋体" w:cs="Times New Roman"/>
          <w:color w:val="auto"/>
          <w:lang w:val="en-US" w:eastAsia="zh-CN"/>
        </w:rPr>
        <w:t>完整</w:t>
      </w:r>
      <w:r>
        <w:rPr>
          <w:rFonts w:hint="default" w:ascii="Times New Roman" w:hAnsi="Times New Roman" w:eastAsia="宋体" w:cs="Times New Roman"/>
          <w:color w:val="auto"/>
        </w:rPr>
        <w:t>性原则</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_Toc20774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3</w:t>
      </w:r>
      <w:r>
        <w:rPr>
          <w:rFonts w:hint="default" w:ascii="Times New Roman" w:hAnsi="Times New Roman" w:eastAsia="宋体" w:cs="Times New Roman"/>
          <w:color w:val="auto"/>
        </w:rPr>
        <w:fldChar w:fldCharType="end"/>
      </w:r>
      <w:r>
        <w:rPr>
          <w:rFonts w:hint="default" w:ascii="Times New Roman" w:hAnsi="Times New Roman" w:eastAsia="宋体" w:cs="Times New Roman"/>
          <w:bCs w:val="0"/>
          <w:color w:val="auto"/>
          <w:szCs w:val="21"/>
          <w:lang w:val="zh-CN"/>
        </w:rPr>
        <w:fldChar w:fldCharType="end"/>
      </w:r>
    </w:p>
    <w:p>
      <w:pPr>
        <w:pStyle w:val="14"/>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rPr>
      </w:pPr>
      <w:r>
        <w:rPr>
          <w:rFonts w:hint="default" w:ascii="Times New Roman" w:hAnsi="Times New Roman" w:eastAsia="宋体" w:cs="Times New Roman"/>
          <w:bCs w:val="0"/>
          <w:color w:val="auto"/>
          <w:szCs w:val="21"/>
          <w:lang w:val="zh-CN"/>
        </w:rPr>
        <w:fldChar w:fldCharType="begin"/>
      </w:r>
      <w:r>
        <w:rPr>
          <w:rFonts w:hint="default" w:ascii="Times New Roman" w:hAnsi="Times New Roman" w:eastAsia="宋体" w:cs="Times New Roman"/>
          <w:bCs w:val="0"/>
          <w:color w:val="auto"/>
          <w:szCs w:val="21"/>
          <w:lang w:val="zh-CN"/>
        </w:rPr>
        <w:instrText xml:space="preserve"> HYPERLINK \l _Toc12850 </w:instrText>
      </w:r>
      <w:r>
        <w:rPr>
          <w:rFonts w:hint="default" w:ascii="Times New Roman" w:hAnsi="Times New Roman" w:eastAsia="宋体" w:cs="Times New Roman"/>
          <w:bCs w:val="0"/>
          <w:color w:val="auto"/>
          <w:szCs w:val="21"/>
          <w:lang w:val="zh-CN"/>
        </w:rPr>
        <w:fldChar w:fldCharType="separate"/>
      </w:r>
      <w:r>
        <w:rPr>
          <w:rFonts w:hint="default" w:ascii="Times New Roman" w:hAnsi="Times New Roman" w:eastAsia="宋体" w:cs="Times New Roman"/>
          <w:bCs w:val="0"/>
          <w:i w:val="0"/>
          <w:iCs w:val="0"/>
          <w:caps w:val="0"/>
          <w:strike w:val="0"/>
          <w:dstrike w:val="0"/>
          <w:vanish w:val="0"/>
          <w:color w:val="auto"/>
          <w:spacing w:val="0"/>
          <w:kern w:val="0"/>
          <w:position w:val="0"/>
          <w:szCs w:val="21"/>
          <w:vertAlign w:val="baseline"/>
        </w:rPr>
        <w:t xml:space="preserve">4.4 </w:t>
      </w:r>
      <w:r>
        <w:rPr>
          <w:rFonts w:hint="default" w:ascii="Times New Roman" w:hAnsi="Times New Roman" w:eastAsia="宋体" w:cs="Times New Roman"/>
          <w:color w:val="auto"/>
        </w:rPr>
        <w:t>可操作性原则</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_Toc12850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4</w:t>
      </w:r>
      <w:r>
        <w:rPr>
          <w:rFonts w:hint="default" w:ascii="Times New Roman" w:hAnsi="Times New Roman" w:eastAsia="宋体" w:cs="Times New Roman"/>
          <w:color w:val="auto"/>
        </w:rPr>
        <w:fldChar w:fldCharType="end"/>
      </w:r>
      <w:r>
        <w:rPr>
          <w:rFonts w:hint="default" w:ascii="Times New Roman" w:hAnsi="Times New Roman" w:eastAsia="宋体" w:cs="Times New Roman"/>
          <w:bCs w:val="0"/>
          <w:color w:val="auto"/>
          <w:szCs w:val="21"/>
          <w:lang w:val="zh-CN"/>
        </w:rPr>
        <w:fldChar w:fldCharType="end"/>
      </w:r>
    </w:p>
    <w:p>
      <w:pPr>
        <w:pStyle w:val="31"/>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rPr>
      </w:pPr>
      <w:r>
        <w:rPr>
          <w:rFonts w:hint="default" w:ascii="Times New Roman" w:hAnsi="Times New Roman" w:eastAsia="宋体" w:cs="Times New Roman"/>
          <w:bCs w:val="0"/>
          <w:color w:val="auto"/>
          <w:szCs w:val="21"/>
          <w:lang w:val="zh-CN"/>
        </w:rPr>
        <w:fldChar w:fldCharType="begin"/>
      </w:r>
      <w:r>
        <w:rPr>
          <w:rFonts w:hint="default" w:ascii="Times New Roman" w:hAnsi="Times New Roman" w:eastAsia="宋体" w:cs="Times New Roman"/>
          <w:bCs w:val="0"/>
          <w:color w:val="auto"/>
          <w:szCs w:val="21"/>
          <w:lang w:val="zh-CN"/>
        </w:rPr>
        <w:instrText xml:space="preserve"> HYPERLINK \l _Toc5321 </w:instrText>
      </w:r>
      <w:r>
        <w:rPr>
          <w:rFonts w:hint="default" w:ascii="Times New Roman" w:hAnsi="Times New Roman" w:eastAsia="宋体" w:cs="Times New Roman"/>
          <w:bCs w:val="0"/>
          <w:color w:val="auto"/>
          <w:szCs w:val="21"/>
          <w:lang w:val="zh-CN"/>
        </w:rPr>
        <w:fldChar w:fldCharType="separate"/>
      </w:r>
      <w:r>
        <w:rPr>
          <w:rFonts w:hint="default" w:ascii="Times New Roman" w:hAnsi="Times New Roman" w:eastAsia="宋体" w:cs="Times New Roman"/>
          <w:bCs w:val="0"/>
          <w:i w:val="0"/>
          <w:iCs w:val="0"/>
          <w:color w:val="auto"/>
          <w:szCs w:val="21"/>
        </w:rPr>
        <w:t xml:space="preserve">5 </w:t>
      </w:r>
      <w:r>
        <w:rPr>
          <w:rFonts w:hint="default" w:ascii="Times New Roman" w:hAnsi="Times New Roman" w:eastAsia="宋体" w:cs="Times New Roman"/>
          <w:color w:val="auto"/>
        </w:rPr>
        <w:t>评价</w:t>
      </w:r>
      <w:r>
        <w:rPr>
          <w:rFonts w:hint="default" w:ascii="Times New Roman" w:hAnsi="Times New Roman" w:eastAsia="宋体" w:cs="Times New Roman"/>
          <w:color w:val="auto"/>
          <w:lang w:val="en-US" w:eastAsia="zh-CN"/>
        </w:rPr>
        <w:t>指标体系和评价方法</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_Toc5321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4</w:t>
      </w:r>
      <w:r>
        <w:rPr>
          <w:rFonts w:hint="default" w:ascii="Times New Roman" w:hAnsi="Times New Roman" w:eastAsia="宋体" w:cs="Times New Roman"/>
          <w:color w:val="auto"/>
        </w:rPr>
        <w:fldChar w:fldCharType="end"/>
      </w:r>
      <w:r>
        <w:rPr>
          <w:rFonts w:hint="default" w:ascii="Times New Roman" w:hAnsi="Times New Roman" w:eastAsia="宋体" w:cs="Times New Roman"/>
          <w:bCs w:val="0"/>
          <w:color w:val="auto"/>
          <w:szCs w:val="21"/>
          <w:lang w:val="zh-CN"/>
        </w:rPr>
        <w:fldChar w:fldCharType="end"/>
      </w:r>
    </w:p>
    <w:p>
      <w:pPr>
        <w:pStyle w:val="14"/>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rPr>
      </w:pPr>
      <w:r>
        <w:rPr>
          <w:rFonts w:hint="default" w:ascii="Times New Roman" w:hAnsi="Times New Roman" w:eastAsia="宋体" w:cs="Times New Roman"/>
          <w:bCs w:val="0"/>
          <w:color w:val="auto"/>
          <w:szCs w:val="21"/>
          <w:lang w:val="zh-CN"/>
        </w:rPr>
        <w:fldChar w:fldCharType="begin"/>
      </w:r>
      <w:r>
        <w:rPr>
          <w:rFonts w:hint="default" w:ascii="Times New Roman" w:hAnsi="Times New Roman" w:eastAsia="宋体" w:cs="Times New Roman"/>
          <w:bCs w:val="0"/>
          <w:color w:val="auto"/>
          <w:szCs w:val="21"/>
          <w:lang w:val="zh-CN"/>
        </w:rPr>
        <w:instrText xml:space="preserve"> HYPERLINK \l _Toc20738 </w:instrText>
      </w:r>
      <w:r>
        <w:rPr>
          <w:rFonts w:hint="default" w:ascii="Times New Roman" w:hAnsi="Times New Roman" w:eastAsia="宋体" w:cs="Times New Roman"/>
          <w:bCs w:val="0"/>
          <w:color w:val="auto"/>
          <w:szCs w:val="21"/>
          <w:lang w:val="zh-CN"/>
        </w:rPr>
        <w:fldChar w:fldCharType="separate"/>
      </w:r>
      <w:r>
        <w:rPr>
          <w:rFonts w:hint="default" w:ascii="Times New Roman" w:hAnsi="Times New Roman" w:eastAsia="宋体" w:cs="Times New Roman"/>
          <w:bCs w:val="0"/>
          <w:i w:val="0"/>
          <w:iCs w:val="0"/>
          <w:caps w:val="0"/>
          <w:strike w:val="0"/>
          <w:dstrike w:val="0"/>
          <w:vanish w:val="0"/>
          <w:color w:val="auto"/>
          <w:spacing w:val="0"/>
          <w:kern w:val="0"/>
          <w:position w:val="0"/>
          <w:szCs w:val="21"/>
          <w:vertAlign w:val="baseline"/>
        </w:rPr>
        <w:t xml:space="preserve">5.1 </w:t>
      </w:r>
      <w:r>
        <w:rPr>
          <w:rFonts w:hint="default" w:ascii="Times New Roman" w:hAnsi="Times New Roman" w:eastAsia="宋体" w:cs="Times New Roman"/>
          <w:color w:val="auto"/>
        </w:rPr>
        <w:t>评价指标体系</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_Toc20738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4</w:t>
      </w:r>
      <w:r>
        <w:rPr>
          <w:rFonts w:hint="default" w:ascii="Times New Roman" w:hAnsi="Times New Roman" w:eastAsia="宋体" w:cs="Times New Roman"/>
          <w:color w:val="auto"/>
        </w:rPr>
        <w:fldChar w:fldCharType="end"/>
      </w:r>
      <w:r>
        <w:rPr>
          <w:rFonts w:hint="default" w:ascii="Times New Roman" w:hAnsi="Times New Roman" w:eastAsia="宋体" w:cs="Times New Roman"/>
          <w:bCs w:val="0"/>
          <w:color w:val="auto"/>
          <w:szCs w:val="21"/>
          <w:lang w:val="zh-CN"/>
        </w:rPr>
        <w:fldChar w:fldCharType="end"/>
      </w:r>
    </w:p>
    <w:p>
      <w:pPr>
        <w:pStyle w:val="14"/>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rPr>
      </w:pPr>
      <w:r>
        <w:rPr>
          <w:rFonts w:hint="default" w:ascii="Times New Roman" w:hAnsi="Times New Roman" w:eastAsia="宋体" w:cs="Times New Roman"/>
          <w:bCs w:val="0"/>
          <w:color w:val="auto"/>
          <w:szCs w:val="21"/>
          <w:lang w:val="zh-CN"/>
        </w:rPr>
        <w:fldChar w:fldCharType="begin"/>
      </w:r>
      <w:r>
        <w:rPr>
          <w:rFonts w:hint="default" w:ascii="Times New Roman" w:hAnsi="Times New Roman" w:eastAsia="宋体" w:cs="Times New Roman"/>
          <w:bCs w:val="0"/>
          <w:color w:val="auto"/>
          <w:szCs w:val="21"/>
          <w:lang w:val="zh-CN"/>
        </w:rPr>
        <w:instrText xml:space="preserve"> HYPERLINK \l _Toc20687 </w:instrText>
      </w:r>
      <w:r>
        <w:rPr>
          <w:rFonts w:hint="default" w:ascii="Times New Roman" w:hAnsi="Times New Roman" w:eastAsia="宋体" w:cs="Times New Roman"/>
          <w:bCs w:val="0"/>
          <w:color w:val="auto"/>
          <w:szCs w:val="21"/>
          <w:lang w:val="zh-CN"/>
        </w:rPr>
        <w:fldChar w:fldCharType="separate"/>
      </w:r>
      <w:r>
        <w:rPr>
          <w:rFonts w:hint="default" w:ascii="Times New Roman" w:hAnsi="Times New Roman" w:eastAsia="宋体" w:cs="Times New Roman"/>
          <w:bCs w:val="0"/>
          <w:i w:val="0"/>
          <w:iCs w:val="0"/>
          <w:caps w:val="0"/>
          <w:strike w:val="0"/>
          <w:dstrike w:val="0"/>
          <w:vanish w:val="0"/>
          <w:color w:val="auto"/>
          <w:spacing w:val="0"/>
          <w:kern w:val="0"/>
          <w:position w:val="0"/>
          <w:szCs w:val="21"/>
          <w:vertAlign w:val="baseline"/>
        </w:rPr>
        <w:t xml:space="preserve">5.2 </w:t>
      </w:r>
      <w:r>
        <w:rPr>
          <w:rFonts w:hint="default" w:ascii="Times New Roman" w:hAnsi="Times New Roman" w:eastAsia="宋体" w:cs="Times New Roman"/>
          <w:color w:val="auto"/>
        </w:rPr>
        <w:t>评价方法</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_Toc20687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4</w:t>
      </w:r>
      <w:r>
        <w:rPr>
          <w:rFonts w:hint="default" w:ascii="Times New Roman" w:hAnsi="Times New Roman" w:eastAsia="宋体" w:cs="Times New Roman"/>
          <w:color w:val="auto"/>
        </w:rPr>
        <w:fldChar w:fldCharType="end"/>
      </w:r>
      <w:r>
        <w:rPr>
          <w:rFonts w:hint="default" w:ascii="Times New Roman" w:hAnsi="Times New Roman" w:eastAsia="宋体" w:cs="Times New Roman"/>
          <w:bCs w:val="0"/>
          <w:color w:val="auto"/>
          <w:szCs w:val="21"/>
          <w:lang w:val="zh-CN"/>
        </w:rPr>
        <w:fldChar w:fldCharType="end"/>
      </w:r>
    </w:p>
    <w:p>
      <w:pPr>
        <w:pStyle w:val="31"/>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rPr>
      </w:pPr>
      <w:r>
        <w:rPr>
          <w:rFonts w:hint="default" w:ascii="Times New Roman" w:hAnsi="Times New Roman" w:eastAsia="宋体" w:cs="Times New Roman"/>
          <w:bCs w:val="0"/>
          <w:color w:val="auto"/>
          <w:szCs w:val="21"/>
          <w:lang w:val="zh-CN"/>
        </w:rPr>
        <w:fldChar w:fldCharType="begin"/>
      </w:r>
      <w:r>
        <w:rPr>
          <w:rFonts w:hint="default" w:ascii="Times New Roman" w:hAnsi="Times New Roman" w:eastAsia="宋体" w:cs="Times New Roman"/>
          <w:bCs w:val="0"/>
          <w:color w:val="auto"/>
          <w:szCs w:val="21"/>
          <w:lang w:val="zh-CN"/>
        </w:rPr>
        <w:instrText xml:space="preserve"> HYPERLINK \l _Toc21168 </w:instrText>
      </w:r>
      <w:r>
        <w:rPr>
          <w:rFonts w:hint="default" w:ascii="Times New Roman" w:hAnsi="Times New Roman" w:eastAsia="宋体" w:cs="Times New Roman"/>
          <w:bCs w:val="0"/>
          <w:color w:val="auto"/>
          <w:szCs w:val="21"/>
          <w:lang w:val="zh-CN"/>
        </w:rPr>
        <w:fldChar w:fldCharType="separate"/>
      </w:r>
      <w:r>
        <w:rPr>
          <w:rFonts w:hint="default" w:ascii="Times New Roman" w:hAnsi="Times New Roman" w:eastAsia="宋体" w:cs="Times New Roman"/>
          <w:bCs w:val="0"/>
          <w:i w:val="0"/>
          <w:iCs w:val="0"/>
          <w:color w:val="auto"/>
          <w:szCs w:val="21"/>
        </w:rPr>
        <w:t xml:space="preserve">6 </w:t>
      </w:r>
      <w:r>
        <w:rPr>
          <w:rFonts w:hint="default" w:ascii="Times New Roman" w:hAnsi="Times New Roman" w:eastAsia="宋体" w:cs="Times New Roman"/>
          <w:color w:val="auto"/>
        </w:rPr>
        <w:t>评价程序和评价报告</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_Toc21168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4</w:t>
      </w:r>
      <w:r>
        <w:rPr>
          <w:rFonts w:hint="default" w:ascii="Times New Roman" w:hAnsi="Times New Roman" w:eastAsia="宋体" w:cs="Times New Roman"/>
          <w:color w:val="auto"/>
        </w:rPr>
        <w:fldChar w:fldCharType="end"/>
      </w:r>
      <w:r>
        <w:rPr>
          <w:rFonts w:hint="default" w:ascii="Times New Roman" w:hAnsi="Times New Roman" w:eastAsia="宋体" w:cs="Times New Roman"/>
          <w:bCs w:val="0"/>
          <w:color w:val="auto"/>
          <w:szCs w:val="21"/>
          <w:lang w:val="zh-CN"/>
        </w:rPr>
        <w:fldChar w:fldCharType="end"/>
      </w:r>
    </w:p>
    <w:p>
      <w:pPr>
        <w:pStyle w:val="14"/>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rPr>
      </w:pPr>
      <w:r>
        <w:rPr>
          <w:rFonts w:hint="default" w:ascii="Times New Roman" w:hAnsi="Times New Roman" w:eastAsia="宋体" w:cs="Times New Roman"/>
          <w:bCs w:val="0"/>
          <w:color w:val="auto"/>
          <w:szCs w:val="21"/>
          <w:lang w:val="zh-CN"/>
        </w:rPr>
        <w:fldChar w:fldCharType="begin"/>
      </w:r>
      <w:r>
        <w:rPr>
          <w:rFonts w:hint="default" w:ascii="Times New Roman" w:hAnsi="Times New Roman" w:eastAsia="宋体" w:cs="Times New Roman"/>
          <w:bCs w:val="0"/>
          <w:color w:val="auto"/>
          <w:szCs w:val="21"/>
          <w:lang w:val="zh-CN"/>
        </w:rPr>
        <w:instrText xml:space="preserve"> HYPERLINK \l _Toc11555 </w:instrText>
      </w:r>
      <w:r>
        <w:rPr>
          <w:rFonts w:hint="default" w:ascii="Times New Roman" w:hAnsi="Times New Roman" w:eastAsia="宋体" w:cs="Times New Roman"/>
          <w:bCs w:val="0"/>
          <w:color w:val="auto"/>
          <w:szCs w:val="21"/>
          <w:lang w:val="zh-CN"/>
        </w:rPr>
        <w:fldChar w:fldCharType="separate"/>
      </w:r>
      <w:r>
        <w:rPr>
          <w:rFonts w:hint="default" w:ascii="Times New Roman" w:hAnsi="Times New Roman" w:eastAsia="宋体" w:cs="Times New Roman"/>
          <w:bCs w:val="0"/>
          <w:i w:val="0"/>
          <w:iCs w:val="0"/>
          <w:caps w:val="0"/>
          <w:strike w:val="0"/>
          <w:dstrike w:val="0"/>
          <w:vanish w:val="0"/>
          <w:color w:val="auto"/>
          <w:spacing w:val="0"/>
          <w:kern w:val="0"/>
          <w:position w:val="0"/>
          <w:szCs w:val="21"/>
          <w:vertAlign w:val="baseline"/>
        </w:rPr>
        <w:t xml:space="preserve">6.1 </w:t>
      </w:r>
      <w:r>
        <w:rPr>
          <w:rFonts w:hint="default" w:ascii="Times New Roman" w:hAnsi="Times New Roman" w:eastAsia="宋体" w:cs="Times New Roman"/>
          <w:color w:val="auto"/>
        </w:rPr>
        <w:t>评价程序和目的</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_Toc11555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4</w:t>
      </w:r>
      <w:r>
        <w:rPr>
          <w:rFonts w:hint="default" w:ascii="Times New Roman" w:hAnsi="Times New Roman" w:eastAsia="宋体" w:cs="Times New Roman"/>
          <w:color w:val="auto"/>
        </w:rPr>
        <w:fldChar w:fldCharType="end"/>
      </w:r>
      <w:r>
        <w:rPr>
          <w:rFonts w:hint="default" w:ascii="Times New Roman" w:hAnsi="Times New Roman" w:eastAsia="宋体" w:cs="Times New Roman"/>
          <w:bCs w:val="0"/>
          <w:color w:val="auto"/>
          <w:szCs w:val="21"/>
          <w:lang w:val="zh-CN"/>
        </w:rPr>
        <w:fldChar w:fldCharType="end"/>
      </w:r>
    </w:p>
    <w:p>
      <w:pPr>
        <w:pStyle w:val="14"/>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rPr>
      </w:pPr>
      <w:r>
        <w:rPr>
          <w:rFonts w:hint="default" w:ascii="Times New Roman" w:hAnsi="Times New Roman" w:eastAsia="宋体" w:cs="Times New Roman"/>
          <w:bCs w:val="0"/>
          <w:color w:val="auto"/>
          <w:szCs w:val="21"/>
          <w:lang w:val="zh-CN"/>
        </w:rPr>
        <w:fldChar w:fldCharType="begin"/>
      </w:r>
      <w:r>
        <w:rPr>
          <w:rFonts w:hint="default" w:ascii="Times New Roman" w:hAnsi="Times New Roman" w:eastAsia="宋体" w:cs="Times New Roman"/>
          <w:bCs w:val="0"/>
          <w:color w:val="auto"/>
          <w:szCs w:val="21"/>
          <w:lang w:val="zh-CN"/>
        </w:rPr>
        <w:instrText xml:space="preserve"> HYPERLINK \l _Toc4534 </w:instrText>
      </w:r>
      <w:r>
        <w:rPr>
          <w:rFonts w:hint="default" w:ascii="Times New Roman" w:hAnsi="Times New Roman" w:eastAsia="宋体" w:cs="Times New Roman"/>
          <w:bCs w:val="0"/>
          <w:color w:val="auto"/>
          <w:szCs w:val="21"/>
          <w:lang w:val="zh-CN"/>
        </w:rPr>
        <w:fldChar w:fldCharType="separate"/>
      </w:r>
      <w:r>
        <w:rPr>
          <w:rFonts w:hint="default" w:ascii="Times New Roman" w:hAnsi="Times New Roman" w:eastAsia="宋体" w:cs="Times New Roman"/>
          <w:bCs w:val="0"/>
          <w:i w:val="0"/>
          <w:iCs w:val="0"/>
          <w:caps w:val="0"/>
          <w:strike w:val="0"/>
          <w:dstrike w:val="0"/>
          <w:vanish w:val="0"/>
          <w:color w:val="auto"/>
          <w:spacing w:val="0"/>
          <w:kern w:val="0"/>
          <w:position w:val="0"/>
          <w:szCs w:val="21"/>
          <w:vertAlign w:val="baseline"/>
        </w:rPr>
        <w:t xml:space="preserve">6.2 </w:t>
      </w:r>
      <w:r>
        <w:rPr>
          <w:rFonts w:hint="default" w:ascii="Times New Roman" w:hAnsi="Times New Roman" w:eastAsia="宋体" w:cs="Times New Roman"/>
          <w:color w:val="auto"/>
        </w:rPr>
        <w:t>信息收集与核查</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_Toc4534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4</w:t>
      </w:r>
      <w:r>
        <w:rPr>
          <w:rFonts w:hint="default" w:ascii="Times New Roman" w:hAnsi="Times New Roman" w:eastAsia="宋体" w:cs="Times New Roman"/>
          <w:color w:val="auto"/>
        </w:rPr>
        <w:fldChar w:fldCharType="end"/>
      </w:r>
      <w:r>
        <w:rPr>
          <w:rFonts w:hint="default" w:ascii="Times New Roman" w:hAnsi="Times New Roman" w:eastAsia="宋体" w:cs="Times New Roman"/>
          <w:bCs w:val="0"/>
          <w:color w:val="auto"/>
          <w:szCs w:val="21"/>
          <w:lang w:val="zh-CN"/>
        </w:rPr>
        <w:fldChar w:fldCharType="end"/>
      </w:r>
    </w:p>
    <w:p>
      <w:pPr>
        <w:pStyle w:val="14"/>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rPr>
      </w:pPr>
      <w:r>
        <w:rPr>
          <w:rFonts w:hint="default" w:ascii="Times New Roman" w:hAnsi="Times New Roman" w:eastAsia="宋体" w:cs="Times New Roman"/>
          <w:bCs w:val="0"/>
          <w:color w:val="auto"/>
          <w:szCs w:val="21"/>
          <w:lang w:val="zh-CN"/>
        </w:rPr>
        <w:fldChar w:fldCharType="begin"/>
      </w:r>
      <w:r>
        <w:rPr>
          <w:rFonts w:hint="default" w:ascii="Times New Roman" w:hAnsi="Times New Roman" w:eastAsia="宋体" w:cs="Times New Roman"/>
          <w:bCs w:val="0"/>
          <w:color w:val="auto"/>
          <w:szCs w:val="21"/>
          <w:lang w:val="zh-CN"/>
        </w:rPr>
        <w:instrText xml:space="preserve"> HYPERLINK \l _Toc2990 </w:instrText>
      </w:r>
      <w:r>
        <w:rPr>
          <w:rFonts w:hint="default" w:ascii="Times New Roman" w:hAnsi="Times New Roman" w:eastAsia="宋体" w:cs="Times New Roman"/>
          <w:bCs w:val="0"/>
          <w:color w:val="auto"/>
          <w:szCs w:val="21"/>
          <w:lang w:val="zh-CN"/>
        </w:rPr>
        <w:fldChar w:fldCharType="separate"/>
      </w:r>
      <w:r>
        <w:rPr>
          <w:rFonts w:hint="default" w:ascii="Times New Roman" w:hAnsi="Times New Roman" w:eastAsia="宋体" w:cs="Times New Roman"/>
          <w:bCs w:val="0"/>
          <w:i w:val="0"/>
          <w:iCs w:val="0"/>
          <w:caps w:val="0"/>
          <w:strike w:val="0"/>
          <w:dstrike w:val="0"/>
          <w:vanish w:val="0"/>
          <w:color w:val="auto"/>
          <w:spacing w:val="0"/>
          <w:kern w:val="0"/>
          <w:position w:val="0"/>
          <w:szCs w:val="21"/>
          <w:vertAlign w:val="baseline"/>
        </w:rPr>
        <w:t xml:space="preserve">6.3 </w:t>
      </w:r>
      <w:r>
        <w:rPr>
          <w:rFonts w:hint="default" w:ascii="Times New Roman" w:hAnsi="Times New Roman" w:eastAsia="宋体" w:cs="Times New Roman"/>
          <w:color w:val="auto"/>
        </w:rPr>
        <w:t>评价报告</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_Toc2990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4</w:t>
      </w:r>
      <w:r>
        <w:rPr>
          <w:rFonts w:hint="default" w:ascii="Times New Roman" w:hAnsi="Times New Roman" w:eastAsia="宋体" w:cs="Times New Roman"/>
          <w:color w:val="auto"/>
        </w:rPr>
        <w:fldChar w:fldCharType="end"/>
      </w:r>
      <w:r>
        <w:rPr>
          <w:rFonts w:hint="default" w:ascii="Times New Roman" w:hAnsi="Times New Roman" w:eastAsia="宋体" w:cs="Times New Roman"/>
          <w:bCs w:val="0"/>
          <w:color w:val="auto"/>
          <w:szCs w:val="21"/>
          <w:lang w:val="zh-CN"/>
        </w:rPr>
        <w:fldChar w:fldCharType="end"/>
      </w:r>
    </w:p>
    <w:p>
      <w:pPr>
        <w:pStyle w:val="22"/>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rPr>
      </w:pPr>
      <w:r>
        <w:rPr>
          <w:rFonts w:hint="default" w:ascii="Times New Roman" w:hAnsi="Times New Roman" w:eastAsia="宋体" w:cs="Times New Roman"/>
          <w:bCs w:val="0"/>
          <w:color w:val="auto"/>
          <w:szCs w:val="21"/>
          <w:lang w:val="zh-CN"/>
        </w:rPr>
        <w:fldChar w:fldCharType="begin"/>
      </w:r>
      <w:r>
        <w:rPr>
          <w:rFonts w:hint="default" w:ascii="Times New Roman" w:hAnsi="Times New Roman" w:eastAsia="宋体" w:cs="Times New Roman"/>
          <w:bCs w:val="0"/>
          <w:color w:val="auto"/>
          <w:szCs w:val="21"/>
          <w:lang w:val="zh-CN"/>
        </w:rPr>
        <w:instrText xml:space="preserve"> HYPERLINK \l _Toc23647 </w:instrText>
      </w:r>
      <w:r>
        <w:rPr>
          <w:rFonts w:hint="default" w:ascii="Times New Roman" w:hAnsi="Times New Roman" w:eastAsia="宋体" w:cs="Times New Roman"/>
          <w:bCs w:val="0"/>
          <w:color w:val="auto"/>
          <w:szCs w:val="21"/>
          <w:lang w:val="zh-CN"/>
        </w:rPr>
        <w:fldChar w:fldCharType="separate"/>
      </w:r>
      <w:r>
        <w:rPr>
          <w:rFonts w:hint="default" w:ascii="Times New Roman" w:hAnsi="Times New Roman" w:eastAsia="宋体" w:cs="Times New Roman"/>
          <w:color w:val="auto"/>
          <w:szCs w:val="21"/>
        </w:rPr>
        <w:t>附  录  A</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_Toc23647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6</w:t>
      </w:r>
      <w:r>
        <w:rPr>
          <w:rFonts w:hint="default" w:ascii="Times New Roman" w:hAnsi="Times New Roman" w:eastAsia="宋体" w:cs="Times New Roman"/>
          <w:color w:val="auto"/>
        </w:rPr>
        <w:fldChar w:fldCharType="end"/>
      </w:r>
      <w:r>
        <w:rPr>
          <w:rFonts w:hint="default" w:ascii="Times New Roman" w:hAnsi="Times New Roman" w:eastAsia="宋体" w:cs="Times New Roman"/>
          <w:bCs w:val="0"/>
          <w:color w:val="auto"/>
          <w:szCs w:val="21"/>
          <w:lang w:val="zh-CN"/>
        </w:rPr>
        <w:fldChar w:fldCharType="end"/>
      </w:r>
    </w:p>
    <w:p>
      <w:pPr>
        <w:pStyle w:val="22"/>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rPr>
      </w:pPr>
      <w:r>
        <w:rPr>
          <w:rFonts w:hint="default" w:ascii="Times New Roman" w:hAnsi="Times New Roman" w:eastAsia="宋体" w:cs="Times New Roman"/>
          <w:bCs w:val="0"/>
          <w:color w:val="auto"/>
          <w:szCs w:val="21"/>
          <w:lang w:val="zh-CN"/>
        </w:rPr>
        <w:fldChar w:fldCharType="begin"/>
      </w:r>
      <w:r>
        <w:rPr>
          <w:rFonts w:hint="default" w:ascii="Times New Roman" w:hAnsi="Times New Roman" w:eastAsia="宋体" w:cs="Times New Roman"/>
          <w:bCs w:val="0"/>
          <w:color w:val="auto"/>
          <w:szCs w:val="21"/>
          <w:lang w:val="zh-CN"/>
        </w:rPr>
        <w:instrText xml:space="preserve"> HYPERLINK \l _Toc19819 </w:instrText>
      </w:r>
      <w:r>
        <w:rPr>
          <w:rFonts w:hint="default" w:ascii="Times New Roman" w:hAnsi="Times New Roman" w:eastAsia="宋体" w:cs="Times New Roman"/>
          <w:bCs w:val="0"/>
          <w:color w:val="auto"/>
          <w:szCs w:val="21"/>
          <w:lang w:val="zh-CN"/>
        </w:rPr>
        <w:fldChar w:fldCharType="separate"/>
      </w:r>
      <w:r>
        <w:rPr>
          <w:rFonts w:hint="default" w:ascii="Times New Roman" w:hAnsi="Times New Roman" w:eastAsia="宋体" w:cs="Times New Roman"/>
          <w:color w:val="auto"/>
          <w:szCs w:val="21"/>
        </w:rPr>
        <w:t>附  录  B</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_Toc19819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17</w:t>
      </w:r>
      <w:r>
        <w:rPr>
          <w:rFonts w:hint="default" w:ascii="Times New Roman" w:hAnsi="Times New Roman" w:eastAsia="宋体" w:cs="Times New Roman"/>
          <w:color w:val="auto"/>
        </w:rPr>
        <w:fldChar w:fldCharType="end"/>
      </w:r>
      <w:r>
        <w:rPr>
          <w:rFonts w:hint="default" w:ascii="Times New Roman" w:hAnsi="Times New Roman" w:eastAsia="宋体" w:cs="Times New Roman"/>
          <w:bCs w:val="0"/>
          <w:color w:val="auto"/>
          <w:szCs w:val="21"/>
          <w:lang w:val="zh-CN"/>
        </w:rPr>
        <w:fldChar w:fldCharType="end"/>
      </w:r>
    </w:p>
    <w:p>
      <w:pPr>
        <w:pStyle w:val="22"/>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rPr>
      </w:pPr>
      <w:r>
        <w:rPr>
          <w:rFonts w:hint="default" w:ascii="Times New Roman" w:hAnsi="Times New Roman" w:eastAsia="宋体" w:cs="Times New Roman"/>
          <w:bCs w:val="0"/>
          <w:color w:val="auto"/>
          <w:szCs w:val="21"/>
          <w:lang w:val="zh-CN"/>
        </w:rPr>
        <w:fldChar w:fldCharType="begin"/>
      </w:r>
      <w:r>
        <w:rPr>
          <w:rFonts w:hint="default" w:ascii="Times New Roman" w:hAnsi="Times New Roman" w:eastAsia="宋体" w:cs="Times New Roman"/>
          <w:bCs w:val="0"/>
          <w:color w:val="auto"/>
          <w:szCs w:val="21"/>
          <w:lang w:val="zh-CN"/>
        </w:rPr>
        <w:instrText xml:space="preserve"> HYPERLINK \l _Toc13340 </w:instrText>
      </w:r>
      <w:r>
        <w:rPr>
          <w:rFonts w:hint="default" w:ascii="Times New Roman" w:hAnsi="Times New Roman" w:eastAsia="宋体" w:cs="Times New Roman"/>
          <w:bCs w:val="0"/>
          <w:color w:val="auto"/>
          <w:szCs w:val="21"/>
          <w:lang w:val="zh-CN"/>
        </w:rPr>
        <w:fldChar w:fldCharType="separate"/>
      </w:r>
      <w:r>
        <w:rPr>
          <w:rFonts w:hint="default" w:ascii="Times New Roman" w:hAnsi="Times New Roman" w:eastAsia="宋体" w:cs="Times New Roman"/>
          <w:color w:val="auto"/>
          <w:szCs w:val="21"/>
        </w:rPr>
        <w:t>附  录  C</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_Toc13340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18</w:t>
      </w:r>
      <w:r>
        <w:rPr>
          <w:rFonts w:hint="default" w:ascii="Times New Roman" w:hAnsi="Times New Roman" w:eastAsia="宋体" w:cs="Times New Roman"/>
          <w:color w:val="auto"/>
        </w:rPr>
        <w:fldChar w:fldCharType="end"/>
      </w:r>
      <w:r>
        <w:rPr>
          <w:rFonts w:hint="default" w:ascii="Times New Roman" w:hAnsi="Times New Roman" w:eastAsia="宋体" w:cs="Times New Roman"/>
          <w:bCs w:val="0"/>
          <w:color w:val="auto"/>
          <w:szCs w:val="21"/>
          <w:lang w:val="zh-CN"/>
        </w:rPr>
        <w:fldChar w:fldCharType="end"/>
      </w:r>
    </w:p>
    <w:p>
      <w:pPr>
        <w:pStyle w:val="31"/>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360" w:lineRule="auto"/>
        <w:textAlignment w:val="auto"/>
        <w:rPr>
          <w:color w:val="auto"/>
        </w:rPr>
      </w:pPr>
      <w:r>
        <w:rPr>
          <w:rFonts w:hint="default" w:ascii="Times New Roman" w:hAnsi="Times New Roman" w:eastAsia="宋体" w:cs="Times New Roman"/>
          <w:bCs w:val="0"/>
          <w:color w:val="auto"/>
          <w:szCs w:val="21"/>
          <w:lang w:val="zh-CN"/>
        </w:rPr>
        <w:fldChar w:fldCharType="begin"/>
      </w:r>
      <w:r>
        <w:rPr>
          <w:rFonts w:hint="default" w:ascii="Times New Roman" w:hAnsi="Times New Roman" w:eastAsia="宋体" w:cs="Times New Roman"/>
          <w:bCs w:val="0"/>
          <w:color w:val="auto"/>
          <w:szCs w:val="21"/>
          <w:lang w:val="zh-CN"/>
        </w:rPr>
        <w:instrText xml:space="preserve"> HYPERLINK \l _Toc26880 </w:instrText>
      </w:r>
      <w:r>
        <w:rPr>
          <w:rFonts w:hint="default" w:ascii="Times New Roman" w:hAnsi="Times New Roman" w:eastAsia="宋体" w:cs="Times New Roman"/>
          <w:bCs w:val="0"/>
          <w:color w:val="auto"/>
          <w:szCs w:val="21"/>
          <w:lang w:val="zh-CN"/>
        </w:rPr>
        <w:fldChar w:fldCharType="separate"/>
      </w:r>
      <w:r>
        <w:rPr>
          <w:rFonts w:hint="default" w:ascii="Times New Roman" w:hAnsi="Times New Roman" w:eastAsia="宋体" w:cs="Times New Roman"/>
          <w:color w:val="auto"/>
          <w:szCs w:val="21"/>
        </w:rPr>
        <w:t>参 考 文 献</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_Toc26880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19</w:t>
      </w:r>
      <w:r>
        <w:rPr>
          <w:rFonts w:hint="default" w:ascii="Times New Roman" w:hAnsi="Times New Roman" w:eastAsia="宋体" w:cs="Times New Roman"/>
          <w:color w:val="auto"/>
        </w:rPr>
        <w:fldChar w:fldCharType="end"/>
      </w:r>
      <w:r>
        <w:rPr>
          <w:rFonts w:hint="default" w:ascii="Times New Roman" w:hAnsi="Times New Roman" w:eastAsia="宋体" w:cs="Times New Roman"/>
          <w:bCs w:val="0"/>
          <w:color w:val="auto"/>
          <w:szCs w:val="21"/>
          <w:lang w:val="zh-CN"/>
        </w:rPr>
        <w:fldChar w:fldCharType="end"/>
      </w:r>
    </w:p>
    <w:p>
      <w:pPr>
        <w:pStyle w:val="124"/>
        <w:rPr>
          <w:rFonts w:ascii="Times New Roman" w:cs="Times New Roman"/>
          <w:color w:val="auto"/>
        </w:rPr>
      </w:pPr>
      <w:r>
        <w:rPr>
          <w:bCs w:val="0"/>
          <w:color w:val="auto"/>
          <w:szCs w:val="21"/>
          <w:lang w:val="zh-CN"/>
        </w:rPr>
        <w:fldChar w:fldCharType="end"/>
      </w:r>
      <w:bookmarkStart w:id="10" w:name="_Toc23487"/>
      <w:r>
        <w:rPr>
          <w:rFonts w:ascii="Times New Roman" w:cs="Times New Roman"/>
          <w:color w:val="auto"/>
        </w:rPr>
        <w:t>前  言</w:t>
      </w:r>
      <w:bookmarkEnd w:id="10"/>
    </w:p>
    <w:p>
      <w:pPr>
        <w:ind w:firstLine="420" w:firstLineChars="200"/>
        <w:rPr>
          <w:color w:val="auto"/>
        </w:rPr>
      </w:pPr>
      <w:r>
        <w:rPr>
          <w:color w:val="auto"/>
        </w:rPr>
        <w:t>本文件</w:t>
      </w:r>
      <w:r>
        <w:rPr>
          <w:rFonts w:eastAsiaTheme="minorEastAsia"/>
          <w:color w:val="auto"/>
        </w:rPr>
        <w:t>按照GB/T 1.1-2020</w:t>
      </w:r>
      <w:r>
        <w:rPr>
          <w:color w:val="auto"/>
        </w:rPr>
        <w:t>《标准化工作导则第1部分：标准化文件的结构和起草规则》的规定起草。</w:t>
      </w:r>
    </w:p>
    <w:p>
      <w:pPr>
        <w:pStyle w:val="26"/>
        <w:rPr>
          <w:rFonts w:hint="eastAsia" w:ascii="Times New Roman"/>
          <w:color w:val="auto"/>
          <w:lang w:val="en-US" w:eastAsia="zh-CN"/>
        </w:rPr>
      </w:pPr>
      <w:r>
        <w:rPr>
          <w:rFonts w:hint="eastAsia" w:ascii="Times New Roman"/>
          <w:color w:val="auto"/>
          <w:lang w:val="en-US" w:eastAsia="zh-CN"/>
        </w:rPr>
        <w:t>本文件是T/SSEA XXX《钢铁企业环境、社会和治理》的第2部分。T/SSEA XXX已经发布了以下部分：</w:t>
      </w:r>
    </w:p>
    <w:p>
      <w:pPr>
        <w:pStyle w:val="26"/>
        <w:rPr>
          <w:rFonts w:hint="default" w:ascii="Times New Roman"/>
          <w:color w:val="auto"/>
          <w:lang w:val="en-US" w:eastAsia="zh-CN"/>
        </w:rPr>
      </w:pPr>
      <w:r>
        <w:rPr>
          <w:rFonts w:hint="eastAsia" w:ascii="Times New Roman"/>
          <w:color w:val="auto"/>
          <w:lang w:val="en-US" w:eastAsia="zh-CN"/>
        </w:rPr>
        <w:t>——第1部分：信息披露；</w:t>
      </w:r>
    </w:p>
    <w:p>
      <w:pPr>
        <w:pStyle w:val="26"/>
        <w:rPr>
          <w:rFonts w:hint="default" w:ascii="Times New Roman"/>
          <w:color w:val="auto"/>
          <w:lang w:val="en-US" w:eastAsia="zh-CN"/>
        </w:rPr>
      </w:pPr>
      <w:r>
        <w:rPr>
          <w:rFonts w:hint="eastAsia" w:ascii="Times New Roman"/>
          <w:color w:val="auto"/>
          <w:lang w:val="en-US" w:eastAsia="zh-CN"/>
        </w:rPr>
        <w:t>——第2部分：评价要求。</w:t>
      </w:r>
    </w:p>
    <w:p>
      <w:pPr>
        <w:pStyle w:val="26"/>
        <w:rPr>
          <w:rFonts w:ascii="Times New Roman"/>
          <w:color w:val="auto"/>
        </w:rPr>
      </w:pPr>
      <w:r>
        <w:rPr>
          <w:rFonts w:ascii="Times New Roman"/>
          <w:color w:val="auto"/>
        </w:rPr>
        <w:t>请注意本文件的某些内容可能涉及专利。本文件的发布机构不承担识别专利的责任。</w:t>
      </w:r>
    </w:p>
    <w:p>
      <w:pPr>
        <w:ind w:firstLine="420" w:firstLineChars="200"/>
        <w:rPr>
          <w:color w:val="auto"/>
        </w:rPr>
      </w:pPr>
      <w:r>
        <w:rPr>
          <w:color w:val="auto"/>
        </w:rPr>
        <w:t>本文件由中国特钢企业协会团体标准化工作委员会提出并归口。</w:t>
      </w:r>
    </w:p>
    <w:p>
      <w:pPr>
        <w:pStyle w:val="26"/>
        <w:rPr>
          <w:rFonts w:ascii="Times New Roman"/>
          <w:color w:val="auto"/>
        </w:rPr>
      </w:pPr>
      <w:r>
        <w:rPr>
          <w:rFonts w:ascii="Times New Roman"/>
          <w:color w:val="auto"/>
        </w:rPr>
        <w:t>本文件起草单位：。</w:t>
      </w:r>
    </w:p>
    <w:p>
      <w:pPr>
        <w:pStyle w:val="26"/>
        <w:rPr>
          <w:rFonts w:ascii="Times New Roman"/>
          <w:color w:val="auto"/>
        </w:rPr>
      </w:pPr>
      <w:r>
        <w:rPr>
          <w:rFonts w:ascii="Times New Roman"/>
          <w:color w:val="auto"/>
        </w:rPr>
        <w:t>本文件主要起草人：。</w:t>
      </w:r>
    </w:p>
    <w:p>
      <w:pPr>
        <w:ind w:firstLine="420" w:firstLineChars="200"/>
        <w:rPr>
          <w:color w:val="auto"/>
        </w:rPr>
      </w:pPr>
    </w:p>
    <w:p>
      <w:pPr>
        <w:pStyle w:val="62"/>
        <w:outlineLvl w:val="9"/>
        <w:rPr>
          <w:rFonts w:hint="default" w:ascii="Times New Roman" w:eastAsia="黑体" w:cs="Times New Roman"/>
          <w:color w:val="auto"/>
          <w:lang w:val="en-US" w:eastAsia="zh-CN"/>
        </w:rPr>
      </w:pPr>
      <w:r>
        <w:rPr>
          <w:rFonts w:hint="eastAsia" w:ascii="Times New Roman" w:cs="Times New Roman"/>
          <w:color w:val="auto"/>
        </w:rPr>
        <w:t xml:space="preserve"> </w:t>
      </w:r>
      <w:bookmarkStart w:id="11" w:name="_Toc31412"/>
      <w:r>
        <w:rPr>
          <w:rFonts w:hint="eastAsia" w:ascii="Times New Roman" w:cs="Times New Roman"/>
          <w:color w:val="auto"/>
        </w:rPr>
        <w:t>钢铁企业环境、社会和治理（ESG） 第2部分</w:t>
      </w:r>
      <w:r>
        <w:rPr>
          <w:rFonts w:hint="eastAsia" w:ascii="Times New Roman" w:cs="Times New Roman"/>
          <w:color w:val="auto"/>
          <w:lang w:val="en-US" w:eastAsia="zh-CN"/>
        </w:rPr>
        <w:t xml:space="preserve"> 评价要求</w:t>
      </w:r>
      <w:bookmarkEnd w:id="11"/>
    </w:p>
    <w:p>
      <w:pPr>
        <w:pStyle w:val="57"/>
        <w:spacing w:before="312" w:after="312"/>
        <w:ind w:left="0"/>
        <w:rPr>
          <w:rFonts w:ascii="Times New Roman"/>
          <w:color w:val="auto"/>
        </w:rPr>
      </w:pPr>
      <w:bookmarkStart w:id="12" w:name="_Toc499735462"/>
      <w:bookmarkStart w:id="13" w:name="_Toc18368"/>
      <w:bookmarkStart w:id="14" w:name="_Toc26747"/>
      <w:bookmarkStart w:id="15" w:name="_Toc512093859"/>
      <w:bookmarkStart w:id="16" w:name="_Toc30370"/>
      <w:bookmarkStart w:id="17" w:name="_Toc3548"/>
      <w:bookmarkStart w:id="18" w:name="_Toc499733966"/>
      <w:bookmarkStart w:id="19" w:name="_Toc98332522"/>
      <w:bookmarkStart w:id="20" w:name="_Toc31818"/>
      <w:bookmarkStart w:id="21" w:name="_Toc499730568"/>
      <w:r>
        <w:rPr>
          <w:rFonts w:ascii="Times New Roman"/>
          <w:color w:val="auto"/>
        </w:rPr>
        <w:t>范围</w:t>
      </w:r>
      <w:bookmarkEnd w:id="12"/>
      <w:bookmarkEnd w:id="13"/>
      <w:bookmarkEnd w:id="14"/>
      <w:bookmarkEnd w:id="15"/>
      <w:bookmarkEnd w:id="16"/>
      <w:bookmarkEnd w:id="17"/>
      <w:bookmarkEnd w:id="18"/>
      <w:bookmarkEnd w:id="19"/>
      <w:bookmarkEnd w:id="20"/>
      <w:bookmarkEnd w:id="21"/>
    </w:p>
    <w:p>
      <w:pPr>
        <w:pStyle w:val="26"/>
        <w:rPr>
          <w:rFonts w:hint="eastAsia" w:ascii="Times New Roman"/>
          <w:color w:val="auto"/>
        </w:rPr>
      </w:pPr>
      <w:r>
        <w:rPr>
          <w:rFonts w:ascii="Times New Roman"/>
          <w:color w:val="auto"/>
        </w:rPr>
        <w:t>本</w:t>
      </w:r>
      <w:r>
        <w:rPr>
          <w:rFonts w:hint="eastAsia" w:ascii="Times New Roman"/>
          <w:color w:val="auto"/>
        </w:rPr>
        <w:t>文件</w:t>
      </w:r>
      <w:r>
        <w:rPr>
          <w:rFonts w:ascii="Times New Roman"/>
          <w:color w:val="auto"/>
        </w:rPr>
        <w:t>规定了</w:t>
      </w:r>
      <w:r>
        <w:rPr>
          <w:rFonts w:hint="eastAsia" w:ascii="Times New Roman"/>
          <w:color w:val="auto"/>
          <w:lang w:val="en-US" w:eastAsia="zh-CN"/>
        </w:rPr>
        <w:t>钢铁企业</w:t>
      </w:r>
      <w:r>
        <w:rPr>
          <w:rFonts w:hint="eastAsia" w:ascii="Times New Roman" w:cs="Times New Roman"/>
          <w:color w:val="auto"/>
        </w:rPr>
        <w:t>环境、社会和治理（</w:t>
      </w:r>
      <w:r>
        <w:rPr>
          <w:rFonts w:hint="eastAsia" w:ascii="Times New Roman"/>
          <w:color w:val="auto"/>
        </w:rPr>
        <w:t>ESG</w:t>
      </w:r>
      <w:r>
        <w:rPr>
          <w:rFonts w:hint="eastAsia" w:ascii="Times New Roman" w:cs="Times New Roman"/>
          <w:color w:val="auto"/>
        </w:rPr>
        <w:t>）</w:t>
      </w:r>
      <w:r>
        <w:rPr>
          <w:rFonts w:hint="eastAsia" w:ascii="Times New Roman"/>
          <w:color w:val="auto"/>
        </w:rPr>
        <w:t>评价要求的评价原则、评价指标体系</w:t>
      </w:r>
      <w:r>
        <w:rPr>
          <w:rFonts w:hint="eastAsia" w:ascii="Times New Roman"/>
          <w:color w:val="auto"/>
          <w:lang w:val="en-US" w:eastAsia="zh-CN"/>
        </w:rPr>
        <w:t>和评价方法</w:t>
      </w:r>
      <w:r>
        <w:rPr>
          <w:rFonts w:hint="eastAsia" w:ascii="Times New Roman"/>
          <w:color w:val="auto"/>
        </w:rPr>
        <w:t>、评价程序和评价报告</w:t>
      </w:r>
      <w:r>
        <w:rPr>
          <w:rFonts w:ascii="Times New Roman"/>
          <w:color w:val="auto"/>
        </w:rPr>
        <w:t>。</w:t>
      </w:r>
    </w:p>
    <w:p>
      <w:pPr>
        <w:pStyle w:val="26"/>
        <w:rPr>
          <w:rFonts w:hint="eastAsia" w:ascii="Times New Roman"/>
          <w:color w:val="auto"/>
        </w:rPr>
      </w:pPr>
      <w:r>
        <w:rPr>
          <w:rFonts w:ascii="Times New Roman"/>
          <w:color w:val="auto"/>
        </w:rPr>
        <w:t>本</w:t>
      </w:r>
      <w:r>
        <w:rPr>
          <w:rFonts w:hint="eastAsia" w:ascii="Times New Roman"/>
          <w:color w:val="auto"/>
        </w:rPr>
        <w:t>文件</w:t>
      </w:r>
      <w:r>
        <w:rPr>
          <w:rFonts w:ascii="Times New Roman"/>
          <w:color w:val="auto"/>
        </w:rPr>
        <w:t>适用于</w:t>
      </w:r>
      <w:r>
        <w:rPr>
          <w:rFonts w:hint="eastAsia" w:ascii="Times New Roman"/>
          <w:color w:val="auto"/>
        </w:rPr>
        <w:t>开展ESG评价活动的钢铁企业。</w:t>
      </w:r>
    </w:p>
    <w:p>
      <w:pPr>
        <w:pStyle w:val="57"/>
        <w:spacing w:before="312" w:after="312"/>
        <w:ind w:left="0"/>
        <w:rPr>
          <w:rFonts w:ascii="Times New Roman"/>
          <w:color w:val="auto"/>
        </w:rPr>
      </w:pPr>
      <w:bookmarkStart w:id="22" w:name="_Toc512093860"/>
      <w:bookmarkStart w:id="23" w:name="_Toc22235"/>
      <w:bookmarkStart w:id="24" w:name="_Toc19324"/>
      <w:bookmarkStart w:id="25" w:name="_Toc499730569"/>
      <w:bookmarkStart w:id="26" w:name="_Toc21902"/>
      <w:bookmarkStart w:id="27" w:name="_Toc940"/>
      <w:bookmarkStart w:id="28" w:name="_Toc98332523"/>
      <w:bookmarkStart w:id="29" w:name="_Toc499733967"/>
      <w:bookmarkStart w:id="30" w:name="_Toc21083"/>
      <w:bookmarkStart w:id="31" w:name="_Toc499735463"/>
      <w:r>
        <w:rPr>
          <w:rFonts w:ascii="Times New Roman"/>
          <w:color w:val="auto"/>
        </w:rPr>
        <w:t>规范性引用文件</w:t>
      </w:r>
      <w:bookmarkEnd w:id="22"/>
      <w:bookmarkEnd w:id="23"/>
      <w:bookmarkEnd w:id="24"/>
      <w:bookmarkEnd w:id="25"/>
      <w:bookmarkEnd w:id="26"/>
      <w:bookmarkEnd w:id="27"/>
      <w:bookmarkEnd w:id="28"/>
      <w:bookmarkEnd w:id="29"/>
      <w:bookmarkEnd w:id="30"/>
      <w:bookmarkEnd w:id="31"/>
    </w:p>
    <w:p>
      <w:pPr>
        <w:ind w:firstLine="420" w:firstLineChars="200"/>
        <w:rPr>
          <w:color w:val="auto"/>
          <w:kern w:val="0"/>
        </w:rPr>
      </w:pPr>
      <w:r>
        <w:rPr>
          <w:color w:val="auto"/>
          <w:kern w:val="0"/>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rPr>
          <w:rFonts w:hint="eastAsia"/>
          <w:b w:val="0"/>
          <w:bCs w:val="0"/>
          <w:color w:val="auto"/>
          <w:lang w:val="en-US" w:eastAsia="zh-CN"/>
        </w:rPr>
      </w:pPr>
      <w:bookmarkStart w:id="32" w:name="_Toc512093862"/>
      <w:bookmarkStart w:id="33" w:name="_Toc499735464"/>
      <w:bookmarkStart w:id="34" w:name="_Toc499733968"/>
      <w:bookmarkStart w:id="35" w:name="_Toc496267156"/>
      <w:r>
        <w:rPr>
          <w:rFonts w:hint="eastAsia"/>
          <w:b w:val="0"/>
          <w:bCs w:val="0"/>
          <w:color w:val="auto"/>
          <w:lang w:val="en-US" w:eastAsia="zh-CN"/>
        </w:rPr>
        <w:t>GB 12348  工业企业厂界环境噪声排放标准</w:t>
      </w:r>
    </w:p>
    <w:p>
      <w:pPr>
        <w:ind w:firstLine="420" w:firstLineChars="200"/>
        <w:rPr>
          <w:rFonts w:hint="eastAsia"/>
          <w:b w:val="0"/>
          <w:bCs w:val="0"/>
          <w:color w:val="auto"/>
          <w:lang w:val="en-US" w:eastAsia="zh-CN"/>
        </w:rPr>
      </w:pPr>
      <w:r>
        <w:rPr>
          <w:rFonts w:hint="eastAsia"/>
          <w:b w:val="0"/>
          <w:bCs w:val="0"/>
          <w:color w:val="auto"/>
          <w:lang w:val="en-US" w:eastAsia="zh-CN"/>
        </w:rPr>
        <w:t>GB 13456  钢铁工业水污染物排放标准</w:t>
      </w:r>
    </w:p>
    <w:p>
      <w:pPr>
        <w:ind w:firstLine="420" w:firstLineChars="200"/>
        <w:rPr>
          <w:rFonts w:hint="eastAsia"/>
          <w:b w:val="0"/>
          <w:bCs w:val="0"/>
          <w:color w:val="auto"/>
          <w:lang w:val="en-US" w:eastAsia="zh-CN"/>
        </w:rPr>
      </w:pPr>
      <w:r>
        <w:rPr>
          <w:rFonts w:hint="eastAsia"/>
          <w:b w:val="0"/>
          <w:bCs w:val="0"/>
          <w:color w:val="auto"/>
          <w:lang w:val="en-US" w:eastAsia="zh-CN"/>
        </w:rPr>
        <w:t>GB 18597  危险废物贮存污染控制标</w:t>
      </w:r>
    </w:p>
    <w:p>
      <w:pPr>
        <w:ind w:firstLine="420" w:firstLineChars="200"/>
        <w:rPr>
          <w:rFonts w:hint="eastAsia"/>
          <w:b w:val="0"/>
          <w:bCs w:val="0"/>
          <w:color w:val="auto"/>
          <w:lang w:val="en-US" w:eastAsia="zh-CN"/>
        </w:rPr>
      </w:pPr>
      <w:r>
        <w:rPr>
          <w:rFonts w:hint="eastAsia"/>
          <w:b w:val="0"/>
          <w:bCs w:val="0"/>
          <w:color w:val="auto"/>
          <w:lang w:val="en-US" w:eastAsia="zh-CN"/>
        </w:rPr>
        <w:t>GB 18599  一般工业固体废物贮存和填埋污染控制标准</w:t>
      </w:r>
    </w:p>
    <w:p>
      <w:pPr>
        <w:ind w:firstLine="420" w:firstLineChars="200"/>
        <w:rPr>
          <w:rFonts w:hint="eastAsia"/>
          <w:b w:val="0"/>
          <w:bCs w:val="0"/>
          <w:color w:val="auto"/>
          <w:lang w:val="en-US" w:eastAsia="zh-CN"/>
        </w:rPr>
      </w:pPr>
      <w:r>
        <w:rPr>
          <w:rFonts w:hint="eastAsia"/>
          <w:b w:val="0"/>
          <w:bCs w:val="0"/>
          <w:color w:val="auto"/>
          <w:lang w:val="en-US" w:eastAsia="zh-CN"/>
        </w:rPr>
        <w:t>GB/T 18916.2  取水定额 第2部分 钢铁联合企业</w:t>
      </w:r>
    </w:p>
    <w:p>
      <w:pPr>
        <w:ind w:firstLine="420" w:firstLineChars="200"/>
        <w:rPr>
          <w:rFonts w:hint="eastAsia"/>
          <w:b w:val="0"/>
          <w:bCs w:val="0"/>
          <w:color w:val="auto"/>
          <w:lang w:val="en-US" w:eastAsia="zh-CN"/>
        </w:rPr>
      </w:pPr>
      <w:r>
        <w:rPr>
          <w:rFonts w:hint="eastAsia"/>
          <w:b w:val="0"/>
          <w:bCs w:val="0"/>
          <w:color w:val="auto"/>
          <w:lang w:val="en-US" w:eastAsia="zh-CN"/>
        </w:rPr>
        <w:t>GB 21256 粗钢生产主要工序单位产品能源消耗限额</w:t>
      </w:r>
    </w:p>
    <w:p>
      <w:pPr>
        <w:ind w:firstLine="420" w:firstLineChars="200"/>
        <w:rPr>
          <w:rFonts w:hint="eastAsia"/>
          <w:b w:val="0"/>
          <w:bCs w:val="0"/>
          <w:color w:val="auto"/>
          <w:lang w:val="en-US" w:eastAsia="zh-CN"/>
        </w:rPr>
      </w:pPr>
      <w:r>
        <w:rPr>
          <w:rFonts w:hint="eastAsia"/>
          <w:b w:val="0"/>
          <w:bCs w:val="0"/>
          <w:color w:val="auto"/>
          <w:lang w:val="en-US" w:eastAsia="zh-CN"/>
        </w:rPr>
        <w:t>GB 21342 焦炭单位产品能源消耗限额</w:t>
      </w:r>
    </w:p>
    <w:p>
      <w:pPr>
        <w:ind w:firstLine="420" w:firstLineChars="200"/>
        <w:rPr>
          <w:color w:val="auto"/>
          <w:kern w:val="0"/>
          <w:highlight w:val="none"/>
        </w:rPr>
      </w:pPr>
      <w:r>
        <w:rPr>
          <w:rFonts w:hint="eastAsia"/>
          <w:color w:val="auto"/>
          <w:kern w:val="0"/>
          <w:highlight w:val="none"/>
        </w:rPr>
        <w:t>G</w:t>
      </w:r>
      <w:r>
        <w:rPr>
          <w:color w:val="auto"/>
          <w:kern w:val="0"/>
          <w:highlight w:val="none"/>
        </w:rPr>
        <w:t xml:space="preserve">B 28662  </w:t>
      </w:r>
      <w:r>
        <w:rPr>
          <w:rFonts w:hint="eastAsia"/>
          <w:color w:val="auto"/>
          <w:kern w:val="0"/>
          <w:highlight w:val="none"/>
        </w:rPr>
        <w:t>钢铁烧结、球团工业大气污染物排放标准</w:t>
      </w:r>
    </w:p>
    <w:p>
      <w:pPr>
        <w:ind w:firstLine="420" w:firstLineChars="200"/>
        <w:rPr>
          <w:color w:val="auto"/>
          <w:kern w:val="0"/>
          <w:highlight w:val="none"/>
        </w:rPr>
      </w:pPr>
      <w:r>
        <w:rPr>
          <w:rFonts w:hint="eastAsia"/>
          <w:color w:val="auto"/>
          <w:kern w:val="0"/>
          <w:highlight w:val="none"/>
        </w:rPr>
        <w:t>G</w:t>
      </w:r>
      <w:r>
        <w:rPr>
          <w:color w:val="auto"/>
          <w:kern w:val="0"/>
          <w:highlight w:val="none"/>
        </w:rPr>
        <w:t xml:space="preserve">B 28663  </w:t>
      </w:r>
      <w:r>
        <w:rPr>
          <w:rFonts w:hint="eastAsia"/>
          <w:color w:val="auto"/>
          <w:kern w:val="0"/>
          <w:highlight w:val="none"/>
        </w:rPr>
        <w:t>炼铁工业大气污染物排放标准</w:t>
      </w:r>
    </w:p>
    <w:p>
      <w:pPr>
        <w:ind w:firstLine="420" w:firstLineChars="200"/>
        <w:rPr>
          <w:color w:val="auto"/>
          <w:kern w:val="0"/>
          <w:highlight w:val="none"/>
        </w:rPr>
      </w:pPr>
      <w:r>
        <w:rPr>
          <w:rFonts w:hint="eastAsia"/>
          <w:color w:val="auto"/>
          <w:kern w:val="0"/>
          <w:highlight w:val="none"/>
        </w:rPr>
        <w:t>G</w:t>
      </w:r>
      <w:r>
        <w:rPr>
          <w:color w:val="auto"/>
          <w:kern w:val="0"/>
          <w:highlight w:val="none"/>
        </w:rPr>
        <w:t xml:space="preserve">B 28664  </w:t>
      </w:r>
      <w:r>
        <w:rPr>
          <w:rFonts w:hint="eastAsia"/>
          <w:color w:val="auto"/>
          <w:kern w:val="0"/>
          <w:highlight w:val="none"/>
        </w:rPr>
        <w:t>炼钢工业大气污染物排放标准</w:t>
      </w:r>
    </w:p>
    <w:p>
      <w:pPr>
        <w:ind w:firstLine="420" w:firstLineChars="200"/>
        <w:rPr>
          <w:rFonts w:hint="eastAsia"/>
          <w:color w:val="auto"/>
          <w:kern w:val="0"/>
          <w:highlight w:val="none"/>
        </w:rPr>
      </w:pPr>
      <w:r>
        <w:rPr>
          <w:rFonts w:hint="eastAsia"/>
          <w:color w:val="auto"/>
          <w:kern w:val="0"/>
          <w:highlight w:val="none"/>
        </w:rPr>
        <w:t>G</w:t>
      </w:r>
      <w:r>
        <w:rPr>
          <w:color w:val="auto"/>
          <w:kern w:val="0"/>
          <w:highlight w:val="none"/>
        </w:rPr>
        <w:t xml:space="preserve">B 28665  </w:t>
      </w:r>
      <w:r>
        <w:rPr>
          <w:rFonts w:hint="eastAsia"/>
          <w:color w:val="auto"/>
          <w:kern w:val="0"/>
          <w:highlight w:val="none"/>
        </w:rPr>
        <w:t>轧钢工业大气污染物排放标准</w:t>
      </w:r>
    </w:p>
    <w:p>
      <w:pPr>
        <w:ind w:firstLine="420" w:firstLineChars="200"/>
        <w:rPr>
          <w:rFonts w:hint="default"/>
          <w:color w:val="auto"/>
          <w:kern w:val="0"/>
          <w:highlight w:val="none"/>
          <w:lang w:val="en-US"/>
        </w:rPr>
      </w:pPr>
      <w:r>
        <w:rPr>
          <w:rFonts w:hint="eastAsia"/>
          <w:b w:val="0"/>
          <w:bCs w:val="0"/>
          <w:color w:val="auto"/>
          <w:lang w:val="en-US" w:eastAsia="zh-CN"/>
        </w:rPr>
        <w:t>GB 32050  电弧炉冶炼单位产品能源消耗限额</w:t>
      </w:r>
    </w:p>
    <w:p>
      <w:pPr>
        <w:pStyle w:val="57"/>
        <w:spacing w:before="312" w:after="312"/>
        <w:ind w:left="0"/>
        <w:rPr>
          <w:rFonts w:ascii="Times New Roman"/>
          <w:color w:val="auto"/>
        </w:rPr>
      </w:pPr>
      <w:bookmarkStart w:id="36" w:name="_Toc20446"/>
      <w:bookmarkStart w:id="37" w:name="_Toc8874"/>
      <w:bookmarkStart w:id="38" w:name="_Toc18869"/>
      <w:bookmarkStart w:id="39" w:name="_Toc31716"/>
      <w:bookmarkStart w:id="40" w:name="_Toc6083"/>
      <w:bookmarkStart w:id="41" w:name="_Toc98332524"/>
      <w:r>
        <w:rPr>
          <w:rFonts w:ascii="Times New Roman"/>
          <w:color w:val="auto"/>
        </w:rPr>
        <w:t>术语和定义</w:t>
      </w:r>
      <w:bookmarkEnd w:id="36"/>
      <w:bookmarkEnd w:id="37"/>
      <w:bookmarkEnd w:id="38"/>
      <w:bookmarkEnd w:id="39"/>
      <w:bookmarkEnd w:id="40"/>
      <w:bookmarkEnd w:id="41"/>
    </w:p>
    <w:bookmarkEnd w:id="32"/>
    <w:bookmarkEnd w:id="33"/>
    <w:bookmarkEnd w:id="34"/>
    <w:bookmarkEnd w:id="35"/>
    <w:p>
      <w:pPr>
        <w:pStyle w:val="26"/>
        <w:rPr>
          <w:rFonts w:hint="eastAsia" w:ascii="Times New Roman"/>
          <w:color w:val="auto"/>
        </w:rPr>
      </w:pPr>
      <w:bookmarkStart w:id="42" w:name="_Toc98332525"/>
      <w:r>
        <w:rPr>
          <w:rFonts w:hint="eastAsia" w:ascii="Times New Roman"/>
          <w:color w:val="auto"/>
          <w:lang w:val="en-US" w:eastAsia="zh-CN"/>
        </w:rPr>
        <w:t>本文件没有需要界定的术语和定义</w:t>
      </w:r>
      <w:r>
        <w:rPr>
          <w:rFonts w:hint="eastAsia" w:ascii="Times New Roman"/>
          <w:color w:val="auto"/>
        </w:rPr>
        <w:t>。</w:t>
      </w:r>
    </w:p>
    <w:bookmarkEnd w:id="42"/>
    <w:p>
      <w:pPr>
        <w:pStyle w:val="57"/>
        <w:spacing w:before="312" w:after="312"/>
        <w:ind w:left="0"/>
        <w:rPr>
          <w:rFonts w:ascii="Times New Roman"/>
          <w:color w:val="auto"/>
        </w:rPr>
      </w:pPr>
      <w:bookmarkStart w:id="43" w:name="_Toc9253"/>
      <w:r>
        <w:rPr>
          <w:rFonts w:hint="eastAsia" w:ascii="Times New Roman"/>
          <w:color w:val="auto"/>
          <w:lang w:val="en-US" w:eastAsia="zh-CN"/>
        </w:rPr>
        <w:t>评价原则</w:t>
      </w:r>
      <w:bookmarkEnd w:id="43"/>
    </w:p>
    <w:p>
      <w:pPr>
        <w:pStyle w:val="54"/>
        <w:rPr>
          <w:rFonts w:ascii="Times New Roman"/>
          <w:color w:val="auto"/>
        </w:rPr>
      </w:pPr>
      <w:bookmarkStart w:id="44" w:name="_Toc26956"/>
      <w:bookmarkStart w:id="45" w:name="_Toc98332526"/>
      <w:r>
        <w:rPr>
          <w:rFonts w:hint="eastAsia"/>
          <w:color w:val="auto"/>
        </w:rPr>
        <w:t>科学性</w:t>
      </w:r>
      <w:r>
        <w:rPr>
          <w:rFonts w:hint="eastAsia" w:ascii="Times New Roman"/>
          <w:color w:val="auto"/>
        </w:rPr>
        <w:t>原则</w:t>
      </w:r>
      <w:bookmarkEnd w:id="44"/>
    </w:p>
    <w:p>
      <w:pPr>
        <w:pStyle w:val="33"/>
        <w:widowControl/>
        <w:autoSpaceDE w:val="0"/>
        <w:autoSpaceDN w:val="0"/>
        <w:ind w:firstLine="420" w:firstLineChars="200"/>
        <w:rPr>
          <w:color w:val="auto"/>
          <w:sz w:val="21"/>
          <w:szCs w:val="21"/>
        </w:rPr>
      </w:pPr>
      <w:r>
        <w:rPr>
          <w:rFonts w:hint="eastAsia"/>
          <w:color w:val="auto"/>
          <w:sz w:val="21"/>
          <w:szCs w:val="21"/>
        </w:rPr>
        <w:t>评价指标和评价方法的设计应科学、合理、有效，评价结果能够真实、客观地反映</w:t>
      </w:r>
      <w:r>
        <w:rPr>
          <w:rFonts w:hint="eastAsia"/>
          <w:color w:val="auto"/>
          <w:sz w:val="21"/>
          <w:szCs w:val="21"/>
          <w:lang w:val="en-US" w:eastAsia="zh-CN"/>
        </w:rPr>
        <w:t>被评价</w:t>
      </w:r>
      <w:r>
        <w:rPr>
          <w:rFonts w:hint="eastAsia"/>
          <w:color w:val="auto"/>
          <w:sz w:val="21"/>
          <w:szCs w:val="21"/>
        </w:rPr>
        <w:t>钢铁企业的ESG水平。</w:t>
      </w:r>
    </w:p>
    <w:p>
      <w:pPr>
        <w:pStyle w:val="54"/>
        <w:rPr>
          <w:rFonts w:ascii="Times New Roman"/>
          <w:color w:val="auto"/>
        </w:rPr>
      </w:pPr>
      <w:bookmarkStart w:id="46" w:name="_Toc24868"/>
      <w:r>
        <w:rPr>
          <w:rFonts w:hint="eastAsia"/>
          <w:color w:val="auto"/>
        </w:rPr>
        <w:t>公正性</w:t>
      </w:r>
      <w:r>
        <w:rPr>
          <w:rFonts w:hint="eastAsia" w:ascii="Times New Roman"/>
          <w:color w:val="auto"/>
        </w:rPr>
        <w:t>原则</w:t>
      </w:r>
      <w:bookmarkEnd w:id="46"/>
    </w:p>
    <w:p>
      <w:pPr>
        <w:ind w:firstLine="420" w:firstLineChars="200"/>
        <w:rPr>
          <w:rFonts w:hint="eastAsia"/>
          <w:color w:val="auto"/>
          <w:kern w:val="0"/>
        </w:rPr>
      </w:pPr>
      <w:r>
        <w:rPr>
          <w:rFonts w:hint="eastAsia"/>
          <w:color w:val="auto"/>
          <w:kern w:val="0"/>
        </w:rPr>
        <w:t>评价过程应公正、公平、规范，应遵循统一评价方法和指标体系。</w:t>
      </w:r>
    </w:p>
    <w:p>
      <w:pPr>
        <w:pStyle w:val="54"/>
        <w:rPr>
          <w:rFonts w:ascii="Times New Roman"/>
          <w:color w:val="auto"/>
        </w:rPr>
      </w:pPr>
      <w:bookmarkStart w:id="47" w:name="_Toc20774"/>
      <w:r>
        <w:rPr>
          <w:rFonts w:hint="eastAsia"/>
          <w:color w:val="auto"/>
          <w:lang w:val="en-US" w:eastAsia="zh-CN"/>
        </w:rPr>
        <w:t>完整</w:t>
      </w:r>
      <w:r>
        <w:rPr>
          <w:rFonts w:hint="eastAsia"/>
          <w:color w:val="auto"/>
        </w:rPr>
        <w:t>性</w:t>
      </w:r>
      <w:r>
        <w:rPr>
          <w:rFonts w:hint="eastAsia" w:ascii="Times New Roman"/>
          <w:color w:val="auto"/>
        </w:rPr>
        <w:t>原则</w:t>
      </w:r>
      <w:bookmarkEnd w:id="47"/>
    </w:p>
    <w:p>
      <w:pPr>
        <w:ind w:firstLine="420" w:firstLineChars="200"/>
        <w:rPr>
          <w:rFonts w:hint="eastAsia"/>
          <w:color w:val="auto"/>
          <w:kern w:val="0"/>
        </w:rPr>
      </w:pPr>
      <w:r>
        <w:rPr>
          <w:rFonts w:hint="eastAsia"/>
          <w:color w:val="auto"/>
          <w:kern w:val="0"/>
        </w:rPr>
        <w:t>评价指标</w:t>
      </w:r>
      <w:r>
        <w:rPr>
          <w:rFonts w:hint="eastAsia"/>
          <w:color w:val="auto"/>
          <w:kern w:val="0"/>
          <w:lang w:val="en-US" w:eastAsia="zh-CN"/>
        </w:rPr>
        <w:t>体系应尽可能涵盖企业对利益相关方的影响和价值，兼顾定量指标和定性指标，尽可能全面反映钢铁企业ESG信息披露的主要内容</w:t>
      </w:r>
      <w:r>
        <w:rPr>
          <w:rFonts w:hint="eastAsia"/>
          <w:color w:val="auto"/>
          <w:kern w:val="0"/>
        </w:rPr>
        <w:t>。</w:t>
      </w:r>
    </w:p>
    <w:p>
      <w:pPr>
        <w:pStyle w:val="54"/>
        <w:rPr>
          <w:rFonts w:ascii="Times New Roman"/>
          <w:color w:val="auto"/>
        </w:rPr>
      </w:pPr>
      <w:bookmarkStart w:id="48" w:name="_Toc12850"/>
      <w:r>
        <w:rPr>
          <w:rFonts w:hint="eastAsia"/>
          <w:color w:val="auto"/>
        </w:rPr>
        <w:t>可操作性</w:t>
      </w:r>
      <w:r>
        <w:rPr>
          <w:rFonts w:hint="eastAsia" w:ascii="Times New Roman"/>
          <w:color w:val="auto"/>
        </w:rPr>
        <w:t>原则</w:t>
      </w:r>
      <w:bookmarkEnd w:id="48"/>
    </w:p>
    <w:p>
      <w:pPr>
        <w:ind w:firstLine="420" w:firstLineChars="200"/>
        <w:rPr>
          <w:rFonts w:hint="eastAsia"/>
          <w:color w:val="auto"/>
          <w:kern w:val="0"/>
        </w:rPr>
      </w:pPr>
      <w:r>
        <w:rPr>
          <w:rFonts w:hint="eastAsia"/>
          <w:color w:val="auto"/>
          <w:kern w:val="0"/>
        </w:rPr>
        <w:t>评价指标及计算方法应尽可能简单易行，便于操作。</w:t>
      </w:r>
    </w:p>
    <w:p>
      <w:pPr>
        <w:pStyle w:val="57"/>
        <w:spacing w:before="312" w:after="312"/>
        <w:ind w:left="0"/>
        <w:rPr>
          <w:rFonts w:ascii="Times New Roman"/>
          <w:color w:val="auto"/>
        </w:rPr>
      </w:pPr>
      <w:bookmarkStart w:id="49" w:name="_Toc5321"/>
      <w:r>
        <w:rPr>
          <w:rFonts w:hint="eastAsia" w:ascii="Times New Roman"/>
          <w:color w:val="auto"/>
        </w:rPr>
        <w:t>评价</w:t>
      </w:r>
      <w:bookmarkEnd w:id="45"/>
      <w:r>
        <w:rPr>
          <w:rFonts w:hint="eastAsia" w:ascii="Times New Roman"/>
          <w:color w:val="auto"/>
          <w:lang w:val="en-US" w:eastAsia="zh-CN"/>
        </w:rPr>
        <w:t>指标体系和评价方法</w:t>
      </w:r>
      <w:bookmarkEnd w:id="49"/>
    </w:p>
    <w:p>
      <w:pPr>
        <w:numPr>
          <w:ilvl w:val="1"/>
          <w:numId w:val="2"/>
        </w:numPr>
        <w:spacing w:before="156" w:beforeLines="50" w:after="156" w:afterLines="50"/>
        <w:outlineLvl w:val="2"/>
        <w:rPr>
          <w:rFonts w:eastAsia="黑体"/>
          <w:color w:val="auto"/>
        </w:rPr>
      </w:pPr>
      <w:bookmarkStart w:id="50" w:name="_Toc20738"/>
      <w:r>
        <w:rPr>
          <w:rFonts w:eastAsia="黑体"/>
          <w:color w:val="auto"/>
        </w:rPr>
        <w:t>评价</w:t>
      </w:r>
      <w:r>
        <w:rPr>
          <w:rFonts w:hint="eastAsia" w:eastAsia="黑体"/>
          <w:color w:val="auto"/>
        </w:rPr>
        <w:t>指标体系</w:t>
      </w:r>
      <w:bookmarkEnd w:id="50"/>
    </w:p>
    <w:p>
      <w:pPr>
        <w:ind w:firstLine="420" w:firstLineChars="200"/>
        <w:rPr>
          <w:rFonts w:hint="eastAsia"/>
          <w:color w:val="auto"/>
          <w:kern w:val="0"/>
        </w:rPr>
      </w:pPr>
      <w:r>
        <w:rPr>
          <w:rFonts w:hint="eastAsia"/>
          <w:color w:val="auto"/>
          <w:kern w:val="0"/>
        </w:rPr>
        <w:t>评价指标体系由环境（E）、</w:t>
      </w:r>
      <w:r>
        <w:rPr>
          <w:rFonts w:hint="eastAsia"/>
          <w:color w:val="auto"/>
          <w:kern w:val="0"/>
          <w:lang w:val="en-US" w:eastAsia="zh-CN"/>
        </w:rPr>
        <w:t>社会</w:t>
      </w:r>
      <w:r>
        <w:rPr>
          <w:rFonts w:hint="eastAsia"/>
          <w:color w:val="auto"/>
          <w:kern w:val="0"/>
        </w:rPr>
        <w:t>（S）和治理（G）</w:t>
      </w:r>
      <w:r>
        <w:rPr>
          <w:rFonts w:hint="eastAsia"/>
          <w:color w:val="auto"/>
          <w:kern w:val="0"/>
          <w:lang w:val="en-US" w:eastAsia="zh-CN"/>
        </w:rPr>
        <w:t>三个维度、12项</w:t>
      </w:r>
      <w:r>
        <w:rPr>
          <w:rFonts w:hint="eastAsia"/>
          <w:color w:val="auto"/>
          <w:kern w:val="0"/>
        </w:rPr>
        <w:t>一级指标</w:t>
      </w:r>
      <w:r>
        <w:rPr>
          <w:rFonts w:hint="eastAsia"/>
          <w:color w:val="auto"/>
          <w:kern w:val="0"/>
          <w:lang w:val="en-US" w:eastAsia="zh-CN"/>
        </w:rPr>
        <w:t>、若干项</w:t>
      </w:r>
      <w:r>
        <w:rPr>
          <w:rFonts w:hint="eastAsia"/>
          <w:color w:val="auto"/>
          <w:kern w:val="0"/>
        </w:rPr>
        <w:t>二级指标</w:t>
      </w:r>
      <w:r>
        <w:rPr>
          <w:rFonts w:hint="eastAsia"/>
          <w:color w:val="auto"/>
          <w:kern w:val="0"/>
          <w:lang w:val="en-US" w:eastAsia="zh-CN"/>
        </w:rPr>
        <w:t>和</w:t>
      </w:r>
      <w:r>
        <w:rPr>
          <w:rFonts w:hint="eastAsia"/>
          <w:color w:val="auto"/>
          <w:kern w:val="0"/>
        </w:rPr>
        <w:t>三级指标及相应的权重组成，三级评价指标下设具体评价要求</w:t>
      </w:r>
      <w:bookmarkStart w:id="51" w:name="_Toc14050"/>
      <w:r>
        <w:rPr>
          <w:rFonts w:hint="eastAsia"/>
          <w:color w:val="auto"/>
          <w:kern w:val="0"/>
          <w:lang w:val="en-US" w:eastAsia="zh-CN"/>
        </w:rPr>
        <w:t>和打分说明</w:t>
      </w:r>
      <w:r>
        <w:rPr>
          <w:rFonts w:hint="eastAsia"/>
          <w:color w:val="auto"/>
          <w:kern w:val="0"/>
          <w:lang w:eastAsia="zh-CN"/>
        </w:rPr>
        <w:t>，</w:t>
      </w:r>
      <w:r>
        <w:rPr>
          <w:rFonts w:hint="eastAsia"/>
          <w:color w:val="auto"/>
          <w:kern w:val="0"/>
        </w:rPr>
        <w:t>具体</w:t>
      </w:r>
      <w:r>
        <w:rPr>
          <w:rFonts w:hint="eastAsia"/>
          <w:color w:val="auto"/>
          <w:kern w:val="0"/>
          <w:lang w:val="en-US" w:eastAsia="zh-CN"/>
        </w:rPr>
        <w:t>评价指标体系</w:t>
      </w:r>
      <w:r>
        <w:rPr>
          <w:rFonts w:hint="eastAsia"/>
          <w:color w:val="auto"/>
          <w:kern w:val="0"/>
        </w:rPr>
        <w:t>见附录A。</w:t>
      </w:r>
      <w:bookmarkEnd w:id="51"/>
    </w:p>
    <w:p>
      <w:pPr>
        <w:numPr>
          <w:ilvl w:val="1"/>
          <w:numId w:val="2"/>
        </w:numPr>
        <w:spacing w:before="156" w:beforeLines="50" w:after="156" w:afterLines="50"/>
        <w:outlineLvl w:val="2"/>
        <w:rPr>
          <w:rFonts w:eastAsia="黑体"/>
          <w:color w:val="auto"/>
        </w:rPr>
      </w:pPr>
      <w:bookmarkStart w:id="52" w:name="_Toc20687"/>
      <w:r>
        <w:rPr>
          <w:rFonts w:eastAsia="黑体"/>
          <w:color w:val="auto"/>
        </w:rPr>
        <w:t>评价</w:t>
      </w:r>
      <w:r>
        <w:rPr>
          <w:rFonts w:hint="eastAsia" w:eastAsia="黑体"/>
          <w:color w:val="auto"/>
        </w:rPr>
        <w:t>方法</w:t>
      </w:r>
      <w:bookmarkEnd w:id="52"/>
    </w:p>
    <w:p>
      <w:pPr>
        <w:widowControl/>
        <w:autoSpaceDE w:val="0"/>
        <w:autoSpaceDN w:val="0"/>
        <w:rPr>
          <w:rFonts w:hint="default" w:eastAsia="宋体"/>
          <w:color w:val="auto"/>
          <w:kern w:val="0"/>
          <w:szCs w:val="21"/>
          <w:lang w:val="en-US" w:eastAsia="zh-CN"/>
        </w:rPr>
      </w:pPr>
      <w:r>
        <w:rPr>
          <w:rFonts w:hint="eastAsia" w:ascii="黑体" w:hAnsi="黑体" w:eastAsia="黑体" w:cs="黑体"/>
          <w:color w:val="auto"/>
          <w:kern w:val="0"/>
          <w:szCs w:val="21"/>
          <w:lang w:val="en-US" w:eastAsia="zh-CN"/>
        </w:rPr>
        <w:t xml:space="preserve">5.2.1 </w:t>
      </w:r>
      <w:r>
        <w:rPr>
          <w:rFonts w:hint="eastAsia"/>
          <w:color w:val="auto"/>
          <w:kern w:val="0"/>
          <w:szCs w:val="21"/>
          <w:lang w:val="en-US" w:eastAsia="zh-CN"/>
        </w:rPr>
        <w:t>评价</w:t>
      </w:r>
      <w:r>
        <w:rPr>
          <w:rFonts w:hint="eastAsia"/>
          <w:color w:val="auto"/>
          <w:kern w:val="0"/>
          <w:szCs w:val="21"/>
        </w:rPr>
        <w:t>采用指标加权综合评分的方式，按照百分制对各项指标进行加权综合评价。</w:t>
      </w:r>
      <w:r>
        <w:rPr>
          <w:rFonts w:hint="eastAsia"/>
          <w:color w:val="auto"/>
          <w:kern w:val="0"/>
          <w:szCs w:val="21"/>
          <w:lang w:val="en-US" w:eastAsia="zh-CN"/>
        </w:rPr>
        <w:t>12项一级指标，每项赋值100分，总分1200分；每项一级指标设置一个权重，加权平均后总得分100分。</w:t>
      </w:r>
    </w:p>
    <w:p>
      <w:pPr>
        <w:widowControl/>
        <w:autoSpaceDE w:val="0"/>
        <w:autoSpaceDN w:val="0"/>
        <w:rPr>
          <w:rFonts w:hint="eastAsia"/>
          <w:color w:val="auto"/>
          <w:kern w:val="0"/>
          <w:szCs w:val="21"/>
        </w:rPr>
      </w:pPr>
      <w:r>
        <w:rPr>
          <w:rFonts w:hint="eastAsia" w:ascii="黑体" w:hAnsi="黑体" w:eastAsia="黑体" w:cs="黑体"/>
          <w:color w:val="auto"/>
          <w:kern w:val="0"/>
          <w:szCs w:val="21"/>
          <w:lang w:val="en-US" w:eastAsia="zh-CN"/>
        </w:rPr>
        <w:t>5.2.2</w:t>
      </w:r>
      <w:r>
        <w:rPr>
          <w:rFonts w:hint="eastAsia"/>
          <w:color w:val="auto"/>
          <w:kern w:val="0"/>
          <w:szCs w:val="21"/>
          <w:lang w:val="en-US" w:eastAsia="zh-CN"/>
        </w:rPr>
        <w:t xml:space="preserve"> </w:t>
      </w:r>
      <w:r>
        <w:rPr>
          <w:rFonts w:hint="eastAsia"/>
          <w:color w:val="auto"/>
          <w:kern w:val="0"/>
          <w:szCs w:val="21"/>
        </w:rPr>
        <w:t>ESG综合评分计算方法和评价级别分别参见附录B和附录C。</w:t>
      </w:r>
    </w:p>
    <w:p>
      <w:pPr>
        <w:pStyle w:val="57"/>
        <w:spacing w:before="312" w:after="312"/>
        <w:ind w:left="0"/>
        <w:rPr>
          <w:rFonts w:ascii="Times New Roman"/>
          <w:color w:val="auto"/>
        </w:rPr>
      </w:pPr>
      <w:bookmarkStart w:id="53" w:name="_Toc21168"/>
      <w:bookmarkStart w:id="54" w:name="_Toc98332527"/>
      <w:r>
        <w:rPr>
          <w:rFonts w:ascii="Times New Roman"/>
          <w:color w:val="auto"/>
        </w:rPr>
        <w:t>评价程序和评价报告</w:t>
      </w:r>
      <w:bookmarkEnd w:id="53"/>
      <w:bookmarkEnd w:id="54"/>
    </w:p>
    <w:p>
      <w:pPr>
        <w:numPr>
          <w:ilvl w:val="1"/>
          <w:numId w:val="2"/>
        </w:numPr>
        <w:spacing w:before="156" w:beforeLines="50" w:after="156" w:afterLines="50"/>
        <w:outlineLvl w:val="2"/>
        <w:rPr>
          <w:rFonts w:eastAsia="黑体"/>
          <w:color w:val="auto"/>
        </w:rPr>
      </w:pPr>
      <w:bookmarkStart w:id="55" w:name="_Toc11555"/>
      <w:r>
        <w:rPr>
          <w:rFonts w:eastAsia="黑体"/>
          <w:color w:val="auto"/>
        </w:rPr>
        <w:t>评价程序</w:t>
      </w:r>
      <w:bookmarkEnd w:id="55"/>
    </w:p>
    <w:p>
      <w:pPr>
        <w:widowControl/>
        <w:autoSpaceDE w:val="0"/>
        <w:autoSpaceDN w:val="0"/>
        <w:rPr>
          <w:rFonts w:hint="default" w:ascii="黑体" w:hAnsi="黑体" w:eastAsia="黑体" w:cs="黑体"/>
          <w:color w:val="auto"/>
          <w:kern w:val="0"/>
          <w:szCs w:val="21"/>
          <w:lang w:val="en-US" w:eastAsia="zh-CN"/>
        </w:rPr>
      </w:pPr>
      <w:r>
        <w:rPr>
          <w:rFonts w:hint="eastAsia" w:ascii="黑体" w:hAnsi="黑体" w:eastAsia="黑体" w:cs="黑体"/>
          <w:color w:val="auto"/>
          <w:kern w:val="0"/>
          <w:szCs w:val="21"/>
        </w:rPr>
        <w:t>6.</w:t>
      </w:r>
      <w:r>
        <w:rPr>
          <w:rFonts w:hint="eastAsia" w:ascii="黑体" w:hAnsi="黑体" w:eastAsia="黑体" w:cs="黑体"/>
          <w:color w:val="auto"/>
          <w:kern w:val="0"/>
          <w:szCs w:val="21"/>
          <w:lang w:val="en-US" w:eastAsia="zh-CN"/>
        </w:rPr>
        <w:t>1</w:t>
      </w:r>
      <w:r>
        <w:rPr>
          <w:rFonts w:hint="eastAsia" w:ascii="黑体" w:hAnsi="黑体" w:eastAsia="黑体" w:cs="黑体"/>
          <w:color w:val="auto"/>
          <w:kern w:val="0"/>
          <w:szCs w:val="21"/>
        </w:rPr>
        <w:t xml:space="preserve">.1 </w:t>
      </w:r>
      <w:r>
        <w:rPr>
          <w:rFonts w:hint="eastAsia" w:ascii="黑体" w:hAnsi="黑体" w:eastAsia="黑体" w:cs="黑体"/>
          <w:color w:val="auto"/>
          <w:kern w:val="0"/>
          <w:szCs w:val="21"/>
          <w:lang w:val="en-US" w:eastAsia="zh-CN"/>
        </w:rPr>
        <w:t>概述</w:t>
      </w:r>
    </w:p>
    <w:p>
      <w:pPr>
        <w:keepNext w:val="0"/>
        <w:keepLines w:val="0"/>
        <w:pageBreakBefore w:val="0"/>
        <w:widowControl/>
        <w:kinsoku/>
        <w:wordWrap/>
        <w:overflowPunct/>
        <w:topLinePunct w:val="0"/>
        <w:autoSpaceDE w:val="0"/>
        <w:autoSpaceDN w:val="0"/>
        <w:bidi w:val="0"/>
        <w:adjustRightInd/>
        <w:snapToGrid/>
        <w:ind w:firstLine="420" w:firstLineChars="200"/>
        <w:textAlignment w:val="auto"/>
        <w:rPr>
          <w:rFonts w:hint="eastAsia"/>
          <w:color w:val="auto"/>
          <w:kern w:val="0"/>
          <w:szCs w:val="21"/>
        </w:rPr>
      </w:pPr>
      <w:r>
        <w:rPr>
          <w:rFonts w:hint="eastAsia"/>
          <w:color w:val="auto"/>
          <w:kern w:val="0"/>
          <w:szCs w:val="21"/>
        </w:rPr>
        <w:t>评价程序包括成立评价小组，制定评价方案</w:t>
      </w:r>
      <w:r>
        <w:rPr>
          <w:rFonts w:hint="eastAsia"/>
          <w:color w:val="auto"/>
          <w:kern w:val="0"/>
          <w:szCs w:val="21"/>
          <w:lang w:eastAsia="zh-CN"/>
        </w:rPr>
        <w:t>，</w:t>
      </w:r>
      <w:r>
        <w:rPr>
          <w:rFonts w:hint="eastAsia"/>
          <w:color w:val="auto"/>
          <w:kern w:val="0"/>
          <w:szCs w:val="21"/>
          <w:lang w:val="en-US" w:eastAsia="zh-CN"/>
        </w:rPr>
        <w:t>对评价对象的</w:t>
      </w:r>
      <w:r>
        <w:rPr>
          <w:rFonts w:hint="eastAsia"/>
          <w:color w:val="auto"/>
          <w:kern w:val="0"/>
          <w:szCs w:val="21"/>
        </w:rPr>
        <w:t>ESG信息</w:t>
      </w:r>
      <w:r>
        <w:rPr>
          <w:rFonts w:hint="eastAsia"/>
          <w:color w:val="auto"/>
          <w:kern w:val="0"/>
          <w:szCs w:val="21"/>
          <w:lang w:val="en-US" w:eastAsia="zh-CN"/>
        </w:rPr>
        <w:t>采集</w:t>
      </w:r>
      <w:r>
        <w:rPr>
          <w:rFonts w:hint="eastAsia"/>
          <w:color w:val="auto"/>
          <w:kern w:val="0"/>
          <w:szCs w:val="21"/>
        </w:rPr>
        <w:t>、</w:t>
      </w:r>
      <w:r>
        <w:rPr>
          <w:rFonts w:hint="eastAsia"/>
          <w:color w:val="auto"/>
          <w:kern w:val="0"/>
          <w:szCs w:val="21"/>
          <w:lang w:val="en-US" w:eastAsia="zh-CN"/>
        </w:rPr>
        <w:t>处理和评价</w:t>
      </w:r>
      <w:r>
        <w:rPr>
          <w:rFonts w:hint="eastAsia"/>
          <w:color w:val="auto"/>
          <w:kern w:val="0"/>
          <w:szCs w:val="21"/>
        </w:rPr>
        <w:t>，</w:t>
      </w:r>
      <w:r>
        <w:rPr>
          <w:rFonts w:hint="eastAsia"/>
          <w:color w:val="auto"/>
          <w:kern w:val="0"/>
          <w:szCs w:val="21"/>
          <w:lang w:val="en-US" w:eastAsia="zh-CN"/>
        </w:rPr>
        <w:t>形成</w:t>
      </w:r>
      <w:r>
        <w:rPr>
          <w:rFonts w:hint="eastAsia"/>
          <w:color w:val="auto"/>
          <w:kern w:val="0"/>
          <w:szCs w:val="21"/>
        </w:rPr>
        <w:t>评价报告</w:t>
      </w:r>
      <w:r>
        <w:rPr>
          <w:rFonts w:hint="eastAsia"/>
          <w:color w:val="auto"/>
          <w:kern w:val="0"/>
          <w:szCs w:val="21"/>
          <w:lang w:eastAsia="zh-CN"/>
        </w:rPr>
        <w:t>，</w:t>
      </w:r>
      <w:r>
        <w:rPr>
          <w:rFonts w:hint="eastAsia"/>
          <w:color w:val="auto"/>
          <w:kern w:val="0"/>
          <w:szCs w:val="21"/>
          <w:lang w:val="en-US" w:eastAsia="zh-CN"/>
        </w:rPr>
        <w:t>应用与跟踪</w:t>
      </w:r>
      <w:r>
        <w:rPr>
          <w:rFonts w:hint="eastAsia"/>
          <w:color w:val="auto"/>
          <w:kern w:val="0"/>
          <w:szCs w:val="21"/>
        </w:rPr>
        <w:t>等。</w:t>
      </w:r>
    </w:p>
    <w:p>
      <w:pPr>
        <w:widowControl/>
        <w:autoSpaceDE w:val="0"/>
        <w:autoSpaceDN w:val="0"/>
        <w:rPr>
          <w:rFonts w:hint="default" w:ascii="黑体" w:hAnsi="黑体" w:eastAsia="黑体" w:cs="黑体"/>
          <w:color w:val="auto"/>
          <w:kern w:val="0"/>
          <w:szCs w:val="21"/>
          <w:lang w:val="en-US" w:eastAsia="zh-CN"/>
        </w:rPr>
      </w:pPr>
      <w:r>
        <w:rPr>
          <w:rFonts w:hint="eastAsia" w:ascii="黑体" w:hAnsi="黑体" w:eastAsia="黑体" w:cs="黑体"/>
          <w:color w:val="auto"/>
          <w:kern w:val="0"/>
          <w:szCs w:val="21"/>
        </w:rPr>
        <w:t>6.</w:t>
      </w:r>
      <w:r>
        <w:rPr>
          <w:rFonts w:hint="eastAsia" w:ascii="黑体" w:hAnsi="黑体" w:eastAsia="黑体" w:cs="黑体"/>
          <w:color w:val="auto"/>
          <w:kern w:val="0"/>
          <w:szCs w:val="21"/>
          <w:lang w:val="en-US" w:eastAsia="zh-CN"/>
        </w:rPr>
        <w:t>1</w:t>
      </w:r>
      <w:r>
        <w:rPr>
          <w:rFonts w:hint="eastAsia" w:ascii="黑体" w:hAnsi="黑体" w:eastAsia="黑体" w:cs="黑体"/>
          <w:color w:val="auto"/>
          <w:kern w:val="0"/>
          <w:szCs w:val="21"/>
        </w:rPr>
        <w:t>.</w:t>
      </w:r>
      <w:r>
        <w:rPr>
          <w:rFonts w:hint="eastAsia" w:ascii="黑体" w:hAnsi="黑体" w:eastAsia="黑体" w:cs="黑体"/>
          <w:color w:val="auto"/>
          <w:kern w:val="0"/>
          <w:szCs w:val="21"/>
          <w:lang w:val="en-US" w:eastAsia="zh-CN"/>
        </w:rPr>
        <w:t>2</w:t>
      </w:r>
      <w:r>
        <w:rPr>
          <w:rFonts w:hint="eastAsia" w:ascii="黑体" w:hAnsi="黑体" w:eastAsia="黑体" w:cs="黑体"/>
          <w:color w:val="auto"/>
          <w:kern w:val="0"/>
          <w:szCs w:val="21"/>
        </w:rPr>
        <w:t xml:space="preserve"> </w:t>
      </w:r>
      <w:r>
        <w:rPr>
          <w:rFonts w:hint="eastAsia" w:ascii="黑体" w:hAnsi="黑体" w:eastAsia="黑体" w:cs="黑体"/>
          <w:color w:val="auto"/>
          <w:kern w:val="0"/>
          <w:szCs w:val="21"/>
          <w:lang w:val="en-US" w:eastAsia="zh-CN"/>
        </w:rPr>
        <w:t>制定评价方案</w:t>
      </w:r>
    </w:p>
    <w:p>
      <w:pPr>
        <w:keepNext w:val="0"/>
        <w:keepLines w:val="0"/>
        <w:pageBreakBefore w:val="0"/>
        <w:widowControl/>
        <w:kinsoku/>
        <w:wordWrap/>
        <w:overflowPunct/>
        <w:topLinePunct w:val="0"/>
        <w:autoSpaceDE w:val="0"/>
        <w:autoSpaceDN w:val="0"/>
        <w:bidi w:val="0"/>
        <w:adjustRightInd/>
        <w:snapToGrid/>
        <w:ind w:firstLine="420" w:firstLineChars="200"/>
        <w:textAlignment w:val="auto"/>
        <w:rPr>
          <w:rFonts w:hint="eastAsia"/>
          <w:color w:val="auto"/>
          <w:kern w:val="0"/>
          <w:szCs w:val="21"/>
        </w:rPr>
      </w:pPr>
      <w:r>
        <w:rPr>
          <w:rFonts w:hint="eastAsia"/>
          <w:color w:val="auto"/>
          <w:kern w:val="0"/>
          <w:szCs w:val="21"/>
          <w:lang w:val="en-US" w:eastAsia="zh-CN"/>
        </w:rPr>
        <w:t>评价小组应按照本文件第5章评价指标和方法，组织制定相应的评价方案</w:t>
      </w:r>
      <w:r>
        <w:rPr>
          <w:rFonts w:hint="eastAsia"/>
          <w:color w:val="auto"/>
          <w:kern w:val="0"/>
          <w:szCs w:val="21"/>
        </w:rPr>
        <w:t>。</w:t>
      </w:r>
    </w:p>
    <w:p>
      <w:pPr>
        <w:widowControl/>
        <w:autoSpaceDE w:val="0"/>
        <w:autoSpaceDN w:val="0"/>
        <w:rPr>
          <w:rFonts w:hint="eastAsia" w:ascii="黑体" w:hAnsi="黑体" w:eastAsia="黑体" w:cs="黑体"/>
          <w:color w:val="auto"/>
          <w:kern w:val="0"/>
          <w:szCs w:val="21"/>
        </w:rPr>
      </w:pPr>
      <w:r>
        <w:rPr>
          <w:rFonts w:hint="eastAsia" w:ascii="黑体" w:hAnsi="黑体" w:eastAsia="黑体" w:cs="黑体"/>
          <w:color w:val="auto"/>
          <w:kern w:val="0"/>
          <w:szCs w:val="21"/>
        </w:rPr>
        <w:t>6.</w:t>
      </w:r>
      <w:r>
        <w:rPr>
          <w:rFonts w:hint="eastAsia" w:ascii="黑体" w:hAnsi="黑体" w:eastAsia="黑体" w:cs="黑体"/>
          <w:color w:val="auto"/>
          <w:kern w:val="0"/>
          <w:szCs w:val="21"/>
          <w:lang w:val="en-US" w:eastAsia="zh-CN"/>
        </w:rPr>
        <w:t>1</w:t>
      </w:r>
      <w:r>
        <w:rPr>
          <w:rFonts w:hint="eastAsia" w:ascii="黑体" w:hAnsi="黑体" w:eastAsia="黑体" w:cs="黑体"/>
          <w:color w:val="auto"/>
          <w:kern w:val="0"/>
          <w:szCs w:val="21"/>
        </w:rPr>
        <w:t>.</w:t>
      </w:r>
      <w:r>
        <w:rPr>
          <w:rFonts w:hint="eastAsia" w:ascii="黑体" w:hAnsi="黑体" w:eastAsia="黑体" w:cs="黑体"/>
          <w:color w:val="auto"/>
          <w:kern w:val="0"/>
          <w:szCs w:val="21"/>
          <w:lang w:val="en-US" w:eastAsia="zh-CN"/>
        </w:rPr>
        <w:t>3</w:t>
      </w:r>
      <w:r>
        <w:rPr>
          <w:rFonts w:hint="eastAsia" w:ascii="黑体" w:hAnsi="黑体" w:eastAsia="黑体" w:cs="黑体"/>
          <w:color w:val="auto"/>
          <w:kern w:val="0"/>
          <w:szCs w:val="21"/>
        </w:rPr>
        <w:t xml:space="preserve"> </w:t>
      </w:r>
      <w:bookmarkStart w:id="56" w:name="_Toc4534"/>
      <w:r>
        <w:rPr>
          <w:rFonts w:hint="eastAsia" w:ascii="黑体" w:hAnsi="黑体" w:eastAsia="黑体" w:cs="黑体"/>
          <w:color w:val="auto"/>
          <w:kern w:val="0"/>
          <w:szCs w:val="21"/>
        </w:rPr>
        <w:t>信息</w:t>
      </w:r>
      <w:r>
        <w:rPr>
          <w:rFonts w:hint="eastAsia" w:ascii="黑体" w:hAnsi="黑体" w:eastAsia="黑体" w:cs="黑体"/>
          <w:color w:val="auto"/>
          <w:kern w:val="0"/>
          <w:szCs w:val="21"/>
          <w:lang w:val="en-US" w:eastAsia="zh-CN"/>
        </w:rPr>
        <w:t>采集、处理和评价</w:t>
      </w:r>
      <w:bookmarkEnd w:id="56"/>
    </w:p>
    <w:p>
      <w:pPr>
        <w:widowControl/>
        <w:autoSpaceDE w:val="0"/>
        <w:autoSpaceDN w:val="0"/>
        <w:rPr>
          <w:rFonts w:hint="eastAsia"/>
          <w:color w:val="auto"/>
          <w:kern w:val="0"/>
          <w:szCs w:val="21"/>
          <w:lang w:val="en-US" w:eastAsia="zh-CN"/>
        </w:rPr>
      </w:pPr>
      <w:r>
        <w:rPr>
          <w:rFonts w:hint="eastAsia"/>
          <w:color w:val="auto"/>
          <w:kern w:val="0"/>
          <w:szCs w:val="21"/>
          <w:lang w:val="en-US" w:eastAsia="zh-CN"/>
        </w:rPr>
        <w:t>6.1.3.1 信息采集应选择企业依法公开披露或自愿公开披露的信息，评价小组可从以下渠道采集信息：</w:t>
      </w:r>
    </w:p>
    <w:p>
      <w:pPr>
        <w:keepNext w:val="0"/>
        <w:keepLines w:val="0"/>
        <w:pageBreakBefore w:val="0"/>
        <w:widowControl/>
        <w:kinsoku/>
        <w:wordWrap/>
        <w:overflowPunct/>
        <w:topLinePunct w:val="0"/>
        <w:autoSpaceDE w:val="0"/>
        <w:autoSpaceDN w:val="0"/>
        <w:bidi w:val="0"/>
        <w:adjustRightInd/>
        <w:snapToGrid/>
        <w:ind w:firstLine="420" w:firstLineChars="200"/>
        <w:textAlignment w:val="auto"/>
        <w:rPr>
          <w:rFonts w:hint="eastAsia" w:eastAsia="宋体"/>
          <w:color w:val="auto"/>
          <w:kern w:val="0"/>
          <w:szCs w:val="21"/>
          <w:lang w:eastAsia="zh-CN"/>
        </w:rPr>
      </w:pPr>
      <w:r>
        <w:rPr>
          <w:rFonts w:hint="eastAsia"/>
          <w:color w:val="auto"/>
          <w:kern w:val="0"/>
          <w:szCs w:val="21"/>
          <w:lang w:val="en-US" w:eastAsia="zh-CN"/>
        </w:rPr>
        <w:t>a）</w:t>
      </w:r>
      <w:r>
        <w:rPr>
          <w:rFonts w:hint="eastAsia"/>
          <w:color w:val="auto"/>
          <w:kern w:val="0"/>
          <w:szCs w:val="21"/>
        </w:rPr>
        <w:t>钢铁企业公开披露的ESG报告、可持续发展报告、社会责任报告、环境报告、公司年报</w:t>
      </w:r>
      <w:r>
        <w:rPr>
          <w:rFonts w:hint="eastAsia"/>
          <w:color w:val="auto"/>
          <w:kern w:val="0"/>
          <w:szCs w:val="21"/>
          <w:lang w:val="en-US" w:eastAsia="zh-CN"/>
        </w:rPr>
        <w:t>等</w:t>
      </w:r>
      <w:r>
        <w:rPr>
          <w:rFonts w:hint="eastAsia"/>
          <w:color w:val="auto"/>
          <w:kern w:val="0"/>
          <w:szCs w:val="21"/>
        </w:rPr>
        <w:t>收集提取相关信息或内容</w:t>
      </w:r>
      <w:r>
        <w:rPr>
          <w:rFonts w:hint="eastAsia"/>
          <w:color w:val="auto"/>
          <w:kern w:val="0"/>
          <w:szCs w:val="21"/>
          <w:lang w:eastAsia="zh-CN"/>
        </w:rPr>
        <w:t>；</w:t>
      </w:r>
    </w:p>
    <w:p>
      <w:pPr>
        <w:keepNext w:val="0"/>
        <w:keepLines w:val="0"/>
        <w:pageBreakBefore w:val="0"/>
        <w:widowControl/>
        <w:kinsoku/>
        <w:wordWrap/>
        <w:overflowPunct/>
        <w:topLinePunct w:val="0"/>
        <w:autoSpaceDE w:val="0"/>
        <w:autoSpaceDN w:val="0"/>
        <w:bidi w:val="0"/>
        <w:adjustRightInd/>
        <w:snapToGrid/>
        <w:ind w:firstLine="420" w:firstLineChars="200"/>
        <w:textAlignment w:val="auto"/>
        <w:rPr>
          <w:rFonts w:hint="eastAsia"/>
          <w:color w:val="auto"/>
          <w:kern w:val="0"/>
          <w:szCs w:val="21"/>
        </w:rPr>
      </w:pPr>
      <w:r>
        <w:rPr>
          <w:rFonts w:hint="eastAsia"/>
          <w:color w:val="auto"/>
          <w:kern w:val="0"/>
          <w:szCs w:val="21"/>
          <w:lang w:val="en-US" w:eastAsia="zh-CN"/>
        </w:rPr>
        <w:t>b）</w:t>
      </w:r>
      <w:r>
        <w:rPr>
          <w:rFonts w:hint="eastAsia"/>
          <w:color w:val="auto"/>
          <w:kern w:val="0"/>
          <w:szCs w:val="21"/>
        </w:rPr>
        <w:t>其他</w:t>
      </w:r>
      <w:r>
        <w:rPr>
          <w:rFonts w:hint="eastAsia"/>
          <w:color w:val="auto"/>
          <w:kern w:val="0"/>
          <w:szCs w:val="21"/>
          <w:lang w:val="en-US" w:eastAsia="zh-CN"/>
        </w:rPr>
        <w:t>正式</w:t>
      </w:r>
      <w:r>
        <w:rPr>
          <w:rFonts w:hint="eastAsia"/>
          <w:color w:val="auto"/>
          <w:kern w:val="0"/>
          <w:szCs w:val="21"/>
        </w:rPr>
        <w:t>公开渠道获取的相关信息。</w:t>
      </w:r>
    </w:p>
    <w:p>
      <w:pPr>
        <w:widowControl/>
        <w:autoSpaceDE w:val="0"/>
        <w:autoSpaceDN w:val="0"/>
        <w:rPr>
          <w:rFonts w:hint="eastAsia"/>
          <w:color w:val="auto"/>
          <w:kern w:val="0"/>
          <w:szCs w:val="21"/>
          <w:lang w:val="en-US" w:eastAsia="zh-CN"/>
        </w:rPr>
      </w:pPr>
      <w:r>
        <w:rPr>
          <w:rFonts w:hint="eastAsia"/>
          <w:color w:val="auto"/>
          <w:kern w:val="0"/>
          <w:szCs w:val="21"/>
          <w:lang w:val="en-US" w:eastAsia="zh-CN"/>
        </w:rPr>
        <w:t>6.1.3.2 评价小组应尽可能完整地采集被评价钢铁企业的内部信息和外部信息，并进行核实、记录存档和内部复核。</w:t>
      </w:r>
    </w:p>
    <w:p>
      <w:pPr>
        <w:widowControl/>
        <w:autoSpaceDE w:val="0"/>
        <w:autoSpaceDN w:val="0"/>
        <w:rPr>
          <w:rFonts w:hint="eastAsia"/>
          <w:color w:val="auto"/>
          <w:kern w:val="0"/>
          <w:szCs w:val="21"/>
          <w:lang w:val="en-US" w:eastAsia="zh-CN"/>
        </w:rPr>
      </w:pPr>
      <w:r>
        <w:rPr>
          <w:rFonts w:hint="eastAsia"/>
          <w:color w:val="auto"/>
          <w:kern w:val="0"/>
          <w:szCs w:val="21"/>
          <w:lang w:val="en-US" w:eastAsia="zh-CN"/>
        </w:rPr>
        <w:t>6.1.3.3 评价小组根据制定的评价方案对钢铁企业进行ESG量化评价，并得到评价结果。</w:t>
      </w:r>
    </w:p>
    <w:p>
      <w:pPr>
        <w:widowControl/>
        <w:autoSpaceDE w:val="0"/>
        <w:autoSpaceDN w:val="0"/>
        <w:rPr>
          <w:rFonts w:hint="default" w:ascii="黑体" w:hAnsi="黑体" w:eastAsia="黑体" w:cs="黑体"/>
          <w:color w:val="auto"/>
          <w:kern w:val="0"/>
          <w:szCs w:val="21"/>
          <w:lang w:val="en-US" w:eastAsia="zh-CN"/>
        </w:rPr>
      </w:pPr>
      <w:r>
        <w:rPr>
          <w:rFonts w:hint="eastAsia" w:ascii="黑体" w:hAnsi="黑体" w:eastAsia="黑体" w:cs="黑体"/>
          <w:color w:val="auto"/>
          <w:kern w:val="0"/>
          <w:szCs w:val="21"/>
        </w:rPr>
        <w:t>6.</w:t>
      </w:r>
      <w:r>
        <w:rPr>
          <w:rFonts w:hint="eastAsia" w:ascii="黑体" w:hAnsi="黑体" w:eastAsia="黑体" w:cs="黑体"/>
          <w:color w:val="auto"/>
          <w:kern w:val="0"/>
          <w:szCs w:val="21"/>
          <w:lang w:val="en-US" w:eastAsia="zh-CN"/>
        </w:rPr>
        <w:t>1</w:t>
      </w:r>
      <w:r>
        <w:rPr>
          <w:rFonts w:hint="eastAsia" w:ascii="黑体" w:hAnsi="黑体" w:eastAsia="黑体" w:cs="黑体"/>
          <w:color w:val="auto"/>
          <w:kern w:val="0"/>
          <w:szCs w:val="21"/>
        </w:rPr>
        <w:t>.</w:t>
      </w:r>
      <w:r>
        <w:rPr>
          <w:rFonts w:hint="eastAsia" w:ascii="黑体" w:hAnsi="黑体" w:eastAsia="黑体" w:cs="黑体"/>
          <w:color w:val="auto"/>
          <w:kern w:val="0"/>
          <w:szCs w:val="21"/>
          <w:lang w:val="en-US" w:eastAsia="zh-CN"/>
        </w:rPr>
        <w:t>4</w:t>
      </w:r>
      <w:r>
        <w:rPr>
          <w:rFonts w:hint="eastAsia" w:ascii="黑体" w:hAnsi="黑体" w:eastAsia="黑体" w:cs="黑体"/>
          <w:color w:val="auto"/>
          <w:kern w:val="0"/>
          <w:szCs w:val="21"/>
        </w:rPr>
        <w:t xml:space="preserve"> </w:t>
      </w:r>
      <w:r>
        <w:rPr>
          <w:rFonts w:hint="eastAsia" w:ascii="黑体" w:hAnsi="黑体" w:eastAsia="黑体" w:cs="黑体"/>
          <w:color w:val="auto"/>
          <w:kern w:val="0"/>
          <w:szCs w:val="21"/>
          <w:lang w:val="en-US" w:eastAsia="zh-CN"/>
        </w:rPr>
        <w:t>形成评价报告</w:t>
      </w:r>
    </w:p>
    <w:p>
      <w:pPr>
        <w:keepNext w:val="0"/>
        <w:keepLines w:val="0"/>
        <w:pageBreakBefore w:val="0"/>
        <w:widowControl/>
        <w:kinsoku/>
        <w:wordWrap/>
        <w:overflowPunct/>
        <w:topLinePunct w:val="0"/>
        <w:autoSpaceDE w:val="0"/>
        <w:autoSpaceDN w:val="0"/>
        <w:bidi w:val="0"/>
        <w:adjustRightInd/>
        <w:snapToGrid/>
        <w:ind w:firstLine="420" w:firstLineChars="200"/>
        <w:textAlignment w:val="auto"/>
        <w:rPr>
          <w:rFonts w:hint="eastAsia"/>
          <w:color w:val="auto"/>
          <w:kern w:val="0"/>
          <w:szCs w:val="21"/>
          <w:lang w:val="en-US" w:eastAsia="zh-CN"/>
        </w:rPr>
      </w:pPr>
      <w:r>
        <w:rPr>
          <w:rFonts w:hint="eastAsia"/>
          <w:color w:val="auto"/>
          <w:kern w:val="0"/>
          <w:szCs w:val="21"/>
          <w:lang w:val="en-US" w:eastAsia="zh-CN"/>
        </w:rPr>
        <w:t>评价报告的撰写及主要内容见第6.3节。</w:t>
      </w:r>
    </w:p>
    <w:p>
      <w:pPr>
        <w:widowControl/>
        <w:autoSpaceDE w:val="0"/>
        <w:autoSpaceDN w:val="0"/>
        <w:rPr>
          <w:rFonts w:hint="default" w:ascii="黑体" w:hAnsi="黑体" w:eastAsia="黑体" w:cs="黑体"/>
          <w:color w:val="auto"/>
          <w:kern w:val="0"/>
          <w:szCs w:val="21"/>
          <w:lang w:val="en-US" w:eastAsia="zh-CN"/>
        </w:rPr>
      </w:pPr>
      <w:r>
        <w:rPr>
          <w:rFonts w:hint="eastAsia" w:ascii="黑体" w:hAnsi="黑体" w:eastAsia="黑体" w:cs="黑体"/>
          <w:color w:val="auto"/>
          <w:kern w:val="0"/>
          <w:szCs w:val="21"/>
        </w:rPr>
        <w:t>6.</w:t>
      </w:r>
      <w:r>
        <w:rPr>
          <w:rFonts w:hint="eastAsia" w:ascii="黑体" w:hAnsi="黑体" w:eastAsia="黑体" w:cs="黑体"/>
          <w:color w:val="auto"/>
          <w:kern w:val="0"/>
          <w:szCs w:val="21"/>
          <w:lang w:val="en-US" w:eastAsia="zh-CN"/>
        </w:rPr>
        <w:t>1</w:t>
      </w:r>
      <w:r>
        <w:rPr>
          <w:rFonts w:hint="eastAsia" w:ascii="黑体" w:hAnsi="黑体" w:eastAsia="黑体" w:cs="黑体"/>
          <w:color w:val="auto"/>
          <w:kern w:val="0"/>
          <w:szCs w:val="21"/>
        </w:rPr>
        <w:t>.</w:t>
      </w:r>
      <w:r>
        <w:rPr>
          <w:rFonts w:hint="eastAsia" w:ascii="黑体" w:hAnsi="黑体" w:eastAsia="黑体" w:cs="黑体"/>
          <w:color w:val="auto"/>
          <w:kern w:val="0"/>
          <w:szCs w:val="21"/>
          <w:lang w:val="en-US" w:eastAsia="zh-CN"/>
        </w:rPr>
        <w:t>5</w:t>
      </w:r>
      <w:r>
        <w:rPr>
          <w:rFonts w:hint="eastAsia" w:ascii="黑体" w:hAnsi="黑体" w:eastAsia="黑体" w:cs="黑体"/>
          <w:color w:val="auto"/>
          <w:kern w:val="0"/>
          <w:szCs w:val="21"/>
        </w:rPr>
        <w:t xml:space="preserve"> </w:t>
      </w:r>
      <w:r>
        <w:rPr>
          <w:rFonts w:hint="eastAsia" w:ascii="黑体" w:hAnsi="黑体" w:eastAsia="黑体" w:cs="黑体"/>
          <w:color w:val="auto"/>
          <w:kern w:val="0"/>
          <w:szCs w:val="21"/>
          <w:lang w:val="en-US" w:eastAsia="zh-CN"/>
        </w:rPr>
        <w:t>应用与跟踪</w:t>
      </w:r>
    </w:p>
    <w:p>
      <w:pPr>
        <w:widowControl/>
        <w:autoSpaceDE w:val="0"/>
        <w:autoSpaceDN w:val="0"/>
        <w:rPr>
          <w:rFonts w:hint="eastAsia"/>
          <w:color w:val="auto"/>
          <w:kern w:val="0"/>
          <w:szCs w:val="21"/>
          <w:lang w:val="en-US" w:eastAsia="zh-CN"/>
        </w:rPr>
      </w:pPr>
      <w:r>
        <w:rPr>
          <w:rFonts w:hint="eastAsia"/>
          <w:color w:val="auto"/>
          <w:kern w:val="0"/>
          <w:szCs w:val="21"/>
          <w:lang w:val="en-US" w:eastAsia="zh-CN"/>
        </w:rPr>
        <w:t>6.1.5.1 钢铁企业的ESG评价结果可用于政府相关部门行政管理、投资机构和投资决策者决策、企业经营管理等。</w:t>
      </w:r>
    </w:p>
    <w:p>
      <w:pPr>
        <w:widowControl/>
        <w:autoSpaceDE w:val="0"/>
        <w:autoSpaceDN w:val="0"/>
        <w:rPr>
          <w:rFonts w:hint="eastAsia"/>
          <w:color w:val="auto"/>
          <w:kern w:val="0"/>
          <w:szCs w:val="21"/>
          <w:lang w:val="en-US" w:eastAsia="zh-CN"/>
        </w:rPr>
      </w:pPr>
      <w:r>
        <w:rPr>
          <w:rFonts w:hint="eastAsia"/>
          <w:color w:val="auto"/>
          <w:kern w:val="0"/>
          <w:szCs w:val="21"/>
          <w:lang w:val="en-US" w:eastAsia="zh-CN"/>
        </w:rPr>
        <w:t>6.1.5.2 评价机构在出具钢铁企业ESG评价报告后，宜对ESG评价结果进行定期跟踪（一般一年一次），对企业ESG评级和报告内容进行及时更新。</w:t>
      </w:r>
    </w:p>
    <w:p>
      <w:pPr>
        <w:numPr>
          <w:ilvl w:val="1"/>
          <w:numId w:val="2"/>
        </w:numPr>
        <w:spacing w:before="156" w:beforeLines="50" w:after="156" w:afterLines="50"/>
        <w:outlineLvl w:val="2"/>
        <w:rPr>
          <w:rFonts w:eastAsia="黑体"/>
          <w:color w:val="auto"/>
        </w:rPr>
      </w:pPr>
      <w:r>
        <w:rPr>
          <w:rFonts w:eastAsia="黑体"/>
          <w:color w:val="auto"/>
        </w:rPr>
        <w:t>评价</w:t>
      </w:r>
      <w:r>
        <w:rPr>
          <w:rFonts w:hint="eastAsia" w:eastAsia="黑体"/>
          <w:color w:val="auto"/>
          <w:lang w:val="en-US" w:eastAsia="zh-CN"/>
        </w:rPr>
        <w:t>分类</w:t>
      </w:r>
    </w:p>
    <w:p>
      <w:pPr>
        <w:widowControl/>
        <w:autoSpaceDE w:val="0"/>
        <w:autoSpaceDN w:val="0"/>
        <w:rPr>
          <w:rFonts w:hint="eastAsia"/>
          <w:color w:val="auto"/>
          <w:kern w:val="0"/>
          <w:szCs w:val="21"/>
          <w:lang w:val="en-US" w:eastAsia="zh-CN"/>
        </w:rPr>
      </w:pPr>
      <w:r>
        <w:rPr>
          <w:rFonts w:hint="eastAsia"/>
          <w:color w:val="auto"/>
          <w:kern w:val="0"/>
          <w:szCs w:val="21"/>
          <w:lang w:val="en-US" w:eastAsia="zh-CN"/>
        </w:rPr>
        <w:t>6.2.1 根据组织开展评价工作的主体不同，钢铁企业ESG评价可分为主动评价和委托评价。</w:t>
      </w:r>
    </w:p>
    <w:p>
      <w:pPr>
        <w:widowControl/>
        <w:autoSpaceDE w:val="0"/>
        <w:autoSpaceDN w:val="0"/>
        <w:rPr>
          <w:rFonts w:hint="eastAsia"/>
          <w:color w:val="auto"/>
          <w:kern w:val="0"/>
          <w:szCs w:val="21"/>
          <w:lang w:val="en-US" w:eastAsia="zh-CN"/>
        </w:rPr>
      </w:pPr>
      <w:r>
        <w:rPr>
          <w:rFonts w:hint="eastAsia"/>
          <w:color w:val="auto"/>
          <w:kern w:val="0"/>
          <w:szCs w:val="21"/>
          <w:lang w:val="en-US" w:eastAsia="zh-CN"/>
        </w:rPr>
        <w:t>6.2.2 主动评价一般由第三方机构发起，并按照6.1的评价程序对钢铁企业进行ESG评价。</w:t>
      </w:r>
    </w:p>
    <w:p>
      <w:pPr>
        <w:widowControl/>
        <w:autoSpaceDE w:val="0"/>
        <w:autoSpaceDN w:val="0"/>
        <w:rPr>
          <w:rFonts w:hint="default" w:eastAsia="宋体"/>
          <w:color w:val="auto"/>
          <w:kern w:val="0"/>
          <w:szCs w:val="21"/>
          <w:lang w:val="en-US" w:eastAsia="zh-CN"/>
        </w:rPr>
      </w:pPr>
      <w:r>
        <w:rPr>
          <w:rFonts w:hint="eastAsia"/>
          <w:color w:val="auto"/>
          <w:kern w:val="0"/>
          <w:szCs w:val="21"/>
          <w:lang w:val="en-US" w:eastAsia="zh-CN"/>
        </w:rPr>
        <w:t>6.2.3 委托评价需由钢铁企业首先进行ESG评价申请，待评价机构受理后签订委托合同，然后成立评价组进行评价。</w:t>
      </w:r>
    </w:p>
    <w:p>
      <w:pPr>
        <w:numPr>
          <w:ilvl w:val="1"/>
          <w:numId w:val="2"/>
        </w:numPr>
        <w:spacing w:before="156" w:beforeLines="50" w:after="156" w:afterLines="50"/>
        <w:outlineLvl w:val="2"/>
        <w:rPr>
          <w:rFonts w:eastAsia="黑体"/>
          <w:color w:val="auto"/>
        </w:rPr>
      </w:pPr>
      <w:bookmarkStart w:id="57" w:name="_Toc2990"/>
      <w:r>
        <w:rPr>
          <w:rFonts w:eastAsia="黑体"/>
          <w:color w:val="auto"/>
        </w:rPr>
        <w:t>评价报告</w:t>
      </w:r>
      <w:bookmarkEnd w:id="57"/>
    </w:p>
    <w:p>
      <w:pPr>
        <w:widowControl/>
        <w:autoSpaceDE w:val="0"/>
        <w:autoSpaceDN w:val="0"/>
        <w:ind w:firstLine="420" w:firstLineChars="200"/>
        <w:rPr>
          <w:color w:val="auto"/>
          <w:szCs w:val="21"/>
        </w:rPr>
      </w:pPr>
      <w:r>
        <w:rPr>
          <w:color w:val="auto"/>
          <w:kern w:val="0"/>
          <w:szCs w:val="21"/>
        </w:rPr>
        <w:t>评价报告内容包括但不限于：</w:t>
      </w:r>
    </w:p>
    <w:p>
      <w:pPr>
        <w:widowControl/>
        <w:autoSpaceDE w:val="0"/>
        <w:autoSpaceDN w:val="0"/>
        <w:ind w:firstLine="480" w:firstLineChars="200"/>
        <w:rPr>
          <w:color w:val="auto"/>
          <w:szCs w:val="21"/>
        </w:rPr>
      </w:pPr>
      <w:r>
        <w:rPr>
          <w:rFonts w:hint="eastAsia"/>
          <w:color w:val="auto"/>
          <w:kern w:val="0"/>
          <w:sz w:val="24"/>
        </w:rPr>
        <w:t>a）</w:t>
      </w:r>
      <w:r>
        <w:rPr>
          <w:color w:val="auto"/>
          <w:kern w:val="0"/>
          <w:szCs w:val="21"/>
        </w:rPr>
        <w:t>实施评价的组织方式；</w:t>
      </w:r>
    </w:p>
    <w:p>
      <w:pPr>
        <w:widowControl/>
        <w:autoSpaceDE w:val="0"/>
        <w:autoSpaceDN w:val="0"/>
        <w:ind w:firstLine="480" w:firstLineChars="200"/>
        <w:rPr>
          <w:color w:val="auto"/>
          <w:szCs w:val="21"/>
        </w:rPr>
      </w:pPr>
      <w:r>
        <w:rPr>
          <w:rFonts w:hint="eastAsia"/>
          <w:color w:val="auto"/>
          <w:kern w:val="0"/>
          <w:sz w:val="24"/>
        </w:rPr>
        <w:t>b）</w:t>
      </w:r>
      <w:r>
        <w:rPr>
          <w:color w:val="auto"/>
          <w:kern w:val="0"/>
          <w:szCs w:val="21"/>
        </w:rPr>
        <w:t>评价目的、范围及准则；</w:t>
      </w:r>
    </w:p>
    <w:p>
      <w:pPr>
        <w:widowControl/>
        <w:autoSpaceDE w:val="0"/>
        <w:autoSpaceDN w:val="0"/>
        <w:ind w:firstLine="480" w:firstLineChars="200"/>
        <w:rPr>
          <w:color w:val="auto"/>
          <w:szCs w:val="21"/>
        </w:rPr>
      </w:pPr>
      <w:r>
        <w:rPr>
          <w:rFonts w:hint="eastAsia"/>
          <w:color w:val="auto"/>
          <w:kern w:val="0"/>
          <w:sz w:val="24"/>
          <w:lang w:val="en-US" w:eastAsia="zh-CN"/>
        </w:rPr>
        <w:t>c</w:t>
      </w:r>
      <w:r>
        <w:rPr>
          <w:rFonts w:hint="eastAsia"/>
          <w:color w:val="auto"/>
          <w:kern w:val="0"/>
          <w:sz w:val="24"/>
        </w:rPr>
        <w:t>）</w:t>
      </w:r>
      <w:r>
        <w:rPr>
          <w:color w:val="auto"/>
          <w:kern w:val="0"/>
          <w:szCs w:val="21"/>
        </w:rPr>
        <w:t>评价内容，</w:t>
      </w:r>
      <w:r>
        <w:rPr>
          <w:rFonts w:hint="eastAsia"/>
          <w:color w:val="auto"/>
          <w:kern w:val="0"/>
          <w:szCs w:val="21"/>
          <w:lang w:val="en-US" w:eastAsia="zh-CN"/>
        </w:rPr>
        <w:t>包括环境管理、资源能源消耗、气候变化、环境污染排放等环境指标，社会责任管理、员工权益、产品责任、供应链管理、社会响应等社会指标和治理结构、治理机制、治理效能等治理指标</w:t>
      </w:r>
      <w:r>
        <w:rPr>
          <w:color w:val="auto"/>
          <w:kern w:val="0"/>
          <w:szCs w:val="21"/>
        </w:rPr>
        <w:t>；</w:t>
      </w:r>
    </w:p>
    <w:p>
      <w:pPr>
        <w:widowControl/>
        <w:autoSpaceDE w:val="0"/>
        <w:autoSpaceDN w:val="0"/>
        <w:ind w:firstLine="480" w:firstLineChars="200"/>
        <w:rPr>
          <w:color w:val="auto"/>
          <w:szCs w:val="21"/>
        </w:rPr>
      </w:pPr>
      <w:r>
        <w:rPr>
          <w:rFonts w:hint="eastAsia"/>
          <w:color w:val="auto"/>
          <w:kern w:val="0"/>
          <w:sz w:val="24"/>
          <w:lang w:val="en-US" w:eastAsia="zh-CN"/>
        </w:rPr>
        <w:t>d</w:t>
      </w:r>
      <w:r>
        <w:rPr>
          <w:rFonts w:hint="eastAsia"/>
          <w:color w:val="auto"/>
          <w:kern w:val="0"/>
          <w:sz w:val="24"/>
        </w:rPr>
        <w:t>）</w:t>
      </w:r>
      <w:r>
        <w:rPr>
          <w:color w:val="auto"/>
          <w:kern w:val="0"/>
          <w:szCs w:val="21"/>
        </w:rPr>
        <w:t>评价证明材料的核实情况，包括证明文件和数据真实性、计算范围及计算方法、相关计量设备和有关标准的执行情况等；</w:t>
      </w:r>
    </w:p>
    <w:p>
      <w:pPr>
        <w:widowControl/>
        <w:autoSpaceDE w:val="0"/>
        <w:autoSpaceDN w:val="0"/>
        <w:ind w:firstLine="480" w:firstLineChars="200"/>
        <w:rPr>
          <w:color w:val="auto"/>
          <w:kern w:val="0"/>
          <w:szCs w:val="21"/>
        </w:rPr>
      </w:pPr>
      <w:r>
        <w:rPr>
          <w:rFonts w:hint="eastAsia"/>
          <w:color w:val="auto"/>
          <w:kern w:val="0"/>
          <w:sz w:val="24"/>
          <w:lang w:val="en-US" w:eastAsia="zh-CN"/>
        </w:rPr>
        <w:t>e</w:t>
      </w:r>
      <w:r>
        <w:rPr>
          <w:rFonts w:hint="eastAsia"/>
          <w:color w:val="auto"/>
          <w:kern w:val="0"/>
          <w:sz w:val="24"/>
        </w:rPr>
        <w:t>）</w:t>
      </w:r>
      <w:r>
        <w:rPr>
          <w:rFonts w:hint="eastAsia"/>
          <w:color w:val="auto"/>
          <w:kern w:val="0"/>
          <w:szCs w:val="21"/>
        </w:rPr>
        <w:t>评价结果</w:t>
      </w:r>
      <w:r>
        <w:rPr>
          <w:color w:val="auto"/>
          <w:kern w:val="0"/>
          <w:szCs w:val="21"/>
        </w:rPr>
        <w:t>。</w:t>
      </w:r>
    </w:p>
    <w:p>
      <w:pPr>
        <w:widowControl/>
        <w:autoSpaceDE w:val="0"/>
        <w:autoSpaceDN w:val="0"/>
        <w:ind w:firstLine="420" w:firstLineChars="200"/>
        <w:rPr>
          <w:color w:val="auto"/>
          <w:kern w:val="0"/>
          <w:szCs w:val="21"/>
        </w:rPr>
      </w:pPr>
    </w:p>
    <w:p>
      <w:pPr>
        <w:widowControl/>
        <w:autoSpaceDE w:val="0"/>
        <w:autoSpaceDN w:val="0"/>
        <w:ind w:firstLine="420" w:firstLineChars="200"/>
        <w:rPr>
          <w:color w:val="auto"/>
          <w:kern w:val="0"/>
          <w:szCs w:val="21"/>
        </w:rPr>
      </w:pPr>
    </w:p>
    <w:p>
      <w:pPr>
        <w:pStyle w:val="141"/>
        <w:framePr w:vAnchor="text" w:hAnchor="page" w:x="4522" w:y="647"/>
        <w:rPr>
          <w:rFonts w:hint="eastAsia"/>
          <w:color w:val="auto"/>
        </w:rPr>
      </w:pPr>
      <w:r>
        <w:rPr>
          <w:color w:val="auto"/>
        </w:rPr>
        <w:t>_________________________________</w:t>
      </w:r>
    </w:p>
    <w:p>
      <w:pPr>
        <w:widowControl/>
        <w:autoSpaceDE w:val="0"/>
        <w:autoSpaceDN w:val="0"/>
        <w:ind w:firstLine="420" w:firstLineChars="200"/>
        <w:rPr>
          <w:color w:val="auto"/>
          <w:kern w:val="0"/>
          <w:szCs w:val="21"/>
        </w:rPr>
      </w:pPr>
    </w:p>
    <w:p>
      <w:pPr>
        <w:widowControl/>
        <w:jc w:val="left"/>
        <w:rPr>
          <w:rFonts w:asciiTheme="minorEastAsia" w:hAnsiTheme="minorEastAsia" w:eastAsiaTheme="minorEastAsia"/>
          <w:b/>
          <w:bCs/>
          <w:color w:val="auto"/>
        </w:rPr>
        <w:sectPr>
          <w:headerReference r:id="rId4" w:type="default"/>
          <w:footerReference r:id="rId5" w:type="default"/>
          <w:pgSz w:w="11906" w:h="16838"/>
          <w:pgMar w:top="567" w:right="1134" w:bottom="1134" w:left="1417" w:header="1418" w:footer="1134" w:gutter="0"/>
          <w:pgNumType w:start="1"/>
          <w:cols w:space="425" w:num="1"/>
          <w:formProt w:val="0"/>
          <w:docGrid w:type="lines" w:linePitch="312" w:charSpace="0"/>
        </w:sectPr>
      </w:pPr>
      <w:r>
        <w:rPr>
          <w:rFonts w:asciiTheme="minorEastAsia" w:hAnsiTheme="minorEastAsia" w:eastAsiaTheme="minorEastAsia"/>
          <w:b/>
          <w:bCs/>
          <w:color w:val="auto"/>
        </w:rPr>
        <w:br w:type="page"/>
      </w:r>
    </w:p>
    <w:p>
      <w:pPr>
        <w:widowControl/>
        <w:jc w:val="left"/>
        <w:rPr>
          <w:rFonts w:asciiTheme="minorEastAsia" w:hAnsiTheme="minorEastAsia" w:eastAsiaTheme="minorEastAsia"/>
          <w:b/>
          <w:bCs/>
          <w:color w:val="auto"/>
        </w:rPr>
      </w:pPr>
    </w:p>
    <w:p>
      <w:pPr>
        <w:widowControl/>
        <w:jc w:val="left"/>
        <w:rPr>
          <w:rFonts w:asciiTheme="minorEastAsia" w:hAnsiTheme="minorEastAsia" w:eastAsiaTheme="minorEastAsia"/>
          <w:b/>
          <w:bCs/>
          <w:color w:val="auto"/>
        </w:rPr>
      </w:pPr>
    </w:p>
    <w:p>
      <w:pPr>
        <w:spacing w:line="360" w:lineRule="auto"/>
        <w:ind w:firstLine="420" w:firstLineChars="200"/>
        <w:jc w:val="center"/>
        <w:outlineLvl w:val="0"/>
        <w:rPr>
          <w:rFonts w:eastAsia="黑体"/>
          <w:color w:val="auto"/>
          <w:szCs w:val="21"/>
        </w:rPr>
      </w:pPr>
      <w:bookmarkStart w:id="58" w:name="_Toc23647"/>
      <w:r>
        <w:rPr>
          <w:rFonts w:eastAsia="黑体"/>
          <w:color w:val="auto"/>
          <w:szCs w:val="21"/>
        </w:rPr>
        <w:t>附  录  A</w:t>
      </w:r>
      <w:bookmarkEnd w:id="58"/>
    </w:p>
    <w:p>
      <w:pPr>
        <w:spacing w:line="360" w:lineRule="auto"/>
        <w:ind w:firstLine="420" w:firstLineChars="200"/>
        <w:jc w:val="center"/>
        <w:rPr>
          <w:rFonts w:eastAsia="黑体"/>
          <w:color w:val="auto"/>
          <w:szCs w:val="21"/>
        </w:rPr>
      </w:pPr>
      <w:r>
        <w:rPr>
          <w:rFonts w:eastAsia="黑体"/>
          <w:color w:val="auto"/>
          <w:szCs w:val="21"/>
        </w:rPr>
        <w:t>（规范性)</w:t>
      </w:r>
    </w:p>
    <w:p>
      <w:pPr>
        <w:spacing w:line="360" w:lineRule="auto"/>
        <w:ind w:firstLine="420" w:firstLineChars="200"/>
        <w:jc w:val="center"/>
        <w:rPr>
          <w:rFonts w:hint="eastAsia" w:eastAsia="黑体"/>
          <w:color w:val="auto"/>
          <w:szCs w:val="21"/>
        </w:rPr>
      </w:pPr>
      <w:r>
        <w:rPr>
          <w:rFonts w:hint="eastAsia" w:eastAsia="黑体"/>
          <w:color w:val="auto"/>
          <w:szCs w:val="21"/>
        </w:rPr>
        <w:t>钢铁企业ESG</w:t>
      </w:r>
      <w:r>
        <w:rPr>
          <w:rFonts w:eastAsia="黑体"/>
          <w:color w:val="auto"/>
          <w:szCs w:val="21"/>
        </w:rPr>
        <w:t>评价指标</w:t>
      </w:r>
      <w:r>
        <w:rPr>
          <w:rFonts w:hint="eastAsia" w:eastAsia="黑体"/>
          <w:color w:val="auto"/>
          <w:szCs w:val="21"/>
        </w:rPr>
        <w:t>体系</w:t>
      </w:r>
    </w:p>
    <w:p>
      <w:pPr>
        <w:spacing w:line="360" w:lineRule="auto"/>
        <w:ind w:firstLine="560" w:firstLineChars="200"/>
        <w:rPr>
          <w:rFonts w:hint="default"/>
          <w:color w:val="auto"/>
          <w:sz w:val="28"/>
          <w:szCs w:val="28"/>
          <w:highlight w:val="yellow"/>
          <w:lang w:val="en-US" w:eastAsia="zh-CN"/>
        </w:rPr>
      </w:pPr>
    </w:p>
    <w:p>
      <w:pPr>
        <w:spacing w:line="360" w:lineRule="auto"/>
        <w:ind w:firstLine="420" w:firstLineChars="200"/>
        <w:rPr>
          <w:color w:val="auto"/>
          <w:szCs w:val="21"/>
        </w:rPr>
      </w:pPr>
      <w:r>
        <w:rPr>
          <w:rFonts w:hint="eastAsia"/>
          <w:color w:val="auto"/>
          <w:szCs w:val="21"/>
        </w:rPr>
        <w:t>钢铁</w:t>
      </w:r>
      <w:r>
        <w:rPr>
          <w:color w:val="auto"/>
          <w:szCs w:val="21"/>
        </w:rPr>
        <w:t>企业</w:t>
      </w:r>
      <w:r>
        <w:rPr>
          <w:rFonts w:hint="eastAsia"/>
          <w:color w:val="auto"/>
          <w:szCs w:val="21"/>
        </w:rPr>
        <w:t>ESG</w:t>
      </w:r>
      <w:r>
        <w:rPr>
          <w:color w:val="auto"/>
          <w:szCs w:val="21"/>
        </w:rPr>
        <w:t>评价指标</w:t>
      </w:r>
      <w:r>
        <w:rPr>
          <w:rFonts w:hint="eastAsia"/>
          <w:color w:val="auto"/>
          <w:szCs w:val="21"/>
        </w:rPr>
        <w:t>体系和具体评价要求</w:t>
      </w:r>
      <w:r>
        <w:rPr>
          <w:color w:val="auto"/>
          <w:szCs w:val="21"/>
        </w:rPr>
        <w:t>见表A.1。</w:t>
      </w:r>
    </w:p>
    <w:p>
      <w:pPr>
        <w:spacing w:line="360" w:lineRule="auto"/>
        <w:ind w:firstLine="420" w:firstLineChars="200"/>
        <w:jc w:val="center"/>
        <w:rPr>
          <w:rFonts w:eastAsia="黑体"/>
          <w:color w:val="auto"/>
        </w:rPr>
      </w:pPr>
      <w:r>
        <w:rPr>
          <w:rFonts w:eastAsia="黑体"/>
          <w:color w:val="auto"/>
        </w:rPr>
        <w:t xml:space="preserve">表A.1  </w:t>
      </w:r>
      <w:r>
        <w:rPr>
          <w:rFonts w:hint="eastAsia" w:eastAsia="黑体"/>
          <w:color w:val="auto"/>
        </w:rPr>
        <w:t>钢铁</w:t>
      </w:r>
      <w:r>
        <w:rPr>
          <w:rFonts w:eastAsia="黑体"/>
          <w:color w:val="auto"/>
        </w:rPr>
        <w:t>企业</w:t>
      </w:r>
      <w:r>
        <w:rPr>
          <w:rFonts w:hint="eastAsia" w:eastAsia="黑体"/>
          <w:color w:val="auto"/>
        </w:rPr>
        <w:t>ESG</w:t>
      </w:r>
      <w:r>
        <w:rPr>
          <w:rFonts w:eastAsia="黑体"/>
          <w:color w:val="auto"/>
        </w:rPr>
        <w:t>评价指标表</w:t>
      </w:r>
    </w:p>
    <w:tbl>
      <w:tblPr>
        <w:tblStyle w:val="36"/>
        <w:tblW w:w="49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816"/>
        <w:gridCol w:w="1224"/>
        <w:gridCol w:w="1692"/>
        <w:gridCol w:w="2762"/>
        <w:gridCol w:w="3468"/>
        <w:gridCol w:w="3384"/>
        <w:gridCol w:w="588"/>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05" w:type="pct"/>
            <w:vMerge w:val="restart"/>
            <w:noWrap w:val="0"/>
            <w:vAlign w:val="center"/>
          </w:tcPr>
          <w:p>
            <w:pPr>
              <w:widowControl/>
              <w:jc w:val="center"/>
              <w:rPr>
                <w:rFonts w:hint="eastAsia"/>
                <w:b/>
                <w:bCs/>
                <w:color w:val="auto"/>
                <w:kern w:val="0"/>
              </w:rPr>
            </w:pPr>
            <w:r>
              <w:rPr>
                <w:rFonts w:hint="eastAsia"/>
                <w:b/>
                <w:bCs/>
                <w:color w:val="auto"/>
              </w:rPr>
              <w:t>序号</w:t>
            </w:r>
          </w:p>
        </w:tc>
        <w:tc>
          <w:tcPr>
            <w:tcW w:w="2139" w:type="pct"/>
            <w:gridSpan w:val="4"/>
            <w:noWrap w:val="0"/>
            <w:vAlign w:val="center"/>
          </w:tcPr>
          <w:p>
            <w:pPr>
              <w:jc w:val="center"/>
              <w:rPr>
                <w:rFonts w:hint="eastAsia"/>
                <w:b/>
                <w:bCs/>
                <w:color w:val="auto"/>
              </w:rPr>
            </w:pPr>
            <w:r>
              <w:rPr>
                <w:rFonts w:hint="eastAsia"/>
                <w:b/>
                <w:bCs/>
                <w:color w:val="auto"/>
              </w:rPr>
              <w:t>指标名称</w:t>
            </w:r>
          </w:p>
        </w:tc>
        <w:tc>
          <w:tcPr>
            <w:tcW w:w="2654" w:type="pct"/>
            <w:gridSpan w:val="4"/>
            <w:noWrap w:val="0"/>
            <w:vAlign w:val="center"/>
          </w:tcPr>
          <w:p>
            <w:pPr>
              <w:jc w:val="center"/>
              <w:rPr>
                <w:rFonts w:hint="default"/>
                <w:b/>
                <w:bCs/>
                <w:color w:val="auto"/>
                <w:lang w:val="en-US" w:eastAsia="zh-CN"/>
              </w:rPr>
            </w:pPr>
            <w:r>
              <w:rPr>
                <w:rFonts w:hint="eastAsia"/>
                <w:b/>
                <w:bCs/>
                <w:color w:val="auto"/>
                <w:lang w:val="en-US" w:eastAsia="zh-CN"/>
              </w:rPr>
              <w:t>评分方法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05" w:type="pct"/>
            <w:vMerge w:val="continue"/>
            <w:noWrap w:val="0"/>
            <w:vAlign w:val="center"/>
          </w:tcPr>
          <w:p>
            <w:pPr>
              <w:jc w:val="center"/>
              <w:rPr>
                <w:rFonts w:hint="eastAsia"/>
                <w:b/>
                <w:bCs/>
                <w:color w:val="auto"/>
              </w:rPr>
            </w:pPr>
          </w:p>
        </w:tc>
        <w:tc>
          <w:tcPr>
            <w:tcW w:w="268" w:type="pct"/>
            <w:noWrap w:val="0"/>
            <w:vAlign w:val="center"/>
          </w:tcPr>
          <w:p>
            <w:pPr>
              <w:jc w:val="center"/>
              <w:rPr>
                <w:rFonts w:hint="eastAsia" w:eastAsia="宋体"/>
                <w:b/>
                <w:bCs/>
                <w:color w:val="auto"/>
                <w:lang w:val="en-US" w:eastAsia="zh-CN"/>
              </w:rPr>
            </w:pPr>
            <w:r>
              <w:rPr>
                <w:rFonts w:hint="eastAsia"/>
                <w:b/>
                <w:bCs/>
                <w:color w:val="auto"/>
                <w:lang w:val="en-US" w:eastAsia="zh-CN"/>
              </w:rPr>
              <w:t>维度</w:t>
            </w:r>
          </w:p>
        </w:tc>
        <w:tc>
          <w:tcPr>
            <w:tcW w:w="403" w:type="pct"/>
            <w:noWrap w:val="0"/>
            <w:vAlign w:val="center"/>
          </w:tcPr>
          <w:p>
            <w:pPr>
              <w:jc w:val="center"/>
              <w:rPr>
                <w:rFonts w:hint="eastAsia" w:ascii="Times New Roman" w:hAnsi="Times New Roman" w:eastAsia="宋体" w:cs="Times New Roman"/>
                <w:b/>
                <w:bCs/>
                <w:color w:val="auto"/>
                <w:kern w:val="2"/>
                <w:sz w:val="21"/>
                <w:szCs w:val="21"/>
                <w:lang w:val="en-US" w:eastAsia="zh-CN" w:bidi="ar-SA"/>
              </w:rPr>
            </w:pPr>
            <w:r>
              <w:rPr>
                <w:b/>
                <w:bCs/>
                <w:color w:val="auto"/>
              </w:rPr>
              <w:t>一级指标</w:t>
            </w:r>
          </w:p>
        </w:tc>
        <w:tc>
          <w:tcPr>
            <w:tcW w:w="557" w:type="pct"/>
            <w:noWrap w:val="0"/>
            <w:vAlign w:val="center"/>
          </w:tcPr>
          <w:p>
            <w:pPr>
              <w:jc w:val="center"/>
              <w:rPr>
                <w:rFonts w:hint="eastAsia" w:ascii="Times New Roman" w:hAnsi="Times New Roman" w:eastAsia="宋体" w:cs="Times New Roman"/>
                <w:b/>
                <w:bCs/>
                <w:color w:val="auto"/>
                <w:kern w:val="2"/>
                <w:sz w:val="21"/>
                <w:szCs w:val="21"/>
                <w:lang w:val="en-US" w:eastAsia="zh-CN" w:bidi="ar-SA"/>
              </w:rPr>
            </w:pPr>
            <w:r>
              <w:rPr>
                <w:b/>
                <w:bCs/>
                <w:color w:val="auto"/>
              </w:rPr>
              <w:t>二级指标</w:t>
            </w:r>
          </w:p>
        </w:tc>
        <w:tc>
          <w:tcPr>
            <w:tcW w:w="910" w:type="pct"/>
            <w:noWrap w:val="0"/>
            <w:vAlign w:val="center"/>
          </w:tcPr>
          <w:p>
            <w:pPr>
              <w:jc w:val="center"/>
              <w:rPr>
                <w:rFonts w:hint="eastAsia" w:ascii="Times New Roman" w:hAnsi="Times New Roman" w:eastAsia="宋体" w:cs="Times New Roman"/>
                <w:b/>
                <w:bCs/>
                <w:color w:val="auto"/>
                <w:kern w:val="2"/>
                <w:sz w:val="21"/>
                <w:szCs w:val="21"/>
                <w:lang w:val="en-US" w:eastAsia="zh-CN" w:bidi="ar-SA"/>
              </w:rPr>
            </w:pPr>
            <w:r>
              <w:rPr>
                <w:rFonts w:hint="eastAsia"/>
                <w:b/>
                <w:bCs/>
                <w:color w:val="auto"/>
              </w:rPr>
              <w:t>三级指标</w:t>
            </w:r>
          </w:p>
        </w:tc>
        <w:tc>
          <w:tcPr>
            <w:tcW w:w="1142" w:type="pct"/>
            <w:noWrap w:val="0"/>
            <w:vAlign w:val="center"/>
          </w:tcPr>
          <w:p>
            <w:pPr>
              <w:jc w:val="center"/>
              <w:rPr>
                <w:rFonts w:hint="eastAsia"/>
                <w:b/>
                <w:bCs/>
                <w:color w:val="auto"/>
              </w:rPr>
            </w:pPr>
            <w:r>
              <w:rPr>
                <w:rFonts w:hint="eastAsia"/>
                <w:b/>
                <w:bCs/>
                <w:color w:val="auto"/>
                <w:lang w:val="en-US" w:eastAsia="zh-CN"/>
              </w:rPr>
              <w:t>评价要求</w:t>
            </w:r>
          </w:p>
        </w:tc>
        <w:tc>
          <w:tcPr>
            <w:tcW w:w="1114" w:type="pct"/>
            <w:noWrap w:val="0"/>
            <w:vAlign w:val="center"/>
          </w:tcPr>
          <w:p>
            <w:pPr>
              <w:jc w:val="center"/>
              <w:rPr>
                <w:rFonts w:hint="default" w:eastAsia="宋体"/>
                <w:b/>
                <w:bCs/>
                <w:color w:val="auto"/>
                <w:lang w:val="en-US" w:eastAsia="zh-CN"/>
              </w:rPr>
            </w:pPr>
            <w:r>
              <w:rPr>
                <w:rFonts w:hint="eastAsia"/>
                <w:b/>
                <w:bCs/>
                <w:color w:val="auto"/>
                <w:lang w:val="en-US" w:eastAsia="zh-CN"/>
              </w:rPr>
              <w:t>打分说明</w:t>
            </w:r>
          </w:p>
        </w:tc>
        <w:tc>
          <w:tcPr>
            <w:tcW w:w="193" w:type="pct"/>
            <w:noWrap w:val="0"/>
            <w:vAlign w:val="center"/>
          </w:tcPr>
          <w:p>
            <w:pPr>
              <w:jc w:val="center"/>
              <w:rPr>
                <w:rFonts w:hint="eastAsia" w:eastAsia="宋体"/>
                <w:b/>
                <w:bCs/>
                <w:color w:val="auto"/>
                <w:lang w:val="en-US" w:eastAsia="zh-CN"/>
              </w:rPr>
            </w:pPr>
            <w:r>
              <w:rPr>
                <w:rFonts w:hint="eastAsia"/>
                <w:b/>
                <w:bCs/>
                <w:color w:val="auto"/>
                <w:lang w:val="en-US" w:eastAsia="zh-CN"/>
              </w:rPr>
              <w:t>分值</w:t>
            </w:r>
          </w:p>
        </w:tc>
        <w:tc>
          <w:tcPr>
            <w:tcW w:w="203" w:type="pct"/>
            <w:noWrap w:val="0"/>
            <w:vAlign w:val="center"/>
          </w:tcPr>
          <w:p>
            <w:pPr>
              <w:jc w:val="center"/>
              <w:rPr>
                <w:rFonts w:hint="eastAsia" w:eastAsia="宋体"/>
                <w:b/>
                <w:bCs/>
                <w:color w:val="auto"/>
                <w:lang w:val="en-US" w:eastAsia="zh-CN"/>
              </w:rPr>
            </w:pPr>
            <w:r>
              <w:rPr>
                <w:rFonts w:hint="eastAsia"/>
                <w:b/>
                <w:bCs/>
                <w:color w:val="auto"/>
                <w:lang w:val="en-US"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noWrap w:val="0"/>
            <w:vAlign w:val="center"/>
          </w:tcPr>
          <w:p>
            <w:pPr>
              <w:jc w:val="center"/>
              <w:rPr>
                <w:rFonts w:hint="eastAsia"/>
                <w:b/>
                <w:bCs/>
                <w:color w:val="auto"/>
              </w:rPr>
            </w:pPr>
            <w:r>
              <w:rPr>
                <w:rFonts w:hint="eastAsia"/>
                <w:b/>
                <w:bCs/>
                <w:color w:val="auto"/>
              </w:rPr>
              <w:t>1</w:t>
            </w:r>
          </w:p>
        </w:tc>
        <w:tc>
          <w:tcPr>
            <w:tcW w:w="268" w:type="pct"/>
            <w:vMerge w:val="restart"/>
            <w:noWrap w:val="0"/>
            <w:vAlign w:val="center"/>
          </w:tcPr>
          <w:p>
            <w:pPr>
              <w:jc w:val="center"/>
              <w:rPr>
                <w:rFonts w:hint="eastAsia"/>
                <w:color w:val="auto"/>
              </w:rPr>
            </w:pPr>
            <w:r>
              <w:rPr>
                <w:rFonts w:hint="eastAsia"/>
                <w:color w:val="auto"/>
              </w:rPr>
              <w:t>环境</w:t>
            </w:r>
          </w:p>
          <w:p>
            <w:pPr>
              <w:jc w:val="center"/>
              <w:rPr>
                <w:b/>
                <w:bCs/>
                <w:color w:val="auto"/>
              </w:rPr>
            </w:pPr>
            <w:r>
              <w:rPr>
                <w:rFonts w:hint="eastAsia"/>
                <w:color w:val="auto"/>
              </w:rPr>
              <w:t>（E）</w:t>
            </w:r>
          </w:p>
        </w:tc>
        <w:tc>
          <w:tcPr>
            <w:tcW w:w="403" w:type="pct"/>
            <w:vMerge w:val="restart"/>
            <w:noWrap w:val="0"/>
            <w:vAlign w:val="center"/>
          </w:tcPr>
          <w:p>
            <w:pPr>
              <w:jc w:val="center"/>
              <w:rPr>
                <w:rFonts w:hint="eastAsia" w:eastAsia="宋体"/>
                <w:color w:val="auto"/>
                <w:lang w:eastAsia="zh-CN"/>
              </w:rPr>
            </w:pPr>
            <w:r>
              <w:rPr>
                <w:rFonts w:hint="eastAsia"/>
                <w:color w:val="auto"/>
              </w:rPr>
              <w:t>环境</w:t>
            </w:r>
            <w:r>
              <w:rPr>
                <w:rFonts w:hint="eastAsia"/>
                <w:color w:val="auto"/>
                <w:lang w:val="en-US" w:eastAsia="zh-CN"/>
              </w:rPr>
              <w:t>管理</w:t>
            </w:r>
          </w:p>
        </w:tc>
        <w:tc>
          <w:tcPr>
            <w:tcW w:w="557" w:type="pct"/>
            <w:vMerge w:val="restart"/>
            <w:noWrap w:val="0"/>
            <w:vAlign w:val="center"/>
          </w:tcPr>
          <w:p>
            <w:pPr>
              <w:jc w:val="left"/>
              <w:rPr>
                <w:rFonts w:hint="default" w:eastAsia="宋体"/>
                <w:color w:val="auto"/>
                <w:lang w:val="en-US" w:eastAsia="zh-CN"/>
              </w:rPr>
            </w:pPr>
            <w:r>
              <w:rPr>
                <w:rFonts w:hint="eastAsia"/>
                <w:color w:val="auto"/>
                <w:lang w:val="en-US" w:eastAsia="zh-CN"/>
              </w:rPr>
              <w:t>环境管理制度和组织架构</w:t>
            </w:r>
          </w:p>
        </w:tc>
        <w:tc>
          <w:tcPr>
            <w:tcW w:w="910" w:type="pct"/>
            <w:noWrap w:val="0"/>
            <w:vAlign w:val="center"/>
          </w:tcPr>
          <w:p>
            <w:pPr>
              <w:jc w:val="left"/>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环境保护或绿色低碳发展战略方针</w:t>
            </w:r>
          </w:p>
        </w:tc>
        <w:tc>
          <w:tcPr>
            <w:tcW w:w="1142"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企业应披露低碳发展战略，如低碳发展总体思路、发展目标等</w:t>
            </w:r>
          </w:p>
        </w:tc>
        <w:tc>
          <w:tcPr>
            <w:tcW w:w="1114" w:type="pct"/>
            <w:noWrap w:val="0"/>
            <w:vAlign w:val="center"/>
          </w:tcPr>
          <w:p>
            <w:pPr>
              <w:jc w:val="center"/>
              <w:rPr>
                <w:rFonts w:hint="default"/>
                <w:color w:val="auto"/>
                <w:lang w:val="en-US" w:eastAsia="zh-CN"/>
              </w:rPr>
            </w:pPr>
            <w:r>
              <w:rPr>
                <w:rFonts w:hint="eastAsia"/>
                <w:color w:val="auto"/>
                <w:lang w:val="en-US" w:eastAsia="zh-CN"/>
              </w:rPr>
              <w:t>企业没有环境保护或绿色低碳发展战略得0分，企业具备环境保护或绿色低碳发展战略得10分，企业制定了专门的环境保护规划或绿色低碳发展规划，并由明确的战略方针得20分；</w:t>
            </w:r>
          </w:p>
        </w:tc>
        <w:tc>
          <w:tcPr>
            <w:tcW w:w="193" w:type="pct"/>
            <w:noWrap w:val="0"/>
            <w:vAlign w:val="center"/>
          </w:tcPr>
          <w:p>
            <w:pPr>
              <w:jc w:val="center"/>
              <w:rPr>
                <w:rFonts w:hint="default"/>
                <w:color w:val="auto"/>
                <w:lang w:val="en-US" w:eastAsia="zh-CN"/>
              </w:rPr>
            </w:pPr>
            <w:r>
              <w:rPr>
                <w:rFonts w:hint="eastAsia"/>
                <w:color w:val="auto"/>
                <w:lang w:val="en-US" w:eastAsia="zh-CN"/>
              </w:rPr>
              <w:t>20</w:t>
            </w:r>
          </w:p>
        </w:tc>
        <w:tc>
          <w:tcPr>
            <w:tcW w:w="203" w:type="pct"/>
            <w:vMerge w:val="restart"/>
            <w:noWrap w:val="0"/>
            <w:vAlign w:val="center"/>
          </w:tcPr>
          <w:p>
            <w:pPr>
              <w:jc w:val="center"/>
              <w:rPr>
                <w:rFonts w:hint="default"/>
                <w:color w:val="auto"/>
                <w:lang w:val="en-US" w:eastAsia="zh-CN"/>
              </w:rPr>
            </w:pPr>
            <w:r>
              <w:rPr>
                <w:rFonts w:hint="eastAsia"/>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noWrap w:val="0"/>
            <w:vAlign w:val="center"/>
          </w:tcPr>
          <w:p>
            <w:pPr>
              <w:jc w:val="center"/>
              <w:rPr>
                <w:rFonts w:hint="eastAsia" w:eastAsia="宋体"/>
                <w:b/>
                <w:bCs/>
                <w:color w:val="auto"/>
                <w:lang w:val="en-US" w:eastAsia="zh-CN"/>
              </w:rPr>
            </w:pPr>
            <w:r>
              <w:rPr>
                <w:rFonts w:hint="eastAsia"/>
                <w:b/>
                <w:bCs/>
                <w:color w:val="auto"/>
                <w:lang w:val="en-US" w:eastAsia="zh-CN"/>
              </w:rPr>
              <w:t>2</w:t>
            </w:r>
          </w:p>
        </w:tc>
        <w:tc>
          <w:tcPr>
            <w:tcW w:w="268" w:type="pct"/>
            <w:vMerge w:val="continue"/>
            <w:noWrap w:val="0"/>
            <w:vAlign w:val="center"/>
          </w:tcPr>
          <w:p>
            <w:pPr>
              <w:jc w:val="center"/>
              <w:rPr>
                <w:rFonts w:hint="eastAsia"/>
                <w:color w:val="auto"/>
              </w:rPr>
            </w:pPr>
          </w:p>
        </w:tc>
        <w:tc>
          <w:tcPr>
            <w:tcW w:w="403" w:type="pct"/>
            <w:vMerge w:val="continue"/>
            <w:noWrap w:val="0"/>
            <w:vAlign w:val="center"/>
          </w:tcPr>
          <w:p>
            <w:pPr>
              <w:jc w:val="center"/>
              <w:rPr>
                <w:rFonts w:hint="eastAsia"/>
                <w:color w:val="auto"/>
              </w:rPr>
            </w:pPr>
          </w:p>
        </w:tc>
        <w:tc>
          <w:tcPr>
            <w:tcW w:w="557" w:type="pct"/>
            <w:vMerge w:val="continue"/>
            <w:noWrap w:val="0"/>
            <w:vAlign w:val="center"/>
          </w:tcPr>
          <w:p>
            <w:pPr>
              <w:jc w:val="left"/>
              <w:rPr>
                <w:rFonts w:hint="default" w:eastAsia="宋体"/>
                <w:color w:val="auto"/>
                <w:lang w:val="en-US" w:eastAsia="zh-CN"/>
              </w:rPr>
            </w:pPr>
          </w:p>
        </w:tc>
        <w:tc>
          <w:tcPr>
            <w:tcW w:w="910" w:type="pct"/>
            <w:noWrap w:val="0"/>
            <w:vAlign w:val="center"/>
          </w:tcPr>
          <w:p>
            <w:pPr>
              <w:jc w:val="left"/>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环境保护或绿色低碳管理组织架构</w:t>
            </w:r>
          </w:p>
        </w:tc>
        <w:tc>
          <w:tcPr>
            <w:tcW w:w="1142"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企业应披露相应能源环保或低碳发展管理部门及其团队组织架构</w:t>
            </w:r>
          </w:p>
        </w:tc>
        <w:tc>
          <w:tcPr>
            <w:tcW w:w="1114" w:type="pct"/>
            <w:noWrap w:val="0"/>
            <w:vAlign w:val="center"/>
          </w:tcPr>
          <w:p>
            <w:pPr>
              <w:jc w:val="center"/>
              <w:rPr>
                <w:rFonts w:hint="eastAsia"/>
                <w:color w:val="auto"/>
                <w:lang w:val="en-US" w:eastAsia="zh-CN"/>
              </w:rPr>
            </w:pPr>
            <w:r>
              <w:rPr>
                <w:rFonts w:hint="eastAsia"/>
                <w:color w:val="auto"/>
                <w:lang w:val="en-US" w:eastAsia="zh-CN"/>
              </w:rPr>
              <w:t>企业无相应的能源环保或低碳发展管理部门得0分，企业具备相应的管理部门得10分，企业成立专门的环境保护或绿色低碳管理组织得20分；</w:t>
            </w:r>
          </w:p>
        </w:tc>
        <w:tc>
          <w:tcPr>
            <w:tcW w:w="193" w:type="pct"/>
            <w:noWrap w:val="0"/>
            <w:vAlign w:val="center"/>
          </w:tcPr>
          <w:p>
            <w:pPr>
              <w:jc w:val="center"/>
              <w:rPr>
                <w:rFonts w:hint="default"/>
                <w:color w:val="auto"/>
                <w:lang w:val="en-US" w:eastAsia="zh-CN"/>
              </w:rPr>
            </w:pPr>
            <w:r>
              <w:rPr>
                <w:rFonts w:hint="eastAsia"/>
                <w:color w:val="auto"/>
                <w:lang w:val="en-US" w:eastAsia="zh-CN"/>
              </w:rPr>
              <w:t>20</w:t>
            </w:r>
          </w:p>
        </w:tc>
        <w:tc>
          <w:tcPr>
            <w:tcW w:w="203" w:type="pct"/>
            <w:vMerge w:val="continue"/>
            <w:noWrap w:val="0"/>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noWrap w:val="0"/>
            <w:vAlign w:val="center"/>
          </w:tcPr>
          <w:p>
            <w:pPr>
              <w:jc w:val="center"/>
              <w:rPr>
                <w:rFonts w:hint="eastAsia" w:ascii="Times New Roman" w:hAnsi="Times New Roman" w:eastAsia="宋体" w:cs="Times New Roman"/>
                <w:b/>
                <w:bCs/>
                <w:color w:val="auto"/>
                <w:kern w:val="2"/>
                <w:sz w:val="21"/>
                <w:szCs w:val="21"/>
                <w:lang w:val="en-US" w:eastAsia="zh-CN" w:bidi="ar-SA"/>
              </w:rPr>
            </w:pPr>
            <w:r>
              <w:rPr>
                <w:rFonts w:hint="eastAsia"/>
                <w:b/>
                <w:bCs/>
                <w:color w:val="auto"/>
              </w:rPr>
              <w:t>3</w:t>
            </w:r>
          </w:p>
        </w:tc>
        <w:tc>
          <w:tcPr>
            <w:tcW w:w="268" w:type="pct"/>
            <w:vMerge w:val="continue"/>
            <w:noWrap w:val="0"/>
            <w:vAlign w:val="center"/>
          </w:tcPr>
          <w:p>
            <w:pPr>
              <w:jc w:val="center"/>
              <w:rPr>
                <w:b/>
                <w:bCs/>
                <w:color w:val="auto"/>
              </w:rPr>
            </w:pPr>
          </w:p>
        </w:tc>
        <w:tc>
          <w:tcPr>
            <w:tcW w:w="403" w:type="pct"/>
            <w:vMerge w:val="continue"/>
            <w:noWrap w:val="0"/>
            <w:vAlign w:val="center"/>
          </w:tcPr>
          <w:p>
            <w:pPr>
              <w:jc w:val="center"/>
              <w:rPr>
                <w:color w:val="auto"/>
              </w:rPr>
            </w:pPr>
          </w:p>
        </w:tc>
        <w:tc>
          <w:tcPr>
            <w:tcW w:w="557" w:type="pct"/>
            <w:vMerge w:val="continue"/>
            <w:noWrap w:val="0"/>
            <w:vAlign w:val="center"/>
          </w:tcPr>
          <w:p>
            <w:pPr>
              <w:jc w:val="left"/>
              <w:rPr>
                <w:rFonts w:hint="default" w:eastAsia="宋体"/>
                <w:color w:val="auto"/>
                <w:lang w:val="en-US" w:eastAsia="zh-CN"/>
              </w:rPr>
            </w:pPr>
          </w:p>
        </w:tc>
        <w:tc>
          <w:tcPr>
            <w:tcW w:w="910" w:type="pct"/>
            <w:noWrap w:val="0"/>
            <w:vAlign w:val="center"/>
          </w:tcPr>
          <w:p>
            <w:pPr>
              <w:jc w:val="left"/>
              <w:rPr>
                <w:rFonts w:hint="default"/>
                <w:color w:val="auto"/>
                <w:lang w:val="en-US" w:eastAsia="zh-CN"/>
              </w:rPr>
            </w:pPr>
            <w:r>
              <w:rPr>
                <w:rFonts w:hint="eastAsia"/>
                <w:color w:val="auto"/>
                <w:lang w:val="en-US" w:eastAsia="zh-CN"/>
              </w:rPr>
              <w:t>环境管理体系和能源管理体系建立实施情况</w:t>
            </w:r>
          </w:p>
        </w:tc>
        <w:tc>
          <w:tcPr>
            <w:tcW w:w="1142" w:type="pct"/>
            <w:noWrap w:val="0"/>
            <w:vAlign w:val="center"/>
          </w:tcPr>
          <w:p>
            <w:pPr>
              <w:jc w:val="center"/>
              <w:rPr>
                <w:rFonts w:hint="default"/>
                <w:color w:val="auto"/>
                <w:lang w:val="en-US" w:eastAsia="zh-CN"/>
              </w:rPr>
            </w:pPr>
            <w:r>
              <w:rPr>
                <w:rFonts w:hint="eastAsia"/>
                <w:color w:val="auto"/>
                <w:lang w:val="en-US" w:eastAsia="zh-CN"/>
              </w:rPr>
              <w:t>企业应建立和实施环境、能源管理体系，并通过相关认证等描述</w:t>
            </w:r>
          </w:p>
        </w:tc>
        <w:tc>
          <w:tcPr>
            <w:tcW w:w="1114" w:type="pct"/>
            <w:noWrap w:val="0"/>
            <w:vAlign w:val="center"/>
          </w:tcPr>
          <w:p>
            <w:pPr>
              <w:jc w:val="center"/>
              <w:rPr>
                <w:rFonts w:hint="eastAsia"/>
                <w:color w:val="auto"/>
                <w:lang w:val="en-US" w:eastAsia="zh-CN"/>
              </w:rPr>
            </w:pPr>
            <w:r>
              <w:rPr>
                <w:rFonts w:hint="eastAsia"/>
                <w:color w:val="auto"/>
                <w:lang w:val="en-US" w:eastAsia="zh-CN"/>
              </w:rPr>
              <w:t>企业未建立环境或能源管理体系得0分，建立和实施环境或能源管理体系得10分，建立和实施环境和能源管理体系得20分，建立和实施环境和能源管理体系，并获得相关认证证书得30分；</w:t>
            </w:r>
          </w:p>
        </w:tc>
        <w:tc>
          <w:tcPr>
            <w:tcW w:w="193" w:type="pct"/>
            <w:noWrap w:val="0"/>
            <w:vAlign w:val="center"/>
          </w:tcPr>
          <w:p>
            <w:pPr>
              <w:jc w:val="center"/>
              <w:rPr>
                <w:rFonts w:hint="default"/>
                <w:color w:val="auto"/>
                <w:lang w:val="en-US" w:eastAsia="zh-CN"/>
              </w:rPr>
            </w:pPr>
            <w:r>
              <w:rPr>
                <w:rFonts w:hint="eastAsia"/>
                <w:color w:val="auto"/>
                <w:lang w:val="en-US" w:eastAsia="zh-CN"/>
              </w:rPr>
              <w:t>30</w:t>
            </w:r>
          </w:p>
        </w:tc>
        <w:tc>
          <w:tcPr>
            <w:tcW w:w="203" w:type="pct"/>
            <w:vMerge w:val="continue"/>
            <w:noWrap w:val="0"/>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noWrap w:val="0"/>
            <w:vAlign w:val="center"/>
          </w:tcPr>
          <w:p>
            <w:pPr>
              <w:jc w:val="center"/>
              <w:rPr>
                <w:rFonts w:hint="eastAsia" w:ascii="Times New Roman" w:hAnsi="Times New Roman" w:eastAsia="宋体" w:cs="Times New Roman"/>
                <w:b/>
                <w:bCs/>
                <w:color w:val="auto"/>
                <w:kern w:val="2"/>
                <w:sz w:val="21"/>
                <w:szCs w:val="21"/>
                <w:lang w:val="en-US" w:eastAsia="zh-CN" w:bidi="ar-SA"/>
              </w:rPr>
            </w:pPr>
            <w:r>
              <w:rPr>
                <w:rFonts w:hint="eastAsia"/>
                <w:b/>
                <w:bCs/>
                <w:color w:val="auto"/>
                <w:lang w:val="en-US" w:eastAsia="zh-CN"/>
              </w:rPr>
              <w:t>4</w:t>
            </w:r>
          </w:p>
        </w:tc>
        <w:tc>
          <w:tcPr>
            <w:tcW w:w="268" w:type="pct"/>
            <w:vMerge w:val="continue"/>
            <w:noWrap w:val="0"/>
            <w:vAlign w:val="center"/>
          </w:tcPr>
          <w:p>
            <w:pPr>
              <w:jc w:val="center"/>
              <w:rPr>
                <w:b/>
                <w:bCs/>
                <w:color w:val="auto"/>
              </w:rPr>
            </w:pPr>
          </w:p>
        </w:tc>
        <w:tc>
          <w:tcPr>
            <w:tcW w:w="403" w:type="pct"/>
            <w:vMerge w:val="continue"/>
            <w:noWrap w:val="0"/>
            <w:vAlign w:val="center"/>
          </w:tcPr>
          <w:p>
            <w:pPr>
              <w:jc w:val="center"/>
              <w:rPr>
                <w:color w:val="auto"/>
              </w:rPr>
            </w:pPr>
          </w:p>
        </w:tc>
        <w:tc>
          <w:tcPr>
            <w:tcW w:w="557" w:type="pct"/>
            <w:vMerge w:val="restart"/>
            <w:noWrap w:val="0"/>
            <w:vAlign w:val="center"/>
          </w:tcPr>
          <w:p>
            <w:pPr>
              <w:jc w:val="left"/>
              <w:rPr>
                <w:rFonts w:hint="default" w:eastAsia="宋体"/>
                <w:color w:val="auto"/>
                <w:highlight w:val="none"/>
                <w:lang w:val="en-US" w:eastAsia="zh-CN"/>
              </w:rPr>
            </w:pPr>
            <w:r>
              <w:rPr>
                <w:rFonts w:hint="eastAsia"/>
                <w:color w:val="auto"/>
                <w:highlight w:val="none"/>
                <w:lang w:val="en-US" w:eastAsia="zh-CN"/>
              </w:rPr>
              <w:t>环境事件处理及应对</w:t>
            </w:r>
          </w:p>
        </w:tc>
        <w:tc>
          <w:tcPr>
            <w:tcW w:w="910" w:type="pct"/>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rPr>
              <w:t>环境领域违法违规事件</w:t>
            </w:r>
          </w:p>
        </w:tc>
        <w:tc>
          <w:tcPr>
            <w:tcW w:w="1142" w:type="pct"/>
            <w:noWrap w:val="0"/>
            <w:vAlign w:val="center"/>
          </w:tcPr>
          <w:p>
            <w:pPr>
              <w:jc w:val="center"/>
              <w:rPr>
                <w:rFonts w:hint="default" w:eastAsia="宋体"/>
                <w:color w:val="auto"/>
                <w:highlight w:val="none"/>
                <w:lang w:val="en-US" w:eastAsia="zh-CN"/>
              </w:rPr>
            </w:pPr>
            <w:r>
              <w:rPr>
                <w:rFonts w:hint="eastAsia"/>
                <w:color w:val="auto"/>
                <w:highlight w:val="none"/>
                <w:lang w:val="en-US" w:eastAsia="zh-CN"/>
              </w:rPr>
              <w:t>企业应披露主要环境违法违规事件情况，包括数量和基本情况描述。企业环境违法违规事件采用扣分法</w:t>
            </w:r>
          </w:p>
        </w:tc>
        <w:tc>
          <w:tcPr>
            <w:tcW w:w="1114" w:type="pct"/>
            <w:noWrap w:val="0"/>
            <w:vAlign w:val="center"/>
          </w:tcPr>
          <w:p>
            <w:pPr>
              <w:jc w:val="center"/>
              <w:rPr>
                <w:rFonts w:hint="default"/>
                <w:color w:val="auto"/>
                <w:highlight w:val="none"/>
                <w:lang w:val="en-US" w:eastAsia="zh-CN"/>
              </w:rPr>
            </w:pPr>
            <w:r>
              <w:rPr>
                <w:rFonts w:hint="eastAsia"/>
                <w:color w:val="auto"/>
                <w:highlight w:val="none"/>
                <w:lang w:val="en-US" w:eastAsia="zh-CN"/>
              </w:rPr>
              <w:t>企业无违法违规事件不扣分，发生违规事件但未造成严重影响扣40分，发生违规事件并造成重大影响的扣60分，因违规操作造成重大环境影响的扣100分；</w:t>
            </w:r>
          </w:p>
        </w:tc>
        <w:tc>
          <w:tcPr>
            <w:tcW w:w="193" w:type="pct"/>
            <w:noWrap w:val="0"/>
            <w:vAlign w:val="center"/>
          </w:tcPr>
          <w:p>
            <w:pPr>
              <w:jc w:val="center"/>
              <w:rPr>
                <w:rFonts w:hint="default"/>
                <w:color w:val="auto"/>
                <w:highlight w:val="none"/>
                <w:lang w:val="en-US" w:eastAsia="zh-CN"/>
              </w:rPr>
            </w:pPr>
            <w:r>
              <w:rPr>
                <w:rFonts w:hint="eastAsia"/>
                <w:color w:val="auto"/>
                <w:highlight w:val="none"/>
                <w:lang w:val="en-US" w:eastAsia="zh-CN"/>
              </w:rPr>
              <w:t>—</w:t>
            </w:r>
          </w:p>
        </w:tc>
        <w:tc>
          <w:tcPr>
            <w:tcW w:w="203" w:type="pct"/>
            <w:vMerge w:val="continue"/>
            <w:noWrap w:val="0"/>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noWrap w:val="0"/>
            <w:vAlign w:val="center"/>
          </w:tcPr>
          <w:p>
            <w:pPr>
              <w:jc w:val="center"/>
              <w:rPr>
                <w:rFonts w:hint="eastAsia"/>
                <w:b/>
                <w:bCs/>
                <w:color w:val="auto"/>
                <w:lang w:val="en-US" w:eastAsia="zh-CN"/>
              </w:rPr>
            </w:pPr>
            <w:r>
              <w:rPr>
                <w:rFonts w:hint="eastAsia"/>
                <w:b/>
                <w:bCs/>
                <w:color w:val="auto"/>
                <w:lang w:val="en-US" w:eastAsia="zh-CN"/>
              </w:rPr>
              <w:t>5</w:t>
            </w:r>
          </w:p>
        </w:tc>
        <w:tc>
          <w:tcPr>
            <w:tcW w:w="268" w:type="pct"/>
            <w:vMerge w:val="continue"/>
            <w:noWrap w:val="0"/>
            <w:vAlign w:val="center"/>
          </w:tcPr>
          <w:p>
            <w:pPr>
              <w:jc w:val="center"/>
              <w:rPr>
                <w:b/>
                <w:bCs/>
                <w:color w:val="auto"/>
              </w:rPr>
            </w:pPr>
          </w:p>
        </w:tc>
        <w:tc>
          <w:tcPr>
            <w:tcW w:w="403" w:type="pct"/>
            <w:vMerge w:val="continue"/>
            <w:noWrap w:val="0"/>
            <w:vAlign w:val="center"/>
          </w:tcPr>
          <w:p>
            <w:pPr>
              <w:jc w:val="center"/>
              <w:rPr>
                <w:color w:val="auto"/>
              </w:rPr>
            </w:pPr>
          </w:p>
        </w:tc>
        <w:tc>
          <w:tcPr>
            <w:tcW w:w="557" w:type="pct"/>
            <w:vMerge w:val="continue"/>
            <w:noWrap w:val="0"/>
            <w:vAlign w:val="center"/>
          </w:tcPr>
          <w:p>
            <w:pPr>
              <w:jc w:val="left"/>
              <w:rPr>
                <w:rFonts w:hint="eastAsia"/>
                <w:color w:val="auto"/>
                <w:highlight w:val="none"/>
                <w:lang w:val="en-US" w:eastAsia="zh-CN"/>
              </w:rPr>
            </w:pPr>
          </w:p>
        </w:tc>
        <w:tc>
          <w:tcPr>
            <w:tcW w:w="910" w:type="pct"/>
            <w:noWrap w:val="0"/>
            <w:vAlign w:val="center"/>
          </w:tcPr>
          <w:p>
            <w:pPr>
              <w:jc w:val="left"/>
              <w:rPr>
                <w:rFonts w:hint="default" w:eastAsia="宋体"/>
                <w:color w:val="auto"/>
                <w:highlight w:val="none"/>
                <w:lang w:val="en-US" w:eastAsia="zh-CN"/>
              </w:rPr>
            </w:pPr>
            <w:r>
              <w:rPr>
                <w:rFonts w:hint="eastAsia"/>
                <w:color w:val="auto"/>
                <w:highlight w:val="none"/>
                <w:lang w:val="en-US" w:eastAsia="zh-CN"/>
              </w:rPr>
              <w:t>突发环境类事件的应急预案</w:t>
            </w:r>
          </w:p>
        </w:tc>
        <w:tc>
          <w:tcPr>
            <w:tcW w:w="1142" w:type="pct"/>
            <w:noWrap w:val="0"/>
            <w:vAlign w:val="center"/>
          </w:tcPr>
          <w:p>
            <w:pPr>
              <w:jc w:val="center"/>
              <w:rPr>
                <w:rFonts w:hint="default"/>
                <w:color w:val="auto"/>
                <w:highlight w:val="none"/>
                <w:lang w:val="en-US" w:eastAsia="zh-CN"/>
              </w:rPr>
            </w:pPr>
            <w:r>
              <w:rPr>
                <w:rFonts w:hint="eastAsia"/>
                <w:color w:val="auto"/>
                <w:highlight w:val="none"/>
                <w:lang w:val="en-US" w:eastAsia="zh-CN"/>
              </w:rPr>
              <w:t>企业应披露处理突发环境类事件的主要应急预案或措施</w:t>
            </w:r>
          </w:p>
        </w:tc>
        <w:tc>
          <w:tcPr>
            <w:tcW w:w="1114" w:type="pct"/>
            <w:noWrap w:val="0"/>
            <w:vAlign w:val="center"/>
          </w:tcPr>
          <w:p>
            <w:pPr>
              <w:jc w:val="center"/>
              <w:rPr>
                <w:rFonts w:hint="eastAsia"/>
                <w:color w:val="auto"/>
                <w:highlight w:val="none"/>
                <w:lang w:val="en-US" w:eastAsia="zh-CN"/>
              </w:rPr>
            </w:pPr>
            <w:r>
              <w:rPr>
                <w:rFonts w:hint="eastAsia"/>
                <w:color w:val="auto"/>
                <w:highlight w:val="none"/>
                <w:lang w:val="en-US" w:eastAsia="zh-CN"/>
              </w:rPr>
              <w:t>企业未披露环境突发事件和相关预案得0分，企业披露环境突发事件或相关应急预案得10分，企业同时披露环境突发事件和详细应急预案或措施得30分；</w:t>
            </w:r>
          </w:p>
        </w:tc>
        <w:tc>
          <w:tcPr>
            <w:tcW w:w="193" w:type="pct"/>
            <w:noWrap w:val="0"/>
            <w:vAlign w:val="center"/>
          </w:tcPr>
          <w:p>
            <w:pPr>
              <w:jc w:val="center"/>
              <w:rPr>
                <w:rFonts w:hint="default"/>
                <w:color w:val="auto"/>
                <w:highlight w:val="none"/>
                <w:lang w:val="en-US" w:eastAsia="zh-CN"/>
              </w:rPr>
            </w:pPr>
            <w:r>
              <w:rPr>
                <w:rFonts w:hint="eastAsia"/>
                <w:color w:val="auto"/>
                <w:highlight w:val="none"/>
                <w:lang w:val="en-US" w:eastAsia="zh-CN"/>
              </w:rPr>
              <w:t>30</w:t>
            </w:r>
          </w:p>
        </w:tc>
        <w:tc>
          <w:tcPr>
            <w:tcW w:w="203" w:type="pct"/>
            <w:vMerge w:val="continue"/>
            <w:noWrap w:val="0"/>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6</w:t>
            </w:r>
          </w:p>
        </w:tc>
        <w:tc>
          <w:tcPr>
            <w:tcW w:w="268" w:type="pct"/>
            <w:vMerge w:val="continue"/>
            <w:noWrap w:val="0"/>
            <w:vAlign w:val="center"/>
          </w:tcPr>
          <w:p>
            <w:pPr>
              <w:jc w:val="center"/>
              <w:rPr>
                <w:b/>
                <w:bCs/>
                <w:color w:val="auto"/>
              </w:rPr>
            </w:pPr>
          </w:p>
        </w:tc>
        <w:tc>
          <w:tcPr>
            <w:tcW w:w="403" w:type="pct"/>
            <w:vMerge w:val="restart"/>
            <w:noWrap w:val="0"/>
            <w:vAlign w:val="center"/>
          </w:tcPr>
          <w:p>
            <w:pPr>
              <w:jc w:val="center"/>
              <w:rPr>
                <w:rFonts w:hint="default" w:eastAsia="宋体"/>
                <w:b/>
                <w:bCs/>
                <w:color w:val="auto"/>
                <w:lang w:val="en-US" w:eastAsia="zh-CN"/>
              </w:rPr>
            </w:pPr>
            <w:r>
              <w:rPr>
                <w:rFonts w:hint="eastAsia"/>
                <w:b w:val="0"/>
                <w:bCs w:val="0"/>
                <w:color w:val="auto"/>
                <w:lang w:val="en-US" w:eastAsia="zh-CN"/>
              </w:rPr>
              <w:t>资源能源消耗</w:t>
            </w:r>
          </w:p>
        </w:tc>
        <w:tc>
          <w:tcPr>
            <w:tcW w:w="557" w:type="pct"/>
            <w:vMerge w:val="restart"/>
            <w:noWrap w:val="0"/>
            <w:vAlign w:val="center"/>
          </w:tcPr>
          <w:p>
            <w:pPr>
              <w:jc w:val="left"/>
              <w:rPr>
                <w:rFonts w:hint="default" w:eastAsia="宋体"/>
                <w:b w:val="0"/>
                <w:bCs w:val="0"/>
                <w:color w:val="auto"/>
                <w:highlight w:val="none"/>
                <w:lang w:val="en-US" w:eastAsia="zh-CN"/>
              </w:rPr>
            </w:pPr>
            <w:r>
              <w:rPr>
                <w:rFonts w:hint="eastAsia"/>
                <w:b w:val="0"/>
                <w:bCs w:val="0"/>
                <w:color w:val="auto"/>
                <w:highlight w:val="none"/>
                <w:lang w:val="en-US" w:eastAsia="zh-CN"/>
              </w:rPr>
              <w:t>水资源消耗</w:t>
            </w:r>
          </w:p>
        </w:tc>
        <w:tc>
          <w:tcPr>
            <w:tcW w:w="910" w:type="pct"/>
            <w:noWrap w:val="0"/>
            <w:vAlign w:val="center"/>
          </w:tcPr>
          <w:p>
            <w:pPr>
              <w:jc w:val="left"/>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水资源使用管理及非常规水资源利用情况</w:t>
            </w:r>
          </w:p>
        </w:tc>
        <w:tc>
          <w:tcPr>
            <w:tcW w:w="1142" w:type="pct"/>
            <w:noWrap w:val="0"/>
            <w:vAlign w:val="center"/>
          </w:tcPr>
          <w:p>
            <w:pPr>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b w:val="0"/>
                <w:bCs w:val="0"/>
                <w:color w:val="auto"/>
                <w:highlight w:val="none"/>
                <w:lang w:val="en-US" w:eastAsia="zh-CN"/>
              </w:rPr>
              <w:t>企业应披露用水管理方针、目标及利用雨水、海水、城市中水等非常规水资源情况</w:t>
            </w:r>
          </w:p>
        </w:tc>
        <w:tc>
          <w:tcPr>
            <w:tcW w:w="1114" w:type="pct"/>
            <w:noWrap w:val="0"/>
            <w:vAlign w:val="center"/>
          </w:tcPr>
          <w:p>
            <w:pPr>
              <w:jc w:val="center"/>
              <w:rPr>
                <w:rFonts w:hint="default"/>
                <w:b w:val="0"/>
                <w:bCs w:val="0"/>
                <w:color w:val="auto"/>
                <w:highlight w:val="none"/>
                <w:lang w:val="en-US" w:eastAsia="zh-CN"/>
              </w:rPr>
            </w:pPr>
            <w:r>
              <w:rPr>
                <w:rFonts w:hint="eastAsia"/>
                <w:b w:val="0"/>
                <w:bCs w:val="0"/>
                <w:color w:val="auto"/>
                <w:highlight w:val="none"/>
                <w:lang w:val="en-US" w:eastAsia="zh-CN"/>
              </w:rPr>
              <w:t>企业</w:t>
            </w:r>
            <w:r>
              <w:rPr>
                <w:rFonts w:hint="eastAsia"/>
                <w:color w:val="auto"/>
                <w:highlight w:val="none"/>
                <w:lang w:val="en-US" w:eastAsia="zh-CN"/>
              </w:rPr>
              <w:t>未使用非常规水资源0分，</w:t>
            </w:r>
            <w:r>
              <w:rPr>
                <w:rFonts w:hint="eastAsia"/>
                <w:b w:val="0"/>
                <w:bCs w:val="0"/>
                <w:color w:val="auto"/>
                <w:highlight w:val="none"/>
                <w:lang w:val="en-US" w:eastAsia="zh-CN"/>
              </w:rPr>
              <w:t>使用了雨水、海水或城市中水得5分，使用非常规水资源达到行业先进水平</w:t>
            </w:r>
            <w:r>
              <w:rPr>
                <w:rFonts w:hint="eastAsia"/>
                <w:color w:val="auto"/>
                <w:highlight w:val="none"/>
                <w:lang w:val="en-US" w:eastAsia="zh-CN"/>
              </w:rPr>
              <w:t>得</w:t>
            </w:r>
            <w:r>
              <w:rPr>
                <w:rFonts w:hint="eastAsia"/>
                <w:b w:val="0"/>
                <w:bCs w:val="0"/>
                <w:color w:val="auto"/>
                <w:highlight w:val="none"/>
                <w:lang w:val="en-US" w:eastAsia="zh-CN"/>
              </w:rPr>
              <w:t>10分；</w:t>
            </w:r>
          </w:p>
        </w:tc>
        <w:tc>
          <w:tcPr>
            <w:tcW w:w="193" w:type="pct"/>
            <w:noWrap w:val="0"/>
            <w:vAlign w:val="center"/>
          </w:tcPr>
          <w:p>
            <w:pPr>
              <w:jc w:val="center"/>
              <w:rPr>
                <w:rFonts w:hint="default"/>
                <w:b w:val="0"/>
                <w:bCs w:val="0"/>
                <w:color w:val="auto"/>
                <w:highlight w:val="none"/>
                <w:lang w:val="en-US" w:eastAsia="zh-CN"/>
              </w:rPr>
            </w:pPr>
            <w:r>
              <w:rPr>
                <w:rFonts w:hint="eastAsia"/>
                <w:b w:val="0"/>
                <w:bCs w:val="0"/>
                <w:color w:val="auto"/>
                <w:highlight w:val="none"/>
                <w:lang w:val="en-US" w:eastAsia="zh-CN"/>
              </w:rPr>
              <w:t>10</w:t>
            </w:r>
          </w:p>
        </w:tc>
        <w:tc>
          <w:tcPr>
            <w:tcW w:w="203" w:type="pct"/>
            <w:vMerge w:val="restart"/>
            <w:noWrap w:val="0"/>
            <w:vAlign w:val="center"/>
          </w:tcPr>
          <w:p>
            <w:pPr>
              <w:jc w:val="center"/>
              <w:rPr>
                <w:rFonts w:hint="default"/>
                <w:b w:val="0"/>
                <w:bCs w:val="0"/>
                <w:color w:val="auto"/>
                <w:lang w:val="en-US" w:eastAsia="zh-CN"/>
              </w:rPr>
            </w:pPr>
            <w:r>
              <w:rPr>
                <w:rFonts w:hint="eastAsia"/>
                <w:b w:val="0"/>
                <w:bCs w:val="0"/>
                <w:color w:val="auto"/>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7</w:t>
            </w:r>
          </w:p>
        </w:tc>
        <w:tc>
          <w:tcPr>
            <w:tcW w:w="268" w:type="pct"/>
            <w:vMerge w:val="continue"/>
            <w:noWrap w:val="0"/>
            <w:vAlign w:val="center"/>
          </w:tcPr>
          <w:p>
            <w:pPr>
              <w:jc w:val="center"/>
              <w:rPr>
                <w:b/>
                <w:bCs/>
                <w:color w:val="auto"/>
              </w:rPr>
            </w:pPr>
          </w:p>
        </w:tc>
        <w:tc>
          <w:tcPr>
            <w:tcW w:w="403" w:type="pct"/>
            <w:vMerge w:val="continue"/>
            <w:noWrap w:val="0"/>
            <w:vAlign w:val="center"/>
          </w:tcPr>
          <w:p>
            <w:pPr>
              <w:jc w:val="center"/>
              <w:rPr>
                <w:rFonts w:hint="eastAsia"/>
                <w:b w:val="0"/>
                <w:bCs w:val="0"/>
                <w:color w:val="auto"/>
                <w:lang w:val="en-US" w:eastAsia="zh-CN"/>
              </w:rPr>
            </w:pPr>
          </w:p>
        </w:tc>
        <w:tc>
          <w:tcPr>
            <w:tcW w:w="557" w:type="pct"/>
            <w:vMerge w:val="continue"/>
            <w:noWrap w:val="0"/>
            <w:vAlign w:val="center"/>
          </w:tcPr>
          <w:p>
            <w:pPr>
              <w:jc w:val="left"/>
              <w:rPr>
                <w:rFonts w:hint="eastAsia"/>
                <w:b w:val="0"/>
                <w:bCs w:val="0"/>
                <w:color w:val="auto"/>
                <w:lang w:val="en-US" w:eastAsia="zh-CN"/>
              </w:rPr>
            </w:pPr>
          </w:p>
        </w:tc>
        <w:tc>
          <w:tcPr>
            <w:tcW w:w="910" w:type="pct"/>
            <w:noWrap w:val="0"/>
            <w:vAlign w:val="center"/>
          </w:tcPr>
          <w:p>
            <w:pPr>
              <w:jc w:val="left"/>
              <w:rPr>
                <w:rFonts w:hint="eastAsia" w:ascii="Times New Roman" w:hAnsi="Times New Roman" w:eastAsia="宋体" w:cs="Times New Roman"/>
                <w:b w:val="0"/>
                <w:bCs w:val="0"/>
                <w:color w:val="auto"/>
                <w:kern w:val="2"/>
                <w:sz w:val="21"/>
                <w:szCs w:val="21"/>
                <w:lang w:val="en-US" w:eastAsia="zh-CN" w:bidi="ar-SA"/>
              </w:rPr>
            </w:pPr>
            <w:r>
              <w:rPr>
                <w:rFonts w:hint="eastAsia"/>
                <w:b w:val="0"/>
                <w:bCs w:val="0"/>
                <w:color w:val="auto"/>
                <w:lang w:val="en-US" w:eastAsia="zh-CN"/>
              </w:rPr>
              <w:t>吨钢新水消耗</w:t>
            </w:r>
          </w:p>
        </w:tc>
        <w:tc>
          <w:tcPr>
            <w:tcW w:w="1142" w:type="pct"/>
            <w:noWrap w:val="0"/>
            <w:vAlign w:val="center"/>
          </w:tcPr>
          <w:p>
            <w:pPr>
              <w:jc w:val="center"/>
              <w:rPr>
                <w:rFonts w:hint="eastAsia" w:ascii="Times New Roman" w:hAnsi="Times New Roman" w:eastAsia="宋体" w:cs="Times New Roman"/>
                <w:b w:val="0"/>
                <w:bCs w:val="0"/>
                <w:color w:val="auto"/>
                <w:kern w:val="2"/>
                <w:sz w:val="21"/>
                <w:szCs w:val="21"/>
                <w:lang w:val="en-US" w:eastAsia="zh-CN" w:bidi="ar-SA"/>
              </w:rPr>
            </w:pPr>
            <w:r>
              <w:rPr>
                <w:rFonts w:hint="eastAsia"/>
                <w:b w:val="0"/>
                <w:bCs w:val="0"/>
                <w:color w:val="auto"/>
                <w:lang w:val="en-US" w:eastAsia="zh-CN"/>
              </w:rPr>
              <w:t>吨钢新水消耗（立方米</w:t>
            </w:r>
            <w:r>
              <w:rPr>
                <w:rFonts w:hint="eastAsia"/>
                <w:b w:val="0"/>
                <w:bCs w:val="0"/>
                <w:color w:val="auto"/>
                <w:vertAlign w:val="baseline"/>
                <w:lang w:val="en-US" w:eastAsia="zh-CN"/>
              </w:rPr>
              <w:t>/吨</w:t>
            </w:r>
            <w:r>
              <w:rPr>
                <w:rFonts w:hint="eastAsia"/>
                <w:b w:val="0"/>
                <w:bCs w:val="0"/>
                <w:color w:val="auto"/>
                <w:lang w:val="en-US" w:eastAsia="zh-CN"/>
              </w:rPr>
              <w:t>）=年消耗新水总量（万立方米）/年粗钢产量（万吨）。吨钢新水消耗应符合GB/T 18916.2等的相关要求</w:t>
            </w:r>
          </w:p>
        </w:tc>
        <w:tc>
          <w:tcPr>
            <w:tcW w:w="1114" w:type="pct"/>
            <w:noWrap w:val="0"/>
            <w:vAlign w:val="center"/>
          </w:tcPr>
          <w:p>
            <w:pPr>
              <w:jc w:val="center"/>
              <w:rPr>
                <w:rFonts w:hint="default"/>
                <w:b w:val="0"/>
                <w:bCs w:val="0"/>
                <w:color w:val="auto"/>
                <w:highlight w:val="none"/>
                <w:lang w:val="en-US" w:eastAsia="zh-CN"/>
              </w:rPr>
            </w:pPr>
            <w:r>
              <w:rPr>
                <w:rFonts w:hint="eastAsia"/>
                <w:b w:val="0"/>
                <w:bCs w:val="0"/>
                <w:color w:val="auto"/>
                <w:highlight w:val="none"/>
                <w:lang w:val="en-US" w:eastAsia="zh-CN"/>
              </w:rPr>
              <w:t>不符合</w:t>
            </w:r>
            <w:r>
              <w:rPr>
                <w:rFonts w:hint="eastAsia"/>
                <w:b w:val="0"/>
                <w:bCs w:val="0"/>
                <w:color w:val="auto"/>
                <w:lang w:val="en-US" w:eastAsia="zh-CN"/>
              </w:rPr>
              <w:t>GB/T 18916.2</w:t>
            </w:r>
            <w:r>
              <w:rPr>
                <w:rFonts w:hint="eastAsia"/>
                <w:b w:val="0"/>
                <w:bCs w:val="0"/>
                <w:color w:val="auto"/>
                <w:highlight w:val="none"/>
                <w:lang w:val="en-US" w:eastAsia="zh-CN"/>
              </w:rPr>
              <w:t>要求得0分；符合该标准要求得5分，达到该标准先进企业要求得10分；</w:t>
            </w:r>
          </w:p>
        </w:tc>
        <w:tc>
          <w:tcPr>
            <w:tcW w:w="193" w:type="pct"/>
            <w:noWrap w:val="0"/>
            <w:vAlign w:val="center"/>
          </w:tcPr>
          <w:p>
            <w:pPr>
              <w:jc w:val="center"/>
              <w:rPr>
                <w:rFonts w:hint="default"/>
                <w:b w:val="0"/>
                <w:bCs w:val="0"/>
                <w:color w:val="auto"/>
                <w:highlight w:val="none"/>
                <w:lang w:val="en-US" w:eastAsia="zh-CN"/>
              </w:rPr>
            </w:pPr>
            <w:r>
              <w:rPr>
                <w:rFonts w:hint="eastAsia"/>
                <w:b w:val="0"/>
                <w:bCs w:val="0"/>
                <w:color w:val="auto"/>
                <w:highlight w:val="none"/>
                <w:lang w:val="en-US" w:eastAsia="zh-CN"/>
              </w:rPr>
              <w:t>10</w:t>
            </w:r>
          </w:p>
        </w:tc>
        <w:tc>
          <w:tcPr>
            <w:tcW w:w="203" w:type="pct"/>
            <w:vMerge w:val="continue"/>
            <w:noWrap w:val="0"/>
            <w:vAlign w:val="center"/>
          </w:tcPr>
          <w:p>
            <w:pPr>
              <w:jc w:val="center"/>
              <w:rPr>
                <w:rFonts w:hint="eastAsia"/>
                <w:b w:val="0"/>
                <w:bCs w:val="0"/>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8</w:t>
            </w:r>
          </w:p>
        </w:tc>
        <w:tc>
          <w:tcPr>
            <w:tcW w:w="268" w:type="pct"/>
            <w:vMerge w:val="continue"/>
            <w:noWrap w:val="0"/>
            <w:vAlign w:val="center"/>
          </w:tcPr>
          <w:p>
            <w:pPr>
              <w:jc w:val="center"/>
              <w:rPr>
                <w:b/>
                <w:bCs/>
                <w:color w:val="auto"/>
              </w:rPr>
            </w:pPr>
          </w:p>
        </w:tc>
        <w:tc>
          <w:tcPr>
            <w:tcW w:w="403" w:type="pct"/>
            <w:vMerge w:val="continue"/>
            <w:noWrap w:val="0"/>
            <w:vAlign w:val="center"/>
          </w:tcPr>
          <w:p>
            <w:pPr>
              <w:jc w:val="center"/>
              <w:rPr>
                <w:color w:val="auto"/>
              </w:rPr>
            </w:pPr>
          </w:p>
        </w:tc>
        <w:tc>
          <w:tcPr>
            <w:tcW w:w="557" w:type="pct"/>
            <w:vMerge w:val="continue"/>
            <w:noWrap w:val="0"/>
            <w:vAlign w:val="center"/>
          </w:tcPr>
          <w:p>
            <w:pPr>
              <w:jc w:val="left"/>
              <w:rPr>
                <w:rFonts w:hint="default" w:eastAsia="宋体"/>
                <w:b w:val="0"/>
                <w:bCs w:val="0"/>
                <w:color w:val="auto"/>
                <w:lang w:val="en-US" w:eastAsia="zh-CN"/>
              </w:rPr>
            </w:pPr>
          </w:p>
        </w:tc>
        <w:tc>
          <w:tcPr>
            <w:tcW w:w="910" w:type="pct"/>
            <w:noWrap w:val="0"/>
            <w:vAlign w:val="center"/>
          </w:tcPr>
          <w:p>
            <w:pPr>
              <w:jc w:val="left"/>
              <w:rPr>
                <w:rFonts w:hint="default" w:ascii="Times New Roman" w:hAnsi="Times New Roman" w:eastAsia="宋体" w:cs="Times New Roman"/>
                <w:b w:val="0"/>
                <w:bCs w:val="0"/>
                <w:color w:val="auto"/>
                <w:kern w:val="2"/>
                <w:sz w:val="21"/>
                <w:szCs w:val="21"/>
                <w:lang w:val="en-US" w:eastAsia="zh-CN" w:bidi="ar-SA"/>
              </w:rPr>
            </w:pPr>
            <w:r>
              <w:rPr>
                <w:rFonts w:hint="eastAsia"/>
                <w:b w:val="0"/>
                <w:bCs w:val="0"/>
                <w:color w:val="auto"/>
                <w:lang w:val="en-US" w:eastAsia="zh-CN"/>
              </w:rPr>
              <w:t>水重复利用率</w:t>
            </w:r>
          </w:p>
        </w:tc>
        <w:tc>
          <w:tcPr>
            <w:tcW w:w="1142" w:type="pct"/>
            <w:noWrap w:val="0"/>
            <w:vAlign w:val="center"/>
          </w:tcPr>
          <w:p>
            <w:pPr>
              <w:jc w:val="center"/>
              <w:rPr>
                <w:rFonts w:hint="default"/>
                <w:b w:val="0"/>
                <w:bCs w:val="0"/>
                <w:color w:val="auto"/>
                <w:lang w:val="en-US" w:eastAsia="zh-CN"/>
              </w:rPr>
            </w:pPr>
            <w:r>
              <w:rPr>
                <w:rFonts w:hint="eastAsia"/>
                <w:b w:val="0"/>
                <w:bCs w:val="0"/>
                <w:color w:val="auto"/>
                <w:lang w:val="en-US" w:eastAsia="zh-CN"/>
              </w:rPr>
              <w:t>水重复利用率（%）=年重复用水量（万立方米）/年工业用水总量（年消耗新水总量+年重复用水量）（万立方米）╳100%</w:t>
            </w:r>
          </w:p>
        </w:tc>
        <w:tc>
          <w:tcPr>
            <w:tcW w:w="1114" w:type="pct"/>
            <w:noWrap w:val="0"/>
            <w:vAlign w:val="center"/>
          </w:tcPr>
          <w:p>
            <w:pPr>
              <w:jc w:val="center"/>
              <w:rPr>
                <w:rFonts w:hint="default"/>
                <w:b w:val="0"/>
                <w:bCs w:val="0"/>
                <w:color w:val="auto"/>
                <w:lang w:val="en-US" w:eastAsia="zh-CN"/>
              </w:rPr>
            </w:pPr>
            <w:r>
              <w:rPr>
                <w:rFonts w:hint="eastAsia"/>
                <w:b w:val="0"/>
                <w:bCs w:val="0"/>
                <w:color w:val="auto"/>
                <w:lang w:val="en-US" w:eastAsia="zh-CN"/>
              </w:rPr>
              <w:t>未达到行业平均水平得0分，达到行业平均水平得3分，达到行业先进水平得5分；</w:t>
            </w:r>
          </w:p>
        </w:tc>
        <w:tc>
          <w:tcPr>
            <w:tcW w:w="193" w:type="pct"/>
            <w:noWrap w:val="0"/>
            <w:vAlign w:val="center"/>
          </w:tcPr>
          <w:p>
            <w:pPr>
              <w:jc w:val="center"/>
              <w:rPr>
                <w:rFonts w:hint="default"/>
                <w:b w:val="0"/>
                <w:bCs w:val="0"/>
                <w:color w:val="auto"/>
                <w:lang w:val="en-US" w:eastAsia="zh-CN"/>
              </w:rPr>
            </w:pPr>
            <w:r>
              <w:rPr>
                <w:rFonts w:hint="eastAsia"/>
                <w:b w:val="0"/>
                <w:bCs w:val="0"/>
                <w:color w:val="auto"/>
                <w:lang w:val="en-US" w:eastAsia="zh-CN"/>
              </w:rPr>
              <w:t>5</w:t>
            </w:r>
          </w:p>
        </w:tc>
        <w:tc>
          <w:tcPr>
            <w:tcW w:w="203" w:type="pct"/>
            <w:vMerge w:val="continue"/>
            <w:noWrap w:val="0"/>
            <w:vAlign w:val="center"/>
          </w:tcPr>
          <w:p>
            <w:pPr>
              <w:jc w:val="center"/>
              <w:rPr>
                <w:rFonts w:hint="eastAsia"/>
                <w:b w:val="0"/>
                <w:bCs w:val="0"/>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9</w:t>
            </w:r>
          </w:p>
        </w:tc>
        <w:tc>
          <w:tcPr>
            <w:tcW w:w="268" w:type="pct"/>
            <w:vMerge w:val="continue"/>
            <w:noWrap w:val="0"/>
            <w:vAlign w:val="center"/>
          </w:tcPr>
          <w:p>
            <w:pPr>
              <w:jc w:val="center"/>
              <w:rPr>
                <w:b/>
                <w:bCs/>
                <w:color w:val="auto"/>
              </w:rPr>
            </w:pPr>
          </w:p>
        </w:tc>
        <w:tc>
          <w:tcPr>
            <w:tcW w:w="403" w:type="pct"/>
            <w:vMerge w:val="continue"/>
            <w:noWrap w:val="0"/>
            <w:vAlign w:val="center"/>
          </w:tcPr>
          <w:p>
            <w:pPr>
              <w:jc w:val="center"/>
              <w:rPr>
                <w:color w:val="auto"/>
              </w:rPr>
            </w:pPr>
          </w:p>
        </w:tc>
        <w:tc>
          <w:tcPr>
            <w:tcW w:w="557" w:type="pct"/>
            <w:vMerge w:val="restart"/>
            <w:noWrap w:val="0"/>
            <w:vAlign w:val="center"/>
          </w:tcPr>
          <w:p>
            <w:pPr>
              <w:jc w:val="left"/>
              <w:rPr>
                <w:rFonts w:hint="default" w:eastAsia="宋体"/>
                <w:color w:val="auto"/>
                <w:lang w:val="en-US" w:eastAsia="zh-CN"/>
              </w:rPr>
            </w:pPr>
            <w:r>
              <w:rPr>
                <w:rFonts w:hint="eastAsia"/>
                <w:color w:val="auto"/>
                <w:lang w:val="en-US" w:eastAsia="zh-CN"/>
              </w:rPr>
              <w:t>原燃料消耗</w:t>
            </w:r>
          </w:p>
        </w:tc>
        <w:tc>
          <w:tcPr>
            <w:tcW w:w="910" w:type="pct"/>
            <w:noWrap w:val="0"/>
            <w:vAlign w:val="center"/>
          </w:tcPr>
          <w:p>
            <w:pPr>
              <w:jc w:val="left"/>
              <w:rPr>
                <w:rFonts w:hint="default" w:eastAsia="宋体"/>
                <w:color w:val="auto"/>
                <w:lang w:val="en-US" w:eastAsia="zh-CN"/>
              </w:rPr>
            </w:pPr>
            <w:r>
              <w:rPr>
                <w:rFonts w:hint="eastAsia"/>
                <w:color w:val="auto"/>
                <w:lang w:val="en-US" w:eastAsia="zh-CN"/>
              </w:rPr>
              <w:t>原燃料使用管理</w:t>
            </w:r>
          </w:p>
        </w:tc>
        <w:tc>
          <w:tcPr>
            <w:tcW w:w="1142" w:type="pct"/>
            <w:noWrap w:val="0"/>
            <w:vAlign w:val="center"/>
          </w:tcPr>
          <w:p>
            <w:pPr>
              <w:jc w:val="center"/>
              <w:rPr>
                <w:rFonts w:hint="default"/>
                <w:b w:val="0"/>
                <w:bCs w:val="0"/>
                <w:color w:val="auto"/>
                <w:lang w:val="en-US" w:eastAsia="zh-CN"/>
              </w:rPr>
            </w:pPr>
            <w:r>
              <w:rPr>
                <w:rFonts w:hint="eastAsia"/>
                <w:b w:val="0"/>
                <w:bCs w:val="0"/>
                <w:color w:val="auto"/>
                <w:lang w:val="en-US" w:eastAsia="zh-CN"/>
              </w:rPr>
              <w:t>包括</w:t>
            </w:r>
            <w:r>
              <w:rPr>
                <w:rFonts w:hint="eastAsia"/>
                <w:color w:val="auto"/>
                <w:lang w:val="en-US" w:eastAsia="zh-CN"/>
              </w:rPr>
              <w:t>减少有害物的使用、绿色原料采购等</w:t>
            </w:r>
          </w:p>
        </w:tc>
        <w:tc>
          <w:tcPr>
            <w:tcW w:w="1114" w:type="pct"/>
            <w:noWrap w:val="0"/>
            <w:vAlign w:val="center"/>
          </w:tcPr>
          <w:p>
            <w:pPr>
              <w:jc w:val="center"/>
              <w:rPr>
                <w:rFonts w:hint="default"/>
                <w:b w:val="0"/>
                <w:bCs w:val="0"/>
                <w:color w:val="auto"/>
                <w:lang w:val="en-US" w:eastAsia="zh-CN"/>
              </w:rPr>
            </w:pPr>
            <w:r>
              <w:rPr>
                <w:rFonts w:hint="eastAsia"/>
                <w:b w:val="0"/>
                <w:bCs w:val="0"/>
                <w:color w:val="auto"/>
                <w:lang w:val="en-US" w:eastAsia="zh-CN"/>
              </w:rPr>
              <w:t>企业未进行减少有害物控制和绿色采购得0分，进行减少有害物控制或绿色采购得3分，进行减少有害物控制和绿色采购得5分；</w:t>
            </w:r>
          </w:p>
        </w:tc>
        <w:tc>
          <w:tcPr>
            <w:tcW w:w="193" w:type="pct"/>
            <w:noWrap w:val="0"/>
            <w:vAlign w:val="center"/>
          </w:tcPr>
          <w:p>
            <w:pPr>
              <w:jc w:val="center"/>
              <w:rPr>
                <w:rFonts w:hint="default"/>
                <w:b w:val="0"/>
                <w:bCs w:val="0"/>
                <w:color w:val="auto"/>
                <w:lang w:val="en-US" w:eastAsia="zh-CN"/>
              </w:rPr>
            </w:pPr>
            <w:r>
              <w:rPr>
                <w:rFonts w:hint="eastAsia"/>
                <w:b w:val="0"/>
                <w:bCs w:val="0"/>
                <w:color w:val="auto"/>
                <w:lang w:val="en-US" w:eastAsia="zh-CN"/>
              </w:rPr>
              <w:t>5</w:t>
            </w:r>
          </w:p>
        </w:tc>
        <w:tc>
          <w:tcPr>
            <w:tcW w:w="203" w:type="pct"/>
            <w:vMerge w:val="continue"/>
            <w:noWrap w:val="0"/>
            <w:vAlign w:val="center"/>
          </w:tcPr>
          <w:p>
            <w:pPr>
              <w:jc w:val="center"/>
              <w:rPr>
                <w:rFonts w:hint="eastAsia"/>
                <w:b w:val="0"/>
                <w:bCs w:val="0"/>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05" w:type="pct"/>
            <w:noWrap w:val="0"/>
            <w:vAlign w:val="center"/>
          </w:tcPr>
          <w:p>
            <w:pPr>
              <w:jc w:val="center"/>
              <w:rPr>
                <w:rFonts w:hint="default"/>
                <w:b/>
                <w:bCs/>
                <w:color w:val="auto"/>
                <w:lang w:val="en-US" w:eastAsia="zh-CN"/>
              </w:rPr>
            </w:pPr>
            <w:r>
              <w:rPr>
                <w:rFonts w:hint="eastAsia"/>
                <w:b/>
                <w:bCs/>
                <w:color w:val="auto"/>
                <w:lang w:val="en-US" w:eastAsia="zh-CN"/>
              </w:rPr>
              <w:t>10</w:t>
            </w:r>
          </w:p>
        </w:tc>
        <w:tc>
          <w:tcPr>
            <w:tcW w:w="268" w:type="pct"/>
            <w:vMerge w:val="continue"/>
            <w:noWrap w:val="0"/>
            <w:vAlign w:val="center"/>
          </w:tcPr>
          <w:p>
            <w:pPr>
              <w:jc w:val="center"/>
              <w:rPr>
                <w:b/>
                <w:bCs/>
                <w:color w:val="auto"/>
              </w:rPr>
            </w:pPr>
          </w:p>
        </w:tc>
        <w:tc>
          <w:tcPr>
            <w:tcW w:w="403" w:type="pct"/>
            <w:vMerge w:val="continue"/>
            <w:noWrap w:val="0"/>
            <w:vAlign w:val="center"/>
          </w:tcPr>
          <w:p>
            <w:pPr>
              <w:jc w:val="center"/>
              <w:rPr>
                <w:color w:val="auto"/>
              </w:rPr>
            </w:pPr>
          </w:p>
        </w:tc>
        <w:tc>
          <w:tcPr>
            <w:tcW w:w="557" w:type="pct"/>
            <w:vMerge w:val="continue"/>
            <w:noWrap w:val="0"/>
            <w:vAlign w:val="center"/>
          </w:tcPr>
          <w:p>
            <w:pPr>
              <w:jc w:val="left"/>
              <w:rPr>
                <w:rFonts w:hint="eastAsia"/>
                <w:color w:val="auto"/>
                <w:lang w:val="en-US" w:eastAsia="zh-CN"/>
              </w:rPr>
            </w:pPr>
          </w:p>
        </w:tc>
        <w:tc>
          <w:tcPr>
            <w:tcW w:w="910" w:type="pct"/>
            <w:noWrap w:val="0"/>
            <w:vAlign w:val="center"/>
          </w:tcPr>
          <w:p>
            <w:pPr>
              <w:jc w:val="left"/>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资源节约利用措施</w:t>
            </w:r>
          </w:p>
        </w:tc>
        <w:tc>
          <w:tcPr>
            <w:tcW w:w="1142" w:type="pct"/>
            <w:noWrap w:val="0"/>
            <w:vAlign w:val="center"/>
          </w:tcPr>
          <w:p>
            <w:pPr>
              <w:jc w:val="center"/>
              <w:rPr>
                <w:rFonts w:hint="eastAsia" w:ascii="Times New Roman" w:hAnsi="Times New Roman" w:eastAsia="宋体" w:cs="Times New Roman"/>
                <w:b w:val="0"/>
                <w:bCs w:val="0"/>
                <w:color w:val="auto"/>
                <w:kern w:val="2"/>
                <w:sz w:val="21"/>
                <w:szCs w:val="21"/>
                <w:lang w:val="en-US" w:eastAsia="zh-CN" w:bidi="ar-SA"/>
              </w:rPr>
            </w:pPr>
            <w:r>
              <w:rPr>
                <w:rFonts w:hint="eastAsia"/>
                <w:b w:val="0"/>
                <w:bCs w:val="0"/>
                <w:color w:val="auto"/>
                <w:lang w:val="en-US" w:eastAsia="zh-CN"/>
              </w:rPr>
              <w:t>包括</w:t>
            </w:r>
            <w:r>
              <w:rPr>
                <w:rFonts w:hint="eastAsia"/>
                <w:color w:val="auto"/>
                <w:lang w:val="en-US" w:eastAsia="zh-CN"/>
              </w:rPr>
              <w:t>铁矿石、石灰石、白云石等原辅料，以及铁合金、煤炭等资源的节约利用措施等</w:t>
            </w:r>
          </w:p>
        </w:tc>
        <w:tc>
          <w:tcPr>
            <w:tcW w:w="1114" w:type="pct"/>
            <w:noWrap w:val="0"/>
            <w:vAlign w:val="center"/>
          </w:tcPr>
          <w:p>
            <w:pPr>
              <w:jc w:val="center"/>
              <w:rPr>
                <w:rFonts w:hint="default"/>
                <w:b w:val="0"/>
                <w:bCs w:val="0"/>
                <w:color w:val="auto"/>
                <w:lang w:val="en-US" w:eastAsia="zh-CN"/>
              </w:rPr>
            </w:pPr>
            <w:r>
              <w:rPr>
                <w:rFonts w:hint="eastAsia"/>
                <w:b w:val="0"/>
                <w:bCs w:val="0"/>
                <w:color w:val="auto"/>
                <w:lang w:val="en-US" w:eastAsia="zh-CN"/>
              </w:rPr>
              <w:t>企业未采取节约利用措施得0分，采取节约利用措施得5分；</w:t>
            </w:r>
          </w:p>
        </w:tc>
        <w:tc>
          <w:tcPr>
            <w:tcW w:w="193" w:type="pct"/>
            <w:noWrap w:val="0"/>
            <w:vAlign w:val="center"/>
          </w:tcPr>
          <w:p>
            <w:pPr>
              <w:jc w:val="center"/>
              <w:rPr>
                <w:rFonts w:hint="default"/>
                <w:b w:val="0"/>
                <w:bCs w:val="0"/>
                <w:color w:val="auto"/>
                <w:lang w:val="en-US" w:eastAsia="zh-CN"/>
              </w:rPr>
            </w:pPr>
            <w:r>
              <w:rPr>
                <w:rFonts w:hint="eastAsia"/>
                <w:b w:val="0"/>
                <w:bCs w:val="0"/>
                <w:color w:val="auto"/>
                <w:lang w:val="en-US" w:eastAsia="zh-CN"/>
              </w:rPr>
              <w:t>5</w:t>
            </w:r>
          </w:p>
        </w:tc>
        <w:tc>
          <w:tcPr>
            <w:tcW w:w="203" w:type="pct"/>
            <w:vMerge w:val="continue"/>
            <w:noWrap w:val="0"/>
            <w:vAlign w:val="center"/>
          </w:tcPr>
          <w:p>
            <w:pPr>
              <w:jc w:val="center"/>
              <w:rPr>
                <w:rFonts w:hint="eastAsia"/>
                <w:b w:val="0"/>
                <w:bCs w:val="0"/>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11</w:t>
            </w:r>
          </w:p>
        </w:tc>
        <w:tc>
          <w:tcPr>
            <w:tcW w:w="268" w:type="pct"/>
            <w:vMerge w:val="continue"/>
            <w:noWrap w:val="0"/>
            <w:vAlign w:val="center"/>
          </w:tcPr>
          <w:p>
            <w:pPr>
              <w:jc w:val="center"/>
              <w:rPr>
                <w:b/>
                <w:bCs/>
                <w:color w:val="auto"/>
              </w:rPr>
            </w:pPr>
          </w:p>
        </w:tc>
        <w:tc>
          <w:tcPr>
            <w:tcW w:w="403" w:type="pct"/>
            <w:vMerge w:val="continue"/>
            <w:noWrap w:val="0"/>
            <w:vAlign w:val="center"/>
          </w:tcPr>
          <w:p>
            <w:pPr>
              <w:jc w:val="center"/>
              <w:rPr>
                <w:color w:val="auto"/>
              </w:rPr>
            </w:pPr>
          </w:p>
        </w:tc>
        <w:tc>
          <w:tcPr>
            <w:tcW w:w="557" w:type="pct"/>
            <w:vMerge w:val="continue"/>
            <w:noWrap w:val="0"/>
            <w:vAlign w:val="center"/>
          </w:tcPr>
          <w:p>
            <w:pPr>
              <w:jc w:val="left"/>
              <w:rPr>
                <w:color w:val="auto"/>
              </w:rPr>
            </w:pPr>
          </w:p>
        </w:tc>
        <w:tc>
          <w:tcPr>
            <w:tcW w:w="910" w:type="pct"/>
            <w:noWrap w:val="0"/>
            <w:vAlign w:val="center"/>
          </w:tcPr>
          <w:p>
            <w:pPr>
              <w:jc w:val="left"/>
              <w:rPr>
                <w:rFonts w:hint="default" w:eastAsia="宋体"/>
                <w:color w:val="auto"/>
                <w:lang w:val="en-US" w:eastAsia="zh-CN"/>
              </w:rPr>
            </w:pPr>
            <w:r>
              <w:rPr>
                <w:rFonts w:hint="eastAsia"/>
                <w:color w:val="auto"/>
                <w:lang w:val="en-US" w:eastAsia="zh-CN"/>
              </w:rPr>
              <w:t>铁矿石消耗</w:t>
            </w:r>
          </w:p>
        </w:tc>
        <w:tc>
          <w:tcPr>
            <w:tcW w:w="1142" w:type="pct"/>
            <w:noWrap w:val="0"/>
            <w:vAlign w:val="center"/>
          </w:tcPr>
          <w:p>
            <w:pPr>
              <w:jc w:val="center"/>
              <w:rPr>
                <w:rFonts w:hint="eastAsia"/>
                <w:b w:val="0"/>
                <w:bCs w:val="0"/>
                <w:color w:val="auto"/>
                <w:lang w:val="en-US" w:eastAsia="zh-CN"/>
              </w:rPr>
            </w:pPr>
            <w:r>
              <w:rPr>
                <w:rFonts w:hint="eastAsia"/>
                <w:b w:val="0"/>
                <w:bCs w:val="0"/>
                <w:color w:val="auto"/>
                <w:lang w:val="en-US" w:eastAsia="zh-CN"/>
              </w:rPr>
              <w:t>铁矿石消耗（千克/吨）=年铁矿石消耗量（千克）/年生铁合格产出量（吨）</w:t>
            </w:r>
          </w:p>
        </w:tc>
        <w:tc>
          <w:tcPr>
            <w:tcW w:w="1114" w:type="pct"/>
            <w:noWrap w:val="0"/>
            <w:vAlign w:val="center"/>
          </w:tcPr>
          <w:p>
            <w:pPr>
              <w:jc w:val="center"/>
              <w:rPr>
                <w:rFonts w:hint="eastAsia"/>
                <w:b w:val="0"/>
                <w:bCs w:val="0"/>
                <w:color w:val="auto"/>
                <w:lang w:val="en-US" w:eastAsia="zh-CN"/>
              </w:rPr>
            </w:pPr>
            <w:r>
              <w:rPr>
                <w:rFonts w:hint="eastAsia"/>
                <w:b w:val="0"/>
                <w:bCs w:val="0"/>
                <w:color w:val="auto"/>
                <w:lang w:val="en-US" w:eastAsia="zh-CN"/>
              </w:rPr>
              <w:t>未达到行业平均水平得0分，达到行业平均水平得3分，达到行业先进水平得5分；</w:t>
            </w:r>
          </w:p>
        </w:tc>
        <w:tc>
          <w:tcPr>
            <w:tcW w:w="193" w:type="pct"/>
            <w:noWrap w:val="0"/>
            <w:vAlign w:val="center"/>
          </w:tcPr>
          <w:p>
            <w:pPr>
              <w:jc w:val="center"/>
              <w:rPr>
                <w:rFonts w:hint="default"/>
                <w:b w:val="0"/>
                <w:bCs w:val="0"/>
                <w:color w:val="auto"/>
                <w:lang w:val="en-US" w:eastAsia="zh-CN"/>
              </w:rPr>
            </w:pPr>
            <w:r>
              <w:rPr>
                <w:rFonts w:hint="eastAsia"/>
                <w:b w:val="0"/>
                <w:bCs w:val="0"/>
                <w:color w:val="auto"/>
                <w:lang w:val="en-US" w:eastAsia="zh-CN"/>
              </w:rPr>
              <w:t>5</w:t>
            </w:r>
          </w:p>
        </w:tc>
        <w:tc>
          <w:tcPr>
            <w:tcW w:w="203" w:type="pct"/>
            <w:vMerge w:val="continue"/>
            <w:noWrap w:val="0"/>
            <w:vAlign w:val="center"/>
          </w:tcPr>
          <w:p>
            <w:pPr>
              <w:jc w:val="center"/>
              <w:rPr>
                <w:rFonts w:hint="eastAsia"/>
                <w:b w:val="0"/>
                <w:bCs w:val="0"/>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12</w:t>
            </w:r>
          </w:p>
        </w:tc>
        <w:tc>
          <w:tcPr>
            <w:tcW w:w="268" w:type="pct"/>
            <w:vMerge w:val="continue"/>
            <w:noWrap w:val="0"/>
            <w:vAlign w:val="center"/>
          </w:tcPr>
          <w:p>
            <w:pPr>
              <w:jc w:val="center"/>
              <w:rPr>
                <w:b/>
                <w:bCs/>
                <w:color w:val="auto"/>
              </w:rPr>
            </w:pPr>
          </w:p>
        </w:tc>
        <w:tc>
          <w:tcPr>
            <w:tcW w:w="403" w:type="pct"/>
            <w:vMerge w:val="continue"/>
            <w:noWrap w:val="0"/>
            <w:vAlign w:val="center"/>
          </w:tcPr>
          <w:p>
            <w:pPr>
              <w:jc w:val="center"/>
              <w:rPr>
                <w:color w:val="auto"/>
              </w:rPr>
            </w:pPr>
          </w:p>
        </w:tc>
        <w:tc>
          <w:tcPr>
            <w:tcW w:w="557" w:type="pct"/>
            <w:vMerge w:val="continue"/>
            <w:noWrap w:val="0"/>
            <w:vAlign w:val="center"/>
          </w:tcPr>
          <w:p>
            <w:pPr>
              <w:jc w:val="left"/>
              <w:rPr>
                <w:color w:val="auto"/>
              </w:rPr>
            </w:pPr>
          </w:p>
        </w:tc>
        <w:tc>
          <w:tcPr>
            <w:tcW w:w="910" w:type="pct"/>
            <w:noWrap w:val="0"/>
            <w:vAlign w:val="center"/>
          </w:tcPr>
          <w:p>
            <w:pPr>
              <w:jc w:val="left"/>
              <w:rPr>
                <w:rFonts w:hint="default"/>
                <w:color w:val="auto"/>
                <w:lang w:val="en-US" w:eastAsia="zh-CN"/>
              </w:rPr>
            </w:pPr>
            <w:r>
              <w:rPr>
                <w:rFonts w:hint="eastAsia"/>
                <w:color w:val="auto"/>
                <w:lang w:val="en-US" w:eastAsia="zh-CN"/>
              </w:rPr>
              <w:t>高炉燃料比</w:t>
            </w:r>
          </w:p>
        </w:tc>
        <w:tc>
          <w:tcPr>
            <w:tcW w:w="1142" w:type="pct"/>
            <w:noWrap w:val="0"/>
            <w:vAlign w:val="center"/>
          </w:tcPr>
          <w:p>
            <w:pPr>
              <w:jc w:val="center"/>
              <w:rPr>
                <w:rFonts w:hint="default"/>
                <w:b w:val="0"/>
                <w:bCs w:val="0"/>
                <w:color w:val="auto"/>
                <w:lang w:val="en-US" w:eastAsia="zh-CN"/>
              </w:rPr>
            </w:pPr>
            <w:r>
              <w:rPr>
                <w:rFonts w:hint="eastAsia"/>
                <w:b w:val="0"/>
                <w:bCs w:val="0"/>
                <w:color w:val="auto"/>
                <w:lang w:val="en-US" w:eastAsia="zh-CN"/>
              </w:rPr>
              <w:t>高炉燃料比（千克/吨）=年燃料耗用总量（千克）/年生铁合格产出量（吨）</w:t>
            </w:r>
          </w:p>
        </w:tc>
        <w:tc>
          <w:tcPr>
            <w:tcW w:w="1114" w:type="pct"/>
            <w:noWrap w:val="0"/>
            <w:vAlign w:val="center"/>
          </w:tcPr>
          <w:p>
            <w:pPr>
              <w:jc w:val="center"/>
              <w:rPr>
                <w:rFonts w:hint="eastAsia"/>
                <w:b w:val="0"/>
                <w:bCs w:val="0"/>
                <w:color w:val="auto"/>
                <w:lang w:val="en-US" w:eastAsia="zh-CN"/>
              </w:rPr>
            </w:pPr>
            <w:r>
              <w:rPr>
                <w:rFonts w:hint="eastAsia"/>
                <w:b w:val="0"/>
                <w:bCs w:val="0"/>
                <w:color w:val="auto"/>
                <w:lang w:val="en-US" w:eastAsia="zh-CN"/>
              </w:rPr>
              <w:t>未达到行业平均水平得0分，达到行业平均水平得3分，达到行业先进水平得5分；</w:t>
            </w:r>
          </w:p>
        </w:tc>
        <w:tc>
          <w:tcPr>
            <w:tcW w:w="193" w:type="pct"/>
            <w:noWrap w:val="0"/>
            <w:vAlign w:val="center"/>
          </w:tcPr>
          <w:p>
            <w:pPr>
              <w:jc w:val="center"/>
              <w:rPr>
                <w:rFonts w:hint="default"/>
                <w:b w:val="0"/>
                <w:bCs w:val="0"/>
                <w:color w:val="auto"/>
                <w:lang w:val="en-US" w:eastAsia="zh-CN"/>
              </w:rPr>
            </w:pPr>
            <w:r>
              <w:rPr>
                <w:rFonts w:hint="eastAsia"/>
                <w:b w:val="0"/>
                <w:bCs w:val="0"/>
                <w:color w:val="auto"/>
                <w:lang w:val="en-US" w:eastAsia="zh-CN"/>
              </w:rPr>
              <w:t>5</w:t>
            </w:r>
          </w:p>
        </w:tc>
        <w:tc>
          <w:tcPr>
            <w:tcW w:w="203" w:type="pct"/>
            <w:vMerge w:val="continue"/>
            <w:noWrap w:val="0"/>
            <w:vAlign w:val="center"/>
          </w:tcPr>
          <w:p>
            <w:pPr>
              <w:jc w:val="center"/>
              <w:rPr>
                <w:rFonts w:hint="eastAsia"/>
                <w:b w:val="0"/>
                <w:bCs w:val="0"/>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13</w:t>
            </w:r>
          </w:p>
        </w:tc>
        <w:tc>
          <w:tcPr>
            <w:tcW w:w="268" w:type="pct"/>
            <w:vMerge w:val="continue"/>
            <w:noWrap w:val="0"/>
            <w:vAlign w:val="center"/>
          </w:tcPr>
          <w:p>
            <w:pPr>
              <w:jc w:val="center"/>
              <w:rPr>
                <w:b/>
                <w:bCs/>
                <w:color w:val="auto"/>
              </w:rPr>
            </w:pPr>
          </w:p>
        </w:tc>
        <w:tc>
          <w:tcPr>
            <w:tcW w:w="403" w:type="pct"/>
            <w:vMerge w:val="continue"/>
            <w:noWrap w:val="0"/>
            <w:vAlign w:val="center"/>
          </w:tcPr>
          <w:p>
            <w:pPr>
              <w:jc w:val="center"/>
              <w:rPr>
                <w:color w:val="auto"/>
              </w:rPr>
            </w:pPr>
          </w:p>
        </w:tc>
        <w:tc>
          <w:tcPr>
            <w:tcW w:w="557" w:type="pct"/>
            <w:vMerge w:val="continue"/>
            <w:noWrap w:val="0"/>
            <w:vAlign w:val="center"/>
          </w:tcPr>
          <w:p>
            <w:pPr>
              <w:jc w:val="left"/>
              <w:rPr>
                <w:color w:val="auto"/>
              </w:rPr>
            </w:pPr>
          </w:p>
        </w:tc>
        <w:tc>
          <w:tcPr>
            <w:tcW w:w="910" w:type="pct"/>
            <w:noWrap w:val="0"/>
            <w:vAlign w:val="center"/>
          </w:tcPr>
          <w:p>
            <w:pPr>
              <w:jc w:val="left"/>
              <w:rPr>
                <w:rFonts w:hint="default" w:eastAsia="宋体"/>
                <w:color w:val="auto"/>
                <w:lang w:val="en-US" w:eastAsia="zh-CN"/>
              </w:rPr>
            </w:pPr>
            <w:r>
              <w:rPr>
                <w:rFonts w:hint="eastAsia"/>
                <w:color w:val="auto"/>
                <w:lang w:val="en-US" w:eastAsia="zh-CN"/>
              </w:rPr>
              <w:t>炼钢钢铁料消耗</w:t>
            </w:r>
          </w:p>
        </w:tc>
        <w:tc>
          <w:tcPr>
            <w:tcW w:w="1142" w:type="pct"/>
            <w:noWrap w:val="0"/>
            <w:vAlign w:val="center"/>
          </w:tcPr>
          <w:p>
            <w:pPr>
              <w:jc w:val="center"/>
              <w:rPr>
                <w:rFonts w:hint="eastAsia"/>
                <w:b w:val="0"/>
                <w:bCs w:val="0"/>
                <w:color w:val="auto"/>
                <w:lang w:val="en-US" w:eastAsia="zh-CN"/>
              </w:rPr>
            </w:pPr>
            <w:r>
              <w:rPr>
                <w:rFonts w:hint="eastAsia"/>
                <w:b w:val="0"/>
                <w:bCs w:val="0"/>
                <w:color w:val="auto"/>
                <w:lang w:val="en-US" w:eastAsia="zh-CN"/>
              </w:rPr>
              <w:t>钢铁料消耗（千克/吨）=年铁水和/或废钢消耗量（千克）/年粗钢产量（吨）</w:t>
            </w:r>
          </w:p>
        </w:tc>
        <w:tc>
          <w:tcPr>
            <w:tcW w:w="1114" w:type="pct"/>
            <w:noWrap w:val="0"/>
            <w:vAlign w:val="center"/>
          </w:tcPr>
          <w:p>
            <w:pPr>
              <w:jc w:val="center"/>
              <w:rPr>
                <w:rFonts w:hint="eastAsia"/>
                <w:b w:val="0"/>
                <w:bCs w:val="0"/>
                <w:color w:val="auto"/>
                <w:lang w:val="en-US" w:eastAsia="zh-CN"/>
              </w:rPr>
            </w:pPr>
            <w:r>
              <w:rPr>
                <w:rFonts w:hint="eastAsia"/>
                <w:b w:val="0"/>
                <w:bCs w:val="0"/>
                <w:color w:val="auto"/>
                <w:lang w:val="en-US" w:eastAsia="zh-CN"/>
              </w:rPr>
              <w:t>未达到行业平均水平得0分，达到行业平均水平得3分，达到行业先进水平得5分；</w:t>
            </w:r>
          </w:p>
        </w:tc>
        <w:tc>
          <w:tcPr>
            <w:tcW w:w="193" w:type="pct"/>
            <w:noWrap w:val="0"/>
            <w:vAlign w:val="center"/>
          </w:tcPr>
          <w:p>
            <w:pPr>
              <w:jc w:val="center"/>
              <w:rPr>
                <w:rFonts w:hint="default"/>
                <w:b w:val="0"/>
                <w:bCs w:val="0"/>
                <w:color w:val="auto"/>
                <w:lang w:val="en-US" w:eastAsia="zh-CN"/>
              </w:rPr>
            </w:pPr>
            <w:r>
              <w:rPr>
                <w:rFonts w:hint="eastAsia"/>
                <w:b w:val="0"/>
                <w:bCs w:val="0"/>
                <w:color w:val="auto"/>
                <w:lang w:val="en-US" w:eastAsia="zh-CN"/>
              </w:rPr>
              <w:t>5</w:t>
            </w:r>
          </w:p>
        </w:tc>
        <w:tc>
          <w:tcPr>
            <w:tcW w:w="203" w:type="pct"/>
            <w:vMerge w:val="continue"/>
            <w:noWrap w:val="0"/>
            <w:vAlign w:val="center"/>
          </w:tcPr>
          <w:p>
            <w:pPr>
              <w:jc w:val="center"/>
              <w:rPr>
                <w:rFonts w:hint="eastAsia"/>
                <w:b w:val="0"/>
                <w:bCs w:val="0"/>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14</w:t>
            </w:r>
          </w:p>
        </w:tc>
        <w:tc>
          <w:tcPr>
            <w:tcW w:w="268" w:type="pct"/>
            <w:vMerge w:val="continue"/>
            <w:noWrap w:val="0"/>
            <w:vAlign w:val="center"/>
          </w:tcPr>
          <w:p>
            <w:pPr>
              <w:jc w:val="center"/>
              <w:rPr>
                <w:b/>
                <w:bCs/>
                <w:color w:val="auto"/>
              </w:rPr>
            </w:pPr>
          </w:p>
        </w:tc>
        <w:tc>
          <w:tcPr>
            <w:tcW w:w="403" w:type="pct"/>
            <w:vMerge w:val="continue"/>
            <w:noWrap w:val="0"/>
            <w:vAlign w:val="center"/>
          </w:tcPr>
          <w:p>
            <w:pPr>
              <w:jc w:val="center"/>
              <w:rPr>
                <w:color w:val="auto"/>
              </w:rPr>
            </w:pPr>
          </w:p>
        </w:tc>
        <w:tc>
          <w:tcPr>
            <w:tcW w:w="557" w:type="pct"/>
            <w:vMerge w:val="restart"/>
            <w:noWrap w:val="0"/>
            <w:vAlign w:val="center"/>
          </w:tcPr>
          <w:p>
            <w:pPr>
              <w:jc w:val="left"/>
              <w:rPr>
                <w:rFonts w:hint="default" w:eastAsia="宋体"/>
                <w:color w:val="auto"/>
                <w:lang w:val="en-US" w:eastAsia="zh-CN"/>
              </w:rPr>
            </w:pPr>
            <w:r>
              <w:rPr>
                <w:rFonts w:hint="eastAsia"/>
                <w:color w:val="auto"/>
                <w:lang w:val="en-US" w:eastAsia="zh-CN"/>
              </w:rPr>
              <w:t>能源消耗</w:t>
            </w:r>
          </w:p>
        </w:tc>
        <w:tc>
          <w:tcPr>
            <w:tcW w:w="910" w:type="pct"/>
            <w:noWrap w:val="0"/>
            <w:vAlign w:val="center"/>
          </w:tcPr>
          <w:p>
            <w:pPr>
              <w:jc w:val="left"/>
              <w:rPr>
                <w:rFonts w:hint="default"/>
                <w:color w:val="auto"/>
                <w:lang w:val="en-US" w:eastAsia="zh-CN"/>
              </w:rPr>
            </w:pPr>
            <w:r>
              <w:rPr>
                <w:rFonts w:hint="eastAsia"/>
                <w:color w:val="auto"/>
                <w:lang w:val="en-US" w:eastAsia="zh-CN"/>
              </w:rPr>
              <w:t>可再生能源的使用</w:t>
            </w:r>
          </w:p>
        </w:tc>
        <w:tc>
          <w:tcPr>
            <w:tcW w:w="1142" w:type="pct"/>
            <w:noWrap w:val="0"/>
            <w:vAlign w:val="center"/>
          </w:tcPr>
          <w:p>
            <w:pPr>
              <w:jc w:val="center"/>
              <w:rPr>
                <w:rFonts w:hint="default" w:ascii="Times New Roman" w:hAnsi="Times New Roman" w:eastAsia="宋体" w:cs="Times New Roman"/>
                <w:b w:val="0"/>
                <w:bCs w:val="0"/>
                <w:color w:val="auto"/>
                <w:kern w:val="2"/>
                <w:sz w:val="21"/>
                <w:szCs w:val="21"/>
                <w:lang w:val="en-US" w:eastAsia="zh-CN" w:bidi="ar-SA"/>
              </w:rPr>
            </w:pPr>
            <w:r>
              <w:rPr>
                <w:rFonts w:hint="eastAsia"/>
                <w:b w:val="0"/>
                <w:bCs w:val="0"/>
                <w:color w:val="auto"/>
                <w:lang w:val="en-US" w:eastAsia="zh-CN"/>
              </w:rPr>
              <w:t>包括太阳能、风能等可再生能源的使用情况和使用比例</w:t>
            </w:r>
          </w:p>
        </w:tc>
        <w:tc>
          <w:tcPr>
            <w:tcW w:w="1114" w:type="pct"/>
            <w:noWrap w:val="0"/>
            <w:vAlign w:val="center"/>
          </w:tcPr>
          <w:p>
            <w:pPr>
              <w:jc w:val="center"/>
              <w:rPr>
                <w:rFonts w:hint="default"/>
                <w:b w:val="0"/>
                <w:bCs w:val="0"/>
                <w:color w:val="auto"/>
                <w:lang w:val="en-US" w:eastAsia="zh-CN"/>
              </w:rPr>
            </w:pPr>
            <w:r>
              <w:rPr>
                <w:rFonts w:hint="eastAsia"/>
                <w:b w:val="0"/>
                <w:bCs w:val="0"/>
                <w:color w:val="auto"/>
                <w:lang w:val="en-US" w:eastAsia="zh-CN"/>
              </w:rPr>
              <w:t>企业未使用可再生能源得0分，使用可再生能源得5分，使用可再生能源达行业先进水平得10分；</w:t>
            </w:r>
          </w:p>
        </w:tc>
        <w:tc>
          <w:tcPr>
            <w:tcW w:w="193" w:type="pct"/>
            <w:noWrap w:val="0"/>
            <w:vAlign w:val="center"/>
          </w:tcPr>
          <w:p>
            <w:pPr>
              <w:jc w:val="center"/>
              <w:rPr>
                <w:rFonts w:hint="default"/>
                <w:b w:val="0"/>
                <w:bCs w:val="0"/>
                <w:color w:val="auto"/>
                <w:lang w:val="en-US" w:eastAsia="zh-CN"/>
              </w:rPr>
            </w:pPr>
            <w:r>
              <w:rPr>
                <w:rFonts w:hint="eastAsia"/>
                <w:b w:val="0"/>
                <w:bCs w:val="0"/>
                <w:color w:val="auto"/>
                <w:lang w:val="en-US" w:eastAsia="zh-CN"/>
              </w:rPr>
              <w:t>10</w:t>
            </w:r>
          </w:p>
        </w:tc>
        <w:tc>
          <w:tcPr>
            <w:tcW w:w="203" w:type="pct"/>
            <w:vMerge w:val="continue"/>
            <w:noWrap w:val="0"/>
            <w:vAlign w:val="center"/>
          </w:tcPr>
          <w:p>
            <w:pPr>
              <w:jc w:val="center"/>
              <w:rPr>
                <w:rFonts w:hint="eastAsia"/>
                <w:b w:val="0"/>
                <w:bCs w:val="0"/>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15</w:t>
            </w:r>
          </w:p>
        </w:tc>
        <w:tc>
          <w:tcPr>
            <w:tcW w:w="268" w:type="pct"/>
            <w:vMerge w:val="continue"/>
            <w:noWrap w:val="0"/>
            <w:vAlign w:val="center"/>
          </w:tcPr>
          <w:p>
            <w:pPr>
              <w:jc w:val="center"/>
              <w:rPr>
                <w:b/>
                <w:bCs/>
                <w:color w:val="auto"/>
              </w:rPr>
            </w:pPr>
          </w:p>
        </w:tc>
        <w:tc>
          <w:tcPr>
            <w:tcW w:w="403" w:type="pct"/>
            <w:vMerge w:val="continue"/>
            <w:noWrap w:val="0"/>
            <w:vAlign w:val="center"/>
          </w:tcPr>
          <w:p>
            <w:pPr>
              <w:jc w:val="center"/>
              <w:rPr>
                <w:color w:val="auto"/>
              </w:rPr>
            </w:pPr>
          </w:p>
        </w:tc>
        <w:tc>
          <w:tcPr>
            <w:tcW w:w="557" w:type="pct"/>
            <w:vMerge w:val="continue"/>
            <w:noWrap w:val="0"/>
            <w:vAlign w:val="center"/>
          </w:tcPr>
          <w:p>
            <w:pPr>
              <w:jc w:val="left"/>
              <w:rPr>
                <w:color w:val="auto"/>
              </w:rPr>
            </w:pPr>
          </w:p>
        </w:tc>
        <w:tc>
          <w:tcPr>
            <w:tcW w:w="910" w:type="pct"/>
            <w:noWrap w:val="0"/>
            <w:vAlign w:val="center"/>
          </w:tcPr>
          <w:p>
            <w:pPr>
              <w:jc w:val="left"/>
              <w:rPr>
                <w:rFonts w:hint="default"/>
                <w:color w:val="auto"/>
                <w:lang w:val="en-US" w:eastAsia="zh-CN"/>
              </w:rPr>
            </w:pPr>
            <w:r>
              <w:rPr>
                <w:rFonts w:hint="eastAsia"/>
                <w:color w:val="auto"/>
                <w:lang w:val="en-US" w:eastAsia="zh-CN"/>
              </w:rPr>
              <w:t>吨钢综合能耗</w:t>
            </w:r>
          </w:p>
        </w:tc>
        <w:tc>
          <w:tcPr>
            <w:tcW w:w="1142" w:type="pct"/>
            <w:noWrap w:val="0"/>
            <w:vAlign w:val="center"/>
          </w:tcPr>
          <w:p>
            <w:pPr>
              <w:jc w:val="center"/>
              <w:rPr>
                <w:rFonts w:hint="default"/>
                <w:b w:val="0"/>
                <w:bCs w:val="0"/>
                <w:color w:val="auto"/>
                <w:lang w:val="en-US" w:eastAsia="zh-CN"/>
              </w:rPr>
            </w:pPr>
            <w:r>
              <w:rPr>
                <w:rFonts w:hint="eastAsia"/>
                <w:b w:val="0"/>
                <w:bCs w:val="0"/>
                <w:color w:val="auto"/>
                <w:lang w:val="en-US" w:eastAsia="zh-CN"/>
              </w:rPr>
              <w:t>吨钢综合能耗（千克标煤/吨）=年消耗各类能源总量（千克标煤）/年粗钢产量（吨）。</w:t>
            </w:r>
          </w:p>
        </w:tc>
        <w:tc>
          <w:tcPr>
            <w:tcW w:w="1114" w:type="pct"/>
            <w:noWrap w:val="0"/>
            <w:vAlign w:val="center"/>
          </w:tcPr>
          <w:p>
            <w:pPr>
              <w:jc w:val="center"/>
              <w:rPr>
                <w:rFonts w:hint="eastAsia"/>
                <w:b w:val="0"/>
                <w:bCs w:val="0"/>
                <w:color w:val="auto"/>
                <w:lang w:val="en-US" w:eastAsia="zh-CN"/>
              </w:rPr>
            </w:pPr>
            <w:r>
              <w:rPr>
                <w:rFonts w:hint="eastAsia"/>
                <w:b w:val="0"/>
                <w:bCs w:val="0"/>
                <w:color w:val="auto"/>
                <w:lang w:val="en-US" w:eastAsia="zh-CN"/>
              </w:rPr>
              <w:t>未达到行业平均水平得0分，达到行业平均水平得5分，达到行业先进水平得10分；</w:t>
            </w:r>
          </w:p>
        </w:tc>
        <w:tc>
          <w:tcPr>
            <w:tcW w:w="193" w:type="pct"/>
            <w:noWrap w:val="0"/>
            <w:vAlign w:val="center"/>
          </w:tcPr>
          <w:p>
            <w:pPr>
              <w:jc w:val="center"/>
              <w:rPr>
                <w:rFonts w:hint="default"/>
                <w:b w:val="0"/>
                <w:bCs w:val="0"/>
                <w:color w:val="auto"/>
                <w:lang w:val="en-US" w:eastAsia="zh-CN"/>
              </w:rPr>
            </w:pPr>
            <w:r>
              <w:rPr>
                <w:rFonts w:hint="eastAsia"/>
                <w:b w:val="0"/>
                <w:bCs w:val="0"/>
                <w:color w:val="auto"/>
                <w:lang w:val="en-US" w:eastAsia="zh-CN"/>
              </w:rPr>
              <w:t>10</w:t>
            </w:r>
          </w:p>
        </w:tc>
        <w:tc>
          <w:tcPr>
            <w:tcW w:w="203" w:type="pct"/>
            <w:vMerge w:val="continue"/>
            <w:noWrap w:val="0"/>
            <w:vAlign w:val="center"/>
          </w:tcPr>
          <w:p>
            <w:pPr>
              <w:jc w:val="center"/>
              <w:rPr>
                <w:rFonts w:hint="eastAsia"/>
                <w:b w:val="0"/>
                <w:bCs w:val="0"/>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05" w:type="pct"/>
            <w:noWrap w:val="0"/>
            <w:vAlign w:val="center"/>
          </w:tcPr>
          <w:p>
            <w:pPr>
              <w:jc w:val="center"/>
              <w:rPr>
                <w:rFonts w:hint="eastAsia" w:ascii="Times New Roman" w:hAnsi="Times New Roman" w:eastAsia="宋体" w:cs="Times New Roman"/>
                <w:b/>
                <w:bCs/>
                <w:color w:val="auto"/>
                <w:kern w:val="2"/>
                <w:sz w:val="21"/>
                <w:szCs w:val="21"/>
                <w:lang w:val="en-US" w:eastAsia="zh-CN" w:bidi="ar-SA"/>
              </w:rPr>
            </w:pPr>
            <w:r>
              <w:rPr>
                <w:rFonts w:hint="eastAsia"/>
                <w:b/>
                <w:bCs/>
                <w:color w:val="auto"/>
                <w:lang w:val="en-US" w:eastAsia="zh-CN"/>
              </w:rPr>
              <w:t>16</w:t>
            </w:r>
          </w:p>
        </w:tc>
        <w:tc>
          <w:tcPr>
            <w:tcW w:w="268" w:type="pct"/>
            <w:vMerge w:val="continue"/>
            <w:noWrap w:val="0"/>
            <w:vAlign w:val="center"/>
          </w:tcPr>
          <w:p>
            <w:pPr>
              <w:jc w:val="center"/>
              <w:rPr>
                <w:b/>
                <w:bCs/>
                <w:color w:val="auto"/>
              </w:rPr>
            </w:pPr>
          </w:p>
        </w:tc>
        <w:tc>
          <w:tcPr>
            <w:tcW w:w="403" w:type="pct"/>
            <w:vMerge w:val="continue"/>
            <w:noWrap w:val="0"/>
            <w:vAlign w:val="center"/>
          </w:tcPr>
          <w:p>
            <w:pPr>
              <w:jc w:val="center"/>
              <w:rPr>
                <w:color w:val="auto"/>
              </w:rPr>
            </w:pPr>
          </w:p>
        </w:tc>
        <w:tc>
          <w:tcPr>
            <w:tcW w:w="557" w:type="pct"/>
            <w:vMerge w:val="continue"/>
            <w:noWrap w:val="0"/>
            <w:vAlign w:val="center"/>
          </w:tcPr>
          <w:p>
            <w:pPr>
              <w:jc w:val="left"/>
              <w:rPr>
                <w:color w:val="auto"/>
              </w:rPr>
            </w:pPr>
          </w:p>
        </w:tc>
        <w:tc>
          <w:tcPr>
            <w:tcW w:w="910" w:type="pct"/>
            <w:noWrap w:val="0"/>
            <w:vAlign w:val="center"/>
          </w:tcPr>
          <w:p>
            <w:pPr>
              <w:jc w:val="left"/>
              <w:rPr>
                <w:rFonts w:hint="default"/>
                <w:color w:val="auto"/>
                <w:lang w:val="en-US" w:eastAsia="zh-CN"/>
              </w:rPr>
            </w:pPr>
            <w:r>
              <w:rPr>
                <w:rFonts w:hint="eastAsia"/>
                <w:color w:val="auto"/>
                <w:lang w:val="en-US" w:eastAsia="zh-CN"/>
              </w:rPr>
              <w:t>工序能耗指标</w:t>
            </w:r>
          </w:p>
        </w:tc>
        <w:tc>
          <w:tcPr>
            <w:tcW w:w="1142" w:type="pct"/>
            <w:noWrap w:val="0"/>
            <w:vAlign w:val="center"/>
          </w:tcPr>
          <w:p>
            <w:pPr>
              <w:jc w:val="center"/>
              <w:rPr>
                <w:rFonts w:hint="default"/>
                <w:b w:val="0"/>
                <w:bCs w:val="0"/>
                <w:color w:val="auto"/>
                <w:lang w:val="en-US" w:eastAsia="zh-CN"/>
              </w:rPr>
            </w:pPr>
            <w:r>
              <w:rPr>
                <w:rFonts w:hint="eastAsia"/>
                <w:b w:val="0"/>
                <w:bCs w:val="0"/>
                <w:color w:val="auto"/>
                <w:lang w:val="en-US" w:eastAsia="zh-CN"/>
              </w:rPr>
              <w:t>烧结、球团、高炉、转炉、电炉等主要工序能耗应符合GB 21342、GB 21256、GB 32050等标准要求</w:t>
            </w:r>
          </w:p>
        </w:tc>
        <w:tc>
          <w:tcPr>
            <w:tcW w:w="1114" w:type="pct"/>
            <w:noWrap w:val="0"/>
            <w:vAlign w:val="center"/>
          </w:tcPr>
          <w:p>
            <w:pPr>
              <w:jc w:val="center"/>
              <w:rPr>
                <w:rFonts w:hint="default"/>
                <w:b w:val="0"/>
                <w:bCs w:val="0"/>
                <w:color w:val="auto"/>
                <w:lang w:val="en-US" w:eastAsia="zh-CN"/>
              </w:rPr>
            </w:pPr>
            <w:r>
              <w:rPr>
                <w:rFonts w:hint="eastAsia"/>
                <w:b w:val="0"/>
                <w:bCs w:val="0"/>
                <w:color w:val="auto"/>
                <w:lang w:val="en-US" w:eastAsia="zh-CN"/>
              </w:rPr>
              <w:t>主要工序能耗不符合相关标准准入值得0分，符合准入值得10分，符合先进值得20分；</w:t>
            </w:r>
          </w:p>
        </w:tc>
        <w:tc>
          <w:tcPr>
            <w:tcW w:w="193" w:type="pct"/>
            <w:noWrap w:val="0"/>
            <w:vAlign w:val="center"/>
          </w:tcPr>
          <w:p>
            <w:pPr>
              <w:jc w:val="center"/>
              <w:rPr>
                <w:rFonts w:hint="default"/>
                <w:b w:val="0"/>
                <w:bCs w:val="0"/>
                <w:color w:val="auto"/>
                <w:lang w:val="en-US" w:eastAsia="zh-CN"/>
              </w:rPr>
            </w:pPr>
            <w:r>
              <w:rPr>
                <w:rFonts w:hint="eastAsia"/>
                <w:b w:val="0"/>
                <w:bCs w:val="0"/>
                <w:color w:val="auto"/>
                <w:lang w:val="en-US" w:eastAsia="zh-CN"/>
              </w:rPr>
              <w:t>20</w:t>
            </w:r>
          </w:p>
        </w:tc>
        <w:tc>
          <w:tcPr>
            <w:tcW w:w="203" w:type="pct"/>
            <w:vMerge w:val="continue"/>
            <w:noWrap w:val="0"/>
            <w:vAlign w:val="center"/>
          </w:tcPr>
          <w:p>
            <w:pPr>
              <w:jc w:val="center"/>
              <w:rPr>
                <w:rFonts w:hint="eastAsia"/>
                <w:b w:val="0"/>
                <w:bCs w:val="0"/>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17</w:t>
            </w:r>
          </w:p>
        </w:tc>
        <w:tc>
          <w:tcPr>
            <w:tcW w:w="268" w:type="pct"/>
            <w:vMerge w:val="continue"/>
            <w:noWrap w:val="0"/>
            <w:vAlign w:val="center"/>
          </w:tcPr>
          <w:p>
            <w:pPr>
              <w:jc w:val="center"/>
              <w:rPr>
                <w:b/>
                <w:bCs/>
                <w:color w:val="auto"/>
              </w:rPr>
            </w:pPr>
          </w:p>
        </w:tc>
        <w:tc>
          <w:tcPr>
            <w:tcW w:w="403" w:type="pct"/>
            <w:vMerge w:val="continue"/>
            <w:noWrap w:val="0"/>
            <w:vAlign w:val="center"/>
          </w:tcPr>
          <w:p>
            <w:pPr>
              <w:jc w:val="center"/>
              <w:rPr>
                <w:color w:val="auto"/>
              </w:rPr>
            </w:pPr>
          </w:p>
        </w:tc>
        <w:tc>
          <w:tcPr>
            <w:tcW w:w="557" w:type="pct"/>
            <w:vMerge w:val="continue"/>
            <w:noWrap w:val="0"/>
            <w:vAlign w:val="center"/>
          </w:tcPr>
          <w:p>
            <w:pPr>
              <w:jc w:val="left"/>
              <w:rPr>
                <w:color w:val="auto"/>
              </w:rPr>
            </w:pPr>
          </w:p>
        </w:tc>
        <w:tc>
          <w:tcPr>
            <w:tcW w:w="910" w:type="pct"/>
            <w:noWrap w:val="0"/>
            <w:vAlign w:val="center"/>
          </w:tcPr>
          <w:p>
            <w:pPr>
              <w:jc w:val="left"/>
              <w:rPr>
                <w:rFonts w:hint="default"/>
                <w:color w:val="auto"/>
                <w:lang w:val="en-US" w:eastAsia="zh-CN"/>
              </w:rPr>
            </w:pPr>
            <w:r>
              <w:rPr>
                <w:rFonts w:hint="eastAsia"/>
                <w:color w:val="auto"/>
                <w:lang w:val="en-US" w:eastAsia="zh-CN"/>
              </w:rPr>
              <w:t>节能技术装备及煤气、余热余能利用情况</w:t>
            </w:r>
          </w:p>
        </w:tc>
        <w:tc>
          <w:tcPr>
            <w:tcW w:w="1142" w:type="pct"/>
            <w:noWrap w:val="0"/>
            <w:vAlign w:val="center"/>
          </w:tcPr>
          <w:p>
            <w:pPr>
              <w:jc w:val="center"/>
              <w:rPr>
                <w:rFonts w:hint="default"/>
                <w:b w:val="0"/>
                <w:bCs w:val="0"/>
                <w:color w:val="auto"/>
                <w:lang w:val="en-US" w:eastAsia="zh-CN"/>
              </w:rPr>
            </w:pPr>
            <w:r>
              <w:rPr>
                <w:rFonts w:hint="eastAsia"/>
                <w:b w:val="0"/>
                <w:bCs w:val="0"/>
                <w:color w:val="auto"/>
                <w:lang w:val="en-US" w:eastAsia="zh-CN"/>
              </w:rPr>
              <w:t>主要节能技术装备应用情况及煤气、余热余能回收利用情况及项目改造情况</w:t>
            </w:r>
          </w:p>
        </w:tc>
        <w:tc>
          <w:tcPr>
            <w:tcW w:w="1114" w:type="pct"/>
            <w:noWrap w:val="0"/>
            <w:vAlign w:val="center"/>
          </w:tcPr>
          <w:p>
            <w:pPr>
              <w:jc w:val="center"/>
              <w:rPr>
                <w:rFonts w:hint="default"/>
                <w:b w:val="0"/>
                <w:bCs w:val="0"/>
                <w:color w:val="auto"/>
                <w:lang w:val="en-US" w:eastAsia="zh-CN"/>
              </w:rPr>
            </w:pPr>
            <w:r>
              <w:rPr>
                <w:rFonts w:hint="eastAsia"/>
                <w:b w:val="0"/>
                <w:bCs w:val="0"/>
                <w:color w:val="auto"/>
                <w:lang w:val="en-US" w:eastAsia="zh-CN"/>
              </w:rPr>
              <w:t>企业未进行余热余能利用得0分，余热余能回收及技术装备达到行业平均水平5分，余热余能回收及技术装备达到达行业先进水平得10分；</w:t>
            </w:r>
          </w:p>
        </w:tc>
        <w:tc>
          <w:tcPr>
            <w:tcW w:w="193" w:type="pct"/>
            <w:noWrap w:val="0"/>
            <w:vAlign w:val="center"/>
          </w:tcPr>
          <w:p>
            <w:pPr>
              <w:jc w:val="center"/>
              <w:rPr>
                <w:rFonts w:hint="default"/>
                <w:b w:val="0"/>
                <w:bCs w:val="0"/>
                <w:color w:val="auto"/>
                <w:lang w:val="en-US" w:eastAsia="zh-CN"/>
              </w:rPr>
            </w:pPr>
            <w:r>
              <w:rPr>
                <w:rFonts w:hint="eastAsia"/>
                <w:b w:val="0"/>
                <w:bCs w:val="0"/>
                <w:color w:val="auto"/>
                <w:lang w:val="en-US" w:eastAsia="zh-CN"/>
              </w:rPr>
              <w:t>10</w:t>
            </w:r>
          </w:p>
        </w:tc>
        <w:tc>
          <w:tcPr>
            <w:tcW w:w="203" w:type="pct"/>
            <w:vMerge w:val="continue"/>
            <w:noWrap w:val="0"/>
            <w:vAlign w:val="center"/>
          </w:tcPr>
          <w:p>
            <w:pPr>
              <w:jc w:val="center"/>
              <w:rPr>
                <w:rFonts w:hint="eastAsia"/>
                <w:b w:val="0"/>
                <w:bCs w:val="0"/>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18</w:t>
            </w:r>
          </w:p>
        </w:tc>
        <w:tc>
          <w:tcPr>
            <w:tcW w:w="268" w:type="pct"/>
            <w:vMerge w:val="continue"/>
            <w:noWrap w:val="0"/>
            <w:vAlign w:val="center"/>
          </w:tcPr>
          <w:p>
            <w:pPr>
              <w:jc w:val="center"/>
              <w:rPr>
                <w:b/>
                <w:bCs/>
                <w:color w:val="auto"/>
              </w:rPr>
            </w:pPr>
          </w:p>
        </w:tc>
        <w:tc>
          <w:tcPr>
            <w:tcW w:w="403" w:type="pct"/>
            <w:vMerge w:val="restart"/>
            <w:noWrap w:val="0"/>
            <w:vAlign w:val="center"/>
          </w:tcPr>
          <w:p>
            <w:pPr>
              <w:jc w:val="center"/>
              <w:rPr>
                <w:rFonts w:hint="default" w:eastAsia="宋体"/>
                <w:color w:val="auto"/>
                <w:lang w:val="en-US" w:eastAsia="zh-CN"/>
              </w:rPr>
            </w:pPr>
            <w:r>
              <w:rPr>
                <w:rFonts w:hint="eastAsia"/>
                <w:color w:val="auto"/>
                <w:lang w:val="en-US" w:eastAsia="zh-CN"/>
              </w:rPr>
              <w:t>气候变化</w:t>
            </w:r>
          </w:p>
        </w:tc>
        <w:tc>
          <w:tcPr>
            <w:tcW w:w="557" w:type="pct"/>
            <w:vMerge w:val="restart"/>
            <w:noWrap w:val="0"/>
            <w:vAlign w:val="center"/>
          </w:tcPr>
          <w:p>
            <w:pPr>
              <w:jc w:val="left"/>
              <w:rPr>
                <w:rFonts w:hint="default" w:eastAsia="宋体"/>
                <w:color w:val="auto"/>
                <w:lang w:val="en-US" w:eastAsia="zh-CN"/>
              </w:rPr>
            </w:pPr>
            <w:r>
              <w:rPr>
                <w:rFonts w:hint="eastAsia"/>
                <w:color w:val="auto"/>
                <w:lang w:val="en-US" w:eastAsia="zh-CN"/>
              </w:rPr>
              <w:t>碳排放及低碳发展</w:t>
            </w:r>
          </w:p>
        </w:tc>
        <w:tc>
          <w:tcPr>
            <w:tcW w:w="910" w:type="pct"/>
            <w:noWrap w:val="0"/>
            <w:vAlign w:val="center"/>
          </w:tcPr>
          <w:p>
            <w:pPr>
              <w:jc w:val="left"/>
              <w:rPr>
                <w:rFonts w:hint="default"/>
                <w:color w:val="auto"/>
                <w:lang w:val="en-US" w:eastAsia="zh-CN"/>
              </w:rPr>
            </w:pPr>
            <w:r>
              <w:rPr>
                <w:rFonts w:hint="eastAsia"/>
                <w:color w:val="auto"/>
                <w:lang w:val="en-US" w:eastAsia="zh-CN"/>
              </w:rPr>
              <w:t>碳达峰、碳中和及降碳行动计划和目标</w:t>
            </w:r>
          </w:p>
        </w:tc>
        <w:tc>
          <w:tcPr>
            <w:tcW w:w="1142" w:type="pct"/>
            <w:noWrap w:val="0"/>
            <w:vAlign w:val="center"/>
          </w:tcPr>
          <w:p>
            <w:pPr>
              <w:jc w:val="center"/>
              <w:rPr>
                <w:rFonts w:hint="default"/>
                <w:b w:val="0"/>
                <w:bCs w:val="0"/>
                <w:color w:val="auto"/>
                <w:lang w:val="en-US" w:eastAsia="zh-CN"/>
              </w:rPr>
            </w:pPr>
            <w:r>
              <w:rPr>
                <w:rFonts w:hint="eastAsia"/>
                <w:b w:val="0"/>
                <w:bCs w:val="0"/>
                <w:color w:val="auto"/>
                <w:lang w:val="en-US" w:eastAsia="zh-CN"/>
              </w:rPr>
              <w:t>给出企业碳达峰、碳中和的实现时间和降碳行动的具体计划目标</w:t>
            </w:r>
          </w:p>
        </w:tc>
        <w:tc>
          <w:tcPr>
            <w:tcW w:w="1114" w:type="pct"/>
            <w:noWrap w:val="0"/>
            <w:vAlign w:val="center"/>
          </w:tcPr>
          <w:p>
            <w:pPr>
              <w:jc w:val="center"/>
              <w:rPr>
                <w:rFonts w:hint="eastAsia"/>
                <w:b w:val="0"/>
                <w:bCs w:val="0"/>
                <w:color w:val="auto"/>
                <w:lang w:val="en-US" w:eastAsia="zh-CN"/>
              </w:rPr>
            </w:pPr>
            <w:r>
              <w:rPr>
                <w:rFonts w:hint="eastAsia"/>
                <w:color w:val="auto"/>
                <w:lang w:val="en-US" w:eastAsia="zh-CN"/>
              </w:rPr>
              <w:t>企业未制定碳达峰计划得0分，制定碳达峰及降碳行动计划目标20分，编制专门的碳达峰及降碳行动计划报告并披露相关信息得30分；</w:t>
            </w:r>
          </w:p>
        </w:tc>
        <w:tc>
          <w:tcPr>
            <w:tcW w:w="193" w:type="pct"/>
            <w:noWrap w:val="0"/>
            <w:vAlign w:val="center"/>
          </w:tcPr>
          <w:p>
            <w:pPr>
              <w:jc w:val="center"/>
              <w:rPr>
                <w:rFonts w:hint="default"/>
                <w:b w:val="0"/>
                <w:bCs w:val="0"/>
                <w:color w:val="auto"/>
                <w:lang w:val="en-US" w:eastAsia="zh-CN"/>
              </w:rPr>
            </w:pPr>
            <w:r>
              <w:rPr>
                <w:rFonts w:hint="eastAsia"/>
                <w:b w:val="0"/>
                <w:bCs w:val="0"/>
                <w:color w:val="auto"/>
                <w:lang w:val="en-US" w:eastAsia="zh-CN"/>
              </w:rPr>
              <w:t>30</w:t>
            </w:r>
          </w:p>
        </w:tc>
        <w:tc>
          <w:tcPr>
            <w:tcW w:w="203" w:type="pct"/>
            <w:vMerge w:val="restart"/>
            <w:noWrap w:val="0"/>
            <w:vAlign w:val="center"/>
          </w:tcPr>
          <w:p>
            <w:pPr>
              <w:jc w:val="center"/>
              <w:rPr>
                <w:rFonts w:hint="default"/>
                <w:b w:val="0"/>
                <w:bCs w:val="0"/>
                <w:color w:val="auto"/>
                <w:lang w:val="en-US" w:eastAsia="zh-CN"/>
              </w:rPr>
            </w:pPr>
            <w:r>
              <w:rPr>
                <w:rFonts w:hint="eastAsia"/>
                <w:b w:val="0"/>
                <w:bCs w:val="0"/>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19</w:t>
            </w:r>
          </w:p>
        </w:tc>
        <w:tc>
          <w:tcPr>
            <w:tcW w:w="268" w:type="pct"/>
            <w:vMerge w:val="continue"/>
            <w:noWrap w:val="0"/>
            <w:vAlign w:val="center"/>
          </w:tcPr>
          <w:p>
            <w:pPr>
              <w:jc w:val="center"/>
              <w:rPr>
                <w:b/>
                <w:bCs/>
                <w:color w:val="auto"/>
              </w:rPr>
            </w:pPr>
          </w:p>
        </w:tc>
        <w:tc>
          <w:tcPr>
            <w:tcW w:w="403" w:type="pct"/>
            <w:vMerge w:val="continue"/>
            <w:noWrap w:val="0"/>
            <w:vAlign w:val="center"/>
          </w:tcPr>
          <w:p>
            <w:pPr>
              <w:jc w:val="center"/>
              <w:rPr>
                <w:color w:val="auto"/>
              </w:rPr>
            </w:pPr>
          </w:p>
        </w:tc>
        <w:tc>
          <w:tcPr>
            <w:tcW w:w="557" w:type="pct"/>
            <w:vMerge w:val="continue"/>
            <w:noWrap w:val="0"/>
            <w:vAlign w:val="center"/>
          </w:tcPr>
          <w:p>
            <w:pPr>
              <w:jc w:val="left"/>
              <w:rPr>
                <w:color w:val="auto"/>
              </w:rPr>
            </w:pPr>
          </w:p>
        </w:tc>
        <w:tc>
          <w:tcPr>
            <w:tcW w:w="910" w:type="pct"/>
            <w:noWrap w:val="0"/>
            <w:vAlign w:val="center"/>
          </w:tcPr>
          <w:p>
            <w:pPr>
              <w:jc w:val="left"/>
              <w:rPr>
                <w:rFonts w:hint="default"/>
                <w:color w:val="auto"/>
                <w:lang w:val="en-US" w:eastAsia="zh-CN"/>
              </w:rPr>
            </w:pPr>
            <w:r>
              <w:rPr>
                <w:rFonts w:hint="eastAsia"/>
                <w:color w:val="auto"/>
                <w:lang w:val="en-US" w:eastAsia="zh-CN"/>
              </w:rPr>
              <w:t>吨钢二氧化碳排放量</w:t>
            </w:r>
          </w:p>
        </w:tc>
        <w:tc>
          <w:tcPr>
            <w:tcW w:w="1142" w:type="pct"/>
            <w:noWrap w:val="0"/>
            <w:vAlign w:val="center"/>
          </w:tcPr>
          <w:p>
            <w:pPr>
              <w:jc w:val="center"/>
              <w:rPr>
                <w:rFonts w:hint="eastAsia"/>
                <w:b w:val="0"/>
                <w:bCs w:val="0"/>
                <w:color w:val="auto"/>
                <w:lang w:val="en-US" w:eastAsia="zh-CN"/>
              </w:rPr>
            </w:pPr>
            <w:r>
              <w:rPr>
                <w:rFonts w:hint="eastAsia"/>
                <w:b w:val="0"/>
                <w:bCs w:val="0"/>
                <w:color w:val="auto"/>
                <w:lang w:val="en-US" w:eastAsia="zh-CN"/>
              </w:rPr>
              <w:t>吨钢二氧化碳排放量（吨/吨）=年排放二氧化碳总量（吨）/年粗钢产量（吨）</w:t>
            </w:r>
          </w:p>
        </w:tc>
        <w:tc>
          <w:tcPr>
            <w:tcW w:w="1114" w:type="pct"/>
            <w:noWrap w:val="0"/>
            <w:vAlign w:val="center"/>
          </w:tcPr>
          <w:p>
            <w:pPr>
              <w:jc w:val="center"/>
              <w:rPr>
                <w:rFonts w:hint="default"/>
                <w:b w:val="0"/>
                <w:bCs w:val="0"/>
                <w:color w:val="auto"/>
                <w:lang w:val="en-US" w:eastAsia="zh-CN"/>
              </w:rPr>
            </w:pPr>
            <w:r>
              <w:rPr>
                <w:rFonts w:hint="eastAsia"/>
                <w:b w:val="0"/>
                <w:bCs w:val="0"/>
                <w:color w:val="auto"/>
                <w:lang w:val="en-US" w:eastAsia="zh-CN"/>
              </w:rPr>
              <w:t>吨钢二氧化碳排放量高于行业平均值得0分，低于行业平均值得20分，低于行业平均值要求，且近三年持续降低得40分；</w:t>
            </w:r>
          </w:p>
        </w:tc>
        <w:tc>
          <w:tcPr>
            <w:tcW w:w="193" w:type="pct"/>
            <w:noWrap w:val="0"/>
            <w:vAlign w:val="center"/>
          </w:tcPr>
          <w:p>
            <w:pPr>
              <w:jc w:val="center"/>
              <w:rPr>
                <w:rFonts w:hint="default"/>
                <w:b w:val="0"/>
                <w:bCs w:val="0"/>
                <w:color w:val="auto"/>
                <w:lang w:val="en-US" w:eastAsia="zh-CN"/>
              </w:rPr>
            </w:pPr>
            <w:r>
              <w:rPr>
                <w:rFonts w:hint="eastAsia"/>
                <w:b w:val="0"/>
                <w:bCs w:val="0"/>
                <w:color w:val="auto"/>
                <w:lang w:val="en-US" w:eastAsia="zh-CN"/>
              </w:rPr>
              <w:t>40</w:t>
            </w:r>
          </w:p>
        </w:tc>
        <w:tc>
          <w:tcPr>
            <w:tcW w:w="203" w:type="pct"/>
            <w:vMerge w:val="continue"/>
            <w:noWrap w:val="0"/>
            <w:vAlign w:val="center"/>
          </w:tcPr>
          <w:p>
            <w:pPr>
              <w:jc w:val="center"/>
              <w:rPr>
                <w:rFonts w:hint="eastAsia"/>
                <w:b w:val="0"/>
                <w:bCs w:val="0"/>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20</w:t>
            </w:r>
          </w:p>
        </w:tc>
        <w:tc>
          <w:tcPr>
            <w:tcW w:w="268" w:type="pct"/>
            <w:vMerge w:val="continue"/>
            <w:noWrap w:val="0"/>
            <w:vAlign w:val="center"/>
          </w:tcPr>
          <w:p>
            <w:pPr>
              <w:jc w:val="center"/>
              <w:rPr>
                <w:b/>
                <w:bCs/>
                <w:color w:val="auto"/>
              </w:rPr>
            </w:pPr>
          </w:p>
        </w:tc>
        <w:tc>
          <w:tcPr>
            <w:tcW w:w="403" w:type="pct"/>
            <w:vMerge w:val="continue"/>
            <w:noWrap w:val="0"/>
            <w:vAlign w:val="center"/>
          </w:tcPr>
          <w:p>
            <w:pPr>
              <w:jc w:val="center"/>
              <w:rPr>
                <w:color w:val="auto"/>
              </w:rPr>
            </w:pPr>
          </w:p>
        </w:tc>
        <w:tc>
          <w:tcPr>
            <w:tcW w:w="557" w:type="pct"/>
            <w:vMerge w:val="continue"/>
            <w:noWrap w:val="0"/>
            <w:vAlign w:val="center"/>
          </w:tcPr>
          <w:p>
            <w:pPr>
              <w:jc w:val="left"/>
              <w:rPr>
                <w:rFonts w:hint="default"/>
                <w:color w:val="auto"/>
                <w:lang w:val="en-US"/>
              </w:rPr>
            </w:pPr>
          </w:p>
        </w:tc>
        <w:tc>
          <w:tcPr>
            <w:tcW w:w="910" w:type="pct"/>
            <w:noWrap w:val="0"/>
            <w:vAlign w:val="center"/>
          </w:tcPr>
          <w:p>
            <w:pPr>
              <w:jc w:val="left"/>
              <w:rPr>
                <w:rFonts w:hint="default"/>
                <w:color w:val="auto"/>
                <w:lang w:val="en-US" w:eastAsia="zh-CN"/>
              </w:rPr>
            </w:pPr>
            <w:r>
              <w:rPr>
                <w:rFonts w:hint="eastAsia"/>
                <w:color w:val="auto"/>
                <w:lang w:val="en-US" w:eastAsia="zh-CN"/>
              </w:rPr>
              <w:t>低碳冶金新技术、新工艺及低碳升级改造项目情况</w:t>
            </w:r>
          </w:p>
        </w:tc>
        <w:tc>
          <w:tcPr>
            <w:tcW w:w="1142" w:type="pct"/>
            <w:noWrap w:val="0"/>
            <w:vAlign w:val="center"/>
          </w:tcPr>
          <w:p>
            <w:pPr>
              <w:jc w:val="center"/>
              <w:rPr>
                <w:rFonts w:hint="default"/>
                <w:b w:val="0"/>
                <w:bCs w:val="0"/>
                <w:color w:val="auto"/>
                <w:lang w:val="en-US" w:eastAsia="zh-CN"/>
              </w:rPr>
            </w:pPr>
            <w:r>
              <w:rPr>
                <w:rFonts w:hint="eastAsia"/>
                <w:b w:val="0"/>
                <w:bCs w:val="0"/>
                <w:color w:val="auto"/>
                <w:lang w:val="en-US" w:eastAsia="zh-CN"/>
              </w:rPr>
              <w:t>主要低碳冶金工艺技术和改造项目，如电炉短流程工艺结构、高炉喷氢、气基直接还原铁等低碳冶金技术、钢化联产等项目情况</w:t>
            </w:r>
          </w:p>
        </w:tc>
        <w:tc>
          <w:tcPr>
            <w:tcW w:w="1114" w:type="pct"/>
            <w:noWrap w:val="0"/>
            <w:vAlign w:val="center"/>
          </w:tcPr>
          <w:p>
            <w:pPr>
              <w:jc w:val="center"/>
              <w:rPr>
                <w:rFonts w:hint="eastAsia"/>
                <w:b w:val="0"/>
                <w:bCs w:val="0"/>
                <w:color w:val="auto"/>
                <w:lang w:val="en-US" w:eastAsia="zh-CN"/>
              </w:rPr>
            </w:pPr>
            <w:r>
              <w:rPr>
                <w:rFonts w:hint="eastAsia"/>
                <w:color w:val="auto"/>
                <w:lang w:val="en-US" w:eastAsia="zh-CN"/>
              </w:rPr>
              <w:t>企业未进行低碳工艺技术改造得0分，进行1项得20分，制定2项及以上得30分；</w:t>
            </w:r>
          </w:p>
        </w:tc>
        <w:tc>
          <w:tcPr>
            <w:tcW w:w="193" w:type="pct"/>
            <w:noWrap w:val="0"/>
            <w:vAlign w:val="center"/>
          </w:tcPr>
          <w:p>
            <w:pPr>
              <w:jc w:val="center"/>
              <w:rPr>
                <w:rFonts w:hint="default"/>
                <w:b w:val="0"/>
                <w:bCs w:val="0"/>
                <w:color w:val="auto"/>
                <w:lang w:val="en-US" w:eastAsia="zh-CN"/>
              </w:rPr>
            </w:pPr>
            <w:r>
              <w:rPr>
                <w:rFonts w:hint="eastAsia"/>
                <w:b w:val="0"/>
                <w:bCs w:val="0"/>
                <w:color w:val="auto"/>
                <w:lang w:val="en-US" w:eastAsia="zh-CN"/>
              </w:rPr>
              <w:t>30</w:t>
            </w:r>
          </w:p>
        </w:tc>
        <w:tc>
          <w:tcPr>
            <w:tcW w:w="203" w:type="pct"/>
            <w:vMerge w:val="continue"/>
            <w:noWrap w:val="0"/>
            <w:vAlign w:val="center"/>
          </w:tcPr>
          <w:p>
            <w:pPr>
              <w:jc w:val="center"/>
              <w:rPr>
                <w:rFonts w:hint="eastAsia"/>
                <w:b w:val="0"/>
                <w:bCs w:val="0"/>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21</w:t>
            </w:r>
          </w:p>
        </w:tc>
        <w:tc>
          <w:tcPr>
            <w:tcW w:w="268" w:type="pct"/>
            <w:vMerge w:val="continue"/>
            <w:noWrap w:val="0"/>
            <w:vAlign w:val="center"/>
          </w:tcPr>
          <w:p>
            <w:pPr>
              <w:jc w:val="center"/>
              <w:rPr>
                <w:b/>
                <w:bCs/>
                <w:color w:val="auto"/>
              </w:rPr>
            </w:pPr>
          </w:p>
        </w:tc>
        <w:tc>
          <w:tcPr>
            <w:tcW w:w="403" w:type="pct"/>
            <w:vMerge w:val="restart"/>
            <w:noWrap w:val="0"/>
            <w:vAlign w:val="center"/>
          </w:tcPr>
          <w:p>
            <w:pPr>
              <w:jc w:val="center"/>
              <w:rPr>
                <w:color w:val="auto"/>
              </w:rPr>
            </w:pPr>
            <w:r>
              <w:rPr>
                <w:color w:val="auto"/>
              </w:rPr>
              <w:t>环境</w:t>
            </w:r>
            <w:r>
              <w:rPr>
                <w:rFonts w:hint="eastAsia"/>
                <w:color w:val="auto"/>
              </w:rPr>
              <w:t>污染</w:t>
            </w:r>
            <w:r>
              <w:rPr>
                <w:color w:val="auto"/>
              </w:rPr>
              <w:t>排放</w:t>
            </w:r>
          </w:p>
        </w:tc>
        <w:tc>
          <w:tcPr>
            <w:tcW w:w="557" w:type="pct"/>
            <w:vMerge w:val="restart"/>
            <w:noWrap w:val="0"/>
            <w:vAlign w:val="center"/>
          </w:tcPr>
          <w:p>
            <w:pPr>
              <w:jc w:val="left"/>
              <w:rPr>
                <w:rFonts w:ascii="Times New Roman" w:hAnsi="Times New Roman" w:eastAsia="宋体" w:cs="Times New Roman"/>
                <w:b/>
                <w:bCs/>
                <w:color w:val="auto"/>
                <w:kern w:val="2"/>
                <w:sz w:val="21"/>
                <w:szCs w:val="21"/>
                <w:lang w:val="en-US" w:eastAsia="zh-CN" w:bidi="ar-SA"/>
              </w:rPr>
            </w:pPr>
            <w:r>
              <w:rPr>
                <w:rFonts w:hint="eastAsia"/>
                <w:color w:val="auto"/>
                <w:lang w:val="en-US" w:eastAsia="zh-CN"/>
              </w:rPr>
              <w:t>废气</w:t>
            </w:r>
            <w:r>
              <w:rPr>
                <w:color w:val="auto"/>
              </w:rPr>
              <w:t>排放</w:t>
            </w:r>
          </w:p>
        </w:tc>
        <w:tc>
          <w:tcPr>
            <w:tcW w:w="910" w:type="pct"/>
            <w:noWrap w:val="0"/>
            <w:vAlign w:val="center"/>
          </w:tcPr>
          <w:p>
            <w:pPr>
              <w:jc w:val="left"/>
              <w:rPr>
                <w:rFonts w:hint="default" w:eastAsia="宋体"/>
                <w:color w:val="auto"/>
                <w:lang w:val="en-US" w:eastAsia="zh-CN"/>
              </w:rPr>
            </w:pPr>
            <w:r>
              <w:rPr>
                <w:rFonts w:hint="eastAsia"/>
                <w:color w:val="auto"/>
                <w:lang w:val="en-US" w:eastAsia="zh-CN"/>
              </w:rPr>
              <w:t>废气排放管理及达标情况</w:t>
            </w:r>
          </w:p>
        </w:tc>
        <w:tc>
          <w:tcPr>
            <w:tcW w:w="1142" w:type="pct"/>
            <w:noWrap w:val="0"/>
            <w:vAlign w:val="center"/>
          </w:tcPr>
          <w:p>
            <w:pPr>
              <w:jc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废物排放许可证管理、废气排放总量、废气排放达标率，以及是否达到超低排放要求</w:t>
            </w:r>
          </w:p>
        </w:tc>
        <w:tc>
          <w:tcPr>
            <w:tcW w:w="1114" w:type="pct"/>
            <w:noWrap w:val="0"/>
            <w:vAlign w:val="center"/>
          </w:tcPr>
          <w:p>
            <w:pPr>
              <w:jc w:val="center"/>
              <w:rPr>
                <w:rFonts w:hint="default"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企业未取得排污许可证管理得0分，取得排污许可证并达标排放5分，取得排污许可证并达到超低排放10分；</w:t>
            </w:r>
          </w:p>
        </w:tc>
        <w:tc>
          <w:tcPr>
            <w:tcW w:w="193" w:type="pct"/>
            <w:noWrap w:val="0"/>
            <w:vAlign w:val="center"/>
          </w:tcPr>
          <w:p>
            <w:pPr>
              <w:jc w:val="center"/>
              <w:rPr>
                <w:rFonts w:hint="default"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10</w:t>
            </w:r>
          </w:p>
        </w:tc>
        <w:tc>
          <w:tcPr>
            <w:tcW w:w="203" w:type="pct"/>
            <w:vMerge w:val="restart"/>
            <w:noWrap w:val="0"/>
            <w:vAlign w:val="center"/>
          </w:tcPr>
          <w:p>
            <w:pPr>
              <w:jc w:val="center"/>
              <w:rPr>
                <w:rFonts w:hint="default"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22</w:t>
            </w:r>
          </w:p>
        </w:tc>
        <w:tc>
          <w:tcPr>
            <w:tcW w:w="268" w:type="pct"/>
            <w:vMerge w:val="continue"/>
            <w:noWrap w:val="0"/>
            <w:vAlign w:val="center"/>
          </w:tcPr>
          <w:p>
            <w:pPr>
              <w:jc w:val="center"/>
              <w:rPr>
                <w:b/>
                <w:bCs/>
                <w:color w:val="auto"/>
              </w:rPr>
            </w:pPr>
          </w:p>
        </w:tc>
        <w:tc>
          <w:tcPr>
            <w:tcW w:w="403" w:type="pct"/>
            <w:vMerge w:val="continue"/>
            <w:noWrap w:val="0"/>
            <w:vAlign w:val="center"/>
          </w:tcPr>
          <w:p>
            <w:pPr>
              <w:jc w:val="center"/>
              <w:rPr>
                <w:color w:val="auto"/>
              </w:rPr>
            </w:pPr>
          </w:p>
        </w:tc>
        <w:tc>
          <w:tcPr>
            <w:tcW w:w="557" w:type="pct"/>
            <w:vMerge w:val="continue"/>
            <w:noWrap w:val="0"/>
            <w:vAlign w:val="center"/>
          </w:tcPr>
          <w:p>
            <w:pPr>
              <w:jc w:val="left"/>
              <w:rPr>
                <w:color w:val="auto"/>
              </w:rPr>
            </w:pPr>
          </w:p>
        </w:tc>
        <w:tc>
          <w:tcPr>
            <w:tcW w:w="910" w:type="pct"/>
            <w:noWrap w:val="0"/>
            <w:vAlign w:val="center"/>
          </w:tcPr>
          <w:p>
            <w:pPr>
              <w:jc w:val="left"/>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吨钢废气污染物排放量</w:t>
            </w:r>
          </w:p>
        </w:tc>
        <w:tc>
          <w:tcPr>
            <w:tcW w:w="1142" w:type="pct"/>
            <w:noWrap w:val="0"/>
            <w:vAlign w:val="center"/>
          </w:tcPr>
          <w:p>
            <w:pPr>
              <w:jc w:val="center"/>
              <w:rPr>
                <w:rFonts w:hint="default" w:ascii="Times New Roman" w:hAnsi="Times New Roman" w:eastAsia="宋体" w:cs="Times New Roman"/>
                <w:b w:val="0"/>
                <w:bCs w:val="0"/>
                <w:color w:val="auto"/>
                <w:kern w:val="2"/>
                <w:sz w:val="21"/>
                <w:szCs w:val="21"/>
                <w:lang w:val="en-US" w:eastAsia="zh-CN" w:bidi="ar-SA"/>
              </w:rPr>
            </w:pPr>
            <w:r>
              <w:rPr>
                <w:rFonts w:hint="eastAsia"/>
                <w:b w:val="0"/>
                <w:bCs w:val="0"/>
                <w:color w:val="auto"/>
                <w:lang w:val="en-US" w:eastAsia="zh-CN"/>
              </w:rPr>
              <w:t>吨钢废气污染物排放量（吨/吨）=年废气污染物排放总量（吨）/年粗钢产量（吨）；主要包括颗粒物、二氧化硫、氮氧化物等。吨钢主要污染物排放应符合GB 28662、GB 28663、GB 28664、GB 28665等标准要求</w:t>
            </w:r>
          </w:p>
        </w:tc>
        <w:tc>
          <w:tcPr>
            <w:tcW w:w="1114" w:type="pct"/>
            <w:noWrap w:val="0"/>
            <w:vAlign w:val="center"/>
          </w:tcPr>
          <w:p>
            <w:pPr>
              <w:jc w:val="center"/>
              <w:rPr>
                <w:rFonts w:hint="default"/>
                <w:b w:val="0"/>
                <w:bCs w:val="0"/>
                <w:color w:val="auto"/>
                <w:lang w:val="en-US" w:eastAsia="zh-CN"/>
              </w:rPr>
            </w:pPr>
            <w:r>
              <w:rPr>
                <w:rFonts w:hint="eastAsia"/>
                <w:b w:val="0"/>
                <w:bCs w:val="0"/>
                <w:color w:val="auto"/>
                <w:lang w:val="en-US" w:eastAsia="zh-CN"/>
              </w:rPr>
              <w:t>吨钢排放量未达到相关标准特别排放限值得0分，达到相关标准特别排放限值得10分，达到超低排放水平得15分；</w:t>
            </w:r>
          </w:p>
        </w:tc>
        <w:tc>
          <w:tcPr>
            <w:tcW w:w="193" w:type="pct"/>
            <w:noWrap w:val="0"/>
            <w:vAlign w:val="center"/>
          </w:tcPr>
          <w:p>
            <w:pPr>
              <w:jc w:val="center"/>
              <w:rPr>
                <w:rFonts w:hint="default"/>
                <w:b w:val="0"/>
                <w:bCs w:val="0"/>
                <w:color w:val="auto"/>
                <w:lang w:val="en-US" w:eastAsia="zh-CN"/>
              </w:rPr>
            </w:pPr>
            <w:r>
              <w:rPr>
                <w:rFonts w:hint="eastAsia"/>
                <w:b w:val="0"/>
                <w:bCs w:val="0"/>
                <w:color w:val="auto"/>
                <w:lang w:val="en-US" w:eastAsia="zh-CN"/>
              </w:rPr>
              <w:t>15</w:t>
            </w:r>
          </w:p>
        </w:tc>
        <w:tc>
          <w:tcPr>
            <w:tcW w:w="203" w:type="pct"/>
            <w:vMerge w:val="continue"/>
            <w:noWrap w:val="0"/>
            <w:vAlign w:val="center"/>
          </w:tcPr>
          <w:p>
            <w:pPr>
              <w:jc w:val="center"/>
              <w:rPr>
                <w:rFonts w:hint="eastAsia"/>
                <w:b w:val="0"/>
                <w:bCs w:val="0"/>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23</w:t>
            </w:r>
          </w:p>
        </w:tc>
        <w:tc>
          <w:tcPr>
            <w:tcW w:w="268" w:type="pct"/>
            <w:vMerge w:val="continue"/>
            <w:noWrap w:val="0"/>
            <w:vAlign w:val="center"/>
          </w:tcPr>
          <w:p>
            <w:pPr>
              <w:jc w:val="center"/>
              <w:rPr>
                <w:b/>
                <w:bCs/>
                <w:color w:val="auto"/>
              </w:rPr>
            </w:pPr>
          </w:p>
        </w:tc>
        <w:tc>
          <w:tcPr>
            <w:tcW w:w="403" w:type="pct"/>
            <w:vMerge w:val="continue"/>
            <w:noWrap w:val="0"/>
            <w:vAlign w:val="center"/>
          </w:tcPr>
          <w:p>
            <w:pPr>
              <w:jc w:val="center"/>
              <w:rPr>
                <w:color w:val="auto"/>
              </w:rPr>
            </w:pPr>
          </w:p>
        </w:tc>
        <w:tc>
          <w:tcPr>
            <w:tcW w:w="557" w:type="pct"/>
            <w:vMerge w:val="continue"/>
            <w:noWrap w:val="0"/>
            <w:vAlign w:val="center"/>
          </w:tcPr>
          <w:p>
            <w:pPr>
              <w:jc w:val="left"/>
              <w:rPr>
                <w:color w:val="auto"/>
              </w:rPr>
            </w:pPr>
          </w:p>
        </w:tc>
        <w:tc>
          <w:tcPr>
            <w:tcW w:w="910" w:type="pct"/>
            <w:noWrap w:val="0"/>
            <w:vAlign w:val="center"/>
          </w:tcPr>
          <w:p>
            <w:pPr>
              <w:jc w:val="left"/>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超低排放项目改造及成效</w:t>
            </w:r>
          </w:p>
        </w:tc>
        <w:tc>
          <w:tcPr>
            <w:tcW w:w="1142"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企业开展的超低排放项目改造情况、项目投入、减排效果等描述</w:t>
            </w:r>
          </w:p>
        </w:tc>
        <w:tc>
          <w:tcPr>
            <w:tcW w:w="1114" w:type="pct"/>
            <w:noWrap w:val="0"/>
            <w:vAlign w:val="center"/>
          </w:tcPr>
          <w:p>
            <w:pPr>
              <w:jc w:val="center"/>
              <w:rPr>
                <w:rFonts w:hint="default"/>
                <w:color w:val="auto"/>
                <w:lang w:val="en-US" w:eastAsia="zh-CN"/>
              </w:rPr>
            </w:pPr>
            <w:r>
              <w:rPr>
                <w:rFonts w:hint="eastAsia"/>
                <w:color w:val="auto"/>
                <w:lang w:val="en-US" w:eastAsia="zh-CN"/>
              </w:rPr>
              <w:t>企业未开展超低排放得0分；完成超低排放改造得10分；开展超低排放并获B级以上得15分；</w:t>
            </w:r>
          </w:p>
        </w:tc>
        <w:tc>
          <w:tcPr>
            <w:tcW w:w="193" w:type="pct"/>
            <w:noWrap w:val="0"/>
            <w:vAlign w:val="center"/>
          </w:tcPr>
          <w:p>
            <w:pPr>
              <w:jc w:val="center"/>
              <w:rPr>
                <w:rFonts w:hint="default"/>
                <w:color w:val="auto"/>
                <w:sz w:val="18"/>
                <w:szCs w:val="18"/>
                <w:lang w:val="en-US" w:eastAsia="zh-CN"/>
              </w:rPr>
            </w:pPr>
            <w:r>
              <w:rPr>
                <w:rFonts w:hint="eastAsia"/>
                <w:b w:val="0"/>
                <w:bCs w:val="0"/>
                <w:color w:val="auto"/>
                <w:lang w:val="en-US" w:eastAsia="zh-CN"/>
              </w:rPr>
              <w:t>15</w:t>
            </w:r>
          </w:p>
        </w:tc>
        <w:tc>
          <w:tcPr>
            <w:tcW w:w="203" w:type="pct"/>
            <w:vMerge w:val="continue"/>
            <w:noWrap w:val="0"/>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24</w:t>
            </w:r>
          </w:p>
        </w:tc>
        <w:tc>
          <w:tcPr>
            <w:tcW w:w="268" w:type="pct"/>
            <w:vMerge w:val="continue"/>
            <w:noWrap w:val="0"/>
            <w:vAlign w:val="center"/>
          </w:tcPr>
          <w:p>
            <w:pPr>
              <w:jc w:val="center"/>
              <w:rPr>
                <w:b/>
                <w:bCs/>
                <w:color w:val="auto"/>
              </w:rPr>
            </w:pPr>
          </w:p>
        </w:tc>
        <w:tc>
          <w:tcPr>
            <w:tcW w:w="403" w:type="pct"/>
            <w:vMerge w:val="continue"/>
            <w:noWrap w:val="0"/>
            <w:vAlign w:val="center"/>
          </w:tcPr>
          <w:p>
            <w:pPr>
              <w:jc w:val="center"/>
              <w:rPr>
                <w:color w:val="auto"/>
              </w:rPr>
            </w:pPr>
          </w:p>
        </w:tc>
        <w:tc>
          <w:tcPr>
            <w:tcW w:w="557" w:type="pct"/>
            <w:vMerge w:val="restart"/>
            <w:noWrap w:val="0"/>
            <w:vAlign w:val="center"/>
          </w:tcPr>
          <w:p>
            <w:pPr>
              <w:jc w:val="left"/>
              <w:rPr>
                <w:rFonts w:ascii="Times New Roman" w:hAnsi="Times New Roman" w:eastAsia="宋体" w:cs="Times New Roman"/>
                <w:b/>
                <w:bCs/>
                <w:color w:val="auto"/>
                <w:kern w:val="2"/>
                <w:sz w:val="21"/>
                <w:szCs w:val="21"/>
                <w:lang w:val="en-US" w:eastAsia="zh-CN" w:bidi="ar-SA"/>
              </w:rPr>
            </w:pPr>
            <w:r>
              <w:rPr>
                <w:rFonts w:hint="eastAsia"/>
                <w:color w:val="auto"/>
                <w:lang w:val="en-US" w:eastAsia="zh-CN"/>
              </w:rPr>
              <w:t>废水</w:t>
            </w:r>
            <w:r>
              <w:rPr>
                <w:color w:val="auto"/>
              </w:rPr>
              <w:t>排放</w:t>
            </w:r>
          </w:p>
        </w:tc>
        <w:tc>
          <w:tcPr>
            <w:tcW w:w="910" w:type="pct"/>
            <w:noWrap w:val="0"/>
            <w:vAlign w:val="center"/>
          </w:tcPr>
          <w:p>
            <w:pPr>
              <w:jc w:val="left"/>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废水排放管理及达标情况</w:t>
            </w:r>
          </w:p>
        </w:tc>
        <w:tc>
          <w:tcPr>
            <w:tcW w:w="1142" w:type="pct"/>
            <w:noWrap w:val="0"/>
            <w:vAlign w:val="center"/>
          </w:tcPr>
          <w:p>
            <w:pPr>
              <w:jc w:val="center"/>
              <w:rPr>
                <w:rFonts w:hint="eastAsia"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废物排放许可证管理、废水排放总量，以及废水处理及达标情况</w:t>
            </w:r>
          </w:p>
        </w:tc>
        <w:tc>
          <w:tcPr>
            <w:tcW w:w="1114" w:type="pct"/>
            <w:noWrap w:val="0"/>
            <w:vAlign w:val="center"/>
          </w:tcPr>
          <w:p>
            <w:pPr>
              <w:jc w:val="center"/>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企业未取得排污许可证管理得0分，取得排污许可证并全部达标处理得5分；</w:t>
            </w:r>
          </w:p>
        </w:tc>
        <w:tc>
          <w:tcPr>
            <w:tcW w:w="193" w:type="pct"/>
            <w:noWrap w:val="0"/>
            <w:vAlign w:val="center"/>
          </w:tcPr>
          <w:p>
            <w:pPr>
              <w:jc w:val="center"/>
              <w:rPr>
                <w:rFonts w:hint="default" w:cs="Times New Roman"/>
                <w:b w:val="0"/>
                <w:bCs w:val="0"/>
                <w:color w:val="auto"/>
                <w:kern w:val="2"/>
                <w:sz w:val="20"/>
                <w:szCs w:val="20"/>
                <w:lang w:val="en-US" w:eastAsia="zh-CN" w:bidi="ar-SA"/>
              </w:rPr>
            </w:pPr>
            <w:r>
              <w:rPr>
                <w:rFonts w:hint="eastAsia" w:cs="Times New Roman"/>
                <w:b w:val="0"/>
                <w:bCs w:val="0"/>
                <w:color w:val="auto"/>
                <w:kern w:val="2"/>
                <w:sz w:val="20"/>
                <w:szCs w:val="20"/>
                <w:lang w:val="en-US" w:eastAsia="zh-CN" w:bidi="ar-SA"/>
              </w:rPr>
              <w:t>5</w:t>
            </w:r>
          </w:p>
        </w:tc>
        <w:tc>
          <w:tcPr>
            <w:tcW w:w="203" w:type="pct"/>
            <w:vMerge w:val="continue"/>
            <w:noWrap w:val="0"/>
            <w:vAlign w:val="center"/>
          </w:tcPr>
          <w:p>
            <w:pPr>
              <w:jc w:val="center"/>
              <w:rPr>
                <w:rFonts w:hint="eastAsia" w:cs="Times New Roman"/>
                <w:b w:val="0"/>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25</w:t>
            </w:r>
          </w:p>
        </w:tc>
        <w:tc>
          <w:tcPr>
            <w:tcW w:w="268" w:type="pct"/>
            <w:vMerge w:val="continue"/>
            <w:noWrap w:val="0"/>
            <w:vAlign w:val="center"/>
          </w:tcPr>
          <w:p>
            <w:pPr>
              <w:jc w:val="center"/>
              <w:rPr>
                <w:b/>
                <w:bCs/>
                <w:color w:val="auto"/>
              </w:rPr>
            </w:pPr>
          </w:p>
        </w:tc>
        <w:tc>
          <w:tcPr>
            <w:tcW w:w="403" w:type="pct"/>
            <w:vMerge w:val="continue"/>
            <w:noWrap w:val="0"/>
            <w:vAlign w:val="center"/>
          </w:tcPr>
          <w:p>
            <w:pPr>
              <w:jc w:val="center"/>
              <w:rPr>
                <w:color w:val="auto"/>
              </w:rPr>
            </w:pPr>
          </w:p>
        </w:tc>
        <w:tc>
          <w:tcPr>
            <w:tcW w:w="557" w:type="pct"/>
            <w:vMerge w:val="continue"/>
            <w:noWrap w:val="0"/>
            <w:vAlign w:val="center"/>
          </w:tcPr>
          <w:p>
            <w:pPr>
              <w:jc w:val="left"/>
              <w:rPr>
                <w:color w:val="auto"/>
              </w:rPr>
            </w:pPr>
          </w:p>
        </w:tc>
        <w:tc>
          <w:tcPr>
            <w:tcW w:w="910" w:type="pct"/>
            <w:noWrap w:val="0"/>
            <w:vAlign w:val="center"/>
          </w:tcPr>
          <w:p>
            <w:pPr>
              <w:jc w:val="left"/>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吨钢废水污染物排放量</w:t>
            </w:r>
          </w:p>
        </w:tc>
        <w:tc>
          <w:tcPr>
            <w:tcW w:w="1142" w:type="pct"/>
            <w:noWrap w:val="0"/>
            <w:vAlign w:val="center"/>
          </w:tcPr>
          <w:p>
            <w:pPr>
              <w:jc w:val="center"/>
              <w:rPr>
                <w:rFonts w:hint="default" w:ascii="Times New Roman" w:hAnsi="Times New Roman" w:eastAsia="宋体" w:cs="Times New Roman"/>
                <w:b w:val="0"/>
                <w:bCs w:val="0"/>
                <w:color w:val="auto"/>
                <w:kern w:val="2"/>
                <w:sz w:val="21"/>
                <w:szCs w:val="21"/>
                <w:lang w:val="en-US" w:eastAsia="zh-CN" w:bidi="ar-SA"/>
              </w:rPr>
            </w:pPr>
            <w:r>
              <w:rPr>
                <w:rFonts w:hint="eastAsia"/>
                <w:b w:val="0"/>
                <w:bCs w:val="0"/>
                <w:color w:val="auto"/>
                <w:lang w:val="en-US" w:eastAsia="zh-CN"/>
              </w:rPr>
              <w:t>吨钢废水污染物排放量（吨/吨）=年废水污染物排放总量（吨）/年粗钢产量（吨）；主要包括悬浮物、氨氮、化学需氧量、挥发酚等。应符合GB 13456等标准要求</w:t>
            </w:r>
          </w:p>
        </w:tc>
        <w:tc>
          <w:tcPr>
            <w:tcW w:w="1114" w:type="pct"/>
            <w:noWrap w:val="0"/>
            <w:vAlign w:val="center"/>
          </w:tcPr>
          <w:p>
            <w:pPr>
              <w:jc w:val="center"/>
              <w:rPr>
                <w:rFonts w:hint="eastAsia"/>
                <w:b w:val="0"/>
                <w:bCs w:val="0"/>
                <w:color w:val="auto"/>
                <w:lang w:val="en-US" w:eastAsia="zh-CN"/>
              </w:rPr>
            </w:pPr>
            <w:r>
              <w:rPr>
                <w:rFonts w:hint="eastAsia"/>
                <w:b w:val="0"/>
                <w:bCs w:val="0"/>
                <w:color w:val="auto"/>
                <w:lang w:val="en-US" w:eastAsia="zh-CN"/>
              </w:rPr>
              <w:t>吨钢排放量未达到GB 13456排放浓度限值得0分，达到该标准排放浓度限值得5分，达到该标准特别排放限值得10分；</w:t>
            </w:r>
          </w:p>
        </w:tc>
        <w:tc>
          <w:tcPr>
            <w:tcW w:w="193" w:type="pct"/>
            <w:noWrap w:val="0"/>
            <w:vAlign w:val="center"/>
          </w:tcPr>
          <w:p>
            <w:pPr>
              <w:jc w:val="center"/>
              <w:rPr>
                <w:rFonts w:hint="default"/>
                <w:b w:val="0"/>
                <w:bCs w:val="0"/>
                <w:color w:val="auto"/>
                <w:sz w:val="20"/>
                <w:szCs w:val="20"/>
                <w:lang w:val="en-US" w:eastAsia="zh-CN"/>
              </w:rPr>
            </w:pPr>
            <w:r>
              <w:rPr>
                <w:rFonts w:hint="eastAsia"/>
                <w:b w:val="0"/>
                <w:bCs w:val="0"/>
                <w:color w:val="auto"/>
                <w:sz w:val="20"/>
                <w:szCs w:val="20"/>
                <w:lang w:val="en-US" w:eastAsia="zh-CN"/>
              </w:rPr>
              <w:t>10</w:t>
            </w:r>
          </w:p>
        </w:tc>
        <w:tc>
          <w:tcPr>
            <w:tcW w:w="203" w:type="pct"/>
            <w:vMerge w:val="continue"/>
            <w:noWrap w:val="0"/>
            <w:vAlign w:val="center"/>
          </w:tcPr>
          <w:p>
            <w:pPr>
              <w:jc w:val="center"/>
              <w:rPr>
                <w:rFonts w:hint="eastAsia"/>
                <w:b w:val="0"/>
                <w:bCs w:val="0"/>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26</w:t>
            </w:r>
          </w:p>
        </w:tc>
        <w:tc>
          <w:tcPr>
            <w:tcW w:w="268" w:type="pct"/>
            <w:vMerge w:val="continue"/>
            <w:noWrap w:val="0"/>
            <w:vAlign w:val="center"/>
          </w:tcPr>
          <w:p>
            <w:pPr>
              <w:jc w:val="center"/>
              <w:rPr>
                <w:b/>
                <w:bCs/>
                <w:color w:val="auto"/>
              </w:rPr>
            </w:pPr>
          </w:p>
        </w:tc>
        <w:tc>
          <w:tcPr>
            <w:tcW w:w="403" w:type="pct"/>
            <w:vMerge w:val="continue"/>
            <w:noWrap w:val="0"/>
            <w:vAlign w:val="center"/>
          </w:tcPr>
          <w:p>
            <w:pPr>
              <w:jc w:val="center"/>
              <w:rPr>
                <w:color w:val="auto"/>
              </w:rPr>
            </w:pPr>
          </w:p>
        </w:tc>
        <w:tc>
          <w:tcPr>
            <w:tcW w:w="557" w:type="pct"/>
            <w:vMerge w:val="continue"/>
            <w:noWrap w:val="0"/>
            <w:vAlign w:val="center"/>
          </w:tcPr>
          <w:p>
            <w:pPr>
              <w:jc w:val="left"/>
              <w:rPr>
                <w:color w:val="auto"/>
              </w:rPr>
            </w:pPr>
          </w:p>
        </w:tc>
        <w:tc>
          <w:tcPr>
            <w:tcW w:w="910" w:type="pct"/>
            <w:noWrap w:val="0"/>
            <w:vAlign w:val="center"/>
          </w:tcPr>
          <w:p>
            <w:pPr>
              <w:jc w:val="left"/>
              <w:rPr>
                <w:rFonts w:hint="default"/>
                <w:color w:val="auto"/>
                <w:lang w:val="en-US" w:eastAsia="zh-CN"/>
              </w:rPr>
            </w:pPr>
            <w:r>
              <w:rPr>
                <w:rFonts w:hint="eastAsia"/>
                <w:color w:val="auto"/>
                <w:lang w:val="en-US" w:eastAsia="zh-CN"/>
              </w:rPr>
              <w:t>外排废水及去向</w:t>
            </w:r>
          </w:p>
        </w:tc>
        <w:tc>
          <w:tcPr>
            <w:tcW w:w="1142" w:type="pct"/>
            <w:noWrap w:val="0"/>
            <w:vAlign w:val="center"/>
          </w:tcPr>
          <w:p>
            <w:pPr>
              <w:jc w:val="center"/>
              <w:rPr>
                <w:rFonts w:hint="default"/>
                <w:b w:val="0"/>
                <w:bCs w:val="0"/>
                <w:color w:val="auto"/>
                <w:lang w:val="en-US" w:eastAsia="zh-CN"/>
              </w:rPr>
            </w:pPr>
            <w:r>
              <w:rPr>
                <w:rFonts w:hint="eastAsia"/>
                <w:b w:val="0"/>
                <w:bCs w:val="0"/>
                <w:color w:val="auto"/>
                <w:lang w:val="en-US" w:eastAsia="zh-CN"/>
              </w:rPr>
              <w:t>外排废水总量及去向</w:t>
            </w:r>
          </w:p>
        </w:tc>
        <w:tc>
          <w:tcPr>
            <w:tcW w:w="1114" w:type="pct"/>
            <w:noWrap w:val="0"/>
            <w:vAlign w:val="center"/>
          </w:tcPr>
          <w:p>
            <w:pPr>
              <w:jc w:val="center"/>
              <w:rPr>
                <w:rFonts w:hint="eastAsia"/>
                <w:b w:val="0"/>
                <w:bCs w:val="0"/>
                <w:color w:val="auto"/>
                <w:lang w:val="en-US" w:eastAsia="zh-CN"/>
              </w:rPr>
            </w:pPr>
            <w:r>
              <w:rPr>
                <w:rFonts w:hint="eastAsia"/>
                <w:color w:val="auto"/>
                <w:lang w:val="en-US" w:eastAsia="zh-CN"/>
              </w:rPr>
              <w:t>企业无相关信息披露得0分，有外排废水及去向披露信息5分，废水达到近零排放水平得10分；</w:t>
            </w:r>
          </w:p>
        </w:tc>
        <w:tc>
          <w:tcPr>
            <w:tcW w:w="193" w:type="pct"/>
            <w:noWrap w:val="0"/>
            <w:vAlign w:val="center"/>
          </w:tcPr>
          <w:p>
            <w:pPr>
              <w:jc w:val="center"/>
              <w:rPr>
                <w:rFonts w:hint="default"/>
                <w:b w:val="0"/>
                <w:bCs w:val="0"/>
                <w:color w:val="auto"/>
                <w:sz w:val="20"/>
                <w:szCs w:val="20"/>
                <w:lang w:val="en-US" w:eastAsia="zh-CN"/>
              </w:rPr>
            </w:pPr>
            <w:r>
              <w:rPr>
                <w:rFonts w:hint="eastAsia"/>
                <w:b w:val="0"/>
                <w:bCs w:val="0"/>
                <w:color w:val="auto"/>
                <w:sz w:val="20"/>
                <w:szCs w:val="20"/>
                <w:lang w:val="en-US" w:eastAsia="zh-CN"/>
              </w:rPr>
              <w:t>10</w:t>
            </w:r>
          </w:p>
        </w:tc>
        <w:tc>
          <w:tcPr>
            <w:tcW w:w="203" w:type="pct"/>
            <w:vMerge w:val="continue"/>
            <w:noWrap w:val="0"/>
            <w:vAlign w:val="center"/>
          </w:tcPr>
          <w:p>
            <w:pPr>
              <w:jc w:val="center"/>
              <w:rPr>
                <w:rFonts w:hint="eastAsia"/>
                <w:b w:val="0"/>
                <w:bCs w:val="0"/>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27</w:t>
            </w:r>
          </w:p>
        </w:tc>
        <w:tc>
          <w:tcPr>
            <w:tcW w:w="268" w:type="pct"/>
            <w:vMerge w:val="continue"/>
            <w:noWrap w:val="0"/>
            <w:vAlign w:val="center"/>
          </w:tcPr>
          <w:p>
            <w:pPr>
              <w:jc w:val="center"/>
              <w:rPr>
                <w:b/>
                <w:bCs/>
                <w:color w:val="auto"/>
              </w:rPr>
            </w:pPr>
          </w:p>
        </w:tc>
        <w:tc>
          <w:tcPr>
            <w:tcW w:w="403" w:type="pct"/>
            <w:vMerge w:val="continue"/>
            <w:noWrap w:val="0"/>
            <w:vAlign w:val="center"/>
          </w:tcPr>
          <w:p>
            <w:pPr>
              <w:jc w:val="center"/>
              <w:rPr>
                <w:b/>
                <w:bCs/>
                <w:color w:val="auto"/>
              </w:rPr>
            </w:pPr>
          </w:p>
        </w:tc>
        <w:tc>
          <w:tcPr>
            <w:tcW w:w="557" w:type="pct"/>
            <w:vMerge w:val="restart"/>
            <w:noWrap w:val="0"/>
            <w:vAlign w:val="center"/>
          </w:tcPr>
          <w:p>
            <w:pPr>
              <w:jc w:val="left"/>
              <w:rPr>
                <w:color w:val="auto"/>
              </w:rPr>
            </w:pPr>
            <w:r>
              <w:rPr>
                <w:color w:val="auto"/>
              </w:rPr>
              <w:t>固废排放</w:t>
            </w:r>
          </w:p>
        </w:tc>
        <w:tc>
          <w:tcPr>
            <w:tcW w:w="910" w:type="pct"/>
            <w:noWrap w:val="0"/>
            <w:vAlign w:val="center"/>
          </w:tcPr>
          <w:p>
            <w:pPr>
              <w:jc w:val="left"/>
              <w:rPr>
                <w:rFonts w:hint="default"/>
                <w:color w:val="auto"/>
                <w:lang w:val="en-US" w:eastAsia="zh-CN"/>
              </w:rPr>
            </w:pPr>
            <w:r>
              <w:rPr>
                <w:rFonts w:hint="eastAsia"/>
                <w:color w:val="auto"/>
                <w:lang w:val="en-US" w:eastAsia="zh-CN"/>
              </w:rPr>
              <w:t>固废管理和合规处置情况</w:t>
            </w:r>
          </w:p>
        </w:tc>
        <w:tc>
          <w:tcPr>
            <w:tcW w:w="1142" w:type="pct"/>
            <w:noWrap w:val="0"/>
            <w:vAlign w:val="center"/>
          </w:tcPr>
          <w:p>
            <w:pPr>
              <w:jc w:val="center"/>
              <w:rPr>
                <w:rFonts w:hint="default"/>
                <w:color w:val="auto"/>
                <w:lang w:val="en-US" w:eastAsia="zh-CN"/>
              </w:rPr>
            </w:pPr>
            <w:r>
              <w:rPr>
                <w:rFonts w:hint="eastAsia" w:cs="Times New Roman"/>
                <w:b w:val="0"/>
                <w:bCs w:val="0"/>
                <w:color w:val="auto"/>
                <w:kern w:val="2"/>
                <w:sz w:val="21"/>
                <w:szCs w:val="21"/>
                <w:lang w:val="en-US" w:eastAsia="zh-CN" w:bidi="ar-SA"/>
              </w:rPr>
              <w:t>废物排放许可证管理、固废</w:t>
            </w:r>
            <w:r>
              <w:rPr>
                <w:rFonts w:hint="eastAsia"/>
                <w:color w:val="auto"/>
                <w:kern w:val="0"/>
              </w:rPr>
              <w:t>产生</w:t>
            </w:r>
            <w:r>
              <w:rPr>
                <w:rFonts w:hint="eastAsia"/>
                <w:color w:val="auto"/>
                <w:kern w:val="0"/>
                <w:lang w:val="en-US" w:eastAsia="zh-CN"/>
              </w:rPr>
              <w:t>量及处置</w:t>
            </w:r>
            <w:r>
              <w:rPr>
                <w:rFonts w:hint="eastAsia" w:ascii="宋体" w:hAnsi="宋体"/>
                <w:color w:val="auto"/>
                <w:kern w:val="0"/>
                <w:lang w:val="en-US" w:eastAsia="zh-CN"/>
              </w:rPr>
              <w:t>利用</w:t>
            </w:r>
            <w:r>
              <w:rPr>
                <w:rFonts w:hint="eastAsia" w:cs="Times New Roman"/>
                <w:b w:val="0"/>
                <w:bCs w:val="0"/>
                <w:color w:val="auto"/>
                <w:kern w:val="2"/>
                <w:sz w:val="21"/>
                <w:szCs w:val="21"/>
                <w:lang w:val="en-US" w:eastAsia="zh-CN" w:bidi="ar-SA"/>
              </w:rPr>
              <w:t>情况。固废处置应符合GB 18599相关要求。</w:t>
            </w:r>
          </w:p>
        </w:tc>
        <w:tc>
          <w:tcPr>
            <w:tcW w:w="1114" w:type="pct"/>
            <w:noWrap w:val="0"/>
            <w:vAlign w:val="center"/>
          </w:tcPr>
          <w:p>
            <w:pPr>
              <w:jc w:val="center"/>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企业未取得排污许可证管理得0分，取得排污许可证并全部合规处置得5分；</w:t>
            </w:r>
          </w:p>
        </w:tc>
        <w:tc>
          <w:tcPr>
            <w:tcW w:w="193" w:type="pct"/>
            <w:noWrap w:val="0"/>
            <w:vAlign w:val="center"/>
          </w:tcPr>
          <w:p>
            <w:pPr>
              <w:jc w:val="center"/>
              <w:rPr>
                <w:rFonts w:hint="default"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5</w:t>
            </w:r>
          </w:p>
        </w:tc>
        <w:tc>
          <w:tcPr>
            <w:tcW w:w="203" w:type="pct"/>
            <w:vMerge w:val="continue"/>
            <w:noWrap w:val="0"/>
            <w:vAlign w:val="center"/>
          </w:tcPr>
          <w:p>
            <w:pPr>
              <w:jc w:val="center"/>
              <w:rPr>
                <w:rFonts w:hint="eastAsia" w:cs="Times New Roman"/>
                <w:b w:val="0"/>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05" w:type="pct"/>
            <w:noWrap w:val="0"/>
            <w:vAlign w:val="center"/>
          </w:tcPr>
          <w:p>
            <w:pPr>
              <w:jc w:val="center"/>
              <w:rPr>
                <w:rFonts w:hint="eastAsia"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28</w:t>
            </w:r>
          </w:p>
        </w:tc>
        <w:tc>
          <w:tcPr>
            <w:tcW w:w="268" w:type="pct"/>
            <w:vMerge w:val="continue"/>
            <w:noWrap w:val="0"/>
            <w:vAlign w:val="center"/>
          </w:tcPr>
          <w:p>
            <w:pPr>
              <w:jc w:val="center"/>
              <w:rPr>
                <w:b/>
                <w:bCs/>
                <w:color w:val="auto"/>
              </w:rPr>
            </w:pPr>
          </w:p>
        </w:tc>
        <w:tc>
          <w:tcPr>
            <w:tcW w:w="403" w:type="pct"/>
            <w:vMerge w:val="continue"/>
            <w:noWrap w:val="0"/>
            <w:vAlign w:val="center"/>
          </w:tcPr>
          <w:p>
            <w:pPr>
              <w:jc w:val="center"/>
              <w:rPr>
                <w:b/>
                <w:bCs/>
                <w:color w:val="auto"/>
              </w:rPr>
            </w:pPr>
          </w:p>
        </w:tc>
        <w:tc>
          <w:tcPr>
            <w:tcW w:w="557" w:type="pct"/>
            <w:vMerge w:val="continue"/>
            <w:noWrap w:val="0"/>
            <w:vAlign w:val="center"/>
          </w:tcPr>
          <w:p>
            <w:pPr>
              <w:jc w:val="left"/>
              <w:rPr>
                <w:color w:val="auto"/>
              </w:rPr>
            </w:pPr>
          </w:p>
        </w:tc>
        <w:tc>
          <w:tcPr>
            <w:tcW w:w="910" w:type="pct"/>
            <w:noWrap w:val="0"/>
            <w:vAlign w:val="center"/>
          </w:tcPr>
          <w:p>
            <w:pPr>
              <w:jc w:val="left"/>
              <w:rPr>
                <w:rFonts w:hint="eastAsia"/>
                <w:color w:val="auto"/>
                <w:lang w:val="en-US" w:eastAsia="zh-CN"/>
              </w:rPr>
            </w:pPr>
            <w:r>
              <w:rPr>
                <w:rFonts w:hint="eastAsia"/>
                <w:color w:val="auto"/>
                <w:lang w:val="en-US" w:eastAsia="zh-CN"/>
              </w:rPr>
              <w:t>危险废物处置利用情况</w:t>
            </w:r>
          </w:p>
        </w:tc>
        <w:tc>
          <w:tcPr>
            <w:tcW w:w="1142" w:type="pct"/>
            <w:noWrap w:val="0"/>
            <w:vAlign w:val="center"/>
          </w:tcPr>
          <w:p>
            <w:pPr>
              <w:jc w:val="center"/>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危险废物产生量，以及危险废物回收、储运和处置利用情况，危险废物需100%合规处置</w:t>
            </w:r>
          </w:p>
        </w:tc>
        <w:tc>
          <w:tcPr>
            <w:tcW w:w="1114" w:type="pct"/>
            <w:noWrap w:val="0"/>
            <w:vAlign w:val="center"/>
          </w:tcPr>
          <w:p>
            <w:pPr>
              <w:jc w:val="center"/>
              <w:rPr>
                <w:rFonts w:hint="eastAsia" w:cs="Times New Roman"/>
                <w:b w:val="0"/>
                <w:bCs w:val="0"/>
                <w:color w:val="auto"/>
                <w:kern w:val="2"/>
                <w:sz w:val="21"/>
                <w:szCs w:val="21"/>
                <w:lang w:val="en-US" w:eastAsia="zh-CN" w:bidi="ar-SA"/>
              </w:rPr>
            </w:pPr>
            <w:r>
              <w:rPr>
                <w:rFonts w:hint="eastAsia"/>
                <w:color w:val="auto"/>
                <w:lang w:val="en-US" w:eastAsia="zh-CN"/>
              </w:rPr>
              <w:t>企业危险废物未100%合规处置得0分，100%合规处置且披露相关信息得5分；</w:t>
            </w:r>
          </w:p>
        </w:tc>
        <w:tc>
          <w:tcPr>
            <w:tcW w:w="193" w:type="pct"/>
            <w:noWrap w:val="0"/>
            <w:vAlign w:val="center"/>
          </w:tcPr>
          <w:p>
            <w:pPr>
              <w:jc w:val="center"/>
              <w:rPr>
                <w:rFonts w:hint="default"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5</w:t>
            </w:r>
          </w:p>
        </w:tc>
        <w:tc>
          <w:tcPr>
            <w:tcW w:w="203" w:type="pct"/>
            <w:vMerge w:val="continue"/>
            <w:noWrap w:val="0"/>
            <w:vAlign w:val="center"/>
          </w:tcPr>
          <w:p>
            <w:pPr>
              <w:jc w:val="center"/>
              <w:rPr>
                <w:rFonts w:hint="eastAsia" w:cs="Times New Roman"/>
                <w:b w:val="0"/>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29</w:t>
            </w:r>
          </w:p>
        </w:tc>
        <w:tc>
          <w:tcPr>
            <w:tcW w:w="268" w:type="pct"/>
            <w:vMerge w:val="continue"/>
            <w:noWrap w:val="0"/>
            <w:vAlign w:val="center"/>
          </w:tcPr>
          <w:p>
            <w:pPr>
              <w:jc w:val="center"/>
              <w:rPr>
                <w:b/>
                <w:bCs/>
                <w:color w:val="auto"/>
              </w:rPr>
            </w:pPr>
          </w:p>
        </w:tc>
        <w:tc>
          <w:tcPr>
            <w:tcW w:w="403" w:type="pct"/>
            <w:vMerge w:val="continue"/>
            <w:noWrap w:val="0"/>
            <w:vAlign w:val="center"/>
          </w:tcPr>
          <w:p>
            <w:pPr>
              <w:jc w:val="center"/>
              <w:rPr>
                <w:b/>
                <w:bCs/>
                <w:color w:val="auto"/>
              </w:rPr>
            </w:pPr>
          </w:p>
        </w:tc>
        <w:tc>
          <w:tcPr>
            <w:tcW w:w="557" w:type="pct"/>
            <w:vMerge w:val="continue"/>
            <w:noWrap w:val="0"/>
            <w:vAlign w:val="center"/>
          </w:tcPr>
          <w:p>
            <w:pPr>
              <w:jc w:val="left"/>
              <w:rPr>
                <w:color w:val="auto"/>
              </w:rPr>
            </w:pPr>
          </w:p>
        </w:tc>
        <w:tc>
          <w:tcPr>
            <w:tcW w:w="910" w:type="pct"/>
            <w:noWrap w:val="0"/>
            <w:vAlign w:val="center"/>
          </w:tcPr>
          <w:p>
            <w:pPr>
              <w:jc w:val="left"/>
              <w:rPr>
                <w:rFonts w:hint="default"/>
                <w:color w:val="auto"/>
                <w:lang w:val="en-US" w:eastAsia="zh-CN"/>
              </w:rPr>
            </w:pPr>
            <w:r>
              <w:rPr>
                <w:rFonts w:hint="eastAsia"/>
                <w:color w:val="auto"/>
                <w:lang w:val="en-US" w:eastAsia="zh-CN"/>
              </w:rPr>
              <w:t>吨钢固废产生量</w:t>
            </w:r>
          </w:p>
        </w:tc>
        <w:tc>
          <w:tcPr>
            <w:tcW w:w="1142" w:type="pct"/>
            <w:noWrap w:val="0"/>
            <w:vAlign w:val="center"/>
          </w:tcPr>
          <w:p>
            <w:pPr>
              <w:jc w:val="center"/>
              <w:rPr>
                <w:rFonts w:hint="default" w:cs="Times New Roman"/>
                <w:b w:val="0"/>
                <w:bCs w:val="0"/>
                <w:color w:val="auto"/>
                <w:kern w:val="2"/>
                <w:sz w:val="21"/>
                <w:szCs w:val="21"/>
                <w:lang w:val="en-US" w:eastAsia="zh-CN" w:bidi="ar-SA"/>
              </w:rPr>
            </w:pPr>
            <w:r>
              <w:rPr>
                <w:rFonts w:hint="eastAsia"/>
                <w:color w:val="auto"/>
                <w:lang w:val="en-US" w:eastAsia="zh-CN"/>
              </w:rPr>
              <w:t>吨钢固废产生量（千克/吨）=年固废产生量（千克）/</w:t>
            </w:r>
            <w:r>
              <w:rPr>
                <w:rFonts w:hint="eastAsia"/>
                <w:b w:val="0"/>
                <w:bCs w:val="0"/>
                <w:color w:val="auto"/>
                <w:lang w:val="en-US" w:eastAsia="zh-CN"/>
              </w:rPr>
              <w:t>年粗钢产量</w:t>
            </w:r>
            <w:r>
              <w:rPr>
                <w:rFonts w:hint="eastAsia"/>
                <w:color w:val="auto"/>
                <w:lang w:val="en-US" w:eastAsia="zh-CN"/>
              </w:rPr>
              <w:t>（吨），包括高炉渣、钢渣和尘泥等产生量</w:t>
            </w:r>
          </w:p>
        </w:tc>
        <w:tc>
          <w:tcPr>
            <w:tcW w:w="1114" w:type="pct"/>
            <w:noWrap w:val="0"/>
            <w:vAlign w:val="center"/>
          </w:tcPr>
          <w:p>
            <w:pPr>
              <w:jc w:val="center"/>
              <w:rPr>
                <w:rFonts w:hint="eastAsia"/>
                <w:color w:val="auto"/>
                <w:lang w:val="en-US" w:eastAsia="zh-CN"/>
              </w:rPr>
            </w:pPr>
            <w:r>
              <w:rPr>
                <w:rFonts w:hint="eastAsia"/>
                <w:b w:val="0"/>
                <w:bCs w:val="0"/>
                <w:color w:val="auto"/>
                <w:lang w:val="en-US" w:eastAsia="zh-CN"/>
              </w:rPr>
              <w:t>未达到行业平均水平得0分，达到行业平均水平得3分，达到行业先进水平得5分；</w:t>
            </w:r>
          </w:p>
        </w:tc>
        <w:tc>
          <w:tcPr>
            <w:tcW w:w="193" w:type="pct"/>
            <w:noWrap w:val="0"/>
            <w:vAlign w:val="center"/>
          </w:tcPr>
          <w:p>
            <w:pPr>
              <w:jc w:val="center"/>
              <w:rPr>
                <w:rFonts w:hint="default"/>
                <w:color w:val="auto"/>
                <w:sz w:val="22"/>
                <w:szCs w:val="22"/>
                <w:lang w:val="en-US" w:eastAsia="zh-CN"/>
              </w:rPr>
            </w:pPr>
            <w:r>
              <w:rPr>
                <w:rFonts w:hint="eastAsia"/>
                <w:color w:val="auto"/>
                <w:sz w:val="22"/>
                <w:szCs w:val="22"/>
                <w:lang w:val="en-US" w:eastAsia="zh-CN"/>
              </w:rPr>
              <w:t>5</w:t>
            </w:r>
          </w:p>
        </w:tc>
        <w:tc>
          <w:tcPr>
            <w:tcW w:w="203" w:type="pct"/>
            <w:vMerge w:val="continue"/>
            <w:noWrap w:val="0"/>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30</w:t>
            </w:r>
          </w:p>
        </w:tc>
        <w:tc>
          <w:tcPr>
            <w:tcW w:w="268" w:type="pct"/>
            <w:vMerge w:val="continue"/>
            <w:noWrap w:val="0"/>
            <w:vAlign w:val="center"/>
          </w:tcPr>
          <w:p>
            <w:pPr>
              <w:jc w:val="center"/>
              <w:rPr>
                <w:b/>
                <w:bCs/>
                <w:color w:val="auto"/>
              </w:rPr>
            </w:pPr>
          </w:p>
        </w:tc>
        <w:tc>
          <w:tcPr>
            <w:tcW w:w="403" w:type="pct"/>
            <w:vMerge w:val="continue"/>
            <w:noWrap w:val="0"/>
            <w:vAlign w:val="center"/>
          </w:tcPr>
          <w:p>
            <w:pPr>
              <w:jc w:val="center"/>
              <w:rPr>
                <w:b/>
                <w:bCs/>
                <w:color w:val="auto"/>
              </w:rPr>
            </w:pPr>
          </w:p>
        </w:tc>
        <w:tc>
          <w:tcPr>
            <w:tcW w:w="557" w:type="pct"/>
            <w:vMerge w:val="continue"/>
            <w:noWrap w:val="0"/>
            <w:vAlign w:val="center"/>
          </w:tcPr>
          <w:p>
            <w:pPr>
              <w:jc w:val="left"/>
              <w:rPr>
                <w:color w:val="auto"/>
              </w:rPr>
            </w:pPr>
          </w:p>
        </w:tc>
        <w:tc>
          <w:tcPr>
            <w:tcW w:w="910" w:type="pct"/>
            <w:noWrap w:val="0"/>
            <w:vAlign w:val="center"/>
          </w:tcPr>
          <w:p>
            <w:pPr>
              <w:jc w:val="left"/>
              <w:rPr>
                <w:rFonts w:hint="default" w:eastAsia="宋体"/>
                <w:color w:val="auto"/>
                <w:lang w:val="en-US" w:eastAsia="zh-CN"/>
              </w:rPr>
            </w:pPr>
            <w:r>
              <w:rPr>
                <w:rFonts w:hint="eastAsia"/>
                <w:color w:val="auto"/>
                <w:lang w:val="en-US" w:eastAsia="zh-CN"/>
              </w:rPr>
              <w:t>固废综合利用率</w:t>
            </w:r>
          </w:p>
        </w:tc>
        <w:tc>
          <w:tcPr>
            <w:tcW w:w="1142" w:type="pct"/>
            <w:noWrap w:val="0"/>
            <w:vAlign w:val="center"/>
          </w:tcPr>
          <w:p>
            <w:pPr>
              <w:jc w:val="center"/>
              <w:rPr>
                <w:rFonts w:hint="default"/>
                <w:color w:val="auto"/>
                <w:lang w:val="en-US" w:eastAsia="zh-CN"/>
              </w:rPr>
            </w:pPr>
            <w:r>
              <w:rPr>
                <w:rFonts w:hint="eastAsia"/>
                <w:color w:val="auto"/>
                <w:lang w:val="en-US" w:eastAsia="zh-CN"/>
              </w:rPr>
              <w:t>固废综合利用率（%）=年固废综合利用量（吨）/年固废产生量（吨），包括高炉渣、钢渣和尘泥的利用率</w:t>
            </w:r>
          </w:p>
        </w:tc>
        <w:tc>
          <w:tcPr>
            <w:tcW w:w="1114" w:type="pct"/>
            <w:noWrap w:val="0"/>
            <w:vAlign w:val="center"/>
          </w:tcPr>
          <w:p>
            <w:pPr>
              <w:jc w:val="center"/>
              <w:rPr>
                <w:rFonts w:hint="eastAsia"/>
                <w:color w:val="auto"/>
                <w:lang w:val="en-US" w:eastAsia="zh-CN"/>
              </w:rPr>
            </w:pPr>
            <w:r>
              <w:rPr>
                <w:rFonts w:hint="eastAsia"/>
                <w:b w:val="0"/>
                <w:bCs w:val="0"/>
                <w:color w:val="auto"/>
                <w:lang w:val="en-US" w:eastAsia="zh-CN"/>
              </w:rPr>
              <w:t>未达到行业平均水平得0分，达到行业平均水平得5分，达到行业先进水平得10分；</w:t>
            </w:r>
          </w:p>
        </w:tc>
        <w:tc>
          <w:tcPr>
            <w:tcW w:w="193" w:type="pct"/>
            <w:noWrap w:val="0"/>
            <w:vAlign w:val="center"/>
          </w:tcPr>
          <w:p>
            <w:pPr>
              <w:jc w:val="center"/>
              <w:rPr>
                <w:rFonts w:hint="default"/>
                <w:color w:val="auto"/>
                <w:sz w:val="22"/>
                <w:szCs w:val="22"/>
                <w:lang w:val="en-US" w:eastAsia="zh-CN"/>
              </w:rPr>
            </w:pPr>
            <w:r>
              <w:rPr>
                <w:rFonts w:hint="eastAsia"/>
                <w:color w:val="auto"/>
                <w:sz w:val="22"/>
                <w:szCs w:val="22"/>
                <w:lang w:val="en-US" w:eastAsia="zh-CN"/>
              </w:rPr>
              <w:t>10</w:t>
            </w:r>
          </w:p>
        </w:tc>
        <w:tc>
          <w:tcPr>
            <w:tcW w:w="203" w:type="pct"/>
            <w:vMerge w:val="continue"/>
            <w:noWrap w:val="0"/>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31</w:t>
            </w:r>
          </w:p>
        </w:tc>
        <w:tc>
          <w:tcPr>
            <w:tcW w:w="268" w:type="pct"/>
            <w:vMerge w:val="continue"/>
            <w:noWrap w:val="0"/>
            <w:vAlign w:val="center"/>
          </w:tcPr>
          <w:p>
            <w:pPr>
              <w:jc w:val="center"/>
              <w:rPr>
                <w:b/>
                <w:bCs/>
                <w:color w:val="auto"/>
              </w:rPr>
            </w:pPr>
          </w:p>
        </w:tc>
        <w:tc>
          <w:tcPr>
            <w:tcW w:w="403" w:type="pct"/>
            <w:vMerge w:val="continue"/>
            <w:noWrap w:val="0"/>
            <w:vAlign w:val="center"/>
          </w:tcPr>
          <w:p>
            <w:pPr>
              <w:jc w:val="center"/>
              <w:rPr>
                <w:b/>
                <w:bCs/>
                <w:color w:val="auto"/>
              </w:rPr>
            </w:pPr>
          </w:p>
        </w:tc>
        <w:tc>
          <w:tcPr>
            <w:tcW w:w="557" w:type="pct"/>
            <w:vMerge w:val="restart"/>
            <w:noWrap w:val="0"/>
            <w:vAlign w:val="center"/>
          </w:tcPr>
          <w:p>
            <w:pPr>
              <w:jc w:val="left"/>
              <w:rPr>
                <w:color w:val="auto"/>
                <w:highlight w:val="yellow"/>
              </w:rPr>
            </w:pPr>
            <w:r>
              <w:rPr>
                <w:color w:val="auto"/>
              </w:rPr>
              <w:t>噪声排放</w:t>
            </w:r>
          </w:p>
        </w:tc>
        <w:tc>
          <w:tcPr>
            <w:tcW w:w="910" w:type="pct"/>
            <w:noWrap w:val="0"/>
            <w:vAlign w:val="center"/>
          </w:tcPr>
          <w:p>
            <w:pPr>
              <w:jc w:val="left"/>
              <w:rPr>
                <w:rFonts w:hint="default" w:eastAsia="宋体"/>
                <w:color w:val="auto"/>
                <w:lang w:val="en-US" w:eastAsia="zh-CN"/>
              </w:rPr>
            </w:pPr>
            <w:r>
              <w:rPr>
                <w:rFonts w:hint="eastAsia"/>
                <w:color w:val="auto"/>
                <w:lang w:val="en-US" w:eastAsia="zh-CN"/>
              </w:rPr>
              <w:t>企业噪声管理</w:t>
            </w:r>
          </w:p>
        </w:tc>
        <w:tc>
          <w:tcPr>
            <w:tcW w:w="1142" w:type="pct"/>
            <w:noWrap w:val="0"/>
            <w:vAlign w:val="center"/>
          </w:tcPr>
          <w:p>
            <w:pPr>
              <w:jc w:val="center"/>
              <w:rPr>
                <w:rFonts w:hint="default" w:eastAsia="宋体"/>
                <w:color w:val="auto"/>
                <w:lang w:val="en-US" w:eastAsia="zh-CN"/>
              </w:rPr>
            </w:pPr>
            <w:r>
              <w:rPr>
                <w:rFonts w:hint="eastAsia"/>
                <w:color w:val="auto"/>
                <w:lang w:val="en-US" w:eastAsia="zh-CN"/>
              </w:rPr>
              <w:t>企业应具备噪声管理和降噪措施等</w:t>
            </w:r>
          </w:p>
        </w:tc>
        <w:tc>
          <w:tcPr>
            <w:tcW w:w="1114" w:type="pct"/>
            <w:noWrap w:val="0"/>
            <w:vAlign w:val="center"/>
          </w:tcPr>
          <w:p>
            <w:pPr>
              <w:jc w:val="center"/>
              <w:rPr>
                <w:rFonts w:hint="default"/>
                <w:color w:val="auto"/>
                <w:lang w:val="en-US" w:eastAsia="zh-CN"/>
              </w:rPr>
            </w:pPr>
            <w:r>
              <w:rPr>
                <w:rFonts w:hint="eastAsia"/>
                <w:color w:val="auto"/>
                <w:lang w:val="en-US" w:eastAsia="zh-CN"/>
              </w:rPr>
              <w:t>企业不具备噪声管理和降噪措施得0分，具备噪声管理及应对措施得5分；</w:t>
            </w:r>
          </w:p>
        </w:tc>
        <w:tc>
          <w:tcPr>
            <w:tcW w:w="193" w:type="pct"/>
            <w:noWrap w:val="0"/>
            <w:vAlign w:val="center"/>
          </w:tcPr>
          <w:p>
            <w:pPr>
              <w:jc w:val="center"/>
              <w:rPr>
                <w:rFonts w:hint="default"/>
                <w:color w:val="auto"/>
                <w:lang w:val="en-US" w:eastAsia="zh-CN"/>
              </w:rPr>
            </w:pPr>
            <w:r>
              <w:rPr>
                <w:rFonts w:hint="eastAsia"/>
                <w:color w:val="auto"/>
                <w:lang w:val="en-US" w:eastAsia="zh-CN"/>
              </w:rPr>
              <w:t>5</w:t>
            </w:r>
          </w:p>
        </w:tc>
        <w:tc>
          <w:tcPr>
            <w:tcW w:w="203" w:type="pct"/>
            <w:vMerge w:val="continue"/>
            <w:noWrap w:val="0"/>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32</w:t>
            </w:r>
          </w:p>
        </w:tc>
        <w:tc>
          <w:tcPr>
            <w:tcW w:w="268" w:type="pct"/>
            <w:vMerge w:val="continue"/>
            <w:noWrap w:val="0"/>
            <w:vAlign w:val="center"/>
          </w:tcPr>
          <w:p>
            <w:pPr>
              <w:jc w:val="center"/>
              <w:rPr>
                <w:b/>
                <w:bCs/>
                <w:color w:val="auto"/>
              </w:rPr>
            </w:pPr>
          </w:p>
        </w:tc>
        <w:tc>
          <w:tcPr>
            <w:tcW w:w="403" w:type="pct"/>
            <w:vMerge w:val="continue"/>
            <w:noWrap w:val="0"/>
            <w:vAlign w:val="center"/>
          </w:tcPr>
          <w:p>
            <w:pPr>
              <w:jc w:val="center"/>
              <w:rPr>
                <w:b/>
                <w:bCs/>
                <w:color w:val="auto"/>
              </w:rPr>
            </w:pPr>
          </w:p>
        </w:tc>
        <w:tc>
          <w:tcPr>
            <w:tcW w:w="557" w:type="pct"/>
            <w:vMerge w:val="continue"/>
            <w:noWrap w:val="0"/>
            <w:vAlign w:val="center"/>
          </w:tcPr>
          <w:p>
            <w:pPr>
              <w:jc w:val="left"/>
              <w:rPr>
                <w:color w:val="auto"/>
              </w:rPr>
            </w:pPr>
          </w:p>
        </w:tc>
        <w:tc>
          <w:tcPr>
            <w:tcW w:w="910" w:type="pct"/>
            <w:noWrap w:val="0"/>
            <w:vAlign w:val="center"/>
          </w:tcPr>
          <w:p>
            <w:pPr>
              <w:jc w:val="left"/>
              <w:rPr>
                <w:rFonts w:hint="default"/>
                <w:color w:val="auto"/>
                <w:lang w:val="en-US" w:eastAsia="zh-CN"/>
              </w:rPr>
            </w:pPr>
            <w:r>
              <w:rPr>
                <w:rFonts w:hint="eastAsia"/>
                <w:color w:val="auto"/>
                <w:lang w:val="en-US" w:eastAsia="zh-CN"/>
              </w:rPr>
              <w:t>企业噪声检测</w:t>
            </w:r>
          </w:p>
        </w:tc>
        <w:tc>
          <w:tcPr>
            <w:tcW w:w="1142" w:type="pct"/>
            <w:noWrap w:val="0"/>
            <w:vAlign w:val="center"/>
          </w:tcPr>
          <w:p>
            <w:pPr>
              <w:jc w:val="center"/>
              <w:rPr>
                <w:rFonts w:hint="default"/>
                <w:color w:val="auto"/>
                <w:lang w:val="en-US" w:eastAsia="zh-CN"/>
              </w:rPr>
            </w:pPr>
            <w:r>
              <w:rPr>
                <w:rFonts w:hint="eastAsia"/>
                <w:color w:val="auto"/>
                <w:lang w:val="en-US" w:eastAsia="zh-CN"/>
              </w:rPr>
              <w:t>企业应根据要求进行噪声检测，且噪声应符合GB 12348的相关要求。</w:t>
            </w:r>
          </w:p>
        </w:tc>
        <w:tc>
          <w:tcPr>
            <w:tcW w:w="1114" w:type="pct"/>
            <w:noWrap w:val="0"/>
            <w:vAlign w:val="center"/>
          </w:tcPr>
          <w:p>
            <w:pPr>
              <w:jc w:val="center"/>
              <w:rPr>
                <w:rFonts w:hint="default"/>
                <w:color w:val="auto"/>
                <w:lang w:val="en-US" w:eastAsia="zh-CN"/>
              </w:rPr>
            </w:pPr>
            <w:r>
              <w:rPr>
                <w:rFonts w:hint="eastAsia"/>
                <w:color w:val="auto"/>
                <w:lang w:val="en-US" w:eastAsia="zh-CN"/>
              </w:rPr>
              <w:t>企业未按要求进行噪声检测和披露检测值得0分，按要求进行检测，且噪声符合GB 12348要求得5分；</w:t>
            </w:r>
          </w:p>
        </w:tc>
        <w:tc>
          <w:tcPr>
            <w:tcW w:w="193" w:type="pct"/>
            <w:noWrap w:val="0"/>
            <w:vAlign w:val="center"/>
          </w:tcPr>
          <w:p>
            <w:pPr>
              <w:jc w:val="center"/>
              <w:rPr>
                <w:rFonts w:hint="default"/>
                <w:color w:val="auto"/>
                <w:lang w:val="en-US" w:eastAsia="zh-CN"/>
              </w:rPr>
            </w:pPr>
            <w:r>
              <w:rPr>
                <w:rFonts w:hint="eastAsia"/>
                <w:color w:val="auto"/>
                <w:lang w:val="en-US" w:eastAsia="zh-CN"/>
              </w:rPr>
              <w:t>5</w:t>
            </w:r>
          </w:p>
        </w:tc>
        <w:tc>
          <w:tcPr>
            <w:tcW w:w="203" w:type="pct"/>
            <w:vMerge w:val="continue"/>
            <w:noWrap w:val="0"/>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33</w:t>
            </w:r>
          </w:p>
        </w:tc>
        <w:tc>
          <w:tcPr>
            <w:tcW w:w="268" w:type="pct"/>
            <w:vMerge w:val="restart"/>
            <w:noWrap w:val="0"/>
            <w:vAlign w:val="center"/>
          </w:tcPr>
          <w:p>
            <w:pPr>
              <w:jc w:val="center"/>
              <w:rPr>
                <w:b/>
                <w:bCs/>
                <w:color w:val="auto"/>
              </w:rPr>
            </w:pPr>
            <w:r>
              <w:rPr>
                <w:rFonts w:hint="eastAsia"/>
                <w:color w:val="auto"/>
              </w:rPr>
              <w:t>社会（S）</w:t>
            </w:r>
          </w:p>
        </w:tc>
        <w:tc>
          <w:tcPr>
            <w:tcW w:w="403" w:type="pct"/>
            <w:vMerge w:val="restart"/>
            <w:noWrap w:val="0"/>
            <w:vAlign w:val="center"/>
          </w:tcPr>
          <w:p>
            <w:pPr>
              <w:jc w:val="center"/>
              <w:rPr>
                <w:rFonts w:hint="default" w:eastAsia="宋体"/>
                <w:color w:val="auto"/>
                <w:lang w:val="en-US" w:eastAsia="zh-CN"/>
              </w:rPr>
            </w:pPr>
            <w:r>
              <w:rPr>
                <w:rFonts w:hint="eastAsia"/>
                <w:color w:val="auto"/>
                <w:lang w:val="en-US" w:eastAsia="zh-CN"/>
              </w:rPr>
              <w:t>社会责任管理</w:t>
            </w:r>
          </w:p>
        </w:tc>
        <w:tc>
          <w:tcPr>
            <w:tcW w:w="557" w:type="pct"/>
            <w:vMerge w:val="restart"/>
            <w:noWrap w:val="0"/>
            <w:vAlign w:val="center"/>
          </w:tcPr>
          <w:p>
            <w:pPr>
              <w:jc w:val="left"/>
              <w:rPr>
                <w:color w:val="auto"/>
              </w:rPr>
            </w:pPr>
            <w:r>
              <w:rPr>
                <w:rFonts w:hint="eastAsia"/>
                <w:color w:val="auto"/>
              </w:rPr>
              <w:t>社会责任</w:t>
            </w:r>
            <w:r>
              <w:rPr>
                <w:rFonts w:hint="eastAsia"/>
                <w:color w:val="auto"/>
                <w:lang w:val="en-US" w:eastAsia="zh-CN"/>
              </w:rPr>
              <w:t>管理</w:t>
            </w:r>
            <w:r>
              <w:rPr>
                <w:rFonts w:hint="eastAsia"/>
                <w:color w:val="auto"/>
              </w:rPr>
              <w:t>制度</w:t>
            </w:r>
          </w:p>
        </w:tc>
        <w:tc>
          <w:tcPr>
            <w:tcW w:w="910" w:type="pct"/>
            <w:noWrap w:val="0"/>
            <w:vAlign w:val="center"/>
          </w:tcPr>
          <w:p>
            <w:pPr>
              <w:jc w:val="left"/>
              <w:rPr>
                <w:rFonts w:hint="default"/>
                <w:color w:val="auto"/>
                <w:lang w:val="en-US" w:eastAsia="zh-CN"/>
              </w:rPr>
            </w:pPr>
            <w:r>
              <w:rPr>
                <w:rFonts w:hint="eastAsia"/>
                <w:color w:val="auto"/>
                <w:lang w:val="en-US" w:eastAsia="zh-CN"/>
              </w:rPr>
              <w:t>企业社会责任战略方针和工作措施</w:t>
            </w:r>
          </w:p>
        </w:tc>
        <w:tc>
          <w:tcPr>
            <w:tcW w:w="1142" w:type="pct"/>
            <w:noWrap w:val="0"/>
            <w:vAlign w:val="center"/>
          </w:tcPr>
          <w:p>
            <w:pPr>
              <w:jc w:val="center"/>
              <w:rPr>
                <w:rFonts w:hint="default"/>
                <w:color w:val="auto"/>
                <w:lang w:val="en-US"/>
              </w:rPr>
            </w:pPr>
            <w:r>
              <w:rPr>
                <w:rFonts w:hint="eastAsia"/>
                <w:color w:val="auto"/>
                <w:lang w:val="en-US" w:eastAsia="zh-CN"/>
              </w:rPr>
              <w:t>企业应具备并披露社会责任的总体目标和工作方针等，或发布专门的社会责任报告</w:t>
            </w:r>
          </w:p>
        </w:tc>
        <w:tc>
          <w:tcPr>
            <w:tcW w:w="1114" w:type="pct"/>
            <w:noWrap w:val="0"/>
            <w:vAlign w:val="center"/>
          </w:tcPr>
          <w:p>
            <w:pPr>
              <w:jc w:val="center"/>
              <w:rPr>
                <w:rFonts w:hint="eastAsia"/>
                <w:color w:val="auto"/>
                <w:lang w:val="en-US" w:eastAsia="zh-CN"/>
              </w:rPr>
            </w:pPr>
            <w:r>
              <w:rPr>
                <w:rFonts w:hint="eastAsia"/>
                <w:color w:val="auto"/>
                <w:lang w:val="en-US" w:eastAsia="zh-CN"/>
              </w:rPr>
              <w:t>企业未制定社会责任战略方针和工作措施得0分，制定并披露得40分；</w:t>
            </w:r>
          </w:p>
        </w:tc>
        <w:tc>
          <w:tcPr>
            <w:tcW w:w="193" w:type="pct"/>
            <w:noWrap w:val="0"/>
            <w:vAlign w:val="center"/>
          </w:tcPr>
          <w:p>
            <w:pPr>
              <w:jc w:val="center"/>
              <w:rPr>
                <w:rFonts w:hint="default"/>
                <w:color w:val="auto"/>
                <w:lang w:val="en-US" w:eastAsia="zh-CN"/>
              </w:rPr>
            </w:pPr>
            <w:r>
              <w:rPr>
                <w:rFonts w:hint="eastAsia"/>
                <w:color w:val="auto"/>
                <w:lang w:val="en-US" w:eastAsia="zh-CN"/>
              </w:rPr>
              <w:t>40</w:t>
            </w:r>
          </w:p>
        </w:tc>
        <w:tc>
          <w:tcPr>
            <w:tcW w:w="203" w:type="pct"/>
            <w:vMerge w:val="restart"/>
            <w:noWrap w:val="0"/>
            <w:vAlign w:val="center"/>
          </w:tcPr>
          <w:p>
            <w:pPr>
              <w:jc w:val="center"/>
              <w:rPr>
                <w:rFonts w:hint="default"/>
                <w:color w:val="auto"/>
                <w:lang w:val="en-US" w:eastAsia="zh-CN"/>
              </w:rPr>
            </w:pPr>
            <w:r>
              <w:rPr>
                <w:rFonts w:hint="eastAsia"/>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34</w:t>
            </w:r>
          </w:p>
        </w:tc>
        <w:tc>
          <w:tcPr>
            <w:tcW w:w="268" w:type="pct"/>
            <w:vMerge w:val="continue"/>
            <w:noWrap w:val="0"/>
            <w:vAlign w:val="center"/>
          </w:tcPr>
          <w:p>
            <w:pPr>
              <w:jc w:val="center"/>
              <w:rPr>
                <w:rFonts w:hint="eastAsia"/>
                <w:color w:val="auto"/>
              </w:rPr>
            </w:pPr>
          </w:p>
        </w:tc>
        <w:tc>
          <w:tcPr>
            <w:tcW w:w="403" w:type="pct"/>
            <w:vMerge w:val="continue"/>
            <w:noWrap w:val="0"/>
            <w:vAlign w:val="center"/>
          </w:tcPr>
          <w:p>
            <w:pPr>
              <w:jc w:val="center"/>
              <w:rPr>
                <w:rFonts w:hint="eastAsia"/>
                <w:color w:val="auto"/>
                <w:lang w:val="en-US" w:eastAsia="zh-CN"/>
              </w:rPr>
            </w:pPr>
          </w:p>
        </w:tc>
        <w:tc>
          <w:tcPr>
            <w:tcW w:w="557" w:type="pct"/>
            <w:vMerge w:val="continue"/>
            <w:noWrap w:val="0"/>
            <w:vAlign w:val="center"/>
          </w:tcPr>
          <w:p>
            <w:pPr>
              <w:jc w:val="left"/>
              <w:rPr>
                <w:rFonts w:hint="eastAsia"/>
                <w:color w:val="auto"/>
              </w:rPr>
            </w:pPr>
          </w:p>
        </w:tc>
        <w:tc>
          <w:tcPr>
            <w:tcW w:w="910" w:type="pct"/>
            <w:noWrap w:val="0"/>
            <w:vAlign w:val="center"/>
          </w:tcPr>
          <w:p>
            <w:pPr>
              <w:jc w:val="left"/>
              <w:rPr>
                <w:rFonts w:hint="default"/>
                <w:color w:val="auto"/>
                <w:lang w:val="en-US" w:eastAsia="zh-CN"/>
              </w:rPr>
            </w:pPr>
            <w:r>
              <w:rPr>
                <w:rFonts w:hint="eastAsia"/>
                <w:color w:val="auto"/>
                <w:lang w:val="en-US" w:eastAsia="zh-CN"/>
              </w:rPr>
              <w:t>社会责任管理部门及组织架构</w:t>
            </w:r>
          </w:p>
        </w:tc>
        <w:tc>
          <w:tcPr>
            <w:tcW w:w="1142" w:type="pct"/>
            <w:noWrap w:val="0"/>
            <w:vAlign w:val="center"/>
          </w:tcPr>
          <w:p>
            <w:pPr>
              <w:jc w:val="center"/>
              <w:rPr>
                <w:rFonts w:hint="eastAsia"/>
                <w:color w:val="auto"/>
                <w:lang w:val="en-US" w:eastAsia="zh-CN"/>
              </w:rPr>
            </w:pPr>
            <w:r>
              <w:rPr>
                <w:rFonts w:hint="eastAsia"/>
                <w:color w:val="auto"/>
                <w:lang w:val="en-US" w:eastAsia="zh-CN"/>
              </w:rPr>
              <w:t>企业应具备并披露社会责任相关管理部门和组织架构</w:t>
            </w:r>
          </w:p>
        </w:tc>
        <w:tc>
          <w:tcPr>
            <w:tcW w:w="1114" w:type="pct"/>
            <w:noWrap w:val="0"/>
            <w:vAlign w:val="center"/>
          </w:tcPr>
          <w:p>
            <w:pPr>
              <w:jc w:val="center"/>
              <w:rPr>
                <w:rFonts w:hint="eastAsia"/>
                <w:color w:val="auto"/>
                <w:lang w:val="en-US" w:eastAsia="zh-CN"/>
              </w:rPr>
            </w:pPr>
            <w:r>
              <w:rPr>
                <w:rFonts w:hint="eastAsia"/>
                <w:color w:val="auto"/>
                <w:lang w:val="en-US" w:eastAsia="zh-CN"/>
              </w:rPr>
              <w:t>企业无相应的社会责任管理部门或未披露得0分，具备相应的管理部门并披露得30分；</w:t>
            </w:r>
          </w:p>
        </w:tc>
        <w:tc>
          <w:tcPr>
            <w:tcW w:w="193" w:type="pct"/>
            <w:noWrap w:val="0"/>
            <w:vAlign w:val="center"/>
          </w:tcPr>
          <w:p>
            <w:pPr>
              <w:jc w:val="center"/>
              <w:rPr>
                <w:rFonts w:hint="default"/>
                <w:color w:val="auto"/>
                <w:lang w:val="en-US" w:eastAsia="zh-CN"/>
              </w:rPr>
            </w:pPr>
            <w:r>
              <w:rPr>
                <w:rFonts w:hint="eastAsia"/>
                <w:color w:val="auto"/>
                <w:lang w:val="en-US" w:eastAsia="zh-CN"/>
              </w:rPr>
              <w:t>30</w:t>
            </w:r>
          </w:p>
        </w:tc>
        <w:tc>
          <w:tcPr>
            <w:tcW w:w="203" w:type="pct"/>
            <w:vMerge w:val="continue"/>
            <w:noWrap w:val="0"/>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35</w:t>
            </w:r>
          </w:p>
        </w:tc>
        <w:tc>
          <w:tcPr>
            <w:tcW w:w="268" w:type="pct"/>
            <w:vMerge w:val="continue"/>
            <w:noWrap w:val="0"/>
            <w:vAlign w:val="center"/>
          </w:tcPr>
          <w:p>
            <w:pPr>
              <w:jc w:val="center"/>
              <w:rPr>
                <w:rFonts w:hint="eastAsia"/>
                <w:color w:val="auto"/>
              </w:rPr>
            </w:pPr>
          </w:p>
        </w:tc>
        <w:tc>
          <w:tcPr>
            <w:tcW w:w="403" w:type="pct"/>
            <w:vMerge w:val="continue"/>
            <w:noWrap w:val="0"/>
            <w:vAlign w:val="center"/>
          </w:tcPr>
          <w:p>
            <w:pPr>
              <w:jc w:val="center"/>
              <w:rPr>
                <w:rFonts w:hint="eastAsia"/>
                <w:color w:val="auto"/>
              </w:rPr>
            </w:pPr>
          </w:p>
        </w:tc>
        <w:tc>
          <w:tcPr>
            <w:tcW w:w="557" w:type="pct"/>
            <w:vMerge w:val="continue"/>
            <w:noWrap w:val="0"/>
            <w:vAlign w:val="center"/>
          </w:tcPr>
          <w:p>
            <w:pPr>
              <w:jc w:val="center"/>
              <w:rPr>
                <w:rFonts w:hint="eastAsia" w:ascii="Times New Roman" w:hAnsi="Times New Roman" w:eastAsia="宋体" w:cs="Times New Roman"/>
                <w:color w:val="auto"/>
                <w:kern w:val="2"/>
                <w:sz w:val="21"/>
                <w:szCs w:val="21"/>
                <w:lang w:val="en-US" w:eastAsia="zh-CN" w:bidi="ar-SA"/>
              </w:rPr>
            </w:pPr>
          </w:p>
        </w:tc>
        <w:tc>
          <w:tcPr>
            <w:tcW w:w="910" w:type="pct"/>
            <w:noWrap w:val="0"/>
            <w:vAlign w:val="center"/>
          </w:tcPr>
          <w:p>
            <w:pPr>
              <w:jc w:val="left"/>
              <w:rPr>
                <w:rFonts w:hint="default"/>
                <w:color w:val="auto"/>
                <w:lang w:val="en-US" w:eastAsia="zh-CN"/>
              </w:rPr>
            </w:pPr>
            <w:r>
              <w:rPr>
                <w:rFonts w:hint="eastAsia"/>
                <w:color w:val="auto"/>
                <w:lang w:val="en-US" w:eastAsia="zh-CN"/>
              </w:rPr>
              <w:t>职业健康安全管理体系建立实施情况</w:t>
            </w:r>
          </w:p>
        </w:tc>
        <w:tc>
          <w:tcPr>
            <w:tcW w:w="1142" w:type="pct"/>
            <w:noWrap w:val="0"/>
            <w:vAlign w:val="center"/>
          </w:tcPr>
          <w:p>
            <w:pPr>
              <w:jc w:val="center"/>
              <w:rPr>
                <w:rFonts w:hint="eastAsia"/>
                <w:color w:val="auto"/>
              </w:rPr>
            </w:pPr>
            <w:r>
              <w:rPr>
                <w:rFonts w:hint="eastAsia"/>
                <w:color w:val="auto"/>
                <w:lang w:val="en-US" w:eastAsia="zh-CN"/>
              </w:rPr>
              <w:t>企业应建立和实施职业健康安全管理体系，并通过相关认证</w:t>
            </w:r>
          </w:p>
        </w:tc>
        <w:tc>
          <w:tcPr>
            <w:tcW w:w="1114" w:type="pct"/>
            <w:noWrap w:val="0"/>
            <w:vAlign w:val="center"/>
          </w:tcPr>
          <w:p>
            <w:pPr>
              <w:jc w:val="center"/>
              <w:rPr>
                <w:rFonts w:hint="eastAsia"/>
                <w:color w:val="auto"/>
                <w:lang w:val="en-US" w:eastAsia="zh-CN"/>
              </w:rPr>
            </w:pPr>
            <w:r>
              <w:rPr>
                <w:rFonts w:hint="eastAsia"/>
                <w:color w:val="auto"/>
                <w:lang w:val="en-US" w:eastAsia="zh-CN"/>
              </w:rPr>
              <w:t>企业未建立和实施得0分，建立和实施得15分，建立和实施，并通过相关认证得30分；</w:t>
            </w:r>
          </w:p>
        </w:tc>
        <w:tc>
          <w:tcPr>
            <w:tcW w:w="193" w:type="pct"/>
            <w:noWrap w:val="0"/>
            <w:vAlign w:val="center"/>
          </w:tcPr>
          <w:p>
            <w:pPr>
              <w:jc w:val="center"/>
              <w:rPr>
                <w:rFonts w:hint="default"/>
                <w:color w:val="auto"/>
                <w:lang w:val="en-US" w:eastAsia="zh-CN"/>
              </w:rPr>
            </w:pPr>
            <w:r>
              <w:rPr>
                <w:rFonts w:hint="eastAsia"/>
                <w:color w:val="auto"/>
                <w:lang w:val="en-US" w:eastAsia="zh-CN"/>
              </w:rPr>
              <w:t>30</w:t>
            </w:r>
          </w:p>
        </w:tc>
        <w:tc>
          <w:tcPr>
            <w:tcW w:w="203" w:type="pct"/>
            <w:vMerge w:val="continue"/>
            <w:noWrap w:val="0"/>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36</w:t>
            </w:r>
          </w:p>
        </w:tc>
        <w:tc>
          <w:tcPr>
            <w:tcW w:w="268" w:type="pct"/>
            <w:vMerge w:val="continue"/>
            <w:noWrap w:val="0"/>
            <w:vAlign w:val="center"/>
          </w:tcPr>
          <w:p>
            <w:pPr>
              <w:jc w:val="center"/>
              <w:rPr>
                <w:rFonts w:hint="eastAsia"/>
                <w:color w:val="auto"/>
              </w:rPr>
            </w:pPr>
          </w:p>
        </w:tc>
        <w:tc>
          <w:tcPr>
            <w:tcW w:w="403" w:type="pct"/>
            <w:vMerge w:val="continue"/>
            <w:noWrap w:val="0"/>
            <w:vAlign w:val="center"/>
          </w:tcPr>
          <w:p>
            <w:pPr>
              <w:jc w:val="center"/>
              <w:rPr>
                <w:rFonts w:hint="eastAsia"/>
                <w:color w:val="auto"/>
              </w:rPr>
            </w:pPr>
          </w:p>
        </w:tc>
        <w:tc>
          <w:tcPr>
            <w:tcW w:w="557"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事故处理及应对</w:t>
            </w:r>
          </w:p>
        </w:tc>
        <w:tc>
          <w:tcPr>
            <w:tcW w:w="910" w:type="pct"/>
            <w:noWrap w:val="0"/>
            <w:vAlign w:val="center"/>
          </w:tcPr>
          <w:p>
            <w:pPr>
              <w:jc w:val="left"/>
              <w:rPr>
                <w:rFonts w:hint="default"/>
                <w:color w:val="auto"/>
                <w:highlight w:val="none"/>
                <w:lang w:val="en-US" w:eastAsia="zh-CN"/>
              </w:rPr>
            </w:pPr>
            <w:r>
              <w:rPr>
                <w:rFonts w:hint="eastAsia"/>
                <w:color w:val="auto"/>
                <w:highlight w:val="none"/>
                <w:lang w:val="en-US" w:eastAsia="zh-CN"/>
              </w:rPr>
              <w:t>重大安全事故的应对处理</w:t>
            </w:r>
          </w:p>
        </w:tc>
        <w:tc>
          <w:tcPr>
            <w:tcW w:w="1142" w:type="pct"/>
            <w:noWrap w:val="0"/>
            <w:vAlign w:val="center"/>
          </w:tcPr>
          <w:p>
            <w:pPr>
              <w:jc w:val="center"/>
              <w:rPr>
                <w:rFonts w:hint="default"/>
                <w:color w:val="auto"/>
                <w:highlight w:val="none"/>
                <w:lang w:val="en-US" w:eastAsia="zh-CN"/>
              </w:rPr>
            </w:pPr>
            <w:r>
              <w:rPr>
                <w:rFonts w:hint="eastAsia"/>
                <w:color w:val="auto"/>
                <w:highlight w:val="none"/>
                <w:lang w:val="en-US" w:eastAsia="zh-CN"/>
              </w:rPr>
              <w:t>企业应披露重大安全事故信息及应对处理情况</w:t>
            </w:r>
          </w:p>
        </w:tc>
        <w:tc>
          <w:tcPr>
            <w:tcW w:w="1114" w:type="pct"/>
            <w:noWrap w:val="0"/>
            <w:vAlign w:val="center"/>
          </w:tcPr>
          <w:p>
            <w:pPr>
              <w:jc w:val="center"/>
              <w:rPr>
                <w:rFonts w:hint="eastAsia"/>
                <w:color w:val="auto"/>
                <w:highlight w:val="none"/>
                <w:lang w:val="en-US" w:eastAsia="zh-CN"/>
              </w:rPr>
            </w:pPr>
            <w:r>
              <w:rPr>
                <w:rFonts w:hint="eastAsia"/>
                <w:color w:val="auto"/>
                <w:highlight w:val="none"/>
                <w:lang w:val="en-US" w:eastAsia="zh-CN"/>
              </w:rPr>
              <w:t>企业无重大安全事故不扣分，发生较大安全事故，未造成人员死亡扣40分，因违规操作发生重大安全事故或人员死亡扣100分；</w:t>
            </w:r>
          </w:p>
        </w:tc>
        <w:tc>
          <w:tcPr>
            <w:tcW w:w="193" w:type="pct"/>
            <w:noWrap w:val="0"/>
            <w:vAlign w:val="center"/>
          </w:tcPr>
          <w:p>
            <w:pPr>
              <w:jc w:val="center"/>
              <w:rPr>
                <w:rFonts w:hint="default"/>
                <w:color w:val="auto"/>
                <w:lang w:val="en-US" w:eastAsia="zh-CN"/>
              </w:rPr>
            </w:pPr>
            <w:r>
              <w:rPr>
                <w:rFonts w:hint="eastAsia"/>
                <w:color w:val="auto"/>
                <w:lang w:val="en-US" w:eastAsia="zh-CN"/>
              </w:rPr>
              <w:t>—</w:t>
            </w:r>
          </w:p>
        </w:tc>
        <w:tc>
          <w:tcPr>
            <w:tcW w:w="203" w:type="pct"/>
            <w:vMerge w:val="continue"/>
            <w:noWrap w:val="0"/>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37</w:t>
            </w:r>
          </w:p>
        </w:tc>
        <w:tc>
          <w:tcPr>
            <w:tcW w:w="268" w:type="pct"/>
            <w:vMerge w:val="continue"/>
            <w:noWrap w:val="0"/>
            <w:vAlign w:val="center"/>
          </w:tcPr>
          <w:p>
            <w:pPr>
              <w:jc w:val="center"/>
              <w:rPr>
                <w:rFonts w:hint="eastAsia"/>
                <w:color w:val="auto"/>
              </w:rPr>
            </w:pPr>
          </w:p>
        </w:tc>
        <w:tc>
          <w:tcPr>
            <w:tcW w:w="403" w:type="pct"/>
            <w:vMerge w:val="restart"/>
            <w:noWrap w:val="0"/>
            <w:vAlign w:val="center"/>
          </w:tcPr>
          <w:p>
            <w:pPr>
              <w:jc w:val="center"/>
              <w:rPr>
                <w:rFonts w:hint="eastAsia"/>
                <w:color w:val="auto"/>
              </w:rPr>
            </w:pPr>
            <w:r>
              <w:rPr>
                <w:rFonts w:hint="eastAsia"/>
                <w:color w:val="auto"/>
                <w:lang w:val="en-US" w:eastAsia="zh-CN"/>
              </w:rPr>
              <w:t>员工权益</w:t>
            </w:r>
          </w:p>
        </w:tc>
        <w:tc>
          <w:tcPr>
            <w:tcW w:w="557" w:type="pct"/>
            <w:vMerge w:val="restar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员工招聘与就业</w:t>
            </w:r>
          </w:p>
        </w:tc>
        <w:tc>
          <w:tcPr>
            <w:tcW w:w="910" w:type="pct"/>
            <w:noWrap w:val="0"/>
            <w:vAlign w:val="center"/>
          </w:tcPr>
          <w:p>
            <w:pPr>
              <w:jc w:val="left"/>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员工构成</w:t>
            </w:r>
          </w:p>
        </w:tc>
        <w:tc>
          <w:tcPr>
            <w:tcW w:w="1142"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企业应披露员工总人数、不同年龄阶层员工分布、男女员工性别分布、企业员工学历分布</w:t>
            </w:r>
          </w:p>
        </w:tc>
        <w:tc>
          <w:tcPr>
            <w:tcW w:w="1114" w:type="pct"/>
            <w:noWrap w:val="0"/>
            <w:vAlign w:val="center"/>
          </w:tcPr>
          <w:p>
            <w:pPr>
              <w:jc w:val="center"/>
              <w:rPr>
                <w:rFonts w:hint="eastAsia" w:cs="Times New Roman"/>
                <w:color w:val="auto"/>
                <w:kern w:val="2"/>
                <w:sz w:val="21"/>
                <w:szCs w:val="21"/>
                <w:lang w:val="en-US" w:eastAsia="zh-CN" w:bidi="ar-SA"/>
              </w:rPr>
            </w:pPr>
            <w:r>
              <w:rPr>
                <w:rFonts w:hint="eastAsia"/>
                <w:color w:val="auto"/>
                <w:lang w:val="en-US" w:eastAsia="zh-CN"/>
              </w:rPr>
              <w:t>企业无相关信息披露得0分，披露部分指标得2分，披露全部相关信息得5分；</w:t>
            </w:r>
          </w:p>
        </w:tc>
        <w:tc>
          <w:tcPr>
            <w:tcW w:w="193" w:type="pct"/>
            <w:noWrap w:val="0"/>
            <w:vAlign w:val="center"/>
          </w:tcPr>
          <w:p>
            <w:pPr>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5</w:t>
            </w:r>
          </w:p>
        </w:tc>
        <w:tc>
          <w:tcPr>
            <w:tcW w:w="203" w:type="pct"/>
            <w:vMerge w:val="restart"/>
            <w:noWrap w:val="0"/>
            <w:vAlign w:val="center"/>
          </w:tcPr>
          <w:p>
            <w:pPr>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38</w:t>
            </w:r>
          </w:p>
        </w:tc>
        <w:tc>
          <w:tcPr>
            <w:tcW w:w="268" w:type="pct"/>
            <w:vMerge w:val="continue"/>
            <w:noWrap w:val="0"/>
            <w:vAlign w:val="center"/>
          </w:tcPr>
          <w:p>
            <w:pPr>
              <w:jc w:val="center"/>
              <w:rPr>
                <w:rFonts w:hint="eastAsia"/>
                <w:color w:val="auto"/>
              </w:rPr>
            </w:pPr>
          </w:p>
        </w:tc>
        <w:tc>
          <w:tcPr>
            <w:tcW w:w="403" w:type="pct"/>
            <w:vMerge w:val="continue"/>
            <w:noWrap w:val="0"/>
            <w:vAlign w:val="center"/>
          </w:tcPr>
          <w:p>
            <w:pPr>
              <w:jc w:val="center"/>
              <w:rPr>
                <w:rFonts w:hint="eastAsia"/>
                <w:color w:val="auto"/>
                <w:lang w:val="en-US" w:eastAsia="zh-CN"/>
              </w:rPr>
            </w:pPr>
          </w:p>
        </w:tc>
        <w:tc>
          <w:tcPr>
            <w:tcW w:w="557" w:type="pct"/>
            <w:vMerge w:val="continue"/>
            <w:noWrap w:val="0"/>
            <w:vAlign w:val="center"/>
          </w:tcPr>
          <w:p>
            <w:pPr>
              <w:jc w:val="center"/>
              <w:rPr>
                <w:rFonts w:hint="eastAsia" w:cs="Times New Roman"/>
                <w:color w:val="auto"/>
                <w:kern w:val="2"/>
                <w:sz w:val="21"/>
                <w:szCs w:val="21"/>
                <w:lang w:val="en-US" w:eastAsia="zh-CN" w:bidi="ar-SA"/>
              </w:rPr>
            </w:pPr>
          </w:p>
        </w:tc>
        <w:tc>
          <w:tcPr>
            <w:tcW w:w="910" w:type="pct"/>
            <w:noWrap w:val="0"/>
            <w:vAlign w:val="center"/>
          </w:tcPr>
          <w:p>
            <w:pPr>
              <w:jc w:val="left"/>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劳动合同签订率</w:t>
            </w:r>
          </w:p>
        </w:tc>
        <w:tc>
          <w:tcPr>
            <w:tcW w:w="1142" w:type="pct"/>
            <w:noWrap w:val="0"/>
            <w:vAlign w:val="center"/>
          </w:tcPr>
          <w:p>
            <w:pPr>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企业应披露员工签订劳动合同的比例</w:t>
            </w:r>
          </w:p>
        </w:tc>
        <w:tc>
          <w:tcPr>
            <w:tcW w:w="1114" w:type="pct"/>
            <w:noWrap w:val="0"/>
            <w:vAlign w:val="center"/>
          </w:tcPr>
          <w:p>
            <w:pPr>
              <w:jc w:val="center"/>
              <w:rPr>
                <w:rFonts w:hint="eastAsia" w:cs="Times New Roman"/>
                <w:color w:val="auto"/>
                <w:kern w:val="2"/>
                <w:sz w:val="21"/>
                <w:szCs w:val="21"/>
                <w:lang w:val="en-US" w:eastAsia="zh-CN" w:bidi="ar-SA"/>
              </w:rPr>
            </w:pPr>
            <w:r>
              <w:rPr>
                <w:rFonts w:hint="eastAsia"/>
                <w:strike w:val="0"/>
                <w:dstrike w:val="0"/>
                <w:color w:val="auto"/>
                <w:lang w:val="en-US" w:eastAsia="zh-CN"/>
              </w:rPr>
              <w:t>企业员工</w:t>
            </w:r>
            <w:r>
              <w:rPr>
                <w:rFonts w:hint="eastAsia"/>
                <w:color w:val="auto"/>
                <w:lang w:val="en-US" w:eastAsia="zh-CN"/>
              </w:rPr>
              <w:t>不是100%签订劳动合同得0分，100%签订得10分；</w:t>
            </w:r>
          </w:p>
        </w:tc>
        <w:tc>
          <w:tcPr>
            <w:tcW w:w="193" w:type="pct"/>
            <w:noWrap w:val="0"/>
            <w:vAlign w:val="center"/>
          </w:tcPr>
          <w:p>
            <w:pPr>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10</w:t>
            </w:r>
          </w:p>
        </w:tc>
        <w:tc>
          <w:tcPr>
            <w:tcW w:w="203" w:type="pct"/>
            <w:vMerge w:val="continue"/>
            <w:noWrap w:val="0"/>
            <w:vAlign w:val="center"/>
          </w:tcPr>
          <w:p>
            <w:pPr>
              <w:jc w:val="center"/>
              <w:rPr>
                <w:rFonts w:hint="eastAsia"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39</w:t>
            </w:r>
          </w:p>
        </w:tc>
        <w:tc>
          <w:tcPr>
            <w:tcW w:w="268" w:type="pct"/>
            <w:vMerge w:val="continue"/>
            <w:noWrap w:val="0"/>
            <w:vAlign w:val="center"/>
          </w:tcPr>
          <w:p>
            <w:pPr>
              <w:jc w:val="center"/>
              <w:rPr>
                <w:rFonts w:hint="eastAsia"/>
                <w:color w:val="auto"/>
              </w:rPr>
            </w:pPr>
          </w:p>
        </w:tc>
        <w:tc>
          <w:tcPr>
            <w:tcW w:w="403" w:type="pct"/>
            <w:vMerge w:val="continue"/>
            <w:noWrap w:val="0"/>
            <w:vAlign w:val="center"/>
          </w:tcPr>
          <w:p>
            <w:pPr>
              <w:jc w:val="center"/>
              <w:rPr>
                <w:rFonts w:hint="eastAsia"/>
                <w:color w:val="auto"/>
              </w:rPr>
            </w:pPr>
          </w:p>
        </w:tc>
        <w:tc>
          <w:tcPr>
            <w:tcW w:w="557" w:type="pct"/>
            <w:vMerge w:val="continue"/>
            <w:noWrap w:val="0"/>
            <w:vAlign w:val="center"/>
          </w:tcPr>
          <w:p>
            <w:pPr>
              <w:jc w:val="center"/>
              <w:rPr>
                <w:rFonts w:hint="eastAsia" w:ascii="Times New Roman" w:hAnsi="Times New Roman" w:eastAsia="宋体" w:cs="Times New Roman"/>
                <w:color w:val="auto"/>
                <w:kern w:val="2"/>
                <w:sz w:val="21"/>
                <w:szCs w:val="21"/>
                <w:lang w:val="en-US" w:eastAsia="zh-CN" w:bidi="ar-SA"/>
              </w:rPr>
            </w:pPr>
          </w:p>
        </w:tc>
        <w:tc>
          <w:tcPr>
            <w:tcW w:w="910" w:type="pct"/>
            <w:noWrap w:val="0"/>
            <w:vAlign w:val="center"/>
          </w:tcPr>
          <w:p>
            <w:pPr>
              <w:jc w:val="left"/>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员工流失率</w:t>
            </w:r>
          </w:p>
        </w:tc>
        <w:tc>
          <w:tcPr>
            <w:tcW w:w="1142"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企业应披露员工流失率</w:t>
            </w:r>
          </w:p>
        </w:tc>
        <w:tc>
          <w:tcPr>
            <w:tcW w:w="1114" w:type="pct"/>
            <w:noWrap w:val="0"/>
            <w:vAlign w:val="center"/>
          </w:tcPr>
          <w:p>
            <w:pPr>
              <w:jc w:val="center"/>
              <w:rPr>
                <w:rFonts w:hint="eastAsia" w:cs="Times New Roman"/>
                <w:color w:val="auto"/>
                <w:kern w:val="2"/>
                <w:sz w:val="21"/>
                <w:szCs w:val="21"/>
                <w:lang w:val="en-US" w:eastAsia="zh-CN" w:bidi="ar-SA"/>
              </w:rPr>
            </w:pPr>
            <w:r>
              <w:rPr>
                <w:rFonts w:hint="eastAsia"/>
                <w:color w:val="auto"/>
                <w:lang w:val="en-US" w:eastAsia="zh-CN"/>
              </w:rPr>
              <w:t>企业员工流失率高于行业平均水平或无相关信息披露得0分，员工流失率达到行业平均水平5分，员工流失率低于行业平均水平得10分；</w:t>
            </w:r>
          </w:p>
        </w:tc>
        <w:tc>
          <w:tcPr>
            <w:tcW w:w="193" w:type="pct"/>
            <w:noWrap w:val="0"/>
            <w:vAlign w:val="center"/>
          </w:tcPr>
          <w:p>
            <w:pPr>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10</w:t>
            </w:r>
          </w:p>
        </w:tc>
        <w:tc>
          <w:tcPr>
            <w:tcW w:w="203" w:type="pct"/>
            <w:vMerge w:val="continue"/>
            <w:noWrap w:val="0"/>
            <w:vAlign w:val="center"/>
          </w:tcPr>
          <w:p>
            <w:pPr>
              <w:jc w:val="center"/>
              <w:rPr>
                <w:rFonts w:hint="eastAsia"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40</w:t>
            </w:r>
          </w:p>
        </w:tc>
        <w:tc>
          <w:tcPr>
            <w:tcW w:w="268" w:type="pct"/>
            <w:vMerge w:val="continue"/>
            <w:noWrap w:val="0"/>
            <w:vAlign w:val="center"/>
          </w:tcPr>
          <w:p>
            <w:pPr>
              <w:jc w:val="center"/>
              <w:rPr>
                <w:b/>
                <w:bCs/>
                <w:color w:val="auto"/>
              </w:rPr>
            </w:pPr>
          </w:p>
        </w:tc>
        <w:tc>
          <w:tcPr>
            <w:tcW w:w="403" w:type="pct"/>
            <w:vMerge w:val="continue"/>
            <w:noWrap w:val="0"/>
            <w:vAlign w:val="center"/>
          </w:tcPr>
          <w:p>
            <w:pPr>
              <w:jc w:val="center"/>
              <w:rPr>
                <w:color w:val="auto"/>
              </w:rPr>
            </w:pPr>
          </w:p>
        </w:tc>
        <w:tc>
          <w:tcPr>
            <w:tcW w:w="557" w:type="pct"/>
            <w:vMerge w:val="restart"/>
            <w:noWrap w:val="0"/>
            <w:vAlign w:val="center"/>
          </w:tcPr>
          <w:p>
            <w:pPr>
              <w:jc w:val="center"/>
              <w:rPr>
                <w:rFonts w:hint="default" w:eastAsia="宋体"/>
                <w:color w:val="auto"/>
                <w:lang w:val="en-US" w:eastAsia="zh-CN"/>
              </w:rPr>
            </w:pPr>
            <w:r>
              <w:rPr>
                <w:rFonts w:hint="eastAsia"/>
                <w:color w:val="auto"/>
                <w:lang w:val="en-US" w:eastAsia="zh-CN"/>
              </w:rPr>
              <w:t>员工保障</w:t>
            </w:r>
          </w:p>
        </w:tc>
        <w:tc>
          <w:tcPr>
            <w:tcW w:w="910" w:type="pct"/>
            <w:noWrap w:val="0"/>
            <w:vAlign w:val="center"/>
          </w:tcPr>
          <w:p>
            <w:pPr>
              <w:jc w:val="left"/>
              <w:rPr>
                <w:rFonts w:hint="default" w:eastAsia="宋体"/>
                <w:color w:val="auto"/>
                <w:lang w:val="en-US" w:eastAsia="zh-CN"/>
              </w:rPr>
            </w:pPr>
            <w:r>
              <w:rPr>
                <w:rFonts w:hint="eastAsia"/>
                <w:color w:val="auto"/>
                <w:lang w:val="en-US" w:eastAsia="zh-CN"/>
              </w:rPr>
              <w:t>员工民主管理</w:t>
            </w:r>
          </w:p>
        </w:tc>
        <w:tc>
          <w:tcPr>
            <w:tcW w:w="1142" w:type="pct"/>
            <w:noWrap w:val="0"/>
            <w:vAlign w:val="center"/>
          </w:tcPr>
          <w:p>
            <w:pPr>
              <w:jc w:val="center"/>
              <w:rPr>
                <w:rFonts w:hint="default" w:eastAsia="宋体"/>
                <w:color w:val="auto"/>
                <w:lang w:val="en-US" w:eastAsia="zh-CN"/>
              </w:rPr>
            </w:pPr>
            <w:r>
              <w:rPr>
                <w:rFonts w:hint="eastAsia"/>
                <w:color w:val="auto"/>
                <w:lang w:val="en-US" w:eastAsia="zh-CN"/>
              </w:rPr>
              <w:t>企业应设立工会或职工代表大会，工会或职工代表大会的运行情况</w:t>
            </w:r>
          </w:p>
        </w:tc>
        <w:tc>
          <w:tcPr>
            <w:tcW w:w="1114" w:type="pct"/>
            <w:noWrap w:val="0"/>
            <w:vAlign w:val="center"/>
          </w:tcPr>
          <w:p>
            <w:pPr>
              <w:jc w:val="center"/>
              <w:rPr>
                <w:rFonts w:hint="default"/>
                <w:color w:val="auto"/>
                <w:lang w:val="en-US" w:eastAsia="zh-CN"/>
              </w:rPr>
            </w:pPr>
            <w:r>
              <w:rPr>
                <w:rFonts w:hint="eastAsia"/>
                <w:color w:val="auto"/>
                <w:lang w:val="en-US" w:eastAsia="zh-CN"/>
              </w:rPr>
              <w:t>企业未设立得0分，设立工会或职工代表大会得5分；</w:t>
            </w:r>
          </w:p>
        </w:tc>
        <w:tc>
          <w:tcPr>
            <w:tcW w:w="193" w:type="pct"/>
            <w:noWrap w:val="0"/>
            <w:vAlign w:val="center"/>
          </w:tcPr>
          <w:p>
            <w:pPr>
              <w:jc w:val="center"/>
              <w:rPr>
                <w:rFonts w:hint="default"/>
                <w:color w:val="auto"/>
                <w:lang w:val="en-US" w:eastAsia="zh-CN"/>
              </w:rPr>
            </w:pPr>
            <w:r>
              <w:rPr>
                <w:rFonts w:hint="eastAsia"/>
                <w:color w:val="auto"/>
                <w:lang w:val="en-US" w:eastAsia="zh-CN"/>
              </w:rPr>
              <w:t>5</w:t>
            </w:r>
          </w:p>
        </w:tc>
        <w:tc>
          <w:tcPr>
            <w:tcW w:w="203" w:type="pct"/>
            <w:vMerge w:val="continue"/>
            <w:noWrap w:val="0"/>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41</w:t>
            </w:r>
          </w:p>
        </w:tc>
        <w:tc>
          <w:tcPr>
            <w:tcW w:w="268" w:type="pct"/>
            <w:vMerge w:val="continue"/>
            <w:noWrap w:val="0"/>
            <w:vAlign w:val="center"/>
          </w:tcPr>
          <w:p>
            <w:pPr>
              <w:jc w:val="center"/>
              <w:rPr>
                <w:b/>
                <w:bCs/>
                <w:color w:val="auto"/>
              </w:rPr>
            </w:pPr>
          </w:p>
        </w:tc>
        <w:tc>
          <w:tcPr>
            <w:tcW w:w="403" w:type="pct"/>
            <w:vMerge w:val="continue"/>
            <w:noWrap w:val="0"/>
            <w:vAlign w:val="center"/>
          </w:tcPr>
          <w:p>
            <w:pPr>
              <w:jc w:val="center"/>
              <w:rPr>
                <w:color w:val="auto"/>
              </w:rPr>
            </w:pPr>
          </w:p>
        </w:tc>
        <w:tc>
          <w:tcPr>
            <w:tcW w:w="557" w:type="pct"/>
            <w:vMerge w:val="continue"/>
            <w:noWrap w:val="0"/>
            <w:vAlign w:val="center"/>
          </w:tcPr>
          <w:p>
            <w:pPr>
              <w:jc w:val="center"/>
              <w:rPr>
                <w:rFonts w:hint="eastAsia"/>
                <w:color w:val="auto"/>
              </w:rPr>
            </w:pPr>
          </w:p>
        </w:tc>
        <w:tc>
          <w:tcPr>
            <w:tcW w:w="910" w:type="pct"/>
            <w:noWrap w:val="0"/>
            <w:vAlign w:val="center"/>
          </w:tcPr>
          <w:p>
            <w:pPr>
              <w:jc w:val="left"/>
              <w:rPr>
                <w:rFonts w:hint="default" w:eastAsia="宋体"/>
                <w:color w:val="auto"/>
                <w:lang w:val="en-US" w:eastAsia="zh-CN"/>
              </w:rPr>
            </w:pPr>
            <w:r>
              <w:rPr>
                <w:rFonts w:hint="eastAsia"/>
                <w:color w:val="auto"/>
                <w:lang w:val="en-US" w:eastAsia="zh-CN"/>
              </w:rPr>
              <w:t>工作时间</w:t>
            </w:r>
          </w:p>
        </w:tc>
        <w:tc>
          <w:tcPr>
            <w:tcW w:w="1142" w:type="pct"/>
            <w:noWrap w:val="0"/>
            <w:vAlign w:val="center"/>
          </w:tcPr>
          <w:p>
            <w:pPr>
              <w:jc w:val="center"/>
              <w:rPr>
                <w:rFonts w:hint="default" w:eastAsia="宋体"/>
                <w:color w:val="auto"/>
                <w:lang w:val="en-US" w:eastAsia="zh-CN"/>
              </w:rPr>
            </w:pPr>
            <w:r>
              <w:rPr>
                <w:rFonts w:hint="eastAsia"/>
                <w:color w:val="auto"/>
                <w:lang w:val="en-US" w:eastAsia="zh-CN"/>
              </w:rPr>
              <w:t>企业应披露工时制度，包括人均每日工作时间（小时）、人均每周工作时间（小时）、人均每周休息时间（日），</w:t>
            </w:r>
          </w:p>
        </w:tc>
        <w:tc>
          <w:tcPr>
            <w:tcW w:w="1114" w:type="pct"/>
            <w:noWrap w:val="0"/>
            <w:vAlign w:val="center"/>
          </w:tcPr>
          <w:p>
            <w:pPr>
              <w:jc w:val="center"/>
              <w:rPr>
                <w:rFonts w:hint="eastAsia"/>
                <w:color w:val="auto"/>
                <w:lang w:val="en-US" w:eastAsia="zh-CN"/>
              </w:rPr>
            </w:pPr>
            <w:r>
              <w:rPr>
                <w:rFonts w:hint="eastAsia"/>
                <w:color w:val="auto"/>
                <w:highlight w:val="none"/>
                <w:lang w:val="en-US" w:eastAsia="zh-CN"/>
              </w:rPr>
              <w:t>企业无相关信息披露得0分，有相关信息披露并符合国家相关规定得5分；</w:t>
            </w:r>
          </w:p>
        </w:tc>
        <w:tc>
          <w:tcPr>
            <w:tcW w:w="193" w:type="pct"/>
            <w:noWrap w:val="0"/>
            <w:vAlign w:val="center"/>
          </w:tcPr>
          <w:p>
            <w:pPr>
              <w:jc w:val="center"/>
              <w:rPr>
                <w:rFonts w:hint="default"/>
                <w:color w:val="auto"/>
                <w:lang w:val="en-US" w:eastAsia="zh-CN"/>
              </w:rPr>
            </w:pPr>
            <w:r>
              <w:rPr>
                <w:rFonts w:hint="eastAsia"/>
                <w:color w:val="auto"/>
                <w:lang w:val="en-US" w:eastAsia="zh-CN"/>
              </w:rPr>
              <w:t>5</w:t>
            </w:r>
          </w:p>
        </w:tc>
        <w:tc>
          <w:tcPr>
            <w:tcW w:w="203" w:type="pct"/>
            <w:vMerge w:val="continue"/>
            <w:noWrap w:val="0"/>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42</w:t>
            </w:r>
          </w:p>
        </w:tc>
        <w:tc>
          <w:tcPr>
            <w:tcW w:w="268" w:type="pct"/>
            <w:vMerge w:val="continue"/>
            <w:noWrap w:val="0"/>
            <w:vAlign w:val="center"/>
          </w:tcPr>
          <w:p>
            <w:pPr>
              <w:jc w:val="center"/>
              <w:rPr>
                <w:b/>
                <w:bCs/>
                <w:color w:val="auto"/>
              </w:rPr>
            </w:pPr>
          </w:p>
        </w:tc>
        <w:tc>
          <w:tcPr>
            <w:tcW w:w="403" w:type="pct"/>
            <w:vMerge w:val="continue"/>
            <w:noWrap w:val="0"/>
            <w:vAlign w:val="center"/>
          </w:tcPr>
          <w:p>
            <w:pPr>
              <w:jc w:val="center"/>
              <w:rPr>
                <w:color w:val="auto"/>
              </w:rPr>
            </w:pPr>
          </w:p>
        </w:tc>
        <w:tc>
          <w:tcPr>
            <w:tcW w:w="557" w:type="pct"/>
            <w:vMerge w:val="continue"/>
            <w:noWrap w:val="0"/>
            <w:vAlign w:val="center"/>
          </w:tcPr>
          <w:p>
            <w:pPr>
              <w:jc w:val="center"/>
              <w:rPr>
                <w:rFonts w:hint="eastAsia"/>
                <w:color w:val="auto"/>
              </w:rPr>
            </w:pPr>
          </w:p>
        </w:tc>
        <w:tc>
          <w:tcPr>
            <w:tcW w:w="910" w:type="pct"/>
            <w:noWrap w:val="0"/>
            <w:vAlign w:val="center"/>
          </w:tcPr>
          <w:p>
            <w:pPr>
              <w:jc w:val="left"/>
              <w:rPr>
                <w:rFonts w:hint="default"/>
                <w:color w:val="auto"/>
                <w:lang w:val="en-US" w:eastAsia="zh-CN"/>
              </w:rPr>
            </w:pPr>
            <w:r>
              <w:rPr>
                <w:rFonts w:hint="eastAsia"/>
                <w:color w:val="auto"/>
                <w:lang w:val="en-US" w:eastAsia="zh-CN"/>
              </w:rPr>
              <w:t>带薪休假</w:t>
            </w:r>
          </w:p>
        </w:tc>
        <w:tc>
          <w:tcPr>
            <w:tcW w:w="1142" w:type="pct"/>
            <w:noWrap w:val="0"/>
            <w:vAlign w:val="center"/>
          </w:tcPr>
          <w:p>
            <w:pPr>
              <w:jc w:val="center"/>
              <w:rPr>
                <w:rFonts w:hint="eastAsia"/>
                <w:color w:val="auto"/>
                <w:lang w:val="en-US" w:eastAsia="zh-CN"/>
              </w:rPr>
            </w:pPr>
            <w:r>
              <w:rPr>
                <w:rFonts w:hint="eastAsia"/>
                <w:color w:val="auto"/>
                <w:lang w:val="en-US" w:eastAsia="zh-CN"/>
              </w:rPr>
              <w:t>企业应披露人均带薪休假天数、调休政策、延长工作时间的补偿或报酬等</w:t>
            </w:r>
          </w:p>
        </w:tc>
        <w:tc>
          <w:tcPr>
            <w:tcW w:w="1114" w:type="pct"/>
            <w:noWrap w:val="0"/>
            <w:vAlign w:val="center"/>
          </w:tcPr>
          <w:p>
            <w:pPr>
              <w:jc w:val="center"/>
              <w:rPr>
                <w:rFonts w:hint="eastAsia"/>
                <w:color w:val="auto"/>
                <w:lang w:val="en-US" w:eastAsia="zh-CN"/>
              </w:rPr>
            </w:pPr>
            <w:r>
              <w:rPr>
                <w:rFonts w:hint="eastAsia"/>
                <w:color w:val="auto"/>
                <w:lang w:val="en-US" w:eastAsia="zh-CN"/>
              </w:rPr>
              <w:t>企业无相关信息披露得0分，有相关信息披露得5分；</w:t>
            </w:r>
          </w:p>
        </w:tc>
        <w:tc>
          <w:tcPr>
            <w:tcW w:w="193" w:type="pct"/>
            <w:noWrap w:val="0"/>
            <w:vAlign w:val="center"/>
          </w:tcPr>
          <w:p>
            <w:pPr>
              <w:jc w:val="center"/>
              <w:rPr>
                <w:rFonts w:hint="default"/>
                <w:color w:val="auto"/>
                <w:lang w:val="en-US" w:eastAsia="zh-CN"/>
              </w:rPr>
            </w:pPr>
            <w:r>
              <w:rPr>
                <w:rFonts w:hint="eastAsia"/>
                <w:color w:val="auto"/>
                <w:lang w:val="en-US" w:eastAsia="zh-CN"/>
              </w:rPr>
              <w:t>5</w:t>
            </w:r>
          </w:p>
        </w:tc>
        <w:tc>
          <w:tcPr>
            <w:tcW w:w="203" w:type="pct"/>
            <w:vMerge w:val="continue"/>
            <w:noWrap w:val="0"/>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43</w:t>
            </w:r>
          </w:p>
        </w:tc>
        <w:tc>
          <w:tcPr>
            <w:tcW w:w="268" w:type="pct"/>
            <w:vMerge w:val="continue"/>
            <w:noWrap w:val="0"/>
            <w:vAlign w:val="center"/>
          </w:tcPr>
          <w:p>
            <w:pPr>
              <w:jc w:val="center"/>
              <w:rPr>
                <w:b/>
                <w:bCs/>
                <w:color w:val="auto"/>
              </w:rPr>
            </w:pPr>
          </w:p>
        </w:tc>
        <w:tc>
          <w:tcPr>
            <w:tcW w:w="403" w:type="pct"/>
            <w:vMerge w:val="continue"/>
            <w:noWrap w:val="0"/>
            <w:vAlign w:val="center"/>
          </w:tcPr>
          <w:p>
            <w:pPr>
              <w:jc w:val="center"/>
              <w:rPr>
                <w:color w:val="auto"/>
              </w:rPr>
            </w:pPr>
          </w:p>
        </w:tc>
        <w:tc>
          <w:tcPr>
            <w:tcW w:w="557" w:type="pct"/>
            <w:vMerge w:val="continue"/>
            <w:noWrap w:val="0"/>
            <w:vAlign w:val="center"/>
          </w:tcPr>
          <w:p>
            <w:pPr>
              <w:jc w:val="center"/>
              <w:rPr>
                <w:rFonts w:hint="eastAsia"/>
                <w:color w:val="auto"/>
              </w:rPr>
            </w:pPr>
          </w:p>
        </w:tc>
        <w:tc>
          <w:tcPr>
            <w:tcW w:w="910" w:type="pct"/>
            <w:noWrap w:val="0"/>
            <w:vAlign w:val="center"/>
          </w:tcPr>
          <w:p>
            <w:pPr>
              <w:jc w:val="left"/>
              <w:rPr>
                <w:rFonts w:hint="default" w:eastAsia="宋体"/>
                <w:color w:val="auto"/>
                <w:lang w:val="en-US" w:eastAsia="zh-CN"/>
              </w:rPr>
            </w:pPr>
            <w:r>
              <w:rPr>
                <w:rFonts w:hint="eastAsia"/>
                <w:color w:val="auto"/>
                <w:lang w:val="en-US" w:eastAsia="zh-CN"/>
              </w:rPr>
              <w:t>员工薪酬与福利</w:t>
            </w:r>
          </w:p>
        </w:tc>
        <w:tc>
          <w:tcPr>
            <w:tcW w:w="1142" w:type="pct"/>
            <w:noWrap w:val="0"/>
            <w:vAlign w:val="center"/>
          </w:tcPr>
          <w:p>
            <w:pPr>
              <w:jc w:val="center"/>
              <w:rPr>
                <w:rFonts w:hint="default" w:eastAsia="宋体"/>
                <w:color w:val="auto"/>
                <w:lang w:val="en-US" w:eastAsia="zh-CN"/>
              </w:rPr>
            </w:pPr>
            <w:r>
              <w:rPr>
                <w:rFonts w:hint="eastAsia"/>
                <w:color w:val="auto"/>
                <w:lang w:val="en-US" w:eastAsia="zh-CN"/>
              </w:rPr>
              <w:t>企业应披露员工薪酬构成，以及五险一金等福利</w:t>
            </w:r>
          </w:p>
        </w:tc>
        <w:tc>
          <w:tcPr>
            <w:tcW w:w="1114" w:type="pct"/>
            <w:noWrap w:val="0"/>
            <w:vAlign w:val="center"/>
          </w:tcPr>
          <w:p>
            <w:pPr>
              <w:jc w:val="center"/>
              <w:rPr>
                <w:rFonts w:hint="eastAsia"/>
                <w:color w:val="auto"/>
                <w:lang w:val="en-US" w:eastAsia="zh-CN"/>
              </w:rPr>
            </w:pPr>
            <w:r>
              <w:rPr>
                <w:rFonts w:hint="eastAsia"/>
                <w:color w:val="auto"/>
                <w:lang w:val="en-US" w:eastAsia="zh-CN"/>
              </w:rPr>
              <w:t>企业无相关信息披露得0分，有相关信息披露得5分；</w:t>
            </w:r>
          </w:p>
        </w:tc>
        <w:tc>
          <w:tcPr>
            <w:tcW w:w="193" w:type="pct"/>
            <w:noWrap w:val="0"/>
            <w:vAlign w:val="center"/>
          </w:tcPr>
          <w:p>
            <w:pPr>
              <w:jc w:val="center"/>
              <w:rPr>
                <w:rFonts w:hint="default"/>
                <w:color w:val="auto"/>
                <w:lang w:val="en-US" w:eastAsia="zh-CN"/>
              </w:rPr>
            </w:pPr>
            <w:r>
              <w:rPr>
                <w:rFonts w:hint="eastAsia"/>
                <w:color w:val="auto"/>
                <w:lang w:val="en-US" w:eastAsia="zh-CN"/>
              </w:rPr>
              <w:t>5</w:t>
            </w:r>
          </w:p>
        </w:tc>
        <w:tc>
          <w:tcPr>
            <w:tcW w:w="203" w:type="pct"/>
            <w:vMerge w:val="continue"/>
            <w:noWrap w:val="0"/>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44</w:t>
            </w:r>
          </w:p>
        </w:tc>
        <w:tc>
          <w:tcPr>
            <w:tcW w:w="268" w:type="pct"/>
            <w:vMerge w:val="continue"/>
            <w:noWrap w:val="0"/>
            <w:vAlign w:val="center"/>
          </w:tcPr>
          <w:p>
            <w:pPr>
              <w:jc w:val="center"/>
              <w:rPr>
                <w:b/>
                <w:bCs/>
                <w:color w:val="auto"/>
              </w:rPr>
            </w:pPr>
          </w:p>
        </w:tc>
        <w:tc>
          <w:tcPr>
            <w:tcW w:w="403" w:type="pct"/>
            <w:vMerge w:val="continue"/>
            <w:noWrap w:val="0"/>
            <w:vAlign w:val="center"/>
          </w:tcPr>
          <w:p>
            <w:pPr>
              <w:jc w:val="center"/>
              <w:rPr>
                <w:color w:val="auto"/>
              </w:rPr>
            </w:pPr>
          </w:p>
        </w:tc>
        <w:tc>
          <w:tcPr>
            <w:tcW w:w="557" w:type="pct"/>
            <w:vMerge w:val="continue"/>
            <w:noWrap w:val="0"/>
            <w:vAlign w:val="center"/>
          </w:tcPr>
          <w:p>
            <w:pPr>
              <w:jc w:val="center"/>
              <w:rPr>
                <w:rFonts w:hint="eastAsia"/>
                <w:color w:val="auto"/>
              </w:rPr>
            </w:pPr>
          </w:p>
        </w:tc>
        <w:tc>
          <w:tcPr>
            <w:tcW w:w="910" w:type="pct"/>
            <w:noWrap w:val="0"/>
            <w:vAlign w:val="center"/>
          </w:tcPr>
          <w:p>
            <w:pPr>
              <w:jc w:val="left"/>
              <w:rPr>
                <w:rFonts w:hint="default"/>
                <w:color w:val="auto"/>
                <w:lang w:val="en-US" w:eastAsia="zh-CN"/>
              </w:rPr>
            </w:pPr>
            <w:r>
              <w:rPr>
                <w:rFonts w:hint="eastAsia"/>
                <w:color w:val="auto"/>
                <w:lang w:val="en-US" w:eastAsia="zh-CN"/>
              </w:rPr>
              <w:t>员工满意度</w:t>
            </w:r>
          </w:p>
        </w:tc>
        <w:tc>
          <w:tcPr>
            <w:tcW w:w="1142" w:type="pct"/>
            <w:noWrap w:val="0"/>
            <w:vAlign w:val="center"/>
          </w:tcPr>
          <w:p>
            <w:pPr>
              <w:jc w:val="center"/>
              <w:rPr>
                <w:rFonts w:hint="default"/>
                <w:color w:val="auto"/>
                <w:lang w:val="en-US" w:eastAsia="zh-CN"/>
              </w:rPr>
            </w:pPr>
            <w:r>
              <w:rPr>
                <w:rFonts w:hint="eastAsia"/>
                <w:color w:val="auto"/>
                <w:lang w:val="en-US" w:eastAsia="zh-CN"/>
              </w:rPr>
              <w:t>企业应进行员工满意度调查，以及披露参与调查人数和满意度占比</w:t>
            </w:r>
          </w:p>
        </w:tc>
        <w:tc>
          <w:tcPr>
            <w:tcW w:w="1114" w:type="pct"/>
            <w:noWrap w:val="0"/>
            <w:vAlign w:val="center"/>
          </w:tcPr>
          <w:p>
            <w:pPr>
              <w:jc w:val="center"/>
              <w:rPr>
                <w:rFonts w:hint="default"/>
                <w:color w:val="auto"/>
                <w:lang w:val="en-US" w:eastAsia="zh-CN"/>
              </w:rPr>
            </w:pPr>
            <w:r>
              <w:rPr>
                <w:rFonts w:hint="eastAsia"/>
                <w:color w:val="auto"/>
                <w:lang w:val="en-US" w:eastAsia="zh-CN"/>
              </w:rPr>
              <w:t>企业未进行员工满意度调查得0分，员工满意度调查大于60%得5分，员工满意度调查大于80%得10分；</w:t>
            </w:r>
          </w:p>
        </w:tc>
        <w:tc>
          <w:tcPr>
            <w:tcW w:w="193" w:type="pct"/>
            <w:noWrap w:val="0"/>
            <w:vAlign w:val="center"/>
          </w:tcPr>
          <w:p>
            <w:pPr>
              <w:jc w:val="center"/>
              <w:rPr>
                <w:rFonts w:hint="default"/>
                <w:color w:val="auto"/>
                <w:lang w:val="en-US" w:eastAsia="zh-CN"/>
              </w:rPr>
            </w:pPr>
            <w:r>
              <w:rPr>
                <w:rFonts w:hint="eastAsia"/>
                <w:color w:val="auto"/>
                <w:lang w:val="en-US" w:eastAsia="zh-CN"/>
              </w:rPr>
              <w:t>10</w:t>
            </w:r>
          </w:p>
        </w:tc>
        <w:tc>
          <w:tcPr>
            <w:tcW w:w="203" w:type="pct"/>
            <w:vMerge w:val="continue"/>
            <w:noWrap w:val="0"/>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45</w:t>
            </w:r>
          </w:p>
        </w:tc>
        <w:tc>
          <w:tcPr>
            <w:tcW w:w="268" w:type="pct"/>
            <w:vMerge w:val="continue"/>
            <w:noWrap w:val="0"/>
            <w:vAlign w:val="center"/>
          </w:tcPr>
          <w:p>
            <w:pPr>
              <w:jc w:val="center"/>
              <w:rPr>
                <w:b/>
                <w:bCs/>
                <w:color w:val="auto"/>
              </w:rPr>
            </w:pPr>
          </w:p>
        </w:tc>
        <w:tc>
          <w:tcPr>
            <w:tcW w:w="403" w:type="pct"/>
            <w:vMerge w:val="continue"/>
            <w:noWrap w:val="0"/>
            <w:vAlign w:val="center"/>
          </w:tcPr>
          <w:p>
            <w:pPr>
              <w:jc w:val="center"/>
              <w:rPr>
                <w:b/>
                <w:bCs/>
                <w:color w:val="auto"/>
              </w:rPr>
            </w:pPr>
          </w:p>
        </w:tc>
        <w:tc>
          <w:tcPr>
            <w:tcW w:w="557" w:type="pct"/>
            <w:vMerge w:val="restart"/>
            <w:noWrap w:val="0"/>
            <w:vAlign w:val="center"/>
          </w:tcPr>
          <w:p>
            <w:pPr>
              <w:jc w:val="center"/>
              <w:rPr>
                <w:rFonts w:ascii="Times New Roman" w:hAnsi="Times New Roman" w:eastAsia="宋体" w:cs="Times New Roman"/>
                <w:color w:val="auto"/>
                <w:kern w:val="2"/>
                <w:sz w:val="21"/>
                <w:szCs w:val="21"/>
                <w:lang w:val="en-US" w:eastAsia="zh-CN" w:bidi="ar-SA"/>
              </w:rPr>
            </w:pPr>
            <w:r>
              <w:rPr>
                <w:rFonts w:hint="eastAsia"/>
                <w:color w:val="auto"/>
              </w:rPr>
              <w:t>员工安全与健康</w:t>
            </w:r>
          </w:p>
        </w:tc>
        <w:tc>
          <w:tcPr>
            <w:tcW w:w="910" w:type="pct"/>
            <w:noWrap w:val="0"/>
            <w:vAlign w:val="center"/>
          </w:tcPr>
          <w:p>
            <w:pPr>
              <w:jc w:val="left"/>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员工职业健康安全管理</w:t>
            </w:r>
          </w:p>
        </w:tc>
        <w:tc>
          <w:tcPr>
            <w:tcW w:w="1142" w:type="pct"/>
            <w:noWrap w:val="0"/>
            <w:vAlign w:val="center"/>
          </w:tcPr>
          <w:p>
            <w:pPr>
              <w:jc w:val="center"/>
              <w:rPr>
                <w:rFonts w:hint="default" w:eastAsia="宋体"/>
                <w:color w:val="auto"/>
                <w:lang w:val="en-US" w:eastAsia="zh-CN"/>
              </w:rPr>
            </w:pPr>
            <w:r>
              <w:rPr>
                <w:rFonts w:hint="eastAsia"/>
                <w:color w:val="auto"/>
                <w:lang w:val="en-US" w:eastAsia="zh-CN"/>
              </w:rPr>
              <w:t>企业应建立预防职业健康安全措施</w:t>
            </w:r>
          </w:p>
        </w:tc>
        <w:tc>
          <w:tcPr>
            <w:tcW w:w="1114" w:type="pct"/>
            <w:noWrap w:val="0"/>
            <w:vAlign w:val="center"/>
          </w:tcPr>
          <w:p>
            <w:pPr>
              <w:jc w:val="center"/>
              <w:rPr>
                <w:rFonts w:hint="eastAsia"/>
                <w:color w:val="auto"/>
                <w:lang w:val="en-US" w:eastAsia="zh-CN"/>
              </w:rPr>
            </w:pPr>
            <w:r>
              <w:rPr>
                <w:rFonts w:hint="eastAsia"/>
                <w:color w:val="auto"/>
                <w:lang w:val="en-US" w:eastAsia="zh-CN"/>
              </w:rPr>
              <w:t>企业未建立职业健康安全措施得0分，建立并披露相关信息得5分，建立并取得相关认证证书的10分；</w:t>
            </w:r>
          </w:p>
        </w:tc>
        <w:tc>
          <w:tcPr>
            <w:tcW w:w="193" w:type="pct"/>
            <w:noWrap w:val="0"/>
            <w:vAlign w:val="center"/>
          </w:tcPr>
          <w:p>
            <w:pPr>
              <w:jc w:val="center"/>
              <w:rPr>
                <w:rFonts w:hint="default"/>
                <w:color w:val="auto"/>
                <w:lang w:val="en-US" w:eastAsia="zh-CN"/>
              </w:rPr>
            </w:pPr>
            <w:r>
              <w:rPr>
                <w:rFonts w:hint="eastAsia"/>
                <w:color w:val="auto"/>
                <w:lang w:val="en-US" w:eastAsia="zh-CN"/>
              </w:rPr>
              <w:t>10</w:t>
            </w:r>
          </w:p>
        </w:tc>
        <w:tc>
          <w:tcPr>
            <w:tcW w:w="203" w:type="pct"/>
            <w:vMerge w:val="continue"/>
            <w:noWrap w:val="0"/>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46</w:t>
            </w:r>
          </w:p>
        </w:tc>
        <w:tc>
          <w:tcPr>
            <w:tcW w:w="268" w:type="pct"/>
            <w:vMerge w:val="continue"/>
            <w:noWrap w:val="0"/>
            <w:vAlign w:val="center"/>
          </w:tcPr>
          <w:p>
            <w:pPr>
              <w:jc w:val="center"/>
              <w:rPr>
                <w:b/>
                <w:bCs/>
                <w:color w:val="auto"/>
              </w:rPr>
            </w:pPr>
          </w:p>
        </w:tc>
        <w:tc>
          <w:tcPr>
            <w:tcW w:w="403" w:type="pct"/>
            <w:vMerge w:val="continue"/>
            <w:noWrap w:val="0"/>
            <w:vAlign w:val="center"/>
          </w:tcPr>
          <w:p>
            <w:pPr>
              <w:jc w:val="center"/>
              <w:rPr>
                <w:b/>
                <w:bCs/>
                <w:color w:val="auto"/>
              </w:rPr>
            </w:pPr>
          </w:p>
        </w:tc>
        <w:tc>
          <w:tcPr>
            <w:tcW w:w="557" w:type="pct"/>
            <w:vMerge w:val="continue"/>
            <w:noWrap w:val="0"/>
            <w:vAlign w:val="center"/>
          </w:tcPr>
          <w:p>
            <w:pPr>
              <w:jc w:val="left"/>
              <w:rPr>
                <w:color w:val="auto"/>
              </w:rPr>
            </w:pPr>
          </w:p>
        </w:tc>
        <w:tc>
          <w:tcPr>
            <w:tcW w:w="910" w:type="pct"/>
            <w:noWrap w:val="0"/>
            <w:vAlign w:val="center"/>
          </w:tcPr>
          <w:p>
            <w:pPr>
              <w:jc w:val="left"/>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员工安全风险防控</w:t>
            </w:r>
          </w:p>
        </w:tc>
        <w:tc>
          <w:tcPr>
            <w:tcW w:w="1142" w:type="pct"/>
            <w:noWrap w:val="0"/>
            <w:vAlign w:val="center"/>
          </w:tcPr>
          <w:p>
            <w:pPr>
              <w:jc w:val="center"/>
              <w:rPr>
                <w:rFonts w:hint="default" w:eastAsia="宋体"/>
                <w:color w:val="auto"/>
                <w:lang w:val="en-US" w:eastAsia="zh-CN"/>
              </w:rPr>
            </w:pPr>
            <w:r>
              <w:rPr>
                <w:rFonts w:hint="eastAsia"/>
                <w:color w:val="auto"/>
                <w:lang w:val="en-US" w:eastAsia="zh-CN"/>
              </w:rPr>
              <w:t>企业应披露员工安全生产培训的覆盖范围、培训次数、时长和参加人数</w:t>
            </w:r>
          </w:p>
        </w:tc>
        <w:tc>
          <w:tcPr>
            <w:tcW w:w="1114" w:type="pct"/>
            <w:noWrap w:val="0"/>
            <w:vAlign w:val="center"/>
          </w:tcPr>
          <w:p>
            <w:pPr>
              <w:jc w:val="center"/>
              <w:rPr>
                <w:rFonts w:hint="eastAsia"/>
                <w:color w:val="auto"/>
                <w:lang w:val="en-US" w:eastAsia="zh-CN"/>
              </w:rPr>
            </w:pPr>
            <w:r>
              <w:rPr>
                <w:rFonts w:hint="eastAsia"/>
                <w:color w:val="auto"/>
                <w:lang w:val="en-US" w:eastAsia="zh-CN"/>
              </w:rPr>
              <w:t>企业无相关信息披露得0分，披露部分指标得5分，披露全部相关信息得10分；</w:t>
            </w:r>
          </w:p>
        </w:tc>
        <w:tc>
          <w:tcPr>
            <w:tcW w:w="193" w:type="pct"/>
            <w:noWrap w:val="0"/>
            <w:vAlign w:val="center"/>
          </w:tcPr>
          <w:p>
            <w:pPr>
              <w:jc w:val="center"/>
              <w:rPr>
                <w:rFonts w:hint="default"/>
                <w:color w:val="auto"/>
                <w:lang w:val="en-US" w:eastAsia="zh-CN"/>
              </w:rPr>
            </w:pPr>
            <w:r>
              <w:rPr>
                <w:rFonts w:hint="eastAsia"/>
                <w:color w:val="auto"/>
                <w:lang w:val="en-US" w:eastAsia="zh-CN"/>
              </w:rPr>
              <w:t>10</w:t>
            </w:r>
          </w:p>
        </w:tc>
        <w:tc>
          <w:tcPr>
            <w:tcW w:w="203" w:type="pct"/>
            <w:vMerge w:val="continue"/>
            <w:noWrap w:val="0"/>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47</w:t>
            </w:r>
          </w:p>
        </w:tc>
        <w:tc>
          <w:tcPr>
            <w:tcW w:w="268" w:type="pct"/>
            <w:vMerge w:val="continue"/>
            <w:noWrap w:val="0"/>
            <w:vAlign w:val="center"/>
          </w:tcPr>
          <w:p>
            <w:pPr>
              <w:jc w:val="center"/>
              <w:rPr>
                <w:b/>
                <w:bCs/>
                <w:color w:val="auto"/>
              </w:rPr>
            </w:pPr>
          </w:p>
        </w:tc>
        <w:tc>
          <w:tcPr>
            <w:tcW w:w="403" w:type="pct"/>
            <w:vMerge w:val="continue"/>
            <w:noWrap w:val="0"/>
            <w:vAlign w:val="center"/>
          </w:tcPr>
          <w:p>
            <w:pPr>
              <w:jc w:val="center"/>
              <w:rPr>
                <w:color w:val="auto"/>
              </w:rPr>
            </w:pPr>
          </w:p>
        </w:tc>
        <w:tc>
          <w:tcPr>
            <w:tcW w:w="557" w:type="pct"/>
            <w:vMerge w:val="restart"/>
            <w:noWrap w:val="0"/>
            <w:vAlign w:val="center"/>
          </w:tcPr>
          <w:p>
            <w:pPr>
              <w:jc w:val="center"/>
              <w:rPr>
                <w:rFonts w:ascii="Times New Roman" w:hAnsi="Times New Roman" w:eastAsia="宋体" w:cs="Times New Roman"/>
                <w:b/>
                <w:bCs/>
                <w:color w:val="auto"/>
                <w:kern w:val="2"/>
                <w:sz w:val="21"/>
                <w:szCs w:val="21"/>
                <w:lang w:val="en-US" w:eastAsia="zh-CN" w:bidi="ar-SA"/>
              </w:rPr>
            </w:pPr>
            <w:r>
              <w:rPr>
                <w:rFonts w:hint="eastAsia"/>
                <w:color w:val="auto"/>
              </w:rPr>
              <w:t>员工发展</w:t>
            </w:r>
          </w:p>
        </w:tc>
        <w:tc>
          <w:tcPr>
            <w:tcW w:w="910" w:type="pct"/>
            <w:noWrap w:val="0"/>
            <w:vAlign w:val="center"/>
          </w:tcPr>
          <w:p>
            <w:pPr>
              <w:jc w:val="left"/>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员工激励及晋升政策</w:t>
            </w:r>
          </w:p>
        </w:tc>
        <w:tc>
          <w:tcPr>
            <w:tcW w:w="1142" w:type="pct"/>
            <w:noWrap w:val="0"/>
            <w:vAlign w:val="center"/>
          </w:tcPr>
          <w:p>
            <w:pPr>
              <w:jc w:val="center"/>
              <w:rPr>
                <w:rFonts w:hint="default" w:eastAsia="宋体"/>
                <w:color w:val="auto"/>
                <w:lang w:val="en-US" w:eastAsia="zh-CN"/>
              </w:rPr>
            </w:pPr>
            <w:r>
              <w:rPr>
                <w:rFonts w:hint="eastAsia"/>
                <w:color w:val="auto"/>
                <w:lang w:val="en-US" w:eastAsia="zh-CN"/>
              </w:rPr>
              <w:t>企业应披露员工晋升和选拔机制，岗位调整和职称评选要求等信息</w:t>
            </w:r>
          </w:p>
        </w:tc>
        <w:tc>
          <w:tcPr>
            <w:tcW w:w="1114" w:type="pct"/>
            <w:noWrap w:val="0"/>
            <w:vAlign w:val="center"/>
          </w:tcPr>
          <w:p>
            <w:pPr>
              <w:jc w:val="center"/>
              <w:rPr>
                <w:rFonts w:hint="eastAsia"/>
                <w:color w:val="auto"/>
                <w:lang w:val="en-US" w:eastAsia="zh-CN"/>
              </w:rPr>
            </w:pPr>
            <w:r>
              <w:rPr>
                <w:rFonts w:hint="eastAsia"/>
                <w:color w:val="auto"/>
                <w:lang w:val="en-US" w:eastAsia="zh-CN"/>
              </w:rPr>
              <w:t>企业无相关信息披露得0分，有相关信息披露得10分；</w:t>
            </w:r>
          </w:p>
        </w:tc>
        <w:tc>
          <w:tcPr>
            <w:tcW w:w="193" w:type="pct"/>
            <w:noWrap w:val="0"/>
            <w:vAlign w:val="center"/>
          </w:tcPr>
          <w:p>
            <w:pPr>
              <w:jc w:val="center"/>
              <w:rPr>
                <w:rFonts w:hint="default"/>
                <w:color w:val="auto"/>
                <w:lang w:val="en-US" w:eastAsia="zh-CN"/>
              </w:rPr>
            </w:pPr>
            <w:r>
              <w:rPr>
                <w:rFonts w:hint="eastAsia"/>
                <w:color w:val="auto"/>
                <w:lang w:val="en-US" w:eastAsia="zh-CN"/>
              </w:rPr>
              <w:t>10</w:t>
            </w:r>
          </w:p>
        </w:tc>
        <w:tc>
          <w:tcPr>
            <w:tcW w:w="203" w:type="pct"/>
            <w:vMerge w:val="continue"/>
            <w:noWrap w:val="0"/>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48</w:t>
            </w:r>
          </w:p>
        </w:tc>
        <w:tc>
          <w:tcPr>
            <w:tcW w:w="268" w:type="pct"/>
            <w:vMerge w:val="continue"/>
            <w:noWrap w:val="0"/>
            <w:vAlign w:val="center"/>
          </w:tcPr>
          <w:p>
            <w:pPr>
              <w:jc w:val="center"/>
              <w:rPr>
                <w:b/>
                <w:bCs/>
                <w:color w:val="auto"/>
              </w:rPr>
            </w:pPr>
          </w:p>
        </w:tc>
        <w:tc>
          <w:tcPr>
            <w:tcW w:w="403" w:type="pct"/>
            <w:vMerge w:val="continue"/>
            <w:noWrap w:val="0"/>
            <w:vAlign w:val="center"/>
          </w:tcPr>
          <w:p>
            <w:pPr>
              <w:jc w:val="center"/>
              <w:rPr>
                <w:b/>
                <w:bCs/>
                <w:color w:val="auto"/>
              </w:rPr>
            </w:pPr>
          </w:p>
        </w:tc>
        <w:tc>
          <w:tcPr>
            <w:tcW w:w="557" w:type="pct"/>
            <w:vMerge w:val="continue"/>
            <w:noWrap w:val="0"/>
            <w:vAlign w:val="center"/>
          </w:tcPr>
          <w:p>
            <w:pPr>
              <w:jc w:val="center"/>
              <w:rPr>
                <w:rFonts w:ascii="Times New Roman" w:hAnsi="Times New Roman" w:eastAsia="宋体" w:cs="Times New Roman"/>
                <w:color w:val="auto"/>
                <w:kern w:val="2"/>
                <w:sz w:val="21"/>
                <w:szCs w:val="21"/>
                <w:lang w:val="en-US" w:eastAsia="zh-CN" w:bidi="ar-SA"/>
              </w:rPr>
            </w:pPr>
          </w:p>
        </w:tc>
        <w:tc>
          <w:tcPr>
            <w:tcW w:w="910" w:type="pct"/>
            <w:noWrap w:val="0"/>
            <w:vAlign w:val="center"/>
          </w:tcPr>
          <w:p>
            <w:pPr>
              <w:jc w:val="left"/>
              <w:rPr>
                <w:rFonts w:hint="eastAsia" w:ascii="Times New Roman" w:hAnsi="Times New Roman" w:eastAsia="宋体" w:cs="Times New Roman"/>
                <w:color w:val="auto"/>
                <w:kern w:val="2"/>
                <w:sz w:val="21"/>
                <w:szCs w:val="21"/>
                <w:lang w:val="en-US" w:eastAsia="zh-CN" w:bidi="ar-SA"/>
              </w:rPr>
            </w:pPr>
            <w:r>
              <w:rPr>
                <w:rFonts w:hint="eastAsia"/>
                <w:color w:val="auto"/>
              </w:rPr>
              <w:t>员工成长计划</w:t>
            </w:r>
          </w:p>
        </w:tc>
        <w:tc>
          <w:tcPr>
            <w:tcW w:w="1142" w:type="pct"/>
            <w:noWrap w:val="0"/>
            <w:vAlign w:val="center"/>
          </w:tcPr>
          <w:p>
            <w:pPr>
              <w:jc w:val="center"/>
              <w:rPr>
                <w:rFonts w:hint="default" w:eastAsia="宋体"/>
                <w:color w:val="auto"/>
                <w:lang w:val="en-US" w:eastAsia="zh-CN"/>
              </w:rPr>
            </w:pPr>
            <w:r>
              <w:rPr>
                <w:rFonts w:hint="eastAsia"/>
                <w:color w:val="auto"/>
                <w:lang w:val="en-US" w:eastAsia="zh-CN"/>
              </w:rPr>
              <w:t>企业应披露员工职业规化、求学和内部应聘等的激励措施</w:t>
            </w:r>
          </w:p>
        </w:tc>
        <w:tc>
          <w:tcPr>
            <w:tcW w:w="1114"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企业无相关信息披露得0分，有相关信息披露得5分；</w:t>
            </w:r>
          </w:p>
        </w:tc>
        <w:tc>
          <w:tcPr>
            <w:tcW w:w="193"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5</w:t>
            </w:r>
          </w:p>
        </w:tc>
        <w:tc>
          <w:tcPr>
            <w:tcW w:w="203" w:type="pct"/>
            <w:vMerge w:val="continue"/>
            <w:noWrap w:val="0"/>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49</w:t>
            </w:r>
          </w:p>
        </w:tc>
        <w:tc>
          <w:tcPr>
            <w:tcW w:w="268" w:type="pct"/>
            <w:vMerge w:val="continue"/>
            <w:noWrap w:val="0"/>
            <w:vAlign w:val="center"/>
          </w:tcPr>
          <w:p>
            <w:pPr>
              <w:jc w:val="center"/>
              <w:rPr>
                <w:b/>
                <w:bCs/>
                <w:color w:val="auto"/>
              </w:rPr>
            </w:pPr>
          </w:p>
        </w:tc>
        <w:tc>
          <w:tcPr>
            <w:tcW w:w="403" w:type="pct"/>
            <w:vMerge w:val="continue"/>
            <w:noWrap w:val="0"/>
            <w:vAlign w:val="center"/>
          </w:tcPr>
          <w:p>
            <w:pPr>
              <w:jc w:val="center"/>
              <w:rPr>
                <w:color w:val="auto"/>
              </w:rPr>
            </w:pPr>
          </w:p>
        </w:tc>
        <w:tc>
          <w:tcPr>
            <w:tcW w:w="557" w:type="pct"/>
            <w:vMerge w:val="continue"/>
            <w:noWrap w:val="0"/>
            <w:vAlign w:val="center"/>
          </w:tcPr>
          <w:p>
            <w:pPr>
              <w:jc w:val="center"/>
              <w:rPr>
                <w:rFonts w:ascii="Times New Roman" w:hAnsi="Times New Roman" w:eastAsia="宋体" w:cs="Times New Roman"/>
                <w:color w:val="auto"/>
                <w:kern w:val="2"/>
                <w:sz w:val="21"/>
                <w:szCs w:val="21"/>
                <w:lang w:val="en-US" w:eastAsia="zh-CN" w:bidi="ar-SA"/>
              </w:rPr>
            </w:pPr>
          </w:p>
        </w:tc>
        <w:tc>
          <w:tcPr>
            <w:tcW w:w="910" w:type="pct"/>
            <w:noWrap w:val="0"/>
            <w:vAlign w:val="center"/>
          </w:tcPr>
          <w:p>
            <w:pPr>
              <w:jc w:val="left"/>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员工专业培训</w:t>
            </w:r>
          </w:p>
        </w:tc>
        <w:tc>
          <w:tcPr>
            <w:tcW w:w="1142" w:type="pct"/>
            <w:noWrap w:val="0"/>
            <w:vAlign w:val="center"/>
          </w:tcPr>
          <w:p>
            <w:pPr>
              <w:jc w:val="center"/>
              <w:rPr>
                <w:rFonts w:hint="default" w:eastAsia="宋体"/>
                <w:color w:val="auto"/>
                <w:lang w:val="en-US" w:eastAsia="zh-CN"/>
              </w:rPr>
            </w:pPr>
            <w:r>
              <w:rPr>
                <w:rFonts w:hint="eastAsia"/>
                <w:color w:val="auto"/>
                <w:lang w:val="en-US" w:eastAsia="zh-CN"/>
              </w:rPr>
              <w:t>企业应有管理岗位培训、业务技术岗位培训和操作维护岗位培训等的描述，及培训课时、受训人员比例等</w:t>
            </w:r>
          </w:p>
        </w:tc>
        <w:tc>
          <w:tcPr>
            <w:tcW w:w="1114" w:type="pct"/>
            <w:noWrap w:val="0"/>
            <w:vAlign w:val="center"/>
          </w:tcPr>
          <w:p>
            <w:pPr>
              <w:jc w:val="center"/>
              <w:rPr>
                <w:rFonts w:hint="eastAsia"/>
                <w:color w:val="auto"/>
                <w:lang w:val="en-US" w:eastAsia="zh-CN"/>
              </w:rPr>
            </w:pPr>
            <w:r>
              <w:rPr>
                <w:rFonts w:hint="eastAsia"/>
                <w:color w:val="auto"/>
                <w:lang w:val="en-US" w:eastAsia="zh-CN"/>
              </w:rPr>
              <w:t>企业无相关信息披露得0分，披露部分指标得5分，披露全部相关信息得10分；</w:t>
            </w:r>
          </w:p>
        </w:tc>
        <w:tc>
          <w:tcPr>
            <w:tcW w:w="193" w:type="pct"/>
            <w:noWrap w:val="0"/>
            <w:vAlign w:val="center"/>
          </w:tcPr>
          <w:p>
            <w:pPr>
              <w:jc w:val="center"/>
              <w:rPr>
                <w:rFonts w:hint="default"/>
                <w:color w:val="auto"/>
                <w:lang w:val="en-US" w:eastAsia="zh-CN"/>
              </w:rPr>
            </w:pPr>
            <w:r>
              <w:rPr>
                <w:rFonts w:hint="eastAsia"/>
                <w:color w:val="auto"/>
                <w:lang w:val="en-US" w:eastAsia="zh-CN"/>
              </w:rPr>
              <w:t>10</w:t>
            </w:r>
          </w:p>
        </w:tc>
        <w:tc>
          <w:tcPr>
            <w:tcW w:w="203" w:type="pct"/>
            <w:vMerge w:val="continue"/>
            <w:noWrap w:val="0"/>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50</w:t>
            </w:r>
          </w:p>
        </w:tc>
        <w:tc>
          <w:tcPr>
            <w:tcW w:w="268" w:type="pct"/>
            <w:vMerge w:val="continue"/>
            <w:noWrap w:val="0"/>
            <w:vAlign w:val="center"/>
          </w:tcPr>
          <w:p>
            <w:pPr>
              <w:jc w:val="center"/>
              <w:rPr>
                <w:b/>
                <w:bCs/>
                <w:color w:val="auto"/>
              </w:rPr>
            </w:pPr>
          </w:p>
        </w:tc>
        <w:tc>
          <w:tcPr>
            <w:tcW w:w="403" w:type="pct"/>
            <w:vMerge w:val="restart"/>
            <w:noWrap w:val="0"/>
            <w:vAlign w:val="center"/>
          </w:tcPr>
          <w:p>
            <w:pPr>
              <w:jc w:val="center"/>
              <w:rPr>
                <w:rFonts w:hint="default" w:eastAsia="宋体"/>
                <w:color w:val="auto"/>
                <w:lang w:val="en-US" w:eastAsia="zh-CN"/>
              </w:rPr>
            </w:pPr>
            <w:r>
              <w:rPr>
                <w:rFonts w:hint="eastAsia"/>
                <w:color w:val="auto"/>
                <w:lang w:val="en-US" w:eastAsia="zh-CN"/>
              </w:rPr>
              <w:t>产品责任</w:t>
            </w:r>
          </w:p>
        </w:tc>
        <w:tc>
          <w:tcPr>
            <w:tcW w:w="557" w:type="pct"/>
            <w:vMerge w:val="restar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产品质量安全</w:t>
            </w:r>
          </w:p>
        </w:tc>
        <w:tc>
          <w:tcPr>
            <w:tcW w:w="910" w:type="pct"/>
            <w:noWrap w:val="0"/>
            <w:vAlign w:val="center"/>
          </w:tcPr>
          <w:p>
            <w:pPr>
              <w:jc w:val="left"/>
              <w:rPr>
                <w:rFonts w:hint="default"/>
                <w:color w:val="auto"/>
                <w:lang w:val="en-US" w:eastAsia="zh-CN"/>
              </w:rPr>
            </w:pPr>
            <w:r>
              <w:rPr>
                <w:rFonts w:hint="eastAsia"/>
                <w:color w:val="auto"/>
                <w:lang w:val="en-US" w:eastAsia="zh-CN"/>
              </w:rPr>
              <w:t>产品质量检测和质量管理认证机制</w:t>
            </w:r>
          </w:p>
        </w:tc>
        <w:tc>
          <w:tcPr>
            <w:tcW w:w="1142" w:type="pct"/>
            <w:noWrap w:val="0"/>
            <w:vAlign w:val="center"/>
          </w:tcPr>
          <w:p>
            <w:pPr>
              <w:jc w:val="center"/>
              <w:rPr>
                <w:rFonts w:hint="default"/>
                <w:color w:val="auto"/>
                <w:lang w:val="en-US" w:eastAsia="zh-CN"/>
              </w:rPr>
            </w:pPr>
            <w:r>
              <w:rPr>
                <w:rFonts w:hint="eastAsia"/>
                <w:color w:val="auto"/>
                <w:lang w:val="en-US" w:eastAsia="zh-CN"/>
              </w:rPr>
              <w:t>企业应具备产品质量检测手段，并通过质量管理体系认证</w:t>
            </w:r>
          </w:p>
        </w:tc>
        <w:tc>
          <w:tcPr>
            <w:tcW w:w="1114" w:type="pct"/>
            <w:noWrap w:val="0"/>
            <w:vAlign w:val="center"/>
          </w:tcPr>
          <w:p>
            <w:pPr>
              <w:jc w:val="center"/>
              <w:rPr>
                <w:rFonts w:hint="default"/>
                <w:color w:val="auto"/>
                <w:lang w:val="en-US" w:eastAsia="zh-CN"/>
              </w:rPr>
            </w:pPr>
            <w:r>
              <w:rPr>
                <w:rFonts w:hint="eastAsia"/>
                <w:color w:val="auto"/>
                <w:lang w:val="en-US" w:eastAsia="zh-CN"/>
              </w:rPr>
              <w:t>企业不具备检测手段，未通过质量管理体系认证得0分；具备较完整产品质量检测手段或通过质量管理体系认证得15分；具备完善的产品质量检测手段，且通过质量管理体系认证得30分；</w:t>
            </w:r>
          </w:p>
        </w:tc>
        <w:tc>
          <w:tcPr>
            <w:tcW w:w="193" w:type="pct"/>
            <w:noWrap w:val="0"/>
            <w:vAlign w:val="center"/>
          </w:tcPr>
          <w:p>
            <w:pPr>
              <w:jc w:val="center"/>
              <w:rPr>
                <w:rFonts w:hint="default"/>
                <w:color w:val="auto"/>
                <w:lang w:val="en-US" w:eastAsia="zh-CN"/>
              </w:rPr>
            </w:pPr>
            <w:r>
              <w:rPr>
                <w:rFonts w:hint="eastAsia"/>
                <w:color w:val="auto"/>
                <w:lang w:val="en-US" w:eastAsia="zh-CN"/>
              </w:rPr>
              <w:t>30</w:t>
            </w:r>
          </w:p>
        </w:tc>
        <w:tc>
          <w:tcPr>
            <w:tcW w:w="203" w:type="pct"/>
            <w:vMerge w:val="restart"/>
            <w:noWrap w:val="0"/>
            <w:vAlign w:val="center"/>
          </w:tcPr>
          <w:p>
            <w:pPr>
              <w:jc w:val="center"/>
              <w:rPr>
                <w:rFonts w:hint="eastAsia"/>
                <w:color w:val="auto"/>
                <w:lang w:val="en-US" w:eastAsia="zh-CN"/>
              </w:rPr>
            </w:pPr>
            <w:r>
              <w:rPr>
                <w:rFonts w:hint="eastAsia" w:cs="Times New Roman"/>
                <w:color w:val="auto"/>
                <w:kern w:val="2"/>
                <w:sz w:val="21"/>
                <w:szCs w:val="21"/>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51</w:t>
            </w:r>
          </w:p>
        </w:tc>
        <w:tc>
          <w:tcPr>
            <w:tcW w:w="268" w:type="pct"/>
            <w:vMerge w:val="continue"/>
            <w:noWrap w:val="0"/>
            <w:vAlign w:val="center"/>
          </w:tcPr>
          <w:p>
            <w:pPr>
              <w:jc w:val="center"/>
              <w:rPr>
                <w:b/>
                <w:bCs/>
                <w:color w:val="auto"/>
              </w:rPr>
            </w:pPr>
          </w:p>
        </w:tc>
        <w:tc>
          <w:tcPr>
            <w:tcW w:w="403" w:type="pct"/>
            <w:vMerge w:val="continue"/>
            <w:noWrap w:val="0"/>
            <w:vAlign w:val="center"/>
          </w:tcPr>
          <w:p>
            <w:pPr>
              <w:jc w:val="center"/>
              <w:rPr>
                <w:color w:val="auto"/>
              </w:rPr>
            </w:pPr>
          </w:p>
        </w:tc>
        <w:tc>
          <w:tcPr>
            <w:tcW w:w="557" w:type="pct"/>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910" w:type="pct"/>
            <w:noWrap w:val="0"/>
            <w:vAlign w:val="center"/>
          </w:tcPr>
          <w:p>
            <w:pPr>
              <w:jc w:val="left"/>
              <w:rPr>
                <w:rFonts w:hint="default"/>
                <w:color w:val="auto"/>
                <w:lang w:val="en-US" w:eastAsia="zh-CN"/>
              </w:rPr>
            </w:pPr>
            <w:r>
              <w:rPr>
                <w:rFonts w:hint="eastAsia"/>
                <w:color w:val="auto"/>
                <w:lang w:val="en-US" w:eastAsia="zh-CN"/>
              </w:rPr>
              <w:t>产品与服务质量保障、质量提升措施</w:t>
            </w:r>
          </w:p>
        </w:tc>
        <w:tc>
          <w:tcPr>
            <w:tcW w:w="1142" w:type="pct"/>
            <w:noWrap w:val="0"/>
            <w:vAlign w:val="center"/>
          </w:tcPr>
          <w:p>
            <w:pPr>
              <w:jc w:val="center"/>
              <w:rPr>
                <w:rFonts w:hint="default"/>
                <w:color w:val="auto"/>
                <w:lang w:val="en-US" w:eastAsia="zh-CN"/>
              </w:rPr>
            </w:pPr>
            <w:r>
              <w:rPr>
                <w:rFonts w:hint="eastAsia"/>
                <w:color w:val="auto"/>
                <w:lang w:val="en-US" w:eastAsia="zh-CN"/>
              </w:rPr>
              <w:t>企业应具备并披露产品与服务质量保障和质量提升措施</w:t>
            </w:r>
          </w:p>
        </w:tc>
        <w:tc>
          <w:tcPr>
            <w:tcW w:w="1114" w:type="pct"/>
            <w:noWrap w:val="0"/>
            <w:vAlign w:val="center"/>
          </w:tcPr>
          <w:p>
            <w:pPr>
              <w:jc w:val="center"/>
              <w:rPr>
                <w:rFonts w:hint="eastAsia"/>
                <w:color w:val="auto"/>
                <w:lang w:val="en-US" w:eastAsia="zh-CN"/>
              </w:rPr>
            </w:pPr>
            <w:r>
              <w:rPr>
                <w:rFonts w:hint="eastAsia"/>
                <w:color w:val="auto"/>
                <w:lang w:val="en-US" w:eastAsia="zh-CN"/>
              </w:rPr>
              <w:t>企业不具备产品与服务质量保障和提升措施得0分，具备但未披露相关信息得15分，具备且披露相关信息得30分；</w:t>
            </w:r>
          </w:p>
        </w:tc>
        <w:tc>
          <w:tcPr>
            <w:tcW w:w="193" w:type="pct"/>
            <w:noWrap w:val="0"/>
            <w:vAlign w:val="center"/>
          </w:tcPr>
          <w:p>
            <w:pPr>
              <w:jc w:val="center"/>
              <w:rPr>
                <w:rFonts w:hint="default"/>
                <w:color w:val="auto"/>
                <w:lang w:val="en-US" w:eastAsia="zh-CN"/>
              </w:rPr>
            </w:pPr>
            <w:r>
              <w:rPr>
                <w:rFonts w:hint="eastAsia"/>
                <w:color w:val="auto"/>
                <w:lang w:val="en-US" w:eastAsia="zh-CN"/>
              </w:rPr>
              <w:t>30</w:t>
            </w:r>
          </w:p>
        </w:tc>
        <w:tc>
          <w:tcPr>
            <w:tcW w:w="203" w:type="pct"/>
            <w:vMerge w:val="continue"/>
            <w:noWrap w:val="0"/>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52</w:t>
            </w:r>
          </w:p>
        </w:tc>
        <w:tc>
          <w:tcPr>
            <w:tcW w:w="268" w:type="pct"/>
            <w:vMerge w:val="continue"/>
            <w:noWrap w:val="0"/>
            <w:vAlign w:val="center"/>
          </w:tcPr>
          <w:p>
            <w:pPr>
              <w:jc w:val="center"/>
              <w:rPr>
                <w:b/>
                <w:bCs/>
                <w:color w:val="auto"/>
              </w:rPr>
            </w:pPr>
          </w:p>
        </w:tc>
        <w:tc>
          <w:tcPr>
            <w:tcW w:w="403" w:type="pct"/>
            <w:vMerge w:val="continue"/>
            <w:noWrap w:val="0"/>
            <w:vAlign w:val="center"/>
          </w:tcPr>
          <w:p>
            <w:pPr>
              <w:jc w:val="center"/>
              <w:rPr>
                <w:rFonts w:hint="default" w:eastAsia="宋体"/>
                <w:color w:val="auto"/>
                <w:lang w:val="en-US" w:eastAsia="zh-CN"/>
              </w:rPr>
            </w:pPr>
          </w:p>
        </w:tc>
        <w:tc>
          <w:tcPr>
            <w:tcW w:w="557" w:type="pct"/>
            <w:vMerge w:val="restar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客户服务与权益</w:t>
            </w:r>
          </w:p>
        </w:tc>
        <w:tc>
          <w:tcPr>
            <w:tcW w:w="910" w:type="pct"/>
            <w:noWrap w:val="0"/>
            <w:vAlign w:val="center"/>
          </w:tcPr>
          <w:p>
            <w:pPr>
              <w:jc w:val="left"/>
              <w:rPr>
                <w:rFonts w:hint="default"/>
                <w:color w:val="auto"/>
                <w:lang w:val="en-US" w:eastAsia="zh-CN"/>
              </w:rPr>
            </w:pPr>
            <w:r>
              <w:rPr>
                <w:rFonts w:hint="eastAsia" w:cs="Times New Roman"/>
                <w:color w:val="auto"/>
                <w:kern w:val="2"/>
                <w:sz w:val="21"/>
                <w:szCs w:val="21"/>
                <w:lang w:val="en-US" w:eastAsia="zh-CN" w:bidi="ar-SA"/>
              </w:rPr>
              <w:t>客户服务</w:t>
            </w:r>
          </w:p>
        </w:tc>
        <w:tc>
          <w:tcPr>
            <w:tcW w:w="1142" w:type="pct"/>
            <w:noWrap w:val="0"/>
            <w:vAlign w:val="center"/>
          </w:tcPr>
          <w:p>
            <w:pPr>
              <w:jc w:val="center"/>
              <w:rPr>
                <w:rFonts w:hint="default"/>
                <w:color w:val="auto"/>
                <w:lang w:val="en-US" w:eastAsia="zh-CN"/>
              </w:rPr>
            </w:pPr>
            <w:r>
              <w:rPr>
                <w:rFonts w:hint="eastAsia"/>
                <w:color w:val="auto"/>
                <w:lang w:val="en-US" w:eastAsia="zh-CN"/>
              </w:rPr>
              <w:t>企业应开展产品售后服务体系描述，企业与下游客户联合产品开发和客户满意度调查</w:t>
            </w:r>
          </w:p>
        </w:tc>
        <w:tc>
          <w:tcPr>
            <w:tcW w:w="1114" w:type="pct"/>
            <w:noWrap w:val="0"/>
            <w:vAlign w:val="center"/>
          </w:tcPr>
          <w:p>
            <w:pPr>
              <w:jc w:val="center"/>
              <w:rPr>
                <w:rFonts w:hint="eastAsia"/>
                <w:color w:val="auto"/>
                <w:lang w:val="en-US" w:eastAsia="zh-CN"/>
              </w:rPr>
            </w:pPr>
            <w:r>
              <w:rPr>
                <w:rFonts w:hint="eastAsia"/>
                <w:color w:val="auto"/>
                <w:lang w:val="en-US" w:eastAsia="zh-CN"/>
              </w:rPr>
              <w:t>企业未开展产品售后服务体系、与下游客户联合产品开发和客户满意度调查得0分，开展1项及以上得10分，全部开展得20分；</w:t>
            </w:r>
          </w:p>
        </w:tc>
        <w:tc>
          <w:tcPr>
            <w:tcW w:w="193" w:type="pct"/>
            <w:noWrap w:val="0"/>
            <w:vAlign w:val="center"/>
          </w:tcPr>
          <w:p>
            <w:pPr>
              <w:jc w:val="center"/>
              <w:rPr>
                <w:rFonts w:hint="default"/>
                <w:color w:val="auto"/>
                <w:lang w:val="en-US" w:eastAsia="zh-CN"/>
              </w:rPr>
            </w:pPr>
            <w:r>
              <w:rPr>
                <w:rFonts w:hint="eastAsia"/>
                <w:color w:val="auto"/>
                <w:lang w:val="en-US" w:eastAsia="zh-CN"/>
              </w:rPr>
              <w:t>20</w:t>
            </w:r>
          </w:p>
        </w:tc>
        <w:tc>
          <w:tcPr>
            <w:tcW w:w="203" w:type="pct"/>
            <w:vMerge w:val="continue"/>
            <w:noWrap w:val="0"/>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53</w:t>
            </w:r>
          </w:p>
        </w:tc>
        <w:tc>
          <w:tcPr>
            <w:tcW w:w="268" w:type="pct"/>
            <w:vMerge w:val="continue"/>
            <w:noWrap w:val="0"/>
            <w:vAlign w:val="center"/>
          </w:tcPr>
          <w:p>
            <w:pPr>
              <w:jc w:val="center"/>
              <w:rPr>
                <w:b/>
                <w:bCs/>
                <w:color w:val="auto"/>
              </w:rPr>
            </w:pPr>
          </w:p>
        </w:tc>
        <w:tc>
          <w:tcPr>
            <w:tcW w:w="403" w:type="pct"/>
            <w:vMerge w:val="continue"/>
            <w:noWrap w:val="0"/>
            <w:vAlign w:val="center"/>
          </w:tcPr>
          <w:p>
            <w:pPr>
              <w:jc w:val="center"/>
              <w:rPr>
                <w:color w:val="auto"/>
              </w:rPr>
            </w:pPr>
          </w:p>
        </w:tc>
        <w:tc>
          <w:tcPr>
            <w:tcW w:w="557" w:type="pct"/>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910" w:type="pct"/>
            <w:noWrap w:val="0"/>
            <w:vAlign w:val="center"/>
          </w:tcPr>
          <w:p>
            <w:pPr>
              <w:jc w:val="left"/>
              <w:rPr>
                <w:rFonts w:hint="default"/>
                <w:color w:val="auto"/>
                <w:lang w:val="en-US" w:eastAsia="zh-CN"/>
              </w:rPr>
            </w:pPr>
            <w:r>
              <w:rPr>
                <w:rFonts w:hint="eastAsia" w:cs="Times New Roman"/>
                <w:color w:val="auto"/>
                <w:kern w:val="2"/>
                <w:sz w:val="21"/>
                <w:szCs w:val="21"/>
                <w:lang w:val="en-US" w:eastAsia="zh-CN" w:bidi="ar-SA"/>
              </w:rPr>
              <w:t>客户权益保障</w:t>
            </w:r>
          </w:p>
        </w:tc>
        <w:tc>
          <w:tcPr>
            <w:tcW w:w="1142" w:type="pct"/>
            <w:noWrap w:val="0"/>
            <w:vAlign w:val="center"/>
          </w:tcPr>
          <w:p>
            <w:pPr>
              <w:jc w:val="center"/>
              <w:rPr>
                <w:rFonts w:hint="default"/>
                <w:color w:val="auto"/>
                <w:lang w:val="en-US" w:eastAsia="zh-CN"/>
              </w:rPr>
            </w:pPr>
            <w:r>
              <w:rPr>
                <w:rFonts w:hint="eastAsia"/>
                <w:color w:val="auto"/>
                <w:lang w:val="en-US" w:eastAsia="zh-CN"/>
              </w:rPr>
              <w:t>企业应披露客户的投诉量、投诉应对机制及投诉解决数量</w:t>
            </w:r>
          </w:p>
        </w:tc>
        <w:tc>
          <w:tcPr>
            <w:tcW w:w="1114" w:type="pct"/>
            <w:noWrap w:val="0"/>
            <w:vAlign w:val="center"/>
          </w:tcPr>
          <w:p>
            <w:pPr>
              <w:jc w:val="center"/>
              <w:rPr>
                <w:rFonts w:hint="eastAsia"/>
                <w:color w:val="auto"/>
                <w:lang w:val="en-US" w:eastAsia="zh-CN"/>
              </w:rPr>
            </w:pPr>
            <w:r>
              <w:rPr>
                <w:rFonts w:hint="eastAsia"/>
                <w:color w:val="auto"/>
                <w:lang w:val="en-US" w:eastAsia="zh-CN"/>
              </w:rPr>
              <w:t>企业无相关信息披露得0分，披露部分指标得10分，披露全部相关信息得20分；</w:t>
            </w:r>
          </w:p>
        </w:tc>
        <w:tc>
          <w:tcPr>
            <w:tcW w:w="193" w:type="pct"/>
            <w:noWrap w:val="0"/>
            <w:vAlign w:val="center"/>
          </w:tcPr>
          <w:p>
            <w:pPr>
              <w:jc w:val="center"/>
              <w:rPr>
                <w:rFonts w:hint="default"/>
                <w:color w:val="auto"/>
                <w:lang w:val="en-US" w:eastAsia="zh-CN"/>
              </w:rPr>
            </w:pPr>
            <w:r>
              <w:rPr>
                <w:rFonts w:hint="eastAsia"/>
                <w:color w:val="auto"/>
                <w:lang w:val="en-US" w:eastAsia="zh-CN"/>
              </w:rPr>
              <w:t>20</w:t>
            </w:r>
          </w:p>
        </w:tc>
        <w:tc>
          <w:tcPr>
            <w:tcW w:w="203" w:type="pct"/>
            <w:vMerge w:val="continue"/>
            <w:noWrap w:val="0"/>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54</w:t>
            </w:r>
          </w:p>
        </w:tc>
        <w:tc>
          <w:tcPr>
            <w:tcW w:w="268" w:type="pct"/>
            <w:vMerge w:val="continue"/>
            <w:noWrap w:val="0"/>
            <w:vAlign w:val="center"/>
          </w:tcPr>
          <w:p>
            <w:pPr>
              <w:jc w:val="center"/>
              <w:rPr>
                <w:b/>
                <w:bCs/>
                <w:color w:val="auto"/>
              </w:rPr>
            </w:pPr>
          </w:p>
        </w:tc>
        <w:tc>
          <w:tcPr>
            <w:tcW w:w="403" w:type="pct"/>
            <w:vMerge w:val="restart"/>
            <w:noWrap w:val="0"/>
            <w:vAlign w:val="center"/>
          </w:tcPr>
          <w:p>
            <w:pPr>
              <w:jc w:val="center"/>
              <w:rPr>
                <w:rFonts w:hint="default" w:eastAsia="宋体"/>
                <w:color w:val="auto"/>
                <w:lang w:val="en-US" w:eastAsia="zh-CN"/>
              </w:rPr>
            </w:pPr>
            <w:r>
              <w:rPr>
                <w:rFonts w:hint="eastAsia"/>
                <w:color w:val="auto"/>
                <w:lang w:val="en-US" w:eastAsia="zh-CN"/>
              </w:rPr>
              <w:t>供应链管理</w:t>
            </w:r>
          </w:p>
        </w:tc>
        <w:tc>
          <w:tcPr>
            <w:tcW w:w="557" w:type="pct"/>
            <w:vMerge w:val="restar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供应商管理</w:t>
            </w:r>
          </w:p>
        </w:tc>
        <w:tc>
          <w:tcPr>
            <w:tcW w:w="910" w:type="pct"/>
            <w:noWrap w:val="0"/>
            <w:vAlign w:val="center"/>
          </w:tcPr>
          <w:p>
            <w:pPr>
              <w:jc w:val="left"/>
              <w:rPr>
                <w:rFonts w:hint="default"/>
                <w:color w:val="auto"/>
                <w:lang w:val="en-US" w:eastAsia="zh-CN"/>
              </w:rPr>
            </w:pPr>
            <w:r>
              <w:rPr>
                <w:rFonts w:hint="eastAsia"/>
                <w:color w:val="auto"/>
                <w:lang w:val="en-US" w:eastAsia="zh-CN"/>
              </w:rPr>
              <w:t>供应商选择与管理</w:t>
            </w:r>
          </w:p>
        </w:tc>
        <w:tc>
          <w:tcPr>
            <w:tcW w:w="1142" w:type="pct"/>
            <w:noWrap w:val="0"/>
            <w:vAlign w:val="center"/>
          </w:tcPr>
          <w:p>
            <w:pPr>
              <w:jc w:val="center"/>
              <w:rPr>
                <w:rFonts w:hint="default"/>
                <w:color w:val="auto"/>
                <w:lang w:val="en-US" w:eastAsia="zh-CN"/>
              </w:rPr>
            </w:pPr>
            <w:r>
              <w:rPr>
                <w:rFonts w:hint="eastAsia"/>
                <w:color w:val="auto"/>
                <w:lang w:val="en-US" w:eastAsia="zh-CN"/>
              </w:rPr>
              <w:t>企业应具备供应商选择要求及管理考核办法等</w:t>
            </w:r>
          </w:p>
        </w:tc>
        <w:tc>
          <w:tcPr>
            <w:tcW w:w="1114" w:type="pct"/>
            <w:noWrap w:val="0"/>
            <w:vAlign w:val="center"/>
          </w:tcPr>
          <w:p>
            <w:pPr>
              <w:jc w:val="center"/>
              <w:rPr>
                <w:rFonts w:hint="default"/>
                <w:color w:val="auto"/>
                <w:lang w:val="en-US" w:eastAsia="zh-CN"/>
              </w:rPr>
            </w:pPr>
            <w:r>
              <w:rPr>
                <w:rFonts w:hint="eastAsia"/>
                <w:color w:val="auto"/>
                <w:lang w:val="en-US" w:eastAsia="zh-CN"/>
              </w:rPr>
              <w:t>企业不具备供应商选择要求或管理考核办法得0分；具备得30分；</w:t>
            </w:r>
          </w:p>
        </w:tc>
        <w:tc>
          <w:tcPr>
            <w:tcW w:w="193" w:type="pct"/>
            <w:noWrap w:val="0"/>
            <w:vAlign w:val="center"/>
          </w:tcPr>
          <w:p>
            <w:pPr>
              <w:jc w:val="center"/>
              <w:rPr>
                <w:rFonts w:hint="default"/>
                <w:color w:val="auto"/>
                <w:lang w:val="en-US" w:eastAsia="zh-CN"/>
              </w:rPr>
            </w:pPr>
            <w:r>
              <w:rPr>
                <w:rFonts w:hint="eastAsia"/>
                <w:color w:val="auto"/>
                <w:lang w:val="en-US" w:eastAsia="zh-CN"/>
              </w:rPr>
              <w:t>30</w:t>
            </w:r>
          </w:p>
        </w:tc>
        <w:tc>
          <w:tcPr>
            <w:tcW w:w="203" w:type="pct"/>
            <w:vMerge w:val="restart"/>
            <w:noWrap w:val="0"/>
            <w:vAlign w:val="center"/>
          </w:tcPr>
          <w:p>
            <w:pPr>
              <w:jc w:val="center"/>
              <w:rPr>
                <w:rFonts w:hint="eastAsia"/>
                <w:color w:val="auto"/>
                <w:lang w:val="en-US" w:eastAsia="zh-CN"/>
              </w:rPr>
            </w:pPr>
            <w:r>
              <w:rPr>
                <w:rFonts w:hint="eastAsia" w:cs="Times New Roman"/>
                <w:color w:val="auto"/>
                <w:kern w:val="2"/>
                <w:sz w:val="21"/>
                <w:szCs w:val="21"/>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55</w:t>
            </w:r>
          </w:p>
        </w:tc>
        <w:tc>
          <w:tcPr>
            <w:tcW w:w="268" w:type="pct"/>
            <w:vMerge w:val="continue"/>
            <w:noWrap w:val="0"/>
            <w:vAlign w:val="center"/>
          </w:tcPr>
          <w:p>
            <w:pPr>
              <w:jc w:val="center"/>
              <w:rPr>
                <w:b/>
                <w:bCs/>
                <w:color w:val="auto"/>
              </w:rPr>
            </w:pPr>
          </w:p>
        </w:tc>
        <w:tc>
          <w:tcPr>
            <w:tcW w:w="403" w:type="pct"/>
            <w:vMerge w:val="continue"/>
            <w:noWrap w:val="0"/>
            <w:vAlign w:val="center"/>
          </w:tcPr>
          <w:p>
            <w:pPr>
              <w:jc w:val="center"/>
              <w:rPr>
                <w:color w:val="auto"/>
              </w:rPr>
            </w:pPr>
          </w:p>
        </w:tc>
        <w:tc>
          <w:tcPr>
            <w:tcW w:w="557" w:type="pct"/>
            <w:vMerge w:val="continue"/>
            <w:noWrap w:val="0"/>
            <w:vAlign w:val="center"/>
          </w:tcPr>
          <w:p>
            <w:pPr>
              <w:jc w:val="center"/>
              <w:rPr>
                <w:rFonts w:ascii="Times New Roman" w:hAnsi="Times New Roman" w:eastAsia="宋体" w:cs="Times New Roman"/>
                <w:color w:val="auto"/>
                <w:kern w:val="2"/>
                <w:sz w:val="21"/>
                <w:szCs w:val="21"/>
                <w:lang w:val="en-US" w:eastAsia="zh-CN" w:bidi="ar-SA"/>
              </w:rPr>
            </w:pPr>
          </w:p>
        </w:tc>
        <w:tc>
          <w:tcPr>
            <w:tcW w:w="910" w:type="pct"/>
            <w:noWrap w:val="0"/>
            <w:vAlign w:val="center"/>
          </w:tcPr>
          <w:p>
            <w:pPr>
              <w:jc w:val="left"/>
              <w:rPr>
                <w:rFonts w:hint="default"/>
                <w:color w:val="auto"/>
                <w:lang w:val="en-US" w:eastAsia="zh-CN"/>
              </w:rPr>
            </w:pPr>
            <w:r>
              <w:rPr>
                <w:rFonts w:hint="eastAsia"/>
                <w:color w:val="auto"/>
                <w:lang w:val="en-US" w:eastAsia="zh-CN"/>
              </w:rPr>
              <w:t>供应商ESG战略</w:t>
            </w:r>
          </w:p>
        </w:tc>
        <w:tc>
          <w:tcPr>
            <w:tcW w:w="1142" w:type="pct"/>
            <w:noWrap w:val="0"/>
            <w:vAlign w:val="center"/>
          </w:tcPr>
          <w:p>
            <w:pPr>
              <w:jc w:val="center"/>
              <w:rPr>
                <w:rFonts w:hint="default"/>
                <w:color w:val="auto"/>
                <w:lang w:val="en-US" w:eastAsia="zh-CN"/>
              </w:rPr>
            </w:pPr>
            <w:r>
              <w:rPr>
                <w:rFonts w:hint="eastAsia"/>
                <w:color w:val="auto"/>
                <w:lang w:val="en-US" w:eastAsia="zh-CN"/>
              </w:rPr>
              <w:t>企业主要供应商清楚并遵循ESG理念，执行ESG战略的供应商占比</w:t>
            </w:r>
          </w:p>
        </w:tc>
        <w:tc>
          <w:tcPr>
            <w:tcW w:w="1114" w:type="pct"/>
            <w:noWrap w:val="0"/>
            <w:vAlign w:val="center"/>
          </w:tcPr>
          <w:p>
            <w:pPr>
              <w:jc w:val="center"/>
              <w:rPr>
                <w:rFonts w:hint="default"/>
                <w:color w:val="auto"/>
                <w:lang w:val="en-US" w:eastAsia="zh-CN"/>
              </w:rPr>
            </w:pPr>
            <w:r>
              <w:rPr>
                <w:rFonts w:hint="eastAsia"/>
                <w:color w:val="auto"/>
                <w:lang w:val="en-US" w:eastAsia="zh-CN"/>
              </w:rPr>
              <w:t>企业主要供应商不清楚ESG理念，也未遵循和执行ESG战略得0分，遵循并执行ESG战略得30分；</w:t>
            </w:r>
          </w:p>
        </w:tc>
        <w:tc>
          <w:tcPr>
            <w:tcW w:w="193" w:type="pct"/>
            <w:noWrap w:val="0"/>
            <w:vAlign w:val="center"/>
          </w:tcPr>
          <w:p>
            <w:pPr>
              <w:jc w:val="center"/>
              <w:rPr>
                <w:rFonts w:hint="default"/>
                <w:color w:val="auto"/>
                <w:lang w:val="en-US" w:eastAsia="zh-CN"/>
              </w:rPr>
            </w:pPr>
            <w:r>
              <w:rPr>
                <w:rFonts w:hint="eastAsia"/>
                <w:color w:val="auto"/>
                <w:lang w:val="en-US" w:eastAsia="zh-CN"/>
              </w:rPr>
              <w:t>30</w:t>
            </w:r>
          </w:p>
        </w:tc>
        <w:tc>
          <w:tcPr>
            <w:tcW w:w="203" w:type="pct"/>
            <w:vMerge w:val="continue"/>
            <w:noWrap w:val="0"/>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56</w:t>
            </w:r>
          </w:p>
        </w:tc>
        <w:tc>
          <w:tcPr>
            <w:tcW w:w="268" w:type="pct"/>
            <w:vMerge w:val="continue"/>
            <w:noWrap w:val="0"/>
            <w:vAlign w:val="center"/>
          </w:tcPr>
          <w:p>
            <w:pPr>
              <w:jc w:val="center"/>
              <w:rPr>
                <w:b/>
                <w:bCs/>
                <w:color w:val="auto"/>
              </w:rPr>
            </w:pPr>
          </w:p>
        </w:tc>
        <w:tc>
          <w:tcPr>
            <w:tcW w:w="403" w:type="pct"/>
            <w:vMerge w:val="continue"/>
            <w:noWrap w:val="0"/>
            <w:vAlign w:val="center"/>
          </w:tcPr>
          <w:p>
            <w:pPr>
              <w:jc w:val="center"/>
              <w:rPr>
                <w:color w:val="auto"/>
              </w:rPr>
            </w:pPr>
          </w:p>
        </w:tc>
        <w:tc>
          <w:tcPr>
            <w:tcW w:w="557" w:type="pct"/>
            <w:vMerge w:val="restar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供应链环节管理</w:t>
            </w:r>
          </w:p>
        </w:tc>
        <w:tc>
          <w:tcPr>
            <w:tcW w:w="910" w:type="pct"/>
            <w:noWrap w:val="0"/>
            <w:vAlign w:val="center"/>
          </w:tcPr>
          <w:p>
            <w:pPr>
              <w:jc w:val="left"/>
              <w:rPr>
                <w:rFonts w:hint="default"/>
                <w:color w:val="auto"/>
                <w:lang w:val="en-US" w:eastAsia="zh-CN"/>
              </w:rPr>
            </w:pPr>
            <w:r>
              <w:rPr>
                <w:rFonts w:hint="eastAsia"/>
                <w:color w:val="auto"/>
                <w:lang w:val="en-US" w:eastAsia="zh-CN"/>
              </w:rPr>
              <w:t>绿色供应链管理评价</w:t>
            </w:r>
          </w:p>
        </w:tc>
        <w:tc>
          <w:tcPr>
            <w:tcW w:w="1142" w:type="pct"/>
            <w:noWrap w:val="0"/>
            <w:vAlign w:val="center"/>
          </w:tcPr>
          <w:p>
            <w:pPr>
              <w:jc w:val="center"/>
              <w:rPr>
                <w:rFonts w:hint="default"/>
                <w:color w:val="auto"/>
                <w:lang w:val="en-US" w:eastAsia="zh-CN"/>
              </w:rPr>
            </w:pPr>
            <w:r>
              <w:rPr>
                <w:rFonts w:hint="eastAsia"/>
                <w:color w:val="auto"/>
                <w:lang w:val="en-US" w:eastAsia="zh-CN"/>
              </w:rPr>
              <w:t>企业应从原辅料绿色采购、清洁生产和绿色制造、能源转换和废弃物消纳处理等全生命周期进行评价</w:t>
            </w:r>
          </w:p>
        </w:tc>
        <w:tc>
          <w:tcPr>
            <w:tcW w:w="1114" w:type="pct"/>
            <w:noWrap w:val="0"/>
            <w:vAlign w:val="center"/>
          </w:tcPr>
          <w:p>
            <w:pPr>
              <w:jc w:val="center"/>
              <w:rPr>
                <w:rFonts w:hint="default"/>
                <w:color w:val="auto"/>
                <w:lang w:val="en-US" w:eastAsia="zh-CN"/>
              </w:rPr>
            </w:pPr>
            <w:r>
              <w:rPr>
                <w:rFonts w:hint="eastAsia"/>
                <w:color w:val="auto"/>
                <w:lang w:val="en-US" w:eastAsia="zh-CN"/>
              </w:rPr>
              <w:t>企业未开展绿色供应链管理及评价得0分，开展绿色供应链管理及评价得20分；</w:t>
            </w:r>
          </w:p>
        </w:tc>
        <w:tc>
          <w:tcPr>
            <w:tcW w:w="193" w:type="pct"/>
            <w:noWrap w:val="0"/>
            <w:vAlign w:val="center"/>
          </w:tcPr>
          <w:p>
            <w:pPr>
              <w:jc w:val="center"/>
              <w:rPr>
                <w:rFonts w:hint="default"/>
                <w:color w:val="auto"/>
                <w:lang w:val="en-US" w:eastAsia="zh-CN"/>
              </w:rPr>
            </w:pPr>
            <w:r>
              <w:rPr>
                <w:rFonts w:hint="eastAsia"/>
                <w:color w:val="auto"/>
                <w:lang w:val="en-US" w:eastAsia="zh-CN"/>
              </w:rPr>
              <w:t>20</w:t>
            </w:r>
          </w:p>
        </w:tc>
        <w:tc>
          <w:tcPr>
            <w:tcW w:w="203" w:type="pct"/>
            <w:vMerge w:val="continue"/>
            <w:noWrap w:val="0"/>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noWrap w:val="0"/>
            <w:vAlign w:val="center"/>
          </w:tcPr>
          <w:p>
            <w:pPr>
              <w:jc w:val="center"/>
              <w:rPr>
                <w:rFonts w:hint="eastAsia" w:ascii="Times New Roman" w:hAnsi="Times New Roman" w:eastAsia="宋体" w:cs="Times New Roman"/>
                <w:b/>
                <w:bCs/>
                <w:color w:val="auto"/>
                <w:kern w:val="2"/>
                <w:sz w:val="21"/>
                <w:szCs w:val="21"/>
                <w:lang w:val="en-US" w:eastAsia="zh-CN" w:bidi="ar-SA"/>
              </w:rPr>
            </w:pPr>
            <w:r>
              <w:rPr>
                <w:rFonts w:hint="eastAsia"/>
                <w:b/>
                <w:bCs/>
                <w:color w:val="auto"/>
                <w:lang w:val="en-US" w:eastAsia="zh-CN"/>
              </w:rPr>
              <w:t>57</w:t>
            </w:r>
          </w:p>
        </w:tc>
        <w:tc>
          <w:tcPr>
            <w:tcW w:w="268" w:type="pct"/>
            <w:vMerge w:val="continue"/>
            <w:noWrap w:val="0"/>
            <w:vAlign w:val="center"/>
          </w:tcPr>
          <w:p>
            <w:pPr>
              <w:jc w:val="center"/>
              <w:rPr>
                <w:b/>
                <w:bCs/>
                <w:color w:val="auto"/>
              </w:rPr>
            </w:pPr>
          </w:p>
        </w:tc>
        <w:tc>
          <w:tcPr>
            <w:tcW w:w="403" w:type="pct"/>
            <w:vMerge w:val="continue"/>
            <w:noWrap w:val="0"/>
            <w:vAlign w:val="center"/>
          </w:tcPr>
          <w:p>
            <w:pPr>
              <w:jc w:val="center"/>
              <w:rPr>
                <w:color w:val="auto"/>
              </w:rPr>
            </w:pPr>
          </w:p>
        </w:tc>
        <w:tc>
          <w:tcPr>
            <w:tcW w:w="557" w:type="pct"/>
            <w:vMerge w:val="continue"/>
            <w:noWrap w:val="0"/>
            <w:vAlign w:val="center"/>
          </w:tcPr>
          <w:p>
            <w:pPr>
              <w:jc w:val="center"/>
              <w:rPr>
                <w:rFonts w:hint="eastAsia" w:cs="Times New Roman"/>
                <w:color w:val="auto"/>
                <w:kern w:val="2"/>
                <w:sz w:val="21"/>
                <w:szCs w:val="21"/>
                <w:lang w:val="en-US" w:eastAsia="zh-CN" w:bidi="ar-SA"/>
              </w:rPr>
            </w:pPr>
          </w:p>
        </w:tc>
        <w:tc>
          <w:tcPr>
            <w:tcW w:w="910" w:type="pct"/>
            <w:noWrap w:val="0"/>
            <w:vAlign w:val="center"/>
          </w:tcPr>
          <w:p>
            <w:pPr>
              <w:jc w:val="left"/>
              <w:rPr>
                <w:rFonts w:hint="default"/>
                <w:color w:val="auto"/>
                <w:lang w:val="en-US" w:eastAsia="zh-CN"/>
              </w:rPr>
            </w:pPr>
            <w:r>
              <w:rPr>
                <w:rFonts w:hint="eastAsia"/>
                <w:color w:val="auto"/>
                <w:lang w:val="en-US" w:eastAsia="zh-CN"/>
              </w:rPr>
              <w:t>供应链安全管理</w:t>
            </w:r>
          </w:p>
        </w:tc>
        <w:tc>
          <w:tcPr>
            <w:tcW w:w="1142" w:type="pct"/>
            <w:noWrap w:val="0"/>
            <w:vAlign w:val="center"/>
          </w:tcPr>
          <w:p>
            <w:pPr>
              <w:jc w:val="center"/>
              <w:rPr>
                <w:rFonts w:hint="default"/>
                <w:color w:val="auto"/>
                <w:lang w:val="en-US" w:eastAsia="zh-CN"/>
              </w:rPr>
            </w:pPr>
            <w:r>
              <w:rPr>
                <w:rFonts w:hint="eastAsia"/>
                <w:color w:val="auto"/>
                <w:lang w:val="en-US" w:eastAsia="zh-CN"/>
              </w:rPr>
              <w:t>企业应具备铁矿、废钢铁等大宗原料供应安全保障措施</w:t>
            </w:r>
          </w:p>
        </w:tc>
        <w:tc>
          <w:tcPr>
            <w:tcW w:w="1114" w:type="pct"/>
            <w:noWrap w:val="0"/>
            <w:vAlign w:val="center"/>
          </w:tcPr>
          <w:p>
            <w:pPr>
              <w:jc w:val="center"/>
              <w:rPr>
                <w:rFonts w:hint="default"/>
                <w:color w:val="auto"/>
                <w:lang w:val="en-US" w:eastAsia="zh-CN"/>
              </w:rPr>
            </w:pPr>
            <w:r>
              <w:rPr>
                <w:rFonts w:hint="eastAsia"/>
                <w:color w:val="auto"/>
                <w:lang w:val="en-US" w:eastAsia="zh-CN"/>
              </w:rPr>
              <w:t>企业不具备大宗原料供应安全保障措施得0分；具备保障措施得20分；</w:t>
            </w:r>
          </w:p>
        </w:tc>
        <w:tc>
          <w:tcPr>
            <w:tcW w:w="193" w:type="pct"/>
            <w:noWrap w:val="0"/>
            <w:vAlign w:val="center"/>
          </w:tcPr>
          <w:p>
            <w:pPr>
              <w:jc w:val="center"/>
              <w:rPr>
                <w:rFonts w:hint="default"/>
                <w:color w:val="auto"/>
                <w:lang w:val="en-US" w:eastAsia="zh-CN"/>
              </w:rPr>
            </w:pPr>
            <w:r>
              <w:rPr>
                <w:rFonts w:hint="eastAsia"/>
                <w:color w:val="auto"/>
                <w:lang w:val="en-US" w:eastAsia="zh-CN"/>
              </w:rPr>
              <w:t>20</w:t>
            </w:r>
          </w:p>
        </w:tc>
        <w:tc>
          <w:tcPr>
            <w:tcW w:w="203" w:type="pct"/>
            <w:vMerge w:val="continue"/>
            <w:noWrap w:val="0"/>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58</w:t>
            </w:r>
          </w:p>
        </w:tc>
        <w:tc>
          <w:tcPr>
            <w:tcW w:w="268" w:type="pct"/>
            <w:vMerge w:val="continue"/>
            <w:noWrap w:val="0"/>
            <w:vAlign w:val="center"/>
          </w:tcPr>
          <w:p>
            <w:pPr>
              <w:jc w:val="center"/>
              <w:rPr>
                <w:b/>
                <w:bCs/>
                <w:color w:val="auto"/>
              </w:rPr>
            </w:pPr>
          </w:p>
        </w:tc>
        <w:tc>
          <w:tcPr>
            <w:tcW w:w="403" w:type="pct"/>
            <w:vMerge w:val="restart"/>
            <w:noWrap w:val="0"/>
            <w:vAlign w:val="center"/>
          </w:tcPr>
          <w:p>
            <w:pPr>
              <w:jc w:val="center"/>
              <w:rPr>
                <w:rFonts w:hint="default" w:eastAsia="宋体"/>
                <w:color w:val="auto"/>
                <w:lang w:val="en-US" w:eastAsia="zh-CN"/>
              </w:rPr>
            </w:pPr>
            <w:r>
              <w:rPr>
                <w:rFonts w:hint="eastAsia"/>
                <w:color w:val="auto"/>
                <w:lang w:val="en-US" w:eastAsia="zh-CN"/>
              </w:rPr>
              <w:t>社会响应</w:t>
            </w:r>
          </w:p>
        </w:tc>
        <w:tc>
          <w:tcPr>
            <w:tcW w:w="557" w:type="pct"/>
            <w:vMerge w:val="restar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社区关系处理</w:t>
            </w:r>
          </w:p>
        </w:tc>
        <w:tc>
          <w:tcPr>
            <w:tcW w:w="910" w:type="pct"/>
            <w:noWrap w:val="0"/>
            <w:vAlign w:val="center"/>
          </w:tcPr>
          <w:p>
            <w:pPr>
              <w:jc w:val="left"/>
              <w:rPr>
                <w:rFonts w:hint="default"/>
                <w:color w:val="auto"/>
                <w:lang w:val="en-US" w:eastAsia="zh-CN"/>
              </w:rPr>
            </w:pPr>
            <w:r>
              <w:rPr>
                <w:rFonts w:hint="eastAsia"/>
                <w:color w:val="auto"/>
                <w:lang w:val="en-US" w:eastAsia="zh-CN"/>
              </w:rPr>
              <w:t>企业参与当地的经济和社会发展</w:t>
            </w:r>
          </w:p>
        </w:tc>
        <w:tc>
          <w:tcPr>
            <w:tcW w:w="1142" w:type="pct"/>
            <w:noWrap w:val="0"/>
            <w:vAlign w:val="center"/>
          </w:tcPr>
          <w:p>
            <w:pPr>
              <w:jc w:val="center"/>
              <w:rPr>
                <w:rFonts w:hint="default"/>
                <w:color w:val="auto"/>
                <w:lang w:val="en-US" w:eastAsia="zh-CN"/>
              </w:rPr>
            </w:pPr>
            <w:r>
              <w:rPr>
                <w:rFonts w:hint="eastAsia"/>
                <w:color w:val="auto"/>
                <w:lang w:val="en-US" w:eastAsia="zh-CN"/>
              </w:rPr>
              <w:t>企业应披露雇佣当地员工占比，上缴当地财政税收数值</w:t>
            </w:r>
          </w:p>
        </w:tc>
        <w:tc>
          <w:tcPr>
            <w:tcW w:w="1114"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企业无相关信息披露得0分，披露相关信息得15分，披露相关信息且获当地政府重点表彰的得25分；</w:t>
            </w:r>
          </w:p>
        </w:tc>
        <w:tc>
          <w:tcPr>
            <w:tcW w:w="193" w:type="pct"/>
            <w:noWrap w:val="0"/>
            <w:vAlign w:val="center"/>
          </w:tcPr>
          <w:p>
            <w:pPr>
              <w:jc w:val="center"/>
              <w:rPr>
                <w:rFonts w:hint="default"/>
                <w:color w:val="auto"/>
                <w:lang w:val="en-US" w:eastAsia="zh-CN"/>
              </w:rPr>
            </w:pPr>
            <w:r>
              <w:rPr>
                <w:rFonts w:hint="eastAsia"/>
                <w:color w:val="auto"/>
                <w:lang w:val="en-US" w:eastAsia="zh-CN"/>
              </w:rPr>
              <w:t>25</w:t>
            </w:r>
          </w:p>
        </w:tc>
        <w:tc>
          <w:tcPr>
            <w:tcW w:w="203" w:type="pct"/>
            <w:vMerge w:val="restart"/>
            <w:noWrap w:val="0"/>
            <w:vAlign w:val="center"/>
          </w:tcPr>
          <w:p>
            <w:pPr>
              <w:jc w:val="center"/>
              <w:rPr>
                <w:rFonts w:hint="eastAsia"/>
                <w:color w:val="auto"/>
                <w:lang w:val="en-US" w:eastAsia="zh-CN"/>
              </w:rPr>
            </w:pPr>
            <w:r>
              <w:rPr>
                <w:rFonts w:hint="eastAsia" w:cs="Times New Roman"/>
                <w:color w:val="auto"/>
                <w:kern w:val="2"/>
                <w:sz w:val="21"/>
                <w:szCs w:val="21"/>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59</w:t>
            </w:r>
          </w:p>
        </w:tc>
        <w:tc>
          <w:tcPr>
            <w:tcW w:w="268" w:type="pct"/>
            <w:vMerge w:val="continue"/>
            <w:noWrap w:val="0"/>
            <w:vAlign w:val="center"/>
          </w:tcPr>
          <w:p>
            <w:pPr>
              <w:jc w:val="center"/>
              <w:rPr>
                <w:b/>
                <w:bCs/>
                <w:color w:val="auto"/>
              </w:rPr>
            </w:pPr>
          </w:p>
        </w:tc>
        <w:tc>
          <w:tcPr>
            <w:tcW w:w="403" w:type="pct"/>
            <w:vMerge w:val="continue"/>
            <w:noWrap w:val="0"/>
            <w:vAlign w:val="center"/>
          </w:tcPr>
          <w:p>
            <w:pPr>
              <w:jc w:val="center"/>
              <w:rPr>
                <w:color w:val="auto"/>
              </w:rPr>
            </w:pPr>
          </w:p>
        </w:tc>
        <w:tc>
          <w:tcPr>
            <w:tcW w:w="557" w:type="pct"/>
            <w:vMerge w:val="continue"/>
            <w:noWrap w:val="0"/>
            <w:vAlign w:val="center"/>
          </w:tcPr>
          <w:p>
            <w:pPr>
              <w:jc w:val="center"/>
              <w:rPr>
                <w:rFonts w:ascii="Times New Roman" w:hAnsi="Times New Roman" w:eastAsia="宋体" w:cs="Times New Roman"/>
                <w:color w:val="auto"/>
                <w:kern w:val="2"/>
                <w:sz w:val="21"/>
                <w:szCs w:val="21"/>
                <w:lang w:val="en-US" w:eastAsia="zh-CN" w:bidi="ar-SA"/>
              </w:rPr>
            </w:pPr>
          </w:p>
        </w:tc>
        <w:tc>
          <w:tcPr>
            <w:tcW w:w="910" w:type="pct"/>
            <w:noWrap w:val="0"/>
            <w:vAlign w:val="center"/>
          </w:tcPr>
          <w:p>
            <w:pPr>
              <w:jc w:val="left"/>
              <w:rPr>
                <w:rFonts w:hint="default" w:eastAsia="宋体"/>
                <w:color w:val="auto"/>
                <w:lang w:val="en-US" w:eastAsia="zh-CN"/>
              </w:rPr>
            </w:pPr>
            <w:r>
              <w:rPr>
                <w:rFonts w:hint="eastAsia"/>
                <w:color w:val="auto"/>
                <w:lang w:val="en-US" w:eastAsia="zh-CN"/>
              </w:rPr>
              <w:t>企业与周边居民的和谐共融</w:t>
            </w:r>
          </w:p>
        </w:tc>
        <w:tc>
          <w:tcPr>
            <w:tcW w:w="1142" w:type="pc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企业应积极改善自身环境，以及为周边居民提供余热余能等</w:t>
            </w:r>
          </w:p>
        </w:tc>
        <w:tc>
          <w:tcPr>
            <w:tcW w:w="1114" w:type="pct"/>
            <w:noWrap w:val="0"/>
            <w:vAlign w:val="center"/>
          </w:tcPr>
          <w:p>
            <w:pPr>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企业环境没有明显改善，且未实施供暖供热的得0分，环境明显改善或实施供暖供热的得15分，环境明显改善且实施供暖供热的得25分；</w:t>
            </w:r>
          </w:p>
        </w:tc>
        <w:tc>
          <w:tcPr>
            <w:tcW w:w="193" w:type="pct"/>
            <w:noWrap w:val="0"/>
            <w:vAlign w:val="center"/>
          </w:tcPr>
          <w:p>
            <w:pPr>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25</w:t>
            </w:r>
          </w:p>
        </w:tc>
        <w:tc>
          <w:tcPr>
            <w:tcW w:w="203" w:type="pct"/>
            <w:vMerge w:val="continue"/>
            <w:noWrap w:val="0"/>
            <w:vAlign w:val="center"/>
          </w:tcPr>
          <w:p>
            <w:pPr>
              <w:jc w:val="center"/>
              <w:rPr>
                <w:rFonts w:hint="eastAsia"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60</w:t>
            </w:r>
          </w:p>
        </w:tc>
        <w:tc>
          <w:tcPr>
            <w:tcW w:w="268" w:type="pct"/>
            <w:vMerge w:val="continue"/>
            <w:noWrap w:val="0"/>
            <w:vAlign w:val="center"/>
          </w:tcPr>
          <w:p>
            <w:pPr>
              <w:jc w:val="center"/>
              <w:rPr>
                <w:b/>
                <w:bCs/>
                <w:color w:val="auto"/>
              </w:rPr>
            </w:pPr>
          </w:p>
        </w:tc>
        <w:tc>
          <w:tcPr>
            <w:tcW w:w="403" w:type="pct"/>
            <w:vMerge w:val="continue"/>
            <w:noWrap w:val="0"/>
            <w:vAlign w:val="center"/>
          </w:tcPr>
          <w:p>
            <w:pPr>
              <w:jc w:val="center"/>
              <w:rPr>
                <w:color w:val="auto"/>
              </w:rPr>
            </w:pPr>
          </w:p>
        </w:tc>
        <w:tc>
          <w:tcPr>
            <w:tcW w:w="557" w:type="pct"/>
            <w:vMerge w:val="restart"/>
            <w:noWrap w:val="0"/>
            <w:vAlign w:val="center"/>
          </w:tcPr>
          <w:p>
            <w:pPr>
              <w:jc w:val="center"/>
              <w:rPr>
                <w:rFonts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社会公益活动</w:t>
            </w:r>
          </w:p>
        </w:tc>
        <w:tc>
          <w:tcPr>
            <w:tcW w:w="910" w:type="pct"/>
            <w:noWrap w:val="0"/>
            <w:vAlign w:val="center"/>
          </w:tcPr>
          <w:p>
            <w:pPr>
              <w:jc w:val="left"/>
              <w:rPr>
                <w:rFonts w:hint="eastAsia" w:ascii="Times New Roman" w:hAnsi="Times New Roman" w:eastAsia="宋体" w:cs="Times New Roman"/>
                <w:color w:val="auto"/>
                <w:kern w:val="2"/>
                <w:sz w:val="21"/>
                <w:szCs w:val="21"/>
                <w:lang w:val="en-US" w:eastAsia="zh-CN" w:bidi="ar-SA"/>
              </w:rPr>
            </w:pPr>
            <w:r>
              <w:rPr>
                <w:rFonts w:hint="eastAsia" w:ascii="宋体" w:hAnsi="宋体" w:cs="宋体"/>
                <w:color w:val="auto"/>
                <w:kern w:val="0"/>
                <w:lang w:bidi="ar"/>
              </w:rPr>
              <w:t>慈善捐赠总额</w:t>
            </w:r>
          </w:p>
        </w:tc>
        <w:tc>
          <w:tcPr>
            <w:tcW w:w="1142"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企业应积极参与社会公益慈善，并披露捐赠总额</w:t>
            </w:r>
          </w:p>
        </w:tc>
        <w:tc>
          <w:tcPr>
            <w:tcW w:w="1114" w:type="pct"/>
            <w:noWrap w:val="0"/>
            <w:vAlign w:val="center"/>
          </w:tcPr>
          <w:p>
            <w:pPr>
              <w:jc w:val="center"/>
              <w:rPr>
                <w:rFonts w:hint="default"/>
                <w:color w:val="auto"/>
                <w:lang w:val="en-US" w:eastAsia="zh-CN"/>
              </w:rPr>
            </w:pPr>
            <w:r>
              <w:rPr>
                <w:rFonts w:hint="eastAsia"/>
                <w:color w:val="auto"/>
                <w:lang w:val="en-US" w:eastAsia="zh-CN"/>
              </w:rPr>
              <w:t>企业未参与社会公益慈善捐赠得0分，企业参与社会公益慈善捐赠并披露得3分，企业参与社会公益慈善捐赠且数额较大或授予荣誉称号的得5分；</w:t>
            </w:r>
          </w:p>
        </w:tc>
        <w:tc>
          <w:tcPr>
            <w:tcW w:w="193" w:type="pct"/>
            <w:noWrap w:val="0"/>
            <w:vAlign w:val="center"/>
          </w:tcPr>
          <w:p>
            <w:pPr>
              <w:jc w:val="center"/>
              <w:rPr>
                <w:rFonts w:hint="default"/>
                <w:color w:val="auto"/>
                <w:lang w:val="en-US" w:eastAsia="zh-CN"/>
              </w:rPr>
            </w:pPr>
            <w:r>
              <w:rPr>
                <w:rFonts w:hint="eastAsia"/>
                <w:color w:val="auto"/>
                <w:lang w:val="en-US" w:eastAsia="zh-CN"/>
              </w:rPr>
              <w:t>25</w:t>
            </w:r>
          </w:p>
        </w:tc>
        <w:tc>
          <w:tcPr>
            <w:tcW w:w="203" w:type="pct"/>
            <w:vMerge w:val="continue"/>
            <w:noWrap w:val="0"/>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61</w:t>
            </w:r>
          </w:p>
        </w:tc>
        <w:tc>
          <w:tcPr>
            <w:tcW w:w="268" w:type="pct"/>
            <w:vMerge w:val="continue"/>
            <w:noWrap w:val="0"/>
            <w:vAlign w:val="center"/>
          </w:tcPr>
          <w:p>
            <w:pPr>
              <w:jc w:val="center"/>
              <w:rPr>
                <w:b/>
                <w:bCs/>
                <w:color w:val="auto"/>
              </w:rPr>
            </w:pPr>
          </w:p>
        </w:tc>
        <w:tc>
          <w:tcPr>
            <w:tcW w:w="403" w:type="pct"/>
            <w:vMerge w:val="continue"/>
            <w:noWrap w:val="0"/>
            <w:vAlign w:val="center"/>
          </w:tcPr>
          <w:p>
            <w:pPr>
              <w:jc w:val="center"/>
              <w:rPr>
                <w:color w:val="auto"/>
              </w:rPr>
            </w:pPr>
          </w:p>
        </w:tc>
        <w:tc>
          <w:tcPr>
            <w:tcW w:w="557" w:type="pct"/>
            <w:vMerge w:val="continue"/>
            <w:noWrap w:val="0"/>
            <w:vAlign w:val="center"/>
          </w:tcPr>
          <w:p>
            <w:pPr>
              <w:jc w:val="center"/>
              <w:rPr>
                <w:rFonts w:ascii="Times New Roman" w:hAnsi="Times New Roman" w:eastAsia="宋体" w:cs="Times New Roman"/>
                <w:color w:val="auto"/>
                <w:kern w:val="2"/>
                <w:sz w:val="21"/>
                <w:szCs w:val="21"/>
                <w:lang w:val="en-US" w:eastAsia="zh-CN" w:bidi="ar-SA"/>
              </w:rPr>
            </w:pPr>
          </w:p>
        </w:tc>
        <w:tc>
          <w:tcPr>
            <w:tcW w:w="910" w:type="pct"/>
            <w:noWrap w:val="0"/>
            <w:vAlign w:val="center"/>
          </w:tcPr>
          <w:p>
            <w:pPr>
              <w:jc w:val="left"/>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参与公益活动</w:t>
            </w:r>
          </w:p>
        </w:tc>
        <w:tc>
          <w:tcPr>
            <w:tcW w:w="1142"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企业应积极参与</w:t>
            </w:r>
            <w:r>
              <w:rPr>
                <w:rFonts w:hint="eastAsia" w:cs="Times New Roman"/>
                <w:color w:val="auto"/>
                <w:kern w:val="2"/>
                <w:sz w:val="21"/>
                <w:szCs w:val="21"/>
                <w:lang w:val="en-US" w:eastAsia="zh-CN" w:bidi="ar-SA"/>
              </w:rPr>
              <w:t>救助灾害、救济贫困、捐资助学等公益活动</w:t>
            </w:r>
          </w:p>
        </w:tc>
        <w:tc>
          <w:tcPr>
            <w:tcW w:w="1114" w:type="pct"/>
            <w:noWrap w:val="0"/>
            <w:vAlign w:val="center"/>
          </w:tcPr>
          <w:p>
            <w:pPr>
              <w:jc w:val="center"/>
              <w:rPr>
                <w:rFonts w:hint="default"/>
                <w:color w:val="auto"/>
                <w:lang w:val="en-US" w:eastAsia="zh-CN"/>
              </w:rPr>
            </w:pPr>
            <w:r>
              <w:rPr>
                <w:rFonts w:hint="eastAsia"/>
                <w:color w:val="auto"/>
                <w:lang w:val="en-US" w:eastAsia="zh-CN"/>
              </w:rPr>
              <w:t>企业未参与相关公益活动的得0分，企业参与1项及以上的公益活动得3分，企业参与3项及以上得5分；</w:t>
            </w:r>
          </w:p>
        </w:tc>
        <w:tc>
          <w:tcPr>
            <w:tcW w:w="193" w:type="pct"/>
            <w:noWrap w:val="0"/>
            <w:vAlign w:val="center"/>
          </w:tcPr>
          <w:p>
            <w:pPr>
              <w:jc w:val="center"/>
              <w:rPr>
                <w:rFonts w:hint="default"/>
                <w:color w:val="auto"/>
                <w:lang w:val="en-US" w:eastAsia="zh-CN"/>
              </w:rPr>
            </w:pPr>
            <w:r>
              <w:rPr>
                <w:rFonts w:hint="eastAsia"/>
                <w:color w:val="auto"/>
                <w:lang w:val="en-US" w:eastAsia="zh-CN"/>
              </w:rPr>
              <w:t>25</w:t>
            </w:r>
          </w:p>
        </w:tc>
        <w:tc>
          <w:tcPr>
            <w:tcW w:w="203" w:type="pct"/>
            <w:vMerge w:val="continue"/>
            <w:noWrap w:val="0"/>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62</w:t>
            </w:r>
          </w:p>
        </w:tc>
        <w:tc>
          <w:tcPr>
            <w:tcW w:w="268" w:type="pct"/>
            <w:vMerge w:val="restart"/>
            <w:noWrap w:val="0"/>
            <w:vAlign w:val="center"/>
          </w:tcPr>
          <w:p>
            <w:pPr>
              <w:jc w:val="center"/>
              <w:rPr>
                <w:b/>
                <w:bCs/>
                <w:color w:val="auto"/>
              </w:rPr>
            </w:pPr>
            <w:r>
              <w:rPr>
                <w:rFonts w:hint="eastAsia"/>
                <w:color w:val="auto"/>
              </w:rPr>
              <w:t>治理（G）</w:t>
            </w:r>
          </w:p>
        </w:tc>
        <w:tc>
          <w:tcPr>
            <w:tcW w:w="403" w:type="pct"/>
            <w:vMerge w:val="restart"/>
            <w:noWrap w:val="0"/>
            <w:vAlign w:val="center"/>
          </w:tcPr>
          <w:p>
            <w:pPr>
              <w:jc w:val="center"/>
              <w:rPr>
                <w:rFonts w:hint="default" w:eastAsia="宋体"/>
                <w:color w:val="auto"/>
                <w:lang w:val="en-US" w:eastAsia="zh-CN"/>
              </w:rPr>
            </w:pPr>
            <w:r>
              <w:rPr>
                <w:rFonts w:hint="eastAsia"/>
                <w:color w:val="auto"/>
                <w:lang w:val="en-US" w:eastAsia="zh-CN"/>
              </w:rPr>
              <w:t>治理结构</w:t>
            </w:r>
          </w:p>
        </w:tc>
        <w:tc>
          <w:tcPr>
            <w:tcW w:w="557" w:type="pct"/>
            <w:vMerge w:val="restart"/>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三会一层</w:t>
            </w:r>
          </w:p>
        </w:tc>
        <w:tc>
          <w:tcPr>
            <w:tcW w:w="910" w:type="pct"/>
            <w:noWrap w:val="0"/>
            <w:vAlign w:val="center"/>
          </w:tcPr>
          <w:p>
            <w:pPr>
              <w:jc w:val="left"/>
              <w:rPr>
                <w:rFonts w:hint="default"/>
                <w:color w:val="auto"/>
                <w:highlight w:val="none"/>
                <w:lang w:val="en-US" w:eastAsia="zh-CN"/>
              </w:rPr>
            </w:pPr>
            <w:r>
              <w:rPr>
                <w:rFonts w:hint="eastAsia"/>
                <w:color w:val="auto"/>
                <w:highlight w:val="none"/>
                <w:lang w:val="en-US" w:eastAsia="zh-CN"/>
              </w:rPr>
              <w:t>具备股东大会、董事会和监事会的企业</w:t>
            </w:r>
          </w:p>
        </w:tc>
        <w:tc>
          <w:tcPr>
            <w:tcW w:w="1142" w:type="pct"/>
            <w:noWrap w:val="0"/>
            <w:vAlign w:val="center"/>
          </w:tcPr>
          <w:p>
            <w:pPr>
              <w:jc w:val="center"/>
              <w:rPr>
                <w:rFonts w:hint="default"/>
                <w:color w:val="auto"/>
                <w:highlight w:val="none"/>
                <w:lang w:val="en-US" w:eastAsia="zh-CN"/>
              </w:rPr>
            </w:pPr>
            <w:r>
              <w:rPr>
                <w:rFonts w:hint="eastAsia"/>
                <w:color w:val="auto"/>
                <w:highlight w:val="none"/>
                <w:lang w:val="en-US" w:eastAsia="zh-CN"/>
              </w:rPr>
              <w:t>企业应披露股东大会、董事会和监事会人员构成、人员名称和履历、持股情况等，并披露三会的议事规则、会议召开情况等</w:t>
            </w:r>
          </w:p>
        </w:tc>
        <w:tc>
          <w:tcPr>
            <w:tcW w:w="1114" w:type="pct"/>
            <w:noWrap w:val="0"/>
            <w:vAlign w:val="center"/>
          </w:tcPr>
          <w:p>
            <w:pPr>
              <w:jc w:val="center"/>
              <w:rPr>
                <w:rFonts w:hint="eastAsia"/>
                <w:color w:val="auto"/>
                <w:highlight w:val="none"/>
                <w:lang w:val="en-US" w:eastAsia="zh-CN"/>
              </w:rPr>
            </w:pPr>
            <w:r>
              <w:rPr>
                <w:rFonts w:hint="eastAsia"/>
                <w:color w:val="auto"/>
                <w:highlight w:val="none"/>
                <w:lang w:val="en-US" w:eastAsia="zh-CN"/>
              </w:rPr>
              <w:t>企业无相关信息披露得0分，披露部分指标得30分，披露全部相关信息得60分；</w:t>
            </w:r>
          </w:p>
        </w:tc>
        <w:tc>
          <w:tcPr>
            <w:tcW w:w="193" w:type="pct"/>
            <w:noWrap w:val="0"/>
            <w:vAlign w:val="center"/>
          </w:tcPr>
          <w:p>
            <w:pPr>
              <w:jc w:val="center"/>
              <w:rPr>
                <w:rFonts w:hint="default"/>
                <w:color w:val="auto"/>
                <w:highlight w:val="none"/>
                <w:lang w:val="en-US" w:eastAsia="zh-CN"/>
              </w:rPr>
            </w:pPr>
            <w:r>
              <w:rPr>
                <w:rFonts w:hint="eastAsia"/>
                <w:color w:val="auto"/>
                <w:highlight w:val="none"/>
                <w:lang w:val="en-US" w:eastAsia="zh-CN"/>
              </w:rPr>
              <w:t>60</w:t>
            </w:r>
          </w:p>
        </w:tc>
        <w:tc>
          <w:tcPr>
            <w:tcW w:w="203" w:type="pct"/>
            <w:vMerge w:val="restart"/>
            <w:noWrap w:val="0"/>
            <w:vAlign w:val="center"/>
          </w:tcPr>
          <w:p>
            <w:pPr>
              <w:jc w:val="center"/>
              <w:rPr>
                <w:rFonts w:hint="default"/>
                <w:color w:val="auto"/>
                <w:lang w:val="en-US" w:eastAsia="zh-CN"/>
              </w:rPr>
            </w:pPr>
            <w:r>
              <w:rPr>
                <w:rFonts w:hint="eastAsia"/>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noWrap w:val="0"/>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63</w:t>
            </w:r>
          </w:p>
        </w:tc>
        <w:tc>
          <w:tcPr>
            <w:tcW w:w="268" w:type="pct"/>
            <w:vMerge w:val="continue"/>
            <w:noWrap w:val="0"/>
            <w:vAlign w:val="center"/>
          </w:tcPr>
          <w:p>
            <w:pPr>
              <w:jc w:val="center"/>
              <w:rPr>
                <w:b/>
                <w:bCs/>
                <w:color w:val="auto"/>
              </w:rPr>
            </w:pPr>
          </w:p>
        </w:tc>
        <w:tc>
          <w:tcPr>
            <w:tcW w:w="403" w:type="pct"/>
            <w:vMerge w:val="continue"/>
            <w:noWrap w:val="0"/>
            <w:vAlign w:val="center"/>
          </w:tcPr>
          <w:p>
            <w:pPr>
              <w:jc w:val="center"/>
              <w:rPr>
                <w:color w:val="auto"/>
              </w:rPr>
            </w:pPr>
          </w:p>
        </w:tc>
        <w:tc>
          <w:tcPr>
            <w:tcW w:w="557" w:type="pct"/>
            <w:vMerge w:val="continue"/>
            <w:noWrap w:val="0"/>
            <w:vAlign w:val="center"/>
          </w:tcPr>
          <w:p>
            <w:pPr>
              <w:jc w:val="center"/>
              <w:rPr>
                <w:rFonts w:ascii="Times New Roman" w:hAnsi="Times New Roman" w:eastAsia="宋体" w:cs="Times New Roman"/>
                <w:color w:val="auto"/>
                <w:kern w:val="2"/>
                <w:sz w:val="21"/>
                <w:szCs w:val="21"/>
                <w:highlight w:val="none"/>
                <w:lang w:val="en-US" w:eastAsia="zh-CN" w:bidi="ar-SA"/>
              </w:rPr>
            </w:pPr>
          </w:p>
        </w:tc>
        <w:tc>
          <w:tcPr>
            <w:tcW w:w="910" w:type="pct"/>
            <w:noWrap w:val="0"/>
            <w:vAlign w:val="center"/>
          </w:tcPr>
          <w:p>
            <w:pPr>
              <w:jc w:val="left"/>
              <w:rPr>
                <w:rFonts w:hint="default"/>
                <w:color w:val="auto"/>
                <w:highlight w:val="none"/>
                <w:lang w:val="en-US" w:eastAsia="zh-CN"/>
              </w:rPr>
            </w:pPr>
            <w:r>
              <w:rPr>
                <w:rFonts w:hint="eastAsia"/>
                <w:color w:val="auto"/>
                <w:highlight w:val="none"/>
                <w:lang w:val="en-US" w:eastAsia="zh-CN"/>
              </w:rPr>
              <w:t>具有高级管理层的企业</w:t>
            </w:r>
          </w:p>
        </w:tc>
        <w:tc>
          <w:tcPr>
            <w:tcW w:w="1142" w:type="pct"/>
            <w:noWrap w:val="0"/>
            <w:vAlign w:val="center"/>
          </w:tcPr>
          <w:p>
            <w:pPr>
              <w:jc w:val="center"/>
              <w:rPr>
                <w:rFonts w:hint="default"/>
                <w:color w:val="auto"/>
                <w:highlight w:val="none"/>
                <w:lang w:val="en-US" w:eastAsia="zh-CN"/>
              </w:rPr>
            </w:pPr>
            <w:r>
              <w:rPr>
                <w:rFonts w:hint="eastAsia"/>
                <w:color w:val="auto"/>
                <w:highlight w:val="none"/>
                <w:lang w:val="en-US" w:eastAsia="zh-CN"/>
              </w:rPr>
              <w:t>企业应披露高级管理层人员名称和履历、任职，平均任期等</w:t>
            </w:r>
          </w:p>
        </w:tc>
        <w:tc>
          <w:tcPr>
            <w:tcW w:w="1114" w:type="pct"/>
            <w:noWrap w:val="0"/>
            <w:vAlign w:val="center"/>
          </w:tcPr>
          <w:p>
            <w:pPr>
              <w:jc w:val="center"/>
              <w:rPr>
                <w:rFonts w:hint="eastAsia"/>
                <w:color w:val="auto"/>
                <w:highlight w:val="none"/>
                <w:lang w:val="en-US" w:eastAsia="zh-CN"/>
              </w:rPr>
            </w:pPr>
            <w:r>
              <w:rPr>
                <w:rFonts w:hint="eastAsia"/>
                <w:color w:val="auto"/>
                <w:highlight w:val="none"/>
                <w:lang w:val="en-US" w:eastAsia="zh-CN"/>
              </w:rPr>
              <w:t>企业无相关信息披露得0分，披露部分指标得20分，披露全部相关信息得40分；</w:t>
            </w:r>
          </w:p>
        </w:tc>
        <w:tc>
          <w:tcPr>
            <w:tcW w:w="193" w:type="pct"/>
            <w:noWrap w:val="0"/>
            <w:vAlign w:val="center"/>
          </w:tcPr>
          <w:p>
            <w:pPr>
              <w:jc w:val="center"/>
              <w:rPr>
                <w:rFonts w:hint="default"/>
                <w:color w:val="auto"/>
                <w:highlight w:val="none"/>
                <w:lang w:val="en-US" w:eastAsia="zh-CN"/>
              </w:rPr>
            </w:pPr>
            <w:r>
              <w:rPr>
                <w:rFonts w:hint="eastAsia"/>
                <w:color w:val="auto"/>
                <w:highlight w:val="none"/>
                <w:lang w:val="en-US" w:eastAsia="zh-CN"/>
              </w:rPr>
              <w:t>40</w:t>
            </w:r>
          </w:p>
        </w:tc>
        <w:tc>
          <w:tcPr>
            <w:tcW w:w="203" w:type="pct"/>
            <w:vMerge w:val="continue"/>
            <w:noWrap w:val="0"/>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64</w:t>
            </w:r>
          </w:p>
        </w:tc>
        <w:tc>
          <w:tcPr>
            <w:tcW w:w="268" w:type="pct"/>
            <w:vMerge w:val="continue"/>
            <w:vAlign w:val="center"/>
          </w:tcPr>
          <w:p>
            <w:pPr>
              <w:jc w:val="center"/>
              <w:rPr>
                <w:b/>
                <w:bCs/>
                <w:color w:val="auto"/>
              </w:rPr>
            </w:pPr>
          </w:p>
        </w:tc>
        <w:tc>
          <w:tcPr>
            <w:tcW w:w="403" w:type="pct"/>
            <w:vMerge w:val="continue"/>
            <w:vAlign w:val="center"/>
          </w:tcPr>
          <w:p>
            <w:pPr>
              <w:jc w:val="center"/>
              <w:rPr>
                <w:color w:val="auto"/>
              </w:rPr>
            </w:pPr>
          </w:p>
        </w:tc>
        <w:tc>
          <w:tcPr>
            <w:tcW w:w="557" w:type="pct"/>
            <w:vAlign w:val="center"/>
          </w:tcPr>
          <w:p>
            <w:pPr>
              <w:jc w:val="center"/>
              <w:rPr>
                <w:rFonts w:hint="default" w:eastAsia="宋体"/>
                <w:color w:val="auto"/>
                <w:lang w:val="en-US" w:eastAsia="zh-CN"/>
              </w:rPr>
            </w:pPr>
            <w:r>
              <w:rPr>
                <w:rFonts w:hint="eastAsia"/>
                <w:color w:val="auto"/>
                <w:lang w:val="en-US" w:eastAsia="zh-CN"/>
              </w:rPr>
              <w:t>其他最高治理机构</w:t>
            </w:r>
          </w:p>
        </w:tc>
        <w:tc>
          <w:tcPr>
            <w:tcW w:w="910" w:type="pct"/>
            <w:vAlign w:val="center"/>
          </w:tcPr>
          <w:p>
            <w:pPr>
              <w:jc w:val="left"/>
              <w:rPr>
                <w:rFonts w:hint="default" w:eastAsia="宋体"/>
                <w:color w:val="auto"/>
                <w:lang w:val="en-US" w:eastAsia="zh-CN"/>
              </w:rPr>
            </w:pPr>
            <w:r>
              <w:rPr>
                <w:rFonts w:hint="eastAsia"/>
                <w:color w:val="auto"/>
                <w:lang w:val="en-US" w:eastAsia="zh-CN"/>
              </w:rPr>
              <w:t>其他最高治理机构情况</w:t>
            </w:r>
          </w:p>
        </w:tc>
        <w:tc>
          <w:tcPr>
            <w:tcW w:w="1142" w:type="pct"/>
            <w:vAlign w:val="center"/>
          </w:tcPr>
          <w:p>
            <w:pPr>
              <w:jc w:val="center"/>
              <w:rPr>
                <w:rFonts w:hint="default" w:eastAsia="宋体"/>
                <w:color w:val="auto"/>
                <w:lang w:val="en-US" w:eastAsia="zh-CN"/>
              </w:rPr>
            </w:pPr>
            <w:r>
              <w:rPr>
                <w:rFonts w:hint="eastAsia"/>
                <w:color w:val="auto"/>
                <w:lang w:val="en-US" w:eastAsia="zh-CN"/>
              </w:rPr>
              <w:t>未设立“三会一层”的治理架构，应描述企业最高治理机构情况，包括最高治理机构名称、人员构成及背景、运行机制等</w:t>
            </w:r>
          </w:p>
        </w:tc>
        <w:tc>
          <w:tcPr>
            <w:tcW w:w="1114" w:type="pct"/>
            <w:vAlign w:val="center"/>
          </w:tcPr>
          <w:p>
            <w:pPr>
              <w:jc w:val="center"/>
              <w:rPr>
                <w:rFonts w:hint="eastAsia"/>
                <w:color w:val="auto"/>
                <w:lang w:val="en-US" w:eastAsia="zh-CN"/>
              </w:rPr>
            </w:pPr>
            <w:r>
              <w:rPr>
                <w:rFonts w:hint="eastAsia"/>
                <w:color w:val="auto"/>
                <w:highlight w:val="none"/>
                <w:lang w:val="en-US" w:eastAsia="zh-CN"/>
              </w:rPr>
              <w:t>企业无相关信息披露得0分，披露部分指标得50分，披露全部相关信息得100分；</w:t>
            </w:r>
          </w:p>
        </w:tc>
        <w:tc>
          <w:tcPr>
            <w:tcW w:w="193" w:type="pct"/>
            <w:vAlign w:val="center"/>
          </w:tcPr>
          <w:p>
            <w:pPr>
              <w:jc w:val="center"/>
              <w:rPr>
                <w:rFonts w:hint="default"/>
                <w:color w:val="auto"/>
                <w:lang w:val="en-US" w:eastAsia="zh-CN"/>
              </w:rPr>
            </w:pPr>
            <w:r>
              <w:rPr>
                <w:rFonts w:hint="eastAsia"/>
                <w:color w:val="auto"/>
                <w:lang w:val="en-US" w:eastAsia="zh-CN"/>
              </w:rPr>
              <w:t>100</w:t>
            </w:r>
          </w:p>
        </w:tc>
        <w:tc>
          <w:tcPr>
            <w:tcW w:w="203" w:type="pct"/>
            <w:vMerge w:val="continue"/>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65</w:t>
            </w:r>
          </w:p>
        </w:tc>
        <w:tc>
          <w:tcPr>
            <w:tcW w:w="268" w:type="pct"/>
            <w:vMerge w:val="continue"/>
            <w:vAlign w:val="center"/>
          </w:tcPr>
          <w:p>
            <w:pPr>
              <w:jc w:val="center"/>
              <w:rPr>
                <w:b/>
                <w:bCs/>
                <w:color w:val="auto"/>
              </w:rPr>
            </w:pPr>
          </w:p>
        </w:tc>
        <w:tc>
          <w:tcPr>
            <w:tcW w:w="403" w:type="pct"/>
            <w:vMerge w:val="restart"/>
            <w:vAlign w:val="center"/>
          </w:tcPr>
          <w:p>
            <w:pPr>
              <w:jc w:val="center"/>
              <w:rPr>
                <w:rFonts w:hint="default" w:eastAsia="宋体"/>
                <w:color w:val="auto"/>
                <w:lang w:val="en-US" w:eastAsia="zh-CN"/>
              </w:rPr>
            </w:pPr>
            <w:r>
              <w:rPr>
                <w:rFonts w:hint="eastAsia"/>
                <w:color w:val="auto"/>
                <w:lang w:val="en-US" w:eastAsia="zh-CN"/>
              </w:rPr>
              <w:t>治理机制</w:t>
            </w:r>
          </w:p>
        </w:tc>
        <w:tc>
          <w:tcPr>
            <w:tcW w:w="557" w:type="pct"/>
            <w:vMerge w:val="restart"/>
            <w:vAlign w:val="center"/>
          </w:tcPr>
          <w:p>
            <w:pPr>
              <w:jc w:val="center"/>
              <w:rPr>
                <w:rFonts w:hint="default" w:eastAsia="宋体"/>
                <w:color w:val="auto"/>
                <w:lang w:val="en-US" w:eastAsia="zh-CN"/>
              </w:rPr>
            </w:pPr>
            <w:r>
              <w:rPr>
                <w:rFonts w:hint="eastAsia"/>
                <w:color w:val="auto"/>
                <w:lang w:val="en-US" w:eastAsia="zh-CN"/>
              </w:rPr>
              <w:t>风险管理</w:t>
            </w:r>
          </w:p>
        </w:tc>
        <w:tc>
          <w:tcPr>
            <w:tcW w:w="910" w:type="pct"/>
            <w:vAlign w:val="center"/>
          </w:tcPr>
          <w:p>
            <w:pPr>
              <w:jc w:val="left"/>
              <w:rPr>
                <w:rFonts w:ascii="Times New Roman" w:hAnsi="Times New Roman" w:eastAsia="宋体" w:cs="Times New Roman"/>
                <w:color w:val="auto"/>
                <w:kern w:val="2"/>
                <w:sz w:val="21"/>
                <w:szCs w:val="21"/>
                <w:lang w:val="en-US" w:eastAsia="zh-CN" w:bidi="ar-SA"/>
              </w:rPr>
            </w:pPr>
            <w:r>
              <w:rPr>
                <w:rFonts w:hint="eastAsia"/>
                <w:color w:val="auto"/>
                <w:lang w:val="en-US" w:eastAsia="zh-CN"/>
              </w:rPr>
              <w:t>风险管理体系</w:t>
            </w:r>
          </w:p>
        </w:tc>
        <w:tc>
          <w:tcPr>
            <w:tcW w:w="1142" w:type="pct"/>
            <w:vAlign w:val="center"/>
          </w:tcPr>
          <w:p>
            <w:pPr>
              <w:jc w:val="center"/>
              <w:rPr>
                <w:rFonts w:hint="default" w:eastAsia="宋体"/>
                <w:color w:val="auto"/>
                <w:lang w:val="en-US" w:eastAsia="zh-CN"/>
              </w:rPr>
            </w:pPr>
            <w:r>
              <w:rPr>
                <w:rFonts w:hint="eastAsia"/>
                <w:color w:val="auto"/>
                <w:lang w:val="en-US" w:eastAsia="zh-CN"/>
              </w:rPr>
              <w:t>企业应具备风险管理的相关制度和政策，相关风险管理部门等</w:t>
            </w:r>
          </w:p>
        </w:tc>
        <w:tc>
          <w:tcPr>
            <w:tcW w:w="1114" w:type="pct"/>
          </w:tcPr>
          <w:p>
            <w:pPr>
              <w:jc w:val="center"/>
              <w:rPr>
                <w:rFonts w:hint="default"/>
                <w:color w:val="auto"/>
                <w:lang w:val="en-US" w:eastAsia="zh-CN"/>
              </w:rPr>
            </w:pPr>
            <w:r>
              <w:rPr>
                <w:rFonts w:hint="eastAsia"/>
                <w:color w:val="auto"/>
                <w:lang w:val="en-US" w:eastAsia="zh-CN"/>
              </w:rPr>
              <w:t>企业不具备风险管理部门和管理制度得0分，企业具备风险管理部门和管理制度得10分；</w:t>
            </w:r>
          </w:p>
        </w:tc>
        <w:tc>
          <w:tcPr>
            <w:tcW w:w="193" w:type="pct"/>
            <w:vAlign w:val="center"/>
          </w:tcPr>
          <w:p>
            <w:pPr>
              <w:jc w:val="center"/>
              <w:rPr>
                <w:rFonts w:hint="default"/>
                <w:color w:val="auto"/>
                <w:lang w:val="en-US" w:eastAsia="zh-CN"/>
              </w:rPr>
            </w:pPr>
            <w:r>
              <w:rPr>
                <w:rFonts w:hint="eastAsia"/>
                <w:color w:val="auto"/>
                <w:lang w:val="en-US" w:eastAsia="zh-CN"/>
              </w:rPr>
              <w:t>10</w:t>
            </w:r>
          </w:p>
        </w:tc>
        <w:tc>
          <w:tcPr>
            <w:tcW w:w="203" w:type="pct"/>
            <w:vMerge w:val="restart"/>
            <w:vAlign w:val="center"/>
          </w:tcPr>
          <w:p>
            <w:pPr>
              <w:jc w:val="center"/>
              <w:rPr>
                <w:rFonts w:hint="eastAsia"/>
                <w:color w:val="auto"/>
                <w:lang w:val="en-US" w:eastAsia="zh-CN"/>
              </w:rPr>
            </w:pPr>
            <w:r>
              <w:rPr>
                <w:rFonts w:hint="eastAsia"/>
                <w:color w:va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66</w:t>
            </w:r>
          </w:p>
        </w:tc>
        <w:tc>
          <w:tcPr>
            <w:tcW w:w="268" w:type="pct"/>
            <w:vMerge w:val="continue"/>
            <w:vAlign w:val="center"/>
          </w:tcPr>
          <w:p>
            <w:pPr>
              <w:jc w:val="center"/>
              <w:rPr>
                <w:b/>
                <w:bCs/>
                <w:color w:val="auto"/>
              </w:rPr>
            </w:pPr>
          </w:p>
        </w:tc>
        <w:tc>
          <w:tcPr>
            <w:tcW w:w="403" w:type="pct"/>
            <w:vMerge w:val="continue"/>
            <w:vAlign w:val="center"/>
          </w:tcPr>
          <w:p>
            <w:pPr>
              <w:jc w:val="center"/>
              <w:rPr>
                <w:color w:val="auto"/>
              </w:rPr>
            </w:pPr>
          </w:p>
        </w:tc>
        <w:tc>
          <w:tcPr>
            <w:tcW w:w="557" w:type="pct"/>
            <w:vMerge w:val="continue"/>
            <w:vAlign w:val="center"/>
          </w:tcPr>
          <w:p>
            <w:pPr>
              <w:jc w:val="center"/>
              <w:rPr>
                <w:rFonts w:ascii="Times New Roman" w:hAnsi="Times New Roman" w:eastAsia="宋体" w:cs="Times New Roman"/>
                <w:b/>
                <w:bCs/>
                <w:color w:val="auto"/>
                <w:kern w:val="2"/>
                <w:sz w:val="21"/>
                <w:szCs w:val="21"/>
                <w:lang w:val="en-US" w:eastAsia="zh-CN" w:bidi="ar-SA"/>
              </w:rPr>
            </w:pPr>
          </w:p>
        </w:tc>
        <w:tc>
          <w:tcPr>
            <w:tcW w:w="910" w:type="pct"/>
            <w:vAlign w:val="center"/>
          </w:tcPr>
          <w:p>
            <w:pPr>
              <w:jc w:val="left"/>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重大风险识别及防范</w:t>
            </w:r>
          </w:p>
        </w:tc>
        <w:tc>
          <w:tcPr>
            <w:tcW w:w="1142" w:type="pct"/>
            <w:vAlign w:val="center"/>
          </w:tcPr>
          <w:p>
            <w:pPr>
              <w:jc w:val="center"/>
              <w:rPr>
                <w:rFonts w:hint="default" w:eastAsia="宋体"/>
                <w:color w:val="auto"/>
                <w:lang w:val="en-US" w:eastAsia="zh-CN"/>
              </w:rPr>
            </w:pPr>
            <w:r>
              <w:rPr>
                <w:rFonts w:hint="eastAsia"/>
                <w:color w:val="auto"/>
                <w:lang w:val="en-US" w:eastAsia="zh-CN"/>
              </w:rPr>
              <w:t>企业应识别和评估具有潜在重大影响的风险种类，并提出防范措施。包括企业环境和气候风险识别、应急风险管理等</w:t>
            </w:r>
          </w:p>
        </w:tc>
        <w:tc>
          <w:tcPr>
            <w:tcW w:w="1114" w:type="pct"/>
            <w:vAlign w:val="center"/>
          </w:tcPr>
          <w:p>
            <w:pPr>
              <w:jc w:val="center"/>
              <w:rPr>
                <w:rFonts w:hint="default"/>
                <w:color w:val="auto"/>
                <w:lang w:val="en-US" w:eastAsia="zh-CN"/>
              </w:rPr>
            </w:pPr>
            <w:r>
              <w:rPr>
                <w:rFonts w:hint="eastAsia"/>
                <w:color w:val="auto"/>
                <w:lang w:val="en-US" w:eastAsia="zh-CN"/>
              </w:rPr>
              <w:t>企业未识别和评估潜在重大风险得0分，识别和评估潜在重大风险得10分；</w:t>
            </w:r>
          </w:p>
        </w:tc>
        <w:tc>
          <w:tcPr>
            <w:tcW w:w="193" w:type="pct"/>
            <w:vAlign w:val="center"/>
          </w:tcPr>
          <w:p>
            <w:pPr>
              <w:jc w:val="center"/>
              <w:rPr>
                <w:rFonts w:hint="default"/>
                <w:color w:val="auto"/>
                <w:lang w:val="en-US" w:eastAsia="zh-CN"/>
              </w:rPr>
            </w:pPr>
            <w:r>
              <w:rPr>
                <w:rFonts w:hint="eastAsia"/>
                <w:color w:val="auto"/>
                <w:lang w:val="en-US" w:eastAsia="zh-CN"/>
              </w:rPr>
              <w:t>10</w:t>
            </w:r>
          </w:p>
        </w:tc>
        <w:tc>
          <w:tcPr>
            <w:tcW w:w="203" w:type="pct"/>
            <w:vMerge w:val="continue"/>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67</w:t>
            </w:r>
          </w:p>
        </w:tc>
        <w:tc>
          <w:tcPr>
            <w:tcW w:w="268" w:type="pct"/>
            <w:vMerge w:val="continue"/>
            <w:vAlign w:val="center"/>
          </w:tcPr>
          <w:p>
            <w:pPr>
              <w:jc w:val="center"/>
              <w:rPr>
                <w:b/>
                <w:bCs/>
                <w:color w:val="auto"/>
              </w:rPr>
            </w:pPr>
          </w:p>
        </w:tc>
        <w:tc>
          <w:tcPr>
            <w:tcW w:w="403" w:type="pct"/>
            <w:vMerge w:val="continue"/>
            <w:vAlign w:val="center"/>
          </w:tcPr>
          <w:p>
            <w:pPr>
              <w:jc w:val="center"/>
              <w:rPr>
                <w:color w:val="auto"/>
              </w:rPr>
            </w:pPr>
          </w:p>
        </w:tc>
        <w:tc>
          <w:tcPr>
            <w:tcW w:w="557" w:type="pct"/>
            <w:vMerge w:val="restart"/>
            <w:vAlign w:val="center"/>
          </w:tcPr>
          <w:p>
            <w:pPr>
              <w:jc w:val="center"/>
              <w:rPr>
                <w:rFonts w:hint="default" w:eastAsia="宋体"/>
                <w:color w:val="auto"/>
                <w:lang w:val="en-US" w:eastAsia="zh-CN"/>
              </w:rPr>
            </w:pPr>
            <w:r>
              <w:rPr>
                <w:rFonts w:hint="eastAsia"/>
                <w:color w:val="auto"/>
                <w:lang w:val="en-US" w:eastAsia="zh-CN"/>
              </w:rPr>
              <w:t>监督管理</w:t>
            </w:r>
          </w:p>
        </w:tc>
        <w:tc>
          <w:tcPr>
            <w:tcW w:w="910" w:type="pct"/>
            <w:vAlign w:val="center"/>
          </w:tcPr>
          <w:p>
            <w:pPr>
              <w:jc w:val="left"/>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审计制度及实施</w:t>
            </w:r>
          </w:p>
        </w:tc>
        <w:tc>
          <w:tcPr>
            <w:tcW w:w="1142" w:type="pct"/>
            <w:vAlign w:val="center"/>
          </w:tcPr>
          <w:p>
            <w:pPr>
              <w:jc w:val="center"/>
              <w:rPr>
                <w:rFonts w:hint="default" w:eastAsia="宋体"/>
                <w:color w:val="auto"/>
                <w:lang w:val="en-US" w:eastAsia="zh-CN"/>
              </w:rPr>
            </w:pPr>
            <w:r>
              <w:rPr>
                <w:rFonts w:hint="eastAsia"/>
                <w:color w:val="auto"/>
                <w:lang w:val="en-US" w:eastAsia="zh-CN"/>
              </w:rPr>
              <w:t>企业应开展内外部审计，并披露审计意见、发现问题及整改情况</w:t>
            </w:r>
          </w:p>
        </w:tc>
        <w:tc>
          <w:tcPr>
            <w:tcW w:w="1114" w:type="pct"/>
            <w:vAlign w:val="center"/>
          </w:tcPr>
          <w:p>
            <w:pPr>
              <w:jc w:val="center"/>
              <w:rPr>
                <w:rFonts w:hint="default"/>
                <w:color w:val="auto"/>
                <w:lang w:val="en-US" w:eastAsia="zh-CN"/>
              </w:rPr>
            </w:pPr>
            <w:r>
              <w:rPr>
                <w:rFonts w:hint="eastAsia"/>
                <w:color w:val="auto"/>
                <w:lang w:val="en-US" w:eastAsia="zh-CN"/>
              </w:rPr>
              <w:t>企业未开展内外部审计得0分，开展内外部审计，未披露相关信息得5分，开展内外部审计并披露相关信息得10分；</w:t>
            </w:r>
          </w:p>
        </w:tc>
        <w:tc>
          <w:tcPr>
            <w:tcW w:w="193" w:type="pct"/>
            <w:vAlign w:val="center"/>
          </w:tcPr>
          <w:p>
            <w:pPr>
              <w:jc w:val="center"/>
              <w:rPr>
                <w:rFonts w:hint="default"/>
                <w:color w:val="auto"/>
                <w:lang w:val="en-US" w:eastAsia="zh-CN"/>
              </w:rPr>
            </w:pPr>
            <w:r>
              <w:rPr>
                <w:rFonts w:hint="eastAsia"/>
                <w:color w:val="auto"/>
                <w:lang w:val="en-US" w:eastAsia="zh-CN"/>
              </w:rPr>
              <w:t>10</w:t>
            </w:r>
          </w:p>
        </w:tc>
        <w:tc>
          <w:tcPr>
            <w:tcW w:w="203" w:type="pct"/>
            <w:vMerge w:val="continue"/>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68</w:t>
            </w:r>
          </w:p>
        </w:tc>
        <w:tc>
          <w:tcPr>
            <w:tcW w:w="268" w:type="pct"/>
            <w:vMerge w:val="continue"/>
            <w:vAlign w:val="center"/>
          </w:tcPr>
          <w:p>
            <w:pPr>
              <w:jc w:val="center"/>
              <w:rPr>
                <w:b/>
                <w:bCs/>
                <w:color w:val="auto"/>
              </w:rPr>
            </w:pPr>
          </w:p>
        </w:tc>
        <w:tc>
          <w:tcPr>
            <w:tcW w:w="403" w:type="pct"/>
            <w:vMerge w:val="continue"/>
            <w:vAlign w:val="center"/>
          </w:tcPr>
          <w:p>
            <w:pPr>
              <w:jc w:val="center"/>
              <w:rPr>
                <w:color w:val="auto"/>
              </w:rPr>
            </w:pPr>
          </w:p>
        </w:tc>
        <w:tc>
          <w:tcPr>
            <w:tcW w:w="557" w:type="pct"/>
            <w:vMerge w:val="continue"/>
            <w:vAlign w:val="center"/>
          </w:tcPr>
          <w:p>
            <w:pPr>
              <w:jc w:val="center"/>
              <w:rPr>
                <w:rFonts w:ascii="Times New Roman" w:hAnsi="Times New Roman" w:eastAsia="宋体" w:cs="Times New Roman"/>
                <w:color w:val="auto"/>
                <w:kern w:val="2"/>
                <w:sz w:val="21"/>
                <w:szCs w:val="21"/>
                <w:lang w:val="en-US" w:eastAsia="zh-CN" w:bidi="ar-SA"/>
              </w:rPr>
            </w:pPr>
          </w:p>
        </w:tc>
        <w:tc>
          <w:tcPr>
            <w:tcW w:w="910" w:type="pct"/>
            <w:vAlign w:val="center"/>
          </w:tcPr>
          <w:p>
            <w:pPr>
              <w:jc w:val="left"/>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投诉、举报制度及实施</w:t>
            </w:r>
          </w:p>
        </w:tc>
        <w:tc>
          <w:tcPr>
            <w:tcW w:w="1142" w:type="pct"/>
            <w:vAlign w:val="center"/>
          </w:tcPr>
          <w:p>
            <w:pPr>
              <w:jc w:val="center"/>
              <w:rPr>
                <w:rFonts w:hint="default" w:eastAsia="宋体"/>
                <w:color w:val="auto"/>
                <w:lang w:val="en-US" w:eastAsia="zh-CN"/>
              </w:rPr>
            </w:pPr>
            <w:r>
              <w:rPr>
                <w:rFonts w:hint="eastAsia"/>
                <w:color w:val="auto"/>
                <w:lang w:val="en-US" w:eastAsia="zh-CN"/>
              </w:rPr>
              <w:t>企业应设立投诉、举报制度，应对对投诉、举报人员进行保护，并披露报告期内收到投诉、举报的数量</w:t>
            </w:r>
          </w:p>
        </w:tc>
        <w:tc>
          <w:tcPr>
            <w:tcW w:w="1114" w:type="pct"/>
            <w:vAlign w:val="center"/>
          </w:tcPr>
          <w:p>
            <w:pPr>
              <w:jc w:val="center"/>
              <w:rPr>
                <w:rFonts w:hint="default"/>
                <w:color w:val="auto"/>
                <w:lang w:val="en-US" w:eastAsia="zh-CN"/>
              </w:rPr>
            </w:pPr>
            <w:r>
              <w:rPr>
                <w:rFonts w:hint="eastAsia"/>
                <w:color w:val="auto"/>
                <w:lang w:val="en-US" w:eastAsia="zh-CN"/>
              </w:rPr>
              <w:t>企业未设立投诉举报制度和相应保护措施，也未披露相关信息得0分；设立投诉举报制度和相应保护措施，但未披露相关信息得5分；设立投诉举报制度和相应保护措施，且披露相关信息得10分；</w:t>
            </w:r>
          </w:p>
        </w:tc>
        <w:tc>
          <w:tcPr>
            <w:tcW w:w="193" w:type="pct"/>
            <w:vAlign w:val="center"/>
          </w:tcPr>
          <w:p>
            <w:pPr>
              <w:jc w:val="center"/>
              <w:rPr>
                <w:rFonts w:hint="default"/>
                <w:color w:val="auto"/>
                <w:lang w:val="en-US" w:eastAsia="zh-CN"/>
              </w:rPr>
            </w:pPr>
            <w:r>
              <w:rPr>
                <w:rFonts w:hint="eastAsia"/>
                <w:color w:val="auto"/>
                <w:lang w:val="en-US" w:eastAsia="zh-CN"/>
              </w:rPr>
              <w:t>10</w:t>
            </w:r>
          </w:p>
        </w:tc>
        <w:tc>
          <w:tcPr>
            <w:tcW w:w="203" w:type="pct"/>
            <w:vMerge w:val="continue"/>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69</w:t>
            </w:r>
          </w:p>
        </w:tc>
        <w:tc>
          <w:tcPr>
            <w:tcW w:w="268" w:type="pct"/>
            <w:vMerge w:val="continue"/>
            <w:vAlign w:val="center"/>
          </w:tcPr>
          <w:p>
            <w:pPr>
              <w:jc w:val="center"/>
              <w:rPr>
                <w:b/>
                <w:bCs/>
                <w:color w:val="auto"/>
              </w:rPr>
            </w:pPr>
          </w:p>
        </w:tc>
        <w:tc>
          <w:tcPr>
            <w:tcW w:w="403" w:type="pct"/>
            <w:vMerge w:val="continue"/>
            <w:vAlign w:val="center"/>
          </w:tcPr>
          <w:p>
            <w:pPr>
              <w:jc w:val="center"/>
              <w:rPr>
                <w:color w:val="auto"/>
              </w:rPr>
            </w:pPr>
          </w:p>
        </w:tc>
        <w:tc>
          <w:tcPr>
            <w:tcW w:w="557" w:type="pct"/>
            <w:vMerge w:val="restart"/>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高管激励</w:t>
            </w:r>
          </w:p>
        </w:tc>
        <w:tc>
          <w:tcPr>
            <w:tcW w:w="910" w:type="pct"/>
            <w:vAlign w:val="center"/>
          </w:tcPr>
          <w:p>
            <w:pPr>
              <w:jc w:val="left"/>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高管聘任及薪酬激励</w:t>
            </w:r>
          </w:p>
        </w:tc>
        <w:tc>
          <w:tcPr>
            <w:tcW w:w="1142" w:type="pct"/>
            <w:vAlign w:val="center"/>
          </w:tcPr>
          <w:p>
            <w:pPr>
              <w:jc w:val="center"/>
              <w:rPr>
                <w:rFonts w:hint="default"/>
                <w:color w:val="auto"/>
                <w:lang w:val="en-US" w:eastAsia="zh-CN"/>
              </w:rPr>
            </w:pPr>
            <w:r>
              <w:rPr>
                <w:rFonts w:hint="eastAsia"/>
                <w:color w:val="auto"/>
                <w:lang w:val="en-US" w:eastAsia="zh-CN"/>
              </w:rPr>
              <w:t>企业应具备高管人员聘任及解聘程序，高管薪酬管理办法等</w:t>
            </w:r>
          </w:p>
        </w:tc>
        <w:tc>
          <w:tcPr>
            <w:tcW w:w="1114" w:type="pct"/>
            <w:vAlign w:val="center"/>
          </w:tcPr>
          <w:p>
            <w:pPr>
              <w:jc w:val="center"/>
              <w:rPr>
                <w:rFonts w:hint="default"/>
                <w:color w:val="auto"/>
                <w:lang w:val="en-US" w:eastAsia="zh-CN"/>
              </w:rPr>
            </w:pPr>
            <w:r>
              <w:rPr>
                <w:rFonts w:hint="eastAsia"/>
                <w:color w:val="auto"/>
                <w:lang w:val="en-US" w:eastAsia="zh-CN"/>
              </w:rPr>
              <w:t>企业不具备高管聘任程序和管理办法得0分，具备高管聘任程序和管理办法得10分；</w:t>
            </w:r>
          </w:p>
        </w:tc>
        <w:tc>
          <w:tcPr>
            <w:tcW w:w="193" w:type="pct"/>
            <w:vAlign w:val="center"/>
          </w:tcPr>
          <w:p>
            <w:pPr>
              <w:jc w:val="center"/>
              <w:rPr>
                <w:rFonts w:hint="default"/>
                <w:color w:val="auto"/>
                <w:lang w:val="en-US" w:eastAsia="zh-CN"/>
              </w:rPr>
            </w:pPr>
            <w:r>
              <w:rPr>
                <w:rFonts w:hint="eastAsia"/>
                <w:color w:val="auto"/>
                <w:lang w:val="en-US" w:eastAsia="zh-CN"/>
              </w:rPr>
              <w:t>10</w:t>
            </w:r>
          </w:p>
        </w:tc>
        <w:tc>
          <w:tcPr>
            <w:tcW w:w="203" w:type="pct"/>
            <w:vMerge w:val="continue"/>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70</w:t>
            </w:r>
          </w:p>
        </w:tc>
        <w:tc>
          <w:tcPr>
            <w:tcW w:w="268" w:type="pct"/>
            <w:vMerge w:val="continue"/>
            <w:vAlign w:val="center"/>
          </w:tcPr>
          <w:p>
            <w:pPr>
              <w:jc w:val="center"/>
              <w:rPr>
                <w:b/>
                <w:bCs/>
                <w:color w:val="auto"/>
              </w:rPr>
            </w:pPr>
          </w:p>
        </w:tc>
        <w:tc>
          <w:tcPr>
            <w:tcW w:w="403" w:type="pct"/>
            <w:vMerge w:val="continue"/>
            <w:vAlign w:val="center"/>
          </w:tcPr>
          <w:p>
            <w:pPr>
              <w:jc w:val="center"/>
              <w:rPr>
                <w:color w:val="auto"/>
              </w:rPr>
            </w:pPr>
          </w:p>
        </w:tc>
        <w:tc>
          <w:tcPr>
            <w:tcW w:w="557" w:type="pct"/>
            <w:vMerge w:val="continue"/>
            <w:vAlign w:val="center"/>
          </w:tcPr>
          <w:p>
            <w:pPr>
              <w:jc w:val="center"/>
              <w:rPr>
                <w:rFonts w:ascii="Times New Roman" w:hAnsi="Times New Roman" w:eastAsia="宋体" w:cs="Times New Roman"/>
                <w:color w:val="auto"/>
                <w:kern w:val="2"/>
                <w:sz w:val="21"/>
                <w:szCs w:val="21"/>
                <w:lang w:val="en-US" w:eastAsia="zh-CN" w:bidi="ar-SA"/>
              </w:rPr>
            </w:pPr>
          </w:p>
        </w:tc>
        <w:tc>
          <w:tcPr>
            <w:tcW w:w="910" w:type="pct"/>
            <w:vAlign w:val="center"/>
          </w:tcPr>
          <w:p>
            <w:pPr>
              <w:jc w:val="left"/>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高管绩效与ESG目标关联</w:t>
            </w:r>
          </w:p>
        </w:tc>
        <w:tc>
          <w:tcPr>
            <w:tcW w:w="1142" w:type="pct"/>
          </w:tcPr>
          <w:p>
            <w:pPr>
              <w:jc w:val="center"/>
              <w:rPr>
                <w:rFonts w:hint="default"/>
                <w:color w:val="auto"/>
                <w:lang w:val="en-US" w:eastAsia="zh-CN"/>
              </w:rPr>
            </w:pPr>
            <w:r>
              <w:rPr>
                <w:rFonts w:hint="eastAsia"/>
                <w:color w:val="auto"/>
                <w:lang w:val="en-US" w:eastAsia="zh-CN"/>
              </w:rPr>
              <w:t>企业高管绩效评价应考虑与ESG目标相关联</w:t>
            </w:r>
          </w:p>
        </w:tc>
        <w:tc>
          <w:tcPr>
            <w:tcW w:w="1114" w:type="pct"/>
            <w:vAlign w:val="center"/>
          </w:tcPr>
          <w:p>
            <w:pPr>
              <w:jc w:val="center"/>
              <w:rPr>
                <w:rFonts w:hint="default"/>
                <w:color w:val="auto"/>
                <w:lang w:val="en-US" w:eastAsia="zh-CN"/>
              </w:rPr>
            </w:pPr>
            <w:r>
              <w:rPr>
                <w:rFonts w:hint="eastAsia"/>
                <w:color w:val="auto"/>
                <w:lang w:val="en-US" w:eastAsia="zh-CN"/>
              </w:rPr>
              <w:t>企业高管绩效评价未与ESG目标相关联得0分，相关联得10分；</w:t>
            </w:r>
          </w:p>
        </w:tc>
        <w:tc>
          <w:tcPr>
            <w:tcW w:w="193" w:type="pct"/>
            <w:vAlign w:val="center"/>
          </w:tcPr>
          <w:p>
            <w:pPr>
              <w:jc w:val="center"/>
              <w:rPr>
                <w:rFonts w:hint="default"/>
                <w:color w:val="auto"/>
                <w:lang w:val="en-US" w:eastAsia="zh-CN"/>
              </w:rPr>
            </w:pPr>
            <w:r>
              <w:rPr>
                <w:rFonts w:hint="eastAsia"/>
                <w:color w:val="auto"/>
                <w:lang w:val="en-US" w:eastAsia="zh-CN"/>
              </w:rPr>
              <w:t>10</w:t>
            </w:r>
          </w:p>
        </w:tc>
        <w:tc>
          <w:tcPr>
            <w:tcW w:w="203" w:type="pct"/>
            <w:vMerge w:val="continue"/>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71</w:t>
            </w:r>
          </w:p>
        </w:tc>
        <w:tc>
          <w:tcPr>
            <w:tcW w:w="268" w:type="pct"/>
            <w:vMerge w:val="continue"/>
            <w:vAlign w:val="center"/>
          </w:tcPr>
          <w:p>
            <w:pPr>
              <w:jc w:val="center"/>
              <w:rPr>
                <w:b/>
                <w:bCs/>
                <w:color w:val="auto"/>
              </w:rPr>
            </w:pPr>
          </w:p>
        </w:tc>
        <w:tc>
          <w:tcPr>
            <w:tcW w:w="403" w:type="pct"/>
            <w:vMerge w:val="continue"/>
            <w:vAlign w:val="center"/>
          </w:tcPr>
          <w:p>
            <w:pPr>
              <w:jc w:val="center"/>
              <w:rPr>
                <w:color w:val="auto"/>
              </w:rPr>
            </w:pPr>
          </w:p>
        </w:tc>
        <w:tc>
          <w:tcPr>
            <w:tcW w:w="557" w:type="pct"/>
            <w:vAlign w:val="center"/>
          </w:tcPr>
          <w:p>
            <w:pPr>
              <w:jc w:val="center"/>
              <w:rPr>
                <w:rFonts w:hint="default" w:eastAsia="宋体"/>
                <w:color w:val="auto"/>
                <w:lang w:val="en-US" w:eastAsia="zh-CN"/>
              </w:rPr>
            </w:pPr>
            <w:r>
              <w:rPr>
                <w:rFonts w:hint="eastAsia"/>
                <w:color w:val="auto"/>
                <w:lang w:val="en-US" w:eastAsia="zh-CN"/>
              </w:rPr>
              <w:t>信息披露</w:t>
            </w:r>
          </w:p>
        </w:tc>
        <w:tc>
          <w:tcPr>
            <w:tcW w:w="910" w:type="pct"/>
            <w:vAlign w:val="center"/>
          </w:tcPr>
          <w:p>
            <w:pPr>
              <w:jc w:val="left"/>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企业信息披露及实施</w:t>
            </w:r>
          </w:p>
        </w:tc>
        <w:tc>
          <w:tcPr>
            <w:tcW w:w="1142" w:type="pct"/>
            <w:vAlign w:val="center"/>
          </w:tcPr>
          <w:p>
            <w:pPr>
              <w:jc w:val="center"/>
              <w:rPr>
                <w:rFonts w:hint="default" w:eastAsia="宋体"/>
                <w:color w:val="auto"/>
                <w:lang w:val="en-US" w:eastAsia="zh-CN"/>
              </w:rPr>
            </w:pPr>
            <w:r>
              <w:rPr>
                <w:rFonts w:hint="eastAsia"/>
                <w:color w:val="auto"/>
                <w:lang w:val="en-US" w:eastAsia="zh-CN"/>
              </w:rPr>
              <w:t>企业应建立信息披露负责部门、相关程序和实施情况</w:t>
            </w:r>
          </w:p>
        </w:tc>
        <w:tc>
          <w:tcPr>
            <w:tcW w:w="1114" w:type="pct"/>
            <w:vAlign w:val="center"/>
          </w:tcPr>
          <w:p>
            <w:pPr>
              <w:jc w:val="center"/>
              <w:rPr>
                <w:rFonts w:hint="default"/>
                <w:color w:val="auto"/>
                <w:lang w:val="en-US" w:eastAsia="zh-CN"/>
              </w:rPr>
            </w:pPr>
            <w:r>
              <w:rPr>
                <w:rFonts w:hint="eastAsia"/>
                <w:color w:val="auto"/>
                <w:lang w:val="en-US" w:eastAsia="zh-CN"/>
              </w:rPr>
              <w:t>企业未成立信息披露负责部门，也无相关管理程序措施得0分，企未为成立信息披露负责部门，但具备信息披露程序并实施了信息披露得10分，企业成立了信息披露负责部门，也具备和实施了信息披露得20分；</w:t>
            </w:r>
          </w:p>
        </w:tc>
        <w:tc>
          <w:tcPr>
            <w:tcW w:w="193" w:type="pct"/>
            <w:vAlign w:val="center"/>
          </w:tcPr>
          <w:p>
            <w:pPr>
              <w:jc w:val="center"/>
              <w:rPr>
                <w:rFonts w:hint="default"/>
                <w:color w:val="auto"/>
                <w:lang w:val="en-US" w:eastAsia="zh-CN"/>
              </w:rPr>
            </w:pPr>
            <w:r>
              <w:rPr>
                <w:rFonts w:hint="eastAsia"/>
                <w:color w:val="auto"/>
                <w:lang w:val="en-US" w:eastAsia="zh-CN"/>
              </w:rPr>
              <w:t>20</w:t>
            </w:r>
          </w:p>
        </w:tc>
        <w:tc>
          <w:tcPr>
            <w:tcW w:w="203" w:type="pct"/>
            <w:vMerge w:val="continue"/>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72</w:t>
            </w:r>
          </w:p>
        </w:tc>
        <w:tc>
          <w:tcPr>
            <w:tcW w:w="268" w:type="pct"/>
            <w:vMerge w:val="continue"/>
            <w:vAlign w:val="center"/>
          </w:tcPr>
          <w:p>
            <w:pPr>
              <w:jc w:val="center"/>
              <w:rPr>
                <w:b/>
                <w:bCs/>
                <w:color w:val="auto"/>
              </w:rPr>
            </w:pPr>
          </w:p>
        </w:tc>
        <w:tc>
          <w:tcPr>
            <w:tcW w:w="403" w:type="pct"/>
            <w:vMerge w:val="continue"/>
            <w:vAlign w:val="center"/>
          </w:tcPr>
          <w:p>
            <w:pPr>
              <w:jc w:val="center"/>
              <w:rPr>
                <w:color w:val="auto"/>
              </w:rPr>
            </w:pPr>
          </w:p>
        </w:tc>
        <w:tc>
          <w:tcPr>
            <w:tcW w:w="557" w:type="pct"/>
            <w:vMerge w:val="restart"/>
            <w:vAlign w:val="center"/>
          </w:tcPr>
          <w:p>
            <w:pPr>
              <w:jc w:val="center"/>
              <w:rPr>
                <w:rFonts w:hint="default" w:eastAsia="宋体"/>
                <w:color w:val="auto"/>
                <w:lang w:val="en-US" w:eastAsia="zh-CN"/>
              </w:rPr>
            </w:pPr>
            <w:r>
              <w:rPr>
                <w:rFonts w:hint="eastAsia"/>
                <w:color w:val="auto"/>
                <w:lang w:val="en-US" w:eastAsia="zh-CN"/>
              </w:rPr>
              <w:t>商业道德</w:t>
            </w:r>
          </w:p>
        </w:tc>
        <w:tc>
          <w:tcPr>
            <w:tcW w:w="910" w:type="pct"/>
            <w:vAlign w:val="center"/>
          </w:tcPr>
          <w:p>
            <w:pPr>
              <w:jc w:val="left"/>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企业商业道德</w:t>
            </w:r>
          </w:p>
        </w:tc>
        <w:tc>
          <w:tcPr>
            <w:tcW w:w="1142" w:type="pct"/>
            <w:vAlign w:val="center"/>
          </w:tcPr>
          <w:p>
            <w:pPr>
              <w:jc w:val="center"/>
              <w:rPr>
                <w:rFonts w:hint="default" w:eastAsia="宋体"/>
                <w:color w:val="auto"/>
                <w:lang w:val="en-US" w:eastAsia="zh-CN"/>
              </w:rPr>
            </w:pPr>
            <w:r>
              <w:rPr>
                <w:rFonts w:hint="eastAsia"/>
                <w:color w:val="auto"/>
                <w:lang w:val="en-US" w:eastAsia="zh-CN"/>
              </w:rPr>
              <w:t>企业应具备商业道德制度，并开展相关培训</w:t>
            </w:r>
          </w:p>
        </w:tc>
        <w:tc>
          <w:tcPr>
            <w:tcW w:w="1114" w:type="pct"/>
            <w:vAlign w:val="center"/>
          </w:tcPr>
          <w:p>
            <w:pPr>
              <w:jc w:val="center"/>
              <w:rPr>
                <w:rFonts w:hint="default"/>
                <w:color w:val="auto"/>
                <w:lang w:val="en-US" w:eastAsia="zh-CN"/>
              </w:rPr>
            </w:pPr>
            <w:r>
              <w:rPr>
                <w:rFonts w:hint="eastAsia"/>
                <w:color w:val="auto"/>
                <w:lang w:val="en-US" w:eastAsia="zh-CN"/>
              </w:rPr>
              <w:t>企业不具备商业道德制度，也未开展相关培训得0分；具备制度，未开展培训得5分，具备制度且开展相关培训得10分；</w:t>
            </w:r>
          </w:p>
        </w:tc>
        <w:tc>
          <w:tcPr>
            <w:tcW w:w="193" w:type="pct"/>
            <w:vAlign w:val="center"/>
          </w:tcPr>
          <w:p>
            <w:pPr>
              <w:jc w:val="center"/>
              <w:rPr>
                <w:rFonts w:hint="default"/>
                <w:color w:val="auto"/>
                <w:lang w:val="en-US" w:eastAsia="zh-CN"/>
              </w:rPr>
            </w:pPr>
            <w:r>
              <w:rPr>
                <w:rFonts w:hint="eastAsia"/>
                <w:color w:val="auto"/>
                <w:lang w:val="en-US" w:eastAsia="zh-CN"/>
              </w:rPr>
              <w:t>10</w:t>
            </w:r>
          </w:p>
        </w:tc>
        <w:tc>
          <w:tcPr>
            <w:tcW w:w="203" w:type="pct"/>
            <w:vMerge w:val="continue"/>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73</w:t>
            </w:r>
          </w:p>
        </w:tc>
        <w:tc>
          <w:tcPr>
            <w:tcW w:w="268" w:type="pct"/>
            <w:vMerge w:val="continue"/>
            <w:vAlign w:val="center"/>
          </w:tcPr>
          <w:p>
            <w:pPr>
              <w:jc w:val="center"/>
              <w:rPr>
                <w:b/>
                <w:bCs/>
                <w:color w:val="auto"/>
              </w:rPr>
            </w:pPr>
          </w:p>
        </w:tc>
        <w:tc>
          <w:tcPr>
            <w:tcW w:w="403" w:type="pct"/>
            <w:vMerge w:val="continue"/>
          </w:tcPr>
          <w:p>
            <w:pPr>
              <w:jc w:val="center"/>
              <w:rPr>
                <w:color w:val="auto"/>
              </w:rPr>
            </w:pPr>
          </w:p>
        </w:tc>
        <w:tc>
          <w:tcPr>
            <w:tcW w:w="557" w:type="pct"/>
            <w:vMerge w:val="continue"/>
          </w:tcPr>
          <w:p>
            <w:pPr>
              <w:jc w:val="center"/>
              <w:rPr>
                <w:color w:val="auto"/>
              </w:rPr>
            </w:pPr>
          </w:p>
        </w:tc>
        <w:tc>
          <w:tcPr>
            <w:tcW w:w="910" w:type="pct"/>
            <w:vAlign w:val="center"/>
          </w:tcPr>
          <w:p>
            <w:pPr>
              <w:jc w:val="left"/>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员工行为准则</w:t>
            </w:r>
          </w:p>
        </w:tc>
        <w:tc>
          <w:tcPr>
            <w:tcW w:w="1142" w:type="pct"/>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企业应具备员工行为准则，并开展相关培训</w:t>
            </w:r>
          </w:p>
        </w:tc>
        <w:tc>
          <w:tcPr>
            <w:tcW w:w="1114" w:type="pct"/>
            <w:vAlign w:val="center"/>
          </w:tcPr>
          <w:p>
            <w:pPr>
              <w:jc w:val="center"/>
              <w:rPr>
                <w:rFonts w:hint="eastAsia"/>
                <w:color w:val="auto"/>
                <w:lang w:val="en-US" w:eastAsia="zh-CN"/>
              </w:rPr>
            </w:pPr>
            <w:r>
              <w:rPr>
                <w:rFonts w:hint="eastAsia"/>
                <w:color w:val="auto"/>
                <w:lang w:val="en-US" w:eastAsia="zh-CN"/>
              </w:rPr>
              <w:t>企业不具备员工行为准则，也未开展相关培训得0分；具备制度，未开展培训得5分，具备制度且开展相关培训得10分；</w:t>
            </w:r>
          </w:p>
        </w:tc>
        <w:tc>
          <w:tcPr>
            <w:tcW w:w="193" w:type="pct"/>
            <w:vAlign w:val="center"/>
          </w:tcPr>
          <w:p>
            <w:pPr>
              <w:jc w:val="center"/>
              <w:rPr>
                <w:rFonts w:hint="default"/>
                <w:color w:val="auto"/>
                <w:lang w:val="en-US" w:eastAsia="zh-CN"/>
              </w:rPr>
            </w:pPr>
            <w:r>
              <w:rPr>
                <w:rFonts w:hint="eastAsia"/>
                <w:color w:val="auto"/>
                <w:lang w:val="en-US" w:eastAsia="zh-CN"/>
              </w:rPr>
              <w:t>10</w:t>
            </w:r>
          </w:p>
        </w:tc>
        <w:tc>
          <w:tcPr>
            <w:tcW w:w="203" w:type="pct"/>
            <w:vMerge w:val="continue"/>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74</w:t>
            </w:r>
          </w:p>
        </w:tc>
        <w:tc>
          <w:tcPr>
            <w:tcW w:w="268" w:type="pct"/>
            <w:vMerge w:val="continue"/>
            <w:vAlign w:val="center"/>
          </w:tcPr>
          <w:p>
            <w:pPr>
              <w:jc w:val="center"/>
              <w:rPr>
                <w:b/>
                <w:bCs/>
                <w:color w:val="auto"/>
              </w:rPr>
            </w:pPr>
          </w:p>
        </w:tc>
        <w:tc>
          <w:tcPr>
            <w:tcW w:w="403" w:type="pct"/>
            <w:vMerge w:val="restart"/>
            <w:vAlign w:val="center"/>
          </w:tcPr>
          <w:p>
            <w:pPr>
              <w:jc w:val="center"/>
              <w:rPr>
                <w:rFonts w:hint="default" w:eastAsia="宋体"/>
                <w:color w:val="auto"/>
                <w:lang w:val="en-US" w:eastAsia="zh-CN"/>
              </w:rPr>
            </w:pPr>
            <w:r>
              <w:rPr>
                <w:rFonts w:hint="eastAsia"/>
                <w:color w:val="auto"/>
                <w:lang w:val="en-US" w:eastAsia="zh-CN"/>
              </w:rPr>
              <w:t>治理效能</w:t>
            </w:r>
          </w:p>
        </w:tc>
        <w:tc>
          <w:tcPr>
            <w:tcW w:w="557" w:type="pct"/>
            <w:vMerge w:val="restart"/>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企业发展战略与文化</w:t>
            </w:r>
          </w:p>
        </w:tc>
        <w:tc>
          <w:tcPr>
            <w:tcW w:w="910" w:type="pct"/>
            <w:vAlign w:val="center"/>
          </w:tcPr>
          <w:p>
            <w:pPr>
              <w:jc w:val="left"/>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企业发展战略与商业模式</w:t>
            </w:r>
          </w:p>
        </w:tc>
        <w:tc>
          <w:tcPr>
            <w:tcW w:w="1142" w:type="pct"/>
            <w:vAlign w:val="center"/>
          </w:tcPr>
          <w:p>
            <w:pPr>
              <w:jc w:val="center"/>
              <w:rPr>
                <w:rFonts w:hint="default" w:eastAsia="宋体"/>
                <w:color w:val="auto"/>
                <w:lang w:val="en-US" w:eastAsia="zh-CN"/>
              </w:rPr>
            </w:pPr>
            <w:r>
              <w:rPr>
                <w:rFonts w:hint="eastAsia"/>
                <w:color w:val="auto"/>
                <w:lang w:val="en-US" w:eastAsia="zh-CN"/>
              </w:rPr>
              <w:t>企业应披露其使命与愿景、所采取商业模式及特点</w:t>
            </w:r>
          </w:p>
        </w:tc>
        <w:tc>
          <w:tcPr>
            <w:tcW w:w="1114" w:type="pct"/>
            <w:vAlign w:val="center"/>
          </w:tcPr>
          <w:p>
            <w:pPr>
              <w:jc w:val="center"/>
              <w:rPr>
                <w:rFonts w:hint="eastAsia"/>
                <w:color w:val="auto"/>
                <w:lang w:val="en-US" w:eastAsia="zh-CN"/>
              </w:rPr>
            </w:pPr>
            <w:r>
              <w:rPr>
                <w:rFonts w:hint="eastAsia"/>
                <w:color w:val="auto"/>
                <w:lang w:val="en-US" w:eastAsia="zh-CN"/>
              </w:rPr>
              <w:t>企业无相关信息披露得0分，有相关信息披露得10分；</w:t>
            </w:r>
          </w:p>
        </w:tc>
        <w:tc>
          <w:tcPr>
            <w:tcW w:w="193" w:type="pct"/>
            <w:vAlign w:val="center"/>
          </w:tcPr>
          <w:p>
            <w:pPr>
              <w:jc w:val="center"/>
              <w:rPr>
                <w:rFonts w:hint="default"/>
                <w:color w:val="auto"/>
                <w:lang w:val="en-US" w:eastAsia="zh-CN"/>
              </w:rPr>
            </w:pPr>
            <w:r>
              <w:rPr>
                <w:rFonts w:hint="eastAsia"/>
                <w:color w:val="auto"/>
                <w:lang w:val="en-US" w:eastAsia="zh-CN"/>
              </w:rPr>
              <w:t>10</w:t>
            </w:r>
          </w:p>
        </w:tc>
        <w:tc>
          <w:tcPr>
            <w:tcW w:w="203" w:type="pct"/>
            <w:vMerge w:val="restart"/>
            <w:vAlign w:val="center"/>
          </w:tcPr>
          <w:p>
            <w:pPr>
              <w:jc w:val="center"/>
              <w:rPr>
                <w:rFonts w:hint="default"/>
                <w:color w:val="auto"/>
                <w:lang w:val="en-US" w:eastAsia="zh-CN"/>
              </w:rPr>
            </w:pPr>
            <w:r>
              <w:rPr>
                <w:rFonts w:hint="eastAsia"/>
                <w:color w:va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75</w:t>
            </w:r>
          </w:p>
        </w:tc>
        <w:tc>
          <w:tcPr>
            <w:tcW w:w="268" w:type="pct"/>
            <w:vMerge w:val="continue"/>
            <w:vAlign w:val="center"/>
          </w:tcPr>
          <w:p>
            <w:pPr>
              <w:jc w:val="center"/>
              <w:rPr>
                <w:b/>
                <w:bCs/>
                <w:color w:val="auto"/>
              </w:rPr>
            </w:pPr>
          </w:p>
        </w:tc>
        <w:tc>
          <w:tcPr>
            <w:tcW w:w="403" w:type="pct"/>
            <w:vMerge w:val="continue"/>
          </w:tcPr>
          <w:p>
            <w:pPr>
              <w:jc w:val="center"/>
              <w:rPr>
                <w:color w:val="auto"/>
              </w:rPr>
            </w:pPr>
          </w:p>
        </w:tc>
        <w:tc>
          <w:tcPr>
            <w:tcW w:w="557" w:type="pct"/>
            <w:vMerge w:val="continue"/>
          </w:tcPr>
          <w:p>
            <w:pPr>
              <w:jc w:val="center"/>
              <w:rPr>
                <w:color w:val="auto"/>
              </w:rPr>
            </w:pPr>
          </w:p>
        </w:tc>
        <w:tc>
          <w:tcPr>
            <w:tcW w:w="910" w:type="pct"/>
            <w:vAlign w:val="center"/>
          </w:tcPr>
          <w:p>
            <w:pPr>
              <w:jc w:val="left"/>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企业文化建设</w:t>
            </w:r>
          </w:p>
        </w:tc>
        <w:tc>
          <w:tcPr>
            <w:tcW w:w="1142" w:type="pct"/>
            <w:vAlign w:val="center"/>
          </w:tcPr>
          <w:p>
            <w:pPr>
              <w:jc w:val="center"/>
              <w:rPr>
                <w:rFonts w:hint="default" w:eastAsia="宋体"/>
                <w:color w:val="auto"/>
                <w:lang w:val="en-US" w:eastAsia="zh-CN"/>
              </w:rPr>
            </w:pPr>
            <w:r>
              <w:rPr>
                <w:rFonts w:hint="eastAsia"/>
                <w:color w:val="auto"/>
                <w:lang w:val="en-US" w:eastAsia="zh-CN"/>
              </w:rPr>
              <w:t>企业应披露其文化内涵、企业价值观、主要文化建设措施</w:t>
            </w:r>
          </w:p>
        </w:tc>
        <w:tc>
          <w:tcPr>
            <w:tcW w:w="1114" w:type="pct"/>
            <w:vAlign w:val="center"/>
          </w:tcPr>
          <w:p>
            <w:pPr>
              <w:jc w:val="center"/>
              <w:rPr>
                <w:rFonts w:hint="eastAsia"/>
                <w:color w:val="auto"/>
                <w:lang w:val="en-US" w:eastAsia="zh-CN"/>
              </w:rPr>
            </w:pPr>
            <w:r>
              <w:rPr>
                <w:rFonts w:hint="eastAsia"/>
                <w:color w:val="auto"/>
                <w:lang w:val="en-US" w:eastAsia="zh-CN"/>
              </w:rPr>
              <w:t>企业无相关信息披露得0分，有相关信息披露得10分；</w:t>
            </w:r>
          </w:p>
        </w:tc>
        <w:tc>
          <w:tcPr>
            <w:tcW w:w="193" w:type="pct"/>
            <w:vAlign w:val="center"/>
          </w:tcPr>
          <w:p>
            <w:pPr>
              <w:jc w:val="center"/>
              <w:rPr>
                <w:rFonts w:hint="default"/>
                <w:color w:val="auto"/>
                <w:lang w:val="en-US" w:eastAsia="zh-CN"/>
              </w:rPr>
            </w:pPr>
            <w:r>
              <w:rPr>
                <w:rFonts w:hint="eastAsia"/>
                <w:color w:val="auto"/>
                <w:lang w:val="en-US" w:eastAsia="zh-CN"/>
              </w:rPr>
              <w:t>10</w:t>
            </w:r>
          </w:p>
        </w:tc>
        <w:tc>
          <w:tcPr>
            <w:tcW w:w="203" w:type="pct"/>
            <w:vMerge w:val="continue"/>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76</w:t>
            </w:r>
          </w:p>
        </w:tc>
        <w:tc>
          <w:tcPr>
            <w:tcW w:w="268" w:type="pct"/>
            <w:vMerge w:val="continue"/>
            <w:vAlign w:val="center"/>
          </w:tcPr>
          <w:p>
            <w:pPr>
              <w:jc w:val="center"/>
              <w:rPr>
                <w:b/>
                <w:bCs/>
                <w:color w:val="auto"/>
              </w:rPr>
            </w:pPr>
          </w:p>
        </w:tc>
        <w:tc>
          <w:tcPr>
            <w:tcW w:w="403" w:type="pct"/>
            <w:vMerge w:val="continue"/>
          </w:tcPr>
          <w:p>
            <w:pPr>
              <w:jc w:val="center"/>
              <w:rPr>
                <w:color w:val="auto"/>
              </w:rPr>
            </w:pPr>
          </w:p>
        </w:tc>
        <w:tc>
          <w:tcPr>
            <w:tcW w:w="557" w:type="pct"/>
            <w:vMerge w:val="restart"/>
            <w:vAlign w:val="center"/>
          </w:tcPr>
          <w:p>
            <w:pPr>
              <w:jc w:val="center"/>
              <w:rPr>
                <w:rFonts w:hint="default" w:eastAsia="宋体"/>
                <w:color w:val="auto"/>
                <w:lang w:val="en-US" w:eastAsia="zh-CN"/>
              </w:rPr>
            </w:pPr>
            <w:r>
              <w:rPr>
                <w:rFonts w:hint="eastAsia"/>
                <w:color w:val="auto"/>
                <w:lang w:val="en-US" w:eastAsia="zh-CN"/>
              </w:rPr>
              <w:t>生产效率</w:t>
            </w:r>
          </w:p>
        </w:tc>
        <w:tc>
          <w:tcPr>
            <w:tcW w:w="910" w:type="pct"/>
            <w:vAlign w:val="center"/>
          </w:tcPr>
          <w:p>
            <w:pPr>
              <w:jc w:val="left"/>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产品产量和产值规模</w:t>
            </w:r>
          </w:p>
        </w:tc>
        <w:tc>
          <w:tcPr>
            <w:tcW w:w="1142" w:type="pct"/>
            <w:vAlign w:val="center"/>
          </w:tcPr>
          <w:p>
            <w:pPr>
              <w:jc w:val="center"/>
              <w:rPr>
                <w:rFonts w:hint="default" w:eastAsia="宋体"/>
                <w:color w:val="auto"/>
                <w:lang w:val="en-US" w:eastAsia="zh-CN"/>
              </w:rPr>
            </w:pPr>
            <w:r>
              <w:rPr>
                <w:rFonts w:hint="eastAsia"/>
                <w:color w:val="auto"/>
                <w:lang w:val="en-US" w:eastAsia="zh-CN"/>
              </w:rPr>
              <w:t>企业应披露其主要产品、产量及年产值规模</w:t>
            </w:r>
          </w:p>
        </w:tc>
        <w:tc>
          <w:tcPr>
            <w:tcW w:w="1114" w:type="pct"/>
            <w:vAlign w:val="center"/>
          </w:tcPr>
          <w:p>
            <w:pPr>
              <w:jc w:val="center"/>
              <w:rPr>
                <w:rFonts w:hint="eastAsia"/>
                <w:color w:val="auto"/>
                <w:lang w:val="en-US" w:eastAsia="zh-CN"/>
              </w:rPr>
            </w:pPr>
            <w:r>
              <w:rPr>
                <w:rFonts w:hint="eastAsia"/>
                <w:color w:val="auto"/>
                <w:lang w:val="en-US" w:eastAsia="zh-CN"/>
              </w:rPr>
              <w:t>企业无相关信息披露得0分，披露部分相关信息得5分，披露全部相关信息得10分；</w:t>
            </w:r>
          </w:p>
        </w:tc>
        <w:tc>
          <w:tcPr>
            <w:tcW w:w="193" w:type="pct"/>
            <w:vAlign w:val="center"/>
          </w:tcPr>
          <w:p>
            <w:pPr>
              <w:jc w:val="center"/>
              <w:rPr>
                <w:rFonts w:hint="default"/>
                <w:color w:val="auto"/>
                <w:lang w:val="en-US" w:eastAsia="zh-CN"/>
              </w:rPr>
            </w:pPr>
            <w:r>
              <w:rPr>
                <w:rFonts w:hint="eastAsia"/>
                <w:color w:val="auto"/>
                <w:lang w:val="en-US" w:eastAsia="zh-CN"/>
              </w:rPr>
              <w:t>10</w:t>
            </w:r>
          </w:p>
        </w:tc>
        <w:tc>
          <w:tcPr>
            <w:tcW w:w="203" w:type="pct"/>
            <w:vMerge w:val="continue"/>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77</w:t>
            </w:r>
          </w:p>
        </w:tc>
        <w:tc>
          <w:tcPr>
            <w:tcW w:w="268" w:type="pct"/>
            <w:vMerge w:val="continue"/>
            <w:vAlign w:val="center"/>
          </w:tcPr>
          <w:p>
            <w:pPr>
              <w:jc w:val="center"/>
              <w:rPr>
                <w:b/>
                <w:bCs/>
                <w:color w:val="auto"/>
              </w:rPr>
            </w:pPr>
          </w:p>
        </w:tc>
        <w:tc>
          <w:tcPr>
            <w:tcW w:w="403" w:type="pct"/>
            <w:vMerge w:val="continue"/>
          </w:tcPr>
          <w:p>
            <w:pPr>
              <w:jc w:val="center"/>
              <w:rPr>
                <w:color w:val="auto"/>
              </w:rPr>
            </w:pPr>
          </w:p>
        </w:tc>
        <w:tc>
          <w:tcPr>
            <w:tcW w:w="557" w:type="pct"/>
            <w:vMerge w:val="continue"/>
          </w:tcPr>
          <w:p>
            <w:pPr>
              <w:jc w:val="center"/>
              <w:rPr>
                <w:color w:val="auto"/>
              </w:rPr>
            </w:pPr>
          </w:p>
        </w:tc>
        <w:tc>
          <w:tcPr>
            <w:tcW w:w="910" w:type="pct"/>
            <w:vAlign w:val="center"/>
          </w:tcPr>
          <w:p>
            <w:pPr>
              <w:jc w:val="left"/>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生产工艺及装备</w:t>
            </w:r>
          </w:p>
        </w:tc>
        <w:tc>
          <w:tcPr>
            <w:tcW w:w="1142" w:type="pct"/>
            <w:vAlign w:val="center"/>
          </w:tcPr>
          <w:p>
            <w:pPr>
              <w:jc w:val="center"/>
              <w:rPr>
                <w:rFonts w:hint="default" w:eastAsia="宋体"/>
                <w:color w:val="auto"/>
                <w:lang w:val="en-US" w:eastAsia="zh-CN"/>
              </w:rPr>
            </w:pPr>
            <w:r>
              <w:rPr>
                <w:rFonts w:hint="eastAsia"/>
                <w:color w:val="auto"/>
                <w:lang w:val="en-US" w:eastAsia="zh-CN"/>
              </w:rPr>
              <w:t>企业应披露其主要生产工艺路线及装备规模</w:t>
            </w:r>
          </w:p>
        </w:tc>
        <w:tc>
          <w:tcPr>
            <w:tcW w:w="1114" w:type="pct"/>
            <w:vAlign w:val="center"/>
          </w:tcPr>
          <w:p>
            <w:pPr>
              <w:jc w:val="center"/>
              <w:rPr>
                <w:rFonts w:hint="eastAsia"/>
                <w:color w:val="auto"/>
                <w:lang w:val="en-US" w:eastAsia="zh-CN"/>
              </w:rPr>
            </w:pPr>
            <w:r>
              <w:rPr>
                <w:rFonts w:hint="eastAsia"/>
                <w:color w:val="auto"/>
                <w:lang w:val="en-US" w:eastAsia="zh-CN"/>
              </w:rPr>
              <w:t>企业无相关信息披露得0分，披露部分相关信息得5分，披露全部相关信息得10分；</w:t>
            </w:r>
          </w:p>
        </w:tc>
        <w:tc>
          <w:tcPr>
            <w:tcW w:w="193" w:type="pct"/>
            <w:vAlign w:val="center"/>
          </w:tcPr>
          <w:p>
            <w:pPr>
              <w:jc w:val="center"/>
              <w:rPr>
                <w:rFonts w:hint="default"/>
                <w:color w:val="auto"/>
                <w:lang w:val="en-US" w:eastAsia="zh-CN"/>
              </w:rPr>
            </w:pPr>
            <w:r>
              <w:rPr>
                <w:rFonts w:hint="eastAsia"/>
                <w:color w:val="auto"/>
                <w:lang w:val="en-US" w:eastAsia="zh-CN"/>
              </w:rPr>
              <w:t>10</w:t>
            </w:r>
          </w:p>
        </w:tc>
        <w:tc>
          <w:tcPr>
            <w:tcW w:w="203" w:type="pct"/>
            <w:vMerge w:val="continue"/>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78</w:t>
            </w:r>
          </w:p>
        </w:tc>
        <w:tc>
          <w:tcPr>
            <w:tcW w:w="268" w:type="pct"/>
            <w:vMerge w:val="continue"/>
            <w:vAlign w:val="center"/>
          </w:tcPr>
          <w:p>
            <w:pPr>
              <w:jc w:val="center"/>
              <w:rPr>
                <w:b/>
                <w:bCs/>
                <w:color w:val="auto"/>
              </w:rPr>
            </w:pPr>
          </w:p>
        </w:tc>
        <w:tc>
          <w:tcPr>
            <w:tcW w:w="403" w:type="pct"/>
            <w:vMerge w:val="continue"/>
          </w:tcPr>
          <w:p>
            <w:pPr>
              <w:jc w:val="center"/>
              <w:rPr>
                <w:color w:val="auto"/>
              </w:rPr>
            </w:pPr>
          </w:p>
        </w:tc>
        <w:tc>
          <w:tcPr>
            <w:tcW w:w="557" w:type="pct"/>
            <w:vMerge w:val="continue"/>
          </w:tcPr>
          <w:p>
            <w:pPr>
              <w:jc w:val="center"/>
              <w:rPr>
                <w:color w:val="auto"/>
              </w:rPr>
            </w:pPr>
          </w:p>
        </w:tc>
        <w:tc>
          <w:tcPr>
            <w:tcW w:w="910" w:type="pct"/>
            <w:vAlign w:val="center"/>
          </w:tcPr>
          <w:p>
            <w:pPr>
              <w:jc w:val="left"/>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人均产钢量</w:t>
            </w:r>
          </w:p>
        </w:tc>
        <w:tc>
          <w:tcPr>
            <w:tcW w:w="1142" w:type="pct"/>
            <w:vAlign w:val="center"/>
          </w:tcPr>
          <w:p>
            <w:pPr>
              <w:jc w:val="center"/>
              <w:rPr>
                <w:rFonts w:hint="default" w:eastAsia="宋体"/>
                <w:color w:val="auto"/>
                <w:lang w:val="en-US" w:eastAsia="zh-CN"/>
              </w:rPr>
            </w:pPr>
            <w:r>
              <w:rPr>
                <w:rFonts w:hint="eastAsia"/>
                <w:color w:val="auto"/>
                <w:lang w:val="en-US" w:eastAsia="zh-CN"/>
              </w:rPr>
              <w:t>人均产钢量（吨/年.人）=年粗钢总产量（吨）/生产性员工人数（人）</w:t>
            </w:r>
          </w:p>
        </w:tc>
        <w:tc>
          <w:tcPr>
            <w:tcW w:w="1114" w:type="pct"/>
            <w:vAlign w:val="center"/>
          </w:tcPr>
          <w:p>
            <w:pPr>
              <w:jc w:val="center"/>
              <w:rPr>
                <w:rFonts w:hint="eastAsia"/>
                <w:color w:val="auto"/>
                <w:lang w:val="en-US" w:eastAsia="zh-CN"/>
              </w:rPr>
            </w:pPr>
            <w:r>
              <w:rPr>
                <w:rFonts w:hint="eastAsia"/>
                <w:b w:val="0"/>
                <w:bCs w:val="0"/>
                <w:color w:val="auto"/>
                <w:lang w:val="en-US" w:eastAsia="zh-CN"/>
              </w:rPr>
              <w:t>未达到行业平均水平得0分，达到行业平均水平得5分，达到行业先进水平得10分；</w:t>
            </w:r>
          </w:p>
        </w:tc>
        <w:tc>
          <w:tcPr>
            <w:tcW w:w="193" w:type="pct"/>
            <w:vAlign w:val="center"/>
          </w:tcPr>
          <w:p>
            <w:pPr>
              <w:jc w:val="center"/>
              <w:rPr>
                <w:rFonts w:hint="default"/>
                <w:color w:val="auto"/>
                <w:lang w:val="en-US" w:eastAsia="zh-CN"/>
              </w:rPr>
            </w:pPr>
            <w:r>
              <w:rPr>
                <w:rFonts w:hint="eastAsia"/>
                <w:color w:val="auto"/>
                <w:lang w:val="en-US" w:eastAsia="zh-CN"/>
              </w:rPr>
              <w:t>10</w:t>
            </w:r>
          </w:p>
        </w:tc>
        <w:tc>
          <w:tcPr>
            <w:tcW w:w="203" w:type="pct"/>
            <w:vMerge w:val="continue"/>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79</w:t>
            </w:r>
          </w:p>
        </w:tc>
        <w:tc>
          <w:tcPr>
            <w:tcW w:w="268" w:type="pct"/>
            <w:vMerge w:val="continue"/>
            <w:vAlign w:val="center"/>
          </w:tcPr>
          <w:p>
            <w:pPr>
              <w:jc w:val="center"/>
              <w:rPr>
                <w:b/>
                <w:bCs/>
                <w:color w:val="auto"/>
              </w:rPr>
            </w:pPr>
          </w:p>
        </w:tc>
        <w:tc>
          <w:tcPr>
            <w:tcW w:w="403" w:type="pct"/>
            <w:vMerge w:val="continue"/>
            <w:vAlign w:val="center"/>
          </w:tcPr>
          <w:p>
            <w:pPr>
              <w:jc w:val="center"/>
              <w:rPr>
                <w:color w:val="auto"/>
              </w:rPr>
            </w:pPr>
          </w:p>
        </w:tc>
        <w:tc>
          <w:tcPr>
            <w:tcW w:w="557" w:type="pct"/>
            <w:vMerge w:val="restart"/>
            <w:vAlign w:val="center"/>
          </w:tcPr>
          <w:p>
            <w:pPr>
              <w:jc w:val="center"/>
              <w:rPr>
                <w:rFonts w:hint="default" w:eastAsia="宋体"/>
                <w:color w:val="auto"/>
                <w:lang w:val="en-US" w:eastAsia="zh-CN"/>
              </w:rPr>
            </w:pPr>
            <w:r>
              <w:rPr>
                <w:rFonts w:hint="eastAsia"/>
                <w:color w:val="auto"/>
                <w:lang w:val="en-US" w:eastAsia="zh-CN"/>
              </w:rPr>
              <w:t>创新发展</w:t>
            </w:r>
          </w:p>
        </w:tc>
        <w:tc>
          <w:tcPr>
            <w:tcW w:w="910" w:type="pct"/>
            <w:vAlign w:val="center"/>
          </w:tcPr>
          <w:p>
            <w:pPr>
              <w:jc w:val="left"/>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研发与创新管理体系</w:t>
            </w:r>
          </w:p>
        </w:tc>
        <w:tc>
          <w:tcPr>
            <w:tcW w:w="1142" w:type="pct"/>
            <w:vAlign w:val="center"/>
          </w:tcPr>
          <w:p>
            <w:pPr>
              <w:jc w:val="center"/>
              <w:rPr>
                <w:rFonts w:hint="default" w:eastAsia="宋体"/>
                <w:color w:val="auto"/>
                <w:lang w:val="en-US" w:eastAsia="zh-CN"/>
              </w:rPr>
            </w:pPr>
            <w:r>
              <w:rPr>
                <w:rFonts w:hint="eastAsia"/>
                <w:color w:val="auto"/>
                <w:lang w:val="en-US" w:eastAsia="zh-CN"/>
              </w:rPr>
              <w:t>企业应具备研发与创新管理体系、制度，并进行高新技术企业或技术中心认定</w:t>
            </w:r>
          </w:p>
        </w:tc>
        <w:tc>
          <w:tcPr>
            <w:tcW w:w="1114" w:type="pct"/>
            <w:vAlign w:val="center"/>
          </w:tcPr>
          <w:p>
            <w:pPr>
              <w:jc w:val="center"/>
              <w:rPr>
                <w:rFonts w:hint="default"/>
                <w:color w:val="auto"/>
                <w:lang w:val="en-US" w:eastAsia="zh-CN"/>
              </w:rPr>
            </w:pPr>
            <w:r>
              <w:rPr>
                <w:rFonts w:hint="eastAsia"/>
                <w:color w:val="auto"/>
                <w:lang w:val="en-US" w:eastAsia="zh-CN"/>
              </w:rPr>
              <w:t>企业不具备研发与创新管理体系，也未进行高新技术企业和技术中心等认定得0分；企业具备研发与创新管理体系，并进行了高新技术企业或技术中心等认定得10分；</w:t>
            </w:r>
          </w:p>
        </w:tc>
        <w:tc>
          <w:tcPr>
            <w:tcW w:w="193" w:type="pct"/>
            <w:vAlign w:val="center"/>
          </w:tcPr>
          <w:p>
            <w:pPr>
              <w:jc w:val="center"/>
              <w:rPr>
                <w:rFonts w:hint="default"/>
                <w:color w:val="auto"/>
                <w:lang w:val="en-US" w:eastAsia="zh-CN"/>
              </w:rPr>
            </w:pPr>
            <w:r>
              <w:rPr>
                <w:rFonts w:hint="eastAsia"/>
                <w:color w:val="auto"/>
                <w:lang w:val="en-US" w:eastAsia="zh-CN"/>
              </w:rPr>
              <w:t>10</w:t>
            </w:r>
          </w:p>
        </w:tc>
        <w:tc>
          <w:tcPr>
            <w:tcW w:w="203" w:type="pct"/>
            <w:vMerge w:val="continue"/>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80</w:t>
            </w:r>
          </w:p>
        </w:tc>
        <w:tc>
          <w:tcPr>
            <w:tcW w:w="268" w:type="pct"/>
            <w:vMerge w:val="continue"/>
            <w:vAlign w:val="center"/>
          </w:tcPr>
          <w:p>
            <w:pPr>
              <w:jc w:val="center"/>
              <w:rPr>
                <w:b/>
                <w:bCs/>
                <w:color w:val="auto"/>
              </w:rPr>
            </w:pPr>
          </w:p>
        </w:tc>
        <w:tc>
          <w:tcPr>
            <w:tcW w:w="403" w:type="pct"/>
            <w:vMerge w:val="continue"/>
            <w:vAlign w:val="center"/>
          </w:tcPr>
          <w:p>
            <w:pPr>
              <w:jc w:val="center"/>
              <w:rPr>
                <w:color w:val="auto"/>
              </w:rPr>
            </w:pPr>
          </w:p>
        </w:tc>
        <w:tc>
          <w:tcPr>
            <w:tcW w:w="557" w:type="pct"/>
            <w:vMerge w:val="continue"/>
            <w:vAlign w:val="center"/>
          </w:tcPr>
          <w:p>
            <w:pPr>
              <w:jc w:val="center"/>
              <w:rPr>
                <w:rFonts w:ascii="Times New Roman" w:hAnsi="Times New Roman" w:eastAsia="宋体" w:cs="Times New Roman"/>
                <w:color w:val="auto"/>
                <w:kern w:val="2"/>
                <w:sz w:val="21"/>
                <w:szCs w:val="21"/>
                <w:lang w:val="en-US" w:eastAsia="zh-CN" w:bidi="ar-SA"/>
              </w:rPr>
            </w:pPr>
          </w:p>
        </w:tc>
        <w:tc>
          <w:tcPr>
            <w:tcW w:w="910" w:type="pct"/>
            <w:vAlign w:val="center"/>
          </w:tcPr>
          <w:p>
            <w:pPr>
              <w:jc w:val="left"/>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研发投入</w:t>
            </w:r>
          </w:p>
        </w:tc>
        <w:tc>
          <w:tcPr>
            <w:tcW w:w="1142" w:type="pct"/>
            <w:vAlign w:val="center"/>
          </w:tcPr>
          <w:p>
            <w:pPr>
              <w:jc w:val="center"/>
              <w:rPr>
                <w:rFonts w:hint="default" w:eastAsia="宋体"/>
                <w:color w:val="auto"/>
                <w:lang w:val="en-US" w:eastAsia="zh-CN"/>
              </w:rPr>
            </w:pPr>
            <w:r>
              <w:rPr>
                <w:rFonts w:hint="eastAsia"/>
                <w:color w:val="auto"/>
                <w:lang w:val="en-US" w:eastAsia="zh-CN"/>
              </w:rPr>
              <w:t>企业应披露研发人员和资金投入，以及占总生产人员和主营业务收入比例</w:t>
            </w:r>
          </w:p>
        </w:tc>
        <w:tc>
          <w:tcPr>
            <w:tcW w:w="1114" w:type="pct"/>
            <w:vAlign w:val="center"/>
          </w:tcPr>
          <w:p>
            <w:pPr>
              <w:jc w:val="center"/>
              <w:rPr>
                <w:rFonts w:hint="eastAsia"/>
                <w:color w:val="auto"/>
                <w:lang w:val="en-US" w:eastAsia="zh-CN"/>
              </w:rPr>
            </w:pPr>
            <w:r>
              <w:rPr>
                <w:rFonts w:hint="eastAsia"/>
                <w:b w:val="0"/>
                <w:bCs w:val="0"/>
                <w:color w:val="auto"/>
                <w:lang w:val="en-US" w:eastAsia="zh-CN"/>
              </w:rPr>
              <w:t>未达到行业平均水平得0分，达到行业平均水平得5分，达到行业先进水平得10分；</w:t>
            </w:r>
          </w:p>
        </w:tc>
        <w:tc>
          <w:tcPr>
            <w:tcW w:w="193" w:type="pct"/>
            <w:vAlign w:val="center"/>
          </w:tcPr>
          <w:p>
            <w:pPr>
              <w:jc w:val="center"/>
              <w:rPr>
                <w:rFonts w:hint="default"/>
                <w:color w:val="auto"/>
                <w:lang w:val="en-US" w:eastAsia="zh-CN"/>
              </w:rPr>
            </w:pPr>
            <w:r>
              <w:rPr>
                <w:rFonts w:hint="eastAsia"/>
                <w:color w:val="auto"/>
                <w:lang w:val="en-US" w:eastAsia="zh-CN"/>
              </w:rPr>
              <w:t>10</w:t>
            </w:r>
          </w:p>
        </w:tc>
        <w:tc>
          <w:tcPr>
            <w:tcW w:w="203" w:type="pct"/>
            <w:vMerge w:val="continue"/>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81</w:t>
            </w:r>
          </w:p>
        </w:tc>
        <w:tc>
          <w:tcPr>
            <w:tcW w:w="268" w:type="pct"/>
            <w:vMerge w:val="continue"/>
            <w:vAlign w:val="center"/>
          </w:tcPr>
          <w:p>
            <w:pPr>
              <w:jc w:val="center"/>
              <w:rPr>
                <w:b/>
                <w:bCs/>
                <w:color w:val="auto"/>
              </w:rPr>
            </w:pPr>
          </w:p>
        </w:tc>
        <w:tc>
          <w:tcPr>
            <w:tcW w:w="403" w:type="pct"/>
            <w:vMerge w:val="continue"/>
            <w:vAlign w:val="center"/>
          </w:tcPr>
          <w:p>
            <w:pPr>
              <w:jc w:val="center"/>
              <w:rPr>
                <w:color w:val="auto"/>
              </w:rPr>
            </w:pPr>
          </w:p>
        </w:tc>
        <w:tc>
          <w:tcPr>
            <w:tcW w:w="557" w:type="pct"/>
            <w:vMerge w:val="continue"/>
            <w:vAlign w:val="center"/>
          </w:tcPr>
          <w:p>
            <w:pPr>
              <w:jc w:val="center"/>
              <w:rPr>
                <w:color w:val="auto"/>
              </w:rPr>
            </w:pPr>
          </w:p>
        </w:tc>
        <w:tc>
          <w:tcPr>
            <w:tcW w:w="910" w:type="pct"/>
            <w:vAlign w:val="center"/>
          </w:tcPr>
          <w:p>
            <w:pPr>
              <w:jc w:val="left"/>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创新成果</w:t>
            </w:r>
          </w:p>
        </w:tc>
        <w:tc>
          <w:tcPr>
            <w:tcW w:w="1142" w:type="pct"/>
            <w:vAlign w:val="center"/>
          </w:tcPr>
          <w:p>
            <w:pPr>
              <w:jc w:val="center"/>
              <w:rPr>
                <w:rFonts w:hint="default" w:eastAsia="宋体"/>
                <w:color w:val="auto"/>
                <w:lang w:val="en-US" w:eastAsia="zh-CN"/>
              </w:rPr>
            </w:pPr>
            <w:r>
              <w:rPr>
                <w:rFonts w:hint="eastAsia"/>
                <w:color w:val="auto"/>
                <w:lang w:val="en-US" w:eastAsia="zh-CN"/>
              </w:rPr>
              <w:t>企业应披露其申请专利数及授权数、商标及软件著作权，新产品研发及技术开发科技成果等</w:t>
            </w:r>
          </w:p>
        </w:tc>
        <w:tc>
          <w:tcPr>
            <w:tcW w:w="1114" w:type="pct"/>
            <w:vAlign w:val="center"/>
          </w:tcPr>
          <w:p>
            <w:pPr>
              <w:jc w:val="center"/>
              <w:rPr>
                <w:rFonts w:hint="eastAsia"/>
                <w:color w:val="auto"/>
                <w:lang w:val="en-US" w:eastAsia="zh-CN"/>
              </w:rPr>
            </w:pPr>
            <w:r>
              <w:rPr>
                <w:rFonts w:hint="eastAsia"/>
                <w:color w:val="auto"/>
                <w:highlight w:val="none"/>
                <w:lang w:val="en-US" w:eastAsia="zh-CN"/>
              </w:rPr>
              <w:t>企业无相关信息披露得0分，披露2项以上得5分，披露4项以上得10分；</w:t>
            </w:r>
          </w:p>
        </w:tc>
        <w:tc>
          <w:tcPr>
            <w:tcW w:w="193" w:type="pct"/>
            <w:vAlign w:val="center"/>
          </w:tcPr>
          <w:p>
            <w:pPr>
              <w:jc w:val="center"/>
              <w:rPr>
                <w:rFonts w:hint="default"/>
                <w:color w:val="auto"/>
                <w:lang w:val="en-US" w:eastAsia="zh-CN"/>
              </w:rPr>
            </w:pPr>
            <w:r>
              <w:rPr>
                <w:rFonts w:hint="eastAsia"/>
                <w:color w:val="auto"/>
                <w:lang w:val="en-US" w:eastAsia="zh-CN"/>
              </w:rPr>
              <w:t>10</w:t>
            </w:r>
          </w:p>
        </w:tc>
        <w:tc>
          <w:tcPr>
            <w:tcW w:w="203" w:type="pct"/>
            <w:vMerge w:val="continue"/>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82</w:t>
            </w:r>
          </w:p>
        </w:tc>
        <w:tc>
          <w:tcPr>
            <w:tcW w:w="268" w:type="pct"/>
            <w:vMerge w:val="continue"/>
            <w:vAlign w:val="center"/>
          </w:tcPr>
          <w:p>
            <w:pPr>
              <w:jc w:val="center"/>
              <w:rPr>
                <w:b/>
                <w:bCs/>
                <w:color w:val="auto"/>
              </w:rPr>
            </w:pPr>
          </w:p>
        </w:tc>
        <w:tc>
          <w:tcPr>
            <w:tcW w:w="403" w:type="pct"/>
            <w:vMerge w:val="continue"/>
            <w:vAlign w:val="center"/>
          </w:tcPr>
          <w:p>
            <w:pPr>
              <w:jc w:val="center"/>
              <w:rPr>
                <w:color w:val="auto"/>
              </w:rPr>
            </w:pPr>
          </w:p>
        </w:tc>
        <w:tc>
          <w:tcPr>
            <w:tcW w:w="557" w:type="pct"/>
            <w:vMerge w:val="continue"/>
            <w:vAlign w:val="center"/>
          </w:tcPr>
          <w:p>
            <w:pPr>
              <w:jc w:val="center"/>
              <w:rPr>
                <w:color w:val="auto"/>
              </w:rPr>
            </w:pPr>
          </w:p>
        </w:tc>
        <w:tc>
          <w:tcPr>
            <w:tcW w:w="910" w:type="pct"/>
            <w:vAlign w:val="center"/>
          </w:tcPr>
          <w:p>
            <w:pPr>
              <w:jc w:val="left"/>
              <w:rPr>
                <w:rFonts w:hint="default"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管理创新</w:t>
            </w:r>
          </w:p>
        </w:tc>
        <w:tc>
          <w:tcPr>
            <w:tcW w:w="1142" w:type="pct"/>
            <w:vAlign w:val="center"/>
          </w:tcPr>
          <w:p>
            <w:pPr>
              <w:jc w:val="center"/>
              <w:rPr>
                <w:rFonts w:hint="default" w:eastAsia="宋体"/>
                <w:color w:val="auto"/>
                <w:lang w:val="en-US" w:eastAsia="zh-CN"/>
              </w:rPr>
            </w:pPr>
            <w:r>
              <w:rPr>
                <w:rFonts w:hint="eastAsia"/>
                <w:color w:val="auto"/>
                <w:lang w:val="en-US" w:eastAsia="zh-CN"/>
              </w:rPr>
              <w:t>企业通过引入新的管理方法、管理模式或管理系统等更有效实现组织目标的创新活动</w:t>
            </w:r>
          </w:p>
        </w:tc>
        <w:tc>
          <w:tcPr>
            <w:tcW w:w="1114" w:type="pct"/>
            <w:vAlign w:val="center"/>
          </w:tcPr>
          <w:p>
            <w:pPr>
              <w:jc w:val="center"/>
              <w:rPr>
                <w:rFonts w:hint="default"/>
                <w:color w:val="auto"/>
                <w:lang w:val="en-US" w:eastAsia="zh-CN"/>
              </w:rPr>
            </w:pPr>
            <w:r>
              <w:rPr>
                <w:rFonts w:hint="eastAsia"/>
                <w:color w:val="auto"/>
                <w:lang w:val="en-US" w:eastAsia="zh-CN"/>
              </w:rPr>
              <w:t>企业未开展管理创新活动得0分，开展管理创新活动得5分；</w:t>
            </w:r>
          </w:p>
        </w:tc>
        <w:tc>
          <w:tcPr>
            <w:tcW w:w="193" w:type="pct"/>
            <w:vAlign w:val="center"/>
          </w:tcPr>
          <w:p>
            <w:pPr>
              <w:jc w:val="center"/>
              <w:rPr>
                <w:rFonts w:hint="default"/>
                <w:color w:val="auto"/>
                <w:lang w:val="en-US" w:eastAsia="zh-CN"/>
              </w:rPr>
            </w:pPr>
            <w:r>
              <w:rPr>
                <w:rFonts w:hint="eastAsia"/>
                <w:color w:val="auto"/>
                <w:lang w:val="en-US" w:eastAsia="zh-CN"/>
              </w:rPr>
              <w:t>5</w:t>
            </w:r>
          </w:p>
        </w:tc>
        <w:tc>
          <w:tcPr>
            <w:tcW w:w="203" w:type="pct"/>
            <w:vMerge w:val="continue"/>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83</w:t>
            </w:r>
          </w:p>
        </w:tc>
        <w:tc>
          <w:tcPr>
            <w:tcW w:w="268" w:type="pct"/>
            <w:vMerge w:val="continue"/>
            <w:vAlign w:val="center"/>
          </w:tcPr>
          <w:p>
            <w:pPr>
              <w:jc w:val="center"/>
              <w:rPr>
                <w:b/>
                <w:bCs/>
                <w:color w:val="auto"/>
              </w:rPr>
            </w:pPr>
          </w:p>
        </w:tc>
        <w:tc>
          <w:tcPr>
            <w:tcW w:w="403" w:type="pct"/>
            <w:vMerge w:val="continue"/>
            <w:vAlign w:val="center"/>
          </w:tcPr>
          <w:p>
            <w:pPr>
              <w:jc w:val="center"/>
              <w:rPr>
                <w:color w:val="auto"/>
              </w:rPr>
            </w:pPr>
          </w:p>
        </w:tc>
        <w:tc>
          <w:tcPr>
            <w:tcW w:w="557" w:type="pct"/>
            <w:vMerge w:val="restart"/>
            <w:vAlign w:val="center"/>
          </w:tcPr>
          <w:p>
            <w:pPr>
              <w:jc w:val="center"/>
              <w:rPr>
                <w:rFonts w:hint="default" w:eastAsia="宋体"/>
                <w:color w:val="auto"/>
                <w:lang w:val="en-US" w:eastAsia="zh-CN"/>
              </w:rPr>
            </w:pPr>
            <w:r>
              <w:rPr>
                <w:rFonts w:hint="eastAsia"/>
                <w:color w:val="auto"/>
                <w:lang w:val="en-US" w:eastAsia="zh-CN"/>
              </w:rPr>
              <w:t>企业ESG管理</w:t>
            </w:r>
          </w:p>
        </w:tc>
        <w:tc>
          <w:tcPr>
            <w:tcW w:w="910" w:type="pct"/>
            <w:vAlign w:val="center"/>
          </w:tcPr>
          <w:p>
            <w:pPr>
              <w:jc w:val="left"/>
              <w:rPr>
                <w:rFonts w:hint="default"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ESG融入企业战略</w:t>
            </w:r>
          </w:p>
        </w:tc>
        <w:tc>
          <w:tcPr>
            <w:tcW w:w="1142" w:type="pct"/>
            <w:vAlign w:val="center"/>
          </w:tcPr>
          <w:p>
            <w:pPr>
              <w:jc w:val="center"/>
              <w:rPr>
                <w:rFonts w:hint="default" w:eastAsia="宋体"/>
                <w:color w:val="auto"/>
                <w:lang w:val="en-US" w:eastAsia="zh-CN"/>
              </w:rPr>
            </w:pPr>
            <w:r>
              <w:rPr>
                <w:rFonts w:hint="eastAsia"/>
                <w:color w:val="auto"/>
                <w:lang w:val="en-US" w:eastAsia="zh-CN"/>
              </w:rPr>
              <w:t>企业应将ESG融入战略分析、制定和实施等过程</w:t>
            </w:r>
          </w:p>
        </w:tc>
        <w:tc>
          <w:tcPr>
            <w:tcW w:w="1114" w:type="pct"/>
            <w:vAlign w:val="center"/>
          </w:tcPr>
          <w:p>
            <w:pPr>
              <w:jc w:val="center"/>
              <w:rPr>
                <w:rFonts w:hint="default"/>
                <w:color w:val="auto"/>
                <w:lang w:val="en-US" w:eastAsia="zh-CN"/>
              </w:rPr>
            </w:pPr>
            <w:r>
              <w:rPr>
                <w:rFonts w:hint="eastAsia"/>
                <w:color w:val="auto"/>
                <w:lang w:val="en-US" w:eastAsia="zh-CN"/>
              </w:rPr>
              <w:t>企业未将ESG融入企业的战略分析、制定和实施过程得0分，企业将ESG融入企业的战略分析、制定和实施全过程得5分；</w:t>
            </w:r>
          </w:p>
        </w:tc>
        <w:tc>
          <w:tcPr>
            <w:tcW w:w="193" w:type="pct"/>
            <w:vAlign w:val="center"/>
          </w:tcPr>
          <w:p>
            <w:pPr>
              <w:jc w:val="center"/>
              <w:rPr>
                <w:rFonts w:hint="default"/>
                <w:color w:val="auto"/>
                <w:lang w:val="en-US" w:eastAsia="zh-CN"/>
              </w:rPr>
            </w:pPr>
            <w:r>
              <w:rPr>
                <w:rFonts w:hint="eastAsia"/>
                <w:color w:val="auto"/>
                <w:lang w:val="en-US" w:eastAsia="zh-CN"/>
              </w:rPr>
              <w:t>5</w:t>
            </w:r>
          </w:p>
        </w:tc>
        <w:tc>
          <w:tcPr>
            <w:tcW w:w="203" w:type="pct"/>
            <w:vMerge w:val="continue"/>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84</w:t>
            </w:r>
          </w:p>
        </w:tc>
        <w:tc>
          <w:tcPr>
            <w:tcW w:w="268" w:type="pct"/>
            <w:vMerge w:val="continue"/>
            <w:vAlign w:val="center"/>
          </w:tcPr>
          <w:p>
            <w:pPr>
              <w:jc w:val="center"/>
              <w:rPr>
                <w:b/>
                <w:bCs/>
                <w:color w:val="auto"/>
              </w:rPr>
            </w:pPr>
          </w:p>
        </w:tc>
        <w:tc>
          <w:tcPr>
            <w:tcW w:w="403" w:type="pct"/>
            <w:vMerge w:val="continue"/>
            <w:vAlign w:val="center"/>
          </w:tcPr>
          <w:p>
            <w:pPr>
              <w:jc w:val="center"/>
              <w:rPr>
                <w:color w:val="auto"/>
              </w:rPr>
            </w:pPr>
          </w:p>
        </w:tc>
        <w:tc>
          <w:tcPr>
            <w:tcW w:w="557" w:type="pct"/>
            <w:vMerge w:val="continue"/>
            <w:vAlign w:val="center"/>
          </w:tcPr>
          <w:p>
            <w:pPr>
              <w:jc w:val="center"/>
              <w:rPr>
                <w:color w:val="auto"/>
              </w:rPr>
            </w:pPr>
          </w:p>
        </w:tc>
        <w:tc>
          <w:tcPr>
            <w:tcW w:w="910" w:type="pct"/>
            <w:vAlign w:val="center"/>
          </w:tcPr>
          <w:p>
            <w:pPr>
              <w:jc w:val="left"/>
              <w:rPr>
                <w:rFonts w:hint="default"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ESG融入经营管理</w:t>
            </w:r>
          </w:p>
        </w:tc>
        <w:tc>
          <w:tcPr>
            <w:tcW w:w="1142" w:type="pct"/>
            <w:vAlign w:val="center"/>
          </w:tcPr>
          <w:p>
            <w:pPr>
              <w:jc w:val="center"/>
              <w:rPr>
                <w:rFonts w:hint="default" w:eastAsia="宋体"/>
                <w:color w:val="auto"/>
                <w:lang w:val="en-US" w:eastAsia="zh-CN"/>
              </w:rPr>
            </w:pPr>
            <w:r>
              <w:rPr>
                <w:rFonts w:hint="eastAsia"/>
                <w:color w:val="auto"/>
                <w:lang w:val="en-US" w:eastAsia="zh-CN"/>
              </w:rPr>
              <w:t>企业应将ESG融入经营管理过程</w:t>
            </w:r>
          </w:p>
        </w:tc>
        <w:tc>
          <w:tcPr>
            <w:tcW w:w="1114" w:type="pct"/>
            <w:vAlign w:val="center"/>
          </w:tcPr>
          <w:p>
            <w:pPr>
              <w:jc w:val="center"/>
              <w:rPr>
                <w:rFonts w:hint="eastAsia"/>
                <w:color w:val="auto"/>
                <w:lang w:val="en-US" w:eastAsia="zh-CN"/>
              </w:rPr>
            </w:pPr>
            <w:r>
              <w:rPr>
                <w:rFonts w:hint="eastAsia"/>
                <w:color w:val="auto"/>
                <w:lang w:val="en-US" w:eastAsia="zh-CN"/>
              </w:rPr>
              <w:t>企业未将ESG融入企业的经营管理过程得0分，企业将ESG融入企业的经营管理过程得5分；</w:t>
            </w:r>
          </w:p>
        </w:tc>
        <w:tc>
          <w:tcPr>
            <w:tcW w:w="193" w:type="pct"/>
            <w:vAlign w:val="center"/>
          </w:tcPr>
          <w:p>
            <w:pPr>
              <w:jc w:val="center"/>
              <w:rPr>
                <w:rFonts w:hint="default"/>
                <w:color w:val="auto"/>
                <w:lang w:val="en-US" w:eastAsia="zh-CN"/>
              </w:rPr>
            </w:pPr>
            <w:r>
              <w:rPr>
                <w:rFonts w:hint="eastAsia"/>
                <w:color w:val="auto"/>
                <w:lang w:val="en-US" w:eastAsia="zh-CN"/>
              </w:rPr>
              <w:t>5</w:t>
            </w:r>
          </w:p>
        </w:tc>
        <w:tc>
          <w:tcPr>
            <w:tcW w:w="203" w:type="pct"/>
            <w:vMerge w:val="continue"/>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5" w:type="pct"/>
            <w:vAlign w:val="center"/>
          </w:tcPr>
          <w:p>
            <w:pPr>
              <w:jc w:val="center"/>
              <w:rPr>
                <w:rFonts w:hint="default" w:ascii="Times New Roman" w:hAnsi="Times New Roman" w:eastAsia="宋体" w:cs="Times New Roman"/>
                <w:b/>
                <w:bCs/>
                <w:color w:val="auto"/>
                <w:kern w:val="2"/>
                <w:sz w:val="21"/>
                <w:szCs w:val="21"/>
                <w:lang w:val="en-US" w:eastAsia="zh-CN" w:bidi="ar-SA"/>
              </w:rPr>
            </w:pPr>
            <w:r>
              <w:rPr>
                <w:rFonts w:hint="eastAsia"/>
                <w:b/>
                <w:bCs/>
                <w:color w:val="auto"/>
                <w:lang w:val="en-US" w:eastAsia="zh-CN"/>
              </w:rPr>
              <w:t>85</w:t>
            </w:r>
          </w:p>
        </w:tc>
        <w:tc>
          <w:tcPr>
            <w:tcW w:w="268" w:type="pct"/>
            <w:vMerge w:val="continue"/>
            <w:vAlign w:val="center"/>
          </w:tcPr>
          <w:p>
            <w:pPr>
              <w:jc w:val="center"/>
              <w:rPr>
                <w:b/>
                <w:bCs/>
                <w:color w:val="auto"/>
              </w:rPr>
            </w:pPr>
          </w:p>
        </w:tc>
        <w:tc>
          <w:tcPr>
            <w:tcW w:w="403" w:type="pct"/>
            <w:vMerge w:val="continue"/>
            <w:vAlign w:val="center"/>
          </w:tcPr>
          <w:p>
            <w:pPr>
              <w:jc w:val="center"/>
              <w:rPr>
                <w:color w:val="auto"/>
              </w:rPr>
            </w:pPr>
          </w:p>
        </w:tc>
        <w:tc>
          <w:tcPr>
            <w:tcW w:w="557" w:type="pct"/>
            <w:vMerge w:val="continue"/>
            <w:vAlign w:val="center"/>
          </w:tcPr>
          <w:p>
            <w:pPr>
              <w:jc w:val="center"/>
              <w:rPr>
                <w:color w:val="auto"/>
              </w:rPr>
            </w:pPr>
          </w:p>
        </w:tc>
        <w:tc>
          <w:tcPr>
            <w:tcW w:w="910" w:type="pct"/>
            <w:vAlign w:val="center"/>
          </w:tcPr>
          <w:p>
            <w:pPr>
              <w:jc w:val="left"/>
              <w:rPr>
                <w:rFonts w:hint="default"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ESG融入投资决策</w:t>
            </w:r>
          </w:p>
        </w:tc>
        <w:tc>
          <w:tcPr>
            <w:tcW w:w="1142" w:type="pct"/>
            <w:vAlign w:val="center"/>
          </w:tcPr>
          <w:p>
            <w:pPr>
              <w:jc w:val="center"/>
              <w:rPr>
                <w:rFonts w:hint="default" w:eastAsia="宋体"/>
                <w:color w:val="auto"/>
                <w:lang w:val="en-US" w:eastAsia="zh-CN"/>
              </w:rPr>
            </w:pPr>
            <w:r>
              <w:rPr>
                <w:rFonts w:hint="eastAsia"/>
                <w:color w:val="auto"/>
                <w:lang w:val="en-US" w:eastAsia="zh-CN"/>
              </w:rPr>
              <w:t>企业应将ESG融入投资决策过程</w:t>
            </w:r>
          </w:p>
        </w:tc>
        <w:tc>
          <w:tcPr>
            <w:tcW w:w="1114" w:type="pct"/>
            <w:vAlign w:val="center"/>
          </w:tcPr>
          <w:p>
            <w:pPr>
              <w:jc w:val="center"/>
              <w:rPr>
                <w:rFonts w:hint="eastAsia"/>
                <w:color w:val="auto"/>
                <w:lang w:val="en-US" w:eastAsia="zh-CN"/>
              </w:rPr>
            </w:pPr>
            <w:r>
              <w:rPr>
                <w:rFonts w:hint="eastAsia"/>
                <w:color w:val="auto"/>
                <w:lang w:val="en-US" w:eastAsia="zh-CN"/>
              </w:rPr>
              <w:t>企业未将ESG融入企业的投资决策过程得0分，企业将ESG融入企业的投资决策过程得5分；</w:t>
            </w:r>
          </w:p>
        </w:tc>
        <w:tc>
          <w:tcPr>
            <w:tcW w:w="193" w:type="pct"/>
            <w:vAlign w:val="center"/>
          </w:tcPr>
          <w:p>
            <w:pPr>
              <w:jc w:val="center"/>
              <w:rPr>
                <w:rFonts w:hint="default"/>
                <w:color w:val="auto"/>
                <w:lang w:val="en-US" w:eastAsia="zh-CN"/>
              </w:rPr>
            </w:pPr>
            <w:r>
              <w:rPr>
                <w:rFonts w:hint="eastAsia"/>
                <w:color w:val="auto"/>
                <w:lang w:val="en-US" w:eastAsia="zh-CN"/>
              </w:rPr>
              <w:t>5</w:t>
            </w:r>
          </w:p>
        </w:tc>
        <w:tc>
          <w:tcPr>
            <w:tcW w:w="203" w:type="pct"/>
            <w:vMerge w:val="continue"/>
            <w:vAlign w:val="center"/>
          </w:tcPr>
          <w:p>
            <w:pPr>
              <w:jc w:val="center"/>
              <w:rPr>
                <w:rFonts w:hint="eastAsia"/>
                <w:color w:val="auto"/>
                <w:lang w:val="en-US" w:eastAsia="zh-CN"/>
              </w:rPr>
            </w:pPr>
          </w:p>
        </w:tc>
      </w:tr>
    </w:tbl>
    <w:p>
      <w:pPr>
        <w:spacing w:line="360" w:lineRule="auto"/>
        <w:ind w:firstLine="420" w:firstLineChars="200"/>
        <w:jc w:val="center"/>
        <w:rPr>
          <w:rFonts w:hint="eastAsia" w:eastAsia="黑体"/>
          <w:color w:val="auto"/>
          <w:lang w:val="en-US" w:eastAsia="zh-CN"/>
        </w:rPr>
      </w:pPr>
      <w:r>
        <w:rPr>
          <w:rFonts w:hint="eastAsia" w:eastAsia="黑体"/>
          <w:color w:val="auto"/>
          <w:lang w:val="en-US" w:eastAsia="zh-CN"/>
        </w:rPr>
        <w:t>*注1：行业平均水平、先进水平以当年中国钢铁工业协会统计重点钢铁企业数据为基准；其中，行业先进水平为以高于平均水平的前20%的水平为基准。</w:t>
      </w:r>
    </w:p>
    <w:p>
      <w:pPr>
        <w:spacing w:line="360" w:lineRule="auto"/>
        <w:ind w:firstLine="420" w:firstLineChars="200"/>
        <w:jc w:val="center"/>
        <w:rPr>
          <w:rFonts w:eastAsia="黑体"/>
          <w:color w:val="auto"/>
        </w:rPr>
      </w:pPr>
      <w:r>
        <w:rPr>
          <w:rFonts w:hint="eastAsia" w:eastAsia="黑体"/>
          <w:color w:val="auto"/>
          <w:lang w:val="en-US" w:eastAsia="zh-CN"/>
        </w:rPr>
        <w:t>*注2：62、63和64的治理结构中，当公司具备三会一层时采用62和63评价；当公司不具备三会一层，或部分时采用64进行评价。</w:t>
      </w:r>
    </w:p>
    <w:p>
      <w:pPr>
        <w:spacing w:line="360" w:lineRule="auto"/>
        <w:ind w:firstLine="420" w:firstLineChars="200"/>
        <w:jc w:val="center"/>
        <w:outlineLvl w:val="0"/>
        <w:rPr>
          <w:color w:val="auto"/>
        </w:rPr>
        <w:sectPr>
          <w:footerReference r:id="rId6" w:type="default"/>
          <w:pgSz w:w="16838" w:h="11906" w:orient="landscape"/>
          <w:pgMar w:top="1418" w:right="567" w:bottom="1134" w:left="1134" w:header="1418" w:footer="1134" w:gutter="0"/>
          <w:cols w:space="720" w:num="1"/>
          <w:formProt w:val="0"/>
          <w:docGrid w:type="lines" w:linePitch="312" w:charSpace="0"/>
        </w:sectPr>
      </w:pPr>
    </w:p>
    <w:p>
      <w:pPr>
        <w:spacing w:line="360" w:lineRule="auto"/>
        <w:ind w:firstLine="420" w:firstLineChars="200"/>
        <w:jc w:val="center"/>
        <w:outlineLvl w:val="0"/>
        <w:rPr>
          <w:rFonts w:hint="eastAsia" w:eastAsia="黑体"/>
          <w:color w:val="auto"/>
          <w:szCs w:val="21"/>
        </w:rPr>
      </w:pPr>
      <w:bookmarkStart w:id="59" w:name="_Toc19819"/>
      <w:r>
        <w:rPr>
          <w:rFonts w:eastAsia="黑体"/>
          <w:color w:val="auto"/>
          <w:szCs w:val="21"/>
        </w:rPr>
        <w:t xml:space="preserve">附  录  </w:t>
      </w:r>
      <w:r>
        <w:rPr>
          <w:rFonts w:hint="eastAsia" w:eastAsia="黑体"/>
          <w:color w:val="auto"/>
          <w:szCs w:val="21"/>
        </w:rPr>
        <w:t>B</w:t>
      </w:r>
      <w:bookmarkEnd w:id="59"/>
    </w:p>
    <w:p>
      <w:pPr>
        <w:keepNext w:val="0"/>
        <w:keepLines w:val="0"/>
        <w:pageBreakBefore w:val="0"/>
        <w:kinsoku/>
        <w:wordWrap/>
        <w:overflowPunct/>
        <w:topLinePunct w:val="0"/>
        <w:bidi w:val="0"/>
        <w:adjustRightInd/>
        <w:snapToGrid/>
        <w:spacing w:line="360" w:lineRule="auto"/>
        <w:ind w:firstLine="420" w:firstLineChars="200"/>
        <w:jc w:val="center"/>
        <w:textAlignment w:val="auto"/>
        <w:outlineLvl w:val="9"/>
        <w:rPr>
          <w:rFonts w:eastAsia="黑体"/>
          <w:color w:val="auto"/>
          <w:szCs w:val="21"/>
        </w:rPr>
      </w:pPr>
      <w:r>
        <w:rPr>
          <w:rFonts w:eastAsia="黑体"/>
          <w:color w:val="auto"/>
          <w:szCs w:val="21"/>
        </w:rPr>
        <w:t>（</w:t>
      </w:r>
      <w:r>
        <w:rPr>
          <w:rFonts w:hint="eastAsia" w:eastAsia="黑体"/>
          <w:color w:val="auto"/>
          <w:szCs w:val="21"/>
        </w:rPr>
        <w:t>资料</w:t>
      </w:r>
      <w:r>
        <w:rPr>
          <w:rFonts w:eastAsia="黑体"/>
          <w:color w:val="auto"/>
          <w:szCs w:val="21"/>
        </w:rPr>
        <w:t>性)</w:t>
      </w:r>
    </w:p>
    <w:p>
      <w:pPr>
        <w:keepNext w:val="0"/>
        <w:keepLines w:val="0"/>
        <w:pageBreakBefore w:val="0"/>
        <w:widowControl/>
        <w:kinsoku/>
        <w:wordWrap/>
        <w:overflowPunct/>
        <w:topLinePunct w:val="0"/>
        <w:bidi w:val="0"/>
        <w:adjustRightInd/>
        <w:snapToGrid/>
        <w:jc w:val="center"/>
        <w:textAlignment w:val="auto"/>
        <w:outlineLvl w:val="9"/>
        <w:rPr>
          <w:rFonts w:ascii="宋体" w:hAnsi="宋体"/>
          <w:b/>
          <w:bCs/>
          <w:color w:val="auto"/>
          <w:szCs w:val="21"/>
        </w:rPr>
      </w:pPr>
      <w:r>
        <w:rPr>
          <w:rFonts w:hint="eastAsia" w:eastAsia="黑体"/>
          <w:color w:val="auto"/>
          <w:szCs w:val="21"/>
        </w:rPr>
        <w:t>钢铁企业ESG评价总分值计算公式</w:t>
      </w:r>
    </w:p>
    <w:p>
      <w:pPr>
        <w:pStyle w:val="26"/>
        <w:keepNext w:val="0"/>
        <w:keepLines w:val="0"/>
        <w:pageBreakBefore w:val="0"/>
        <w:kinsoku/>
        <w:wordWrap/>
        <w:overflowPunct/>
        <w:topLinePunct w:val="0"/>
        <w:bidi w:val="0"/>
        <w:adjustRightInd/>
        <w:snapToGrid/>
        <w:textAlignment w:val="auto"/>
        <w:outlineLvl w:val="9"/>
        <w:rPr>
          <w:rFonts w:ascii="Times New Roman"/>
          <w:color w:val="auto"/>
        </w:rPr>
      </w:pPr>
    </w:p>
    <w:p>
      <w:pPr>
        <w:pStyle w:val="26"/>
        <w:keepNext w:val="0"/>
        <w:keepLines w:val="0"/>
        <w:pageBreakBefore w:val="0"/>
        <w:kinsoku/>
        <w:wordWrap/>
        <w:overflowPunct/>
        <w:topLinePunct w:val="0"/>
        <w:bidi w:val="0"/>
        <w:adjustRightInd/>
        <w:snapToGrid/>
        <w:textAlignment w:val="auto"/>
        <w:outlineLvl w:val="9"/>
        <w:rPr>
          <w:rFonts w:ascii="Times New Roman"/>
          <w:color w:val="auto"/>
        </w:rPr>
      </w:pPr>
      <w:r>
        <w:rPr>
          <w:rFonts w:hint="eastAsia" w:ascii="Times New Roman"/>
          <w:color w:val="auto"/>
        </w:rPr>
        <w:t>钢铁企业ESG</w:t>
      </w:r>
      <w:r>
        <w:rPr>
          <w:rFonts w:ascii="Times New Roman"/>
          <w:color w:val="auto"/>
        </w:rPr>
        <w:t>综合评分由</w:t>
      </w:r>
      <w:r>
        <w:rPr>
          <w:rFonts w:hint="eastAsia" w:ascii="Times New Roman"/>
          <w:color w:val="auto"/>
        </w:rPr>
        <w:t>三</w:t>
      </w:r>
      <w:r>
        <w:rPr>
          <w:rFonts w:ascii="Times New Roman"/>
          <w:color w:val="auto"/>
        </w:rPr>
        <w:t>级指标实际分值</w:t>
      </w:r>
      <w:r>
        <w:rPr>
          <w:rFonts w:hint="eastAsia" w:ascii="Times New Roman"/>
          <w:color w:val="auto"/>
        </w:rPr>
        <w:t>W</w:t>
      </w:r>
      <w:r>
        <w:rPr>
          <w:rFonts w:ascii="Times New Roman"/>
          <w:color w:val="auto"/>
          <w:vertAlign w:val="subscript"/>
        </w:rPr>
        <w:t>ij</w:t>
      </w:r>
      <w:r>
        <w:rPr>
          <w:rFonts w:hint="eastAsia" w:ascii="Times New Roman"/>
          <w:color w:val="auto"/>
        </w:rPr>
        <w:t>乘以对应的</w:t>
      </w:r>
      <w:r>
        <w:rPr>
          <w:rFonts w:hint="eastAsia" w:ascii="Times New Roman"/>
          <w:color w:val="auto"/>
          <w:lang w:val="en-US" w:eastAsia="zh-CN"/>
        </w:rPr>
        <w:t>一级指标</w:t>
      </w:r>
      <w:r>
        <w:rPr>
          <w:rFonts w:hint="eastAsia" w:ascii="Times New Roman"/>
          <w:color w:val="auto"/>
        </w:rPr>
        <w:t>权重系数K</w:t>
      </w:r>
      <w:r>
        <w:rPr>
          <w:rFonts w:ascii="Times New Roman"/>
          <w:color w:val="auto"/>
          <w:vertAlign w:val="subscript"/>
        </w:rPr>
        <w:t>ij</w:t>
      </w:r>
      <w:r>
        <w:rPr>
          <w:rFonts w:ascii="Times New Roman"/>
          <w:color w:val="auto"/>
        </w:rPr>
        <w:t>累加后计算得出，</w:t>
      </w:r>
      <w:r>
        <w:rPr>
          <w:rFonts w:hint="eastAsia" w:ascii="Times New Roman"/>
          <w:color w:val="auto"/>
          <w:lang w:val="en-US" w:eastAsia="zh-CN"/>
        </w:rPr>
        <w:t>一</w:t>
      </w:r>
      <w:r>
        <w:rPr>
          <w:rFonts w:ascii="Times New Roman"/>
          <w:color w:val="auto"/>
        </w:rPr>
        <w:t>级指</w:t>
      </w:r>
      <w:r>
        <w:rPr>
          <w:rFonts w:ascii="Times New Roman"/>
          <w:color w:val="auto"/>
        </w:rPr>
        <w:t>标共</w:t>
      </w:r>
      <w:r>
        <w:rPr>
          <w:rFonts w:hint="eastAsia" w:ascii="Times New Roman"/>
          <w:color w:val="auto"/>
          <w:highlight w:val="none"/>
          <w:lang w:val="en-US" w:eastAsia="zh-CN"/>
        </w:rPr>
        <w:t>12</w:t>
      </w:r>
      <w:r>
        <w:rPr>
          <w:rFonts w:ascii="Times New Roman"/>
          <w:color w:val="auto"/>
          <w:highlight w:val="none"/>
        </w:rPr>
        <w:t>项，i分别为1-</w:t>
      </w:r>
      <w:r>
        <w:rPr>
          <w:rFonts w:hint="eastAsia" w:ascii="Times New Roman"/>
          <w:color w:val="auto"/>
          <w:highlight w:val="none"/>
          <w:lang w:val="en-US" w:eastAsia="zh-CN"/>
        </w:rPr>
        <w:t>12</w:t>
      </w:r>
      <w:r>
        <w:rPr>
          <w:rFonts w:ascii="Times New Roman"/>
          <w:color w:val="auto"/>
        </w:rPr>
        <w:t>；</w:t>
      </w:r>
      <w:r>
        <w:rPr>
          <w:rFonts w:hint="eastAsia" w:ascii="Times New Roman"/>
          <w:color w:val="auto"/>
        </w:rPr>
        <w:t>三级</w:t>
      </w:r>
      <w:r>
        <w:rPr>
          <w:rFonts w:ascii="Times New Roman"/>
          <w:color w:val="auto"/>
        </w:rPr>
        <w:t>指标共</w:t>
      </w:r>
      <w:r>
        <w:rPr>
          <w:rFonts w:hint="eastAsia" w:ascii="Times New Roman"/>
          <w:color w:val="auto"/>
        </w:rPr>
        <w:t>n</w:t>
      </w:r>
      <w:r>
        <w:rPr>
          <w:rFonts w:ascii="Times New Roman"/>
          <w:color w:val="auto"/>
        </w:rPr>
        <w:t>项，j分别为1-</w:t>
      </w:r>
      <w:r>
        <w:rPr>
          <w:rFonts w:hint="eastAsia" w:ascii="Times New Roman"/>
          <w:color w:val="auto"/>
        </w:rPr>
        <w:t>n</w:t>
      </w:r>
      <w:r>
        <w:rPr>
          <w:rFonts w:ascii="Times New Roman"/>
          <w:color w:val="auto"/>
        </w:rPr>
        <w:t>。计算方式如下：</w:t>
      </w:r>
    </w:p>
    <w:p>
      <w:pPr>
        <w:keepNext w:val="0"/>
        <w:keepLines w:val="0"/>
        <w:pageBreakBefore w:val="0"/>
        <w:kinsoku/>
        <w:wordWrap/>
        <w:overflowPunct/>
        <w:topLinePunct w:val="0"/>
        <w:bidi w:val="0"/>
        <w:adjustRightInd/>
        <w:snapToGrid/>
        <w:ind w:firstLine="420" w:firstLineChars="200"/>
        <w:jc w:val="right"/>
        <w:textAlignment w:val="auto"/>
        <w:outlineLvl w:val="9"/>
        <w:rPr>
          <w:color w:val="auto"/>
        </w:rPr>
      </w:pPr>
      <w:r>
        <w:rPr>
          <w:color w:val="auto"/>
          <w:position w:val="-30"/>
        </w:rPr>
        <w:object>
          <v:shape id="_x0000_i1025" o:spt="75" type="#_x0000_t75" style="height:35pt;width:80pt;" o:ole="t" filled="f" o:preferrelative="t" stroked="f" coordsize="21600,21600">
            <v:path/>
            <v:fill on="f" focussize="0,0"/>
            <v:stroke on="f"/>
            <v:imagedata r:id="rId13" o:title=""/>
            <o:lock v:ext="edit" aspectratio="t"/>
            <w10:wrap type="none"/>
            <w10:anchorlock/>
          </v:shape>
          <o:OLEObject Type="Embed" ProgID="Equation.KSEE3" ShapeID="_x0000_i1025" DrawAspect="Content" ObjectID="_1468075725" r:id="rId12">
            <o:LockedField>false</o:LockedField>
          </o:OLEObject>
        </w:object>
      </w:r>
      <w:r>
        <w:rPr>
          <w:color w:val="auto"/>
        </w:rPr>
        <w:t>……………………………………………（1）</w:t>
      </w:r>
    </w:p>
    <w:p>
      <w:pPr>
        <w:keepNext w:val="0"/>
        <w:keepLines w:val="0"/>
        <w:pageBreakBefore w:val="0"/>
        <w:kinsoku/>
        <w:wordWrap/>
        <w:overflowPunct/>
        <w:topLinePunct w:val="0"/>
        <w:bidi w:val="0"/>
        <w:adjustRightInd/>
        <w:snapToGrid/>
        <w:ind w:firstLine="420" w:firstLineChars="200"/>
        <w:jc w:val="left"/>
        <w:textAlignment w:val="auto"/>
        <w:outlineLvl w:val="9"/>
        <w:rPr>
          <w:color w:val="auto"/>
        </w:rPr>
      </w:pPr>
      <w:r>
        <w:rPr>
          <w:color w:val="auto"/>
        </w:rPr>
        <w:t>式中：</w:t>
      </w:r>
    </w:p>
    <w:p>
      <w:pPr>
        <w:keepNext w:val="0"/>
        <w:keepLines w:val="0"/>
        <w:pageBreakBefore w:val="0"/>
        <w:kinsoku/>
        <w:wordWrap/>
        <w:overflowPunct/>
        <w:topLinePunct w:val="0"/>
        <w:bidi w:val="0"/>
        <w:adjustRightInd/>
        <w:snapToGrid/>
        <w:ind w:firstLine="420" w:firstLineChars="200"/>
        <w:textAlignment w:val="auto"/>
        <w:outlineLvl w:val="9"/>
        <w:rPr>
          <w:color w:val="auto"/>
        </w:rPr>
      </w:pPr>
      <w:r>
        <w:rPr>
          <w:rFonts w:hint="eastAsia"/>
          <w:i/>
          <w:iCs/>
          <w:color w:val="auto"/>
        </w:rPr>
        <w:t>Z</w:t>
      </w:r>
      <w:r>
        <w:rPr>
          <w:i/>
          <w:iCs/>
          <w:color w:val="auto"/>
        </w:rPr>
        <w:t xml:space="preserve"> </w:t>
      </w:r>
      <w:r>
        <w:rPr>
          <w:color w:val="auto"/>
        </w:rPr>
        <w:t>——</w:t>
      </w:r>
      <w:r>
        <w:rPr>
          <w:rFonts w:hint="eastAsia"/>
          <w:color w:val="auto"/>
        </w:rPr>
        <w:t>ESG</w:t>
      </w:r>
      <w:r>
        <w:rPr>
          <w:color w:val="auto"/>
        </w:rPr>
        <w:t>综合评分，无量纲；</w:t>
      </w:r>
    </w:p>
    <w:p>
      <w:pPr>
        <w:keepNext w:val="0"/>
        <w:keepLines w:val="0"/>
        <w:pageBreakBefore w:val="0"/>
        <w:kinsoku/>
        <w:wordWrap/>
        <w:overflowPunct/>
        <w:topLinePunct w:val="0"/>
        <w:bidi w:val="0"/>
        <w:adjustRightInd/>
        <w:snapToGrid/>
        <w:ind w:left="1680" w:leftChars="200" w:hanging="1260" w:hangingChars="600"/>
        <w:textAlignment w:val="auto"/>
        <w:outlineLvl w:val="9"/>
        <w:rPr>
          <w:color w:val="auto"/>
        </w:rPr>
      </w:pPr>
      <w:r>
        <w:rPr>
          <w:rFonts w:hint="eastAsia"/>
          <w:color w:val="auto"/>
        </w:rPr>
        <w:t>W</w:t>
      </w:r>
      <w:r>
        <w:rPr>
          <w:rFonts w:hint="eastAsia"/>
          <w:color w:val="auto"/>
          <w:vertAlign w:val="subscript"/>
        </w:rPr>
        <w:t>ij</w:t>
      </w:r>
      <w:r>
        <w:rPr>
          <w:color w:val="auto"/>
        </w:rPr>
        <w:t>——第i个</w:t>
      </w:r>
      <w:r>
        <w:rPr>
          <w:rFonts w:hint="eastAsia"/>
          <w:color w:val="auto"/>
        </w:rPr>
        <w:t>二</w:t>
      </w:r>
      <w:r>
        <w:rPr>
          <w:color w:val="auto"/>
        </w:rPr>
        <w:t>级指标下，第j个</w:t>
      </w:r>
      <w:r>
        <w:rPr>
          <w:rFonts w:hint="eastAsia"/>
          <w:color w:val="auto"/>
        </w:rPr>
        <w:t>三</w:t>
      </w:r>
      <w:r>
        <w:rPr>
          <w:color w:val="auto"/>
        </w:rPr>
        <w:t>级指标的得分，无量纲；</w:t>
      </w:r>
    </w:p>
    <w:p>
      <w:pPr>
        <w:keepNext w:val="0"/>
        <w:keepLines w:val="0"/>
        <w:pageBreakBefore w:val="0"/>
        <w:kinsoku/>
        <w:wordWrap/>
        <w:overflowPunct/>
        <w:topLinePunct w:val="0"/>
        <w:bidi w:val="0"/>
        <w:adjustRightInd/>
        <w:snapToGrid/>
        <w:ind w:left="1680" w:leftChars="200" w:hanging="1260" w:hangingChars="600"/>
        <w:textAlignment w:val="auto"/>
        <w:outlineLvl w:val="9"/>
        <w:rPr>
          <w:color w:val="auto"/>
        </w:rPr>
      </w:pPr>
      <w:r>
        <w:rPr>
          <w:rFonts w:hint="eastAsia"/>
          <w:color w:val="auto"/>
        </w:rPr>
        <w:t>K</w:t>
      </w:r>
      <w:r>
        <w:rPr>
          <w:rFonts w:hint="eastAsia"/>
          <w:color w:val="auto"/>
          <w:vertAlign w:val="subscript"/>
        </w:rPr>
        <w:t>ij</w:t>
      </w:r>
      <w:r>
        <w:rPr>
          <w:color w:val="auto"/>
        </w:rPr>
        <w:t>——第i个</w:t>
      </w:r>
      <w:r>
        <w:rPr>
          <w:rFonts w:hint="eastAsia"/>
          <w:color w:val="auto"/>
        </w:rPr>
        <w:t>二</w:t>
      </w:r>
      <w:r>
        <w:rPr>
          <w:color w:val="auto"/>
        </w:rPr>
        <w:t>级指标下，第j个</w:t>
      </w:r>
      <w:r>
        <w:rPr>
          <w:rFonts w:hint="eastAsia"/>
          <w:color w:val="auto"/>
        </w:rPr>
        <w:t>三</w:t>
      </w:r>
      <w:r>
        <w:rPr>
          <w:color w:val="auto"/>
        </w:rPr>
        <w:t>级指标的</w:t>
      </w:r>
      <w:r>
        <w:rPr>
          <w:rFonts w:hint="eastAsia"/>
          <w:color w:val="auto"/>
        </w:rPr>
        <w:t>权重系数</w:t>
      </w:r>
      <w:r>
        <w:rPr>
          <w:color w:val="auto"/>
        </w:rPr>
        <w:t>，无量纲；</w:t>
      </w:r>
    </w:p>
    <w:p>
      <w:pPr>
        <w:keepNext w:val="0"/>
        <w:keepLines w:val="0"/>
        <w:pageBreakBefore w:val="0"/>
        <w:kinsoku/>
        <w:wordWrap/>
        <w:overflowPunct/>
        <w:topLinePunct w:val="0"/>
        <w:bidi w:val="0"/>
        <w:adjustRightInd/>
        <w:snapToGrid/>
        <w:ind w:left="1680" w:leftChars="200" w:hanging="1260" w:hangingChars="600"/>
        <w:textAlignment w:val="auto"/>
        <w:outlineLvl w:val="9"/>
        <w:rPr>
          <w:color w:val="auto"/>
        </w:rPr>
      </w:pPr>
      <w:r>
        <w:rPr>
          <w:rFonts w:hint="eastAsia"/>
          <w:color w:val="auto"/>
        </w:rPr>
        <w:t>（</w:t>
      </w:r>
      <w:r>
        <w:rPr>
          <w:rFonts w:hint="eastAsia"/>
          <w:color w:val="auto"/>
          <w:sz w:val="18"/>
          <w:szCs w:val="18"/>
        </w:rPr>
        <w:t>注：权重系数K</w:t>
      </w:r>
      <w:r>
        <w:rPr>
          <w:rFonts w:hint="eastAsia"/>
          <w:color w:val="auto"/>
          <w:sz w:val="18"/>
          <w:szCs w:val="18"/>
          <w:vertAlign w:val="subscript"/>
        </w:rPr>
        <w:t>ij</w:t>
      </w:r>
      <w:r>
        <w:rPr>
          <w:rFonts w:hint="eastAsia"/>
          <w:color w:val="auto"/>
          <w:sz w:val="18"/>
          <w:szCs w:val="18"/>
        </w:rPr>
        <w:t>根据一级指标的不同分别为</w:t>
      </w:r>
      <w:r>
        <w:rPr>
          <w:rFonts w:hint="eastAsia"/>
          <w:color w:val="auto"/>
          <w:sz w:val="18"/>
          <w:szCs w:val="18"/>
        </w:rPr>
        <w:t>4</w:t>
      </w:r>
      <w:r>
        <w:rPr>
          <w:rFonts w:hint="eastAsia"/>
          <w:color w:val="auto"/>
          <w:sz w:val="18"/>
          <w:szCs w:val="18"/>
          <w:lang w:val="en-US" w:eastAsia="zh-CN"/>
        </w:rPr>
        <w:t>0</w:t>
      </w:r>
      <w:r>
        <w:rPr>
          <w:rFonts w:hint="eastAsia"/>
          <w:color w:val="auto"/>
          <w:sz w:val="18"/>
          <w:szCs w:val="18"/>
        </w:rPr>
        <w:t>%、</w:t>
      </w:r>
      <w:r>
        <w:rPr>
          <w:rFonts w:hint="eastAsia"/>
          <w:color w:val="auto"/>
          <w:sz w:val="18"/>
          <w:szCs w:val="18"/>
          <w:lang w:val="en-US" w:eastAsia="zh-CN"/>
        </w:rPr>
        <w:t>35</w:t>
      </w:r>
      <w:r>
        <w:rPr>
          <w:rFonts w:hint="eastAsia"/>
          <w:color w:val="auto"/>
          <w:sz w:val="18"/>
          <w:szCs w:val="18"/>
        </w:rPr>
        <w:t>%和</w:t>
      </w:r>
      <w:r>
        <w:rPr>
          <w:rFonts w:hint="eastAsia"/>
          <w:color w:val="auto"/>
          <w:sz w:val="18"/>
          <w:szCs w:val="18"/>
          <w:lang w:val="en-US" w:eastAsia="zh-CN"/>
        </w:rPr>
        <w:t>25</w:t>
      </w:r>
      <w:r>
        <w:rPr>
          <w:rFonts w:hint="eastAsia"/>
          <w:color w:val="auto"/>
          <w:sz w:val="18"/>
          <w:szCs w:val="18"/>
        </w:rPr>
        <w:t>%</w:t>
      </w:r>
      <w:r>
        <w:rPr>
          <w:rFonts w:hint="eastAsia"/>
          <w:color w:val="auto"/>
          <w:sz w:val="18"/>
          <w:szCs w:val="18"/>
        </w:rPr>
        <w:t>，二级指标和三级指标对应的权重系数相等</w:t>
      </w:r>
      <w:r>
        <w:rPr>
          <w:rFonts w:hint="eastAsia"/>
          <w:color w:val="auto"/>
        </w:rPr>
        <w:t>）</w:t>
      </w:r>
    </w:p>
    <w:p>
      <w:pPr>
        <w:keepNext w:val="0"/>
        <w:keepLines w:val="0"/>
        <w:pageBreakBefore w:val="0"/>
        <w:kinsoku/>
        <w:wordWrap/>
        <w:overflowPunct/>
        <w:topLinePunct w:val="0"/>
        <w:bidi w:val="0"/>
        <w:adjustRightInd/>
        <w:snapToGrid/>
        <w:ind w:left="1680" w:leftChars="200" w:hanging="1260" w:hangingChars="600"/>
        <w:textAlignment w:val="auto"/>
        <w:outlineLvl w:val="9"/>
        <w:rPr>
          <w:color w:val="auto"/>
        </w:rPr>
      </w:pPr>
      <w:r>
        <w:rPr>
          <w:rFonts w:hint="eastAsia"/>
          <w:color w:val="auto"/>
        </w:rPr>
        <w:t>n</w:t>
      </w:r>
      <w:r>
        <w:rPr>
          <w:color w:val="auto"/>
        </w:rPr>
        <w:t xml:space="preserve"> ——第i项</w:t>
      </w:r>
      <w:r>
        <w:rPr>
          <w:rFonts w:hint="eastAsia"/>
          <w:color w:val="auto"/>
        </w:rPr>
        <w:t>二</w:t>
      </w:r>
      <w:r>
        <w:rPr>
          <w:color w:val="auto"/>
        </w:rPr>
        <w:t>级指标下，</w:t>
      </w:r>
      <w:r>
        <w:rPr>
          <w:rFonts w:hint="eastAsia"/>
          <w:color w:val="auto"/>
        </w:rPr>
        <w:t>三</w:t>
      </w:r>
      <w:r>
        <w:rPr>
          <w:color w:val="auto"/>
        </w:rPr>
        <w:t>级指标数量，无量纲；</w:t>
      </w:r>
    </w:p>
    <w:p>
      <w:pPr>
        <w:keepNext w:val="0"/>
        <w:keepLines w:val="0"/>
        <w:pageBreakBefore w:val="0"/>
        <w:kinsoku/>
        <w:wordWrap/>
        <w:overflowPunct/>
        <w:topLinePunct w:val="0"/>
        <w:bidi w:val="0"/>
        <w:adjustRightInd/>
        <w:snapToGrid/>
        <w:jc w:val="left"/>
        <w:textAlignment w:val="auto"/>
        <w:outlineLvl w:val="9"/>
        <w:rPr>
          <w:rFonts w:ascii="宋体" w:hAnsi="宋体"/>
          <w:b/>
          <w:bCs/>
          <w:color w:val="auto"/>
          <w:szCs w:val="21"/>
        </w:rPr>
        <w:sectPr>
          <w:footerReference r:id="rId7" w:type="default"/>
          <w:pgSz w:w="11906" w:h="16838"/>
          <w:pgMar w:top="567" w:right="1134" w:bottom="1134" w:left="1418" w:header="1418" w:footer="1134" w:gutter="0"/>
          <w:cols w:space="720" w:num="1"/>
          <w:formProt w:val="0"/>
          <w:docGrid w:type="lines" w:linePitch="312" w:charSpace="0"/>
        </w:sectPr>
      </w:pPr>
    </w:p>
    <w:p>
      <w:pPr>
        <w:spacing w:line="360" w:lineRule="auto"/>
        <w:ind w:firstLine="420" w:firstLineChars="200"/>
        <w:jc w:val="center"/>
        <w:outlineLvl w:val="0"/>
        <w:rPr>
          <w:rFonts w:hint="eastAsia" w:eastAsia="黑体"/>
          <w:color w:val="auto"/>
          <w:szCs w:val="21"/>
        </w:rPr>
      </w:pPr>
      <w:bookmarkStart w:id="60" w:name="_Toc13340"/>
      <w:r>
        <w:rPr>
          <w:rFonts w:eastAsia="黑体"/>
          <w:color w:val="auto"/>
          <w:szCs w:val="21"/>
        </w:rPr>
        <w:t xml:space="preserve">附  录  </w:t>
      </w:r>
      <w:r>
        <w:rPr>
          <w:rFonts w:hint="eastAsia" w:eastAsia="黑体"/>
          <w:color w:val="auto"/>
          <w:szCs w:val="21"/>
        </w:rPr>
        <w:t>C</w:t>
      </w:r>
      <w:bookmarkEnd w:id="60"/>
    </w:p>
    <w:p>
      <w:pPr>
        <w:spacing w:line="360" w:lineRule="auto"/>
        <w:ind w:firstLine="420" w:firstLineChars="200"/>
        <w:jc w:val="center"/>
        <w:rPr>
          <w:rFonts w:eastAsia="黑体"/>
          <w:color w:val="auto"/>
          <w:szCs w:val="21"/>
        </w:rPr>
      </w:pPr>
      <w:r>
        <w:rPr>
          <w:rFonts w:eastAsia="黑体"/>
          <w:color w:val="auto"/>
          <w:szCs w:val="21"/>
        </w:rPr>
        <w:t>（</w:t>
      </w:r>
      <w:r>
        <w:rPr>
          <w:rFonts w:hint="eastAsia" w:eastAsia="黑体"/>
          <w:color w:val="auto"/>
          <w:szCs w:val="21"/>
        </w:rPr>
        <w:t>资料</w:t>
      </w:r>
      <w:r>
        <w:rPr>
          <w:rFonts w:eastAsia="黑体"/>
          <w:color w:val="auto"/>
          <w:szCs w:val="21"/>
        </w:rPr>
        <w:t>性)</w:t>
      </w:r>
    </w:p>
    <w:p>
      <w:pPr>
        <w:widowControl/>
        <w:jc w:val="center"/>
        <w:rPr>
          <w:rFonts w:ascii="宋体" w:hAnsi="宋体"/>
          <w:b/>
          <w:bCs/>
          <w:color w:val="auto"/>
          <w:szCs w:val="21"/>
        </w:rPr>
      </w:pPr>
      <w:r>
        <w:rPr>
          <w:rFonts w:hint="eastAsia" w:eastAsia="黑体"/>
          <w:color w:val="auto"/>
          <w:szCs w:val="21"/>
        </w:rPr>
        <w:t>钢铁企业ESG评价级别</w:t>
      </w:r>
    </w:p>
    <w:p>
      <w:pPr>
        <w:pStyle w:val="26"/>
        <w:ind w:firstLine="0" w:firstLineChars="0"/>
        <w:jc w:val="center"/>
        <w:rPr>
          <w:rFonts w:ascii="Times New Roman"/>
          <w:color w:val="auto"/>
        </w:rPr>
      </w:pPr>
    </w:p>
    <w:p>
      <w:pPr>
        <w:pStyle w:val="26"/>
        <w:rPr>
          <w:rFonts w:ascii="Times New Roman"/>
          <w:color w:val="auto"/>
        </w:rPr>
      </w:pPr>
      <w:r>
        <w:rPr>
          <w:rFonts w:hint="eastAsia" w:ascii="Times New Roman"/>
          <w:color w:val="auto"/>
        </w:rPr>
        <w:t>钢铁企业ESG评价级别分级及判定规则</w:t>
      </w:r>
      <w:r>
        <w:rPr>
          <w:rFonts w:ascii="Times New Roman"/>
          <w:color w:val="auto"/>
        </w:rPr>
        <w:t>见表1。</w:t>
      </w:r>
    </w:p>
    <w:p>
      <w:pPr>
        <w:pStyle w:val="26"/>
        <w:rPr>
          <w:rFonts w:ascii="Times New Roman"/>
          <w:color w:val="auto"/>
        </w:rPr>
      </w:pPr>
    </w:p>
    <w:p>
      <w:pPr>
        <w:pStyle w:val="26"/>
        <w:ind w:firstLine="0" w:firstLineChars="0"/>
        <w:jc w:val="center"/>
        <w:rPr>
          <w:rFonts w:ascii="Times New Roman"/>
          <w:color w:val="auto"/>
        </w:rPr>
      </w:pPr>
      <w:r>
        <w:rPr>
          <w:rFonts w:ascii="Times New Roman"/>
          <w:color w:val="auto"/>
        </w:rPr>
        <w:t>表1  钢铁企业</w:t>
      </w:r>
      <w:r>
        <w:rPr>
          <w:rFonts w:hint="eastAsia" w:ascii="Times New Roman"/>
          <w:color w:val="auto"/>
        </w:rPr>
        <w:t>ESG评价级别及对应的综合评分值</w:t>
      </w:r>
    </w:p>
    <w:tbl>
      <w:tblPr>
        <w:tblStyle w:val="36"/>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2"/>
        <w:gridCol w:w="4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022" w:type="dxa"/>
            <w:noWrap w:val="0"/>
            <w:vAlign w:val="top"/>
          </w:tcPr>
          <w:p>
            <w:pPr>
              <w:pStyle w:val="26"/>
              <w:ind w:firstLine="0" w:firstLineChars="0"/>
              <w:jc w:val="center"/>
              <w:rPr>
                <w:rFonts w:ascii="Times New Roman"/>
                <w:color w:val="auto"/>
                <w:szCs w:val="18"/>
              </w:rPr>
            </w:pPr>
            <w:r>
              <w:rPr>
                <w:rFonts w:hint="eastAsia" w:ascii="Times New Roman"/>
                <w:color w:val="auto"/>
                <w:szCs w:val="18"/>
              </w:rPr>
              <w:t>ESG评级</w:t>
            </w:r>
          </w:p>
        </w:tc>
        <w:tc>
          <w:tcPr>
            <w:tcW w:w="4337" w:type="dxa"/>
            <w:noWrap w:val="0"/>
            <w:vAlign w:val="top"/>
          </w:tcPr>
          <w:p>
            <w:pPr>
              <w:pStyle w:val="26"/>
              <w:ind w:firstLine="0" w:firstLineChars="0"/>
              <w:jc w:val="center"/>
              <w:rPr>
                <w:rFonts w:ascii="Times New Roman"/>
                <w:color w:val="auto"/>
                <w:szCs w:val="18"/>
              </w:rPr>
            </w:pPr>
            <w:r>
              <w:rPr>
                <w:rFonts w:hint="eastAsia" w:ascii="Times New Roman"/>
                <w:color w:val="auto"/>
                <w:szCs w:val="18"/>
              </w:rPr>
              <w:t>综合评分（Z）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5022" w:type="dxa"/>
            <w:noWrap w:val="0"/>
            <w:vAlign w:val="center"/>
          </w:tcPr>
          <w:p>
            <w:pPr>
              <w:pStyle w:val="26"/>
              <w:ind w:firstLine="0" w:firstLineChars="0"/>
              <w:jc w:val="center"/>
              <w:rPr>
                <w:rFonts w:ascii="Times New Roman"/>
                <w:color w:val="auto"/>
                <w:szCs w:val="18"/>
              </w:rPr>
            </w:pPr>
            <w:r>
              <w:rPr>
                <w:rFonts w:hint="eastAsia" w:ascii="Times New Roman"/>
                <w:color w:val="auto"/>
                <w:szCs w:val="18"/>
              </w:rPr>
              <w:t>AAA</w:t>
            </w:r>
          </w:p>
        </w:tc>
        <w:tc>
          <w:tcPr>
            <w:tcW w:w="4337" w:type="dxa"/>
            <w:noWrap w:val="0"/>
            <w:vAlign w:val="center"/>
          </w:tcPr>
          <w:p>
            <w:pPr>
              <w:pStyle w:val="26"/>
              <w:ind w:firstLine="0" w:firstLineChars="0"/>
              <w:jc w:val="center"/>
              <w:rPr>
                <w:rFonts w:ascii="Times New Roman"/>
                <w:color w:val="auto"/>
                <w:szCs w:val="18"/>
              </w:rPr>
            </w:pPr>
            <w:r>
              <w:rPr>
                <w:rFonts w:ascii="Times New Roman"/>
                <w:color w:val="auto"/>
                <w:szCs w:val="18"/>
              </w:rPr>
              <w:t>100≥Z≥90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022" w:type="dxa"/>
            <w:noWrap w:val="0"/>
            <w:vAlign w:val="center"/>
          </w:tcPr>
          <w:p>
            <w:pPr>
              <w:pStyle w:val="26"/>
              <w:ind w:firstLine="0" w:firstLineChars="0"/>
              <w:jc w:val="center"/>
              <w:rPr>
                <w:rFonts w:ascii="Times New Roman"/>
                <w:color w:val="auto"/>
                <w:szCs w:val="18"/>
              </w:rPr>
            </w:pPr>
            <w:r>
              <w:rPr>
                <w:rFonts w:hint="eastAsia" w:ascii="Times New Roman"/>
                <w:color w:val="auto"/>
                <w:szCs w:val="18"/>
              </w:rPr>
              <w:t>AA</w:t>
            </w:r>
          </w:p>
        </w:tc>
        <w:tc>
          <w:tcPr>
            <w:tcW w:w="4337" w:type="dxa"/>
            <w:noWrap w:val="0"/>
            <w:vAlign w:val="center"/>
          </w:tcPr>
          <w:p>
            <w:pPr>
              <w:pStyle w:val="26"/>
              <w:ind w:firstLine="0" w:firstLineChars="0"/>
              <w:jc w:val="center"/>
              <w:rPr>
                <w:rFonts w:ascii="Times New Roman"/>
                <w:color w:val="auto"/>
                <w:szCs w:val="18"/>
              </w:rPr>
            </w:pPr>
            <w:r>
              <w:rPr>
                <w:rFonts w:ascii="Times New Roman"/>
                <w:color w:val="auto"/>
                <w:szCs w:val="18"/>
              </w:rPr>
              <w:t>90＞Z≥</w:t>
            </w:r>
            <w:r>
              <w:rPr>
                <w:rFonts w:hint="eastAsia" w:ascii="Times New Roman"/>
                <w:color w:val="auto"/>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022" w:type="dxa"/>
            <w:noWrap w:val="0"/>
            <w:vAlign w:val="center"/>
          </w:tcPr>
          <w:p>
            <w:pPr>
              <w:pStyle w:val="26"/>
              <w:ind w:firstLine="0" w:firstLineChars="0"/>
              <w:jc w:val="center"/>
              <w:rPr>
                <w:rFonts w:hint="eastAsia" w:ascii="Times New Roman"/>
                <w:color w:val="auto"/>
                <w:szCs w:val="18"/>
              </w:rPr>
            </w:pPr>
            <w:r>
              <w:rPr>
                <w:rFonts w:hint="eastAsia" w:ascii="Times New Roman"/>
                <w:color w:val="auto"/>
                <w:szCs w:val="18"/>
              </w:rPr>
              <w:t>A</w:t>
            </w:r>
          </w:p>
        </w:tc>
        <w:tc>
          <w:tcPr>
            <w:tcW w:w="4337" w:type="dxa"/>
            <w:noWrap w:val="0"/>
            <w:vAlign w:val="center"/>
          </w:tcPr>
          <w:p>
            <w:pPr>
              <w:pStyle w:val="26"/>
              <w:ind w:firstLine="0" w:firstLineChars="0"/>
              <w:jc w:val="center"/>
              <w:rPr>
                <w:rFonts w:ascii="Times New Roman"/>
                <w:color w:val="auto"/>
                <w:szCs w:val="18"/>
              </w:rPr>
            </w:pPr>
            <w:r>
              <w:rPr>
                <w:rFonts w:hint="eastAsia" w:ascii="Times New Roman"/>
                <w:color w:val="auto"/>
                <w:szCs w:val="18"/>
              </w:rPr>
              <w:t>80</w:t>
            </w:r>
            <w:r>
              <w:rPr>
                <w:rFonts w:ascii="Times New Roman"/>
                <w:color w:val="auto"/>
                <w:szCs w:val="18"/>
              </w:rPr>
              <w:t>＞Z≥</w:t>
            </w:r>
            <w:r>
              <w:rPr>
                <w:rFonts w:hint="eastAsia" w:ascii="Times New Roman"/>
                <w:color w:val="auto"/>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022" w:type="dxa"/>
            <w:noWrap w:val="0"/>
            <w:vAlign w:val="center"/>
          </w:tcPr>
          <w:p>
            <w:pPr>
              <w:pStyle w:val="26"/>
              <w:ind w:firstLine="0" w:firstLineChars="0"/>
              <w:jc w:val="center"/>
              <w:rPr>
                <w:rFonts w:ascii="Times New Roman"/>
                <w:color w:val="auto"/>
                <w:szCs w:val="18"/>
              </w:rPr>
            </w:pPr>
            <w:r>
              <w:rPr>
                <w:rFonts w:hint="eastAsia" w:ascii="Times New Roman"/>
                <w:color w:val="auto"/>
                <w:szCs w:val="18"/>
              </w:rPr>
              <w:t>B</w:t>
            </w:r>
          </w:p>
        </w:tc>
        <w:tc>
          <w:tcPr>
            <w:tcW w:w="4337" w:type="dxa"/>
            <w:noWrap w:val="0"/>
            <w:vAlign w:val="center"/>
          </w:tcPr>
          <w:p>
            <w:pPr>
              <w:pStyle w:val="26"/>
              <w:ind w:firstLine="0" w:firstLineChars="0"/>
              <w:jc w:val="center"/>
              <w:rPr>
                <w:rFonts w:hint="eastAsia" w:ascii="Times New Roman"/>
                <w:color w:val="auto"/>
                <w:szCs w:val="18"/>
              </w:rPr>
            </w:pPr>
            <w:r>
              <w:rPr>
                <w:rFonts w:hint="eastAsia" w:ascii="Times New Roman"/>
                <w:color w:val="auto"/>
                <w:szCs w:val="18"/>
              </w:rPr>
              <w:t>70</w:t>
            </w:r>
            <w:r>
              <w:rPr>
                <w:rFonts w:ascii="Times New Roman"/>
                <w:color w:val="auto"/>
                <w:szCs w:val="18"/>
              </w:rPr>
              <w:t>＞Z≥</w:t>
            </w:r>
            <w:r>
              <w:rPr>
                <w:rFonts w:hint="eastAsia" w:ascii="Times New Roman"/>
                <w:color w:val="auto"/>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022" w:type="dxa"/>
            <w:noWrap w:val="0"/>
            <w:vAlign w:val="center"/>
          </w:tcPr>
          <w:p>
            <w:pPr>
              <w:pStyle w:val="26"/>
              <w:ind w:firstLine="0" w:firstLineChars="0"/>
              <w:jc w:val="center"/>
              <w:rPr>
                <w:rFonts w:ascii="Times New Roman"/>
                <w:color w:val="auto"/>
                <w:szCs w:val="18"/>
              </w:rPr>
            </w:pPr>
            <w:r>
              <w:rPr>
                <w:rFonts w:hint="eastAsia" w:ascii="Times New Roman"/>
                <w:color w:val="auto"/>
                <w:szCs w:val="18"/>
              </w:rPr>
              <w:t>C</w:t>
            </w:r>
          </w:p>
        </w:tc>
        <w:tc>
          <w:tcPr>
            <w:tcW w:w="4337" w:type="dxa"/>
            <w:noWrap w:val="0"/>
            <w:vAlign w:val="center"/>
          </w:tcPr>
          <w:p>
            <w:pPr>
              <w:pStyle w:val="26"/>
              <w:ind w:firstLine="0" w:firstLineChars="0"/>
              <w:jc w:val="center"/>
              <w:rPr>
                <w:rFonts w:hint="eastAsia" w:ascii="Times New Roman"/>
                <w:color w:val="auto"/>
                <w:szCs w:val="18"/>
              </w:rPr>
            </w:pPr>
            <w:r>
              <w:rPr>
                <w:rFonts w:hint="eastAsia" w:ascii="Times New Roman"/>
                <w:color w:val="auto"/>
                <w:szCs w:val="18"/>
              </w:rPr>
              <w:t>60</w:t>
            </w:r>
            <w:r>
              <w:rPr>
                <w:rFonts w:ascii="Times New Roman"/>
                <w:color w:val="auto"/>
                <w:szCs w:val="18"/>
              </w:rPr>
              <w:t>＞Z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9359" w:type="dxa"/>
            <w:gridSpan w:val="2"/>
            <w:noWrap w:val="0"/>
            <w:vAlign w:val="center"/>
          </w:tcPr>
          <w:p>
            <w:pPr>
              <w:pStyle w:val="26"/>
              <w:ind w:firstLine="0" w:firstLineChars="0"/>
              <w:jc w:val="center"/>
              <w:rPr>
                <w:rFonts w:ascii="Times New Roman"/>
                <w:color w:val="auto"/>
                <w:szCs w:val="18"/>
              </w:rPr>
            </w:pPr>
            <w:r>
              <w:rPr>
                <w:rFonts w:hint="eastAsia" w:ascii="Times New Roman"/>
                <w:color w:val="auto"/>
                <w:szCs w:val="18"/>
              </w:rPr>
              <w:t>注：钢铁企业ESG评价结果低于C级，说明企业的ESG风险很高，原则上不予评级。</w:t>
            </w:r>
          </w:p>
        </w:tc>
      </w:tr>
    </w:tbl>
    <w:p>
      <w:pPr>
        <w:jc w:val="left"/>
        <w:rPr>
          <w:rFonts w:ascii="宋体" w:hAnsi="宋体"/>
          <w:b/>
          <w:bCs/>
          <w:color w:val="auto"/>
          <w:szCs w:val="21"/>
        </w:rPr>
      </w:pPr>
    </w:p>
    <w:p>
      <w:pPr>
        <w:jc w:val="left"/>
        <w:rPr>
          <w:rFonts w:ascii="宋体" w:hAnsi="宋体"/>
          <w:b/>
          <w:bCs/>
          <w:color w:val="auto"/>
          <w:szCs w:val="21"/>
        </w:rPr>
      </w:pPr>
    </w:p>
    <w:p>
      <w:pPr>
        <w:jc w:val="left"/>
        <w:rPr>
          <w:rFonts w:ascii="宋体" w:hAnsi="宋体"/>
          <w:b/>
          <w:bCs/>
          <w:color w:val="auto"/>
          <w:szCs w:val="21"/>
        </w:rPr>
        <w:sectPr>
          <w:footerReference r:id="rId8" w:type="default"/>
          <w:pgSz w:w="11906" w:h="16838"/>
          <w:pgMar w:top="567" w:right="1134" w:bottom="1134" w:left="1418" w:header="1418" w:footer="1134" w:gutter="0"/>
          <w:cols w:space="720" w:num="1"/>
          <w:formProt w:val="0"/>
          <w:docGrid w:type="lines" w:linePitch="312" w:charSpace="0"/>
        </w:sectPr>
      </w:pPr>
    </w:p>
    <w:p>
      <w:pPr>
        <w:widowControl/>
        <w:tabs>
          <w:tab w:val="center" w:pos="4201"/>
          <w:tab w:val="right" w:leader="dot" w:pos="9298"/>
        </w:tabs>
        <w:autoSpaceDE w:val="0"/>
        <w:autoSpaceDN w:val="0"/>
        <w:spacing w:before="312" w:beforeLines="100" w:after="312" w:afterLines="100"/>
        <w:jc w:val="center"/>
        <w:outlineLvl w:val="1"/>
        <w:rPr>
          <w:rFonts w:ascii="黑体" w:hAnsi="黑体" w:eastAsia="黑体"/>
          <w:b/>
          <w:color w:val="auto"/>
          <w:szCs w:val="21"/>
        </w:rPr>
      </w:pPr>
      <w:bookmarkStart w:id="61" w:name="_Toc26880"/>
      <w:r>
        <w:rPr>
          <w:rFonts w:hint="eastAsia" w:ascii="黑体" w:hAnsi="黑体" w:eastAsia="黑体"/>
          <w:b/>
          <w:color w:val="auto"/>
          <w:szCs w:val="21"/>
        </w:rPr>
        <w:t>参 考 文 献</w:t>
      </w:r>
      <w:bookmarkEnd w:id="61"/>
    </w:p>
    <w:p>
      <w:pPr>
        <w:widowControl/>
        <w:tabs>
          <w:tab w:val="center" w:pos="4201"/>
          <w:tab w:val="right" w:leader="dot" w:pos="9298"/>
        </w:tabs>
        <w:autoSpaceDE w:val="0"/>
        <w:autoSpaceDN w:val="0"/>
        <w:jc w:val="left"/>
        <w:rPr>
          <w:rFonts w:ascii="宋体" w:hAnsi="宋体"/>
          <w:bCs/>
          <w:color w:val="auto"/>
          <w:sz w:val="22"/>
          <w:szCs w:val="22"/>
        </w:rPr>
      </w:pPr>
      <w:r>
        <w:rPr>
          <w:rFonts w:hint="eastAsia" w:ascii="宋体" w:hAnsi="宋体"/>
          <w:bCs/>
          <w:color w:val="auto"/>
          <w:sz w:val="22"/>
          <w:szCs w:val="22"/>
        </w:rPr>
        <w:t>[</w:t>
      </w:r>
      <w:r>
        <w:rPr>
          <w:rFonts w:ascii="宋体" w:hAnsi="宋体"/>
          <w:bCs/>
          <w:color w:val="auto"/>
          <w:sz w:val="22"/>
          <w:szCs w:val="22"/>
        </w:rPr>
        <w:t>1</w:t>
      </w:r>
      <w:r>
        <w:rPr>
          <w:rFonts w:hint="eastAsia" w:ascii="宋体" w:hAnsi="宋体"/>
          <w:bCs/>
          <w:color w:val="auto"/>
          <w:sz w:val="22"/>
          <w:szCs w:val="22"/>
        </w:rPr>
        <w:t>]  中国社会科学院经济学部企业社会责任研究中心 中国企业社会责任报告编写指南CASS-CSR4.0</w:t>
      </w:r>
    </w:p>
    <w:p>
      <w:pPr>
        <w:widowControl/>
        <w:tabs>
          <w:tab w:val="center" w:pos="4201"/>
          <w:tab w:val="right" w:leader="dot" w:pos="9298"/>
        </w:tabs>
        <w:autoSpaceDE w:val="0"/>
        <w:autoSpaceDN w:val="0"/>
        <w:jc w:val="left"/>
        <w:rPr>
          <w:rFonts w:ascii="宋体" w:hAnsi="宋体"/>
          <w:bCs/>
          <w:color w:val="auto"/>
          <w:sz w:val="22"/>
          <w:szCs w:val="22"/>
        </w:rPr>
      </w:pPr>
      <w:r>
        <w:rPr>
          <w:rFonts w:hint="eastAsia" w:ascii="宋体" w:hAnsi="宋体"/>
          <w:bCs/>
          <w:color w:val="auto"/>
          <w:sz w:val="22"/>
          <w:szCs w:val="22"/>
        </w:rPr>
        <w:t>[2</w:t>
      </w:r>
      <w:r>
        <w:rPr>
          <w:rFonts w:ascii="宋体" w:hAnsi="宋体"/>
          <w:bCs/>
          <w:color w:val="auto"/>
          <w:sz w:val="22"/>
          <w:szCs w:val="22"/>
        </w:rPr>
        <w:t xml:space="preserve">]  </w:t>
      </w:r>
      <w:r>
        <w:rPr>
          <w:rFonts w:hint="eastAsia" w:ascii="宋体" w:hAnsi="宋体"/>
          <w:bCs/>
          <w:color w:val="auto"/>
          <w:sz w:val="22"/>
          <w:szCs w:val="22"/>
        </w:rPr>
        <w:t xml:space="preserve">中华人民共和国国家发展和改革委员会、中华人民共和国生态环境部、中华人民共和国工业和信息化部公告 </w:t>
      </w:r>
      <w:r>
        <w:rPr>
          <w:rFonts w:ascii="宋体" w:hAnsi="宋体"/>
          <w:bCs/>
          <w:color w:val="auto"/>
          <w:sz w:val="22"/>
          <w:szCs w:val="22"/>
        </w:rPr>
        <w:t>2018</w:t>
      </w:r>
      <w:r>
        <w:rPr>
          <w:rFonts w:hint="eastAsia" w:ascii="宋体" w:hAnsi="宋体"/>
          <w:bCs/>
          <w:color w:val="auto"/>
          <w:sz w:val="22"/>
          <w:szCs w:val="22"/>
        </w:rPr>
        <w:t>年 第</w:t>
      </w:r>
      <w:r>
        <w:rPr>
          <w:rFonts w:ascii="宋体" w:hAnsi="宋体"/>
          <w:bCs/>
          <w:color w:val="auto"/>
          <w:sz w:val="22"/>
          <w:szCs w:val="22"/>
        </w:rPr>
        <w:t>17</w:t>
      </w:r>
      <w:r>
        <w:rPr>
          <w:rFonts w:hint="eastAsia" w:ascii="宋体" w:hAnsi="宋体"/>
          <w:bCs/>
          <w:color w:val="auto"/>
          <w:sz w:val="22"/>
          <w:szCs w:val="22"/>
        </w:rPr>
        <w:t>号 钢铁行业清洁生产评价指标体系</w:t>
      </w:r>
    </w:p>
    <w:p>
      <w:pPr>
        <w:widowControl/>
        <w:tabs>
          <w:tab w:val="center" w:pos="4201"/>
          <w:tab w:val="right" w:leader="dot" w:pos="9298"/>
        </w:tabs>
        <w:autoSpaceDE w:val="0"/>
        <w:autoSpaceDN w:val="0"/>
        <w:jc w:val="left"/>
        <w:rPr>
          <w:rFonts w:hint="eastAsia" w:ascii="宋体" w:hAnsi="宋体"/>
          <w:bCs/>
          <w:color w:val="auto"/>
          <w:sz w:val="22"/>
          <w:szCs w:val="22"/>
        </w:rPr>
      </w:pPr>
      <w:r>
        <w:rPr>
          <w:rFonts w:hint="eastAsia" w:ascii="宋体" w:hAnsi="宋体"/>
          <w:bCs/>
          <w:color w:val="auto"/>
          <w:sz w:val="22"/>
          <w:szCs w:val="22"/>
        </w:rPr>
        <w:t>[3</w:t>
      </w:r>
      <w:r>
        <w:rPr>
          <w:rFonts w:ascii="宋体" w:hAnsi="宋体"/>
          <w:bCs/>
          <w:color w:val="auto"/>
          <w:sz w:val="22"/>
          <w:szCs w:val="22"/>
        </w:rPr>
        <w:t xml:space="preserve">]  </w:t>
      </w:r>
      <w:r>
        <w:rPr>
          <w:rFonts w:hint="eastAsia" w:ascii="宋体" w:hAnsi="宋体"/>
          <w:bCs/>
          <w:color w:val="auto"/>
          <w:sz w:val="22"/>
          <w:szCs w:val="22"/>
        </w:rPr>
        <w:t>中华人民共和国生态环境部等 关于推进实施钢铁行业超低排放的意见（环大气〔2</w:t>
      </w:r>
      <w:r>
        <w:rPr>
          <w:rFonts w:ascii="宋体" w:hAnsi="宋体"/>
          <w:bCs/>
          <w:color w:val="auto"/>
          <w:sz w:val="22"/>
          <w:szCs w:val="22"/>
        </w:rPr>
        <w:t>019</w:t>
      </w:r>
      <w:r>
        <w:rPr>
          <w:rFonts w:hint="eastAsia" w:ascii="宋体" w:hAnsi="宋体"/>
          <w:bCs/>
          <w:color w:val="auto"/>
          <w:sz w:val="22"/>
          <w:szCs w:val="22"/>
        </w:rPr>
        <w:t>〕3</w:t>
      </w:r>
      <w:r>
        <w:rPr>
          <w:rFonts w:ascii="宋体" w:hAnsi="宋体"/>
          <w:bCs/>
          <w:color w:val="auto"/>
          <w:sz w:val="22"/>
          <w:szCs w:val="22"/>
        </w:rPr>
        <w:t>5</w:t>
      </w:r>
      <w:r>
        <w:rPr>
          <w:rFonts w:hint="eastAsia" w:ascii="宋体" w:hAnsi="宋体"/>
          <w:bCs/>
          <w:color w:val="auto"/>
          <w:sz w:val="22"/>
          <w:szCs w:val="22"/>
        </w:rPr>
        <w:t>号）</w:t>
      </w:r>
    </w:p>
    <w:p>
      <w:pPr>
        <w:widowControl/>
        <w:tabs>
          <w:tab w:val="center" w:pos="4201"/>
          <w:tab w:val="right" w:leader="dot" w:pos="9298"/>
        </w:tabs>
        <w:autoSpaceDE w:val="0"/>
        <w:autoSpaceDN w:val="0"/>
        <w:jc w:val="left"/>
        <w:rPr>
          <w:rFonts w:hint="eastAsia" w:ascii="宋体" w:hAnsi="宋体" w:cs="宋体"/>
          <w:color w:val="auto"/>
        </w:rPr>
      </w:pPr>
      <w:r>
        <w:rPr>
          <w:rFonts w:hint="eastAsia" w:ascii="宋体" w:hAnsi="宋体"/>
          <w:bCs/>
          <w:color w:val="auto"/>
          <w:sz w:val="22"/>
          <w:szCs w:val="22"/>
        </w:rPr>
        <w:t>[4</w:t>
      </w:r>
      <w:r>
        <w:rPr>
          <w:rFonts w:ascii="宋体" w:hAnsi="宋体"/>
          <w:bCs/>
          <w:color w:val="auto"/>
          <w:sz w:val="22"/>
          <w:szCs w:val="22"/>
        </w:rPr>
        <w:t xml:space="preserve">] </w:t>
      </w:r>
      <w:r>
        <w:rPr>
          <w:rFonts w:hint="eastAsia" w:ascii="宋体" w:hAnsi="宋体" w:cs="宋体"/>
          <w:color w:val="auto"/>
        </w:rPr>
        <w:t>《GB/T 24031 环境管理环境绩效评价指南》</w:t>
      </w:r>
    </w:p>
    <w:p>
      <w:pPr>
        <w:widowControl/>
        <w:tabs>
          <w:tab w:val="center" w:pos="4201"/>
          <w:tab w:val="right" w:leader="dot" w:pos="9298"/>
        </w:tabs>
        <w:autoSpaceDE w:val="0"/>
        <w:autoSpaceDN w:val="0"/>
        <w:jc w:val="left"/>
        <w:rPr>
          <w:rFonts w:hint="eastAsia" w:ascii="宋体" w:hAnsi="宋体"/>
          <w:bCs/>
          <w:color w:val="auto"/>
          <w:sz w:val="22"/>
          <w:szCs w:val="22"/>
        </w:rPr>
      </w:pPr>
      <w:r>
        <w:rPr>
          <w:rFonts w:hint="eastAsia" w:ascii="宋体" w:hAnsi="宋体"/>
          <w:bCs/>
          <w:color w:val="auto"/>
          <w:sz w:val="22"/>
          <w:szCs w:val="22"/>
        </w:rPr>
        <w:t>[</w:t>
      </w:r>
      <w:r>
        <w:rPr>
          <w:rFonts w:hint="eastAsia" w:ascii="宋体" w:hAnsi="宋体"/>
          <w:bCs/>
          <w:color w:val="auto"/>
          <w:sz w:val="22"/>
          <w:szCs w:val="22"/>
          <w:lang w:val="en-US" w:eastAsia="zh-CN"/>
        </w:rPr>
        <w:t>5</w:t>
      </w:r>
      <w:r>
        <w:rPr>
          <w:rFonts w:ascii="宋体" w:hAnsi="宋体"/>
          <w:bCs/>
          <w:color w:val="auto"/>
          <w:sz w:val="22"/>
          <w:szCs w:val="22"/>
        </w:rPr>
        <w:t>]</w:t>
      </w:r>
      <w:r>
        <w:rPr>
          <w:rFonts w:hint="eastAsia" w:ascii="宋体" w:hAnsi="宋体"/>
          <w:bCs/>
          <w:color w:val="auto"/>
          <w:sz w:val="22"/>
          <w:szCs w:val="22"/>
          <w:lang w:val="en-US" w:eastAsia="zh-CN"/>
        </w:rPr>
        <w:t xml:space="preserve"> </w:t>
      </w:r>
      <w:r>
        <w:rPr>
          <w:rFonts w:hint="eastAsia" w:ascii="宋体" w:hAnsi="宋体" w:cs="宋体"/>
          <w:color w:val="auto"/>
        </w:rPr>
        <w:t>《GB/T 26317 公司治理风险管理指南》</w:t>
      </w:r>
    </w:p>
    <w:p>
      <w:pPr>
        <w:widowControl/>
        <w:tabs>
          <w:tab w:val="center" w:pos="4201"/>
          <w:tab w:val="right" w:leader="dot" w:pos="9298"/>
        </w:tabs>
        <w:autoSpaceDE w:val="0"/>
        <w:autoSpaceDN w:val="0"/>
        <w:jc w:val="left"/>
        <w:rPr>
          <w:rFonts w:hint="eastAsia" w:ascii="宋体" w:hAnsi="宋体" w:cs="宋体"/>
          <w:color w:val="auto"/>
        </w:rPr>
      </w:pPr>
      <w:r>
        <w:rPr>
          <w:rFonts w:hint="eastAsia" w:ascii="宋体" w:hAnsi="宋体" w:cs="宋体"/>
          <w:color w:val="auto"/>
          <w:lang w:val="en-US" w:eastAsia="zh-CN"/>
        </w:rPr>
        <w:t>[</w:t>
      </w:r>
      <w:r>
        <w:rPr>
          <w:rFonts w:hint="eastAsia" w:ascii="宋体" w:hAnsi="宋体"/>
          <w:bCs/>
          <w:color w:val="auto"/>
          <w:sz w:val="22"/>
          <w:szCs w:val="22"/>
          <w:lang w:val="en-US" w:eastAsia="zh-CN"/>
        </w:rPr>
        <w:t>6</w:t>
      </w:r>
      <w:r>
        <w:rPr>
          <w:rFonts w:hint="eastAsia" w:ascii="宋体" w:hAnsi="宋体" w:cs="宋体"/>
          <w:color w:val="auto"/>
          <w:lang w:val="en-US" w:eastAsia="zh-CN"/>
        </w:rPr>
        <w:t xml:space="preserve">] </w:t>
      </w:r>
      <w:r>
        <w:rPr>
          <w:rFonts w:hint="eastAsia" w:ascii="宋体" w:hAnsi="宋体" w:cs="宋体"/>
          <w:color w:val="auto"/>
        </w:rPr>
        <w:t>《GB/T 29604 社会责任管理体系要求及使用指南》</w:t>
      </w:r>
    </w:p>
    <w:p>
      <w:pPr>
        <w:widowControl/>
        <w:tabs>
          <w:tab w:val="center" w:pos="4201"/>
          <w:tab w:val="right" w:leader="dot" w:pos="9298"/>
        </w:tabs>
        <w:autoSpaceDE w:val="0"/>
        <w:autoSpaceDN w:val="0"/>
        <w:jc w:val="left"/>
        <w:rPr>
          <w:rFonts w:hint="eastAsia" w:ascii="宋体" w:hAnsi="宋体" w:cs="宋体"/>
          <w:color w:val="auto"/>
        </w:rPr>
      </w:pPr>
      <w:r>
        <w:rPr>
          <w:rFonts w:hint="eastAsia" w:ascii="宋体" w:hAnsi="宋体" w:cs="宋体"/>
          <w:color w:val="auto"/>
          <w:lang w:val="en-US" w:eastAsia="zh-CN"/>
        </w:rPr>
        <w:t>[</w:t>
      </w:r>
      <w:r>
        <w:rPr>
          <w:rFonts w:hint="eastAsia" w:ascii="宋体" w:hAnsi="宋体"/>
          <w:bCs/>
          <w:color w:val="auto"/>
          <w:sz w:val="22"/>
          <w:szCs w:val="22"/>
          <w:lang w:val="en-US" w:eastAsia="zh-CN"/>
        </w:rPr>
        <w:t>7</w:t>
      </w:r>
      <w:r>
        <w:rPr>
          <w:rFonts w:hint="eastAsia" w:ascii="宋体" w:hAnsi="宋体" w:cs="宋体"/>
          <w:color w:val="auto"/>
          <w:lang w:val="en-US" w:eastAsia="zh-CN"/>
        </w:rPr>
        <w:t xml:space="preserve">] </w:t>
      </w:r>
      <w:r>
        <w:rPr>
          <w:rFonts w:hint="eastAsia" w:ascii="宋体" w:hAnsi="宋体"/>
          <w:bCs/>
          <w:color w:val="auto"/>
          <w:sz w:val="22"/>
          <w:szCs w:val="22"/>
          <w:lang w:eastAsia="zh-CN"/>
        </w:rPr>
        <w:t>《</w:t>
      </w:r>
      <w:r>
        <w:rPr>
          <w:rFonts w:hint="eastAsia" w:ascii="宋体" w:hAnsi="宋体"/>
          <w:bCs/>
          <w:color w:val="auto"/>
          <w:sz w:val="22"/>
          <w:szCs w:val="22"/>
        </w:rPr>
        <w:t>Y</w:t>
      </w:r>
      <w:r>
        <w:rPr>
          <w:rFonts w:ascii="宋体" w:hAnsi="宋体"/>
          <w:bCs/>
          <w:color w:val="auto"/>
          <w:sz w:val="22"/>
          <w:szCs w:val="22"/>
        </w:rPr>
        <w:t xml:space="preserve">B/T 4771-2019  </w:t>
      </w:r>
      <w:r>
        <w:rPr>
          <w:rFonts w:hint="eastAsia" w:ascii="宋体" w:hAnsi="宋体"/>
          <w:bCs/>
          <w:color w:val="auto"/>
          <w:sz w:val="22"/>
          <w:szCs w:val="22"/>
        </w:rPr>
        <w:t>钢铁行业绿色工厂评价导则</w:t>
      </w:r>
      <w:r>
        <w:rPr>
          <w:rFonts w:hint="eastAsia" w:ascii="宋体" w:hAnsi="宋体"/>
          <w:bCs/>
          <w:color w:val="auto"/>
          <w:sz w:val="22"/>
          <w:szCs w:val="22"/>
          <w:lang w:eastAsia="zh-CN"/>
        </w:rPr>
        <w:t>》</w:t>
      </w:r>
      <w:r>
        <w:rPr>
          <w:rFonts w:hint="eastAsia" w:ascii="宋体" w:hAnsi="宋体" w:cs="宋体"/>
          <w:color w:val="auto"/>
          <w:lang w:val="en-US" w:eastAsia="zh-CN"/>
        </w:rPr>
        <w:t xml:space="preserve"> </w:t>
      </w:r>
    </w:p>
    <w:p>
      <w:pPr>
        <w:widowControl/>
        <w:tabs>
          <w:tab w:val="center" w:pos="4201"/>
          <w:tab w:val="right" w:leader="dot" w:pos="9298"/>
        </w:tabs>
        <w:autoSpaceDE w:val="0"/>
        <w:autoSpaceDN w:val="0"/>
        <w:jc w:val="left"/>
        <w:rPr>
          <w:rFonts w:hint="eastAsia" w:ascii="宋体" w:hAnsi="宋体" w:cs="宋体"/>
          <w:color w:val="auto"/>
        </w:rPr>
      </w:pPr>
      <w:r>
        <w:rPr>
          <w:rFonts w:hint="eastAsia" w:ascii="宋体" w:hAnsi="宋体" w:cs="宋体"/>
          <w:color w:val="auto"/>
          <w:lang w:val="en-US" w:eastAsia="zh-CN"/>
        </w:rPr>
        <w:t>[</w:t>
      </w:r>
      <w:r>
        <w:rPr>
          <w:rFonts w:hint="eastAsia" w:ascii="宋体" w:hAnsi="宋体"/>
          <w:bCs/>
          <w:color w:val="auto"/>
          <w:sz w:val="22"/>
          <w:szCs w:val="22"/>
          <w:lang w:val="en-US" w:eastAsia="zh-CN"/>
        </w:rPr>
        <w:t>8</w:t>
      </w:r>
      <w:r>
        <w:rPr>
          <w:rFonts w:hint="eastAsia" w:ascii="宋体" w:hAnsi="宋体" w:cs="宋体"/>
          <w:color w:val="auto"/>
          <w:lang w:val="en-US" w:eastAsia="zh-CN"/>
        </w:rPr>
        <w:t xml:space="preserve">] </w:t>
      </w:r>
      <w:r>
        <w:rPr>
          <w:rFonts w:hint="eastAsia" w:ascii="宋体" w:hAnsi="宋体" w:cs="宋体"/>
          <w:color w:val="auto"/>
        </w:rPr>
        <w:t>《T/CCIIA 0003-2020中国石油和化工行业上市公司ESG评价指南》</w:t>
      </w:r>
    </w:p>
    <w:p>
      <w:pPr>
        <w:jc w:val="left"/>
        <w:rPr>
          <w:rFonts w:ascii="宋体" w:hAnsi="宋体"/>
          <w:b/>
          <w:bCs/>
          <w:color w:val="auto"/>
          <w:szCs w:val="21"/>
        </w:rPr>
      </w:pPr>
    </w:p>
    <w:p>
      <w:pPr>
        <w:pStyle w:val="26"/>
        <w:ind w:firstLine="0" w:firstLineChars="0"/>
        <w:rPr>
          <w:rFonts w:ascii="Times New Roman"/>
          <w:color w:val="auto"/>
        </w:rPr>
      </w:pPr>
    </w:p>
    <w:p>
      <w:pPr>
        <w:pStyle w:val="26"/>
        <w:ind w:firstLine="0" w:firstLineChars="0"/>
        <w:rPr>
          <w:rFonts w:ascii="Times New Roman"/>
          <w:color w:val="auto"/>
        </w:rPr>
      </w:pPr>
    </w:p>
    <w:p>
      <w:pPr>
        <w:ind w:firstLine="420" w:firstLineChars="200"/>
        <w:jc w:val="left"/>
        <w:rPr>
          <w:color w:val="auto"/>
        </w:rPr>
      </w:pPr>
    </w:p>
    <w:bookmarkEnd w:id="62"/>
    <w:sectPr>
      <w:footerReference r:id="rId9" w:type="default"/>
      <w:pgSz w:w="11906" w:h="16838"/>
      <w:pgMar w:top="567" w:right="1134" w:bottom="1134" w:left="1417" w:header="1418" w:footer="1134" w:gutter="0"/>
      <w:pgNumType w:fmt="decimal"/>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II</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lang w:val="zh-CN"/>
      </w:rPr>
      <w:t>7</w:t>
    </w:r>
    <w:r>
      <w:rPr>
        <w:rFonts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w:instrText>
    </w:r>
    <w:r>
      <w:fldChar w:fldCharType="separate"/>
    </w:r>
    <w: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w:pict>
        <v:shape id="_x0000_s3073" o:spid="_x0000_s3073"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rPr>
        <w:rFonts w:ascii="黑体" w:eastAsia="黑体" w:cs="黑体"/>
        <w:b/>
        <w:bCs/>
        <w:sz w:val="21"/>
        <w:szCs w:val="21"/>
      </w:rPr>
      <w:t>T/SSEA</w:t>
    </w:r>
    <w:r>
      <w:rPr>
        <w:rFonts w:ascii="黑体" w:cs="黑体"/>
        <w:b/>
        <w:bCs/>
        <w:sz w:val="21"/>
        <w:szCs w:val="21"/>
      </w:rPr>
      <w:t xml:space="preserve"> </w:t>
    </w:r>
    <w:r>
      <w:rPr>
        <w:rFonts w:hint="eastAsia" w:ascii="黑体" w:cs="黑体"/>
        <w:b/>
        <w:bCs/>
        <w:sz w:val="21"/>
        <w:szCs w:val="21"/>
        <w:lang w:val="en-US" w:eastAsia="zh-CN"/>
      </w:rPr>
      <w:t>XXX</w:t>
    </w:r>
    <w:r>
      <w:rPr>
        <w:rFonts w:ascii="黑体" w:eastAsia="黑体" w:cs="黑体"/>
        <w:b/>
        <w:bCs/>
        <w:sz w:val="21"/>
        <w:szCs w:val="21"/>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70"/>
      <w:suff w:val="nothing"/>
      <w:lvlText w:val="注%1："/>
      <w:lvlJc w:val="left"/>
      <w:pPr>
        <w:ind w:left="669" w:hanging="448"/>
      </w:pPr>
      <w:rPr>
        <w:rFonts w:hint="eastAsia" w:ascii="黑体" w:eastAsia="黑体" w:cs="Times New Roman"/>
        <w:b w:val="0"/>
        <w:bCs w:val="0"/>
        <w:i w:val="0"/>
        <w:iCs w:val="0"/>
        <w:sz w:val="18"/>
        <w:szCs w:val="18"/>
      </w:rPr>
    </w:lvl>
    <w:lvl w:ilvl="1" w:tentative="0">
      <w:start w:val="1"/>
      <w:numFmt w:val="lowerLetter"/>
      <w:lvlText w:val="%2)"/>
      <w:lvlJc w:val="left"/>
      <w:pPr>
        <w:tabs>
          <w:tab w:val="left" w:pos="-142"/>
        </w:tabs>
        <w:ind w:left="850" w:hanging="629"/>
      </w:pPr>
      <w:rPr>
        <w:rFonts w:hint="eastAsia" w:cs="Times New Roman"/>
      </w:rPr>
    </w:lvl>
    <w:lvl w:ilvl="2" w:tentative="0">
      <w:start w:val="1"/>
      <w:numFmt w:val="lowerRoman"/>
      <w:lvlText w:val="%3."/>
      <w:lvlJc w:val="right"/>
      <w:pPr>
        <w:tabs>
          <w:tab w:val="left" w:pos="-142"/>
        </w:tabs>
        <w:ind w:left="850" w:hanging="629"/>
      </w:pPr>
      <w:rPr>
        <w:rFonts w:hint="eastAsia" w:cs="Times New Roman"/>
      </w:rPr>
    </w:lvl>
    <w:lvl w:ilvl="3" w:tentative="0">
      <w:start w:val="1"/>
      <w:numFmt w:val="decimal"/>
      <w:lvlText w:val="%4."/>
      <w:lvlJc w:val="left"/>
      <w:pPr>
        <w:tabs>
          <w:tab w:val="left" w:pos="-142"/>
        </w:tabs>
        <w:ind w:left="850" w:hanging="629"/>
      </w:pPr>
      <w:rPr>
        <w:rFonts w:hint="eastAsia" w:cs="Times New Roman"/>
      </w:rPr>
    </w:lvl>
    <w:lvl w:ilvl="4" w:tentative="0">
      <w:start w:val="1"/>
      <w:numFmt w:val="lowerLetter"/>
      <w:lvlText w:val="%5)"/>
      <w:lvlJc w:val="left"/>
      <w:pPr>
        <w:tabs>
          <w:tab w:val="left" w:pos="-142"/>
        </w:tabs>
        <w:ind w:left="850" w:hanging="629"/>
      </w:pPr>
      <w:rPr>
        <w:rFonts w:hint="eastAsia" w:cs="Times New Roman"/>
      </w:rPr>
    </w:lvl>
    <w:lvl w:ilvl="5" w:tentative="0">
      <w:start w:val="1"/>
      <w:numFmt w:val="lowerRoman"/>
      <w:lvlText w:val="%6."/>
      <w:lvlJc w:val="right"/>
      <w:pPr>
        <w:tabs>
          <w:tab w:val="left" w:pos="-142"/>
        </w:tabs>
        <w:ind w:left="850" w:hanging="629"/>
      </w:pPr>
      <w:rPr>
        <w:rFonts w:hint="eastAsia" w:cs="Times New Roman"/>
      </w:rPr>
    </w:lvl>
    <w:lvl w:ilvl="6" w:tentative="0">
      <w:start w:val="1"/>
      <w:numFmt w:val="decimal"/>
      <w:lvlText w:val="%7."/>
      <w:lvlJc w:val="left"/>
      <w:pPr>
        <w:tabs>
          <w:tab w:val="left" w:pos="-142"/>
        </w:tabs>
        <w:ind w:left="850" w:hanging="629"/>
      </w:pPr>
      <w:rPr>
        <w:rFonts w:hint="eastAsia" w:cs="Times New Roman"/>
      </w:rPr>
    </w:lvl>
    <w:lvl w:ilvl="7" w:tentative="0">
      <w:start w:val="1"/>
      <w:numFmt w:val="lowerLetter"/>
      <w:lvlText w:val="%8)"/>
      <w:lvlJc w:val="left"/>
      <w:pPr>
        <w:tabs>
          <w:tab w:val="left" w:pos="-142"/>
        </w:tabs>
        <w:ind w:left="850" w:hanging="629"/>
      </w:pPr>
      <w:rPr>
        <w:rFonts w:hint="eastAsia" w:cs="Times New Roman"/>
      </w:rPr>
    </w:lvl>
    <w:lvl w:ilvl="8" w:tentative="0">
      <w:start w:val="1"/>
      <w:numFmt w:val="lowerRoman"/>
      <w:lvlText w:val="%9."/>
      <w:lvlJc w:val="right"/>
      <w:pPr>
        <w:tabs>
          <w:tab w:val="left" w:pos="-142"/>
        </w:tabs>
        <w:ind w:left="850" w:hanging="629"/>
      </w:pPr>
      <w:rPr>
        <w:rFonts w:hint="eastAsia" w:cs="Times New Roman"/>
      </w:rPr>
    </w:lvl>
  </w:abstractNum>
  <w:abstractNum w:abstractNumId="1">
    <w:nsid w:val="093C6778"/>
    <w:multiLevelType w:val="multilevel"/>
    <w:tmpl w:val="093C6778"/>
    <w:lvl w:ilvl="0" w:tentative="0">
      <w:start w:val="1"/>
      <w:numFmt w:val="decimal"/>
      <w:pStyle w:val="128"/>
      <w:suff w:val="nothing"/>
      <w:lvlText w:val="示例%1："/>
      <w:lvlJc w:val="left"/>
      <w:pPr>
        <w:ind w:firstLine="397"/>
      </w:pPr>
      <w:rPr>
        <w:rFonts w:hint="eastAsia" w:ascii="黑体" w:eastAsia="黑体" w:cs="Times New Roman"/>
        <w:sz w:val="18"/>
        <w:szCs w:val="18"/>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
    <w:nsid w:val="0AE367E9"/>
    <w:multiLevelType w:val="multilevel"/>
    <w:tmpl w:val="0AE367E9"/>
    <w:lvl w:ilvl="0" w:tentative="0">
      <w:start w:val="1"/>
      <w:numFmt w:val="none"/>
      <w:pStyle w:val="64"/>
      <w:suff w:val="nothing"/>
      <w:lvlText w:val="%1示例："/>
      <w:lvlJc w:val="left"/>
      <w:pPr>
        <w:ind w:firstLine="363"/>
      </w:pPr>
      <w:rPr>
        <w:rFonts w:hint="eastAsia" w:ascii="黑体" w:eastAsia="黑体" w:cs="Times New Roman"/>
        <w:b w:val="0"/>
        <w:bCs w:val="0"/>
        <w:i w:val="0"/>
        <w:iCs w:val="0"/>
        <w:sz w:val="18"/>
        <w:szCs w:val="18"/>
      </w:rPr>
    </w:lvl>
    <w:lvl w:ilvl="1" w:tentative="0">
      <w:start w:val="1"/>
      <w:numFmt w:val="lowerLetter"/>
      <w:lvlText w:val="%2)"/>
      <w:lvlJc w:val="left"/>
      <w:pPr>
        <w:tabs>
          <w:tab w:val="left" w:pos="363"/>
        </w:tabs>
        <w:ind w:firstLine="363"/>
      </w:pPr>
      <w:rPr>
        <w:rFonts w:hint="eastAsia" w:cs="Times New Roman"/>
      </w:rPr>
    </w:lvl>
    <w:lvl w:ilvl="2" w:tentative="0">
      <w:start w:val="1"/>
      <w:numFmt w:val="lowerRoman"/>
      <w:lvlText w:val="%3."/>
      <w:lvlJc w:val="right"/>
      <w:pPr>
        <w:tabs>
          <w:tab w:val="left" w:pos="363"/>
        </w:tabs>
        <w:ind w:firstLine="363"/>
      </w:pPr>
      <w:rPr>
        <w:rFonts w:hint="eastAsia" w:cs="Times New Roman"/>
      </w:rPr>
    </w:lvl>
    <w:lvl w:ilvl="3" w:tentative="0">
      <w:start w:val="1"/>
      <w:numFmt w:val="decimal"/>
      <w:lvlText w:val="%4."/>
      <w:lvlJc w:val="left"/>
      <w:pPr>
        <w:tabs>
          <w:tab w:val="left" w:pos="363"/>
        </w:tabs>
        <w:ind w:firstLine="363"/>
      </w:pPr>
      <w:rPr>
        <w:rFonts w:hint="eastAsia" w:cs="Times New Roman"/>
      </w:rPr>
    </w:lvl>
    <w:lvl w:ilvl="4" w:tentative="0">
      <w:start w:val="1"/>
      <w:numFmt w:val="lowerLetter"/>
      <w:lvlText w:val="%5)"/>
      <w:lvlJc w:val="left"/>
      <w:pPr>
        <w:tabs>
          <w:tab w:val="left" w:pos="363"/>
        </w:tabs>
        <w:ind w:firstLine="363"/>
      </w:pPr>
      <w:rPr>
        <w:rFonts w:hint="eastAsia" w:cs="Times New Roman"/>
      </w:rPr>
    </w:lvl>
    <w:lvl w:ilvl="5" w:tentative="0">
      <w:start w:val="1"/>
      <w:numFmt w:val="lowerRoman"/>
      <w:lvlText w:val="%6."/>
      <w:lvlJc w:val="right"/>
      <w:pPr>
        <w:tabs>
          <w:tab w:val="left" w:pos="363"/>
        </w:tabs>
        <w:ind w:firstLine="363"/>
      </w:pPr>
      <w:rPr>
        <w:rFonts w:hint="eastAsia" w:cs="Times New Roman"/>
      </w:rPr>
    </w:lvl>
    <w:lvl w:ilvl="6" w:tentative="0">
      <w:start w:val="1"/>
      <w:numFmt w:val="decimal"/>
      <w:lvlText w:val="%7."/>
      <w:lvlJc w:val="left"/>
      <w:pPr>
        <w:tabs>
          <w:tab w:val="left" w:pos="363"/>
        </w:tabs>
        <w:ind w:firstLine="363"/>
      </w:pPr>
      <w:rPr>
        <w:rFonts w:hint="eastAsia" w:cs="Times New Roman"/>
      </w:rPr>
    </w:lvl>
    <w:lvl w:ilvl="7" w:tentative="0">
      <w:start w:val="1"/>
      <w:numFmt w:val="lowerLetter"/>
      <w:lvlText w:val="%8)"/>
      <w:lvlJc w:val="left"/>
      <w:pPr>
        <w:tabs>
          <w:tab w:val="left" w:pos="363"/>
        </w:tabs>
        <w:ind w:firstLine="363"/>
      </w:pPr>
      <w:rPr>
        <w:rFonts w:hint="eastAsia" w:cs="Times New Roman"/>
      </w:rPr>
    </w:lvl>
    <w:lvl w:ilvl="8" w:tentative="0">
      <w:start w:val="1"/>
      <w:numFmt w:val="lowerRoman"/>
      <w:lvlText w:val="%9."/>
      <w:lvlJc w:val="right"/>
      <w:pPr>
        <w:tabs>
          <w:tab w:val="left" w:pos="363"/>
        </w:tabs>
        <w:ind w:firstLine="363"/>
      </w:pPr>
      <w:rPr>
        <w:rFonts w:hint="eastAsia" w:cs="Times New Roman"/>
      </w:rPr>
    </w:lvl>
  </w:abstractNum>
  <w:abstractNum w:abstractNumId="3">
    <w:nsid w:val="132885FD"/>
    <w:multiLevelType w:val="multilevel"/>
    <w:tmpl w:val="132885FD"/>
    <w:lvl w:ilvl="0" w:tentative="0">
      <w:start w:val="1"/>
      <w:numFmt w:val="lowerLetter"/>
      <w:pStyle w:val="133"/>
      <w:suff w:val="nothing"/>
      <w:lvlText w:val="%1   "/>
      <w:lvlJc w:val="left"/>
      <w:pPr>
        <w:tabs>
          <w:tab w:val="left" w:pos="0"/>
        </w:tabs>
        <w:ind w:left="465" w:hanging="181"/>
      </w:pPr>
      <w:rPr>
        <w:rFonts w:hint="default" w:ascii="宋体" w:eastAsia="宋体" w:cs="Times New Roman"/>
        <w:b w:val="0"/>
        <w:bCs w:val="0"/>
        <w:i w:val="0"/>
        <w:iCs w:val="0"/>
        <w:sz w:val="18"/>
        <w:szCs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4">
    <w:nsid w:val="1DBF583A"/>
    <w:multiLevelType w:val="multilevel"/>
    <w:tmpl w:val="1DBF583A"/>
    <w:lvl w:ilvl="0" w:tentative="0">
      <w:start w:val="1"/>
      <w:numFmt w:val="decimal"/>
      <w:pStyle w:val="77"/>
      <w:suff w:val="nothing"/>
      <w:lvlText w:val="注%1："/>
      <w:lvlJc w:val="left"/>
      <w:pPr>
        <w:ind w:left="1016" w:hanging="448"/>
      </w:pPr>
      <w:rPr>
        <w:rFonts w:hint="eastAsia" w:ascii="黑体" w:eastAsia="黑体" w:cs="Times New Roman"/>
        <w:b w:val="0"/>
        <w:bCs w:val="0"/>
        <w:i w:val="0"/>
        <w:iCs w:val="0"/>
        <w:sz w:val="18"/>
        <w:szCs w:val="18"/>
        <w:vertAlign w:val="baseline"/>
      </w:rPr>
    </w:lvl>
    <w:lvl w:ilvl="1" w:tentative="0">
      <w:start w:val="1"/>
      <w:numFmt w:val="lowerLetter"/>
      <w:lvlText w:val="%2)"/>
      <w:lvlJc w:val="left"/>
      <w:pPr>
        <w:tabs>
          <w:tab w:val="left" w:pos="385"/>
        </w:tabs>
        <w:ind w:left="1377" w:hanging="629"/>
      </w:pPr>
      <w:rPr>
        <w:rFonts w:hint="eastAsia" w:cs="Times New Roman"/>
        <w:vertAlign w:val="baseline"/>
      </w:rPr>
    </w:lvl>
    <w:lvl w:ilvl="2" w:tentative="0">
      <w:start w:val="1"/>
      <w:numFmt w:val="lowerRoman"/>
      <w:lvlText w:val="%3."/>
      <w:lvlJc w:val="right"/>
      <w:pPr>
        <w:tabs>
          <w:tab w:val="left" w:pos="385"/>
        </w:tabs>
        <w:ind w:left="1377" w:hanging="629"/>
      </w:pPr>
      <w:rPr>
        <w:rFonts w:hint="eastAsia" w:cs="Times New Roman"/>
        <w:vertAlign w:val="baseline"/>
      </w:rPr>
    </w:lvl>
    <w:lvl w:ilvl="3" w:tentative="0">
      <w:start w:val="1"/>
      <w:numFmt w:val="decimal"/>
      <w:lvlText w:val="%4."/>
      <w:lvlJc w:val="left"/>
      <w:pPr>
        <w:tabs>
          <w:tab w:val="left" w:pos="385"/>
        </w:tabs>
        <w:ind w:left="1377" w:hanging="629"/>
      </w:pPr>
      <w:rPr>
        <w:rFonts w:hint="eastAsia" w:cs="Times New Roman"/>
        <w:vertAlign w:val="baseline"/>
      </w:rPr>
    </w:lvl>
    <w:lvl w:ilvl="4" w:tentative="0">
      <w:start w:val="1"/>
      <w:numFmt w:val="lowerLetter"/>
      <w:lvlText w:val="%5)"/>
      <w:lvlJc w:val="left"/>
      <w:pPr>
        <w:tabs>
          <w:tab w:val="left" w:pos="385"/>
        </w:tabs>
        <w:ind w:left="1377" w:hanging="629"/>
      </w:pPr>
      <w:rPr>
        <w:rFonts w:hint="eastAsia" w:cs="Times New Roman"/>
        <w:vertAlign w:val="baseline"/>
      </w:rPr>
    </w:lvl>
    <w:lvl w:ilvl="5" w:tentative="0">
      <w:start w:val="1"/>
      <w:numFmt w:val="lowerRoman"/>
      <w:lvlText w:val="%6."/>
      <w:lvlJc w:val="right"/>
      <w:pPr>
        <w:tabs>
          <w:tab w:val="left" w:pos="385"/>
        </w:tabs>
        <w:ind w:left="1377" w:hanging="629"/>
      </w:pPr>
      <w:rPr>
        <w:rFonts w:hint="eastAsia" w:cs="Times New Roman"/>
        <w:vertAlign w:val="baseline"/>
      </w:rPr>
    </w:lvl>
    <w:lvl w:ilvl="6" w:tentative="0">
      <w:start w:val="1"/>
      <w:numFmt w:val="decimal"/>
      <w:lvlText w:val="%7."/>
      <w:lvlJc w:val="left"/>
      <w:pPr>
        <w:tabs>
          <w:tab w:val="left" w:pos="385"/>
        </w:tabs>
        <w:ind w:left="1377" w:hanging="629"/>
      </w:pPr>
      <w:rPr>
        <w:rFonts w:hint="eastAsia" w:cs="Times New Roman"/>
        <w:vertAlign w:val="baseline"/>
      </w:rPr>
    </w:lvl>
    <w:lvl w:ilvl="7" w:tentative="0">
      <w:start w:val="1"/>
      <w:numFmt w:val="lowerLetter"/>
      <w:lvlText w:val="%8)"/>
      <w:lvlJc w:val="left"/>
      <w:pPr>
        <w:tabs>
          <w:tab w:val="left" w:pos="385"/>
        </w:tabs>
        <w:ind w:left="1377" w:hanging="629"/>
      </w:pPr>
      <w:rPr>
        <w:rFonts w:hint="eastAsia" w:cs="Times New Roman"/>
        <w:vertAlign w:val="baseline"/>
      </w:rPr>
    </w:lvl>
    <w:lvl w:ilvl="8" w:tentative="0">
      <w:start w:val="1"/>
      <w:numFmt w:val="lowerRoman"/>
      <w:lvlText w:val="%9."/>
      <w:lvlJc w:val="right"/>
      <w:pPr>
        <w:tabs>
          <w:tab w:val="left" w:pos="385"/>
        </w:tabs>
        <w:ind w:left="1377" w:hanging="629"/>
      </w:pPr>
      <w:rPr>
        <w:rFonts w:hint="eastAsia" w:cs="Times New Roman"/>
        <w:vertAlign w:val="baseline"/>
      </w:rPr>
    </w:lvl>
  </w:abstractNum>
  <w:abstractNum w:abstractNumId="5">
    <w:nsid w:val="1FC91163"/>
    <w:multiLevelType w:val="multilevel"/>
    <w:tmpl w:val="1FC91163"/>
    <w:lvl w:ilvl="0" w:tentative="0">
      <w:start w:val="1"/>
      <w:numFmt w:val="decimal"/>
      <w:pStyle w:val="57"/>
      <w:suff w:val="nothing"/>
      <w:lvlText w:val="%1　"/>
      <w:lvlJc w:val="left"/>
      <w:pPr>
        <w:ind w:left="142" w:firstLine="0"/>
      </w:pPr>
      <w:rPr>
        <w:rFonts w:hint="eastAsia" w:ascii="黑体" w:hAnsi="Times New Roman" w:eastAsia="黑体" w:cs="Times New Roman"/>
        <w:b w:val="0"/>
        <w:bCs w:val="0"/>
        <w:i w:val="0"/>
        <w:iCs w:val="0"/>
        <w:sz w:val="21"/>
        <w:szCs w:val="21"/>
      </w:rPr>
    </w:lvl>
    <w:lvl w:ilvl="1" w:tentative="0">
      <w:start w:val="1"/>
      <w:numFmt w:val="decimal"/>
      <w:pStyle w:val="54"/>
      <w:suff w:val="nothing"/>
      <w:lvlText w:val="%1.%2　"/>
      <w:lvlJc w:val="left"/>
      <w:pPr>
        <w:ind w:left="0" w:firstLine="0"/>
      </w:pPr>
      <w:rPr>
        <w:rFonts w:hint="eastAsia" w:ascii="黑体" w:hAnsi="黑体"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8"/>
      <w:suff w:val="nothing"/>
      <w:lvlText w:val="%1.%2.%3　"/>
      <w:lvlJc w:val="left"/>
      <w:pPr>
        <w:ind w:left="0" w:firstLine="0"/>
      </w:pPr>
      <w:rPr>
        <w:rFonts w:hint="eastAsia" w:ascii="黑体" w:hAnsi="Times New Roman" w:eastAsia="黑体" w:cs="Times New Roman"/>
        <w:b w:val="0"/>
        <w:bCs w:val="0"/>
        <w:i w:val="0"/>
        <w:iCs w:val="0"/>
        <w:sz w:val="21"/>
        <w:szCs w:val="21"/>
      </w:rPr>
    </w:lvl>
    <w:lvl w:ilvl="3" w:tentative="0">
      <w:start w:val="1"/>
      <w:numFmt w:val="decimal"/>
      <w:pStyle w:val="63"/>
      <w:suff w:val="nothing"/>
      <w:lvlText w:val="%1.%2.%3.%4　"/>
      <w:lvlJc w:val="left"/>
      <w:pPr>
        <w:ind w:left="0" w:firstLine="0"/>
      </w:pPr>
      <w:rPr>
        <w:rFonts w:hint="eastAsia" w:ascii="黑体" w:hAnsi="Times New Roman" w:eastAsia="黑体" w:cs="Times New Roman"/>
        <w:b w:val="0"/>
        <w:bCs w:val="0"/>
        <w:i w:val="0"/>
        <w:iCs w:val="0"/>
        <w:sz w:val="21"/>
        <w:szCs w:val="21"/>
      </w:rPr>
    </w:lvl>
    <w:lvl w:ilvl="4" w:tentative="0">
      <w:start w:val="1"/>
      <w:numFmt w:val="decimal"/>
      <w:pStyle w:val="67"/>
      <w:suff w:val="nothing"/>
      <w:lvlText w:val="%1.%2.%3.%4.%5　"/>
      <w:lvlJc w:val="left"/>
      <w:pPr>
        <w:ind w:left="0" w:firstLine="0"/>
      </w:pPr>
      <w:rPr>
        <w:rFonts w:hint="eastAsia" w:ascii="黑体" w:hAnsi="Times New Roman" w:eastAsia="黑体" w:cs="Times New Roman"/>
        <w:b w:val="0"/>
        <w:bCs w:val="0"/>
        <w:i w:val="0"/>
        <w:iCs w:val="0"/>
        <w:sz w:val="21"/>
        <w:szCs w:val="21"/>
      </w:rPr>
    </w:lvl>
    <w:lvl w:ilvl="5" w:tentative="0">
      <w:start w:val="1"/>
      <w:numFmt w:val="decimal"/>
      <w:pStyle w:val="68"/>
      <w:suff w:val="nothing"/>
      <w:lvlText w:val="%1.%2.%3.%4.%5.%6　"/>
      <w:lvlJc w:val="left"/>
      <w:pPr>
        <w:ind w:left="0" w:firstLine="0"/>
      </w:pPr>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pPr>
        <w:ind w:left="0" w:firstLine="0"/>
      </w:pPr>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6">
    <w:nsid w:val="2A8F7113"/>
    <w:multiLevelType w:val="multilevel"/>
    <w:tmpl w:val="2A8F7113"/>
    <w:lvl w:ilvl="0" w:tentative="0">
      <w:start w:val="1"/>
      <w:numFmt w:val="upperLetter"/>
      <w:pStyle w:val="110"/>
      <w:suff w:val="space"/>
      <w:lvlText w:val="%1"/>
      <w:lvlJc w:val="left"/>
      <w:pPr>
        <w:ind w:left="623" w:hanging="425"/>
      </w:pPr>
      <w:rPr>
        <w:rFonts w:hint="eastAsia" w:cs="Times New Roman"/>
      </w:rPr>
    </w:lvl>
    <w:lvl w:ilvl="1" w:tentative="0">
      <w:start w:val="1"/>
      <w:numFmt w:val="decimal"/>
      <w:pStyle w:val="111"/>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7">
    <w:nsid w:val="2C5917C3"/>
    <w:multiLevelType w:val="multilevel"/>
    <w:tmpl w:val="2C5917C3"/>
    <w:lvl w:ilvl="0" w:tentative="0">
      <w:start w:val="1"/>
      <w:numFmt w:val="none"/>
      <w:pStyle w:val="60"/>
      <w:suff w:val="nothing"/>
      <w:lvlText w:val="%1——"/>
      <w:lvlJc w:val="left"/>
      <w:pPr>
        <w:ind w:left="833" w:hanging="408"/>
      </w:pPr>
      <w:rPr>
        <w:rFonts w:hint="eastAsia" w:cs="Times New Roman"/>
      </w:rPr>
    </w:lvl>
    <w:lvl w:ilvl="1" w:tentative="0">
      <w:start w:val="1"/>
      <w:numFmt w:val="bullet"/>
      <w:pStyle w:val="61"/>
      <w:lvlText w:val=""/>
      <w:lvlJc w:val="left"/>
      <w:pPr>
        <w:tabs>
          <w:tab w:val="left" w:pos="760"/>
        </w:tabs>
        <w:ind w:left="1264" w:hanging="413"/>
      </w:pPr>
      <w:rPr>
        <w:rFonts w:hint="default" w:ascii="Symbol" w:hAnsi="Symbol"/>
        <w:color w:val="auto"/>
      </w:rPr>
    </w:lvl>
    <w:lvl w:ilvl="2" w:tentative="0">
      <w:start w:val="1"/>
      <w:numFmt w:val="bullet"/>
      <w:pStyle w:val="7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8">
    <w:nsid w:val="38BE18DA"/>
    <w:multiLevelType w:val="multilevel"/>
    <w:tmpl w:val="38BE18DA"/>
    <w:lvl w:ilvl="0" w:tentative="0">
      <w:start w:val="1"/>
      <w:numFmt w:val="lowerLetter"/>
      <w:pStyle w:val="71"/>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6"/>
      <w:lvlText w:val="%2)"/>
      <w:lvlJc w:val="left"/>
      <w:pPr>
        <w:tabs>
          <w:tab w:val="left" w:pos="1260"/>
        </w:tabs>
        <w:ind w:left="1259" w:hanging="419"/>
      </w:pPr>
      <w:rPr>
        <w:rFonts w:hint="eastAsia"/>
      </w:rPr>
    </w:lvl>
    <w:lvl w:ilvl="2" w:tentative="0">
      <w:start w:val="1"/>
      <w:numFmt w:val="decimal"/>
      <w:pStyle w:val="73"/>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3D733618"/>
    <w:multiLevelType w:val="multilevel"/>
    <w:tmpl w:val="3D733618"/>
    <w:lvl w:ilvl="0" w:tentative="0">
      <w:start w:val="1"/>
      <w:numFmt w:val="decimal"/>
      <w:pStyle w:val="27"/>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10">
    <w:nsid w:val="4B733A5F"/>
    <w:multiLevelType w:val="multilevel"/>
    <w:tmpl w:val="4B733A5F"/>
    <w:lvl w:ilvl="0" w:tentative="0">
      <w:start w:val="1"/>
      <w:numFmt w:val="decimal"/>
      <w:pStyle w:val="74"/>
      <w:suff w:val="nothing"/>
      <w:lvlText w:val="示例%1："/>
      <w:lvlJc w:val="left"/>
      <w:pPr>
        <w:ind w:firstLine="363"/>
      </w:pPr>
      <w:rPr>
        <w:rFonts w:hint="eastAsia" w:ascii="黑体" w:hAnsi="Times New Roman" w:eastAsia="黑体" w:cs="Times New Roman"/>
        <w:b w:val="0"/>
        <w:bCs w:val="0"/>
        <w:i w:val="0"/>
        <w:iCs w:val="0"/>
        <w:sz w:val="18"/>
        <w:szCs w:val="18"/>
        <w:vertAlign w:val="baseline"/>
      </w:rPr>
    </w:lvl>
    <w:lvl w:ilvl="1" w:tentative="0">
      <w:start w:val="1"/>
      <w:numFmt w:val="none"/>
      <w:suff w:val="space"/>
      <w:lvlText w:val=""/>
      <w:lvlJc w:val="left"/>
      <w:rPr>
        <w:rFonts w:hint="eastAsia" w:cs="Times New Roman"/>
        <w:vertAlign w:val="baseline"/>
      </w:rPr>
    </w:lvl>
    <w:lvl w:ilvl="2" w:tentative="0">
      <w:start w:val="1"/>
      <w:numFmt w:val="decimal"/>
      <w:suff w:val="space"/>
      <w:lvlText w:val="2.2.%3"/>
      <w:lvlJc w:val="left"/>
      <w:rPr>
        <w:rFonts w:hint="eastAsia" w:cs="Times New Roman"/>
        <w:vertAlign w:val="baseline"/>
      </w:rPr>
    </w:lvl>
    <w:lvl w:ilvl="3" w:tentative="0">
      <w:start w:val="1"/>
      <w:numFmt w:val="decimal"/>
      <w:lvlText w:val="%4."/>
      <w:lvlJc w:val="left"/>
      <w:pPr>
        <w:tabs>
          <w:tab w:val="left" w:pos="0"/>
        </w:tabs>
        <w:ind w:left="992" w:hanging="629"/>
      </w:pPr>
      <w:rPr>
        <w:rFonts w:hint="eastAsia" w:cs="Times New Roman"/>
        <w:vertAlign w:val="baseline"/>
      </w:rPr>
    </w:lvl>
    <w:lvl w:ilvl="4" w:tentative="0">
      <w:start w:val="1"/>
      <w:numFmt w:val="lowerLetter"/>
      <w:lvlText w:val="%5)"/>
      <w:lvlJc w:val="left"/>
      <w:pPr>
        <w:tabs>
          <w:tab w:val="left" w:pos="0"/>
        </w:tabs>
        <w:ind w:left="992" w:hanging="629"/>
      </w:pPr>
      <w:rPr>
        <w:rFonts w:hint="eastAsia" w:cs="Times New Roman"/>
        <w:vertAlign w:val="baseline"/>
      </w:rPr>
    </w:lvl>
    <w:lvl w:ilvl="5" w:tentative="0">
      <w:start w:val="1"/>
      <w:numFmt w:val="lowerRoman"/>
      <w:lvlText w:val="%6."/>
      <w:lvlJc w:val="right"/>
      <w:pPr>
        <w:tabs>
          <w:tab w:val="left" w:pos="0"/>
        </w:tabs>
        <w:ind w:left="992" w:hanging="629"/>
      </w:pPr>
      <w:rPr>
        <w:rFonts w:hint="eastAsia" w:cs="Times New Roman"/>
        <w:vertAlign w:val="baseline"/>
      </w:rPr>
    </w:lvl>
    <w:lvl w:ilvl="6" w:tentative="0">
      <w:start w:val="1"/>
      <w:numFmt w:val="decimal"/>
      <w:lvlText w:val="%7."/>
      <w:lvlJc w:val="left"/>
      <w:pPr>
        <w:tabs>
          <w:tab w:val="left" w:pos="0"/>
        </w:tabs>
        <w:ind w:left="992" w:hanging="629"/>
      </w:pPr>
      <w:rPr>
        <w:rFonts w:hint="eastAsia" w:cs="Times New Roman"/>
        <w:vertAlign w:val="baseline"/>
      </w:rPr>
    </w:lvl>
    <w:lvl w:ilvl="7" w:tentative="0">
      <w:start w:val="1"/>
      <w:numFmt w:val="lowerLetter"/>
      <w:lvlText w:val="%8)"/>
      <w:lvlJc w:val="left"/>
      <w:pPr>
        <w:tabs>
          <w:tab w:val="left" w:pos="0"/>
        </w:tabs>
        <w:ind w:left="992" w:hanging="629"/>
      </w:pPr>
      <w:rPr>
        <w:rFonts w:hint="eastAsia" w:cs="Times New Roman"/>
        <w:vertAlign w:val="baseline"/>
      </w:rPr>
    </w:lvl>
    <w:lvl w:ilvl="8" w:tentative="0">
      <w:start w:val="1"/>
      <w:numFmt w:val="lowerRoman"/>
      <w:lvlText w:val="%9."/>
      <w:lvlJc w:val="right"/>
      <w:pPr>
        <w:tabs>
          <w:tab w:val="left" w:pos="0"/>
        </w:tabs>
        <w:ind w:left="992" w:hanging="629"/>
      </w:pPr>
      <w:rPr>
        <w:rFonts w:hint="eastAsia" w:cs="Times New Roman"/>
        <w:vertAlign w:val="baseline"/>
      </w:rPr>
    </w:lvl>
  </w:abstractNum>
  <w:abstractNum w:abstractNumId="11">
    <w:nsid w:val="557C2AF5"/>
    <w:multiLevelType w:val="multilevel"/>
    <w:tmpl w:val="557C2AF5"/>
    <w:lvl w:ilvl="0" w:tentative="0">
      <w:start w:val="1"/>
      <w:numFmt w:val="decimal"/>
      <w:pStyle w:val="140"/>
      <w:suff w:val="nothing"/>
      <w:lvlText w:val="图%1　"/>
      <w:lvlJc w:val="left"/>
      <w:rPr>
        <w:rFonts w:hint="eastAsia" w:ascii="黑体" w:hAnsi="Times New Roman" w:eastAsia="黑体" w:cs="Times New Roman"/>
        <w:b w:val="0"/>
        <w:bCs w:val="0"/>
        <w:i w:val="0"/>
        <w:iCs w:val="0"/>
        <w:sz w:val="21"/>
        <w:szCs w:val="21"/>
      </w:rPr>
    </w:lvl>
    <w:lvl w:ilvl="1" w:tentative="0">
      <w:start w:val="1"/>
      <w:numFmt w:val="decimal"/>
      <w:suff w:val="nothing"/>
      <w:lvlText w:val="%1%2　"/>
      <w:lvlJc w:val="left"/>
      <w:rPr>
        <w:rFonts w:hint="default" w:ascii="Times New Roman" w:hAnsi="Times New Roman" w:eastAsia="黑体" w:cs="Times New Roman"/>
        <w:b w:val="0"/>
        <w:bCs w:val="0"/>
        <w:i w:val="0"/>
        <w:iCs w:val="0"/>
        <w:sz w:val="21"/>
        <w:szCs w:val="21"/>
      </w:rPr>
    </w:lvl>
    <w:lvl w:ilvl="2" w:tentative="0">
      <w:start w:val="1"/>
      <w:numFmt w:val="decimal"/>
      <w:suff w:val="nothing"/>
      <w:lvlText w:val="%1%2.%3　"/>
      <w:lvlJc w:val="left"/>
      <w:rPr>
        <w:rFonts w:hint="default" w:ascii="Times New Roman" w:hAnsi="Times New Roman" w:eastAsia="黑体" w:cs="Times New Roman"/>
        <w:b w:val="0"/>
        <w:bCs w:val="0"/>
        <w:i w:val="0"/>
        <w:iCs w:val="0"/>
        <w:sz w:val="21"/>
        <w:szCs w:val="21"/>
      </w:rPr>
    </w:lvl>
    <w:lvl w:ilvl="3" w:tentative="0">
      <w:start w:val="1"/>
      <w:numFmt w:val="decimal"/>
      <w:suff w:val="nothing"/>
      <w:lvlText w:val="%1%2.%3.%4　"/>
      <w:lvlJc w:val="left"/>
      <w:rPr>
        <w:rFonts w:hint="default" w:ascii="Times New Roman" w:hAnsi="Times New Roman" w:eastAsia="黑体" w:cs="Times New Roman"/>
        <w:b w:val="0"/>
        <w:bCs w:val="0"/>
        <w:i w:val="0"/>
        <w:iCs w:val="0"/>
        <w:sz w:val="21"/>
        <w:szCs w:val="21"/>
      </w:rPr>
    </w:lvl>
    <w:lvl w:ilvl="4" w:tentative="0">
      <w:start w:val="1"/>
      <w:numFmt w:val="decimal"/>
      <w:suff w:val="nothing"/>
      <w:lvlText w:val="%1%2.%3.%4.%5　"/>
      <w:lvlJc w:val="left"/>
      <w:rPr>
        <w:rFonts w:hint="default" w:ascii="Times New Roman" w:hAnsi="Times New Roman" w:eastAsia="黑体" w:cs="Times New Roman"/>
        <w:b w:val="0"/>
        <w:bCs w:val="0"/>
        <w:i w:val="0"/>
        <w:iCs w:val="0"/>
        <w:sz w:val="21"/>
        <w:szCs w:val="21"/>
      </w:rPr>
    </w:lvl>
    <w:lvl w:ilvl="5" w:tentative="0">
      <w:start w:val="1"/>
      <w:numFmt w:val="decimal"/>
      <w:suff w:val="nothing"/>
      <w:lvlText w:val="%1%2.%3.%4.%5.%6　"/>
      <w:lvlJc w:val="left"/>
      <w:rPr>
        <w:rFonts w:hint="default" w:ascii="Times New Roman" w:hAnsi="Times New Roman" w:eastAsia="黑体" w:cs="Times New Roman"/>
        <w:b w:val="0"/>
        <w:bCs w:val="0"/>
        <w:i w:val="0"/>
        <w:iCs w:val="0"/>
        <w:sz w:val="21"/>
        <w:szCs w:val="21"/>
      </w:rPr>
    </w:lvl>
    <w:lvl w:ilvl="6" w:tentative="0">
      <w:start w:val="1"/>
      <w:numFmt w:val="decimal"/>
      <w:suff w:val="nothing"/>
      <w:lvlText w:val="%1%2.%3.%4.%5.%6.%7　"/>
      <w:lvlJc w:val="left"/>
      <w:rPr>
        <w:rFonts w:hint="default" w:ascii="Times New Roman"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2">
    <w:nsid w:val="60B55DC2"/>
    <w:multiLevelType w:val="multilevel"/>
    <w:tmpl w:val="60B55DC2"/>
    <w:lvl w:ilvl="0" w:tentative="0">
      <w:start w:val="1"/>
      <w:numFmt w:val="upperLetter"/>
      <w:pStyle w:val="98"/>
      <w:lvlText w:val="%1"/>
      <w:lvlJc w:val="left"/>
      <w:pPr>
        <w:tabs>
          <w:tab w:val="left" w:pos="0"/>
        </w:tabs>
        <w:ind w:hanging="425"/>
      </w:pPr>
      <w:rPr>
        <w:rFonts w:hint="eastAsia" w:cs="Times New Roman"/>
      </w:rPr>
    </w:lvl>
    <w:lvl w:ilvl="1" w:tentative="0">
      <w:start w:val="1"/>
      <w:numFmt w:val="decimal"/>
      <w:pStyle w:val="99"/>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13">
    <w:nsid w:val="646260FA"/>
    <w:multiLevelType w:val="multilevel"/>
    <w:tmpl w:val="646260FA"/>
    <w:lvl w:ilvl="0" w:tentative="0">
      <w:start w:val="1"/>
      <w:numFmt w:val="decimal"/>
      <w:pStyle w:val="138"/>
      <w:suff w:val="nothing"/>
      <w:lvlText w:val="表%1　"/>
      <w:lvlJc w:val="left"/>
      <w:pPr>
        <w:ind w:left="3402"/>
      </w:pPr>
      <w:rPr>
        <w:rFonts w:hint="eastAsia" w:ascii="黑体" w:hAnsi="Times New Roman" w:eastAsia="黑体" w:cs="Times New Roman"/>
        <w:b w:val="0"/>
        <w:bCs w:val="0"/>
        <w:i w:val="0"/>
        <w:iCs w:val="0"/>
        <w:sz w:val="21"/>
        <w:szCs w:val="21"/>
        <w:lang w:val="en-US"/>
      </w:rPr>
    </w:lvl>
    <w:lvl w:ilvl="1" w:tentative="0">
      <w:start w:val="1"/>
      <w:numFmt w:val="decimal"/>
      <w:lvlText w:val="%1.%2"/>
      <w:lvlJc w:val="left"/>
      <w:pPr>
        <w:tabs>
          <w:tab w:val="left" w:pos="-4254"/>
        </w:tabs>
        <w:ind w:left="-4254" w:hanging="567"/>
      </w:pPr>
      <w:rPr>
        <w:rFonts w:hint="eastAsia" w:cs="Times New Roman"/>
      </w:rPr>
    </w:lvl>
    <w:lvl w:ilvl="2" w:tentative="0">
      <w:start w:val="1"/>
      <w:numFmt w:val="decimal"/>
      <w:lvlText w:val="%1.%2.%3"/>
      <w:lvlJc w:val="left"/>
      <w:pPr>
        <w:tabs>
          <w:tab w:val="left" w:pos="-3828"/>
        </w:tabs>
        <w:ind w:left="-3828" w:hanging="567"/>
      </w:pPr>
      <w:rPr>
        <w:rFonts w:hint="eastAsia" w:cs="Times New Roman"/>
      </w:rPr>
    </w:lvl>
    <w:lvl w:ilvl="3" w:tentative="0">
      <w:start w:val="1"/>
      <w:numFmt w:val="decimal"/>
      <w:lvlText w:val="%1.%2.%3.%4"/>
      <w:lvlJc w:val="left"/>
      <w:pPr>
        <w:tabs>
          <w:tab w:val="left" w:pos="-3262"/>
        </w:tabs>
        <w:ind w:left="-3262" w:hanging="708"/>
      </w:pPr>
      <w:rPr>
        <w:rFonts w:hint="eastAsia" w:cs="Times New Roman"/>
      </w:rPr>
    </w:lvl>
    <w:lvl w:ilvl="4" w:tentative="0">
      <w:start w:val="1"/>
      <w:numFmt w:val="decimal"/>
      <w:lvlText w:val="%1.%2.%3.%4.%5"/>
      <w:lvlJc w:val="left"/>
      <w:pPr>
        <w:tabs>
          <w:tab w:val="left" w:pos="-2695"/>
        </w:tabs>
        <w:ind w:left="-2695" w:hanging="850"/>
      </w:pPr>
      <w:rPr>
        <w:rFonts w:hint="eastAsia" w:cs="Times New Roman"/>
      </w:rPr>
    </w:lvl>
    <w:lvl w:ilvl="5" w:tentative="0">
      <w:start w:val="1"/>
      <w:numFmt w:val="decimal"/>
      <w:lvlText w:val="%1.%2.%3.%4.%5.%6"/>
      <w:lvlJc w:val="left"/>
      <w:pPr>
        <w:tabs>
          <w:tab w:val="left" w:pos="-1986"/>
        </w:tabs>
        <w:ind w:left="-1986" w:hanging="1134"/>
      </w:pPr>
      <w:rPr>
        <w:rFonts w:hint="eastAsia" w:cs="Times New Roman"/>
      </w:rPr>
    </w:lvl>
    <w:lvl w:ilvl="6" w:tentative="0">
      <w:start w:val="1"/>
      <w:numFmt w:val="decimal"/>
      <w:lvlText w:val="%1.%2.%3.%4.%5.%6.%7"/>
      <w:lvlJc w:val="left"/>
      <w:pPr>
        <w:tabs>
          <w:tab w:val="left" w:pos="-1419"/>
        </w:tabs>
        <w:ind w:left="-1419" w:hanging="1276"/>
      </w:pPr>
      <w:rPr>
        <w:rFonts w:hint="eastAsia" w:cs="Times New Roman"/>
      </w:rPr>
    </w:lvl>
    <w:lvl w:ilvl="7" w:tentative="0">
      <w:start w:val="1"/>
      <w:numFmt w:val="decimal"/>
      <w:lvlText w:val="%1.%2.%3.%4.%5.%6.%7.%8"/>
      <w:lvlJc w:val="left"/>
      <w:pPr>
        <w:tabs>
          <w:tab w:val="left" w:pos="-852"/>
        </w:tabs>
        <w:ind w:left="-852" w:hanging="1418"/>
      </w:pPr>
      <w:rPr>
        <w:rFonts w:hint="eastAsia" w:cs="Times New Roman"/>
      </w:rPr>
    </w:lvl>
    <w:lvl w:ilvl="8" w:tentative="0">
      <w:start w:val="1"/>
      <w:numFmt w:val="decimal"/>
      <w:lvlText w:val="%1.%2.%3.%4.%5.%6.%7.%8.%9"/>
      <w:lvlJc w:val="left"/>
      <w:pPr>
        <w:tabs>
          <w:tab w:val="left" w:pos="-144"/>
        </w:tabs>
        <w:ind w:left="-144" w:hanging="1700"/>
      </w:pPr>
      <w:rPr>
        <w:rFonts w:hint="eastAsia" w:cs="Times New Roman"/>
      </w:rPr>
    </w:lvl>
  </w:abstractNum>
  <w:abstractNum w:abstractNumId="14">
    <w:nsid w:val="657D3FBC"/>
    <w:multiLevelType w:val="multilevel"/>
    <w:tmpl w:val="657D3FBC"/>
    <w:lvl w:ilvl="0" w:tentative="0">
      <w:start w:val="1"/>
      <w:numFmt w:val="upperLetter"/>
      <w:pStyle w:val="96"/>
      <w:suff w:val="nothing"/>
      <w:lvlText w:val="附　录　%1"/>
      <w:lvlJc w:val="left"/>
      <w:rPr>
        <w:rFonts w:hint="eastAsia" w:ascii="黑体" w:hAnsi="Times New Roman" w:eastAsia="黑体" w:cs="Times New Roman"/>
        <w:b w:val="0"/>
        <w:bCs w:val="0"/>
        <w:i w:val="0"/>
        <w:iCs w:val="0"/>
        <w:spacing w:val="0"/>
        <w:w w:val="100"/>
        <w:sz w:val="21"/>
        <w:szCs w:val="21"/>
      </w:rPr>
    </w:lvl>
    <w:lvl w:ilvl="1" w:tentative="0">
      <w:start w:val="1"/>
      <w:numFmt w:val="decimal"/>
      <w:pStyle w:val="114"/>
      <w:suff w:val="nothing"/>
      <w:lvlText w:val="%1.%2　"/>
      <w:lvlJc w:val="left"/>
      <w:rPr>
        <w:rFonts w:hint="eastAsia" w:ascii="黑体" w:hAnsi="Times New Roman" w:eastAsia="黑体" w:cs="Times New Roman"/>
        <w:b w:val="0"/>
        <w:bCs w:val="0"/>
        <w:i w:val="0"/>
        <w:iCs w:val="0"/>
        <w:snapToGrid/>
        <w:spacing w:val="0"/>
        <w:w w:val="100"/>
        <w:kern w:val="21"/>
        <w:sz w:val="21"/>
        <w:szCs w:val="21"/>
      </w:rPr>
    </w:lvl>
    <w:lvl w:ilvl="2" w:tentative="0">
      <w:start w:val="1"/>
      <w:numFmt w:val="decimal"/>
      <w:pStyle w:val="115"/>
      <w:suff w:val="nothing"/>
      <w:lvlText w:val="%1.%2.%3　"/>
      <w:lvlJc w:val="left"/>
      <w:rPr>
        <w:rFonts w:hint="eastAsia" w:ascii="黑体" w:hAnsi="Times New Roman" w:eastAsia="黑体" w:cs="Times New Roman"/>
        <w:b w:val="0"/>
        <w:bCs w:val="0"/>
        <w:i w:val="0"/>
        <w:iCs w:val="0"/>
        <w:sz w:val="21"/>
        <w:szCs w:val="21"/>
      </w:rPr>
    </w:lvl>
    <w:lvl w:ilvl="3" w:tentative="0">
      <w:start w:val="1"/>
      <w:numFmt w:val="decimal"/>
      <w:pStyle w:val="100"/>
      <w:suff w:val="nothing"/>
      <w:lvlText w:val="%1.%2.%3.%4　"/>
      <w:lvlJc w:val="left"/>
      <w:rPr>
        <w:rFonts w:hint="eastAsia" w:ascii="黑体" w:hAnsi="Times New Roman" w:eastAsia="黑体" w:cs="Times New Roman"/>
        <w:b w:val="0"/>
        <w:bCs w:val="0"/>
        <w:i w:val="0"/>
        <w:iCs w:val="0"/>
        <w:sz w:val="21"/>
        <w:szCs w:val="21"/>
      </w:rPr>
    </w:lvl>
    <w:lvl w:ilvl="4" w:tentative="0">
      <w:start w:val="1"/>
      <w:numFmt w:val="decimal"/>
      <w:pStyle w:val="105"/>
      <w:suff w:val="nothing"/>
      <w:lvlText w:val="%1.%2.%3.%4.%5　"/>
      <w:lvlJc w:val="left"/>
      <w:rPr>
        <w:rFonts w:hint="eastAsia" w:ascii="黑体" w:hAnsi="Times New Roman" w:eastAsia="黑体" w:cs="Times New Roman"/>
        <w:b w:val="0"/>
        <w:bCs w:val="0"/>
        <w:i w:val="0"/>
        <w:iCs w:val="0"/>
        <w:sz w:val="21"/>
        <w:szCs w:val="21"/>
      </w:rPr>
    </w:lvl>
    <w:lvl w:ilvl="5" w:tentative="0">
      <w:start w:val="1"/>
      <w:numFmt w:val="decimal"/>
      <w:pStyle w:val="108"/>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pStyle w:val="112"/>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5">
    <w:nsid w:val="6D6C07CD"/>
    <w:multiLevelType w:val="multilevel"/>
    <w:tmpl w:val="6D6C07CD"/>
    <w:lvl w:ilvl="0" w:tentative="0">
      <w:start w:val="1"/>
      <w:numFmt w:val="lowerLetter"/>
      <w:pStyle w:val="117"/>
      <w:lvlText w:val="%1)"/>
      <w:lvlJc w:val="left"/>
      <w:pPr>
        <w:tabs>
          <w:tab w:val="left" w:pos="839"/>
        </w:tabs>
        <w:ind w:left="839" w:hanging="419"/>
      </w:pPr>
      <w:rPr>
        <w:rFonts w:hint="eastAsia" w:ascii="宋体" w:eastAsia="宋体" w:cs="Times New Roman"/>
        <w:b w:val="0"/>
        <w:bCs w:val="0"/>
        <w:i w:val="0"/>
        <w:iCs w:val="0"/>
        <w:sz w:val="21"/>
        <w:szCs w:val="21"/>
      </w:rPr>
    </w:lvl>
    <w:lvl w:ilvl="1" w:tentative="0">
      <w:start w:val="1"/>
      <w:numFmt w:val="decimal"/>
      <w:pStyle w:val="107"/>
      <w:lvlText w:val="%2)"/>
      <w:lvlJc w:val="left"/>
      <w:pPr>
        <w:tabs>
          <w:tab w:val="left" w:pos="840"/>
        </w:tabs>
        <w:ind w:left="839" w:hanging="419"/>
      </w:pPr>
      <w:rPr>
        <w:rFonts w:hint="eastAsia" w:ascii="宋体" w:eastAsia="宋体" w:cs="Times New Roman"/>
        <w:b w:val="0"/>
        <w:bCs w:val="0"/>
        <w:i w:val="0"/>
        <w:iCs w:val="0"/>
        <w:sz w:val="21"/>
        <w:szCs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16">
    <w:nsid w:val="6DBF04F4"/>
    <w:multiLevelType w:val="multilevel"/>
    <w:tmpl w:val="6DBF04F4"/>
    <w:lvl w:ilvl="0" w:tentative="0">
      <w:start w:val="1"/>
      <w:numFmt w:val="none"/>
      <w:pStyle w:val="69"/>
      <w:suff w:val="nothing"/>
      <w:lvlText w:val="%1注："/>
      <w:lvlJc w:val="left"/>
      <w:pPr>
        <w:ind w:left="726" w:hanging="363"/>
      </w:pPr>
      <w:rPr>
        <w:rFonts w:hint="eastAsia" w:ascii="黑体" w:hAnsi="Times New Roman" w:eastAsia="黑体" w:cs="Times New Roman"/>
        <w:b w:val="0"/>
        <w:bCs w:val="0"/>
        <w:i w:val="0"/>
        <w:iCs w:val="0"/>
        <w:sz w:val="18"/>
        <w:szCs w:val="18"/>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num w:numId="1">
    <w:abstractNumId w:val="9"/>
  </w:num>
  <w:num w:numId="2">
    <w:abstractNumId w:val="5"/>
  </w:num>
  <w:num w:numId="3">
    <w:abstractNumId w:val="7"/>
  </w:num>
  <w:num w:numId="4">
    <w:abstractNumId w:val="2"/>
  </w:num>
  <w:num w:numId="5">
    <w:abstractNumId w:val="8"/>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forms" w:enforcement="0"/>
  <w:defaultTabStop w:val="420"/>
  <w:characterSpacingControl w:val="doNotCompress"/>
  <w:noLineBreaksAfter w:lang="zh-CN" w:val="$([{£¥·‘“〈《「『【〔〖〝﹙﹛﹝＄（．［｛￡￥"/>
  <w:noLineBreaksBefore w:lang="zh-CN" w:val="!%),.:;&gt;?]}¢¨°·ˇˉ―‖’”…‰′″›℃∶、。〃〉》」』】〕〗〞︶︺︾﹀﹄﹚﹜﹞！＂％＇），．：；？］｀｜｝～￠"/>
  <w:hdrShapeDefaults>
    <o:shapelayout v:ext="edit">
      <o:idmap v:ext="edit" data="3"/>
    </o:shapelayout>
  </w:hdrShapeDefaults>
  <w:compat>
    <w:useFELayout/>
    <w:compatSetting w:name="compatibilityMode" w:uri="http://schemas.microsoft.com/office/word" w:val="12"/>
  </w:compat>
  <w:docVars>
    <w:docVar w:name="commondata" w:val="eyJoZGlkIjoiZWQyMmZjNGRjNGRjNjlmMjk0MDFkZjM0NjM4YjcyMmIifQ=="/>
  </w:docVars>
  <w:rsids>
    <w:rsidRoot w:val="00035925"/>
    <w:rsid w:val="000001B7"/>
    <w:rsid w:val="00000244"/>
    <w:rsid w:val="00000517"/>
    <w:rsid w:val="0000052B"/>
    <w:rsid w:val="0000185F"/>
    <w:rsid w:val="0000586F"/>
    <w:rsid w:val="00005C90"/>
    <w:rsid w:val="00010E46"/>
    <w:rsid w:val="0001252B"/>
    <w:rsid w:val="00013D71"/>
    <w:rsid w:val="00013D86"/>
    <w:rsid w:val="00013E02"/>
    <w:rsid w:val="00014745"/>
    <w:rsid w:val="00016EC0"/>
    <w:rsid w:val="0002143C"/>
    <w:rsid w:val="00022AED"/>
    <w:rsid w:val="00022B82"/>
    <w:rsid w:val="0002322A"/>
    <w:rsid w:val="0002387F"/>
    <w:rsid w:val="00025A65"/>
    <w:rsid w:val="00026C31"/>
    <w:rsid w:val="00027280"/>
    <w:rsid w:val="00027FFA"/>
    <w:rsid w:val="000306E3"/>
    <w:rsid w:val="00030C4E"/>
    <w:rsid w:val="000320A7"/>
    <w:rsid w:val="0003258B"/>
    <w:rsid w:val="00032D2F"/>
    <w:rsid w:val="00033045"/>
    <w:rsid w:val="0003464B"/>
    <w:rsid w:val="0003558C"/>
    <w:rsid w:val="00035925"/>
    <w:rsid w:val="0003593E"/>
    <w:rsid w:val="00035A34"/>
    <w:rsid w:val="00036346"/>
    <w:rsid w:val="00036844"/>
    <w:rsid w:val="00037EAC"/>
    <w:rsid w:val="00042701"/>
    <w:rsid w:val="00044F00"/>
    <w:rsid w:val="00045C2F"/>
    <w:rsid w:val="000461E2"/>
    <w:rsid w:val="000462D4"/>
    <w:rsid w:val="0004718E"/>
    <w:rsid w:val="00050839"/>
    <w:rsid w:val="000514BC"/>
    <w:rsid w:val="000527CE"/>
    <w:rsid w:val="0005342B"/>
    <w:rsid w:val="0005393A"/>
    <w:rsid w:val="00053B32"/>
    <w:rsid w:val="000567F2"/>
    <w:rsid w:val="00056BFD"/>
    <w:rsid w:val="00057D65"/>
    <w:rsid w:val="000606A4"/>
    <w:rsid w:val="000610FA"/>
    <w:rsid w:val="0006119A"/>
    <w:rsid w:val="000619F5"/>
    <w:rsid w:val="00063231"/>
    <w:rsid w:val="000643CF"/>
    <w:rsid w:val="00064DE1"/>
    <w:rsid w:val="00064FEC"/>
    <w:rsid w:val="00067091"/>
    <w:rsid w:val="00067208"/>
    <w:rsid w:val="000672BF"/>
    <w:rsid w:val="000675FC"/>
    <w:rsid w:val="0006789D"/>
    <w:rsid w:val="00067CDF"/>
    <w:rsid w:val="00067F0D"/>
    <w:rsid w:val="00071361"/>
    <w:rsid w:val="00071AEB"/>
    <w:rsid w:val="000721DD"/>
    <w:rsid w:val="00072A6D"/>
    <w:rsid w:val="00074FBE"/>
    <w:rsid w:val="00083A09"/>
    <w:rsid w:val="00084BA9"/>
    <w:rsid w:val="000857AA"/>
    <w:rsid w:val="0009005E"/>
    <w:rsid w:val="00090DCE"/>
    <w:rsid w:val="00090FAE"/>
    <w:rsid w:val="000912F8"/>
    <w:rsid w:val="00091491"/>
    <w:rsid w:val="000915B3"/>
    <w:rsid w:val="00092857"/>
    <w:rsid w:val="00092D45"/>
    <w:rsid w:val="00092FEF"/>
    <w:rsid w:val="00094BAA"/>
    <w:rsid w:val="0009704C"/>
    <w:rsid w:val="000979A6"/>
    <w:rsid w:val="000A0040"/>
    <w:rsid w:val="000A062E"/>
    <w:rsid w:val="000A20A9"/>
    <w:rsid w:val="000A48B1"/>
    <w:rsid w:val="000A62F7"/>
    <w:rsid w:val="000A7209"/>
    <w:rsid w:val="000B0BF2"/>
    <w:rsid w:val="000B2FBB"/>
    <w:rsid w:val="000B3143"/>
    <w:rsid w:val="000B443C"/>
    <w:rsid w:val="000B6B2B"/>
    <w:rsid w:val="000B6B7C"/>
    <w:rsid w:val="000B7FD1"/>
    <w:rsid w:val="000C045B"/>
    <w:rsid w:val="000C0FF4"/>
    <w:rsid w:val="000C15B1"/>
    <w:rsid w:val="000C2147"/>
    <w:rsid w:val="000C3270"/>
    <w:rsid w:val="000C497E"/>
    <w:rsid w:val="000C4E60"/>
    <w:rsid w:val="000C628F"/>
    <w:rsid w:val="000C6B05"/>
    <w:rsid w:val="000C6DD6"/>
    <w:rsid w:val="000C73D4"/>
    <w:rsid w:val="000C7586"/>
    <w:rsid w:val="000D0A9C"/>
    <w:rsid w:val="000D3D4C"/>
    <w:rsid w:val="000D3DA4"/>
    <w:rsid w:val="000D492D"/>
    <w:rsid w:val="000D4D6C"/>
    <w:rsid w:val="000D4F51"/>
    <w:rsid w:val="000D6130"/>
    <w:rsid w:val="000D718B"/>
    <w:rsid w:val="000D7258"/>
    <w:rsid w:val="000D7BC6"/>
    <w:rsid w:val="000E0C46"/>
    <w:rsid w:val="000E1864"/>
    <w:rsid w:val="000E2790"/>
    <w:rsid w:val="000E29ED"/>
    <w:rsid w:val="000E4CBE"/>
    <w:rsid w:val="000E5472"/>
    <w:rsid w:val="000E5586"/>
    <w:rsid w:val="000E5640"/>
    <w:rsid w:val="000E5EC4"/>
    <w:rsid w:val="000E630E"/>
    <w:rsid w:val="000E64D5"/>
    <w:rsid w:val="000E7A99"/>
    <w:rsid w:val="000F030C"/>
    <w:rsid w:val="000F04C9"/>
    <w:rsid w:val="000F129C"/>
    <w:rsid w:val="000F1BDD"/>
    <w:rsid w:val="000F1C0B"/>
    <w:rsid w:val="000F30D1"/>
    <w:rsid w:val="000F41CB"/>
    <w:rsid w:val="000F653F"/>
    <w:rsid w:val="000F7D6A"/>
    <w:rsid w:val="00100337"/>
    <w:rsid w:val="001003E0"/>
    <w:rsid w:val="00100429"/>
    <w:rsid w:val="00100DE8"/>
    <w:rsid w:val="00100F7A"/>
    <w:rsid w:val="0010114C"/>
    <w:rsid w:val="001029DC"/>
    <w:rsid w:val="001034E3"/>
    <w:rsid w:val="00103882"/>
    <w:rsid w:val="0010425E"/>
    <w:rsid w:val="00104C0C"/>
    <w:rsid w:val="001053C6"/>
    <w:rsid w:val="001056DE"/>
    <w:rsid w:val="001057B0"/>
    <w:rsid w:val="001059E6"/>
    <w:rsid w:val="001077DF"/>
    <w:rsid w:val="00107A75"/>
    <w:rsid w:val="00107CAF"/>
    <w:rsid w:val="0011064B"/>
    <w:rsid w:val="00110AA2"/>
    <w:rsid w:val="001116CC"/>
    <w:rsid w:val="00112060"/>
    <w:rsid w:val="001124C0"/>
    <w:rsid w:val="00113D11"/>
    <w:rsid w:val="0011444C"/>
    <w:rsid w:val="0011532C"/>
    <w:rsid w:val="001164EB"/>
    <w:rsid w:val="0011689D"/>
    <w:rsid w:val="00117988"/>
    <w:rsid w:val="00121103"/>
    <w:rsid w:val="001229F2"/>
    <w:rsid w:val="00123134"/>
    <w:rsid w:val="001235A7"/>
    <w:rsid w:val="00123FE3"/>
    <w:rsid w:val="00125047"/>
    <w:rsid w:val="00125E24"/>
    <w:rsid w:val="00126742"/>
    <w:rsid w:val="00126BCD"/>
    <w:rsid w:val="0013175F"/>
    <w:rsid w:val="0013194D"/>
    <w:rsid w:val="00132A59"/>
    <w:rsid w:val="00133E26"/>
    <w:rsid w:val="00133E61"/>
    <w:rsid w:val="00134D7C"/>
    <w:rsid w:val="00135A9A"/>
    <w:rsid w:val="00135B77"/>
    <w:rsid w:val="00135F99"/>
    <w:rsid w:val="001369E6"/>
    <w:rsid w:val="0014111B"/>
    <w:rsid w:val="00141C24"/>
    <w:rsid w:val="00143C46"/>
    <w:rsid w:val="0014467D"/>
    <w:rsid w:val="001446BC"/>
    <w:rsid w:val="00146DC4"/>
    <w:rsid w:val="001512B4"/>
    <w:rsid w:val="00151B3E"/>
    <w:rsid w:val="00152D9A"/>
    <w:rsid w:val="00153114"/>
    <w:rsid w:val="0015508D"/>
    <w:rsid w:val="001551D5"/>
    <w:rsid w:val="00156414"/>
    <w:rsid w:val="001575C4"/>
    <w:rsid w:val="0015795B"/>
    <w:rsid w:val="001620A5"/>
    <w:rsid w:val="001623DF"/>
    <w:rsid w:val="00162EB2"/>
    <w:rsid w:val="00164C02"/>
    <w:rsid w:val="00164C53"/>
    <w:rsid w:val="00164E53"/>
    <w:rsid w:val="00165E64"/>
    <w:rsid w:val="00166726"/>
    <w:rsid w:val="0016699D"/>
    <w:rsid w:val="00167C35"/>
    <w:rsid w:val="0017085E"/>
    <w:rsid w:val="00170905"/>
    <w:rsid w:val="001709BA"/>
    <w:rsid w:val="00170A21"/>
    <w:rsid w:val="0017142D"/>
    <w:rsid w:val="00171DCE"/>
    <w:rsid w:val="0017325E"/>
    <w:rsid w:val="0017412A"/>
    <w:rsid w:val="00175159"/>
    <w:rsid w:val="001758FB"/>
    <w:rsid w:val="001759C2"/>
    <w:rsid w:val="00176208"/>
    <w:rsid w:val="001764D6"/>
    <w:rsid w:val="0017680E"/>
    <w:rsid w:val="0018082B"/>
    <w:rsid w:val="00180F9F"/>
    <w:rsid w:val="00180FA7"/>
    <w:rsid w:val="0018211B"/>
    <w:rsid w:val="0018246C"/>
    <w:rsid w:val="00182580"/>
    <w:rsid w:val="00182C36"/>
    <w:rsid w:val="00183ED2"/>
    <w:rsid w:val="00183FED"/>
    <w:rsid w:val="001840D3"/>
    <w:rsid w:val="00185968"/>
    <w:rsid w:val="001862DB"/>
    <w:rsid w:val="00187F9E"/>
    <w:rsid w:val="001900F8"/>
    <w:rsid w:val="00191258"/>
    <w:rsid w:val="0019246F"/>
    <w:rsid w:val="00192680"/>
    <w:rsid w:val="00192717"/>
    <w:rsid w:val="00192B64"/>
    <w:rsid w:val="00193037"/>
    <w:rsid w:val="00193A2C"/>
    <w:rsid w:val="00195223"/>
    <w:rsid w:val="00195DB1"/>
    <w:rsid w:val="00196666"/>
    <w:rsid w:val="00197779"/>
    <w:rsid w:val="00197BD5"/>
    <w:rsid w:val="001A0490"/>
    <w:rsid w:val="001A0D78"/>
    <w:rsid w:val="001A117F"/>
    <w:rsid w:val="001A226C"/>
    <w:rsid w:val="001A27F0"/>
    <w:rsid w:val="001A288E"/>
    <w:rsid w:val="001A461B"/>
    <w:rsid w:val="001A6B02"/>
    <w:rsid w:val="001A7FF5"/>
    <w:rsid w:val="001B1A7B"/>
    <w:rsid w:val="001B1EF7"/>
    <w:rsid w:val="001B2195"/>
    <w:rsid w:val="001B26E4"/>
    <w:rsid w:val="001B4AB3"/>
    <w:rsid w:val="001B51BA"/>
    <w:rsid w:val="001B5944"/>
    <w:rsid w:val="001B6315"/>
    <w:rsid w:val="001B6DC2"/>
    <w:rsid w:val="001B795F"/>
    <w:rsid w:val="001C01A6"/>
    <w:rsid w:val="001C0F75"/>
    <w:rsid w:val="001C13E8"/>
    <w:rsid w:val="001C149C"/>
    <w:rsid w:val="001C1934"/>
    <w:rsid w:val="001C1B41"/>
    <w:rsid w:val="001C21AC"/>
    <w:rsid w:val="001C2CCA"/>
    <w:rsid w:val="001C33AF"/>
    <w:rsid w:val="001C3C7E"/>
    <w:rsid w:val="001C47BA"/>
    <w:rsid w:val="001C59EA"/>
    <w:rsid w:val="001C5EEA"/>
    <w:rsid w:val="001C6135"/>
    <w:rsid w:val="001C74B4"/>
    <w:rsid w:val="001D1942"/>
    <w:rsid w:val="001D19A5"/>
    <w:rsid w:val="001D406C"/>
    <w:rsid w:val="001D41EE"/>
    <w:rsid w:val="001D43BC"/>
    <w:rsid w:val="001D4746"/>
    <w:rsid w:val="001D565E"/>
    <w:rsid w:val="001D56CD"/>
    <w:rsid w:val="001D66A3"/>
    <w:rsid w:val="001E02A7"/>
    <w:rsid w:val="001E0380"/>
    <w:rsid w:val="001E13B1"/>
    <w:rsid w:val="001E200D"/>
    <w:rsid w:val="001E3EF4"/>
    <w:rsid w:val="001E3FDD"/>
    <w:rsid w:val="001E434A"/>
    <w:rsid w:val="001E4358"/>
    <w:rsid w:val="001E469B"/>
    <w:rsid w:val="001E5465"/>
    <w:rsid w:val="001E5C10"/>
    <w:rsid w:val="001E65EC"/>
    <w:rsid w:val="001E6683"/>
    <w:rsid w:val="001E6738"/>
    <w:rsid w:val="001E79B6"/>
    <w:rsid w:val="001E7FF0"/>
    <w:rsid w:val="001F0453"/>
    <w:rsid w:val="001F0FA3"/>
    <w:rsid w:val="001F20FE"/>
    <w:rsid w:val="001F3392"/>
    <w:rsid w:val="001F3A19"/>
    <w:rsid w:val="001F3B3D"/>
    <w:rsid w:val="001F3F93"/>
    <w:rsid w:val="001F51DD"/>
    <w:rsid w:val="001F6701"/>
    <w:rsid w:val="001F7B4E"/>
    <w:rsid w:val="001F7F44"/>
    <w:rsid w:val="00200C1D"/>
    <w:rsid w:val="00201EC1"/>
    <w:rsid w:val="00202A87"/>
    <w:rsid w:val="00202AEC"/>
    <w:rsid w:val="00203190"/>
    <w:rsid w:val="00203818"/>
    <w:rsid w:val="00205C33"/>
    <w:rsid w:val="002064E4"/>
    <w:rsid w:val="0020681A"/>
    <w:rsid w:val="00206838"/>
    <w:rsid w:val="0020763D"/>
    <w:rsid w:val="002100D3"/>
    <w:rsid w:val="0021037C"/>
    <w:rsid w:val="002109BC"/>
    <w:rsid w:val="00210A7C"/>
    <w:rsid w:val="00212B9F"/>
    <w:rsid w:val="00213EC4"/>
    <w:rsid w:val="002147BF"/>
    <w:rsid w:val="00214DAF"/>
    <w:rsid w:val="00215EB0"/>
    <w:rsid w:val="0021654A"/>
    <w:rsid w:val="00217540"/>
    <w:rsid w:val="00217B8D"/>
    <w:rsid w:val="00221490"/>
    <w:rsid w:val="00221F2B"/>
    <w:rsid w:val="002227D7"/>
    <w:rsid w:val="002240B6"/>
    <w:rsid w:val="00226235"/>
    <w:rsid w:val="00226C86"/>
    <w:rsid w:val="00226E51"/>
    <w:rsid w:val="0022783A"/>
    <w:rsid w:val="002301A7"/>
    <w:rsid w:val="00231B58"/>
    <w:rsid w:val="002327C5"/>
    <w:rsid w:val="00232884"/>
    <w:rsid w:val="00234467"/>
    <w:rsid w:val="00234C5E"/>
    <w:rsid w:val="00236256"/>
    <w:rsid w:val="0023784C"/>
    <w:rsid w:val="00237D8D"/>
    <w:rsid w:val="00240D77"/>
    <w:rsid w:val="00241AB0"/>
    <w:rsid w:val="00241DA2"/>
    <w:rsid w:val="00241FBE"/>
    <w:rsid w:val="00242B88"/>
    <w:rsid w:val="00242FCB"/>
    <w:rsid w:val="00243FFB"/>
    <w:rsid w:val="00244895"/>
    <w:rsid w:val="00244F44"/>
    <w:rsid w:val="00245DB4"/>
    <w:rsid w:val="00247C76"/>
    <w:rsid w:val="00247FEE"/>
    <w:rsid w:val="00250657"/>
    <w:rsid w:val="00250E7D"/>
    <w:rsid w:val="002543B4"/>
    <w:rsid w:val="002544F8"/>
    <w:rsid w:val="00254CCF"/>
    <w:rsid w:val="0025532D"/>
    <w:rsid w:val="00255B8B"/>
    <w:rsid w:val="002565D5"/>
    <w:rsid w:val="00256CCF"/>
    <w:rsid w:val="00257094"/>
    <w:rsid w:val="00257EF4"/>
    <w:rsid w:val="002622C0"/>
    <w:rsid w:val="002636DE"/>
    <w:rsid w:val="00263D55"/>
    <w:rsid w:val="002674F0"/>
    <w:rsid w:val="0026794C"/>
    <w:rsid w:val="00272CE5"/>
    <w:rsid w:val="00273308"/>
    <w:rsid w:val="002736B3"/>
    <w:rsid w:val="002736EB"/>
    <w:rsid w:val="00273FA3"/>
    <w:rsid w:val="00275267"/>
    <w:rsid w:val="002773B2"/>
    <w:rsid w:val="002778AE"/>
    <w:rsid w:val="0028269A"/>
    <w:rsid w:val="00283590"/>
    <w:rsid w:val="002841C9"/>
    <w:rsid w:val="002844EA"/>
    <w:rsid w:val="00285CCF"/>
    <w:rsid w:val="00286973"/>
    <w:rsid w:val="00286DB4"/>
    <w:rsid w:val="00290676"/>
    <w:rsid w:val="00291B15"/>
    <w:rsid w:val="00293E7A"/>
    <w:rsid w:val="00293FD2"/>
    <w:rsid w:val="00294157"/>
    <w:rsid w:val="00294E70"/>
    <w:rsid w:val="002975A7"/>
    <w:rsid w:val="002A0758"/>
    <w:rsid w:val="002A0897"/>
    <w:rsid w:val="002A139A"/>
    <w:rsid w:val="002A1924"/>
    <w:rsid w:val="002A5480"/>
    <w:rsid w:val="002A7420"/>
    <w:rsid w:val="002A7BFA"/>
    <w:rsid w:val="002A7E2C"/>
    <w:rsid w:val="002B019D"/>
    <w:rsid w:val="002B0F12"/>
    <w:rsid w:val="002B1308"/>
    <w:rsid w:val="002B26FD"/>
    <w:rsid w:val="002B2CE8"/>
    <w:rsid w:val="002B4212"/>
    <w:rsid w:val="002B434B"/>
    <w:rsid w:val="002B4554"/>
    <w:rsid w:val="002B51D0"/>
    <w:rsid w:val="002B7C1E"/>
    <w:rsid w:val="002C204F"/>
    <w:rsid w:val="002C34D1"/>
    <w:rsid w:val="002C3E71"/>
    <w:rsid w:val="002C451A"/>
    <w:rsid w:val="002C47D8"/>
    <w:rsid w:val="002C47F0"/>
    <w:rsid w:val="002C689C"/>
    <w:rsid w:val="002C6C11"/>
    <w:rsid w:val="002C72D8"/>
    <w:rsid w:val="002C7792"/>
    <w:rsid w:val="002D11FA"/>
    <w:rsid w:val="002D18E4"/>
    <w:rsid w:val="002D1DE0"/>
    <w:rsid w:val="002D2C61"/>
    <w:rsid w:val="002D3A47"/>
    <w:rsid w:val="002D4DF4"/>
    <w:rsid w:val="002D5FD3"/>
    <w:rsid w:val="002D67F9"/>
    <w:rsid w:val="002D7DAD"/>
    <w:rsid w:val="002E0DDF"/>
    <w:rsid w:val="002E17D6"/>
    <w:rsid w:val="002E2906"/>
    <w:rsid w:val="002E2E09"/>
    <w:rsid w:val="002E3B55"/>
    <w:rsid w:val="002E48FA"/>
    <w:rsid w:val="002E5635"/>
    <w:rsid w:val="002E5B6C"/>
    <w:rsid w:val="002E64C3"/>
    <w:rsid w:val="002E6A2C"/>
    <w:rsid w:val="002E6EE0"/>
    <w:rsid w:val="002E7B31"/>
    <w:rsid w:val="002F04E8"/>
    <w:rsid w:val="002F1391"/>
    <w:rsid w:val="002F1D8C"/>
    <w:rsid w:val="002F206F"/>
    <w:rsid w:val="002F21DA"/>
    <w:rsid w:val="002F25E3"/>
    <w:rsid w:val="002F26EB"/>
    <w:rsid w:val="002F5C0D"/>
    <w:rsid w:val="002F626D"/>
    <w:rsid w:val="002F69D7"/>
    <w:rsid w:val="0030061A"/>
    <w:rsid w:val="00301265"/>
    <w:rsid w:val="00301F39"/>
    <w:rsid w:val="00304040"/>
    <w:rsid w:val="00305F9F"/>
    <w:rsid w:val="00306441"/>
    <w:rsid w:val="00307A8C"/>
    <w:rsid w:val="00311E59"/>
    <w:rsid w:val="00311F56"/>
    <w:rsid w:val="003128D8"/>
    <w:rsid w:val="00312E12"/>
    <w:rsid w:val="00313329"/>
    <w:rsid w:val="00313E94"/>
    <w:rsid w:val="00315F14"/>
    <w:rsid w:val="00316041"/>
    <w:rsid w:val="003207BA"/>
    <w:rsid w:val="0032138E"/>
    <w:rsid w:val="003216CC"/>
    <w:rsid w:val="003216F7"/>
    <w:rsid w:val="003220E4"/>
    <w:rsid w:val="0032369A"/>
    <w:rsid w:val="003243FA"/>
    <w:rsid w:val="00324A1C"/>
    <w:rsid w:val="00325926"/>
    <w:rsid w:val="003261D4"/>
    <w:rsid w:val="00326B99"/>
    <w:rsid w:val="00327A8A"/>
    <w:rsid w:val="0033183E"/>
    <w:rsid w:val="00333AE0"/>
    <w:rsid w:val="00334E32"/>
    <w:rsid w:val="00336610"/>
    <w:rsid w:val="00336CAD"/>
    <w:rsid w:val="00341062"/>
    <w:rsid w:val="003413C3"/>
    <w:rsid w:val="00343ECD"/>
    <w:rsid w:val="00343F73"/>
    <w:rsid w:val="00344021"/>
    <w:rsid w:val="00344C34"/>
    <w:rsid w:val="00345060"/>
    <w:rsid w:val="00345CDE"/>
    <w:rsid w:val="00345E65"/>
    <w:rsid w:val="00347879"/>
    <w:rsid w:val="00350036"/>
    <w:rsid w:val="00350D6E"/>
    <w:rsid w:val="00352632"/>
    <w:rsid w:val="00352FAE"/>
    <w:rsid w:val="0035323B"/>
    <w:rsid w:val="00353784"/>
    <w:rsid w:val="00353D81"/>
    <w:rsid w:val="00354239"/>
    <w:rsid w:val="00355155"/>
    <w:rsid w:val="003555DC"/>
    <w:rsid w:val="003569DE"/>
    <w:rsid w:val="00357837"/>
    <w:rsid w:val="00360455"/>
    <w:rsid w:val="003609D2"/>
    <w:rsid w:val="003622E6"/>
    <w:rsid w:val="00362502"/>
    <w:rsid w:val="003638AF"/>
    <w:rsid w:val="00363F22"/>
    <w:rsid w:val="003702CF"/>
    <w:rsid w:val="00370B1A"/>
    <w:rsid w:val="00371D30"/>
    <w:rsid w:val="00372123"/>
    <w:rsid w:val="003744AE"/>
    <w:rsid w:val="00375564"/>
    <w:rsid w:val="00375930"/>
    <w:rsid w:val="00376350"/>
    <w:rsid w:val="00377B0E"/>
    <w:rsid w:val="00377C4B"/>
    <w:rsid w:val="00377C6A"/>
    <w:rsid w:val="00380199"/>
    <w:rsid w:val="003804E5"/>
    <w:rsid w:val="00380968"/>
    <w:rsid w:val="00380A22"/>
    <w:rsid w:val="00381508"/>
    <w:rsid w:val="00381D17"/>
    <w:rsid w:val="00382241"/>
    <w:rsid w:val="0038297B"/>
    <w:rsid w:val="00383191"/>
    <w:rsid w:val="00384343"/>
    <w:rsid w:val="00384BE8"/>
    <w:rsid w:val="003850BB"/>
    <w:rsid w:val="0038586F"/>
    <w:rsid w:val="0038609E"/>
    <w:rsid w:val="00386DED"/>
    <w:rsid w:val="003907F3"/>
    <w:rsid w:val="003912E7"/>
    <w:rsid w:val="00391D3F"/>
    <w:rsid w:val="00393947"/>
    <w:rsid w:val="00393A0B"/>
    <w:rsid w:val="0039467E"/>
    <w:rsid w:val="00394706"/>
    <w:rsid w:val="003A2275"/>
    <w:rsid w:val="003A3724"/>
    <w:rsid w:val="003A4019"/>
    <w:rsid w:val="003A5372"/>
    <w:rsid w:val="003A6A4F"/>
    <w:rsid w:val="003A7088"/>
    <w:rsid w:val="003B00DF"/>
    <w:rsid w:val="003B1275"/>
    <w:rsid w:val="003B1778"/>
    <w:rsid w:val="003B1CF9"/>
    <w:rsid w:val="003B24F3"/>
    <w:rsid w:val="003B2F9B"/>
    <w:rsid w:val="003B36F9"/>
    <w:rsid w:val="003B3DEF"/>
    <w:rsid w:val="003B40F8"/>
    <w:rsid w:val="003B413B"/>
    <w:rsid w:val="003B426F"/>
    <w:rsid w:val="003B51C0"/>
    <w:rsid w:val="003B585D"/>
    <w:rsid w:val="003B5992"/>
    <w:rsid w:val="003B5DEB"/>
    <w:rsid w:val="003C02F3"/>
    <w:rsid w:val="003C045E"/>
    <w:rsid w:val="003C0505"/>
    <w:rsid w:val="003C11CB"/>
    <w:rsid w:val="003C21BD"/>
    <w:rsid w:val="003C27FF"/>
    <w:rsid w:val="003C3C30"/>
    <w:rsid w:val="003C41D8"/>
    <w:rsid w:val="003C48E7"/>
    <w:rsid w:val="003C4CBB"/>
    <w:rsid w:val="003C75F3"/>
    <w:rsid w:val="003C7643"/>
    <w:rsid w:val="003C78A3"/>
    <w:rsid w:val="003C7C73"/>
    <w:rsid w:val="003C7EBB"/>
    <w:rsid w:val="003D0B4E"/>
    <w:rsid w:val="003D1853"/>
    <w:rsid w:val="003D2AE0"/>
    <w:rsid w:val="003D2E24"/>
    <w:rsid w:val="003D4538"/>
    <w:rsid w:val="003D49B7"/>
    <w:rsid w:val="003D4C77"/>
    <w:rsid w:val="003D500E"/>
    <w:rsid w:val="003D61E2"/>
    <w:rsid w:val="003D64D0"/>
    <w:rsid w:val="003D64D6"/>
    <w:rsid w:val="003D6A44"/>
    <w:rsid w:val="003E1867"/>
    <w:rsid w:val="003E1F52"/>
    <w:rsid w:val="003E3284"/>
    <w:rsid w:val="003E34ED"/>
    <w:rsid w:val="003E36C1"/>
    <w:rsid w:val="003E4DFB"/>
    <w:rsid w:val="003E5342"/>
    <w:rsid w:val="003E5729"/>
    <w:rsid w:val="003E6267"/>
    <w:rsid w:val="003E7D16"/>
    <w:rsid w:val="003F0ECD"/>
    <w:rsid w:val="003F0F18"/>
    <w:rsid w:val="003F2719"/>
    <w:rsid w:val="003F274D"/>
    <w:rsid w:val="003F4818"/>
    <w:rsid w:val="003F4EE0"/>
    <w:rsid w:val="003F6911"/>
    <w:rsid w:val="003F6BAE"/>
    <w:rsid w:val="003F785B"/>
    <w:rsid w:val="004010D4"/>
    <w:rsid w:val="00401DED"/>
    <w:rsid w:val="00402153"/>
    <w:rsid w:val="00402FC1"/>
    <w:rsid w:val="004038B9"/>
    <w:rsid w:val="00404F48"/>
    <w:rsid w:val="00406313"/>
    <w:rsid w:val="0041287A"/>
    <w:rsid w:val="0041534A"/>
    <w:rsid w:val="0041635F"/>
    <w:rsid w:val="004165D8"/>
    <w:rsid w:val="00420397"/>
    <w:rsid w:val="00421D37"/>
    <w:rsid w:val="0042290C"/>
    <w:rsid w:val="004236E8"/>
    <w:rsid w:val="0042497F"/>
    <w:rsid w:val="00425082"/>
    <w:rsid w:val="00425DDC"/>
    <w:rsid w:val="00431DEB"/>
    <w:rsid w:val="00432A12"/>
    <w:rsid w:val="00434C6C"/>
    <w:rsid w:val="0043567E"/>
    <w:rsid w:val="00435C02"/>
    <w:rsid w:val="00435E9D"/>
    <w:rsid w:val="0043794B"/>
    <w:rsid w:val="00440A46"/>
    <w:rsid w:val="00440C72"/>
    <w:rsid w:val="00440E8C"/>
    <w:rsid w:val="004424E3"/>
    <w:rsid w:val="00445A2F"/>
    <w:rsid w:val="00446B29"/>
    <w:rsid w:val="00446D01"/>
    <w:rsid w:val="00446DFF"/>
    <w:rsid w:val="00447826"/>
    <w:rsid w:val="00447977"/>
    <w:rsid w:val="0045007E"/>
    <w:rsid w:val="0045110F"/>
    <w:rsid w:val="004511D6"/>
    <w:rsid w:val="00452B7C"/>
    <w:rsid w:val="00453120"/>
    <w:rsid w:val="00453F9A"/>
    <w:rsid w:val="00454506"/>
    <w:rsid w:val="004566FA"/>
    <w:rsid w:val="004575AF"/>
    <w:rsid w:val="00457836"/>
    <w:rsid w:val="00457C06"/>
    <w:rsid w:val="004605F9"/>
    <w:rsid w:val="00462344"/>
    <w:rsid w:val="00462FF4"/>
    <w:rsid w:val="00463AA4"/>
    <w:rsid w:val="00465A7C"/>
    <w:rsid w:val="00466F2A"/>
    <w:rsid w:val="004670DB"/>
    <w:rsid w:val="00467CB3"/>
    <w:rsid w:val="00471983"/>
    <w:rsid w:val="00471E91"/>
    <w:rsid w:val="00472085"/>
    <w:rsid w:val="00474675"/>
    <w:rsid w:val="0047470C"/>
    <w:rsid w:val="00476393"/>
    <w:rsid w:val="00477E25"/>
    <w:rsid w:val="00481FFE"/>
    <w:rsid w:val="00482472"/>
    <w:rsid w:val="004826D4"/>
    <w:rsid w:val="00482A40"/>
    <w:rsid w:val="0048328D"/>
    <w:rsid w:val="004838B7"/>
    <w:rsid w:val="0048405B"/>
    <w:rsid w:val="004856D9"/>
    <w:rsid w:val="00485B70"/>
    <w:rsid w:val="004869A0"/>
    <w:rsid w:val="00486B66"/>
    <w:rsid w:val="00490604"/>
    <w:rsid w:val="00490F1B"/>
    <w:rsid w:val="00496AC6"/>
    <w:rsid w:val="00497AF9"/>
    <w:rsid w:val="00497C2C"/>
    <w:rsid w:val="004A1341"/>
    <w:rsid w:val="004A35F9"/>
    <w:rsid w:val="004A3B72"/>
    <w:rsid w:val="004A607F"/>
    <w:rsid w:val="004B0FF8"/>
    <w:rsid w:val="004B1BFA"/>
    <w:rsid w:val="004B1F13"/>
    <w:rsid w:val="004B23C3"/>
    <w:rsid w:val="004B24C1"/>
    <w:rsid w:val="004B6A75"/>
    <w:rsid w:val="004B6F1F"/>
    <w:rsid w:val="004C292F"/>
    <w:rsid w:val="004C37E6"/>
    <w:rsid w:val="004C431E"/>
    <w:rsid w:val="004C4D67"/>
    <w:rsid w:val="004C4ED5"/>
    <w:rsid w:val="004C63C8"/>
    <w:rsid w:val="004C7623"/>
    <w:rsid w:val="004C7C8D"/>
    <w:rsid w:val="004C7FB7"/>
    <w:rsid w:val="004D048A"/>
    <w:rsid w:val="004D11F4"/>
    <w:rsid w:val="004D1BB8"/>
    <w:rsid w:val="004D1D87"/>
    <w:rsid w:val="004D201E"/>
    <w:rsid w:val="004D239A"/>
    <w:rsid w:val="004D28A7"/>
    <w:rsid w:val="004D29C2"/>
    <w:rsid w:val="004D3F8F"/>
    <w:rsid w:val="004D4250"/>
    <w:rsid w:val="004E0D40"/>
    <w:rsid w:val="004E1858"/>
    <w:rsid w:val="004E2C25"/>
    <w:rsid w:val="004E2D09"/>
    <w:rsid w:val="004E3A05"/>
    <w:rsid w:val="004E47F5"/>
    <w:rsid w:val="004E4F52"/>
    <w:rsid w:val="004E60F7"/>
    <w:rsid w:val="004E7ADB"/>
    <w:rsid w:val="004F0B90"/>
    <w:rsid w:val="004F1024"/>
    <w:rsid w:val="004F24D5"/>
    <w:rsid w:val="004F327C"/>
    <w:rsid w:val="004F4BAC"/>
    <w:rsid w:val="004F56CB"/>
    <w:rsid w:val="004F59B3"/>
    <w:rsid w:val="004F603B"/>
    <w:rsid w:val="004F7AAD"/>
    <w:rsid w:val="004F7CCF"/>
    <w:rsid w:val="004F7F6B"/>
    <w:rsid w:val="00502FEC"/>
    <w:rsid w:val="00503888"/>
    <w:rsid w:val="00503ECD"/>
    <w:rsid w:val="005041FA"/>
    <w:rsid w:val="0050445C"/>
    <w:rsid w:val="005045C7"/>
    <w:rsid w:val="00504F1F"/>
    <w:rsid w:val="0050572A"/>
    <w:rsid w:val="00510280"/>
    <w:rsid w:val="00510EB8"/>
    <w:rsid w:val="00510EC4"/>
    <w:rsid w:val="00511E50"/>
    <w:rsid w:val="00512E2C"/>
    <w:rsid w:val="00513172"/>
    <w:rsid w:val="00513D73"/>
    <w:rsid w:val="0051402A"/>
    <w:rsid w:val="00514A43"/>
    <w:rsid w:val="00514ADF"/>
    <w:rsid w:val="00514D8C"/>
    <w:rsid w:val="005151E0"/>
    <w:rsid w:val="00516924"/>
    <w:rsid w:val="00517254"/>
    <w:rsid w:val="005174E5"/>
    <w:rsid w:val="0051783F"/>
    <w:rsid w:val="00517E66"/>
    <w:rsid w:val="00520216"/>
    <w:rsid w:val="00522393"/>
    <w:rsid w:val="00522620"/>
    <w:rsid w:val="005227E2"/>
    <w:rsid w:val="0052288D"/>
    <w:rsid w:val="00524205"/>
    <w:rsid w:val="005251D1"/>
    <w:rsid w:val="00525656"/>
    <w:rsid w:val="00525EB4"/>
    <w:rsid w:val="00531039"/>
    <w:rsid w:val="0053356E"/>
    <w:rsid w:val="005336FA"/>
    <w:rsid w:val="00533737"/>
    <w:rsid w:val="00533CF1"/>
    <w:rsid w:val="00534609"/>
    <w:rsid w:val="00534C02"/>
    <w:rsid w:val="00535E12"/>
    <w:rsid w:val="005375D9"/>
    <w:rsid w:val="00540088"/>
    <w:rsid w:val="00541045"/>
    <w:rsid w:val="005421C1"/>
    <w:rsid w:val="00542460"/>
    <w:rsid w:val="005425C9"/>
    <w:rsid w:val="0054264B"/>
    <w:rsid w:val="0054334D"/>
    <w:rsid w:val="005433DC"/>
    <w:rsid w:val="00543786"/>
    <w:rsid w:val="0054385E"/>
    <w:rsid w:val="00543975"/>
    <w:rsid w:val="00547944"/>
    <w:rsid w:val="00547F5E"/>
    <w:rsid w:val="00550306"/>
    <w:rsid w:val="005515D4"/>
    <w:rsid w:val="00551DD0"/>
    <w:rsid w:val="005533D7"/>
    <w:rsid w:val="00554D52"/>
    <w:rsid w:val="00562A2C"/>
    <w:rsid w:val="00564EEB"/>
    <w:rsid w:val="00565023"/>
    <w:rsid w:val="00565900"/>
    <w:rsid w:val="00565B91"/>
    <w:rsid w:val="00565FC8"/>
    <w:rsid w:val="00566BD6"/>
    <w:rsid w:val="005703DE"/>
    <w:rsid w:val="00570532"/>
    <w:rsid w:val="0057065E"/>
    <w:rsid w:val="00572B64"/>
    <w:rsid w:val="005747A4"/>
    <w:rsid w:val="00574AC2"/>
    <w:rsid w:val="00576528"/>
    <w:rsid w:val="00576A4A"/>
    <w:rsid w:val="00576BDE"/>
    <w:rsid w:val="00576DB2"/>
    <w:rsid w:val="00577187"/>
    <w:rsid w:val="00581A11"/>
    <w:rsid w:val="00581D00"/>
    <w:rsid w:val="00581DCE"/>
    <w:rsid w:val="005826D7"/>
    <w:rsid w:val="0058464E"/>
    <w:rsid w:val="00584923"/>
    <w:rsid w:val="00584E97"/>
    <w:rsid w:val="00585EED"/>
    <w:rsid w:val="00587905"/>
    <w:rsid w:val="00590F37"/>
    <w:rsid w:val="0059578C"/>
    <w:rsid w:val="005A01CB"/>
    <w:rsid w:val="005A1B35"/>
    <w:rsid w:val="005A1B59"/>
    <w:rsid w:val="005A2B83"/>
    <w:rsid w:val="005A2DC5"/>
    <w:rsid w:val="005A3708"/>
    <w:rsid w:val="005A5026"/>
    <w:rsid w:val="005A58FF"/>
    <w:rsid w:val="005A5EAF"/>
    <w:rsid w:val="005A64C0"/>
    <w:rsid w:val="005A6599"/>
    <w:rsid w:val="005A68FA"/>
    <w:rsid w:val="005A7708"/>
    <w:rsid w:val="005A7F1E"/>
    <w:rsid w:val="005B0927"/>
    <w:rsid w:val="005B199A"/>
    <w:rsid w:val="005B2E6A"/>
    <w:rsid w:val="005B3A5F"/>
    <w:rsid w:val="005B3A6E"/>
    <w:rsid w:val="005B3C11"/>
    <w:rsid w:val="005B57F5"/>
    <w:rsid w:val="005B6C26"/>
    <w:rsid w:val="005B6E1A"/>
    <w:rsid w:val="005C1C28"/>
    <w:rsid w:val="005C4260"/>
    <w:rsid w:val="005C4CD2"/>
    <w:rsid w:val="005C624C"/>
    <w:rsid w:val="005C6C83"/>
    <w:rsid w:val="005C6DB5"/>
    <w:rsid w:val="005C7D62"/>
    <w:rsid w:val="005D0677"/>
    <w:rsid w:val="005D4531"/>
    <w:rsid w:val="005D4DC7"/>
    <w:rsid w:val="005D5F23"/>
    <w:rsid w:val="005D7E01"/>
    <w:rsid w:val="005E188E"/>
    <w:rsid w:val="005E19E7"/>
    <w:rsid w:val="005E1B13"/>
    <w:rsid w:val="005E442D"/>
    <w:rsid w:val="005E448E"/>
    <w:rsid w:val="005E46C1"/>
    <w:rsid w:val="005E719F"/>
    <w:rsid w:val="005F0026"/>
    <w:rsid w:val="005F0F5F"/>
    <w:rsid w:val="005F31D0"/>
    <w:rsid w:val="005F33CF"/>
    <w:rsid w:val="005F36AE"/>
    <w:rsid w:val="005F4729"/>
    <w:rsid w:val="005F60E0"/>
    <w:rsid w:val="005F654F"/>
    <w:rsid w:val="00600549"/>
    <w:rsid w:val="00600A1A"/>
    <w:rsid w:val="006010FD"/>
    <w:rsid w:val="006011FE"/>
    <w:rsid w:val="00601676"/>
    <w:rsid w:val="00602AC6"/>
    <w:rsid w:val="00602C1E"/>
    <w:rsid w:val="006054D0"/>
    <w:rsid w:val="00606D8A"/>
    <w:rsid w:val="00607C5A"/>
    <w:rsid w:val="006106C1"/>
    <w:rsid w:val="00612D12"/>
    <w:rsid w:val="00613101"/>
    <w:rsid w:val="00613594"/>
    <w:rsid w:val="006137F4"/>
    <w:rsid w:val="0061386C"/>
    <w:rsid w:val="00614B4E"/>
    <w:rsid w:val="006163BE"/>
    <w:rsid w:val="00616B4B"/>
    <w:rsid w:val="0061716C"/>
    <w:rsid w:val="00620116"/>
    <w:rsid w:val="00620D44"/>
    <w:rsid w:val="00621025"/>
    <w:rsid w:val="00621936"/>
    <w:rsid w:val="00622982"/>
    <w:rsid w:val="00622FEC"/>
    <w:rsid w:val="00623A27"/>
    <w:rsid w:val="00623CDA"/>
    <w:rsid w:val="00623D27"/>
    <w:rsid w:val="006243A1"/>
    <w:rsid w:val="00626C29"/>
    <w:rsid w:val="00627614"/>
    <w:rsid w:val="00627F67"/>
    <w:rsid w:val="006312D3"/>
    <w:rsid w:val="006328D4"/>
    <w:rsid w:val="00632E56"/>
    <w:rsid w:val="006340C3"/>
    <w:rsid w:val="00635CBA"/>
    <w:rsid w:val="00635D4D"/>
    <w:rsid w:val="00637301"/>
    <w:rsid w:val="0064338B"/>
    <w:rsid w:val="006445B9"/>
    <w:rsid w:val="00646542"/>
    <w:rsid w:val="006504F4"/>
    <w:rsid w:val="006506FA"/>
    <w:rsid w:val="00651423"/>
    <w:rsid w:val="0065199E"/>
    <w:rsid w:val="00651C73"/>
    <w:rsid w:val="00651E19"/>
    <w:rsid w:val="00653432"/>
    <w:rsid w:val="00653FEB"/>
    <w:rsid w:val="00654277"/>
    <w:rsid w:val="00654BC9"/>
    <w:rsid w:val="006552FD"/>
    <w:rsid w:val="006555D0"/>
    <w:rsid w:val="006559E7"/>
    <w:rsid w:val="00655B96"/>
    <w:rsid w:val="00656E2C"/>
    <w:rsid w:val="00660E6E"/>
    <w:rsid w:val="0066351D"/>
    <w:rsid w:val="00663AF3"/>
    <w:rsid w:val="00663ED9"/>
    <w:rsid w:val="00665EB5"/>
    <w:rsid w:val="00666B6C"/>
    <w:rsid w:val="00670E2F"/>
    <w:rsid w:val="00671120"/>
    <w:rsid w:val="00672592"/>
    <w:rsid w:val="00673889"/>
    <w:rsid w:val="00673BD4"/>
    <w:rsid w:val="00673C64"/>
    <w:rsid w:val="00673EB2"/>
    <w:rsid w:val="00674BC1"/>
    <w:rsid w:val="00676AFB"/>
    <w:rsid w:val="0067770D"/>
    <w:rsid w:val="00680055"/>
    <w:rsid w:val="00681208"/>
    <w:rsid w:val="00682664"/>
    <w:rsid w:val="00682682"/>
    <w:rsid w:val="00682702"/>
    <w:rsid w:val="00682B0D"/>
    <w:rsid w:val="00682D26"/>
    <w:rsid w:val="006841CE"/>
    <w:rsid w:val="006842AE"/>
    <w:rsid w:val="00686A3F"/>
    <w:rsid w:val="00690587"/>
    <w:rsid w:val="00690764"/>
    <w:rsid w:val="00692368"/>
    <w:rsid w:val="00696579"/>
    <w:rsid w:val="00696591"/>
    <w:rsid w:val="00696B4E"/>
    <w:rsid w:val="00697CD3"/>
    <w:rsid w:val="006A050A"/>
    <w:rsid w:val="006A1A57"/>
    <w:rsid w:val="006A1A74"/>
    <w:rsid w:val="006A2E44"/>
    <w:rsid w:val="006A2EBC"/>
    <w:rsid w:val="006A31F5"/>
    <w:rsid w:val="006A3ECB"/>
    <w:rsid w:val="006A472F"/>
    <w:rsid w:val="006A5305"/>
    <w:rsid w:val="006A5EA0"/>
    <w:rsid w:val="006A71F7"/>
    <w:rsid w:val="006A783B"/>
    <w:rsid w:val="006A7B33"/>
    <w:rsid w:val="006B03AE"/>
    <w:rsid w:val="006B101E"/>
    <w:rsid w:val="006B185A"/>
    <w:rsid w:val="006B4772"/>
    <w:rsid w:val="006B4ADD"/>
    <w:rsid w:val="006B4E13"/>
    <w:rsid w:val="006B50C3"/>
    <w:rsid w:val="006B75DD"/>
    <w:rsid w:val="006B7C5A"/>
    <w:rsid w:val="006C0152"/>
    <w:rsid w:val="006C10AE"/>
    <w:rsid w:val="006C28C7"/>
    <w:rsid w:val="006C61D8"/>
    <w:rsid w:val="006C67E0"/>
    <w:rsid w:val="006C7ABA"/>
    <w:rsid w:val="006D00B8"/>
    <w:rsid w:val="006D0B3C"/>
    <w:rsid w:val="006D0B40"/>
    <w:rsid w:val="006D0D60"/>
    <w:rsid w:val="006D0F33"/>
    <w:rsid w:val="006D1122"/>
    <w:rsid w:val="006D30AD"/>
    <w:rsid w:val="006D3C00"/>
    <w:rsid w:val="006D4767"/>
    <w:rsid w:val="006D4EDA"/>
    <w:rsid w:val="006D6F66"/>
    <w:rsid w:val="006E0A32"/>
    <w:rsid w:val="006E0ADF"/>
    <w:rsid w:val="006E0E7B"/>
    <w:rsid w:val="006E20EE"/>
    <w:rsid w:val="006E2179"/>
    <w:rsid w:val="006E3675"/>
    <w:rsid w:val="006E3E59"/>
    <w:rsid w:val="006E45D5"/>
    <w:rsid w:val="006E4A7F"/>
    <w:rsid w:val="006E5D51"/>
    <w:rsid w:val="006E6036"/>
    <w:rsid w:val="006E733D"/>
    <w:rsid w:val="006E7EBB"/>
    <w:rsid w:val="006F091D"/>
    <w:rsid w:val="006F0F76"/>
    <w:rsid w:val="006F2551"/>
    <w:rsid w:val="006F3F27"/>
    <w:rsid w:val="006F4CD4"/>
    <w:rsid w:val="006F60C4"/>
    <w:rsid w:val="006F68F4"/>
    <w:rsid w:val="006F6EA2"/>
    <w:rsid w:val="007006D1"/>
    <w:rsid w:val="00701044"/>
    <w:rsid w:val="00703125"/>
    <w:rsid w:val="00703E0C"/>
    <w:rsid w:val="00704DF6"/>
    <w:rsid w:val="0070651C"/>
    <w:rsid w:val="0070677E"/>
    <w:rsid w:val="00711B51"/>
    <w:rsid w:val="007132A3"/>
    <w:rsid w:val="007132DD"/>
    <w:rsid w:val="007153B3"/>
    <w:rsid w:val="00715620"/>
    <w:rsid w:val="00716421"/>
    <w:rsid w:val="0071756F"/>
    <w:rsid w:val="0072059B"/>
    <w:rsid w:val="007206AC"/>
    <w:rsid w:val="0072086A"/>
    <w:rsid w:val="00720B3A"/>
    <w:rsid w:val="007236F1"/>
    <w:rsid w:val="00724EFB"/>
    <w:rsid w:val="00724F62"/>
    <w:rsid w:val="00725121"/>
    <w:rsid w:val="007255D1"/>
    <w:rsid w:val="00725EC4"/>
    <w:rsid w:val="007269A5"/>
    <w:rsid w:val="00730EEE"/>
    <w:rsid w:val="00732051"/>
    <w:rsid w:val="00732054"/>
    <w:rsid w:val="007334A8"/>
    <w:rsid w:val="0073417D"/>
    <w:rsid w:val="007349C2"/>
    <w:rsid w:val="007351D7"/>
    <w:rsid w:val="007351F0"/>
    <w:rsid w:val="007354D8"/>
    <w:rsid w:val="007363FA"/>
    <w:rsid w:val="00736491"/>
    <w:rsid w:val="00736BAD"/>
    <w:rsid w:val="00737A73"/>
    <w:rsid w:val="00737E8A"/>
    <w:rsid w:val="00740145"/>
    <w:rsid w:val="00740B53"/>
    <w:rsid w:val="007419C3"/>
    <w:rsid w:val="00742093"/>
    <w:rsid w:val="00745FF8"/>
    <w:rsid w:val="00746766"/>
    <w:rsid w:val="007467A7"/>
    <w:rsid w:val="007469DD"/>
    <w:rsid w:val="0074741B"/>
    <w:rsid w:val="0074759E"/>
    <w:rsid w:val="007478EA"/>
    <w:rsid w:val="0075033A"/>
    <w:rsid w:val="0075077F"/>
    <w:rsid w:val="00752ADC"/>
    <w:rsid w:val="0075415C"/>
    <w:rsid w:val="007543F1"/>
    <w:rsid w:val="00760870"/>
    <w:rsid w:val="00763502"/>
    <w:rsid w:val="00764B04"/>
    <w:rsid w:val="007658AA"/>
    <w:rsid w:val="007667DB"/>
    <w:rsid w:val="00767910"/>
    <w:rsid w:val="00767C94"/>
    <w:rsid w:val="007701C7"/>
    <w:rsid w:val="00770547"/>
    <w:rsid w:val="00771EDD"/>
    <w:rsid w:val="007734CA"/>
    <w:rsid w:val="00775A04"/>
    <w:rsid w:val="007770DF"/>
    <w:rsid w:val="00780582"/>
    <w:rsid w:val="00780AEC"/>
    <w:rsid w:val="00781F12"/>
    <w:rsid w:val="00784511"/>
    <w:rsid w:val="00784EDB"/>
    <w:rsid w:val="0078542E"/>
    <w:rsid w:val="00785B03"/>
    <w:rsid w:val="00786D46"/>
    <w:rsid w:val="00787045"/>
    <w:rsid w:val="00791166"/>
    <w:rsid w:val="007913AB"/>
    <w:rsid w:val="007914F7"/>
    <w:rsid w:val="00791C3E"/>
    <w:rsid w:val="00791F10"/>
    <w:rsid w:val="00793AB6"/>
    <w:rsid w:val="00794171"/>
    <w:rsid w:val="00795432"/>
    <w:rsid w:val="0079732B"/>
    <w:rsid w:val="007974B3"/>
    <w:rsid w:val="007A0116"/>
    <w:rsid w:val="007A01EB"/>
    <w:rsid w:val="007A0672"/>
    <w:rsid w:val="007A14D7"/>
    <w:rsid w:val="007A1984"/>
    <w:rsid w:val="007A2506"/>
    <w:rsid w:val="007A2BC2"/>
    <w:rsid w:val="007A3503"/>
    <w:rsid w:val="007A40EB"/>
    <w:rsid w:val="007A6023"/>
    <w:rsid w:val="007A67DB"/>
    <w:rsid w:val="007A6C97"/>
    <w:rsid w:val="007A7200"/>
    <w:rsid w:val="007A79BB"/>
    <w:rsid w:val="007A7D5D"/>
    <w:rsid w:val="007B0481"/>
    <w:rsid w:val="007B1625"/>
    <w:rsid w:val="007B3860"/>
    <w:rsid w:val="007B4201"/>
    <w:rsid w:val="007B706E"/>
    <w:rsid w:val="007B71EB"/>
    <w:rsid w:val="007B7B83"/>
    <w:rsid w:val="007B7E97"/>
    <w:rsid w:val="007C0299"/>
    <w:rsid w:val="007C032D"/>
    <w:rsid w:val="007C1566"/>
    <w:rsid w:val="007C1E71"/>
    <w:rsid w:val="007C21DF"/>
    <w:rsid w:val="007C2C14"/>
    <w:rsid w:val="007C3687"/>
    <w:rsid w:val="007C425A"/>
    <w:rsid w:val="007C564A"/>
    <w:rsid w:val="007C6205"/>
    <w:rsid w:val="007C686A"/>
    <w:rsid w:val="007C728E"/>
    <w:rsid w:val="007C7B98"/>
    <w:rsid w:val="007D0667"/>
    <w:rsid w:val="007D0F8D"/>
    <w:rsid w:val="007D194D"/>
    <w:rsid w:val="007D2799"/>
    <w:rsid w:val="007D2C53"/>
    <w:rsid w:val="007D2D42"/>
    <w:rsid w:val="007D30D2"/>
    <w:rsid w:val="007D33D0"/>
    <w:rsid w:val="007D3D60"/>
    <w:rsid w:val="007D5D56"/>
    <w:rsid w:val="007D6B1A"/>
    <w:rsid w:val="007E0F9A"/>
    <w:rsid w:val="007E1980"/>
    <w:rsid w:val="007E1FD9"/>
    <w:rsid w:val="007E473B"/>
    <w:rsid w:val="007E4887"/>
    <w:rsid w:val="007E48A8"/>
    <w:rsid w:val="007E4B76"/>
    <w:rsid w:val="007E5BBD"/>
    <w:rsid w:val="007E5EA8"/>
    <w:rsid w:val="007E6D0D"/>
    <w:rsid w:val="007E7CAE"/>
    <w:rsid w:val="007F0C76"/>
    <w:rsid w:val="007F0CF1"/>
    <w:rsid w:val="007F12A5"/>
    <w:rsid w:val="007F141C"/>
    <w:rsid w:val="007F1486"/>
    <w:rsid w:val="007F16A7"/>
    <w:rsid w:val="007F2044"/>
    <w:rsid w:val="007F262B"/>
    <w:rsid w:val="007F2B9A"/>
    <w:rsid w:val="007F344E"/>
    <w:rsid w:val="007F4514"/>
    <w:rsid w:val="007F4CF1"/>
    <w:rsid w:val="007F4F3B"/>
    <w:rsid w:val="007F5257"/>
    <w:rsid w:val="007F758D"/>
    <w:rsid w:val="007F7646"/>
    <w:rsid w:val="007F7D52"/>
    <w:rsid w:val="00800C74"/>
    <w:rsid w:val="00801004"/>
    <w:rsid w:val="00801AD5"/>
    <w:rsid w:val="00801D96"/>
    <w:rsid w:val="00801F30"/>
    <w:rsid w:val="008027CA"/>
    <w:rsid w:val="00804004"/>
    <w:rsid w:val="008052F2"/>
    <w:rsid w:val="0080654C"/>
    <w:rsid w:val="008071C6"/>
    <w:rsid w:val="00807277"/>
    <w:rsid w:val="008133DF"/>
    <w:rsid w:val="00814877"/>
    <w:rsid w:val="00815B15"/>
    <w:rsid w:val="00817A00"/>
    <w:rsid w:val="00817D1C"/>
    <w:rsid w:val="00817FCA"/>
    <w:rsid w:val="008213B2"/>
    <w:rsid w:val="00822CFE"/>
    <w:rsid w:val="00823620"/>
    <w:rsid w:val="008242A5"/>
    <w:rsid w:val="00824361"/>
    <w:rsid w:val="00824BC5"/>
    <w:rsid w:val="00825215"/>
    <w:rsid w:val="00826C94"/>
    <w:rsid w:val="00826E45"/>
    <w:rsid w:val="008300B4"/>
    <w:rsid w:val="0083155F"/>
    <w:rsid w:val="008322D5"/>
    <w:rsid w:val="00832954"/>
    <w:rsid w:val="00834F31"/>
    <w:rsid w:val="00835DB3"/>
    <w:rsid w:val="0083617B"/>
    <w:rsid w:val="00836307"/>
    <w:rsid w:val="00836509"/>
    <w:rsid w:val="00836E44"/>
    <w:rsid w:val="008371BD"/>
    <w:rsid w:val="008375C3"/>
    <w:rsid w:val="00837A05"/>
    <w:rsid w:val="00840325"/>
    <w:rsid w:val="00840C02"/>
    <w:rsid w:val="008415E8"/>
    <w:rsid w:val="008445BD"/>
    <w:rsid w:val="00844EF7"/>
    <w:rsid w:val="008450EA"/>
    <w:rsid w:val="00845EA8"/>
    <w:rsid w:val="00845FB4"/>
    <w:rsid w:val="008467F0"/>
    <w:rsid w:val="00847376"/>
    <w:rsid w:val="00847628"/>
    <w:rsid w:val="00847B37"/>
    <w:rsid w:val="008504A8"/>
    <w:rsid w:val="008523B6"/>
    <w:rsid w:val="00852658"/>
    <w:rsid w:val="0085282E"/>
    <w:rsid w:val="00852C61"/>
    <w:rsid w:val="008536B0"/>
    <w:rsid w:val="00855080"/>
    <w:rsid w:val="00855688"/>
    <w:rsid w:val="00855DF0"/>
    <w:rsid w:val="00856AF2"/>
    <w:rsid w:val="00860909"/>
    <w:rsid w:val="00860DE1"/>
    <w:rsid w:val="00861630"/>
    <w:rsid w:val="008617B7"/>
    <w:rsid w:val="00862EC4"/>
    <w:rsid w:val="008660F2"/>
    <w:rsid w:val="0087198C"/>
    <w:rsid w:val="00871CF9"/>
    <w:rsid w:val="008722EB"/>
    <w:rsid w:val="00872C1F"/>
    <w:rsid w:val="00873B42"/>
    <w:rsid w:val="00876526"/>
    <w:rsid w:val="00876808"/>
    <w:rsid w:val="00876CF3"/>
    <w:rsid w:val="0087712F"/>
    <w:rsid w:val="008848F4"/>
    <w:rsid w:val="008856BC"/>
    <w:rsid w:val="008856D8"/>
    <w:rsid w:val="00886577"/>
    <w:rsid w:val="008865B7"/>
    <w:rsid w:val="00887234"/>
    <w:rsid w:val="00890562"/>
    <w:rsid w:val="0089057F"/>
    <w:rsid w:val="008905D4"/>
    <w:rsid w:val="008918FC"/>
    <w:rsid w:val="00892C03"/>
    <w:rsid w:val="00892E82"/>
    <w:rsid w:val="00894D67"/>
    <w:rsid w:val="008960D4"/>
    <w:rsid w:val="008963F0"/>
    <w:rsid w:val="00896DE8"/>
    <w:rsid w:val="008976CC"/>
    <w:rsid w:val="008979C0"/>
    <w:rsid w:val="008A03FB"/>
    <w:rsid w:val="008A10F0"/>
    <w:rsid w:val="008A12B3"/>
    <w:rsid w:val="008A22CD"/>
    <w:rsid w:val="008A53E1"/>
    <w:rsid w:val="008A65EE"/>
    <w:rsid w:val="008A6B79"/>
    <w:rsid w:val="008B2050"/>
    <w:rsid w:val="008B2B15"/>
    <w:rsid w:val="008B2B5D"/>
    <w:rsid w:val="008B7393"/>
    <w:rsid w:val="008B7EC9"/>
    <w:rsid w:val="008C135C"/>
    <w:rsid w:val="008C17B7"/>
    <w:rsid w:val="008C1B58"/>
    <w:rsid w:val="008C39AE"/>
    <w:rsid w:val="008C3BD2"/>
    <w:rsid w:val="008C4EE1"/>
    <w:rsid w:val="008C590D"/>
    <w:rsid w:val="008C59BC"/>
    <w:rsid w:val="008C620B"/>
    <w:rsid w:val="008C6DFD"/>
    <w:rsid w:val="008C76AD"/>
    <w:rsid w:val="008D0030"/>
    <w:rsid w:val="008D052E"/>
    <w:rsid w:val="008D0B83"/>
    <w:rsid w:val="008D1C37"/>
    <w:rsid w:val="008D2869"/>
    <w:rsid w:val="008D293F"/>
    <w:rsid w:val="008D2ABA"/>
    <w:rsid w:val="008D2E13"/>
    <w:rsid w:val="008D5B9B"/>
    <w:rsid w:val="008D66F2"/>
    <w:rsid w:val="008D75F1"/>
    <w:rsid w:val="008D76DB"/>
    <w:rsid w:val="008E031B"/>
    <w:rsid w:val="008E08DF"/>
    <w:rsid w:val="008E1703"/>
    <w:rsid w:val="008E3010"/>
    <w:rsid w:val="008E3459"/>
    <w:rsid w:val="008E4D49"/>
    <w:rsid w:val="008E4E5E"/>
    <w:rsid w:val="008E4EE9"/>
    <w:rsid w:val="008E523B"/>
    <w:rsid w:val="008E54C0"/>
    <w:rsid w:val="008E7029"/>
    <w:rsid w:val="008E7620"/>
    <w:rsid w:val="008E7CDD"/>
    <w:rsid w:val="008E7EF6"/>
    <w:rsid w:val="008F073D"/>
    <w:rsid w:val="008F08F1"/>
    <w:rsid w:val="008F0B71"/>
    <w:rsid w:val="008F17A7"/>
    <w:rsid w:val="008F1F98"/>
    <w:rsid w:val="008F2E52"/>
    <w:rsid w:val="008F3FBF"/>
    <w:rsid w:val="008F6758"/>
    <w:rsid w:val="008F67F1"/>
    <w:rsid w:val="008F6A3C"/>
    <w:rsid w:val="008F6A5A"/>
    <w:rsid w:val="008F7A1E"/>
    <w:rsid w:val="008F7ECD"/>
    <w:rsid w:val="008F7F4B"/>
    <w:rsid w:val="009011BA"/>
    <w:rsid w:val="00901A3F"/>
    <w:rsid w:val="009040DD"/>
    <w:rsid w:val="0090468A"/>
    <w:rsid w:val="00904C59"/>
    <w:rsid w:val="00905149"/>
    <w:rsid w:val="009059CA"/>
    <w:rsid w:val="00905B47"/>
    <w:rsid w:val="00905BC7"/>
    <w:rsid w:val="00905CBC"/>
    <w:rsid w:val="00905ED1"/>
    <w:rsid w:val="00907DFD"/>
    <w:rsid w:val="00910FF7"/>
    <w:rsid w:val="00912964"/>
    <w:rsid w:val="00912FA0"/>
    <w:rsid w:val="0091331C"/>
    <w:rsid w:val="0091739E"/>
    <w:rsid w:val="00917802"/>
    <w:rsid w:val="009179A3"/>
    <w:rsid w:val="009220A1"/>
    <w:rsid w:val="00922EFD"/>
    <w:rsid w:val="009238BD"/>
    <w:rsid w:val="00923B98"/>
    <w:rsid w:val="009279DE"/>
    <w:rsid w:val="00930116"/>
    <w:rsid w:val="009306BE"/>
    <w:rsid w:val="0093071D"/>
    <w:rsid w:val="00930B04"/>
    <w:rsid w:val="00931156"/>
    <w:rsid w:val="009319E5"/>
    <w:rsid w:val="00935354"/>
    <w:rsid w:val="00935CE0"/>
    <w:rsid w:val="00936AD5"/>
    <w:rsid w:val="0094212C"/>
    <w:rsid w:val="00943AD2"/>
    <w:rsid w:val="009442B9"/>
    <w:rsid w:val="00945AFE"/>
    <w:rsid w:val="009472FD"/>
    <w:rsid w:val="00947407"/>
    <w:rsid w:val="00953B4F"/>
    <w:rsid w:val="0095425F"/>
    <w:rsid w:val="00954689"/>
    <w:rsid w:val="00954C36"/>
    <w:rsid w:val="0095620F"/>
    <w:rsid w:val="00956B8F"/>
    <w:rsid w:val="0095792B"/>
    <w:rsid w:val="009617C9"/>
    <w:rsid w:val="00961BDA"/>
    <w:rsid w:val="00961C93"/>
    <w:rsid w:val="0096362B"/>
    <w:rsid w:val="0096490F"/>
    <w:rsid w:val="00965324"/>
    <w:rsid w:val="009679DA"/>
    <w:rsid w:val="00967A47"/>
    <w:rsid w:val="0097091E"/>
    <w:rsid w:val="009721DF"/>
    <w:rsid w:val="009724CA"/>
    <w:rsid w:val="009734DA"/>
    <w:rsid w:val="00974E80"/>
    <w:rsid w:val="00974EE3"/>
    <w:rsid w:val="009750DA"/>
    <w:rsid w:val="00975958"/>
    <w:rsid w:val="009760D3"/>
    <w:rsid w:val="00976FBA"/>
    <w:rsid w:val="00977132"/>
    <w:rsid w:val="0098047D"/>
    <w:rsid w:val="00981A4B"/>
    <w:rsid w:val="0098212D"/>
    <w:rsid w:val="00982501"/>
    <w:rsid w:val="009827C0"/>
    <w:rsid w:val="00984A84"/>
    <w:rsid w:val="00985009"/>
    <w:rsid w:val="00985BDE"/>
    <w:rsid w:val="00985D32"/>
    <w:rsid w:val="00986E43"/>
    <w:rsid w:val="009877D3"/>
    <w:rsid w:val="00987DAA"/>
    <w:rsid w:val="009933B4"/>
    <w:rsid w:val="009938CF"/>
    <w:rsid w:val="00994B20"/>
    <w:rsid w:val="00994E8F"/>
    <w:rsid w:val="009951DC"/>
    <w:rsid w:val="009959BB"/>
    <w:rsid w:val="009966E8"/>
    <w:rsid w:val="00997158"/>
    <w:rsid w:val="009A0544"/>
    <w:rsid w:val="009A3A7C"/>
    <w:rsid w:val="009A3ED5"/>
    <w:rsid w:val="009A41A5"/>
    <w:rsid w:val="009A42AF"/>
    <w:rsid w:val="009A45DC"/>
    <w:rsid w:val="009A6FF4"/>
    <w:rsid w:val="009A7502"/>
    <w:rsid w:val="009A7596"/>
    <w:rsid w:val="009B055C"/>
    <w:rsid w:val="009B1CE7"/>
    <w:rsid w:val="009B2ADB"/>
    <w:rsid w:val="009B3B62"/>
    <w:rsid w:val="009B4393"/>
    <w:rsid w:val="009B4C2E"/>
    <w:rsid w:val="009B5387"/>
    <w:rsid w:val="009B5984"/>
    <w:rsid w:val="009B5DF9"/>
    <w:rsid w:val="009B603A"/>
    <w:rsid w:val="009B7A35"/>
    <w:rsid w:val="009C2D0E"/>
    <w:rsid w:val="009C30B6"/>
    <w:rsid w:val="009C3DAC"/>
    <w:rsid w:val="009C3E61"/>
    <w:rsid w:val="009C42E0"/>
    <w:rsid w:val="009C4443"/>
    <w:rsid w:val="009C47FC"/>
    <w:rsid w:val="009C4CCB"/>
    <w:rsid w:val="009C6FDE"/>
    <w:rsid w:val="009D1149"/>
    <w:rsid w:val="009D197E"/>
    <w:rsid w:val="009D306F"/>
    <w:rsid w:val="009D311C"/>
    <w:rsid w:val="009D4A4E"/>
    <w:rsid w:val="009D4B39"/>
    <w:rsid w:val="009D4DC0"/>
    <w:rsid w:val="009D5362"/>
    <w:rsid w:val="009D6097"/>
    <w:rsid w:val="009D6118"/>
    <w:rsid w:val="009D6309"/>
    <w:rsid w:val="009D7EDF"/>
    <w:rsid w:val="009E1415"/>
    <w:rsid w:val="009E249C"/>
    <w:rsid w:val="009E28D8"/>
    <w:rsid w:val="009E4BD5"/>
    <w:rsid w:val="009E52F8"/>
    <w:rsid w:val="009E588A"/>
    <w:rsid w:val="009E5A35"/>
    <w:rsid w:val="009E5B0A"/>
    <w:rsid w:val="009E6116"/>
    <w:rsid w:val="009F155D"/>
    <w:rsid w:val="009F3B9B"/>
    <w:rsid w:val="009F4EFA"/>
    <w:rsid w:val="009F567D"/>
    <w:rsid w:val="009F6023"/>
    <w:rsid w:val="009F6A22"/>
    <w:rsid w:val="009F6D07"/>
    <w:rsid w:val="009F7402"/>
    <w:rsid w:val="00A02E43"/>
    <w:rsid w:val="00A038E0"/>
    <w:rsid w:val="00A03D21"/>
    <w:rsid w:val="00A05D09"/>
    <w:rsid w:val="00A065F9"/>
    <w:rsid w:val="00A06AF5"/>
    <w:rsid w:val="00A06D93"/>
    <w:rsid w:val="00A06F3F"/>
    <w:rsid w:val="00A07F34"/>
    <w:rsid w:val="00A104CE"/>
    <w:rsid w:val="00A12384"/>
    <w:rsid w:val="00A12BC6"/>
    <w:rsid w:val="00A12DCD"/>
    <w:rsid w:val="00A148EA"/>
    <w:rsid w:val="00A20244"/>
    <w:rsid w:val="00A22087"/>
    <w:rsid w:val="00A22138"/>
    <w:rsid w:val="00A22154"/>
    <w:rsid w:val="00A22A53"/>
    <w:rsid w:val="00A23355"/>
    <w:rsid w:val="00A233E7"/>
    <w:rsid w:val="00A236FF"/>
    <w:rsid w:val="00A24D71"/>
    <w:rsid w:val="00A25C38"/>
    <w:rsid w:val="00A2646B"/>
    <w:rsid w:val="00A31AC1"/>
    <w:rsid w:val="00A31F20"/>
    <w:rsid w:val="00A31FFF"/>
    <w:rsid w:val="00A32168"/>
    <w:rsid w:val="00A3354D"/>
    <w:rsid w:val="00A34786"/>
    <w:rsid w:val="00A36799"/>
    <w:rsid w:val="00A36BBE"/>
    <w:rsid w:val="00A410B8"/>
    <w:rsid w:val="00A421B0"/>
    <w:rsid w:val="00A422F1"/>
    <w:rsid w:val="00A4267C"/>
    <w:rsid w:val="00A427E7"/>
    <w:rsid w:val="00A4307A"/>
    <w:rsid w:val="00A46A16"/>
    <w:rsid w:val="00A47EBB"/>
    <w:rsid w:val="00A502C5"/>
    <w:rsid w:val="00A5116E"/>
    <w:rsid w:val="00A51C3C"/>
    <w:rsid w:val="00A51CDD"/>
    <w:rsid w:val="00A529C6"/>
    <w:rsid w:val="00A52EC7"/>
    <w:rsid w:val="00A5424C"/>
    <w:rsid w:val="00A55D18"/>
    <w:rsid w:val="00A568F9"/>
    <w:rsid w:val="00A573C1"/>
    <w:rsid w:val="00A57A31"/>
    <w:rsid w:val="00A60440"/>
    <w:rsid w:val="00A62401"/>
    <w:rsid w:val="00A6596D"/>
    <w:rsid w:val="00A65A5B"/>
    <w:rsid w:val="00A6730D"/>
    <w:rsid w:val="00A67A7E"/>
    <w:rsid w:val="00A71625"/>
    <w:rsid w:val="00A71863"/>
    <w:rsid w:val="00A71B9B"/>
    <w:rsid w:val="00A7274D"/>
    <w:rsid w:val="00A73310"/>
    <w:rsid w:val="00A74B1D"/>
    <w:rsid w:val="00A751C7"/>
    <w:rsid w:val="00A76BC5"/>
    <w:rsid w:val="00A80109"/>
    <w:rsid w:val="00A80349"/>
    <w:rsid w:val="00A8043E"/>
    <w:rsid w:val="00A81310"/>
    <w:rsid w:val="00A81EE9"/>
    <w:rsid w:val="00A81FE0"/>
    <w:rsid w:val="00A8243E"/>
    <w:rsid w:val="00A83EAE"/>
    <w:rsid w:val="00A86A1C"/>
    <w:rsid w:val="00A87844"/>
    <w:rsid w:val="00A90147"/>
    <w:rsid w:val="00A901CD"/>
    <w:rsid w:val="00A9131D"/>
    <w:rsid w:val="00A91526"/>
    <w:rsid w:val="00A917E6"/>
    <w:rsid w:val="00A92B2B"/>
    <w:rsid w:val="00A942AD"/>
    <w:rsid w:val="00AA038C"/>
    <w:rsid w:val="00AA31BE"/>
    <w:rsid w:val="00AA3979"/>
    <w:rsid w:val="00AA5374"/>
    <w:rsid w:val="00AA5DDE"/>
    <w:rsid w:val="00AA61CF"/>
    <w:rsid w:val="00AA64CA"/>
    <w:rsid w:val="00AA7A09"/>
    <w:rsid w:val="00AB040C"/>
    <w:rsid w:val="00AB3B50"/>
    <w:rsid w:val="00AB3F61"/>
    <w:rsid w:val="00AB4DE7"/>
    <w:rsid w:val="00AB4EF3"/>
    <w:rsid w:val="00AB534F"/>
    <w:rsid w:val="00AB553E"/>
    <w:rsid w:val="00AB58FB"/>
    <w:rsid w:val="00AB5D6E"/>
    <w:rsid w:val="00AB6FAC"/>
    <w:rsid w:val="00AB7B39"/>
    <w:rsid w:val="00AC05B1"/>
    <w:rsid w:val="00AC0755"/>
    <w:rsid w:val="00AC2D08"/>
    <w:rsid w:val="00AC34B8"/>
    <w:rsid w:val="00AC390B"/>
    <w:rsid w:val="00AC39FC"/>
    <w:rsid w:val="00AC5590"/>
    <w:rsid w:val="00AC667E"/>
    <w:rsid w:val="00AD1E33"/>
    <w:rsid w:val="00AD356C"/>
    <w:rsid w:val="00AD360B"/>
    <w:rsid w:val="00AD5329"/>
    <w:rsid w:val="00AD6109"/>
    <w:rsid w:val="00AD7FAD"/>
    <w:rsid w:val="00AE1345"/>
    <w:rsid w:val="00AE1693"/>
    <w:rsid w:val="00AE2280"/>
    <w:rsid w:val="00AE26E5"/>
    <w:rsid w:val="00AE2914"/>
    <w:rsid w:val="00AE292F"/>
    <w:rsid w:val="00AE2F66"/>
    <w:rsid w:val="00AE52C9"/>
    <w:rsid w:val="00AE5A69"/>
    <w:rsid w:val="00AE6926"/>
    <w:rsid w:val="00AE6D15"/>
    <w:rsid w:val="00AE7E19"/>
    <w:rsid w:val="00AF0720"/>
    <w:rsid w:val="00AF084A"/>
    <w:rsid w:val="00AF1571"/>
    <w:rsid w:val="00AF1A8A"/>
    <w:rsid w:val="00AF1B23"/>
    <w:rsid w:val="00AF1D6F"/>
    <w:rsid w:val="00AF1FB5"/>
    <w:rsid w:val="00AF2BF5"/>
    <w:rsid w:val="00AF477C"/>
    <w:rsid w:val="00AF5762"/>
    <w:rsid w:val="00AF6FC6"/>
    <w:rsid w:val="00AF70D0"/>
    <w:rsid w:val="00AF767E"/>
    <w:rsid w:val="00B01298"/>
    <w:rsid w:val="00B02B84"/>
    <w:rsid w:val="00B03259"/>
    <w:rsid w:val="00B03EFF"/>
    <w:rsid w:val="00B04182"/>
    <w:rsid w:val="00B04550"/>
    <w:rsid w:val="00B04A69"/>
    <w:rsid w:val="00B05EEB"/>
    <w:rsid w:val="00B07AE3"/>
    <w:rsid w:val="00B11430"/>
    <w:rsid w:val="00B152A8"/>
    <w:rsid w:val="00B170E6"/>
    <w:rsid w:val="00B201EF"/>
    <w:rsid w:val="00B2118E"/>
    <w:rsid w:val="00B21A95"/>
    <w:rsid w:val="00B21F0D"/>
    <w:rsid w:val="00B23D26"/>
    <w:rsid w:val="00B2466E"/>
    <w:rsid w:val="00B255CE"/>
    <w:rsid w:val="00B26058"/>
    <w:rsid w:val="00B260AE"/>
    <w:rsid w:val="00B263B5"/>
    <w:rsid w:val="00B26F61"/>
    <w:rsid w:val="00B27559"/>
    <w:rsid w:val="00B30147"/>
    <w:rsid w:val="00B30F67"/>
    <w:rsid w:val="00B33AEF"/>
    <w:rsid w:val="00B342C0"/>
    <w:rsid w:val="00B34EA7"/>
    <w:rsid w:val="00B35193"/>
    <w:rsid w:val="00B35276"/>
    <w:rsid w:val="00B353EB"/>
    <w:rsid w:val="00B35ED5"/>
    <w:rsid w:val="00B405DE"/>
    <w:rsid w:val="00B40E34"/>
    <w:rsid w:val="00B411F2"/>
    <w:rsid w:val="00B41A9E"/>
    <w:rsid w:val="00B42425"/>
    <w:rsid w:val="00B439C4"/>
    <w:rsid w:val="00B44392"/>
    <w:rsid w:val="00B4535E"/>
    <w:rsid w:val="00B46B47"/>
    <w:rsid w:val="00B479AC"/>
    <w:rsid w:val="00B47D8D"/>
    <w:rsid w:val="00B50F17"/>
    <w:rsid w:val="00B52A8C"/>
    <w:rsid w:val="00B52FA6"/>
    <w:rsid w:val="00B53A73"/>
    <w:rsid w:val="00B54C85"/>
    <w:rsid w:val="00B54E6A"/>
    <w:rsid w:val="00B551D3"/>
    <w:rsid w:val="00B55BBA"/>
    <w:rsid w:val="00B5652B"/>
    <w:rsid w:val="00B601FA"/>
    <w:rsid w:val="00B6039A"/>
    <w:rsid w:val="00B6089C"/>
    <w:rsid w:val="00B60A37"/>
    <w:rsid w:val="00B62F5B"/>
    <w:rsid w:val="00B630EB"/>
    <w:rsid w:val="00B636A8"/>
    <w:rsid w:val="00B658E2"/>
    <w:rsid w:val="00B6595A"/>
    <w:rsid w:val="00B66484"/>
    <w:rsid w:val="00B665C6"/>
    <w:rsid w:val="00B704C7"/>
    <w:rsid w:val="00B70571"/>
    <w:rsid w:val="00B71104"/>
    <w:rsid w:val="00B71FEC"/>
    <w:rsid w:val="00B7238B"/>
    <w:rsid w:val="00B733C6"/>
    <w:rsid w:val="00B73675"/>
    <w:rsid w:val="00B7394E"/>
    <w:rsid w:val="00B73B10"/>
    <w:rsid w:val="00B7672B"/>
    <w:rsid w:val="00B76751"/>
    <w:rsid w:val="00B77B2B"/>
    <w:rsid w:val="00B802B4"/>
    <w:rsid w:val="00B805AF"/>
    <w:rsid w:val="00B834CA"/>
    <w:rsid w:val="00B869EC"/>
    <w:rsid w:val="00B86ACB"/>
    <w:rsid w:val="00B8782C"/>
    <w:rsid w:val="00B9112B"/>
    <w:rsid w:val="00B9129D"/>
    <w:rsid w:val="00B9397A"/>
    <w:rsid w:val="00B93E0A"/>
    <w:rsid w:val="00B960DA"/>
    <w:rsid w:val="00B9633D"/>
    <w:rsid w:val="00BA1E81"/>
    <w:rsid w:val="00BA1ED6"/>
    <w:rsid w:val="00BA2427"/>
    <w:rsid w:val="00BA2E31"/>
    <w:rsid w:val="00BA2EBE"/>
    <w:rsid w:val="00BA2F31"/>
    <w:rsid w:val="00BA36AE"/>
    <w:rsid w:val="00BA4047"/>
    <w:rsid w:val="00BA4A08"/>
    <w:rsid w:val="00BA4C0D"/>
    <w:rsid w:val="00BA5D0C"/>
    <w:rsid w:val="00BA6AE0"/>
    <w:rsid w:val="00BA6FF1"/>
    <w:rsid w:val="00BB0F28"/>
    <w:rsid w:val="00BB17BC"/>
    <w:rsid w:val="00BB292A"/>
    <w:rsid w:val="00BB2DB7"/>
    <w:rsid w:val="00BB2F53"/>
    <w:rsid w:val="00BB3D64"/>
    <w:rsid w:val="00BB458A"/>
    <w:rsid w:val="00BB5647"/>
    <w:rsid w:val="00BB5E92"/>
    <w:rsid w:val="00BB637D"/>
    <w:rsid w:val="00BB7014"/>
    <w:rsid w:val="00BC0068"/>
    <w:rsid w:val="00BC0AFA"/>
    <w:rsid w:val="00BC143D"/>
    <w:rsid w:val="00BC162A"/>
    <w:rsid w:val="00BC1BA2"/>
    <w:rsid w:val="00BC1F7B"/>
    <w:rsid w:val="00BC2468"/>
    <w:rsid w:val="00BC26C5"/>
    <w:rsid w:val="00BC4323"/>
    <w:rsid w:val="00BC456D"/>
    <w:rsid w:val="00BC6B71"/>
    <w:rsid w:val="00BC7349"/>
    <w:rsid w:val="00BC7C09"/>
    <w:rsid w:val="00BD00D3"/>
    <w:rsid w:val="00BD03E8"/>
    <w:rsid w:val="00BD1069"/>
    <w:rsid w:val="00BD12CB"/>
    <w:rsid w:val="00BD12CE"/>
    <w:rsid w:val="00BD1659"/>
    <w:rsid w:val="00BD3AA9"/>
    <w:rsid w:val="00BD3CC4"/>
    <w:rsid w:val="00BD4A18"/>
    <w:rsid w:val="00BD5398"/>
    <w:rsid w:val="00BD5611"/>
    <w:rsid w:val="00BD6DB2"/>
    <w:rsid w:val="00BD6EB4"/>
    <w:rsid w:val="00BE01D7"/>
    <w:rsid w:val="00BE11CF"/>
    <w:rsid w:val="00BE1EF6"/>
    <w:rsid w:val="00BE1F5B"/>
    <w:rsid w:val="00BE21AB"/>
    <w:rsid w:val="00BE241F"/>
    <w:rsid w:val="00BE3D6D"/>
    <w:rsid w:val="00BE53B0"/>
    <w:rsid w:val="00BE55CB"/>
    <w:rsid w:val="00BE7648"/>
    <w:rsid w:val="00BE775A"/>
    <w:rsid w:val="00BE7C78"/>
    <w:rsid w:val="00BF004E"/>
    <w:rsid w:val="00BF0568"/>
    <w:rsid w:val="00BF06CB"/>
    <w:rsid w:val="00BF1361"/>
    <w:rsid w:val="00BF1F90"/>
    <w:rsid w:val="00BF1F93"/>
    <w:rsid w:val="00BF3574"/>
    <w:rsid w:val="00BF3B8E"/>
    <w:rsid w:val="00BF504E"/>
    <w:rsid w:val="00BF57C1"/>
    <w:rsid w:val="00BF5BF8"/>
    <w:rsid w:val="00BF617A"/>
    <w:rsid w:val="00BF7FCF"/>
    <w:rsid w:val="00C01F4A"/>
    <w:rsid w:val="00C025A6"/>
    <w:rsid w:val="00C02DE3"/>
    <w:rsid w:val="00C02FAE"/>
    <w:rsid w:val="00C03482"/>
    <w:rsid w:val="00C03714"/>
    <w:rsid w:val="00C0379D"/>
    <w:rsid w:val="00C03931"/>
    <w:rsid w:val="00C05BD7"/>
    <w:rsid w:val="00C05E87"/>
    <w:rsid w:val="00C05FE3"/>
    <w:rsid w:val="00C0793E"/>
    <w:rsid w:val="00C11575"/>
    <w:rsid w:val="00C1286E"/>
    <w:rsid w:val="00C136BE"/>
    <w:rsid w:val="00C14087"/>
    <w:rsid w:val="00C15C18"/>
    <w:rsid w:val="00C20648"/>
    <w:rsid w:val="00C20A7F"/>
    <w:rsid w:val="00C20EAC"/>
    <w:rsid w:val="00C2136D"/>
    <w:rsid w:val="00C214EE"/>
    <w:rsid w:val="00C21992"/>
    <w:rsid w:val="00C21F58"/>
    <w:rsid w:val="00C2314B"/>
    <w:rsid w:val="00C2320C"/>
    <w:rsid w:val="00C234A3"/>
    <w:rsid w:val="00C24971"/>
    <w:rsid w:val="00C2628B"/>
    <w:rsid w:val="00C26BE5"/>
    <w:rsid w:val="00C26E4D"/>
    <w:rsid w:val="00C27909"/>
    <w:rsid w:val="00C27B03"/>
    <w:rsid w:val="00C30216"/>
    <w:rsid w:val="00C304BA"/>
    <w:rsid w:val="00C3109F"/>
    <w:rsid w:val="00C314E1"/>
    <w:rsid w:val="00C32A7A"/>
    <w:rsid w:val="00C336E3"/>
    <w:rsid w:val="00C34397"/>
    <w:rsid w:val="00C35BF6"/>
    <w:rsid w:val="00C3776C"/>
    <w:rsid w:val="00C4095D"/>
    <w:rsid w:val="00C45886"/>
    <w:rsid w:val="00C46187"/>
    <w:rsid w:val="00C471A7"/>
    <w:rsid w:val="00C47AA4"/>
    <w:rsid w:val="00C47B51"/>
    <w:rsid w:val="00C47E28"/>
    <w:rsid w:val="00C509F1"/>
    <w:rsid w:val="00C52D3D"/>
    <w:rsid w:val="00C54279"/>
    <w:rsid w:val="00C542C4"/>
    <w:rsid w:val="00C546E6"/>
    <w:rsid w:val="00C5470F"/>
    <w:rsid w:val="00C550CE"/>
    <w:rsid w:val="00C56589"/>
    <w:rsid w:val="00C576DD"/>
    <w:rsid w:val="00C601D2"/>
    <w:rsid w:val="00C612FD"/>
    <w:rsid w:val="00C621FB"/>
    <w:rsid w:val="00C6255F"/>
    <w:rsid w:val="00C632FA"/>
    <w:rsid w:val="00C6482A"/>
    <w:rsid w:val="00C65652"/>
    <w:rsid w:val="00C65661"/>
    <w:rsid w:val="00C65BCC"/>
    <w:rsid w:val="00C66970"/>
    <w:rsid w:val="00C6723C"/>
    <w:rsid w:val="00C702DA"/>
    <w:rsid w:val="00C703C4"/>
    <w:rsid w:val="00C7253A"/>
    <w:rsid w:val="00C73D6F"/>
    <w:rsid w:val="00C73F82"/>
    <w:rsid w:val="00C7497E"/>
    <w:rsid w:val="00C74DAE"/>
    <w:rsid w:val="00C76B3A"/>
    <w:rsid w:val="00C77565"/>
    <w:rsid w:val="00C77938"/>
    <w:rsid w:val="00C812CB"/>
    <w:rsid w:val="00C81946"/>
    <w:rsid w:val="00C828AB"/>
    <w:rsid w:val="00C85774"/>
    <w:rsid w:val="00C8691C"/>
    <w:rsid w:val="00C87458"/>
    <w:rsid w:val="00C87E74"/>
    <w:rsid w:val="00C904C2"/>
    <w:rsid w:val="00C93ECD"/>
    <w:rsid w:val="00C9589A"/>
    <w:rsid w:val="00C96025"/>
    <w:rsid w:val="00C97412"/>
    <w:rsid w:val="00CA09AB"/>
    <w:rsid w:val="00CA1064"/>
    <w:rsid w:val="00CA12FB"/>
    <w:rsid w:val="00CA168A"/>
    <w:rsid w:val="00CA1F78"/>
    <w:rsid w:val="00CA25E6"/>
    <w:rsid w:val="00CA271A"/>
    <w:rsid w:val="00CA34E3"/>
    <w:rsid w:val="00CA357E"/>
    <w:rsid w:val="00CA39EF"/>
    <w:rsid w:val="00CA3F1B"/>
    <w:rsid w:val="00CA44F9"/>
    <w:rsid w:val="00CA49AF"/>
    <w:rsid w:val="00CA4A69"/>
    <w:rsid w:val="00CA5416"/>
    <w:rsid w:val="00CA6D2D"/>
    <w:rsid w:val="00CB13C9"/>
    <w:rsid w:val="00CB17DF"/>
    <w:rsid w:val="00CB1B2C"/>
    <w:rsid w:val="00CB1EDB"/>
    <w:rsid w:val="00CB2502"/>
    <w:rsid w:val="00CB2A3C"/>
    <w:rsid w:val="00CB399B"/>
    <w:rsid w:val="00CB4903"/>
    <w:rsid w:val="00CB4C2A"/>
    <w:rsid w:val="00CB589B"/>
    <w:rsid w:val="00CB739E"/>
    <w:rsid w:val="00CB7A76"/>
    <w:rsid w:val="00CC3E0C"/>
    <w:rsid w:val="00CC48A7"/>
    <w:rsid w:val="00CC58D3"/>
    <w:rsid w:val="00CC608B"/>
    <w:rsid w:val="00CC784D"/>
    <w:rsid w:val="00CD06B1"/>
    <w:rsid w:val="00CD09F9"/>
    <w:rsid w:val="00CD0C57"/>
    <w:rsid w:val="00CD0D00"/>
    <w:rsid w:val="00CD17E7"/>
    <w:rsid w:val="00CD2790"/>
    <w:rsid w:val="00CD2F90"/>
    <w:rsid w:val="00CD3530"/>
    <w:rsid w:val="00CD3B24"/>
    <w:rsid w:val="00CD3DFB"/>
    <w:rsid w:val="00CD7059"/>
    <w:rsid w:val="00CD75DF"/>
    <w:rsid w:val="00CE16B6"/>
    <w:rsid w:val="00CE1983"/>
    <w:rsid w:val="00CE23E9"/>
    <w:rsid w:val="00CE2CD3"/>
    <w:rsid w:val="00CE36BF"/>
    <w:rsid w:val="00CE4A59"/>
    <w:rsid w:val="00CE4E3B"/>
    <w:rsid w:val="00CE578B"/>
    <w:rsid w:val="00CE5FEC"/>
    <w:rsid w:val="00CE63B1"/>
    <w:rsid w:val="00CE6850"/>
    <w:rsid w:val="00CE69E7"/>
    <w:rsid w:val="00CE704E"/>
    <w:rsid w:val="00CE76FB"/>
    <w:rsid w:val="00CE7F43"/>
    <w:rsid w:val="00CF13A5"/>
    <w:rsid w:val="00CF1BCA"/>
    <w:rsid w:val="00CF2D52"/>
    <w:rsid w:val="00CF44A7"/>
    <w:rsid w:val="00CF5009"/>
    <w:rsid w:val="00D005AB"/>
    <w:rsid w:val="00D00E5E"/>
    <w:rsid w:val="00D02317"/>
    <w:rsid w:val="00D0337B"/>
    <w:rsid w:val="00D042B8"/>
    <w:rsid w:val="00D04A29"/>
    <w:rsid w:val="00D04A40"/>
    <w:rsid w:val="00D05C4A"/>
    <w:rsid w:val="00D06620"/>
    <w:rsid w:val="00D06B96"/>
    <w:rsid w:val="00D06BF4"/>
    <w:rsid w:val="00D079B2"/>
    <w:rsid w:val="00D07F24"/>
    <w:rsid w:val="00D1016D"/>
    <w:rsid w:val="00D10C45"/>
    <w:rsid w:val="00D10F79"/>
    <w:rsid w:val="00D114E9"/>
    <w:rsid w:val="00D11A16"/>
    <w:rsid w:val="00D12128"/>
    <w:rsid w:val="00D13C7E"/>
    <w:rsid w:val="00D141A0"/>
    <w:rsid w:val="00D15933"/>
    <w:rsid w:val="00D15B00"/>
    <w:rsid w:val="00D15DCA"/>
    <w:rsid w:val="00D168F6"/>
    <w:rsid w:val="00D20E17"/>
    <w:rsid w:val="00D225F8"/>
    <w:rsid w:val="00D2387F"/>
    <w:rsid w:val="00D23C89"/>
    <w:rsid w:val="00D23E9C"/>
    <w:rsid w:val="00D24D4B"/>
    <w:rsid w:val="00D24FE4"/>
    <w:rsid w:val="00D2665E"/>
    <w:rsid w:val="00D26C60"/>
    <w:rsid w:val="00D26D39"/>
    <w:rsid w:val="00D26F70"/>
    <w:rsid w:val="00D27361"/>
    <w:rsid w:val="00D27856"/>
    <w:rsid w:val="00D27AC9"/>
    <w:rsid w:val="00D30C5F"/>
    <w:rsid w:val="00D317AA"/>
    <w:rsid w:val="00D3383B"/>
    <w:rsid w:val="00D34C55"/>
    <w:rsid w:val="00D364B0"/>
    <w:rsid w:val="00D369AD"/>
    <w:rsid w:val="00D369CE"/>
    <w:rsid w:val="00D37416"/>
    <w:rsid w:val="00D40771"/>
    <w:rsid w:val="00D41D09"/>
    <w:rsid w:val="00D4296B"/>
    <w:rsid w:val="00D429C6"/>
    <w:rsid w:val="00D45B0D"/>
    <w:rsid w:val="00D46254"/>
    <w:rsid w:val="00D4677E"/>
    <w:rsid w:val="00D46794"/>
    <w:rsid w:val="00D47249"/>
    <w:rsid w:val="00D47748"/>
    <w:rsid w:val="00D52EA7"/>
    <w:rsid w:val="00D53796"/>
    <w:rsid w:val="00D54BD6"/>
    <w:rsid w:val="00D54CC3"/>
    <w:rsid w:val="00D56570"/>
    <w:rsid w:val="00D57F27"/>
    <w:rsid w:val="00D6041A"/>
    <w:rsid w:val="00D6144B"/>
    <w:rsid w:val="00D61B29"/>
    <w:rsid w:val="00D62640"/>
    <w:rsid w:val="00D6334E"/>
    <w:rsid w:val="00D633EB"/>
    <w:rsid w:val="00D636A7"/>
    <w:rsid w:val="00D648D7"/>
    <w:rsid w:val="00D6554D"/>
    <w:rsid w:val="00D65886"/>
    <w:rsid w:val="00D707F0"/>
    <w:rsid w:val="00D70899"/>
    <w:rsid w:val="00D711BF"/>
    <w:rsid w:val="00D71AB4"/>
    <w:rsid w:val="00D7201E"/>
    <w:rsid w:val="00D747D8"/>
    <w:rsid w:val="00D74900"/>
    <w:rsid w:val="00D750FA"/>
    <w:rsid w:val="00D75178"/>
    <w:rsid w:val="00D76540"/>
    <w:rsid w:val="00D80E9D"/>
    <w:rsid w:val="00D815F0"/>
    <w:rsid w:val="00D81818"/>
    <w:rsid w:val="00D81BC6"/>
    <w:rsid w:val="00D8244B"/>
    <w:rsid w:val="00D82FF7"/>
    <w:rsid w:val="00D83DDF"/>
    <w:rsid w:val="00D847FE"/>
    <w:rsid w:val="00D854AA"/>
    <w:rsid w:val="00D858A7"/>
    <w:rsid w:val="00D86C8B"/>
    <w:rsid w:val="00D86F0E"/>
    <w:rsid w:val="00D873D8"/>
    <w:rsid w:val="00D901F7"/>
    <w:rsid w:val="00D915EC"/>
    <w:rsid w:val="00D926D2"/>
    <w:rsid w:val="00D93449"/>
    <w:rsid w:val="00D93810"/>
    <w:rsid w:val="00D9393A"/>
    <w:rsid w:val="00D95ADF"/>
    <w:rsid w:val="00D964EA"/>
    <w:rsid w:val="00D966D0"/>
    <w:rsid w:val="00D96FA2"/>
    <w:rsid w:val="00D9720A"/>
    <w:rsid w:val="00D972EB"/>
    <w:rsid w:val="00D97461"/>
    <w:rsid w:val="00D9789E"/>
    <w:rsid w:val="00DA0838"/>
    <w:rsid w:val="00DA0C59"/>
    <w:rsid w:val="00DA1E84"/>
    <w:rsid w:val="00DA23D5"/>
    <w:rsid w:val="00DA3991"/>
    <w:rsid w:val="00DA46A9"/>
    <w:rsid w:val="00DA560A"/>
    <w:rsid w:val="00DA56E7"/>
    <w:rsid w:val="00DA5F0A"/>
    <w:rsid w:val="00DA61E4"/>
    <w:rsid w:val="00DB1F97"/>
    <w:rsid w:val="00DB2826"/>
    <w:rsid w:val="00DB2A94"/>
    <w:rsid w:val="00DB364F"/>
    <w:rsid w:val="00DB38D3"/>
    <w:rsid w:val="00DB7250"/>
    <w:rsid w:val="00DB7E6C"/>
    <w:rsid w:val="00DC20A6"/>
    <w:rsid w:val="00DC2E57"/>
    <w:rsid w:val="00DC377B"/>
    <w:rsid w:val="00DC4320"/>
    <w:rsid w:val="00DC727F"/>
    <w:rsid w:val="00DD0254"/>
    <w:rsid w:val="00DD141E"/>
    <w:rsid w:val="00DD14DD"/>
    <w:rsid w:val="00DD2D22"/>
    <w:rsid w:val="00DD3986"/>
    <w:rsid w:val="00DD3A2C"/>
    <w:rsid w:val="00DD3C53"/>
    <w:rsid w:val="00DD5A29"/>
    <w:rsid w:val="00DD5D9D"/>
    <w:rsid w:val="00DD5DE9"/>
    <w:rsid w:val="00DD70C7"/>
    <w:rsid w:val="00DD78CD"/>
    <w:rsid w:val="00DE0A40"/>
    <w:rsid w:val="00DE2A2D"/>
    <w:rsid w:val="00DE2A79"/>
    <w:rsid w:val="00DE3486"/>
    <w:rsid w:val="00DE35CB"/>
    <w:rsid w:val="00DE3B4E"/>
    <w:rsid w:val="00DE3EE7"/>
    <w:rsid w:val="00DE49E7"/>
    <w:rsid w:val="00DE55B6"/>
    <w:rsid w:val="00DE5A2B"/>
    <w:rsid w:val="00DE5A38"/>
    <w:rsid w:val="00DE7CC5"/>
    <w:rsid w:val="00DF0537"/>
    <w:rsid w:val="00DF0E9C"/>
    <w:rsid w:val="00DF21E9"/>
    <w:rsid w:val="00DF2A0B"/>
    <w:rsid w:val="00DF2FCE"/>
    <w:rsid w:val="00DF3486"/>
    <w:rsid w:val="00DF3C8E"/>
    <w:rsid w:val="00DF434E"/>
    <w:rsid w:val="00DF6660"/>
    <w:rsid w:val="00DF6BAF"/>
    <w:rsid w:val="00DF6E60"/>
    <w:rsid w:val="00DF6EF5"/>
    <w:rsid w:val="00E006F2"/>
    <w:rsid w:val="00E00F14"/>
    <w:rsid w:val="00E012AF"/>
    <w:rsid w:val="00E013DD"/>
    <w:rsid w:val="00E02108"/>
    <w:rsid w:val="00E024F9"/>
    <w:rsid w:val="00E02BCA"/>
    <w:rsid w:val="00E030AF"/>
    <w:rsid w:val="00E036DA"/>
    <w:rsid w:val="00E03A59"/>
    <w:rsid w:val="00E04891"/>
    <w:rsid w:val="00E050BD"/>
    <w:rsid w:val="00E05A55"/>
    <w:rsid w:val="00E06386"/>
    <w:rsid w:val="00E06A02"/>
    <w:rsid w:val="00E06F1F"/>
    <w:rsid w:val="00E1128F"/>
    <w:rsid w:val="00E11D4B"/>
    <w:rsid w:val="00E133A9"/>
    <w:rsid w:val="00E13C87"/>
    <w:rsid w:val="00E14EA2"/>
    <w:rsid w:val="00E15B78"/>
    <w:rsid w:val="00E16705"/>
    <w:rsid w:val="00E16C13"/>
    <w:rsid w:val="00E16CB9"/>
    <w:rsid w:val="00E24EB4"/>
    <w:rsid w:val="00E254C9"/>
    <w:rsid w:val="00E25BB5"/>
    <w:rsid w:val="00E264E7"/>
    <w:rsid w:val="00E30067"/>
    <w:rsid w:val="00E311B1"/>
    <w:rsid w:val="00E31545"/>
    <w:rsid w:val="00E320ED"/>
    <w:rsid w:val="00E33AFB"/>
    <w:rsid w:val="00E33EB6"/>
    <w:rsid w:val="00E34071"/>
    <w:rsid w:val="00E34218"/>
    <w:rsid w:val="00E359F1"/>
    <w:rsid w:val="00E4048D"/>
    <w:rsid w:val="00E4144A"/>
    <w:rsid w:val="00E419F9"/>
    <w:rsid w:val="00E42171"/>
    <w:rsid w:val="00E425EA"/>
    <w:rsid w:val="00E42B6A"/>
    <w:rsid w:val="00E43B86"/>
    <w:rsid w:val="00E446D4"/>
    <w:rsid w:val="00E46282"/>
    <w:rsid w:val="00E478A5"/>
    <w:rsid w:val="00E51E09"/>
    <w:rsid w:val="00E5216E"/>
    <w:rsid w:val="00E5482C"/>
    <w:rsid w:val="00E54DC9"/>
    <w:rsid w:val="00E55049"/>
    <w:rsid w:val="00E558B6"/>
    <w:rsid w:val="00E56640"/>
    <w:rsid w:val="00E569CC"/>
    <w:rsid w:val="00E56B7D"/>
    <w:rsid w:val="00E56F59"/>
    <w:rsid w:val="00E57B54"/>
    <w:rsid w:val="00E61910"/>
    <w:rsid w:val="00E62E71"/>
    <w:rsid w:val="00E62F81"/>
    <w:rsid w:val="00E6400A"/>
    <w:rsid w:val="00E66C59"/>
    <w:rsid w:val="00E71171"/>
    <w:rsid w:val="00E71187"/>
    <w:rsid w:val="00E74792"/>
    <w:rsid w:val="00E7606F"/>
    <w:rsid w:val="00E76C65"/>
    <w:rsid w:val="00E776EB"/>
    <w:rsid w:val="00E80660"/>
    <w:rsid w:val="00E80690"/>
    <w:rsid w:val="00E80EAC"/>
    <w:rsid w:val="00E80ED1"/>
    <w:rsid w:val="00E81166"/>
    <w:rsid w:val="00E8223E"/>
    <w:rsid w:val="00E82344"/>
    <w:rsid w:val="00E82F14"/>
    <w:rsid w:val="00E83066"/>
    <w:rsid w:val="00E84411"/>
    <w:rsid w:val="00E84C82"/>
    <w:rsid w:val="00E84D64"/>
    <w:rsid w:val="00E84EC6"/>
    <w:rsid w:val="00E85872"/>
    <w:rsid w:val="00E85D1A"/>
    <w:rsid w:val="00E85E77"/>
    <w:rsid w:val="00E86852"/>
    <w:rsid w:val="00E86F35"/>
    <w:rsid w:val="00E87408"/>
    <w:rsid w:val="00E877F9"/>
    <w:rsid w:val="00E90867"/>
    <w:rsid w:val="00E911AF"/>
    <w:rsid w:val="00E912D7"/>
    <w:rsid w:val="00E914C4"/>
    <w:rsid w:val="00E934F5"/>
    <w:rsid w:val="00E936F5"/>
    <w:rsid w:val="00E937DD"/>
    <w:rsid w:val="00E950E3"/>
    <w:rsid w:val="00E95EBB"/>
    <w:rsid w:val="00E965A9"/>
    <w:rsid w:val="00E96961"/>
    <w:rsid w:val="00E96D59"/>
    <w:rsid w:val="00E96ECF"/>
    <w:rsid w:val="00E975F1"/>
    <w:rsid w:val="00E979A2"/>
    <w:rsid w:val="00EA0AC1"/>
    <w:rsid w:val="00EA17ED"/>
    <w:rsid w:val="00EA25BC"/>
    <w:rsid w:val="00EA373D"/>
    <w:rsid w:val="00EA420D"/>
    <w:rsid w:val="00EA72EC"/>
    <w:rsid w:val="00EA7B55"/>
    <w:rsid w:val="00EB082D"/>
    <w:rsid w:val="00EB0B8F"/>
    <w:rsid w:val="00EB11CB"/>
    <w:rsid w:val="00EB275A"/>
    <w:rsid w:val="00EB440F"/>
    <w:rsid w:val="00EB533E"/>
    <w:rsid w:val="00EB786A"/>
    <w:rsid w:val="00EB7A6C"/>
    <w:rsid w:val="00EC0575"/>
    <w:rsid w:val="00EC0C7E"/>
    <w:rsid w:val="00EC11A3"/>
    <w:rsid w:val="00EC1438"/>
    <w:rsid w:val="00EC1578"/>
    <w:rsid w:val="00EC1C72"/>
    <w:rsid w:val="00EC1FAC"/>
    <w:rsid w:val="00EC37EB"/>
    <w:rsid w:val="00EC3CC9"/>
    <w:rsid w:val="00EC3DA1"/>
    <w:rsid w:val="00EC47A7"/>
    <w:rsid w:val="00EC4DFC"/>
    <w:rsid w:val="00EC680A"/>
    <w:rsid w:val="00EC6DAB"/>
    <w:rsid w:val="00EC6FF2"/>
    <w:rsid w:val="00EC7466"/>
    <w:rsid w:val="00ED0A88"/>
    <w:rsid w:val="00ED15BD"/>
    <w:rsid w:val="00ED1771"/>
    <w:rsid w:val="00ED18A4"/>
    <w:rsid w:val="00ED2201"/>
    <w:rsid w:val="00ED411C"/>
    <w:rsid w:val="00ED4496"/>
    <w:rsid w:val="00ED5DD2"/>
    <w:rsid w:val="00ED67CF"/>
    <w:rsid w:val="00ED746E"/>
    <w:rsid w:val="00EE08C5"/>
    <w:rsid w:val="00EE1D73"/>
    <w:rsid w:val="00EE2BED"/>
    <w:rsid w:val="00EE3117"/>
    <w:rsid w:val="00EE349A"/>
    <w:rsid w:val="00EE374B"/>
    <w:rsid w:val="00EE78BD"/>
    <w:rsid w:val="00EF1125"/>
    <w:rsid w:val="00EF1DB3"/>
    <w:rsid w:val="00EF1F2D"/>
    <w:rsid w:val="00EF3D6B"/>
    <w:rsid w:val="00EF4B52"/>
    <w:rsid w:val="00EF746B"/>
    <w:rsid w:val="00F00008"/>
    <w:rsid w:val="00F0063D"/>
    <w:rsid w:val="00F00949"/>
    <w:rsid w:val="00F01E3C"/>
    <w:rsid w:val="00F02AA0"/>
    <w:rsid w:val="00F03669"/>
    <w:rsid w:val="00F03E33"/>
    <w:rsid w:val="00F047EB"/>
    <w:rsid w:val="00F04F77"/>
    <w:rsid w:val="00F0516A"/>
    <w:rsid w:val="00F07155"/>
    <w:rsid w:val="00F1003F"/>
    <w:rsid w:val="00F10911"/>
    <w:rsid w:val="00F10DE1"/>
    <w:rsid w:val="00F11485"/>
    <w:rsid w:val="00F11624"/>
    <w:rsid w:val="00F11AD4"/>
    <w:rsid w:val="00F11BB5"/>
    <w:rsid w:val="00F11C31"/>
    <w:rsid w:val="00F139C4"/>
    <w:rsid w:val="00F1417B"/>
    <w:rsid w:val="00F1439B"/>
    <w:rsid w:val="00F15E7B"/>
    <w:rsid w:val="00F161BB"/>
    <w:rsid w:val="00F165C7"/>
    <w:rsid w:val="00F16BC6"/>
    <w:rsid w:val="00F20593"/>
    <w:rsid w:val="00F21126"/>
    <w:rsid w:val="00F21690"/>
    <w:rsid w:val="00F23DEF"/>
    <w:rsid w:val="00F266AD"/>
    <w:rsid w:val="00F276E1"/>
    <w:rsid w:val="00F27CD7"/>
    <w:rsid w:val="00F316C6"/>
    <w:rsid w:val="00F32840"/>
    <w:rsid w:val="00F3328D"/>
    <w:rsid w:val="00F346C1"/>
    <w:rsid w:val="00F34B99"/>
    <w:rsid w:val="00F35975"/>
    <w:rsid w:val="00F36D9A"/>
    <w:rsid w:val="00F371D7"/>
    <w:rsid w:val="00F40C63"/>
    <w:rsid w:val="00F41309"/>
    <w:rsid w:val="00F41942"/>
    <w:rsid w:val="00F41D66"/>
    <w:rsid w:val="00F426F0"/>
    <w:rsid w:val="00F42991"/>
    <w:rsid w:val="00F43B25"/>
    <w:rsid w:val="00F44D67"/>
    <w:rsid w:val="00F44E4E"/>
    <w:rsid w:val="00F47845"/>
    <w:rsid w:val="00F50A2D"/>
    <w:rsid w:val="00F5283F"/>
    <w:rsid w:val="00F52DAB"/>
    <w:rsid w:val="00F541AF"/>
    <w:rsid w:val="00F543F0"/>
    <w:rsid w:val="00F55EBE"/>
    <w:rsid w:val="00F57610"/>
    <w:rsid w:val="00F57616"/>
    <w:rsid w:val="00F60995"/>
    <w:rsid w:val="00F61738"/>
    <w:rsid w:val="00F617F4"/>
    <w:rsid w:val="00F61805"/>
    <w:rsid w:val="00F62322"/>
    <w:rsid w:val="00F6582C"/>
    <w:rsid w:val="00F66AD6"/>
    <w:rsid w:val="00F70249"/>
    <w:rsid w:val="00F704EB"/>
    <w:rsid w:val="00F70986"/>
    <w:rsid w:val="00F70DF2"/>
    <w:rsid w:val="00F7515B"/>
    <w:rsid w:val="00F752EF"/>
    <w:rsid w:val="00F764A8"/>
    <w:rsid w:val="00F7705A"/>
    <w:rsid w:val="00F81D29"/>
    <w:rsid w:val="00F84679"/>
    <w:rsid w:val="00F84EFE"/>
    <w:rsid w:val="00F84FB3"/>
    <w:rsid w:val="00F855B7"/>
    <w:rsid w:val="00F86593"/>
    <w:rsid w:val="00F866F6"/>
    <w:rsid w:val="00F87142"/>
    <w:rsid w:val="00F87C50"/>
    <w:rsid w:val="00F911FC"/>
    <w:rsid w:val="00F913EA"/>
    <w:rsid w:val="00F91C4D"/>
    <w:rsid w:val="00F92DB7"/>
    <w:rsid w:val="00F92FD9"/>
    <w:rsid w:val="00F934E7"/>
    <w:rsid w:val="00F93BCB"/>
    <w:rsid w:val="00F94308"/>
    <w:rsid w:val="00F979E8"/>
    <w:rsid w:val="00F97F51"/>
    <w:rsid w:val="00F97F9E"/>
    <w:rsid w:val="00FA323C"/>
    <w:rsid w:val="00FA37B0"/>
    <w:rsid w:val="00FA3E8B"/>
    <w:rsid w:val="00FA656E"/>
    <w:rsid w:val="00FA6684"/>
    <w:rsid w:val="00FA731E"/>
    <w:rsid w:val="00FA7801"/>
    <w:rsid w:val="00FB1B99"/>
    <w:rsid w:val="00FB210F"/>
    <w:rsid w:val="00FB28D7"/>
    <w:rsid w:val="00FB2B38"/>
    <w:rsid w:val="00FB3CB0"/>
    <w:rsid w:val="00FB49BB"/>
    <w:rsid w:val="00FB50BB"/>
    <w:rsid w:val="00FB5F29"/>
    <w:rsid w:val="00FB6D39"/>
    <w:rsid w:val="00FB79A5"/>
    <w:rsid w:val="00FC325D"/>
    <w:rsid w:val="00FC3C83"/>
    <w:rsid w:val="00FC6358"/>
    <w:rsid w:val="00FC707F"/>
    <w:rsid w:val="00FD2275"/>
    <w:rsid w:val="00FD2663"/>
    <w:rsid w:val="00FD320D"/>
    <w:rsid w:val="00FD3C17"/>
    <w:rsid w:val="00FD42F6"/>
    <w:rsid w:val="00FD650A"/>
    <w:rsid w:val="00FD6A10"/>
    <w:rsid w:val="00FD6DC5"/>
    <w:rsid w:val="00FE053C"/>
    <w:rsid w:val="00FE182A"/>
    <w:rsid w:val="00FE2306"/>
    <w:rsid w:val="00FE23DE"/>
    <w:rsid w:val="00FE2CE0"/>
    <w:rsid w:val="00FE56D6"/>
    <w:rsid w:val="00FE5CB1"/>
    <w:rsid w:val="00FE6071"/>
    <w:rsid w:val="00FE62F8"/>
    <w:rsid w:val="00FE7868"/>
    <w:rsid w:val="00FF2251"/>
    <w:rsid w:val="00FF24A7"/>
    <w:rsid w:val="00FF3871"/>
    <w:rsid w:val="00FF536B"/>
    <w:rsid w:val="00FF663C"/>
    <w:rsid w:val="00FF6A83"/>
    <w:rsid w:val="00FF786B"/>
    <w:rsid w:val="012D0134"/>
    <w:rsid w:val="017E6AD3"/>
    <w:rsid w:val="01A622F0"/>
    <w:rsid w:val="01CC7417"/>
    <w:rsid w:val="02D66925"/>
    <w:rsid w:val="0318438B"/>
    <w:rsid w:val="037C58A6"/>
    <w:rsid w:val="03B61558"/>
    <w:rsid w:val="045D527D"/>
    <w:rsid w:val="048D559B"/>
    <w:rsid w:val="054D15A5"/>
    <w:rsid w:val="055B42CE"/>
    <w:rsid w:val="05740424"/>
    <w:rsid w:val="05B47CD3"/>
    <w:rsid w:val="05BB5AAB"/>
    <w:rsid w:val="05DF7570"/>
    <w:rsid w:val="065A0A5C"/>
    <w:rsid w:val="06A63C71"/>
    <w:rsid w:val="070A09C8"/>
    <w:rsid w:val="0740241A"/>
    <w:rsid w:val="07410794"/>
    <w:rsid w:val="0764332B"/>
    <w:rsid w:val="07C907C7"/>
    <w:rsid w:val="0821502D"/>
    <w:rsid w:val="085D3388"/>
    <w:rsid w:val="087263EA"/>
    <w:rsid w:val="08D30E58"/>
    <w:rsid w:val="091F7893"/>
    <w:rsid w:val="092403B3"/>
    <w:rsid w:val="09607369"/>
    <w:rsid w:val="098A5BA8"/>
    <w:rsid w:val="09E36934"/>
    <w:rsid w:val="0A746F39"/>
    <w:rsid w:val="0A934F1E"/>
    <w:rsid w:val="0B234F31"/>
    <w:rsid w:val="0BD95EB2"/>
    <w:rsid w:val="0BFD291A"/>
    <w:rsid w:val="0BFF7873"/>
    <w:rsid w:val="0C0174B3"/>
    <w:rsid w:val="0C4C1E34"/>
    <w:rsid w:val="0C6A6A0C"/>
    <w:rsid w:val="0CF95C38"/>
    <w:rsid w:val="0CFD3428"/>
    <w:rsid w:val="0D91425A"/>
    <w:rsid w:val="0DAC56D5"/>
    <w:rsid w:val="0DB84299"/>
    <w:rsid w:val="0DE45BDF"/>
    <w:rsid w:val="0DF5500B"/>
    <w:rsid w:val="0DFC1E1E"/>
    <w:rsid w:val="0E63041C"/>
    <w:rsid w:val="0EA444C8"/>
    <w:rsid w:val="0EAE6090"/>
    <w:rsid w:val="0EE14277"/>
    <w:rsid w:val="0F0A525B"/>
    <w:rsid w:val="0F0D35AD"/>
    <w:rsid w:val="0F1D79A0"/>
    <w:rsid w:val="0F44295E"/>
    <w:rsid w:val="0F594146"/>
    <w:rsid w:val="0F6070F6"/>
    <w:rsid w:val="0F7F2C14"/>
    <w:rsid w:val="0FAB0BC1"/>
    <w:rsid w:val="1002006C"/>
    <w:rsid w:val="10242012"/>
    <w:rsid w:val="102B1EE9"/>
    <w:rsid w:val="10943A1C"/>
    <w:rsid w:val="11162E46"/>
    <w:rsid w:val="11451CB7"/>
    <w:rsid w:val="11710BC6"/>
    <w:rsid w:val="12402094"/>
    <w:rsid w:val="12522222"/>
    <w:rsid w:val="125B3EF9"/>
    <w:rsid w:val="12DD1A17"/>
    <w:rsid w:val="13735B6B"/>
    <w:rsid w:val="139802AE"/>
    <w:rsid w:val="13D10BE4"/>
    <w:rsid w:val="13F6388D"/>
    <w:rsid w:val="13F64655"/>
    <w:rsid w:val="145C5D17"/>
    <w:rsid w:val="149F6C71"/>
    <w:rsid w:val="14B86D0D"/>
    <w:rsid w:val="161B3D6B"/>
    <w:rsid w:val="16224EC6"/>
    <w:rsid w:val="168B6260"/>
    <w:rsid w:val="16BD5408"/>
    <w:rsid w:val="172945DD"/>
    <w:rsid w:val="173F3425"/>
    <w:rsid w:val="174255C4"/>
    <w:rsid w:val="1752072F"/>
    <w:rsid w:val="18D568B9"/>
    <w:rsid w:val="18E60E52"/>
    <w:rsid w:val="19075D21"/>
    <w:rsid w:val="197A3EA4"/>
    <w:rsid w:val="199137FD"/>
    <w:rsid w:val="19972F90"/>
    <w:rsid w:val="19B23C30"/>
    <w:rsid w:val="19C3310D"/>
    <w:rsid w:val="19D9315D"/>
    <w:rsid w:val="1A1C543C"/>
    <w:rsid w:val="1A227691"/>
    <w:rsid w:val="1A8955F0"/>
    <w:rsid w:val="1A9F1E8B"/>
    <w:rsid w:val="1B4D1F49"/>
    <w:rsid w:val="1B6110F5"/>
    <w:rsid w:val="1B7650B8"/>
    <w:rsid w:val="1C096CF1"/>
    <w:rsid w:val="1C3168B4"/>
    <w:rsid w:val="1C3C61F7"/>
    <w:rsid w:val="1C3D0576"/>
    <w:rsid w:val="1C8267B1"/>
    <w:rsid w:val="1CEC1D9D"/>
    <w:rsid w:val="1CFD38FD"/>
    <w:rsid w:val="1D220153"/>
    <w:rsid w:val="1E1677B2"/>
    <w:rsid w:val="1E1756CF"/>
    <w:rsid w:val="1E3314F9"/>
    <w:rsid w:val="1E841064"/>
    <w:rsid w:val="1E92374C"/>
    <w:rsid w:val="1EB57DE6"/>
    <w:rsid w:val="1EC31D43"/>
    <w:rsid w:val="1EFD4CC4"/>
    <w:rsid w:val="1F112778"/>
    <w:rsid w:val="1F766D05"/>
    <w:rsid w:val="1F9F1AD0"/>
    <w:rsid w:val="1FEB6DEA"/>
    <w:rsid w:val="1FF11FCF"/>
    <w:rsid w:val="20317928"/>
    <w:rsid w:val="20FD558B"/>
    <w:rsid w:val="21483F2E"/>
    <w:rsid w:val="217C0E96"/>
    <w:rsid w:val="21834FAB"/>
    <w:rsid w:val="219122AD"/>
    <w:rsid w:val="21F946FF"/>
    <w:rsid w:val="22297D47"/>
    <w:rsid w:val="226C5523"/>
    <w:rsid w:val="226D0039"/>
    <w:rsid w:val="22D47E92"/>
    <w:rsid w:val="23130C77"/>
    <w:rsid w:val="235045EE"/>
    <w:rsid w:val="239F740F"/>
    <w:rsid w:val="243570E1"/>
    <w:rsid w:val="24530BF7"/>
    <w:rsid w:val="24963B1D"/>
    <w:rsid w:val="250F3A5F"/>
    <w:rsid w:val="252234BE"/>
    <w:rsid w:val="257674A1"/>
    <w:rsid w:val="25D479FB"/>
    <w:rsid w:val="2681719E"/>
    <w:rsid w:val="268B3004"/>
    <w:rsid w:val="26A21DAD"/>
    <w:rsid w:val="26B97ADD"/>
    <w:rsid w:val="274F1834"/>
    <w:rsid w:val="275F63D6"/>
    <w:rsid w:val="281479BF"/>
    <w:rsid w:val="281B4200"/>
    <w:rsid w:val="283F74C5"/>
    <w:rsid w:val="28AD2424"/>
    <w:rsid w:val="28BE1CA9"/>
    <w:rsid w:val="28EA6677"/>
    <w:rsid w:val="290C5FAC"/>
    <w:rsid w:val="291A6CE4"/>
    <w:rsid w:val="29354E98"/>
    <w:rsid w:val="29CE58C8"/>
    <w:rsid w:val="2A95658D"/>
    <w:rsid w:val="2AD3710C"/>
    <w:rsid w:val="2B5A7603"/>
    <w:rsid w:val="2B8537CF"/>
    <w:rsid w:val="2B8E1053"/>
    <w:rsid w:val="2BC46747"/>
    <w:rsid w:val="2BC55D30"/>
    <w:rsid w:val="2C360A8E"/>
    <w:rsid w:val="2C8807B6"/>
    <w:rsid w:val="2CCB2F51"/>
    <w:rsid w:val="2CCC7CE8"/>
    <w:rsid w:val="2CE52BBA"/>
    <w:rsid w:val="2D1F31FF"/>
    <w:rsid w:val="2D60293C"/>
    <w:rsid w:val="2D9568CC"/>
    <w:rsid w:val="2DD647D1"/>
    <w:rsid w:val="2E040380"/>
    <w:rsid w:val="2EC07C4B"/>
    <w:rsid w:val="2F1F6F4A"/>
    <w:rsid w:val="2F3840C5"/>
    <w:rsid w:val="2FD302BA"/>
    <w:rsid w:val="301C0B0F"/>
    <w:rsid w:val="30473DA7"/>
    <w:rsid w:val="30C9036F"/>
    <w:rsid w:val="30CF1BB1"/>
    <w:rsid w:val="30FA7323"/>
    <w:rsid w:val="317333DD"/>
    <w:rsid w:val="31755B28"/>
    <w:rsid w:val="31C854D0"/>
    <w:rsid w:val="31F10388"/>
    <w:rsid w:val="3206781C"/>
    <w:rsid w:val="32881F6E"/>
    <w:rsid w:val="336C0C1C"/>
    <w:rsid w:val="33A92DFA"/>
    <w:rsid w:val="345466A3"/>
    <w:rsid w:val="34BD2714"/>
    <w:rsid w:val="358F6C73"/>
    <w:rsid w:val="366356D1"/>
    <w:rsid w:val="36E16EB7"/>
    <w:rsid w:val="37694586"/>
    <w:rsid w:val="378D5B47"/>
    <w:rsid w:val="37AD2F8F"/>
    <w:rsid w:val="37BA0168"/>
    <w:rsid w:val="37F47CFA"/>
    <w:rsid w:val="38AE446D"/>
    <w:rsid w:val="399C2829"/>
    <w:rsid w:val="39A3019F"/>
    <w:rsid w:val="39BD3C68"/>
    <w:rsid w:val="39C9057E"/>
    <w:rsid w:val="3A152BE4"/>
    <w:rsid w:val="3A1C012D"/>
    <w:rsid w:val="3A2722A0"/>
    <w:rsid w:val="3A641890"/>
    <w:rsid w:val="3ADC005E"/>
    <w:rsid w:val="3AEF38C6"/>
    <w:rsid w:val="3B5739AD"/>
    <w:rsid w:val="3B5904A4"/>
    <w:rsid w:val="3B6B3D51"/>
    <w:rsid w:val="3BAD5126"/>
    <w:rsid w:val="3BFA2A01"/>
    <w:rsid w:val="3C34099A"/>
    <w:rsid w:val="3C3E4D32"/>
    <w:rsid w:val="3C5D6414"/>
    <w:rsid w:val="3CEC22A2"/>
    <w:rsid w:val="3D443ECA"/>
    <w:rsid w:val="3DC87637"/>
    <w:rsid w:val="3E8D56B2"/>
    <w:rsid w:val="3F066C57"/>
    <w:rsid w:val="3F322CF9"/>
    <w:rsid w:val="3F422687"/>
    <w:rsid w:val="3FD525E7"/>
    <w:rsid w:val="3FF011FE"/>
    <w:rsid w:val="402E0521"/>
    <w:rsid w:val="40764CC7"/>
    <w:rsid w:val="408443F4"/>
    <w:rsid w:val="41051799"/>
    <w:rsid w:val="412626D2"/>
    <w:rsid w:val="417D7613"/>
    <w:rsid w:val="41842195"/>
    <w:rsid w:val="41D337DF"/>
    <w:rsid w:val="420810BB"/>
    <w:rsid w:val="42636C41"/>
    <w:rsid w:val="42DB1453"/>
    <w:rsid w:val="43961B95"/>
    <w:rsid w:val="44A85DD4"/>
    <w:rsid w:val="44FA7B3E"/>
    <w:rsid w:val="450B06C7"/>
    <w:rsid w:val="45246A6A"/>
    <w:rsid w:val="45481959"/>
    <w:rsid w:val="45612036"/>
    <w:rsid w:val="456A74E8"/>
    <w:rsid w:val="45DD1372"/>
    <w:rsid w:val="45FF7742"/>
    <w:rsid w:val="463B0A34"/>
    <w:rsid w:val="466807B9"/>
    <w:rsid w:val="46756369"/>
    <w:rsid w:val="46854836"/>
    <w:rsid w:val="469178EA"/>
    <w:rsid w:val="475A30AA"/>
    <w:rsid w:val="477F02C1"/>
    <w:rsid w:val="47A64DF5"/>
    <w:rsid w:val="47CF1484"/>
    <w:rsid w:val="47FD5EE2"/>
    <w:rsid w:val="48295E5D"/>
    <w:rsid w:val="4849230E"/>
    <w:rsid w:val="4886579E"/>
    <w:rsid w:val="49265F80"/>
    <w:rsid w:val="494C7321"/>
    <w:rsid w:val="498C3E84"/>
    <w:rsid w:val="49B37255"/>
    <w:rsid w:val="4A52300A"/>
    <w:rsid w:val="4AD80F41"/>
    <w:rsid w:val="4B0412F7"/>
    <w:rsid w:val="4B87716D"/>
    <w:rsid w:val="4B8D6675"/>
    <w:rsid w:val="4BAE7A97"/>
    <w:rsid w:val="4BAF64FC"/>
    <w:rsid w:val="4BB71754"/>
    <w:rsid w:val="4BFF465F"/>
    <w:rsid w:val="4C710666"/>
    <w:rsid w:val="4CB357D7"/>
    <w:rsid w:val="4D196294"/>
    <w:rsid w:val="4D252BF9"/>
    <w:rsid w:val="4D56157D"/>
    <w:rsid w:val="4D5706F3"/>
    <w:rsid w:val="4D697B06"/>
    <w:rsid w:val="4D837EAF"/>
    <w:rsid w:val="4D88382E"/>
    <w:rsid w:val="4E1C0F91"/>
    <w:rsid w:val="4E4A66BD"/>
    <w:rsid w:val="4E661744"/>
    <w:rsid w:val="4E7A6815"/>
    <w:rsid w:val="4E8E292E"/>
    <w:rsid w:val="4EC67E86"/>
    <w:rsid w:val="4EC9195A"/>
    <w:rsid w:val="4EE541FC"/>
    <w:rsid w:val="4EF526A7"/>
    <w:rsid w:val="4F152182"/>
    <w:rsid w:val="4F3D713D"/>
    <w:rsid w:val="4F5F47D7"/>
    <w:rsid w:val="4FB7020D"/>
    <w:rsid w:val="4FE7046C"/>
    <w:rsid w:val="500D5CD4"/>
    <w:rsid w:val="50251B17"/>
    <w:rsid w:val="507838FD"/>
    <w:rsid w:val="50B75760"/>
    <w:rsid w:val="50E71CCB"/>
    <w:rsid w:val="50E775C9"/>
    <w:rsid w:val="50F97323"/>
    <w:rsid w:val="51D265A6"/>
    <w:rsid w:val="523B3038"/>
    <w:rsid w:val="526D4827"/>
    <w:rsid w:val="529941AA"/>
    <w:rsid w:val="52C81962"/>
    <w:rsid w:val="53005D47"/>
    <w:rsid w:val="530840CE"/>
    <w:rsid w:val="53350718"/>
    <w:rsid w:val="538A4400"/>
    <w:rsid w:val="53D45BE6"/>
    <w:rsid w:val="53EA30FD"/>
    <w:rsid w:val="53FA7628"/>
    <w:rsid w:val="541A5F83"/>
    <w:rsid w:val="541F11E9"/>
    <w:rsid w:val="546115FB"/>
    <w:rsid w:val="54814515"/>
    <w:rsid w:val="54B35DEB"/>
    <w:rsid w:val="54B806F3"/>
    <w:rsid w:val="54E41259"/>
    <w:rsid w:val="54FC0D4D"/>
    <w:rsid w:val="552A5D65"/>
    <w:rsid w:val="55320C19"/>
    <w:rsid w:val="556A2486"/>
    <w:rsid w:val="55BE5FE0"/>
    <w:rsid w:val="564E04A9"/>
    <w:rsid w:val="568C2CA2"/>
    <w:rsid w:val="56C138AA"/>
    <w:rsid w:val="56D4165B"/>
    <w:rsid w:val="574C147C"/>
    <w:rsid w:val="582861BB"/>
    <w:rsid w:val="58353CEE"/>
    <w:rsid w:val="5841364E"/>
    <w:rsid w:val="58A93D9E"/>
    <w:rsid w:val="58BB4A77"/>
    <w:rsid w:val="59C26271"/>
    <w:rsid w:val="59F119FC"/>
    <w:rsid w:val="5A0A7086"/>
    <w:rsid w:val="5A2B17B2"/>
    <w:rsid w:val="5A353BE1"/>
    <w:rsid w:val="5A590387"/>
    <w:rsid w:val="5AC2347D"/>
    <w:rsid w:val="5B106CDC"/>
    <w:rsid w:val="5B3610B0"/>
    <w:rsid w:val="5B4E4B04"/>
    <w:rsid w:val="5B7A50C9"/>
    <w:rsid w:val="5BA92DF1"/>
    <w:rsid w:val="5C0D74B1"/>
    <w:rsid w:val="5C1A6B4D"/>
    <w:rsid w:val="5C567FC6"/>
    <w:rsid w:val="5C5F1711"/>
    <w:rsid w:val="5C6B6D35"/>
    <w:rsid w:val="5CFF48D3"/>
    <w:rsid w:val="5D290242"/>
    <w:rsid w:val="5D5E5DDE"/>
    <w:rsid w:val="5D7B426B"/>
    <w:rsid w:val="5D934B09"/>
    <w:rsid w:val="5DA461EA"/>
    <w:rsid w:val="5E5F37F0"/>
    <w:rsid w:val="5ECD6327"/>
    <w:rsid w:val="5ED16F9E"/>
    <w:rsid w:val="5F4C026A"/>
    <w:rsid w:val="5F7736D5"/>
    <w:rsid w:val="5F9E1086"/>
    <w:rsid w:val="5FA16987"/>
    <w:rsid w:val="5FD13BCE"/>
    <w:rsid w:val="605B5694"/>
    <w:rsid w:val="60677748"/>
    <w:rsid w:val="60757756"/>
    <w:rsid w:val="60FA6129"/>
    <w:rsid w:val="6139383B"/>
    <w:rsid w:val="62293491"/>
    <w:rsid w:val="6250754C"/>
    <w:rsid w:val="628D6444"/>
    <w:rsid w:val="62A73E54"/>
    <w:rsid w:val="62AC65A1"/>
    <w:rsid w:val="62C34B5E"/>
    <w:rsid w:val="63463F64"/>
    <w:rsid w:val="63757446"/>
    <w:rsid w:val="63A770CE"/>
    <w:rsid w:val="63CE2874"/>
    <w:rsid w:val="63F91E15"/>
    <w:rsid w:val="642D7FAE"/>
    <w:rsid w:val="64C00997"/>
    <w:rsid w:val="64CD5585"/>
    <w:rsid w:val="64D40267"/>
    <w:rsid w:val="65002557"/>
    <w:rsid w:val="650C39BB"/>
    <w:rsid w:val="65851FC8"/>
    <w:rsid w:val="65F31340"/>
    <w:rsid w:val="66070F45"/>
    <w:rsid w:val="6655487D"/>
    <w:rsid w:val="66C53140"/>
    <w:rsid w:val="66C91A71"/>
    <w:rsid w:val="67342CA5"/>
    <w:rsid w:val="673A193E"/>
    <w:rsid w:val="67440270"/>
    <w:rsid w:val="67A94D7B"/>
    <w:rsid w:val="67CE2507"/>
    <w:rsid w:val="67E45E71"/>
    <w:rsid w:val="67EF2AD7"/>
    <w:rsid w:val="687D5E98"/>
    <w:rsid w:val="68D84895"/>
    <w:rsid w:val="68E304BB"/>
    <w:rsid w:val="6956748A"/>
    <w:rsid w:val="69AF4ACB"/>
    <w:rsid w:val="6A29254F"/>
    <w:rsid w:val="6A8B0FA1"/>
    <w:rsid w:val="6AB933FE"/>
    <w:rsid w:val="6AEA0DC8"/>
    <w:rsid w:val="6B1E5446"/>
    <w:rsid w:val="6B6B670A"/>
    <w:rsid w:val="6BB3043E"/>
    <w:rsid w:val="6BDD3FFC"/>
    <w:rsid w:val="6BEF508F"/>
    <w:rsid w:val="6C723C70"/>
    <w:rsid w:val="6CBC4CC4"/>
    <w:rsid w:val="6CD6362E"/>
    <w:rsid w:val="6D756B31"/>
    <w:rsid w:val="6D9408F8"/>
    <w:rsid w:val="6E184077"/>
    <w:rsid w:val="6E45639A"/>
    <w:rsid w:val="6E5C185E"/>
    <w:rsid w:val="6E6153A2"/>
    <w:rsid w:val="6E731682"/>
    <w:rsid w:val="6ED178C2"/>
    <w:rsid w:val="6F4F3E60"/>
    <w:rsid w:val="6F557963"/>
    <w:rsid w:val="6F596620"/>
    <w:rsid w:val="6FD900E2"/>
    <w:rsid w:val="70020B75"/>
    <w:rsid w:val="704471B2"/>
    <w:rsid w:val="705670D1"/>
    <w:rsid w:val="70833C77"/>
    <w:rsid w:val="7084648B"/>
    <w:rsid w:val="708A0CA1"/>
    <w:rsid w:val="7095786A"/>
    <w:rsid w:val="70A5288D"/>
    <w:rsid w:val="70AF6651"/>
    <w:rsid w:val="7150405F"/>
    <w:rsid w:val="715E65F3"/>
    <w:rsid w:val="71791843"/>
    <w:rsid w:val="71EF5F59"/>
    <w:rsid w:val="72244433"/>
    <w:rsid w:val="72967903"/>
    <w:rsid w:val="72A107AD"/>
    <w:rsid w:val="72AA01BD"/>
    <w:rsid w:val="72EA5884"/>
    <w:rsid w:val="73145451"/>
    <w:rsid w:val="7335737B"/>
    <w:rsid w:val="73C9015C"/>
    <w:rsid w:val="73D36C21"/>
    <w:rsid w:val="73F81483"/>
    <w:rsid w:val="74772468"/>
    <w:rsid w:val="74FA0F5F"/>
    <w:rsid w:val="75451449"/>
    <w:rsid w:val="75DF6E34"/>
    <w:rsid w:val="75EC6538"/>
    <w:rsid w:val="761F463C"/>
    <w:rsid w:val="763D2669"/>
    <w:rsid w:val="76851214"/>
    <w:rsid w:val="76B077E9"/>
    <w:rsid w:val="77E84B53"/>
    <w:rsid w:val="78A12B57"/>
    <w:rsid w:val="78BA6AED"/>
    <w:rsid w:val="78D07102"/>
    <w:rsid w:val="78E70C6D"/>
    <w:rsid w:val="7921146C"/>
    <w:rsid w:val="799353A5"/>
    <w:rsid w:val="799D29DE"/>
    <w:rsid w:val="79D136DB"/>
    <w:rsid w:val="7A4A46DF"/>
    <w:rsid w:val="7A667F5E"/>
    <w:rsid w:val="7AB07CCF"/>
    <w:rsid w:val="7AD24297"/>
    <w:rsid w:val="7AF056B8"/>
    <w:rsid w:val="7AF624DF"/>
    <w:rsid w:val="7BB32E5A"/>
    <w:rsid w:val="7C1618F1"/>
    <w:rsid w:val="7C3F2676"/>
    <w:rsid w:val="7C9D7165"/>
    <w:rsid w:val="7CBD7237"/>
    <w:rsid w:val="7CEC7B47"/>
    <w:rsid w:val="7CFE5D91"/>
    <w:rsid w:val="7D10098B"/>
    <w:rsid w:val="7D215AF3"/>
    <w:rsid w:val="7D3876EF"/>
    <w:rsid w:val="7D5D7BF1"/>
    <w:rsid w:val="7E1D7AB2"/>
    <w:rsid w:val="7EF84BBB"/>
    <w:rsid w:val="7F0728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ocked="1"/>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0" w:name="table of figures" w:locked="1"/>
    <w:lsdException w:uiPriority="0" w:name="envelope address" w:locked="1"/>
    <w:lsdException w:uiPriority="0" w:name="envelope return" w:locked="1"/>
    <w:lsdException w:qFormat="1" w:unhideWhenUsed="0" w:uiPriority="0" w:name="footnote reference"/>
    <w:lsdException w:qFormat="1" w:unhideWhenUsed="0" w:uiPriority="0" w:name="annotation reference"/>
    <w:lsdException w:uiPriority="0" w:name="line number" w:locked="1"/>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semiHidden="0" w:name="List Number" w:locked="1"/>
    <w:lsdException w:uiPriority="0" w:name="List 2" w:locked="1"/>
    <w:lsdException w:uiPriority="0" w:name="List 3" w:locked="1"/>
    <w:lsdException w:uiPriority="0" w:semiHidden="0" w:name="List 4" w:locked="1"/>
    <w:lsdException w:uiPriority="0" w:semiHidden="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ocked="1"/>
    <w:lsdException w:uiPriority="0" w:semiHidden="0" w:name="Salutation" w:locked="1"/>
    <w:lsdException w:qFormat="1" w:uiPriority="0" w:semiHidden="0" w:name="Date" w:locked="1"/>
    <w:lsdException w:uiPriority="0" w:semiHidden="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uiPriority="0" w:name="Plain Text" w:locked="1"/>
    <w:lsdException w:uiPriority="0" w:name="E-mail Signature" w:locked="1"/>
    <w:lsdException w:qFormat="1" w:uiPriority="99" w:semiHidden="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52"/>
    <w:qFormat/>
    <w:locked/>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157"/>
    <w:unhideWhenUsed/>
    <w:qFormat/>
    <w:locked/>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locked/>
    <w:uiPriority w:val="0"/>
    <w:pPr>
      <w:spacing w:beforeAutospacing="1" w:afterAutospacing="1"/>
      <w:jc w:val="left"/>
      <w:outlineLvl w:val="2"/>
    </w:pPr>
    <w:rPr>
      <w:rFonts w:hint="eastAsia" w:ascii="宋体" w:hAnsi="宋体"/>
      <w:b/>
      <w:bCs/>
      <w:kern w:val="0"/>
      <w:sz w:val="27"/>
      <w:szCs w:val="27"/>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5" w:firstLineChars="500"/>
      <w:jc w:val="left"/>
    </w:pPr>
    <w:rPr>
      <w:rFonts w:ascii="宋体" w:cs="宋体"/>
    </w:rPr>
  </w:style>
  <w:style w:type="paragraph" w:styleId="6">
    <w:name w:val="index 8"/>
    <w:basedOn w:val="1"/>
    <w:next w:val="1"/>
    <w:semiHidden/>
    <w:qFormat/>
    <w:uiPriority w:val="0"/>
    <w:pPr>
      <w:ind w:left="1680" w:hanging="210"/>
      <w:jc w:val="left"/>
    </w:pPr>
    <w:rPr>
      <w:rFonts w:ascii="Calibri" w:hAnsi="Calibri" w:cs="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semiHidden/>
    <w:qFormat/>
    <w:uiPriority w:val="0"/>
    <w:pPr>
      <w:ind w:left="1050" w:hanging="210"/>
      <w:jc w:val="left"/>
    </w:pPr>
    <w:rPr>
      <w:rFonts w:ascii="Calibri" w:hAnsi="Calibri" w:cs="Calibri"/>
      <w:sz w:val="20"/>
      <w:szCs w:val="20"/>
    </w:rPr>
  </w:style>
  <w:style w:type="paragraph" w:styleId="9">
    <w:name w:val="Document Map"/>
    <w:basedOn w:val="1"/>
    <w:link w:val="47"/>
    <w:semiHidden/>
    <w:qFormat/>
    <w:uiPriority w:val="0"/>
    <w:pPr>
      <w:shd w:val="clear" w:color="auto" w:fill="000080"/>
    </w:pPr>
  </w:style>
  <w:style w:type="paragraph" w:styleId="10">
    <w:name w:val="annotation text"/>
    <w:basedOn w:val="1"/>
    <w:link w:val="45"/>
    <w:semiHidden/>
    <w:qFormat/>
    <w:uiPriority w:val="0"/>
    <w:pPr>
      <w:jc w:val="left"/>
    </w:pPr>
  </w:style>
  <w:style w:type="paragraph" w:styleId="11">
    <w:name w:val="index 6"/>
    <w:basedOn w:val="1"/>
    <w:next w:val="1"/>
    <w:semiHidden/>
    <w:qFormat/>
    <w:uiPriority w:val="0"/>
    <w:pPr>
      <w:ind w:left="1260" w:hanging="210"/>
      <w:jc w:val="left"/>
    </w:pPr>
    <w:rPr>
      <w:rFonts w:ascii="Calibri" w:hAnsi="Calibri" w:cs="Calibri"/>
      <w:sz w:val="20"/>
      <w:szCs w:val="20"/>
    </w:rPr>
  </w:style>
  <w:style w:type="paragraph" w:styleId="12">
    <w:name w:val="index 4"/>
    <w:basedOn w:val="1"/>
    <w:next w:val="1"/>
    <w:semiHidden/>
    <w:qFormat/>
    <w:uiPriority w:val="0"/>
    <w:pPr>
      <w:ind w:left="840" w:hanging="210"/>
      <w:jc w:val="left"/>
    </w:pPr>
    <w:rPr>
      <w:rFonts w:ascii="Calibri" w:hAnsi="Calibri" w:cs="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cs="宋体"/>
    </w:rPr>
  </w:style>
  <w:style w:type="paragraph" w:styleId="14">
    <w:name w:val="toc 3"/>
    <w:basedOn w:val="1"/>
    <w:next w:val="1"/>
    <w:qFormat/>
    <w:uiPriority w:val="39"/>
    <w:pPr>
      <w:tabs>
        <w:tab w:val="right" w:leader="dot" w:pos="9241"/>
      </w:tabs>
      <w:ind w:firstLine="102" w:firstLineChars="100"/>
      <w:jc w:val="left"/>
    </w:pPr>
    <w:rPr>
      <w:rFonts w:ascii="宋体" w:cs="宋体"/>
    </w:rPr>
  </w:style>
  <w:style w:type="paragraph" w:styleId="15">
    <w:name w:val="toc 8"/>
    <w:basedOn w:val="1"/>
    <w:next w:val="1"/>
    <w:semiHidden/>
    <w:qFormat/>
    <w:uiPriority w:val="0"/>
    <w:pPr>
      <w:tabs>
        <w:tab w:val="right" w:leader="dot" w:pos="9241"/>
      </w:tabs>
      <w:ind w:firstLine="607" w:firstLineChars="600"/>
      <w:jc w:val="left"/>
    </w:pPr>
    <w:rPr>
      <w:rFonts w:ascii="宋体" w:cs="宋体"/>
    </w:rPr>
  </w:style>
  <w:style w:type="paragraph" w:styleId="16">
    <w:name w:val="index 3"/>
    <w:basedOn w:val="1"/>
    <w:next w:val="1"/>
    <w:semiHidden/>
    <w:qFormat/>
    <w:uiPriority w:val="0"/>
    <w:pPr>
      <w:ind w:left="630" w:hanging="210"/>
      <w:jc w:val="left"/>
    </w:pPr>
    <w:rPr>
      <w:rFonts w:ascii="Calibri" w:hAnsi="Calibri" w:cs="Calibri"/>
      <w:sz w:val="20"/>
      <w:szCs w:val="20"/>
    </w:rPr>
  </w:style>
  <w:style w:type="paragraph" w:styleId="17">
    <w:name w:val="Date"/>
    <w:basedOn w:val="1"/>
    <w:next w:val="1"/>
    <w:link w:val="154"/>
    <w:unhideWhenUsed/>
    <w:qFormat/>
    <w:locked/>
    <w:uiPriority w:val="0"/>
    <w:pPr>
      <w:ind w:left="100" w:leftChars="2500"/>
    </w:pPr>
  </w:style>
  <w:style w:type="paragraph" w:styleId="18">
    <w:name w:val="endnote text"/>
    <w:basedOn w:val="1"/>
    <w:link w:val="48"/>
    <w:semiHidden/>
    <w:qFormat/>
    <w:uiPriority w:val="0"/>
    <w:pPr>
      <w:snapToGrid w:val="0"/>
      <w:jc w:val="left"/>
    </w:pPr>
  </w:style>
  <w:style w:type="paragraph" w:styleId="19">
    <w:name w:val="Balloon Text"/>
    <w:basedOn w:val="1"/>
    <w:link w:val="49"/>
    <w:semiHidden/>
    <w:qFormat/>
    <w:uiPriority w:val="0"/>
    <w:rPr>
      <w:sz w:val="18"/>
      <w:szCs w:val="18"/>
    </w:rPr>
  </w:style>
  <w:style w:type="paragraph" w:styleId="20">
    <w:name w:val="footer"/>
    <w:basedOn w:val="1"/>
    <w:link w:val="50"/>
    <w:qFormat/>
    <w:uiPriority w:val="99"/>
    <w:pPr>
      <w:snapToGrid w:val="0"/>
      <w:ind w:right="210" w:rightChars="100"/>
      <w:jc w:val="right"/>
    </w:pPr>
    <w:rPr>
      <w:sz w:val="18"/>
      <w:szCs w:val="18"/>
    </w:rPr>
  </w:style>
  <w:style w:type="paragraph" w:styleId="21">
    <w:name w:val="header"/>
    <w:basedOn w:val="1"/>
    <w:link w:val="51"/>
    <w:qFormat/>
    <w:uiPriority w:val="0"/>
    <w:pPr>
      <w:snapToGrid w:val="0"/>
      <w:jc w:val="left"/>
    </w:pPr>
    <w:rPr>
      <w:sz w:val="18"/>
      <w:szCs w:val="18"/>
    </w:rPr>
  </w:style>
  <w:style w:type="paragraph" w:styleId="22">
    <w:name w:val="toc 1"/>
    <w:basedOn w:val="1"/>
    <w:next w:val="1"/>
    <w:qFormat/>
    <w:uiPriority w:val="39"/>
    <w:pPr>
      <w:tabs>
        <w:tab w:val="right" w:leader="dot" w:pos="9241"/>
      </w:tabs>
      <w:spacing w:beforeLines="25" w:afterLines="25"/>
      <w:jc w:val="left"/>
    </w:pPr>
    <w:rPr>
      <w:rFonts w:ascii="宋体" w:cs="宋体"/>
    </w:rPr>
  </w:style>
  <w:style w:type="paragraph" w:styleId="23">
    <w:name w:val="toc 4"/>
    <w:basedOn w:val="1"/>
    <w:next w:val="1"/>
    <w:semiHidden/>
    <w:qFormat/>
    <w:uiPriority w:val="0"/>
    <w:pPr>
      <w:tabs>
        <w:tab w:val="right" w:leader="dot" w:pos="9241"/>
      </w:tabs>
      <w:ind w:firstLine="198" w:firstLineChars="200"/>
      <w:jc w:val="left"/>
    </w:pPr>
    <w:rPr>
      <w:rFonts w:ascii="宋体" w:cs="宋体"/>
    </w:rPr>
  </w:style>
  <w:style w:type="paragraph" w:styleId="24">
    <w:name w:val="index heading"/>
    <w:basedOn w:val="1"/>
    <w:next w:val="25"/>
    <w:semiHidden/>
    <w:qFormat/>
    <w:uiPriority w:val="0"/>
    <w:pPr>
      <w:spacing w:before="120" w:after="120"/>
      <w:jc w:val="center"/>
    </w:pPr>
    <w:rPr>
      <w:rFonts w:ascii="Calibri" w:hAnsi="Calibri" w:cs="Calibri"/>
      <w:b/>
      <w:bCs/>
    </w:rPr>
  </w:style>
  <w:style w:type="paragraph" w:styleId="25">
    <w:name w:val="index 1"/>
    <w:basedOn w:val="1"/>
    <w:next w:val="26"/>
    <w:semiHidden/>
    <w:qFormat/>
    <w:uiPriority w:val="0"/>
    <w:pPr>
      <w:tabs>
        <w:tab w:val="right" w:leader="dot" w:pos="9299"/>
      </w:tabs>
      <w:jc w:val="left"/>
    </w:pPr>
    <w:rPr>
      <w:rFonts w:ascii="宋体" w:cs="宋体"/>
    </w:rPr>
  </w:style>
  <w:style w:type="paragraph" w:customStyle="1" w:styleId="26">
    <w:name w:val="段"/>
    <w:link w:val="53"/>
    <w:qFormat/>
    <w:uiPriority w:val="99"/>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paragraph" w:styleId="27">
    <w:name w:val="footnote text"/>
    <w:basedOn w:val="1"/>
    <w:link w:val="52"/>
    <w:semiHidden/>
    <w:qFormat/>
    <w:uiPriority w:val="0"/>
    <w:pPr>
      <w:numPr>
        <w:ilvl w:val="0"/>
        <w:numId w:val="1"/>
      </w:numPr>
      <w:snapToGrid w:val="0"/>
      <w:jc w:val="left"/>
    </w:pPr>
    <w:rPr>
      <w:rFonts w:ascii="宋体" w:cs="宋体"/>
      <w:sz w:val="18"/>
      <w:szCs w:val="18"/>
    </w:rPr>
  </w:style>
  <w:style w:type="paragraph" w:styleId="28">
    <w:name w:val="toc 6"/>
    <w:basedOn w:val="1"/>
    <w:next w:val="1"/>
    <w:semiHidden/>
    <w:qFormat/>
    <w:uiPriority w:val="0"/>
    <w:pPr>
      <w:tabs>
        <w:tab w:val="right" w:leader="dot" w:pos="9241"/>
      </w:tabs>
      <w:ind w:firstLine="403" w:firstLineChars="400"/>
      <w:jc w:val="left"/>
    </w:pPr>
    <w:rPr>
      <w:rFonts w:ascii="宋体" w:cs="宋体"/>
    </w:rPr>
  </w:style>
  <w:style w:type="paragraph" w:styleId="29">
    <w:name w:val="index 7"/>
    <w:basedOn w:val="1"/>
    <w:next w:val="1"/>
    <w:semiHidden/>
    <w:qFormat/>
    <w:uiPriority w:val="0"/>
    <w:pPr>
      <w:ind w:left="1470" w:hanging="210"/>
      <w:jc w:val="left"/>
    </w:pPr>
    <w:rPr>
      <w:rFonts w:ascii="Calibri" w:hAnsi="Calibri" w:cs="Calibri"/>
      <w:sz w:val="20"/>
      <w:szCs w:val="20"/>
    </w:rPr>
  </w:style>
  <w:style w:type="paragraph" w:styleId="30">
    <w:name w:val="index 9"/>
    <w:basedOn w:val="1"/>
    <w:next w:val="1"/>
    <w:semiHidden/>
    <w:qFormat/>
    <w:uiPriority w:val="0"/>
    <w:pPr>
      <w:ind w:left="1890" w:hanging="210"/>
      <w:jc w:val="left"/>
    </w:pPr>
    <w:rPr>
      <w:rFonts w:ascii="Calibri" w:hAnsi="Calibri" w:cs="Calibri"/>
      <w:sz w:val="20"/>
      <w:szCs w:val="20"/>
    </w:rPr>
  </w:style>
  <w:style w:type="paragraph" w:styleId="31">
    <w:name w:val="toc 2"/>
    <w:basedOn w:val="1"/>
    <w:next w:val="1"/>
    <w:qFormat/>
    <w:uiPriority w:val="39"/>
    <w:pPr>
      <w:tabs>
        <w:tab w:val="right" w:leader="dot" w:pos="9241"/>
      </w:tabs>
    </w:pPr>
    <w:rPr>
      <w:rFonts w:ascii="宋体" w:cs="宋体"/>
    </w:rPr>
  </w:style>
  <w:style w:type="paragraph" w:styleId="32">
    <w:name w:val="toc 9"/>
    <w:basedOn w:val="1"/>
    <w:next w:val="1"/>
    <w:semiHidden/>
    <w:qFormat/>
    <w:uiPriority w:val="0"/>
    <w:pPr>
      <w:ind w:left="1470"/>
      <w:jc w:val="left"/>
    </w:pPr>
    <w:rPr>
      <w:sz w:val="20"/>
      <w:szCs w:val="20"/>
    </w:rPr>
  </w:style>
  <w:style w:type="paragraph" w:styleId="33">
    <w:name w:val="Normal (Web)"/>
    <w:basedOn w:val="1"/>
    <w:unhideWhenUsed/>
    <w:qFormat/>
    <w:locked/>
    <w:uiPriority w:val="99"/>
    <w:rPr>
      <w:sz w:val="24"/>
      <w:szCs w:val="24"/>
    </w:rPr>
  </w:style>
  <w:style w:type="paragraph" w:styleId="34">
    <w:name w:val="index 2"/>
    <w:basedOn w:val="1"/>
    <w:next w:val="1"/>
    <w:semiHidden/>
    <w:qFormat/>
    <w:uiPriority w:val="0"/>
    <w:pPr>
      <w:ind w:left="420" w:hanging="210"/>
      <w:jc w:val="left"/>
    </w:pPr>
    <w:rPr>
      <w:rFonts w:ascii="Calibri" w:hAnsi="Calibri" w:cs="Calibri"/>
      <w:sz w:val="20"/>
      <w:szCs w:val="20"/>
    </w:rPr>
  </w:style>
  <w:style w:type="paragraph" w:styleId="35">
    <w:name w:val="annotation subject"/>
    <w:basedOn w:val="10"/>
    <w:next w:val="10"/>
    <w:link w:val="46"/>
    <w:semiHidden/>
    <w:qFormat/>
    <w:uiPriority w:val="0"/>
    <w:rPr>
      <w:b/>
      <w:bCs/>
    </w:rPr>
  </w:style>
  <w:style w:type="table" w:styleId="37">
    <w:name w:val="Table Grid"/>
    <w:basedOn w:val="36"/>
    <w:qFormat/>
    <w:uiPriority w:val="0"/>
    <w:rPr>
      <w:rFonts w:ascii="宋体"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9">
    <w:name w:val="endnote reference"/>
    <w:basedOn w:val="38"/>
    <w:semiHidden/>
    <w:qFormat/>
    <w:uiPriority w:val="0"/>
    <w:rPr>
      <w:rFonts w:cs="Times New Roman"/>
      <w:vertAlign w:val="superscript"/>
    </w:rPr>
  </w:style>
  <w:style w:type="character" w:styleId="40">
    <w:name w:val="page number"/>
    <w:basedOn w:val="38"/>
    <w:qFormat/>
    <w:uiPriority w:val="0"/>
    <w:rPr>
      <w:rFonts w:ascii="Times New Roman" w:hAnsi="Times New Roman" w:eastAsia="宋体" w:cs="Times New Roman"/>
      <w:sz w:val="18"/>
      <w:szCs w:val="18"/>
    </w:rPr>
  </w:style>
  <w:style w:type="character" w:styleId="41">
    <w:name w:val="FollowedHyperlink"/>
    <w:basedOn w:val="38"/>
    <w:qFormat/>
    <w:uiPriority w:val="0"/>
    <w:rPr>
      <w:rFonts w:cs="Times New Roman"/>
      <w:color w:val="800080"/>
      <w:u w:val="single"/>
    </w:rPr>
  </w:style>
  <w:style w:type="character" w:styleId="42">
    <w:name w:val="Hyperlink"/>
    <w:basedOn w:val="38"/>
    <w:qFormat/>
    <w:uiPriority w:val="99"/>
    <w:rPr>
      <w:rFonts w:cs="Times New Roman"/>
      <w:color w:val="0000FF"/>
      <w:spacing w:val="0"/>
      <w:w w:val="100"/>
      <w:sz w:val="21"/>
      <w:szCs w:val="21"/>
      <w:u w:val="single"/>
    </w:rPr>
  </w:style>
  <w:style w:type="character" w:styleId="43">
    <w:name w:val="annotation reference"/>
    <w:basedOn w:val="38"/>
    <w:semiHidden/>
    <w:qFormat/>
    <w:uiPriority w:val="0"/>
    <w:rPr>
      <w:rFonts w:cs="Times New Roman"/>
      <w:sz w:val="21"/>
      <w:szCs w:val="21"/>
    </w:rPr>
  </w:style>
  <w:style w:type="character" w:styleId="44">
    <w:name w:val="footnote reference"/>
    <w:basedOn w:val="38"/>
    <w:semiHidden/>
    <w:qFormat/>
    <w:uiPriority w:val="0"/>
    <w:rPr>
      <w:rFonts w:cs="Times New Roman"/>
      <w:vertAlign w:val="superscript"/>
    </w:rPr>
  </w:style>
  <w:style w:type="character" w:customStyle="1" w:styleId="45">
    <w:name w:val="批注文字 Char"/>
    <w:basedOn w:val="38"/>
    <w:link w:val="10"/>
    <w:semiHidden/>
    <w:qFormat/>
    <w:locked/>
    <w:uiPriority w:val="0"/>
    <w:rPr>
      <w:rFonts w:cs="Times New Roman"/>
      <w:kern w:val="2"/>
      <w:sz w:val="24"/>
      <w:szCs w:val="24"/>
    </w:rPr>
  </w:style>
  <w:style w:type="character" w:customStyle="1" w:styleId="46">
    <w:name w:val="批注主题 Char"/>
    <w:basedOn w:val="45"/>
    <w:link w:val="35"/>
    <w:semiHidden/>
    <w:qFormat/>
    <w:locked/>
    <w:uiPriority w:val="0"/>
    <w:rPr>
      <w:rFonts w:cs="Times New Roman"/>
      <w:b/>
      <w:bCs/>
      <w:kern w:val="2"/>
      <w:sz w:val="24"/>
      <w:szCs w:val="24"/>
    </w:rPr>
  </w:style>
  <w:style w:type="character" w:customStyle="1" w:styleId="47">
    <w:name w:val="文档结构图 Char"/>
    <w:basedOn w:val="38"/>
    <w:link w:val="9"/>
    <w:semiHidden/>
    <w:qFormat/>
    <w:locked/>
    <w:uiPriority w:val="0"/>
    <w:rPr>
      <w:rFonts w:cs="Times New Roman"/>
      <w:sz w:val="2"/>
      <w:szCs w:val="2"/>
    </w:rPr>
  </w:style>
  <w:style w:type="character" w:customStyle="1" w:styleId="48">
    <w:name w:val="尾注文本 Char"/>
    <w:basedOn w:val="38"/>
    <w:link w:val="18"/>
    <w:semiHidden/>
    <w:qFormat/>
    <w:locked/>
    <w:uiPriority w:val="0"/>
    <w:rPr>
      <w:rFonts w:cs="Times New Roman"/>
      <w:sz w:val="21"/>
      <w:szCs w:val="21"/>
    </w:rPr>
  </w:style>
  <w:style w:type="character" w:customStyle="1" w:styleId="49">
    <w:name w:val="批注框文本 Char"/>
    <w:basedOn w:val="38"/>
    <w:link w:val="19"/>
    <w:qFormat/>
    <w:locked/>
    <w:uiPriority w:val="0"/>
    <w:rPr>
      <w:rFonts w:cs="Times New Roman"/>
      <w:kern w:val="2"/>
      <w:sz w:val="18"/>
      <w:szCs w:val="18"/>
    </w:rPr>
  </w:style>
  <w:style w:type="character" w:customStyle="1" w:styleId="50">
    <w:name w:val="页脚 Char"/>
    <w:basedOn w:val="38"/>
    <w:link w:val="20"/>
    <w:qFormat/>
    <w:locked/>
    <w:uiPriority w:val="0"/>
    <w:rPr>
      <w:rFonts w:cs="Times New Roman"/>
      <w:kern w:val="2"/>
      <w:sz w:val="18"/>
      <w:szCs w:val="18"/>
    </w:rPr>
  </w:style>
  <w:style w:type="character" w:customStyle="1" w:styleId="51">
    <w:name w:val="页眉 Char"/>
    <w:basedOn w:val="38"/>
    <w:link w:val="21"/>
    <w:semiHidden/>
    <w:qFormat/>
    <w:locked/>
    <w:uiPriority w:val="0"/>
    <w:rPr>
      <w:rFonts w:cs="Times New Roman"/>
      <w:sz w:val="18"/>
      <w:szCs w:val="18"/>
    </w:rPr>
  </w:style>
  <w:style w:type="character" w:customStyle="1" w:styleId="52">
    <w:name w:val="脚注文本 Char"/>
    <w:basedOn w:val="38"/>
    <w:link w:val="27"/>
    <w:semiHidden/>
    <w:qFormat/>
    <w:locked/>
    <w:uiPriority w:val="0"/>
    <w:rPr>
      <w:rFonts w:ascii="宋体" w:cs="宋体"/>
      <w:kern w:val="2"/>
      <w:sz w:val="18"/>
      <w:szCs w:val="18"/>
    </w:rPr>
  </w:style>
  <w:style w:type="character" w:customStyle="1" w:styleId="53">
    <w:name w:val="段 Char"/>
    <w:basedOn w:val="38"/>
    <w:link w:val="26"/>
    <w:qFormat/>
    <w:locked/>
    <w:uiPriority w:val="99"/>
    <w:rPr>
      <w:rFonts w:ascii="宋体" w:cs="宋体"/>
      <w:sz w:val="21"/>
      <w:szCs w:val="21"/>
      <w:lang w:val="en-US" w:eastAsia="zh-CN" w:bidi="ar-SA"/>
    </w:rPr>
  </w:style>
  <w:style w:type="paragraph" w:customStyle="1" w:styleId="54">
    <w:name w:val="一级条标题"/>
    <w:next w:val="26"/>
    <w:link w:val="150"/>
    <w:qFormat/>
    <w:uiPriority w:val="0"/>
    <w:pPr>
      <w:numPr>
        <w:ilvl w:val="1"/>
        <w:numId w:val="2"/>
      </w:numPr>
      <w:spacing w:beforeLines="50" w:afterLines="50"/>
      <w:outlineLvl w:val="2"/>
    </w:pPr>
    <w:rPr>
      <w:rFonts w:ascii="黑体" w:hAnsi="Times New Roman" w:eastAsia="黑体" w:cs="Times New Roman"/>
      <w:sz w:val="21"/>
      <w:lang w:val="en-US" w:eastAsia="zh-CN" w:bidi="ar-SA"/>
    </w:rPr>
  </w:style>
  <w:style w:type="paragraph" w:customStyle="1" w:styleId="55">
    <w:name w:val="标准书脚_奇数页"/>
    <w:qFormat/>
    <w:uiPriority w:val="0"/>
    <w:pPr>
      <w:spacing w:before="120"/>
      <w:ind w:right="198"/>
      <w:jc w:val="right"/>
    </w:pPr>
    <w:rPr>
      <w:rFonts w:ascii="宋体" w:hAnsi="Times New Roman" w:eastAsia="宋体" w:cs="宋体"/>
      <w:sz w:val="18"/>
      <w:szCs w:val="18"/>
      <w:lang w:val="en-US" w:eastAsia="zh-CN" w:bidi="ar-SA"/>
    </w:rPr>
  </w:style>
  <w:style w:type="paragraph" w:customStyle="1" w:styleId="56">
    <w:name w:val="标准书眉_奇数页"/>
    <w:next w:val="1"/>
    <w:qFormat/>
    <w:uiPriority w:val="0"/>
    <w:pPr>
      <w:tabs>
        <w:tab w:val="center" w:pos="4154"/>
        <w:tab w:val="right" w:pos="8306"/>
      </w:tabs>
      <w:spacing w:after="220"/>
      <w:jc w:val="right"/>
    </w:pPr>
    <w:rPr>
      <w:rFonts w:ascii="黑体" w:hAnsi="Times New Roman" w:eastAsia="黑体" w:cs="黑体"/>
      <w:sz w:val="21"/>
      <w:szCs w:val="21"/>
      <w:lang w:val="en-US" w:eastAsia="zh-CN" w:bidi="ar-SA"/>
    </w:rPr>
  </w:style>
  <w:style w:type="paragraph" w:customStyle="1" w:styleId="57">
    <w:name w:val="章标题"/>
    <w:next w:val="26"/>
    <w:link w:val="149"/>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58">
    <w:name w:val="二级条标题"/>
    <w:basedOn w:val="54"/>
    <w:next w:val="26"/>
    <w:link w:val="151"/>
    <w:qFormat/>
    <w:uiPriority w:val="0"/>
    <w:pPr>
      <w:numPr>
        <w:ilvl w:val="2"/>
      </w:numPr>
      <w:spacing w:before="50" w:after="50"/>
      <w:outlineLvl w:val="3"/>
    </w:pPr>
  </w:style>
  <w:style w:type="paragraph" w:customStyle="1" w:styleId="5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黑体"/>
      <w:sz w:val="28"/>
      <w:szCs w:val="28"/>
      <w:lang w:val="en-US" w:eastAsia="zh-CN" w:bidi="ar-SA"/>
    </w:rPr>
  </w:style>
  <w:style w:type="paragraph" w:customStyle="1" w:styleId="60">
    <w:name w:val="列项——（一级）"/>
    <w:qFormat/>
    <w:uiPriority w:val="0"/>
    <w:pPr>
      <w:widowControl w:val="0"/>
      <w:numPr>
        <w:ilvl w:val="0"/>
        <w:numId w:val="3"/>
      </w:numPr>
      <w:jc w:val="both"/>
    </w:pPr>
    <w:rPr>
      <w:rFonts w:ascii="宋体" w:hAnsi="Times New Roman" w:eastAsia="宋体" w:cs="宋体"/>
      <w:sz w:val="21"/>
      <w:szCs w:val="21"/>
      <w:lang w:val="en-US" w:eastAsia="zh-CN" w:bidi="ar-SA"/>
    </w:rPr>
  </w:style>
  <w:style w:type="paragraph" w:customStyle="1" w:styleId="61">
    <w:name w:val="列项●（二级）"/>
    <w:qFormat/>
    <w:uiPriority w:val="0"/>
    <w:pPr>
      <w:numPr>
        <w:ilvl w:val="1"/>
        <w:numId w:val="3"/>
      </w:numPr>
      <w:tabs>
        <w:tab w:val="left" w:pos="840"/>
      </w:tabs>
      <w:jc w:val="both"/>
    </w:pPr>
    <w:rPr>
      <w:rFonts w:ascii="宋体" w:hAnsi="Times New Roman" w:eastAsia="宋体" w:cs="宋体"/>
      <w:sz w:val="21"/>
      <w:szCs w:val="21"/>
      <w:lang w:val="en-US" w:eastAsia="zh-CN" w:bidi="ar-SA"/>
    </w:rPr>
  </w:style>
  <w:style w:type="paragraph" w:customStyle="1" w:styleId="62">
    <w:name w:val="目次、标准名称标题"/>
    <w:basedOn w:val="1"/>
    <w:next w:val="26"/>
    <w:qFormat/>
    <w:uiPriority w:val="0"/>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customStyle="1" w:styleId="63">
    <w:name w:val="三级条标题"/>
    <w:basedOn w:val="58"/>
    <w:next w:val="26"/>
    <w:qFormat/>
    <w:uiPriority w:val="0"/>
    <w:pPr>
      <w:numPr>
        <w:ilvl w:val="3"/>
      </w:numPr>
      <w:outlineLvl w:val="4"/>
    </w:pPr>
  </w:style>
  <w:style w:type="paragraph" w:customStyle="1" w:styleId="64">
    <w:name w:val="示例"/>
    <w:next w:val="65"/>
    <w:qFormat/>
    <w:uiPriority w:val="0"/>
    <w:pPr>
      <w:widowControl w:val="0"/>
      <w:numPr>
        <w:ilvl w:val="0"/>
        <w:numId w:val="4"/>
      </w:numPr>
      <w:jc w:val="both"/>
    </w:pPr>
    <w:rPr>
      <w:rFonts w:ascii="宋体" w:hAnsi="Times New Roman" w:eastAsia="宋体" w:cs="宋体"/>
      <w:sz w:val="18"/>
      <w:szCs w:val="18"/>
      <w:lang w:val="en-US" w:eastAsia="zh-CN" w:bidi="ar-SA"/>
    </w:rPr>
  </w:style>
  <w:style w:type="paragraph" w:customStyle="1" w:styleId="65">
    <w:name w:val="示例内容"/>
    <w:qFormat/>
    <w:uiPriority w:val="0"/>
    <w:pPr>
      <w:ind w:firstLine="200" w:firstLineChars="200"/>
    </w:pPr>
    <w:rPr>
      <w:rFonts w:ascii="宋体" w:hAnsi="Times New Roman" w:eastAsia="宋体" w:cs="宋体"/>
      <w:sz w:val="18"/>
      <w:szCs w:val="18"/>
      <w:lang w:val="en-US" w:eastAsia="zh-CN" w:bidi="ar-SA"/>
    </w:rPr>
  </w:style>
  <w:style w:type="paragraph" w:customStyle="1" w:styleId="66">
    <w:name w:val="数字编号列项（二级）"/>
    <w:qFormat/>
    <w:uiPriority w:val="0"/>
    <w:pPr>
      <w:numPr>
        <w:ilvl w:val="1"/>
        <w:numId w:val="5"/>
      </w:numPr>
      <w:jc w:val="both"/>
    </w:pPr>
    <w:rPr>
      <w:rFonts w:ascii="宋体" w:hAnsi="Times New Roman" w:eastAsia="宋体" w:cs="宋体"/>
      <w:sz w:val="21"/>
      <w:szCs w:val="21"/>
      <w:lang w:val="en-US" w:eastAsia="zh-CN" w:bidi="ar-SA"/>
    </w:rPr>
  </w:style>
  <w:style w:type="paragraph" w:customStyle="1" w:styleId="67">
    <w:name w:val="四级条标题"/>
    <w:basedOn w:val="63"/>
    <w:next w:val="26"/>
    <w:qFormat/>
    <w:uiPriority w:val="0"/>
    <w:pPr>
      <w:numPr>
        <w:ilvl w:val="4"/>
      </w:numPr>
      <w:outlineLvl w:val="5"/>
    </w:pPr>
  </w:style>
  <w:style w:type="paragraph" w:customStyle="1" w:styleId="68">
    <w:name w:val="五级条标题"/>
    <w:basedOn w:val="67"/>
    <w:next w:val="26"/>
    <w:qFormat/>
    <w:uiPriority w:val="0"/>
    <w:pPr>
      <w:numPr>
        <w:ilvl w:val="5"/>
      </w:numPr>
      <w:outlineLvl w:val="6"/>
    </w:pPr>
  </w:style>
  <w:style w:type="paragraph" w:customStyle="1" w:styleId="69">
    <w:name w:val="注："/>
    <w:next w:val="26"/>
    <w:qFormat/>
    <w:uiPriority w:val="0"/>
    <w:pPr>
      <w:widowControl w:val="0"/>
      <w:numPr>
        <w:ilvl w:val="0"/>
        <w:numId w:val="6"/>
      </w:numPr>
      <w:autoSpaceDE w:val="0"/>
      <w:autoSpaceDN w:val="0"/>
      <w:jc w:val="both"/>
    </w:pPr>
    <w:rPr>
      <w:rFonts w:ascii="宋体" w:hAnsi="Times New Roman" w:eastAsia="宋体" w:cs="宋体"/>
      <w:sz w:val="18"/>
      <w:szCs w:val="18"/>
      <w:lang w:val="en-US" w:eastAsia="zh-CN" w:bidi="ar-SA"/>
    </w:rPr>
  </w:style>
  <w:style w:type="paragraph" w:customStyle="1" w:styleId="70">
    <w:name w:val="注×："/>
    <w:qFormat/>
    <w:uiPriority w:val="0"/>
    <w:pPr>
      <w:widowControl w:val="0"/>
      <w:numPr>
        <w:ilvl w:val="0"/>
        <w:numId w:val="7"/>
      </w:numPr>
      <w:autoSpaceDE w:val="0"/>
      <w:autoSpaceDN w:val="0"/>
      <w:jc w:val="both"/>
    </w:pPr>
    <w:rPr>
      <w:rFonts w:ascii="宋体" w:hAnsi="Times New Roman" w:eastAsia="宋体" w:cs="宋体"/>
      <w:sz w:val="18"/>
      <w:szCs w:val="18"/>
      <w:lang w:val="en-US" w:eastAsia="zh-CN" w:bidi="ar-SA"/>
    </w:rPr>
  </w:style>
  <w:style w:type="paragraph" w:customStyle="1" w:styleId="71">
    <w:name w:val="字母编号列项（一级）"/>
    <w:qFormat/>
    <w:uiPriority w:val="0"/>
    <w:pPr>
      <w:numPr>
        <w:ilvl w:val="0"/>
        <w:numId w:val="5"/>
      </w:numPr>
      <w:jc w:val="both"/>
    </w:pPr>
    <w:rPr>
      <w:rFonts w:ascii="宋体" w:hAnsi="Times New Roman" w:eastAsia="宋体" w:cs="宋体"/>
      <w:sz w:val="21"/>
      <w:szCs w:val="21"/>
      <w:lang w:val="en-US" w:eastAsia="zh-CN" w:bidi="ar-SA"/>
    </w:rPr>
  </w:style>
  <w:style w:type="paragraph" w:customStyle="1" w:styleId="72">
    <w:name w:val="列项◆（三级）"/>
    <w:basedOn w:val="1"/>
    <w:qFormat/>
    <w:uiPriority w:val="0"/>
    <w:pPr>
      <w:numPr>
        <w:ilvl w:val="2"/>
        <w:numId w:val="3"/>
      </w:numPr>
    </w:pPr>
    <w:rPr>
      <w:rFonts w:ascii="宋体" w:cs="宋体"/>
    </w:rPr>
  </w:style>
  <w:style w:type="paragraph" w:customStyle="1" w:styleId="73">
    <w:name w:val="编号列项（三级）"/>
    <w:qFormat/>
    <w:uiPriority w:val="0"/>
    <w:pPr>
      <w:numPr>
        <w:ilvl w:val="2"/>
        <w:numId w:val="5"/>
      </w:numPr>
    </w:pPr>
    <w:rPr>
      <w:rFonts w:ascii="宋体" w:hAnsi="Times New Roman" w:eastAsia="宋体" w:cs="宋体"/>
      <w:sz w:val="21"/>
      <w:szCs w:val="21"/>
      <w:lang w:val="en-US" w:eastAsia="zh-CN" w:bidi="ar-SA"/>
    </w:rPr>
  </w:style>
  <w:style w:type="paragraph" w:customStyle="1" w:styleId="74">
    <w:name w:val="示例×："/>
    <w:basedOn w:val="57"/>
    <w:qFormat/>
    <w:uiPriority w:val="0"/>
    <w:pPr>
      <w:numPr>
        <w:numId w:val="8"/>
      </w:numPr>
      <w:spacing w:beforeLines="0" w:afterLines="0"/>
      <w:outlineLvl w:val="9"/>
    </w:pPr>
    <w:rPr>
      <w:rFonts w:ascii="宋体" w:eastAsia="宋体" w:cs="宋体"/>
      <w:sz w:val="18"/>
      <w:szCs w:val="18"/>
    </w:rPr>
  </w:style>
  <w:style w:type="paragraph" w:customStyle="1" w:styleId="75">
    <w:name w:val="二级无"/>
    <w:basedOn w:val="58"/>
    <w:qFormat/>
    <w:uiPriority w:val="0"/>
    <w:pPr>
      <w:spacing w:beforeLines="0" w:afterLines="0"/>
    </w:pPr>
    <w:rPr>
      <w:rFonts w:ascii="宋体" w:eastAsia="宋体" w:cs="宋体"/>
    </w:rPr>
  </w:style>
  <w:style w:type="paragraph" w:customStyle="1" w:styleId="76">
    <w:name w:val="注：（正文）"/>
    <w:basedOn w:val="69"/>
    <w:next w:val="26"/>
    <w:qFormat/>
    <w:uiPriority w:val="0"/>
  </w:style>
  <w:style w:type="paragraph" w:customStyle="1" w:styleId="77">
    <w:name w:val="注×：（正文）"/>
    <w:qFormat/>
    <w:uiPriority w:val="0"/>
    <w:pPr>
      <w:numPr>
        <w:ilvl w:val="0"/>
        <w:numId w:val="9"/>
      </w:numPr>
      <w:ind w:left="811"/>
      <w:jc w:val="both"/>
    </w:pPr>
    <w:rPr>
      <w:rFonts w:ascii="宋体" w:hAnsi="Times New Roman" w:eastAsia="宋体" w:cs="宋体"/>
      <w:sz w:val="18"/>
      <w:szCs w:val="18"/>
      <w:lang w:val="en-US" w:eastAsia="zh-CN" w:bidi="ar-SA"/>
    </w:rPr>
  </w:style>
  <w:style w:type="paragraph" w:customStyle="1" w:styleId="78">
    <w:name w:val="标准标志"/>
    <w:next w:val="1"/>
    <w:qFormat/>
    <w:uiPriority w:val="0"/>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bCs/>
      <w:w w:val="170"/>
      <w:sz w:val="96"/>
      <w:szCs w:val="96"/>
      <w:lang w:val="en-US" w:eastAsia="zh-CN" w:bidi="ar-SA"/>
    </w:rPr>
  </w:style>
  <w:style w:type="paragraph" w:customStyle="1" w:styleId="7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宋体"/>
      <w:b/>
      <w:bCs/>
      <w:spacing w:val="20"/>
      <w:w w:val="148"/>
      <w:sz w:val="48"/>
      <w:szCs w:val="48"/>
      <w:lang w:val="en-US" w:eastAsia="zh-CN" w:bidi="ar-SA"/>
    </w:rPr>
  </w:style>
  <w:style w:type="paragraph" w:customStyle="1" w:styleId="80">
    <w:name w:val="标准书脚_偶数页"/>
    <w:qFormat/>
    <w:uiPriority w:val="0"/>
    <w:pPr>
      <w:spacing w:before="120"/>
      <w:ind w:left="221"/>
    </w:pPr>
    <w:rPr>
      <w:rFonts w:ascii="宋体" w:hAnsi="Times New Roman" w:eastAsia="宋体" w:cs="宋体"/>
      <w:sz w:val="18"/>
      <w:szCs w:val="18"/>
      <w:lang w:val="en-US" w:eastAsia="zh-CN" w:bidi="ar-SA"/>
    </w:rPr>
  </w:style>
  <w:style w:type="paragraph" w:customStyle="1" w:styleId="81">
    <w:name w:val="标准书眉_偶数页"/>
    <w:basedOn w:val="56"/>
    <w:next w:val="1"/>
    <w:qFormat/>
    <w:uiPriority w:val="0"/>
    <w:pPr>
      <w:jc w:val="left"/>
    </w:pPr>
  </w:style>
  <w:style w:type="paragraph" w:customStyle="1" w:styleId="82">
    <w:name w:val="标准书眉一"/>
    <w:qFormat/>
    <w:uiPriority w:val="0"/>
    <w:pPr>
      <w:jc w:val="both"/>
    </w:pPr>
    <w:rPr>
      <w:rFonts w:ascii="Times New Roman" w:hAnsi="Times New Roman" w:eastAsia="宋体" w:cs="Times New Roman"/>
      <w:lang w:val="en-US" w:eastAsia="zh-CN" w:bidi="ar-SA"/>
    </w:rPr>
  </w:style>
  <w:style w:type="paragraph" w:customStyle="1" w:styleId="83">
    <w:name w:val="参考文献"/>
    <w:basedOn w:val="1"/>
    <w:next w:val="26"/>
    <w:qFormat/>
    <w:uiPriority w:val="0"/>
    <w:pPr>
      <w:keepNext/>
      <w:pageBreakBefore/>
      <w:widowControl/>
      <w:shd w:val="clear" w:color="FFFFFF" w:fill="FFFFFF"/>
      <w:spacing w:before="640" w:after="200"/>
      <w:jc w:val="center"/>
      <w:outlineLvl w:val="0"/>
    </w:pPr>
    <w:rPr>
      <w:rFonts w:ascii="黑体" w:eastAsia="黑体" w:cs="黑体"/>
      <w:kern w:val="0"/>
    </w:rPr>
  </w:style>
  <w:style w:type="paragraph" w:customStyle="1" w:styleId="84">
    <w:name w:val="参考文献、索引标题"/>
    <w:basedOn w:val="1"/>
    <w:next w:val="26"/>
    <w:qFormat/>
    <w:uiPriority w:val="0"/>
    <w:pPr>
      <w:keepNext/>
      <w:pageBreakBefore/>
      <w:widowControl/>
      <w:shd w:val="clear" w:color="FFFFFF" w:fill="FFFFFF"/>
      <w:spacing w:before="640" w:after="200"/>
      <w:jc w:val="center"/>
      <w:outlineLvl w:val="0"/>
    </w:pPr>
    <w:rPr>
      <w:rFonts w:ascii="黑体" w:eastAsia="黑体" w:cs="黑体"/>
      <w:kern w:val="0"/>
    </w:rPr>
  </w:style>
  <w:style w:type="character" w:customStyle="1" w:styleId="85">
    <w:name w:val="发布"/>
    <w:basedOn w:val="38"/>
    <w:qFormat/>
    <w:uiPriority w:val="0"/>
    <w:rPr>
      <w:rFonts w:ascii="黑体" w:eastAsia="黑体" w:cs="黑体"/>
      <w:spacing w:val="85"/>
      <w:w w:val="100"/>
      <w:position w:val="3"/>
      <w:sz w:val="28"/>
      <w:szCs w:val="28"/>
    </w:rPr>
  </w:style>
  <w:style w:type="paragraph" w:customStyle="1" w:styleId="86">
    <w:name w:val="发布部门"/>
    <w:next w:val="26"/>
    <w:qFormat/>
    <w:uiPriority w:val="0"/>
    <w:pPr>
      <w:framePr w:w="7938" w:h="1134" w:hRule="exact" w:hSpace="125" w:vSpace="181" w:wrap="around" w:vAnchor="page" w:hAnchor="page" w:x="2150" w:y="14630" w:anchorLock="1"/>
      <w:jc w:val="center"/>
    </w:pPr>
    <w:rPr>
      <w:rFonts w:ascii="宋体" w:hAnsi="Times New Roman" w:eastAsia="宋体" w:cs="宋体"/>
      <w:b/>
      <w:bCs/>
      <w:spacing w:val="20"/>
      <w:w w:val="135"/>
      <w:sz w:val="28"/>
      <w:szCs w:val="28"/>
      <w:lang w:val="en-US" w:eastAsia="zh-CN" w:bidi="ar-SA"/>
    </w:rPr>
  </w:style>
  <w:style w:type="paragraph" w:customStyle="1" w:styleId="87">
    <w:name w:val="发布日期"/>
    <w:qFormat/>
    <w:uiPriority w:val="0"/>
    <w:pPr>
      <w:framePr w:w="3997" w:h="471" w:hRule="exact" w:vSpace="181" w:wrap="around" w:vAnchor="margin" w:hAnchor="page" w:x="7089" w:y="14097" w:anchorLock="1"/>
    </w:pPr>
    <w:rPr>
      <w:rFonts w:ascii="Times New Roman" w:hAnsi="Times New Roman" w:eastAsia="黑体" w:cs="Times New Roman"/>
      <w:sz w:val="28"/>
      <w:szCs w:val="28"/>
      <w:lang w:val="en-US" w:eastAsia="zh-CN" w:bidi="ar-SA"/>
    </w:rPr>
  </w:style>
  <w:style w:type="paragraph" w:customStyle="1" w:styleId="8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宋体"/>
      <w:sz w:val="21"/>
      <w:szCs w:val="21"/>
      <w:lang w:val="en-US" w:eastAsia="zh-CN" w:bidi="ar-SA"/>
    </w:rPr>
  </w:style>
  <w:style w:type="paragraph" w:customStyle="1" w:styleId="8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szCs w:val="28"/>
      <w:lang w:val="en-US" w:eastAsia="zh-CN" w:bidi="ar-SA"/>
    </w:rPr>
  </w:style>
  <w:style w:type="paragraph" w:customStyle="1" w:styleId="9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91">
    <w:name w:val="封面标准英文名称"/>
    <w:basedOn w:val="90"/>
    <w:qFormat/>
    <w:uiPriority w:val="0"/>
    <w:pPr>
      <w:framePr w:wrap="around"/>
      <w:spacing w:before="370" w:line="400" w:lineRule="exact"/>
    </w:pPr>
    <w:rPr>
      <w:rFonts w:ascii="Times New Roman" w:cs="Times New Roman"/>
      <w:sz w:val="28"/>
      <w:szCs w:val="28"/>
    </w:rPr>
  </w:style>
  <w:style w:type="paragraph" w:customStyle="1" w:styleId="92">
    <w:name w:val="封面一致性程度标识"/>
    <w:basedOn w:val="91"/>
    <w:qFormat/>
    <w:uiPriority w:val="0"/>
    <w:pPr>
      <w:framePr w:wrap="around"/>
      <w:spacing w:before="440"/>
    </w:pPr>
    <w:rPr>
      <w:rFonts w:ascii="宋体" w:eastAsia="宋体" w:cs="宋体"/>
    </w:rPr>
  </w:style>
  <w:style w:type="paragraph" w:customStyle="1" w:styleId="93">
    <w:name w:val="封面标准文稿类别"/>
    <w:basedOn w:val="92"/>
    <w:qFormat/>
    <w:uiPriority w:val="0"/>
    <w:pPr>
      <w:framePr w:wrap="around"/>
      <w:spacing w:after="160" w:line="240" w:lineRule="auto"/>
    </w:pPr>
    <w:rPr>
      <w:sz w:val="24"/>
      <w:szCs w:val="24"/>
    </w:rPr>
  </w:style>
  <w:style w:type="paragraph" w:customStyle="1" w:styleId="94">
    <w:name w:val="封面标准文稿编辑信息"/>
    <w:basedOn w:val="93"/>
    <w:qFormat/>
    <w:uiPriority w:val="0"/>
    <w:pPr>
      <w:framePr w:wrap="around"/>
      <w:spacing w:before="180" w:line="180" w:lineRule="exact"/>
    </w:pPr>
    <w:rPr>
      <w:sz w:val="21"/>
      <w:szCs w:val="21"/>
    </w:rPr>
  </w:style>
  <w:style w:type="paragraph" w:customStyle="1" w:styleId="95">
    <w:name w:val="封面正文"/>
    <w:qFormat/>
    <w:uiPriority w:val="0"/>
    <w:pPr>
      <w:jc w:val="both"/>
    </w:pPr>
    <w:rPr>
      <w:rFonts w:ascii="Times New Roman" w:hAnsi="Times New Roman" w:eastAsia="宋体" w:cs="Times New Roman"/>
      <w:lang w:val="en-US" w:eastAsia="zh-CN" w:bidi="ar-SA"/>
    </w:rPr>
  </w:style>
  <w:style w:type="paragraph" w:customStyle="1" w:styleId="96">
    <w:name w:val="附录标识"/>
    <w:basedOn w:val="1"/>
    <w:next w:val="26"/>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cs="黑体"/>
      <w:kern w:val="0"/>
    </w:rPr>
  </w:style>
  <w:style w:type="paragraph" w:customStyle="1" w:styleId="97">
    <w:name w:val="附录标题"/>
    <w:basedOn w:val="26"/>
    <w:next w:val="26"/>
    <w:qFormat/>
    <w:uiPriority w:val="0"/>
    <w:pPr>
      <w:ind w:firstLine="0" w:firstLineChars="0"/>
      <w:jc w:val="center"/>
    </w:pPr>
    <w:rPr>
      <w:rFonts w:ascii="黑体" w:eastAsia="黑体" w:cs="黑体"/>
    </w:rPr>
  </w:style>
  <w:style w:type="paragraph" w:customStyle="1" w:styleId="98">
    <w:name w:val="附录表标号"/>
    <w:basedOn w:val="1"/>
    <w:next w:val="26"/>
    <w:qFormat/>
    <w:uiPriority w:val="0"/>
    <w:pPr>
      <w:numPr>
        <w:ilvl w:val="0"/>
        <w:numId w:val="11"/>
      </w:numPr>
      <w:spacing w:line="14" w:lineRule="exact"/>
      <w:ind w:left="811" w:hanging="448"/>
      <w:jc w:val="center"/>
      <w:outlineLvl w:val="0"/>
    </w:pPr>
    <w:rPr>
      <w:color w:val="FFFFFF"/>
    </w:rPr>
  </w:style>
  <w:style w:type="paragraph" w:customStyle="1" w:styleId="99">
    <w:name w:val="附录表标题"/>
    <w:basedOn w:val="1"/>
    <w:next w:val="26"/>
    <w:qFormat/>
    <w:uiPriority w:val="0"/>
    <w:pPr>
      <w:numPr>
        <w:ilvl w:val="1"/>
        <w:numId w:val="11"/>
      </w:numPr>
      <w:tabs>
        <w:tab w:val="left" w:pos="180"/>
      </w:tabs>
      <w:spacing w:beforeLines="50" w:afterLines="50"/>
      <w:jc w:val="center"/>
    </w:pPr>
    <w:rPr>
      <w:rFonts w:ascii="黑体" w:eastAsia="黑体" w:cs="黑体"/>
    </w:rPr>
  </w:style>
  <w:style w:type="paragraph" w:customStyle="1" w:styleId="100">
    <w:name w:val="附录二级条标题"/>
    <w:basedOn w:val="1"/>
    <w:next w:val="26"/>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cs="黑体"/>
      <w:kern w:val="21"/>
    </w:rPr>
  </w:style>
  <w:style w:type="paragraph" w:customStyle="1" w:styleId="101">
    <w:name w:val="附录二级无"/>
    <w:basedOn w:val="100"/>
    <w:qFormat/>
    <w:uiPriority w:val="0"/>
    <w:pPr>
      <w:tabs>
        <w:tab w:val="clear" w:pos="360"/>
      </w:tabs>
      <w:spacing w:beforeLines="0" w:afterLines="0"/>
    </w:pPr>
    <w:rPr>
      <w:rFonts w:ascii="宋体" w:eastAsia="宋体" w:cs="宋体"/>
    </w:rPr>
  </w:style>
  <w:style w:type="paragraph" w:customStyle="1" w:styleId="102">
    <w:name w:val="附录公式"/>
    <w:basedOn w:val="26"/>
    <w:next w:val="26"/>
    <w:link w:val="103"/>
    <w:qFormat/>
    <w:uiPriority w:val="0"/>
  </w:style>
  <w:style w:type="character" w:customStyle="1" w:styleId="103">
    <w:name w:val="附录公式 Char"/>
    <w:basedOn w:val="53"/>
    <w:link w:val="102"/>
    <w:qFormat/>
    <w:locked/>
    <w:uiPriority w:val="0"/>
    <w:rPr>
      <w:rFonts w:ascii="宋体" w:cs="宋体"/>
      <w:sz w:val="21"/>
      <w:szCs w:val="21"/>
      <w:lang w:val="en-US" w:eastAsia="zh-CN" w:bidi="ar-SA"/>
    </w:rPr>
  </w:style>
  <w:style w:type="paragraph" w:customStyle="1" w:styleId="104">
    <w:name w:val="附录公式编号制表符"/>
    <w:basedOn w:val="1"/>
    <w:next w:val="26"/>
    <w:qFormat/>
    <w:uiPriority w:val="0"/>
    <w:pPr>
      <w:widowControl/>
      <w:tabs>
        <w:tab w:val="center" w:pos="4201"/>
        <w:tab w:val="right" w:leader="dot" w:pos="9298"/>
      </w:tabs>
      <w:autoSpaceDE w:val="0"/>
      <w:autoSpaceDN w:val="0"/>
    </w:pPr>
    <w:rPr>
      <w:rFonts w:ascii="宋体" w:cs="宋体"/>
      <w:kern w:val="0"/>
    </w:rPr>
  </w:style>
  <w:style w:type="paragraph" w:customStyle="1" w:styleId="105">
    <w:name w:val="附录三级条标题"/>
    <w:basedOn w:val="100"/>
    <w:next w:val="26"/>
    <w:qFormat/>
    <w:uiPriority w:val="0"/>
    <w:pPr>
      <w:numPr>
        <w:ilvl w:val="4"/>
      </w:numPr>
      <w:outlineLvl w:val="4"/>
    </w:pPr>
  </w:style>
  <w:style w:type="paragraph" w:customStyle="1" w:styleId="106">
    <w:name w:val="附录三级无"/>
    <w:basedOn w:val="105"/>
    <w:qFormat/>
    <w:uiPriority w:val="0"/>
    <w:pPr>
      <w:tabs>
        <w:tab w:val="clear" w:pos="360"/>
      </w:tabs>
      <w:spacing w:beforeLines="0" w:afterLines="0"/>
    </w:pPr>
    <w:rPr>
      <w:rFonts w:ascii="宋体" w:eastAsia="宋体" w:cs="宋体"/>
    </w:rPr>
  </w:style>
  <w:style w:type="paragraph" w:customStyle="1" w:styleId="107">
    <w:name w:val="附录数字编号列项（二级）"/>
    <w:qFormat/>
    <w:uiPriority w:val="0"/>
    <w:pPr>
      <w:numPr>
        <w:ilvl w:val="1"/>
        <w:numId w:val="12"/>
      </w:numPr>
    </w:pPr>
    <w:rPr>
      <w:rFonts w:ascii="宋体" w:hAnsi="Times New Roman" w:eastAsia="宋体" w:cs="宋体"/>
      <w:sz w:val="21"/>
      <w:szCs w:val="21"/>
      <w:lang w:val="en-US" w:eastAsia="zh-CN" w:bidi="ar-SA"/>
    </w:rPr>
  </w:style>
  <w:style w:type="paragraph" w:customStyle="1" w:styleId="108">
    <w:name w:val="附录四级条标题"/>
    <w:basedOn w:val="105"/>
    <w:next w:val="26"/>
    <w:qFormat/>
    <w:uiPriority w:val="0"/>
    <w:pPr>
      <w:numPr>
        <w:ilvl w:val="5"/>
      </w:numPr>
      <w:outlineLvl w:val="5"/>
    </w:pPr>
  </w:style>
  <w:style w:type="paragraph" w:customStyle="1" w:styleId="109">
    <w:name w:val="附录四级无"/>
    <w:basedOn w:val="108"/>
    <w:qFormat/>
    <w:uiPriority w:val="0"/>
    <w:pPr>
      <w:tabs>
        <w:tab w:val="clear" w:pos="360"/>
      </w:tabs>
      <w:spacing w:beforeLines="0" w:afterLines="0"/>
    </w:pPr>
    <w:rPr>
      <w:rFonts w:ascii="宋体" w:eastAsia="宋体" w:cs="宋体"/>
    </w:rPr>
  </w:style>
  <w:style w:type="paragraph" w:customStyle="1" w:styleId="110">
    <w:name w:val="附录图标号"/>
    <w:basedOn w:val="1"/>
    <w:qFormat/>
    <w:uiPriority w:val="0"/>
    <w:pPr>
      <w:keepNext/>
      <w:pageBreakBefore/>
      <w:widowControl/>
      <w:numPr>
        <w:ilvl w:val="0"/>
        <w:numId w:val="13"/>
      </w:numPr>
      <w:spacing w:line="14" w:lineRule="exact"/>
      <w:ind w:firstLine="363"/>
      <w:jc w:val="center"/>
      <w:outlineLvl w:val="0"/>
    </w:pPr>
    <w:rPr>
      <w:color w:val="FFFFFF"/>
    </w:rPr>
  </w:style>
  <w:style w:type="paragraph" w:customStyle="1" w:styleId="111">
    <w:name w:val="附录图标题"/>
    <w:basedOn w:val="1"/>
    <w:next w:val="26"/>
    <w:qFormat/>
    <w:uiPriority w:val="0"/>
    <w:pPr>
      <w:numPr>
        <w:ilvl w:val="1"/>
        <w:numId w:val="13"/>
      </w:numPr>
      <w:tabs>
        <w:tab w:val="left" w:pos="363"/>
      </w:tabs>
      <w:spacing w:beforeLines="50" w:afterLines="50"/>
      <w:jc w:val="center"/>
    </w:pPr>
    <w:rPr>
      <w:rFonts w:ascii="黑体" w:eastAsia="黑体" w:cs="黑体"/>
    </w:rPr>
  </w:style>
  <w:style w:type="paragraph" w:customStyle="1" w:styleId="112">
    <w:name w:val="附录五级条标题"/>
    <w:basedOn w:val="108"/>
    <w:next w:val="26"/>
    <w:qFormat/>
    <w:uiPriority w:val="0"/>
    <w:pPr>
      <w:numPr>
        <w:ilvl w:val="6"/>
      </w:numPr>
      <w:outlineLvl w:val="6"/>
    </w:pPr>
  </w:style>
  <w:style w:type="paragraph" w:customStyle="1" w:styleId="113">
    <w:name w:val="附录五级无"/>
    <w:basedOn w:val="112"/>
    <w:qFormat/>
    <w:uiPriority w:val="0"/>
    <w:pPr>
      <w:tabs>
        <w:tab w:val="clear" w:pos="360"/>
      </w:tabs>
      <w:spacing w:beforeLines="0" w:afterLines="0"/>
    </w:pPr>
    <w:rPr>
      <w:rFonts w:ascii="宋体" w:eastAsia="宋体" w:cs="宋体"/>
    </w:rPr>
  </w:style>
  <w:style w:type="paragraph" w:customStyle="1" w:styleId="114">
    <w:name w:val="附录章标题"/>
    <w:next w:val="26"/>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黑体"/>
      <w:kern w:val="21"/>
      <w:sz w:val="21"/>
      <w:szCs w:val="21"/>
      <w:lang w:val="en-US" w:eastAsia="zh-CN" w:bidi="ar-SA"/>
    </w:rPr>
  </w:style>
  <w:style w:type="paragraph" w:customStyle="1" w:styleId="115">
    <w:name w:val="附录一级条标题"/>
    <w:basedOn w:val="114"/>
    <w:next w:val="26"/>
    <w:qFormat/>
    <w:uiPriority w:val="0"/>
    <w:pPr>
      <w:numPr>
        <w:ilvl w:val="2"/>
      </w:numPr>
      <w:autoSpaceDN w:val="0"/>
      <w:spacing w:beforeLines="50" w:afterLines="50"/>
      <w:outlineLvl w:val="2"/>
    </w:pPr>
  </w:style>
  <w:style w:type="paragraph" w:customStyle="1" w:styleId="116">
    <w:name w:val="附录一级无"/>
    <w:basedOn w:val="115"/>
    <w:qFormat/>
    <w:uiPriority w:val="0"/>
    <w:pPr>
      <w:tabs>
        <w:tab w:val="clear" w:pos="360"/>
      </w:tabs>
      <w:spacing w:beforeLines="0" w:afterLines="0"/>
    </w:pPr>
    <w:rPr>
      <w:rFonts w:ascii="宋体" w:eastAsia="宋体" w:cs="宋体"/>
    </w:rPr>
  </w:style>
  <w:style w:type="paragraph" w:customStyle="1" w:styleId="117">
    <w:name w:val="附录字母编号列项（一级）"/>
    <w:qFormat/>
    <w:uiPriority w:val="0"/>
    <w:pPr>
      <w:numPr>
        <w:ilvl w:val="0"/>
        <w:numId w:val="12"/>
      </w:numPr>
    </w:pPr>
    <w:rPr>
      <w:rFonts w:ascii="宋体" w:hAnsi="Times New Roman" w:eastAsia="宋体" w:cs="宋体"/>
      <w:sz w:val="21"/>
      <w:szCs w:val="21"/>
      <w:lang w:val="en-US" w:eastAsia="zh-CN" w:bidi="ar-SA"/>
    </w:rPr>
  </w:style>
  <w:style w:type="paragraph" w:customStyle="1" w:styleId="118">
    <w:name w:val="列项说明"/>
    <w:basedOn w:val="1"/>
    <w:qFormat/>
    <w:uiPriority w:val="0"/>
    <w:pPr>
      <w:adjustRightInd w:val="0"/>
      <w:spacing w:line="320" w:lineRule="exact"/>
      <w:ind w:left="400" w:leftChars="200" w:hanging="200" w:hangingChars="200"/>
      <w:jc w:val="left"/>
      <w:textAlignment w:val="baseline"/>
    </w:pPr>
    <w:rPr>
      <w:rFonts w:ascii="宋体" w:cs="宋体"/>
      <w:kern w:val="0"/>
    </w:rPr>
  </w:style>
  <w:style w:type="paragraph" w:customStyle="1" w:styleId="119">
    <w:name w:val="列项说明数字编号"/>
    <w:qFormat/>
    <w:uiPriority w:val="0"/>
    <w:pPr>
      <w:ind w:left="600" w:leftChars="400" w:hanging="200" w:hangingChars="200"/>
    </w:pPr>
    <w:rPr>
      <w:rFonts w:ascii="宋体" w:hAnsi="Times New Roman" w:eastAsia="宋体" w:cs="宋体"/>
      <w:sz w:val="21"/>
      <w:szCs w:val="21"/>
      <w:lang w:val="en-US" w:eastAsia="zh-CN" w:bidi="ar-SA"/>
    </w:rPr>
  </w:style>
  <w:style w:type="paragraph" w:customStyle="1" w:styleId="120">
    <w:name w:val="目次、索引正文"/>
    <w:qFormat/>
    <w:uiPriority w:val="0"/>
    <w:pPr>
      <w:spacing w:line="320" w:lineRule="exact"/>
      <w:jc w:val="both"/>
    </w:pPr>
    <w:rPr>
      <w:rFonts w:ascii="宋体" w:hAnsi="Times New Roman" w:eastAsia="宋体" w:cs="宋体"/>
      <w:sz w:val="21"/>
      <w:szCs w:val="21"/>
      <w:lang w:val="en-US" w:eastAsia="zh-CN" w:bidi="ar-SA"/>
    </w:rPr>
  </w:style>
  <w:style w:type="paragraph" w:customStyle="1" w:styleId="121">
    <w:name w:val="其他标准标志"/>
    <w:basedOn w:val="78"/>
    <w:qFormat/>
    <w:uiPriority w:val="0"/>
    <w:pPr>
      <w:framePr w:w="6101" w:wrap="around" w:vAnchor="page" w:hAnchor="page" w:x="4673" w:y="942"/>
    </w:pPr>
    <w:rPr>
      <w:w w:val="130"/>
    </w:rPr>
  </w:style>
  <w:style w:type="paragraph" w:customStyle="1" w:styleId="122">
    <w:name w:val="其他标准称谓"/>
    <w:next w:val="1"/>
    <w:qFormat/>
    <w:uiPriority w:val="0"/>
    <w:pPr>
      <w:framePr w:hSpace="181" w:vSpace="181" w:wrap="around" w:vAnchor="page" w:hAnchor="page" w:x="1419" w:y="2286" w:anchorLock="1"/>
      <w:spacing w:line="240" w:lineRule="atLeast"/>
      <w:jc w:val="distribute"/>
    </w:pPr>
    <w:rPr>
      <w:rFonts w:ascii="黑体" w:hAnsi="宋体" w:eastAsia="黑体" w:cs="黑体"/>
      <w:spacing w:val="-40"/>
      <w:sz w:val="48"/>
      <w:szCs w:val="48"/>
      <w:lang w:val="en-US" w:eastAsia="zh-CN" w:bidi="ar-SA"/>
    </w:rPr>
  </w:style>
  <w:style w:type="paragraph" w:customStyle="1" w:styleId="123">
    <w:name w:val="其他发布部门"/>
    <w:basedOn w:val="86"/>
    <w:qFormat/>
    <w:uiPriority w:val="0"/>
    <w:pPr>
      <w:framePr w:wrap="around" w:y="15310"/>
      <w:spacing w:line="240" w:lineRule="atLeast"/>
    </w:pPr>
    <w:rPr>
      <w:rFonts w:ascii="黑体" w:eastAsia="黑体" w:cs="黑体"/>
      <w:b w:val="0"/>
      <w:bCs w:val="0"/>
    </w:rPr>
  </w:style>
  <w:style w:type="paragraph" w:customStyle="1" w:styleId="124">
    <w:name w:val="前言、引言标题"/>
    <w:next w:val="26"/>
    <w:qFormat/>
    <w:uiPriority w:val="0"/>
    <w:pPr>
      <w:keepNext/>
      <w:pageBreakBefore/>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125">
    <w:name w:val="三级无"/>
    <w:basedOn w:val="63"/>
    <w:qFormat/>
    <w:uiPriority w:val="0"/>
    <w:pPr>
      <w:spacing w:beforeLines="0" w:afterLines="0"/>
    </w:pPr>
    <w:rPr>
      <w:rFonts w:ascii="宋体" w:eastAsia="宋体" w:cs="宋体"/>
    </w:rPr>
  </w:style>
  <w:style w:type="paragraph" w:customStyle="1" w:styleId="126">
    <w:name w:val="实施日期"/>
    <w:basedOn w:val="87"/>
    <w:qFormat/>
    <w:uiPriority w:val="0"/>
    <w:pPr>
      <w:framePr w:wrap="around" w:vAnchor="page" w:hAnchor="text"/>
      <w:jc w:val="right"/>
    </w:pPr>
  </w:style>
  <w:style w:type="paragraph" w:customStyle="1" w:styleId="127">
    <w:name w:val="示例后文字"/>
    <w:basedOn w:val="26"/>
    <w:next w:val="26"/>
    <w:qFormat/>
    <w:uiPriority w:val="0"/>
    <w:pPr>
      <w:ind w:firstLine="360"/>
    </w:pPr>
    <w:rPr>
      <w:sz w:val="18"/>
      <w:szCs w:val="18"/>
    </w:rPr>
  </w:style>
  <w:style w:type="paragraph" w:customStyle="1" w:styleId="128">
    <w:name w:val="首示例"/>
    <w:next w:val="26"/>
    <w:link w:val="129"/>
    <w:qFormat/>
    <w:uiPriority w:val="0"/>
    <w:pPr>
      <w:numPr>
        <w:ilvl w:val="0"/>
        <w:numId w:val="14"/>
      </w:numPr>
      <w:tabs>
        <w:tab w:val="left" w:pos="360"/>
      </w:tabs>
    </w:pPr>
    <w:rPr>
      <w:rFonts w:ascii="宋体" w:hAnsi="宋体" w:eastAsia="宋体" w:cs="宋体"/>
      <w:kern w:val="2"/>
      <w:sz w:val="18"/>
      <w:szCs w:val="18"/>
      <w:lang w:val="en-US" w:eastAsia="zh-CN" w:bidi="ar-SA"/>
    </w:rPr>
  </w:style>
  <w:style w:type="character" w:customStyle="1" w:styleId="129">
    <w:name w:val="首示例 Char"/>
    <w:basedOn w:val="38"/>
    <w:link w:val="128"/>
    <w:qFormat/>
    <w:locked/>
    <w:uiPriority w:val="0"/>
    <w:rPr>
      <w:rFonts w:ascii="宋体" w:hAnsi="宋体" w:cs="宋体"/>
      <w:kern w:val="2"/>
      <w:sz w:val="18"/>
      <w:szCs w:val="18"/>
    </w:rPr>
  </w:style>
  <w:style w:type="paragraph" w:customStyle="1" w:styleId="130">
    <w:name w:val="四级无"/>
    <w:basedOn w:val="67"/>
    <w:qFormat/>
    <w:uiPriority w:val="0"/>
    <w:pPr>
      <w:spacing w:beforeLines="0" w:afterLines="0"/>
    </w:pPr>
    <w:rPr>
      <w:rFonts w:ascii="宋体" w:eastAsia="宋体" w:cs="宋体"/>
    </w:rPr>
  </w:style>
  <w:style w:type="paragraph" w:customStyle="1" w:styleId="131">
    <w:name w:val="条文脚注"/>
    <w:basedOn w:val="27"/>
    <w:qFormat/>
    <w:uiPriority w:val="0"/>
    <w:pPr>
      <w:numPr>
        <w:numId w:val="0"/>
      </w:numPr>
      <w:jc w:val="both"/>
    </w:pPr>
  </w:style>
  <w:style w:type="paragraph" w:customStyle="1" w:styleId="132">
    <w:name w:val="图标脚注说明"/>
    <w:basedOn w:val="26"/>
    <w:qFormat/>
    <w:uiPriority w:val="0"/>
    <w:pPr>
      <w:ind w:left="840" w:hanging="420" w:firstLineChars="0"/>
    </w:pPr>
    <w:rPr>
      <w:sz w:val="18"/>
      <w:szCs w:val="18"/>
    </w:rPr>
  </w:style>
  <w:style w:type="paragraph" w:customStyle="1" w:styleId="133">
    <w:name w:val="图表脚注说明"/>
    <w:basedOn w:val="1"/>
    <w:qFormat/>
    <w:uiPriority w:val="0"/>
    <w:pPr>
      <w:numPr>
        <w:ilvl w:val="0"/>
        <w:numId w:val="15"/>
      </w:numPr>
    </w:pPr>
    <w:rPr>
      <w:rFonts w:ascii="宋体" w:cs="宋体"/>
      <w:sz w:val="18"/>
      <w:szCs w:val="18"/>
    </w:rPr>
  </w:style>
  <w:style w:type="paragraph" w:customStyle="1" w:styleId="134">
    <w:name w:val="图的脚注"/>
    <w:next w:val="26"/>
    <w:qFormat/>
    <w:uiPriority w:val="0"/>
    <w:pPr>
      <w:widowControl w:val="0"/>
      <w:ind w:left="840" w:leftChars="200" w:hanging="420" w:hangingChars="200"/>
      <w:jc w:val="both"/>
    </w:pPr>
    <w:rPr>
      <w:rFonts w:ascii="宋体" w:hAnsi="Times New Roman" w:eastAsia="宋体" w:cs="宋体"/>
      <w:sz w:val="18"/>
      <w:szCs w:val="18"/>
      <w:lang w:val="en-US" w:eastAsia="zh-CN" w:bidi="ar-SA"/>
    </w:rPr>
  </w:style>
  <w:style w:type="paragraph" w:customStyle="1" w:styleId="135">
    <w:name w:val="文献分类号"/>
    <w:qFormat/>
    <w:uiPriority w:val="0"/>
    <w:pPr>
      <w:framePr w:hSpace="180" w:vSpace="180" w:wrap="around" w:vAnchor="margin" w:hAnchor="margin" w:y="1" w:anchorLock="1"/>
      <w:widowControl w:val="0"/>
      <w:textAlignment w:val="center"/>
    </w:pPr>
    <w:rPr>
      <w:rFonts w:ascii="黑体" w:hAnsi="Times New Roman" w:eastAsia="黑体" w:cs="黑体"/>
      <w:sz w:val="21"/>
      <w:szCs w:val="21"/>
      <w:lang w:val="en-US" w:eastAsia="zh-CN" w:bidi="ar-SA"/>
    </w:rPr>
  </w:style>
  <w:style w:type="paragraph" w:customStyle="1" w:styleId="136">
    <w:name w:val="五级无"/>
    <w:basedOn w:val="68"/>
    <w:qFormat/>
    <w:uiPriority w:val="0"/>
    <w:pPr>
      <w:spacing w:beforeLines="0" w:afterLines="0"/>
    </w:pPr>
    <w:rPr>
      <w:rFonts w:ascii="宋体" w:eastAsia="宋体" w:cs="宋体"/>
    </w:rPr>
  </w:style>
  <w:style w:type="paragraph" w:customStyle="1" w:styleId="137">
    <w:name w:val="一级无"/>
    <w:basedOn w:val="54"/>
    <w:qFormat/>
    <w:uiPriority w:val="0"/>
    <w:pPr>
      <w:spacing w:beforeLines="0" w:afterLines="0"/>
    </w:pPr>
    <w:rPr>
      <w:rFonts w:ascii="宋体" w:eastAsia="宋体" w:cs="宋体"/>
    </w:rPr>
  </w:style>
  <w:style w:type="paragraph" w:customStyle="1" w:styleId="138">
    <w:name w:val="正文表标题"/>
    <w:next w:val="26"/>
    <w:qFormat/>
    <w:uiPriority w:val="0"/>
    <w:pPr>
      <w:numPr>
        <w:ilvl w:val="0"/>
        <w:numId w:val="16"/>
      </w:numPr>
      <w:tabs>
        <w:tab w:val="left" w:pos="360"/>
      </w:tabs>
      <w:spacing w:beforeLines="50" w:afterLines="50"/>
      <w:jc w:val="center"/>
    </w:pPr>
    <w:rPr>
      <w:rFonts w:ascii="黑体" w:hAnsi="Times New Roman" w:eastAsia="黑体" w:cs="黑体"/>
      <w:sz w:val="21"/>
      <w:szCs w:val="21"/>
      <w:lang w:val="en-US" w:eastAsia="zh-CN" w:bidi="ar-SA"/>
    </w:rPr>
  </w:style>
  <w:style w:type="paragraph" w:customStyle="1" w:styleId="139">
    <w:name w:val="正文公式编号制表符"/>
    <w:basedOn w:val="26"/>
    <w:next w:val="26"/>
    <w:qFormat/>
    <w:uiPriority w:val="0"/>
    <w:pPr>
      <w:ind w:firstLine="0" w:firstLineChars="0"/>
    </w:pPr>
  </w:style>
  <w:style w:type="paragraph" w:customStyle="1" w:styleId="140">
    <w:name w:val="正文图标题"/>
    <w:next w:val="26"/>
    <w:qFormat/>
    <w:uiPriority w:val="0"/>
    <w:pPr>
      <w:numPr>
        <w:ilvl w:val="0"/>
        <w:numId w:val="17"/>
      </w:numPr>
      <w:tabs>
        <w:tab w:val="left" w:pos="360"/>
      </w:tabs>
      <w:spacing w:beforeLines="50" w:afterLines="50"/>
      <w:jc w:val="center"/>
    </w:pPr>
    <w:rPr>
      <w:rFonts w:ascii="黑体" w:hAnsi="Times New Roman" w:eastAsia="黑体" w:cs="黑体"/>
      <w:sz w:val="21"/>
      <w:szCs w:val="21"/>
      <w:lang w:val="en-US" w:eastAsia="zh-CN" w:bidi="ar-SA"/>
    </w:rPr>
  </w:style>
  <w:style w:type="paragraph" w:customStyle="1" w:styleId="141">
    <w:name w:val="终结线"/>
    <w:basedOn w:val="1"/>
    <w:qFormat/>
    <w:uiPriority w:val="0"/>
    <w:pPr>
      <w:framePr w:hSpace="181" w:vSpace="181" w:wrap="around" w:vAnchor="text" w:hAnchor="margin" w:xAlign="center" w:y="285"/>
    </w:pPr>
  </w:style>
  <w:style w:type="paragraph" w:customStyle="1" w:styleId="142">
    <w:name w:val="其他发布日期"/>
    <w:basedOn w:val="87"/>
    <w:qFormat/>
    <w:uiPriority w:val="0"/>
    <w:pPr>
      <w:framePr w:wrap="around" w:vAnchor="page" w:hAnchor="text" w:x="1419"/>
    </w:pPr>
  </w:style>
  <w:style w:type="paragraph" w:customStyle="1" w:styleId="143">
    <w:name w:val="其他实施日期"/>
    <w:basedOn w:val="126"/>
    <w:qFormat/>
    <w:uiPriority w:val="0"/>
    <w:pPr>
      <w:framePr w:wrap="around"/>
    </w:pPr>
  </w:style>
  <w:style w:type="paragraph" w:customStyle="1" w:styleId="144">
    <w:name w:val="封面标准名称2"/>
    <w:basedOn w:val="90"/>
    <w:qFormat/>
    <w:uiPriority w:val="0"/>
    <w:pPr>
      <w:framePr w:wrap="around" w:y="4469"/>
      <w:spacing w:beforeLines="630"/>
    </w:pPr>
  </w:style>
  <w:style w:type="paragraph" w:customStyle="1" w:styleId="145">
    <w:name w:val="封面标准英文名称2"/>
    <w:basedOn w:val="91"/>
    <w:qFormat/>
    <w:uiPriority w:val="0"/>
    <w:pPr>
      <w:framePr w:wrap="around" w:y="4469"/>
    </w:pPr>
  </w:style>
  <w:style w:type="paragraph" w:customStyle="1" w:styleId="146">
    <w:name w:val="封面一致性程度标识2"/>
    <w:basedOn w:val="92"/>
    <w:qFormat/>
    <w:uiPriority w:val="0"/>
    <w:pPr>
      <w:framePr w:wrap="around" w:y="4469"/>
    </w:pPr>
  </w:style>
  <w:style w:type="paragraph" w:customStyle="1" w:styleId="147">
    <w:name w:val="封面标准文稿类别2"/>
    <w:basedOn w:val="93"/>
    <w:qFormat/>
    <w:uiPriority w:val="0"/>
    <w:pPr>
      <w:framePr w:wrap="around" w:y="4469"/>
    </w:pPr>
  </w:style>
  <w:style w:type="paragraph" w:customStyle="1" w:styleId="148">
    <w:name w:val="封面标准文稿编辑信息2"/>
    <w:basedOn w:val="94"/>
    <w:qFormat/>
    <w:uiPriority w:val="0"/>
    <w:pPr>
      <w:framePr w:wrap="around" w:y="4469"/>
    </w:pPr>
  </w:style>
  <w:style w:type="character" w:customStyle="1" w:styleId="149">
    <w:name w:val="章标题 Char"/>
    <w:link w:val="57"/>
    <w:qFormat/>
    <w:locked/>
    <w:uiPriority w:val="0"/>
    <w:rPr>
      <w:rFonts w:ascii="黑体" w:eastAsia="黑体"/>
      <w:sz w:val="21"/>
    </w:rPr>
  </w:style>
  <w:style w:type="character" w:customStyle="1" w:styleId="150">
    <w:name w:val="一级条标题 Char"/>
    <w:link w:val="54"/>
    <w:qFormat/>
    <w:locked/>
    <w:uiPriority w:val="0"/>
    <w:rPr>
      <w:rFonts w:ascii="黑体" w:eastAsia="黑体"/>
      <w:sz w:val="21"/>
    </w:rPr>
  </w:style>
  <w:style w:type="character" w:customStyle="1" w:styleId="151">
    <w:name w:val="二级条标题 Char"/>
    <w:basedOn w:val="150"/>
    <w:link w:val="58"/>
    <w:qFormat/>
    <w:locked/>
    <w:uiPriority w:val="0"/>
    <w:rPr>
      <w:rFonts w:ascii="黑体" w:eastAsia="黑体"/>
      <w:sz w:val="21"/>
    </w:rPr>
  </w:style>
  <w:style w:type="character" w:customStyle="1" w:styleId="152">
    <w:name w:val="标题 1 Char"/>
    <w:basedOn w:val="38"/>
    <w:link w:val="2"/>
    <w:qFormat/>
    <w:uiPriority w:val="9"/>
    <w:rPr>
      <w:rFonts w:ascii="宋体" w:hAnsi="宋体" w:cs="宋体"/>
      <w:b/>
      <w:bCs/>
      <w:kern w:val="36"/>
      <w:sz w:val="48"/>
      <w:szCs w:val="48"/>
    </w:rPr>
  </w:style>
  <w:style w:type="character" w:customStyle="1" w:styleId="153">
    <w:name w:val="页脚 字符"/>
    <w:qFormat/>
    <w:locked/>
    <w:uiPriority w:val="99"/>
    <w:rPr>
      <w:kern w:val="2"/>
      <w:sz w:val="18"/>
      <w:szCs w:val="18"/>
    </w:rPr>
  </w:style>
  <w:style w:type="character" w:customStyle="1" w:styleId="154">
    <w:name w:val="日期 Char"/>
    <w:basedOn w:val="38"/>
    <w:link w:val="17"/>
    <w:qFormat/>
    <w:uiPriority w:val="0"/>
    <w:rPr>
      <w:kern w:val="2"/>
      <w:sz w:val="21"/>
      <w:szCs w:val="21"/>
    </w:rPr>
  </w:style>
  <w:style w:type="paragraph" w:customStyle="1" w:styleId="155">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156">
    <w:name w:val="MTConvertedEquation"/>
    <w:basedOn w:val="38"/>
    <w:qFormat/>
    <w:uiPriority w:val="0"/>
    <w:rPr>
      <w:rFonts w:ascii="Cambria Math" w:hAnsi="Cambria Math" w:cs="Times New Roman"/>
    </w:rPr>
  </w:style>
  <w:style w:type="character" w:customStyle="1" w:styleId="157">
    <w:name w:val="标题 2 Char"/>
    <w:basedOn w:val="38"/>
    <w:link w:val="3"/>
    <w:qFormat/>
    <w:uiPriority w:val="9"/>
    <w:rPr>
      <w:rFonts w:asciiTheme="majorHAnsi" w:hAnsiTheme="majorHAnsi" w:eastAsiaTheme="majorEastAsia" w:cstheme="majorBidi"/>
      <w:b/>
      <w:bCs/>
      <w:kern w:val="2"/>
      <w:sz w:val="32"/>
      <w:szCs w:val="32"/>
    </w:rPr>
  </w:style>
  <w:style w:type="paragraph" w:customStyle="1" w:styleId="158">
    <w:name w:val="正文1"/>
    <w:qFormat/>
    <w:uiPriority w:val="0"/>
    <w:pPr>
      <w:jc w:val="both"/>
    </w:pPr>
    <w:rPr>
      <w:rFonts w:ascii="Times New Roman" w:hAnsi="Times New Roman" w:eastAsia="宋体" w:cs="Times New Roman"/>
      <w:kern w:val="2"/>
      <w:sz w:val="21"/>
      <w:szCs w:val="21"/>
      <w:lang w:val="en-US" w:eastAsia="zh-CN" w:bidi="ar-SA"/>
    </w:rPr>
  </w:style>
  <w:style w:type="paragraph" w:styleId="159">
    <w:name w:val="List Paragraph"/>
    <w:basedOn w:val="1"/>
    <w:qFormat/>
    <w:uiPriority w:val="34"/>
    <w:pPr>
      <w:widowControl/>
      <w:ind w:firstLine="420" w:firstLineChars="200"/>
      <w:jc w:val="left"/>
    </w:pPr>
    <w:rPr>
      <w:rFonts w:ascii="宋体" w:hAnsi="宋体" w:cs="宋体"/>
      <w:kern w:val="0"/>
      <w:sz w:val="24"/>
      <w:szCs w:val="24"/>
    </w:rPr>
  </w:style>
  <w:style w:type="paragraph" w:customStyle="1" w:styleId="160">
    <w:name w:val="_Style 2"/>
    <w:basedOn w:val="2"/>
    <w:next w:val="1"/>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wmf"/><Relationship Id="rId12" Type="http://schemas.openxmlformats.org/officeDocument/2006/relationships/oleObject" Target="embeddings/oleObject1.bin"/><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3" textRotate="1"/>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6F1654-FCFE-4500-8306-6A4E54F3F3F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10466</Words>
  <Characters>11416</Characters>
  <Lines>50</Lines>
  <Paragraphs>14</Paragraphs>
  <TotalTime>16</TotalTime>
  <ScaleCrop>false</ScaleCrop>
  <LinksUpToDate>false</LinksUpToDate>
  <CharactersWithSpaces>11610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2020-06-02T01:28:00Z</dcterms:created>
  <dc:creator>CNIS</dc:creator>
  <cp:lastModifiedBy>wangqiang</cp:lastModifiedBy>
  <cp:lastPrinted>2022-05-07T09:37:00Z</cp:lastPrinted>
  <dcterms:modified xsi:type="dcterms:W3CDTF">2022-11-20T07:41:03Z</dcterms:modified>
  <dc:title>标准名称</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162FED2E0C1A49598C8BF963ABDF73D0</vt:lpwstr>
  </property>
  <property fmtid="{D5CDD505-2E9C-101B-9397-08002B2CF9AE}" pid="4" name="MTWinEqns">
    <vt:bool>true</vt:bool>
  </property>
</Properties>
</file>