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6"/>
        <w:framePr w:wrap="around"/>
        <w:tabs>
          <w:tab w:val="left" w:pos="7371"/>
        </w:tabs>
        <w:rPr>
          <w:rFonts w:hint="eastAsia" w:ascii="Times New Roman" w:eastAsia="黑体" w:cs="Times New Roman"/>
          <w:color w:val="auto"/>
          <w:lang w:eastAsia="zh-CN"/>
        </w:rPr>
      </w:pPr>
      <w:bookmarkStart w:id="0" w:name="_Hlk101526748"/>
      <w:r>
        <w:rPr>
          <w:rFonts w:ascii="Times New Roman" w:cs="Times New Roman"/>
          <w:color w:val="auto"/>
        </w:rPr>
        <w:t>ICS 77.</w:t>
      </w:r>
      <w:r>
        <w:rPr>
          <w:rFonts w:hint="eastAsia" w:ascii="Times New Roman" w:cs="Times New Roman"/>
          <w:color w:val="auto"/>
          <w:lang w:val="en-US" w:eastAsia="zh-CN"/>
        </w:rPr>
        <w:t>XX</w:t>
      </w:r>
      <w:r>
        <w:rPr>
          <w:rFonts w:ascii="Times New Roman" w:cs="Times New Roman"/>
          <w:color w:val="auto"/>
        </w:rPr>
        <w:t>.</w:t>
      </w:r>
      <w:r>
        <w:rPr>
          <w:rFonts w:hint="eastAsia" w:ascii="Times New Roman" w:cs="Times New Roman"/>
          <w:color w:val="auto"/>
          <w:lang w:val="en-US" w:eastAsia="zh-CN"/>
        </w:rPr>
        <w:t>XX</w:t>
      </w:r>
    </w:p>
    <w:p>
      <w:pPr>
        <w:pStyle w:val="136"/>
        <w:framePr w:wrap="around"/>
        <w:rPr>
          <w:rFonts w:hint="eastAsia" w:ascii="Times New Roman" w:eastAsia="黑体" w:cs="Times New Roman"/>
          <w:color w:val="auto"/>
          <w:lang w:val="en-US" w:eastAsia="zh-CN"/>
        </w:rPr>
      </w:pPr>
      <w:r>
        <w:rPr>
          <w:rFonts w:ascii="Times New Roman" w:cs="Times New Roman"/>
          <w:color w:val="auto"/>
        </w:rPr>
        <w:t xml:space="preserve">CCS H </w:t>
      </w:r>
      <w:r>
        <w:rPr>
          <w:rFonts w:hint="eastAsia" w:ascii="Times New Roman" w:cs="Times New Roman"/>
          <w:color w:val="auto"/>
          <w:lang w:val="en-US" w:eastAsia="zh-CN"/>
        </w:rPr>
        <w:t>XX</w:t>
      </w:r>
    </w:p>
    <w:bookmarkEnd w:id="0"/>
    <w:p>
      <w:pPr>
        <w:pStyle w:val="80"/>
        <w:framePr w:w="0" w:hRule="auto" w:wrap="around" w:x="1368" w:y="2365"/>
        <w:rPr>
          <w:rFonts w:ascii="Times New Roman" w:cs="Times New Roman"/>
          <w:color w:val="auto"/>
        </w:rPr>
      </w:pPr>
      <w:r>
        <w:rPr>
          <w:rFonts w:ascii="Times New Roman" w:cs="Times New Roman"/>
          <w:color w:val="auto"/>
        </w:rPr>
        <w:t>团体标准</w:t>
      </w:r>
    </w:p>
    <w:p>
      <w:pPr>
        <w:pStyle w:val="60"/>
        <w:framePr w:w="9366" w:h="1689" w:hRule="exact" w:wrap="around" w:x="1733" w:y="2604"/>
        <w:rPr>
          <w:rFonts w:ascii="Times New Roman" w:cs="Times New Roman"/>
          <w:color w:val="auto"/>
        </w:rPr>
      </w:pPr>
    </w:p>
    <w:p>
      <w:pPr>
        <w:pStyle w:val="124"/>
        <w:framePr w:w="9366" w:h="1689" w:hRule="exact" w:hSpace="284" w:vSpace="0" w:wrap="around" w:x="1733" w:y="2604"/>
        <w:jc w:val="right"/>
        <w:rPr>
          <w:rFonts w:ascii="Times New Roman" w:cs="Times New Roman"/>
          <w:color w:val="auto"/>
          <w:spacing w:val="0"/>
          <w:w w:val="100"/>
        </w:rPr>
      </w:pPr>
      <w:r>
        <w:rPr>
          <w:rFonts w:ascii="Times New Roman" w:cs="Times New Roman"/>
          <w:color w:val="auto"/>
          <w:spacing w:val="0"/>
          <w:w w:val="100"/>
        </w:rPr>
        <w:t>T/SSEA</w:t>
      </w:r>
      <w:r>
        <w:rPr>
          <w:rFonts w:hint="eastAsia" w:ascii="Times New Roman" w:cs="Times New Roman"/>
          <w:color w:val="auto"/>
          <w:spacing w:val="0"/>
          <w:w w:val="100"/>
        </w:rPr>
        <w:t xml:space="preserve"> </w:t>
      </w:r>
      <w:r>
        <w:rPr>
          <w:rFonts w:hint="eastAsia" w:ascii="Times New Roman" w:cs="Times New Roman"/>
          <w:color w:val="auto"/>
          <w:spacing w:val="0"/>
          <w:w w:val="100"/>
          <w:lang w:val="en-US" w:eastAsia="zh-CN"/>
        </w:rPr>
        <w:t>XXX</w:t>
      </w:r>
      <w:r>
        <w:rPr>
          <w:rFonts w:ascii="Times New Roman" w:cs="Times New Roman"/>
          <w:color w:val="auto"/>
          <w:spacing w:val="0"/>
          <w:w w:val="100"/>
        </w:rPr>
        <w:t>—2022</w:t>
      </w:r>
    </w:p>
    <w:p>
      <w:pPr>
        <w:pStyle w:val="60"/>
        <w:framePr w:w="9366" w:h="1689" w:hRule="exact" w:wrap="around" w:x="1733" w:y="2604"/>
        <w:rPr>
          <w:rFonts w:ascii="Times New Roman" w:cs="Times New Roman"/>
          <w:color w:val="auto"/>
        </w:rPr>
      </w:pPr>
    </w:p>
    <w:p>
      <w:pPr>
        <w:pStyle w:val="60"/>
        <w:framePr w:w="9366" w:h="1689" w:hRule="exact" w:wrap="around" w:x="1733" w:y="2604"/>
        <w:rPr>
          <w:rFonts w:ascii="Times New Roman" w:cs="Times New Roman"/>
          <w:color w:val="auto"/>
        </w:rPr>
      </w:pPr>
    </w:p>
    <w:p>
      <w:pPr>
        <w:pStyle w:val="91"/>
        <w:keepNext w:val="0"/>
        <w:keepLines w:val="0"/>
        <w:pageBreakBefore w:val="0"/>
        <w:framePr w:h="7669" w:hRule="exact" w:wrap="around" w:x="1351" w:y="5593"/>
        <w:widowControl w:val="0"/>
        <w:kinsoku/>
        <w:wordWrap/>
        <w:overflowPunct/>
        <w:topLinePunct w:val="0"/>
        <w:autoSpaceDE/>
        <w:autoSpaceDN/>
        <w:bidi w:val="0"/>
        <w:adjustRightInd/>
        <w:snapToGrid/>
        <w:spacing w:line="240" w:lineRule="auto"/>
        <w:textAlignment w:val="center"/>
        <w:rPr>
          <w:rFonts w:hint="eastAsia" w:ascii="Times New Roman" w:cs="Times New Roman"/>
          <w:color w:val="auto"/>
        </w:rPr>
      </w:pPr>
      <w:r>
        <w:rPr>
          <w:rFonts w:hint="eastAsia" w:ascii="Times New Roman" w:cs="Times New Roman"/>
          <w:color w:val="auto"/>
        </w:rPr>
        <w:t>钢铁企业环境、社会和治理（ESG）</w:t>
      </w:r>
    </w:p>
    <w:p>
      <w:pPr>
        <w:pStyle w:val="91"/>
        <w:keepNext w:val="0"/>
        <w:keepLines w:val="0"/>
        <w:pageBreakBefore w:val="0"/>
        <w:framePr w:h="7669" w:hRule="exact" w:wrap="around" w:x="1351" w:y="5593"/>
        <w:widowControl w:val="0"/>
        <w:kinsoku/>
        <w:wordWrap/>
        <w:overflowPunct/>
        <w:topLinePunct w:val="0"/>
        <w:autoSpaceDE/>
        <w:autoSpaceDN/>
        <w:bidi w:val="0"/>
        <w:adjustRightInd/>
        <w:snapToGrid/>
        <w:spacing w:line="240" w:lineRule="auto"/>
        <w:textAlignment w:val="center"/>
        <w:rPr>
          <w:rFonts w:hint="eastAsia" w:ascii="Times New Roman" w:cs="Times New Roman"/>
          <w:color w:val="auto"/>
          <w:lang w:val="en-US" w:eastAsia="zh-CN"/>
        </w:rPr>
      </w:pPr>
      <w:r>
        <w:rPr>
          <w:rFonts w:hint="eastAsia" w:ascii="Times New Roman" w:cs="Times New Roman"/>
          <w:color w:val="auto"/>
        </w:rPr>
        <w:t xml:space="preserve"> 第</w:t>
      </w:r>
      <w:r>
        <w:rPr>
          <w:rFonts w:hint="eastAsia" w:ascii="Times New Roman" w:cs="Times New Roman"/>
          <w:color w:val="auto"/>
          <w:lang w:val="en-US" w:eastAsia="zh-CN"/>
        </w:rPr>
        <w:t>1</w:t>
      </w:r>
      <w:r>
        <w:rPr>
          <w:rFonts w:hint="eastAsia" w:ascii="Times New Roman" w:cs="Times New Roman"/>
          <w:color w:val="auto"/>
        </w:rPr>
        <w:t xml:space="preserve">部分 </w:t>
      </w:r>
      <w:r>
        <w:rPr>
          <w:rFonts w:hint="eastAsia" w:ascii="Times New Roman" w:cs="Times New Roman"/>
          <w:color w:val="auto"/>
          <w:lang w:val="en-US" w:eastAsia="zh-CN"/>
        </w:rPr>
        <w:t>信息披露</w:t>
      </w:r>
    </w:p>
    <w:p>
      <w:pPr>
        <w:pStyle w:val="91"/>
        <w:keepNext w:val="0"/>
        <w:keepLines w:val="0"/>
        <w:pageBreakBefore w:val="0"/>
        <w:framePr w:h="7669" w:hRule="exact" w:wrap="around" w:x="1351" w:y="5593"/>
        <w:widowControl w:val="0"/>
        <w:kinsoku/>
        <w:wordWrap/>
        <w:overflowPunct/>
        <w:topLinePunct w:val="0"/>
        <w:autoSpaceDE/>
        <w:autoSpaceDN/>
        <w:bidi w:val="0"/>
        <w:adjustRightInd/>
        <w:snapToGrid/>
        <w:spacing w:line="240" w:lineRule="auto"/>
        <w:textAlignment w:val="center"/>
        <w:rPr>
          <w:rFonts w:hint="default" w:ascii="Times New Roman" w:cs="Times New Roman"/>
          <w:color w:val="auto"/>
          <w:lang w:val="en-US" w:eastAsia="zh-CN"/>
        </w:rPr>
      </w:pPr>
    </w:p>
    <w:p>
      <w:pPr>
        <w:pStyle w:val="91"/>
        <w:keepNext w:val="0"/>
        <w:keepLines w:val="0"/>
        <w:pageBreakBefore w:val="0"/>
        <w:framePr w:h="7669" w:hRule="exact" w:wrap="around" w:x="1351" w:y="5593"/>
        <w:widowControl w:val="0"/>
        <w:kinsoku/>
        <w:wordWrap/>
        <w:overflowPunct/>
        <w:topLinePunct w:val="0"/>
        <w:autoSpaceDE/>
        <w:autoSpaceDN/>
        <w:bidi w:val="0"/>
        <w:adjustRightInd/>
        <w:snapToGrid/>
        <w:spacing w:line="240" w:lineRule="auto"/>
        <w:textAlignment w:val="center"/>
        <w:rPr>
          <w:rFonts w:hint="eastAsia" w:ascii="Times New Roman" w:cs="Times New Roman"/>
          <w:color w:val="auto"/>
          <w:sz w:val="28"/>
          <w:szCs w:val="28"/>
          <w:lang w:val="en-US" w:eastAsia="zh-CN"/>
        </w:rPr>
      </w:pPr>
      <w:r>
        <w:rPr>
          <w:rFonts w:ascii="Times New Roman" w:cs="Times New Roman"/>
          <w:color w:val="auto"/>
          <w:sz w:val="28"/>
          <w:szCs w:val="28"/>
        </w:rPr>
        <w:t>E</w:t>
      </w:r>
      <w:r>
        <w:rPr>
          <w:rFonts w:hint="eastAsia" w:ascii="Times New Roman" w:cs="Times New Roman"/>
          <w:color w:val="auto"/>
          <w:sz w:val="28"/>
          <w:szCs w:val="28"/>
        </w:rPr>
        <w:t>nvironmental, social and governance (ESG)  of  iron and steel enterprises</w:t>
      </w:r>
      <w:r>
        <w:rPr>
          <w:rFonts w:hint="eastAsia" w:ascii="Times New Roman" w:cs="Times New Roman"/>
          <w:color w:val="auto"/>
          <w:sz w:val="28"/>
          <w:szCs w:val="28"/>
          <w:lang w:val="en-US" w:eastAsia="zh-CN"/>
        </w:rPr>
        <w:t xml:space="preserve"> </w:t>
      </w:r>
    </w:p>
    <w:p>
      <w:pPr>
        <w:pStyle w:val="91"/>
        <w:keepNext w:val="0"/>
        <w:keepLines w:val="0"/>
        <w:pageBreakBefore w:val="0"/>
        <w:framePr w:h="7669" w:hRule="exact" w:wrap="around" w:x="1351" w:y="5593"/>
        <w:widowControl w:val="0"/>
        <w:kinsoku/>
        <w:wordWrap/>
        <w:overflowPunct/>
        <w:topLinePunct w:val="0"/>
        <w:autoSpaceDE/>
        <w:autoSpaceDN/>
        <w:bidi w:val="0"/>
        <w:adjustRightInd/>
        <w:snapToGrid/>
        <w:spacing w:line="240" w:lineRule="auto"/>
        <w:textAlignment w:val="center"/>
        <w:rPr>
          <w:rFonts w:hint="default" w:ascii="Times New Roman" w:eastAsia="黑体" w:cs="Times New Roman"/>
          <w:color w:val="auto"/>
          <w:sz w:val="28"/>
          <w:szCs w:val="28"/>
          <w:lang w:val="en-US" w:eastAsia="zh-CN"/>
        </w:rPr>
      </w:pPr>
      <w:r>
        <w:rPr>
          <w:rFonts w:hint="eastAsia" w:ascii="Times New Roman" w:cs="Times New Roman"/>
          <w:color w:val="auto"/>
          <w:sz w:val="28"/>
          <w:szCs w:val="28"/>
        </w:rPr>
        <w:t>—</w:t>
      </w:r>
      <w:r>
        <w:rPr>
          <w:rFonts w:ascii="Times New Roman" w:cs="Times New Roman"/>
          <w:color w:val="auto"/>
          <w:sz w:val="28"/>
          <w:szCs w:val="28"/>
        </w:rPr>
        <w:t xml:space="preserve">part </w:t>
      </w:r>
      <w:r>
        <w:rPr>
          <w:rFonts w:hint="eastAsia" w:ascii="Times New Roman" w:cs="Times New Roman"/>
          <w:color w:val="auto"/>
          <w:sz w:val="28"/>
          <w:szCs w:val="28"/>
          <w:lang w:val="en-US" w:eastAsia="zh-CN"/>
        </w:rPr>
        <w:t>1</w:t>
      </w:r>
      <w:r>
        <w:rPr>
          <w:rFonts w:ascii="Times New Roman" w:cs="Times New Roman"/>
          <w:color w:val="auto"/>
          <w:sz w:val="28"/>
          <w:szCs w:val="28"/>
        </w:rPr>
        <w:t xml:space="preserve">: </w:t>
      </w:r>
      <w:r>
        <w:rPr>
          <w:rFonts w:hint="eastAsia" w:ascii="Times New Roman" w:cs="Times New Roman"/>
          <w:color w:val="auto"/>
          <w:sz w:val="28"/>
          <w:szCs w:val="28"/>
          <w:lang w:val="en-US" w:eastAsia="zh-CN"/>
        </w:rPr>
        <w:t>Informa</w:t>
      </w:r>
      <w:r>
        <w:rPr>
          <w:rFonts w:hint="eastAsia" w:ascii="Times New Roman" w:cs="Times New Roman"/>
          <w:color w:val="auto"/>
          <w:sz w:val="28"/>
          <w:szCs w:val="28"/>
        </w:rPr>
        <w:t xml:space="preserve">tion </w:t>
      </w:r>
      <w:r>
        <w:rPr>
          <w:rFonts w:hint="eastAsia" w:ascii="Times New Roman" w:cs="Times New Roman"/>
          <w:color w:val="auto"/>
          <w:sz w:val="28"/>
          <w:szCs w:val="28"/>
          <w:lang w:val="en-US" w:eastAsia="zh-CN"/>
        </w:rPr>
        <w:t>disclosure</w:t>
      </w:r>
    </w:p>
    <w:p>
      <w:pPr>
        <w:pStyle w:val="93"/>
        <w:framePr w:h="7669" w:hRule="exact" w:wrap="around" w:x="1351" w:y="5593"/>
        <w:spacing w:before="120" w:afterLines="50"/>
        <w:rPr>
          <w:rFonts w:ascii="Times New Roman" w:eastAsia="黑体" w:cs="Times New Roman"/>
          <w:color w:val="auto"/>
        </w:rPr>
      </w:pPr>
    </w:p>
    <w:p>
      <w:pPr>
        <w:pStyle w:val="143"/>
        <w:framePr w:wrap="around" w:hAnchor="page" w:x="1486" w:y="14041"/>
        <w:rPr>
          <w:color w:val="auto"/>
        </w:rPr>
      </w:pPr>
      <w:r>
        <w:rPr>
          <w:color w:val="auto"/>
        </w:rPr>
        <w:t xml:space="preserve">2022 - </w:t>
      </w:r>
      <w:r>
        <w:rPr>
          <w:rFonts w:hint="eastAsia"/>
          <w:color w:val="auto"/>
          <w:lang w:val="en-US" w:eastAsia="zh-CN"/>
        </w:rPr>
        <w:t>XX</w:t>
      </w:r>
      <w:r>
        <w:rPr>
          <w:color w:val="auto"/>
        </w:rPr>
        <w:t>-</w:t>
      </w:r>
      <w:r>
        <w:rPr>
          <w:rFonts w:hint="eastAsia"/>
          <w:color w:val="auto"/>
          <w:lang w:val="en-US" w:eastAsia="zh-CN"/>
        </w:rPr>
        <w:t>XX</w:t>
      </w:r>
      <w:r>
        <w:rPr>
          <w:color w:val="auto"/>
        </w:rPr>
        <w:t>发布</w:t>
      </w:r>
      <w:r>
        <w:rPr>
          <w:color w:val="auto"/>
        </w:rPr>
        <w:pict>
          <v:line id="Line 10" o:spid="_x0000_s2051" o:spt="20" style="position:absolute;left:0pt;margin-left:-3.45pt;margin-top:728.5pt;height:0pt;width:481.9pt;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">
            <v:path arrowok="t"/>
            <v:fill focussize="0,0"/>
            <v:stroke/>
            <v:imagedata o:title=""/>
            <o:lock v:ext="edit"/>
            <w10:anchorlock/>
          </v:line>
        </w:pict>
      </w:r>
    </w:p>
    <w:p>
      <w:pPr>
        <w:pStyle w:val="144"/>
        <w:framePr w:wrap="around" w:hAnchor="page" w:x="7201" w:y="14026"/>
        <w:rPr>
          <w:color w:val="auto"/>
        </w:rPr>
      </w:pPr>
      <w:r>
        <w:rPr>
          <w:color w:val="auto"/>
        </w:rPr>
        <w:t>2022 -</w:t>
      </w:r>
      <w:r>
        <w:rPr>
          <w:rFonts w:hint="eastAsia"/>
          <w:color w:val="auto"/>
          <w:lang w:val="en-US" w:eastAsia="zh-CN"/>
        </w:rPr>
        <w:t>XX</w:t>
      </w:r>
      <w:r>
        <w:rPr>
          <w:color w:val="auto"/>
        </w:rPr>
        <w:t xml:space="preserve"> - </w:t>
      </w:r>
      <w:r>
        <w:rPr>
          <w:rFonts w:hint="eastAsia"/>
          <w:color w:val="auto"/>
          <w:lang w:val="en-US" w:eastAsia="zh-CN"/>
        </w:rPr>
        <w:t>XX</w:t>
      </w:r>
      <w:r>
        <w:rPr>
          <w:color w:val="auto"/>
        </w:rPr>
        <w:t>实施</w:t>
      </w:r>
    </w:p>
    <w:p>
      <w:pPr>
        <w:pStyle w:val="87"/>
        <w:framePr w:wrap="around" w:x="2096" w:y="14845"/>
        <w:rPr>
          <w:rFonts w:ascii="Times New Roman" w:cs="Times New Roman"/>
          <w:color w:val="auto"/>
        </w:rPr>
      </w:pPr>
      <w:r>
        <w:rPr>
          <w:rFonts w:ascii="Times New Roman" w:cs="Times New Roman"/>
          <w:color w:val="auto"/>
          <w:sz w:val="36"/>
          <w:szCs w:val="36"/>
        </w:rPr>
        <w:t>中国特钢企业协会</w:t>
      </w:r>
      <w:r>
        <w:rPr>
          <w:rFonts w:ascii="Times New Roman" w:eastAsia="黑体" w:cs="Times New Roman"/>
          <w:color w:val="auto"/>
        </w:rPr>
        <w:t>发布</w:t>
      </w:r>
    </w:p>
    <w:p>
      <w:pPr>
        <w:pStyle w:val="124"/>
        <w:framePr w:wrap="around" w:x="2096" w:y="14845"/>
        <w:jc w:val="both"/>
        <w:rPr>
          <w:rFonts w:ascii="Times New Roman" w:cs="Times New Roman"/>
          <w:color w:val="auto"/>
        </w:rPr>
      </w:pPr>
    </w:p>
    <w:p>
      <w:pPr>
        <w:pStyle w:val="26"/>
        <w:rPr>
          <w:color w:val="auto"/>
        </w:rPr>
      </w:pPr>
      <w:r>
        <w:rPr>
          <w:color w:val="auto"/>
        </w:rPr>
        <w:pict>
          <v:line id="Line 11" o:spid="_x0000_s2050" o:spt="20" style="position:absolute;left:0pt;margin-left:-10.2pt;margin-top:117.4pt;height:0pt;width:481.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">
            <v:path arrowok="t"/>
            <v:fill focussize="0,0"/>
            <v:stroke/>
            <v:imagedata o:title=""/>
            <o:lock v:ext="edit"/>
            <w10:anchorlock/>
          </v:line>
        </w:pict>
      </w:r>
      <w:bookmarkStart w:id="1" w:name="_Toc40476791"/>
      <w:bookmarkStart w:id="2" w:name="_Toc40475545"/>
      <w:bookmarkStart w:id="3" w:name="_Toc499735461"/>
      <w:bookmarkStart w:id="4" w:name="_Toc26452183"/>
      <w:bookmarkStart w:id="5" w:name="_Toc534127476"/>
      <w:bookmarkStart w:id="6" w:name="_Toc1337"/>
      <w:bookmarkStart w:id="7" w:name="_Toc499733965"/>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rPr>
          <w:rFonts w:ascii="宋体"/>
          <w:color w:val="auto"/>
        </w:rPr>
      </w:pPr>
      <w:r>
        <w:rPr>
          <w:rFonts w:ascii="宋体"/>
          <w:color w:val="auto"/>
        </w:rPr>
        <w:drawing>
          <wp:inline distT="0" distB="0" distL="0" distR="0">
            <wp:extent cx="808355" cy="7683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srcRect/>
                    <a:stretch>
                      <a:fillRect/>
                    </a:stretch>
                  </pic:blipFill>
                  <pic:spPr>
                    <a:xfrm>
                      <a:off x="0" y="0"/>
                      <a:ext cx="808355" cy="768350"/>
                    </a:xfrm>
                    <a:prstGeom prst="rect">
                      <a:avLst/>
                    </a:prstGeom>
                    <a:noFill/>
                    <a:ln w="9525">
                      <a:noFill/>
                      <a:miter lim="800000"/>
                      <a:headEnd/>
                      <a:tailEnd/>
                    </a:ln>
                  </pic:spPr>
                </pic:pic>
              </a:graphicData>
            </a:graphic>
          </wp:inline>
        </w:drawing>
      </w:r>
      <w:r>
        <w:rPr>
          <w:rFonts w:hint="eastAsia" w:ascii="宋体"/>
          <w:color w:val="auto"/>
        </w:rPr>
        <w:t>版权保护文件</w:t>
      </w:r>
    </w:p>
    <w:p>
      <w:pPr>
        <w:spacing w:beforeLines="50" w:afterLines="50"/>
        <w:rPr>
          <w:rFonts w:ascii="宋体"/>
          <w:color w:val="auto"/>
        </w:rPr>
      </w:pPr>
      <w:r>
        <w:rPr>
          <w:rFonts w:hint="eastAsia" w:ascii="宋体"/>
          <w:color w:val="auto"/>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spacing w:beforeLines="50" w:afterLines="50"/>
        <w:rPr>
          <w:rFonts w:ascii="宋体"/>
          <w:color w:val="auto"/>
        </w:rPr>
      </w:pPr>
    </w:p>
    <w:p>
      <w:pPr>
        <w:spacing w:beforeLines="50" w:afterLines="50"/>
        <w:rPr>
          <w:rFonts w:ascii="宋体" w:hAnsi="宋体"/>
          <w:color w:val="auto"/>
        </w:rPr>
        <w:sectPr>
          <w:footerReference r:id="rId3" w:type="default"/>
          <w:pgSz w:w="11906" w:h="16838"/>
          <w:pgMar w:top="1440" w:right="1466" w:bottom="1440" w:left="1620" w:header="851" w:footer="992" w:gutter="0"/>
          <w:pgNumType w:fmt="upperRoman" w:start="1"/>
          <w:cols w:space="425" w:num="1"/>
          <w:docGrid w:type="lines" w:linePitch="312" w:charSpace="0"/>
        </w:sectPr>
      </w:pPr>
    </w:p>
    <w:bookmarkEnd w:id="1"/>
    <w:bookmarkEnd w:id="2"/>
    <w:bookmarkEnd w:id="3"/>
    <w:bookmarkEnd w:id="4"/>
    <w:bookmarkEnd w:id="5"/>
    <w:bookmarkEnd w:id="6"/>
    <w:bookmarkEnd w:id="7"/>
    <w:p>
      <w:pPr>
        <w:pStyle w:val="161"/>
        <w:keepLines w:val="0"/>
        <w:kinsoku/>
        <w:wordWrap/>
        <w:overflowPunct/>
        <w:topLinePunct w:val="0"/>
        <w:autoSpaceDE/>
        <w:autoSpaceDN/>
        <w:bidi w:val="0"/>
        <w:adjustRightInd/>
        <w:snapToGrid/>
        <w:spacing w:before="156" w:beforeLines="50" w:after="156" w:afterLines="50" w:line="360" w:lineRule="auto"/>
        <w:jc w:val="center"/>
        <w:textAlignment w:val="auto"/>
        <w:rPr>
          <w:rFonts w:hint="default" w:ascii="Times New Roman" w:hAnsi="Times New Roman" w:eastAsia="宋体" w:cs="Times New Roman"/>
          <w:b w:val="0"/>
          <w:color w:val="auto"/>
          <w:sz w:val="32"/>
          <w:szCs w:val="32"/>
          <w:lang w:val="zh-CN"/>
        </w:rPr>
      </w:pPr>
      <w:bookmarkStart w:id="8" w:name="_Toc5018"/>
      <w:bookmarkStart w:id="9" w:name="_Toc8056"/>
      <w:r>
        <w:rPr>
          <w:rFonts w:hint="default" w:ascii="Times New Roman" w:hAnsi="Times New Roman" w:eastAsia="宋体" w:cs="Times New Roman"/>
          <w:b w:val="0"/>
          <w:color w:val="auto"/>
          <w:sz w:val="32"/>
          <w:szCs w:val="32"/>
          <w:lang w:val="zh-CN"/>
        </w:rPr>
        <w:t>目  次</w:t>
      </w:r>
      <w:bookmarkEnd w:id="8"/>
      <w:bookmarkEnd w:id="9"/>
    </w:p>
    <w:p>
      <w:pPr>
        <w:pStyle w:val="22"/>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TOC \o "1-3" \h \z \u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_Toc20464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前  言</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_Toc20464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II</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pPr>
        <w:pStyle w:val="31"/>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_Toc4375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1 </w:t>
      </w:r>
      <w:r>
        <w:rPr>
          <w:rFonts w:hint="default" w:ascii="Times New Roman" w:hAnsi="Times New Roman" w:eastAsia="宋体" w:cs="Times New Roman"/>
          <w:color w:val="auto"/>
        </w:rPr>
        <w:t>范围</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_Toc4375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_Toc2045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2 </w:t>
      </w:r>
      <w:r>
        <w:rPr>
          <w:rFonts w:hint="default" w:ascii="Times New Roman" w:hAnsi="Times New Roman" w:eastAsia="宋体" w:cs="Times New Roman"/>
          <w:color w:val="auto"/>
        </w:rPr>
        <w:t>规范性引用文件</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_Toc2045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_Toc15071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3 </w:t>
      </w:r>
      <w:r>
        <w:rPr>
          <w:rFonts w:hint="default" w:ascii="Times New Roman" w:hAnsi="Times New Roman" w:eastAsia="宋体" w:cs="Times New Roman"/>
          <w:color w:val="auto"/>
        </w:rPr>
        <w:t>术语和定义</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_Toc15071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_Toc28524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4 </w:t>
      </w:r>
      <w:r>
        <w:rPr>
          <w:rFonts w:hint="default" w:ascii="Times New Roman" w:hAnsi="Times New Roman" w:eastAsia="宋体" w:cs="Times New Roman"/>
          <w:color w:val="auto"/>
          <w:lang w:val="en-US" w:eastAsia="zh-CN"/>
        </w:rPr>
        <w:t>披露原则</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_Toc28524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_Toc28252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4.1 </w:t>
      </w:r>
      <w:r>
        <w:rPr>
          <w:rFonts w:hint="default" w:ascii="Times New Roman" w:hAnsi="Times New Roman" w:eastAsia="宋体" w:cs="Times New Roman"/>
          <w:color w:val="auto"/>
          <w:lang w:val="en-US" w:eastAsia="zh-CN"/>
        </w:rPr>
        <w:t>真实</w:t>
      </w:r>
      <w:r>
        <w:rPr>
          <w:rFonts w:hint="default" w:ascii="Times New Roman" w:hAnsi="Times New Roman" w:eastAsia="宋体" w:cs="Times New Roman"/>
          <w:color w:val="auto"/>
        </w:rPr>
        <w:t>性原则</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_Toc28252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_Toc20281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4.2 </w:t>
      </w:r>
      <w:r>
        <w:rPr>
          <w:rFonts w:hint="default" w:ascii="Times New Roman" w:hAnsi="Times New Roman" w:eastAsia="宋体" w:cs="Times New Roman"/>
          <w:color w:val="auto"/>
          <w:lang w:val="en-US" w:eastAsia="zh-CN"/>
        </w:rPr>
        <w:t>准确</w:t>
      </w:r>
      <w:r>
        <w:rPr>
          <w:rFonts w:hint="default" w:ascii="Times New Roman" w:hAnsi="Times New Roman" w:eastAsia="宋体" w:cs="Times New Roman"/>
          <w:color w:val="auto"/>
        </w:rPr>
        <w:t>性原则</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_Toc20281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_Toc14666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4.3 </w:t>
      </w:r>
      <w:r>
        <w:rPr>
          <w:rFonts w:hint="default" w:ascii="Times New Roman" w:hAnsi="Times New Roman" w:eastAsia="宋体" w:cs="Times New Roman"/>
          <w:color w:val="auto"/>
          <w:lang w:val="en-US" w:eastAsia="zh-CN"/>
        </w:rPr>
        <w:t>完整</w:t>
      </w:r>
      <w:r>
        <w:rPr>
          <w:rFonts w:hint="default" w:ascii="Times New Roman" w:hAnsi="Times New Roman" w:eastAsia="宋体" w:cs="Times New Roman"/>
          <w:color w:val="auto"/>
        </w:rPr>
        <w:t>性原则</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_Toc14666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_Toc9233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4.4 </w:t>
      </w:r>
      <w:r>
        <w:rPr>
          <w:rFonts w:hint="default" w:ascii="Times New Roman" w:hAnsi="Times New Roman" w:eastAsia="宋体" w:cs="Times New Roman"/>
          <w:color w:val="auto"/>
          <w:lang w:val="en-US" w:eastAsia="zh-CN"/>
        </w:rPr>
        <w:t>及时性</w:t>
      </w:r>
      <w:r>
        <w:rPr>
          <w:rFonts w:hint="default" w:ascii="Times New Roman" w:hAnsi="Times New Roman" w:eastAsia="宋体" w:cs="Times New Roman"/>
          <w:color w:val="auto"/>
        </w:rPr>
        <w:t>原则</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_Toc9233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_Toc12791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5 </w:t>
      </w:r>
      <w:r>
        <w:rPr>
          <w:rFonts w:hint="default" w:ascii="Times New Roman" w:hAnsi="Times New Roman" w:eastAsia="宋体" w:cs="Times New Roman"/>
          <w:color w:val="auto"/>
          <w:lang w:val="en-US" w:eastAsia="zh-CN"/>
        </w:rPr>
        <w:t>披露要求</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_Toc12791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_Toc914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5.1 </w:t>
      </w:r>
      <w:r>
        <w:rPr>
          <w:rFonts w:hint="default" w:ascii="Times New Roman" w:hAnsi="Times New Roman" w:eastAsia="宋体" w:cs="Times New Roman"/>
          <w:color w:val="auto"/>
          <w:lang w:val="en-US" w:eastAsia="zh-CN"/>
        </w:rPr>
        <w:t>一般要求</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_Toc914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_Toc28142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5.2 </w:t>
      </w:r>
      <w:r>
        <w:rPr>
          <w:rFonts w:hint="default" w:ascii="Times New Roman" w:hAnsi="Times New Roman" w:eastAsia="宋体" w:cs="Times New Roman"/>
          <w:color w:val="auto"/>
          <w:kern w:val="0"/>
          <w:szCs w:val="21"/>
          <w:lang w:val="en-US" w:eastAsia="zh-CN"/>
        </w:rPr>
        <w:t>披露目的</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_Toc28142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2</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_Toc25469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5.3 </w:t>
      </w:r>
      <w:r>
        <w:rPr>
          <w:rFonts w:hint="default" w:ascii="Times New Roman" w:hAnsi="Times New Roman" w:eastAsia="宋体" w:cs="Times New Roman"/>
          <w:color w:val="auto"/>
          <w:kern w:val="0"/>
          <w:szCs w:val="21"/>
          <w:lang w:val="en-US" w:eastAsia="zh-CN"/>
        </w:rPr>
        <w:t>披露形式</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_Toc25469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2</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_Toc11862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5.4 </w:t>
      </w:r>
      <w:r>
        <w:rPr>
          <w:rFonts w:hint="default" w:ascii="Times New Roman" w:hAnsi="Times New Roman" w:eastAsia="宋体" w:cs="Times New Roman"/>
          <w:color w:val="auto"/>
          <w:kern w:val="0"/>
          <w:szCs w:val="21"/>
          <w:lang w:val="en-US" w:eastAsia="zh-CN"/>
        </w:rPr>
        <w:t>信息核验</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_Toc11862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2</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_Toc12013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lang w:val="en-US" w:eastAsia="zh-CN"/>
        </w:rPr>
        <w:t xml:space="preserve">5.5 </w:t>
      </w:r>
      <w:r>
        <w:rPr>
          <w:rFonts w:hint="default" w:ascii="Times New Roman" w:hAnsi="Times New Roman" w:eastAsia="宋体" w:cs="Times New Roman"/>
          <w:color w:val="auto"/>
          <w:kern w:val="0"/>
          <w:szCs w:val="21"/>
          <w:lang w:val="en-US" w:eastAsia="zh-CN"/>
        </w:rPr>
        <w:t>发布报告</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_Toc12013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2</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_Toc7862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6 </w:t>
      </w:r>
      <w:r>
        <w:rPr>
          <w:rFonts w:hint="default" w:ascii="Times New Roman" w:hAnsi="Times New Roman" w:eastAsia="宋体" w:cs="Times New Roman"/>
          <w:color w:val="auto"/>
          <w:lang w:val="en-US" w:eastAsia="zh-CN"/>
        </w:rPr>
        <w:t>披露指标体系</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_Toc7862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2</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22"/>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_Toc31711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color w:val="auto"/>
          <w:szCs w:val="21"/>
          <w:highlight w:val="none"/>
        </w:rPr>
        <w:t>附  录  A</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_Toc31711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3</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Lines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_Toc6984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color w:val="auto"/>
          <w:szCs w:val="21"/>
        </w:rPr>
        <w:t>参 考 文 献</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_Toc6984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10</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25"/>
        <w:keepLines w:val="0"/>
        <w:kinsoku/>
        <w:wordWrap/>
        <w:overflowPunct/>
        <w:topLinePunct w:val="0"/>
        <w:autoSpaceDE/>
        <w:autoSpaceDN/>
        <w:bidi w:val="0"/>
        <w:adjustRightInd/>
        <w:snapToGrid/>
        <w:spacing w:line="360" w:lineRule="auto"/>
        <w:textAlignment w:val="auto"/>
        <w:rPr>
          <w:rFonts w:ascii="Times New Roman" w:cs="Times New Roman"/>
          <w:color w:val="auto"/>
        </w:rPr>
      </w:pPr>
      <w:r>
        <w:rPr>
          <w:rFonts w:hint="default" w:ascii="Times New Roman" w:hAnsi="Times New Roman" w:eastAsia="宋体" w:cs="Times New Roman"/>
          <w:bCs w:val="0"/>
          <w:color w:val="auto"/>
          <w:szCs w:val="21"/>
          <w:lang w:val="zh-CN"/>
        </w:rPr>
        <w:fldChar w:fldCharType="end"/>
      </w:r>
      <w:bookmarkStart w:id="10" w:name="_Toc20464"/>
      <w:r>
        <w:rPr>
          <w:rFonts w:ascii="Times New Roman" w:cs="Times New Roman"/>
          <w:color w:val="auto"/>
        </w:rPr>
        <w:t>前  言</w:t>
      </w:r>
      <w:bookmarkEnd w:id="10"/>
    </w:p>
    <w:p>
      <w:pPr>
        <w:ind w:firstLine="420" w:firstLineChars="200"/>
        <w:rPr>
          <w:color w:val="auto"/>
        </w:rPr>
      </w:pPr>
      <w:r>
        <w:rPr>
          <w:color w:val="auto"/>
        </w:rPr>
        <w:t>本文件</w:t>
      </w:r>
      <w:r>
        <w:rPr>
          <w:rFonts w:eastAsiaTheme="minorEastAsia"/>
          <w:color w:val="auto"/>
        </w:rPr>
        <w:t>按照GB/T 1.1-2020</w:t>
      </w:r>
      <w:r>
        <w:rPr>
          <w:color w:val="auto"/>
        </w:rPr>
        <w:t>《标准化工作导则</w:t>
      </w:r>
      <w:r>
        <w:rPr>
          <w:rFonts w:hint="eastAsia"/>
          <w:color w:val="auto"/>
          <w:lang w:val="en-US" w:eastAsia="zh-CN"/>
        </w:rPr>
        <w:t xml:space="preserve"> </w:t>
      </w:r>
      <w:r>
        <w:rPr>
          <w:color w:val="auto"/>
        </w:rPr>
        <w:t>第1部分：标准化文件的结构和起草规则》的规定起草。</w:t>
      </w:r>
    </w:p>
    <w:p>
      <w:pPr>
        <w:pStyle w:val="26"/>
        <w:rPr>
          <w:rFonts w:hint="eastAsia" w:ascii="Times New Roman"/>
          <w:color w:val="auto"/>
          <w:lang w:val="en-US" w:eastAsia="zh-CN"/>
        </w:rPr>
      </w:pPr>
      <w:r>
        <w:rPr>
          <w:rFonts w:hint="eastAsia" w:ascii="Times New Roman"/>
          <w:color w:val="auto"/>
          <w:lang w:val="en-US" w:eastAsia="zh-CN"/>
        </w:rPr>
        <w:t>本文件是T/SSEA XXX《钢铁企业环境、社会和治理》的第1部分。T/SSEA XXX已经发布了以下部分：</w:t>
      </w:r>
    </w:p>
    <w:p>
      <w:pPr>
        <w:pStyle w:val="26"/>
        <w:rPr>
          <w:rFonts w:hint="default" w:ascii="Times New Roman"/>
          <w:color w:val="auto"/>
          <w:lang w:val="en-US" w:eastAsia="zh-CN"/>
        </w:rPr>
      </w:pPr>
      <w:r>
        <w:rPr>
          <w:rFonts w:hint="eastAsia" w:ascii="Times New Roman"/>
          <w:color w:val="auto"/>
          <w:lang w:val="en-US" w:eastAsia="zh-CN"/>
        </w:rPr>
        <w:t>——第1部分：信息披露；</w:t>
      </w:r>
    </w:p>
    <w:p>
      <w:pPr>
        <w:pStyle w:val="26"/>
        <w:rPr>
          <w:rFonts w:hint="default" w:ascii="Times New Roman"/>
          <w:color w:val="auto"/>
          <w:lang w:val="en-US" w:eastAsia="zh-CN"/>
        </w:rPr>
      </w:pPr>
      <w:r>
        <w:rPr>
          <w:rFonts w:hint="eastAsia" w:ascii="Times New Roman"/>
          <w:color w:val="auto"/>
          <w:lang w:val="en-US" w:eastAsia="zh-CN"/>
        </w:rPr>
        <w:t>——第2部分：评价要求。</w:t>
      </w:r>
    </w:p>
    <w:p>
      <w:pPr>
        <w:pStyle w:val="26"/>
        <w:rPr>
          <w:rFonts w:ascii="Times New Roman"/>
          <w:color w:val="auto"/>
        </w:rPr>
      </w:pPr>
      <w:r>
        <w:rPr>
          <w:rFonts w:ascii="Times New Roman"/>
          <w:color w:val="auto"/>
        </w:rPr>
        <w:t>请注意本文件的某些内容可能涉及专利。本文件的发布机构不承担识别专利的责任。</w:t>
      </w:r>
    </w:p>
    <w:p>
      <w:pPr>
        <w:ind w:firstLine="420" w:firstLineChars="200"/>
        <w:rPr>
          <w:color w:val="auto"/>
        </w:rPr>
      </w:pPr>
      <w:r>
        <w:rPr>
          <w:color w:val="auto"/>
        </w:rPr>
        <w:t>本文件由中国特钢企业协会团体标准化工作委员会提出并归口。</w:t>
      </w:r>
    </w:p>
    <w:p>
      <w:pPr>
        <w:pStyle w:val="26"/>
        <w:rPr>
          <w:rFonts w:ascii="Times New Roman"/>
          <w:color w:val="auto"/>
        </w:rPr>
      </w:pPr>
      <w:r>
        <w:rPr>
          <w:rFonts w:ascii="Times New Roman"/>
          <w:color w:val="auto"/>
        </w:rPr>
        <w:t>本文件起草单位：。</w:t>
      </w:r>
    </w:p>
    <w:p>
      <w:pPr>
        <w:pStyle w:val="26"/>
        <w:rPr>
          <w:rFonts w:ascii="Times New Roman"/>
          <w:color w:val="auto"/>
        </w:rPr>
      </w:pPr>
      <w:r>
        <w:rPr>
          <w:rFonts w:ascii="Times New Roman"/>
          <w:color w:val="auto"/>
        </w:rPr>
        <w:t>本文件主要起草人：。</w:t>
      </w:r>
    </w:p>
    <w:p>
      <w:pPr>
        <w:ind w:firstLine="420" w:firstLineChars="200"/>
        <w:rPr>
          <w:color w:val="auto"/>
        </w:rPr>
      </w:pPr>
    </w:p>
    <w:p>
      <w:pPr>
        <w:spacing w:line="360" w:lineRule="auto"/>
        <w:ind w:firstLine="480" w:firstLineChars="200"/>
        <w:rPr>
          <w:color w:val="auto"/>
          <w:sz w:val="24"/>
          <w:szCs w:val="24"/>
          <w:highlight w:val="yellow"/>
        </w:rPr>
      </w:pPr>
    </w:p>
    <w:p>
      <w:pPr>
        <w:spacing w:line="360" w:lineRule="auto"/>
        <w:ind w:firstLine="420" w:firstLineChars="200"/>
        <w:rPr>
          <w:color w:val="auto"/>
        </w:rPr>
      </w:pPr>
    </w:p>
    <w:p>
      <w:pPr>
        <w:pStyle w:val="26"/>
        <w:rPr>
          <w:rFonts w:ascii="Times New Roman" w:cs="Times New Roman"/>
          <w:color w:val="auto"/>
        </w:rPr>
      </w:pPr>
    </w:p>
    <w:p>
      <w:pPr>
        <w:pStyle w:val="26"/>
        <w:rPr>
          <w:rFonts w:ascii="Times New Roman" w:cs="Times New Roman"/>
          <w:color w:val="auto"/>
        </w:rPr>
      </w:pPr>
    </w:p>
    <w:p>
      <w:pPr>
        <w:pStyle w:val="26"/>
        <w:rPr>
          <w:rFonts w:ascii="Times New Roman" w:cs="Times New Roman"/>
          <w:color w:val="auto"/>
        </w:rPr>
      </w:pPr>
    </w:p>
    <w:p>
      <w:pPr>
        <w:pStyle w:val="26"/>
        <w:rPr>
          <w:rFonts w:ascii="Times New Roman" w:cs="Times New Roman"/>
          <w:color w:val="auto"/>
        </w:rPr>
        <w:sectPr>
          <w:headerReference r:id="rId4" w:type="default"/>
          <w:footerReference r:id="rId5" w:type="default"/>
          <w:pgSz w:w="11906" w:h="16838"/>
          <w:pgMar w:top="567" w:right="1134" w:bottom="1134" w:left="1417" w:header="1418" w:footer="1134" w:gutter="0"/>
          <w:pgNumType w:fmt="upperRoman" w:start="1"/>
          <w:cols w:space="425" w:num="1"/>
          <w:formProt w:val="0"/>
          <w:docGrid w:type="lines" w:linePitch="312" w:charSpace="0"/>
        </w:sectPr>
      </w:pPr>
    </w:p>
    <w:p>
      <w:pPr>
        <w:pStyle w:val="63"/>
        <w:outlineLvl w:val="9"/>
        <w:rPr>
          <w:rFonts w:hint="default" w:ascii="Times New Roman" w:eastAsia="黑体" w:cs="Times New Roman"/>
          <w:color w:val="auto"/>
          <w:lang w:val="en-US" w:eastAsia="zh-CN"/>
        </w:rPr>
      </w:pPr>
      <w:r>
        <w:rPr>
          <w:rFonts w:hint="eastAsia" w:ascii="Times New Roman" w:cs="Times New Roman"/>
          <w:color w:val="auto"/>
        </w:rPr>
        <w:t xml:space="preserve"> </w:t>
      </w:r>
      <w:bookmarkStart w:id="11" w:name="_Toc18350"/>
      <w:bookmarkStart w:id="12" w:name="_Toc210"/>
      <w:bookmarkStart w:id="13" w:name="_Toc15543"/>
      <w:bookmarkStart w:id="14" w:name="_Toc20143"/>
      <w:r>
        <w:rPr>
          <w:rFonts w:hint="eastAsia" w:ascii="Times New Roman" w:cs="Times New Roman"/>
          <w:color w:val="auto"/>
        </w:rPr>
        <w:t>钢铁企业环境、社会和治理（ESG） 第</w:t>
      </w:r>
      <w:r>
        <w:rPr>
          <w:rFonts w:hint="eastAsia" w:ascii="Times New Roman" w:cs="Times New Roman"/>
          <w:color w:val="auto"/>
          <w:lang w:val="en-US" w:eastAsia="zh-CN"/>
        </w:rPr>
        <w:t>1</w:t>
      </w:r>
      <w:r>
        <w:rPr>
          <w:rFonts w:hint="eastAsia" w:ascii="Times New Roman" w:cs="Times New Roman"/>
          <w:color w:val="auto"/>
        </w:rPr>
        <w:t>部分</w:t>
      </w:r>
      <w:r>
        <w:rPr>
          <w:rFonts w:hint="eastAsia" w:ascii="Times New Roman" w:cs="Times New Roman"/>
          <w:color w:val="auto"/>
          <w:lang w:val="en-US" w:eastAsia="zh-CN"/>
        </w:rPr>
        <w:t xml:space="preserve"> 信息披露</w:t>
      </w:r>
      <w:bookmarkEnd w:id="11"/>
      <w:bookmarkEnd w:id="12"/>
      <w:bookmarkEnd w:id="13"/>
      <w:bookmarkEnd w:id="14"/>
    </w:p>
    <w:p>
      <w:pPr>
        <w:pStyle w:val="58"/>
        <w:spacing w:before="312" w:after="312"/>
        <w:ind w:left="0"/>
        <w:rPr>
          <w:rFonts w:ascii="Times New Roman"/>
          <w:color w:val="auto"/>
        </w:rPr>
      </w:pPr>
      <w:bookmarkStart w:id="15" w:name="_Toc31818"/>
      <w:bookmarkStart w:id="16" w:name="_Toc499735462"/>
      <w:bookmarkStart w:id="17" w:name="_Toc30370"/>
      <w:bookmarkStart w:id="18" w:name="_Toc499730568"/>
      <w:bookmarkStart w:id="19" w:name="_Toc499733966"/>
      <w:bookmarkStart w:id="20" w:name="_Toc512093859"/>
      <w:bookmarkStart w:id="21" w:name="_Toc4375"/>
      <w:bookmarkStart w:id="22" w:name="_Toc98332522"/>
      <w:bookmarkStart w:id="23" w:name="_Toc18368"/>
      <w:bookmarkStart w:id="24" w:name="_Toc26747"/>
      <w:r>
        <w:rPr>
          <w:rFonts w:ascii="Times New Roman"/>
          <w:color w:val="auto"/>
        </w:rPr>
        <w:t>范围</w:t>
      </w:r>
      <w:bookmarkEnd w:id="15"/>
      <w:bookmarkEnd w:id="16"/>
      <w:bookmarkEnd w:id="17"/>
      <w:bookmarkEnd w:id="18"/>
      <w:bookmarkEnd w:id="19"/>
      <w:bookmarkEnd w:id="20"/>
      <w:bookmarkEnd w:id="21"/>
      <w:bookmarkEnd w:id="22"/>
      <w:bookmarkEnd w:id="23"/>
      <w:bookmarkEnd w:id="24"/>
    </w:p>
    <w:p>
      <w:pPr>
        <w:pStyle w:val="26"/>
        <w:rPr>
          <w:rFonts w:hint="eastAsia" w:ascii="Times New Roman"/>
          <w:color w:val="auto"/>
        </w:rPr>
      </w:pPr>
      <w:r>
        <w:rPr>
          <w:rFonts w:ascii="Times New Roman"/>
          <w:color w:val="auto"/>
        </w:rPr>
        <w:t>本</w:t>
      </w:r>
      <w:r>
        <w:rPr>
          <w:rFonts w:hint="eastAsia" w:ascii="Times New Roman"/>
          <w:color w:val="auto"/>
        </w:rPr>
        <w:t>文件</w:t>
      </w:r>
      <w:r>
        <w:rPr>
          <w:rFonts w:ascii="Times New Roman"/>
          <w:color w:val="auto"/>
        </w:rPr>
        <w:t>规定了</w:t>
      </w:r>
      <w:r>
        <w:rPr>
          <w:rFonts w:hint="eastAsia" w:ascii="Times New Roman"/>
          <w:color w:val="auto"/>
        </w:rPr>
        <w:t>钢铁企业</w:t>
      </w:r>
      <w:r>
        <w:rPr>
          <w:rFonts w:hint="eastAsia" w:ascii="Times New Roman" w:cs="Times New Roman"/>
          <w:color w:val="auto"/>
        </w:rPr>
        <w:t>环境、社会和治理（</w:t>
      </w:r>
      <w:r>
        <w:rPr>
          <w:rFonts w:hint="eastAsia" w:ascii="Times New Roman"/>
          <w:color w:val="auto"/>
        </w:rPr>
        <w:t>ESG</w:t>
      </w:r>
      <w:r>
        <w:rPr>
          <w:rFonts w:hint="eastAsia" w:ascii="Times New Roman" w:cs="Times New Roman"/>
          <w:color w:val="auto"/>
        </w:rPr>
        <w:t>）</w:t>
      </w:r>
      <w:r>
        <w:rPr>
          <w:rFonts w:hint="eastAsia" w:ascii="Times New Roman"/>
          <w:color w:val="auto"/>
        </w:rPr>
        <w:t>信息披露的</w:t>
      </w:r>
      <w:r>
        <w:rPr>
          <w:rFonts w:hint="eastAsia" w:ascii="Times New Roman"/>
          <w:color w:val="auto"/>
          <w:lang w:val="en-US" w:eastAsia="zh-CN"/>
        </w:rPr>
        <w:t>披露</w:t>
      </w:r>
      <w:r>
        <w:rPr>
          <w:rFonts w:hint="eastAsia" w:ascii="Times New Roman"/>
          <w:color w:val="auto"/>
        </w:rPr>
        <w:t>原则、</w:t>
      </w:r>
      <w:r>
        <w:rPr>
          <w:rFonts w:hint="eastAsia" w:ascii="Times New Roman"/>
          <w:color w:val="auto"/>
          <w:lang w:val="en-US" w:eastAsia="zh-CN"/>
        </w:rPr>
        <w:t>披露要求、披露指标体系</w:t>
      </w:r>
      <w:r>
        <w:rPr>
          <w:rFonts w:ascii="Times New Roman"/>
          <w:color w:val="auto"/>
        </w:rPr>
        <w:t>。</w:t>
      </w:r>
    </w:p>
    <w:p>
      <w:pPr>
        <w:pStyle w:val="26"/>
        <w:rPr>
          <w:rFonts w:hint="eastAsia" w:ascii="Times New Roman"/>
          <w:color w:val="auto"/>
        </w:rPr>
      </w:pPr>
      <w:r>
        <w:rPr>
          <w:rFonts w:ascii="Times New Roman"/>
          <w:color w:val="auto"/>
        </w:rPr>
        <w:t>本</w:t>
      </w:r>
      <w:r>
        <w:rPr>
          <w:rFonts w:hint="eastAsia" w:ascii="Times New Roman"/>
          <w:color w:val="auto"/>
        </w:rPr>
        <w:t>文件</w:t>
      </w:r>
      <w:r>
        <w:rPr>
          <w:rFonts w:ascii="Times New Roman"/>
          <w:color w:val="auto"/>
        </w:rPr>
        <w:t>适用于</w:t>
      </w:r>
      <w:r>
        <w:rPr>
          <w:rFonts w:hint="eastAsia" w:ascii="Times New Roman"/>
          <w:color w:val="auto"/>
          <w:lang w:val="en-US" w:eastAsia="zh-CN"/>
        </w:rPr>
        <w:t>实施</w:t>
      </w:r>
      <w:r>
        <w:rPr>
          <w:rFonts w:hint="eastAsia" w:ascii="Times New Roman"/>
          <w:color w:val="auto"/>
        </w:rPr>
        <w:t>ESG</w:t>
      </w:r>
      <w:r>
        <w:rPr>
          <w:rFonts w:hint="eastAsia" w:ascii="Times New Roman"/>
          <w:color w:val="auto"/>
          <w:lang w:val="en-US" w:eastAsia="zh-CN"/>
        </w:rPr>
        <w:t>信息披露</w:t>
      </w:r>
      <w:r>
        <w:rPr>
          <w:rFonts w:hint="eastAsia" w:ascii="Times New Roman"/>
          <w:color w:val="auto"/>
        </w:rPr>
        <w:t>的钢铁企业。</w:t>
      </w:r>
    </w:p>
    <w:p>
      <w:pPr>
        <w:pStyle w:val="58"/>
        <w:spacing w:before="312" w:after="312"/>
        <w:ind w:left="0"/>
        <w:rPr>
          <w:rFonts w:ascii="Times New Roman"/>
          <w:color w:val="auto"/>
        </w:rPr>
      </w:pPr>
      <w:bookmarkStart w:id="25" w:name="_Toc98332523"/>
      <w:bookmarkStart w:id="26" w:name="_Toc499733967"/>
      <w:bookmarkStart w:id="27" w:name="_Toc21083"/>
      <w:bookmarkStart w:id="28" w:name="_Toc2045"/>
      <w:bookmarkStart w:id="29" w:name="_Toc21902"/>
      <w:bookmarkStart w:id="30" w:name="_Toc940"/>
      <w:bookmarkStart w:id="31" w:name="_Toc499730569"/>
      <w:bookmarkStart w:id="32" w:name="_Toc499735463"/>
      <w:bookmarkStart w:id="33" w:name="_Toc22235"/>
      <w:bookmarkStart w:id="34" w:name="_Toc512093860"/>
      <w:r>
        <w:rPr>
          <w:rFonts w:ascii="Times New Roman"/>
          <w:color w:val="auto"/>
        </w:rPr>
        <w:t>规范性引用文件</w:t>
      </w:r>
      <w:bookmarkEnd w:id="25"/>
      <w:bookmarkEnd w:id="26"/>
      <w:bookmarkEnd w:id="27"/>
      <w:bookmarkEnd w:id="28"/>
      <w:bookmarkEnd w:id="29"/>
      <w:bookmarkEnd w:id="30"/>
      <w:bookmarkEnd w:id="31"/>
      <w:bookmarkEnd w:id="32"/>
      <w:bookmarkEnd w:id="33"/>
      <w:bookmarkEnd w:id="34"/>
    </w:p>
    <w:p>
      <w:pPr>
        <w:ind w:firstLine="420" w:firstLineChars="200"/>
        <w:rPr>
          <w:color w:val="auto"/>
          <w:kern w:val="0"/>
        </w:rPr>
      </w:pPr>
      <w:r>
        <w:rPr>
          <w:rFonts w:hint="eastAsia"/>
          <w:color w:val="auto"/>
          <w:kern w:val="0"/>
          <w:lang w:val="en-US" w:eastAsia="zh-CN"/>
        </w:rPr>
        <w:t>本文件没有规范性引用文件</w:t>
      </w:r>
      <w:r>
        <w:rPr>
          <w:color w:val="auto"/>
          <w:kern w:val="0"/>
        </w:rPr>
        <w:t>。</w:t>
      </w:r>
    </w:p>
    <w:p>
      <w:pPr>
        <w:pStyle w:val="58"/>
        <w:spacing w:before="312" w:after="312"/>
        <w:ind w:left="0"/>
        <w:rPr>
          <w:rFonts w:ascii="Times New Roman"/>
          <w:color w:val="auto"/>
        </w:rPr>
      </w:pPr>
      <w:bookmarkStart w:id="35" w:name="_Toc15071"/>
      <w:bookmarkStart w:id="36" w:name="_Toc8874"/>
      <w:bookmarkStart w:id="37" w:name="_Toc20446"/>
      <w:bookmarkStart w:id="38" w:name="_Toc31716"/>
      <w:bookmarkStart w:id="39" w:name="_Toc18869"/>
      <w:bookmarkStart w:id="40" w:name="_Toc98332524"/>
      <w:bookmarkStart w:id="41" w:name="_Toc499733968"/>
      <w:bookmarkStart w:id="42" w:name="_Toc496267156"/>
      <w:bookmarkStart w:id="43" w:name="_Toc512093862"/>
      <w:bookmarkStart w:id="44" w:name="_Toc499735464"/>
      <w:r>
        <w:rPr>
          <w:rFonts w:ascii="Times New Roman"/>
          <w:color w:val="auto"/>
        </w:rPr>
        <w:t>术语和定义</w:t>
      </w:r>
      <w:bookmarkEnd w:id="35"/>
      <w:bookmarkEnd w:id="36"/>
      <w:bookmarkEnd w:id="37"/>
      <w:bookmarkEnd w:id="38"/>
      <w:bookmarkEnd w:id="39"/>
      <w:bookmarkEnd w:id="40"/>
    </w:p>
    <w:bookmarkEnd w:id="41"/>
    <w:bookmarkEnd w:id="42"/>
    <w:bookmarkEnd w:id="43"/>
    <w:bookmarkEnd w:id="44"/>
    <w:p>
      <w:pPr>
        <w:pStyle w:val="26"/>
        <w:rPr>
          <w:rFonts w:hint="eastAsia" w:ascii="Times New Roman"/>
          <w:color w:val="auto"/>
        </w:rPr>
      </w:pPr>
      <w:bookmarkStart w:id="45" w:name="_Toc98332525"/>
      <w:r>
        <w:rPr>
          <w:rFonts w:hint="eastAsia" w:ascii="Times New Roman"/>
          <w:color w:val="auto"/>
          <w:lang w:val="en-US" w:eastAsia="zh-CN"/>
        </w:rPr>
        <w:t>本文件没有需要界定的术语和定义</w:t>
      </w:r>
      <w:r>
        <w:rPr>
          <w:rFonts w:hint="eastAsia" w:ascii="Times New Roman"/>
          <w:color w:val="auto"/>
        </w:rPr>
        <w:t>。</w:t>
      </w:r>
    </w:p>
    <w:bookmarkEnd w:id="45"/>
    <w:p>
      <w:pPr>
        <w:pStyle w:val="58"/>
        <w:spacing w:before="312" w:after="312"/>
        <w:ind w:left="0"/>
        <w:rPr>
          <w:rFonts w:ascii="Times New Roman"/>
          <w:color w:val="auto"/>
        </w:rPr>
      </w:pPr>
      <w:bookmarkStart w:id="46" w:name="_Toc28524"/>
      <w:r>
        <w:rPr>
          <w:rFonts w:hint="eastAsia" w:ascii="Times New Roman"/>
          <w:color w:val="auto"/>
          <w:lang w:val="en-US" w:eastAsia="zh-CN"/>
        </w:rPr>
        <w:t>披露原则</w:t>
      </w:r>
      <w:bookmarkEnd w:id="46"/>
    </w:p>
    <w:p>
      <w:pPr>
        <w:pStyle w:val="55"/>
        <w:rPr>
          <w:rFonts w:ascii="Times New Roman"/>
          <w:color w:val="auto"/>
        </w:rPr>
      </w:pPr>
      <w:bookmarkStart w:id="47" w:name="_Toc28252"/>
      <w:bookmarkStart w:id="48" w:name="_Toc98332526"/>
      <w:r>
        <w:rPr>
          <w:rFonts w:hint="eastAsia"/>
          <w:color w:val="auto"/>
          <w:lang w:val="en-US" w:eastAsia="zh-CN"/>
        </w:rPr>
        <w:t>真实</w:t>
      </w:r>
      <w:r>
        <w:rPr>
          <w:rFonts w:hint="eastAsia"/>
          <w:color w:val="auto"/>
        </w:rPr>
        <w:t>性</w:t>
      </w:r>
      <w:r>
        <w:rPr>
          <w:rFonts w:hint="eastAsia" w:ascii="Times New Roman"/>
          <w:color w:val="auto"/>
        </w:rPr>
        <w:t>原则</w:t>
      </w:r>
      <w:bookmarkEnd w:id="47"/>
    </w:p>
    <w:p>
      <w:pPr>
        <w:ind w:firstLine="420" w:firstLineChars="200"/>
        <w:rPr>
          <w:rFonts w:hint="eastAsia"/>
          <w:color w:val="auto"/>
          <w:kern w:val="0"/>
        </w:rPr>
      </w:pPr>
      <w:r>
        <w:rPr>
          <w:rFonts w:hint="eastAsia"/>
          <w:color w:val="auto"/>
          <w:kern w:val="0"/>
          <w:lang w:val="en-US" w:eastAsia="zh-CN"/>
        </w:rPr>
        <w:t>钢铁企业应以客观事实或具有事实基础的客观判断为依据进行披露，不应有虚假披露、不实陈述或隐瞒重要事实。</w:t>
      </w:r>
    </w:p>
    <w:p>
      <w:pPr>
        <w:pStyle w:val="55"/>
        <w:rPr>
          <w:rFonts w:ascii="Times New Roman"/>
          <w:color w:val="auto"/>
        </w:rPr>
      </w:pPr>
      <w:bookmarkStart w:id="49" w:name="_Toc20281"/>
      <w:r>
        <w:rPr>
          <w:rFonts w:hint="eastAsia"/>
          <w:color w:val="auto"/>
          <w:lang w:val="en-US" w:eastAsia="zh-CN"/>
        </w:rPr>
        <w:t>准确</w:t>
      </w:r>
      <w:r>
        <w:rPr>
          <w:rFonts w:hint="eastAsia"/>
          <w:color w:val="auto"/>
        </w:rPr>
        <w:t>性</w:t>
      </w:r>
      <w:r>
        <w:rPr>
          <w:rFonts w:hint="eastAsia" w:ascii="Times New Roman"/>
          <w:color w:val="auto"/>
        </w:rPr>
        <w:t>原则</w:t>
      </w:r>
      <w:bookmarkEnd w:id="49"/>
    </w:p>
    <w:p>
      <w:pPr>
        <w:ind w:firstLine="420" w:firstLineChars="200"/>
        <w:rPr>
          <w:rFonts w:hint="default"/>
          <w:color w:val="auto"/>
          <w:kern w:val="0"/>
          <w:lang w:val="en-US" w:eastAsia="zh-CN"/>
        </w:rPr>
      </w:pPr>
      <w:r>
        <w:rPr>
          <w:rFonts w:hint="eastAsia"/>
          <w:color w:val="auto"/>
          <w:kern w:val="0"/>
          <w:lang w:val="en-US" w:eastAsia="zh-CN"/>
        </w:rPr>
        <w:t>钢铁企业应以利益相关方的判断能力作为准确理解披露信息的标准，应使用简明清晰、通俗易懂的语言，内容不应含有误导性陈述。</w:t>
      </w:r>
    </w:p>
    <w:p>
      <w:pPr>
        <w:pStyle w:val="55"/>
        <w:rPr>
          <w:rFonts w:ascii="Times New Roman"/>
          <w:color w:val="auto"/>
        </w:rPr>
      </w:pPr>
      <w:bookmarkStart w:id="50" w:name="_Toc14666"/>
      <w:r>
        <w:rPr>
          <w:rFonts w:hint="eastAsia"/>
          <w:color w:val="auto"/>
          <w:lang w:val="en-US" w:eastAsia="zh-CN"/>
        </w:rPr>
        <w:t>完整</w:t>
      </w:r>
      <w:r>
        <w:rPr>
          <w:rFonts w:hint="eastAsia"/>
          <w:color w:val="auto"/>
        </w:rPr>
        <w:t>性</w:t>
      </w:r>
      <w:r>
        <w:rPr>
          <w:rFonts w:hint="eastAsia" w:ascii="Times New Roman"/>
          <w:color w:val="auto"/>
        </w:rPr>
        <w:t>原则</w:t>
      </w:r>
      <w:bookmarkEnd w:id="50"/>
    </w:p>
    <w:p>
      <w:pPr>
        <w:ind w:firstLine="420" w:firstLineChars="200"/>
        <w:rPr>
          <w:rFonts w:hint="eastAsia"/>
          <w:color w:val="auto"/>
          <w:kern w:val="0"/>
        </w:rPr>
      </w:pPr>
      <w:r>
        <w:rPr>
          <w:rFonts w:hint="eastAsia"/>
          <w:color w:val="auto"/>
          <w:kern w:val="0"/>
          <w:lang w:val="en-US" w:eastAsia="zh-CN"/>
        </w:rPr>
        <w:t>钢铁企业应披露对利益相关方作出价值判断和决策有重要影响的所有信息，信息内容应完整、全面，不应有重大遗漏</w:t>
      </w:r>
      <w:r>
        <w:rPr>
          <w:rFonts w:hint="eastAsia"/>
          <w:color w:val="auto"/>
          <w:kern w:val="0"/>
        </w:rPr>
        <w:t>。</w:t>
      </w:r>
    </w:p>
    <w:p>
      <w:pPr>
        <w:pStyle w:val="55"/>
        <w:rPr>
          <w:rFonts w:ascii="Times New Roman"/>
          <w:color w:val="auto"/>
        </w:rPr>
      </w:pPr>
      <w:bookmarkStart w:id="51" w:name="_Toc9233"/>
      <w:r>
        <w:rPr>
          <w:rFonts w:hint="eastAsia"/>
          <w:color w:val="auto"/>
          <w:lang w:val="en-US" w:eastAsia="zh-CN"/>
        </w:rPr>
        <w:t>及时性</w:t>
      </w:r>
      <w:r>
        <w:rPr>
          <w:rFonts w:hint="eastAsia" w:ascii="Times New Roman"/>
          <w:color w:val="auto"/>
        </w:rPr>
        <w:t>原则</w:t>
      </w:r>
      <w:bookmarkEnd w:id="51"/>
    </w:p>
    <w:p>
      <w:pPr>
        <w:ind w:firstLine="420" w:firstLineChars="200"/>
        <w:rPr>
          <w:rFonts w:hint="eastAsia"/>
          <w:color w:val="auto"/>
          <w:kern w:val="0"/>
        </w:rPr>
      </w:pPr>
      <w:r>
        <w:rPr>
          <w:rFonts w:hint="eastAsia"/>
          <w:color w:val="auto"/>
          <w:kern w:val="0"/>
          <w:lang w:val="en-US" w:eastAsia="zh-CN"/>
        </w:rPr>
        <w:t>钢铁企业应及时对影响利益相关方作出价值判断和决策信息进行披露，确保披露信息的时效性</w:t>
      </w:r>
      <w:r>
        <w:rPr>
          <w:rFonts w:hint="eastAsia"/>
          <w:color w:val="auto"/>
          <w:kern w:val="0"/>
        </w:rPr>
        <w:t>。</w:t>
      </w:r>
    </w:p>
    <w:bookmarkEnd w:id="48"/>
    <w:p>
      <w:pPr>
        <w:pStyle w:val="58"/>
        <w:spacing w:before="312" w:after="312"/>
        <w:ind w:left="0"/>
        <w:rPr>
          <w:rFonts w:ascii="Times New Roman"/>
          <w:color w:val="auto"/>
        </w:rPr>
      </w:pPr>
      <w:bookmarkStart w:id="52" w:name="_Toc12791"/>
      <w:r>
        <w:rPr>
          <w:rFonts w:hint="eastAsia" w:ascii="Times New Roman"/>
          <w:color w:val="auto"/>
          <w:lang w:val="en-US" w:eastAsia="zh-CN"/>
        </w:rPr>
        <w:t>披露要求</w:t>
      </w:r>
      <w:bookmarkEnd w:id="52"/>
    </w:p>
    <w:p>
      <w:pPr>
        <w:numPr>
          <w:ilvl w:val="1"/>
          <w:numId w:val="2"/>
        </w:numPr>
        <w:spacing w:before="156" w:beforeLines="50" w:after="156" w:afterLines="50"/>
        <w:outlineLvl w:val="2"/>
        <w:rPr>
          <w:rFonts w:eastAsia="黑体"/>
          <w:color w:val="auto"/>
        </w:rPr>
      </w:pPr>
      <w:bookmarkStart w:id="53" w:name="_Toc914"/>
      <w:r>
        <w:rPr>
          <w:rFonts w:hint="eastAsia" w:eastAsia="黑体"/>
          <w:color w:val="auto"/>
          <w:lang w:val="en-US" w:eastAsia="zh-CN"/>
        </w:rPr>
        <w:t>一般要求</w:t>
      </w:r>
      <w:bookmarkEnd w:id="53"/>
    </w:p>
    <w:p>
      <w:pPr>
        <w:widowControl/>
        <w:autoSpaceDE w:val="0"/>
        <w:autoSpaceDN w:val="0"/>
        <w:rPr>
          <w:rFonts w:hint="eastAsia"/>
          <w:color w:val="auto"/>
          <w:kern w:val="0"/>
          <w:szCs w:val="21"/>
          <w:lang w:val="en-US" w:eastAsia="zh-CN"/>
        </w:rPr>
      </w:pPr>
      <w:r>
        <w:rPr>
          <w:rFonts w:hint="eastAsia"/>
          <w:color w:val="auto"/>
          <w:kern w:val="0"/>
          <w:szCs w:val="21"/>
          <w:lang w:val="en-US" w:eastAsia="zh-CN"/>
        </w:rPr>
        <w:t>5.1.1 钢铁企业ESG披露应按照《中华人民共和国证券法》、《上市公司信息披露管理办法》和《企业环境信息依法披露管理办法》等信息披露管理规定，遵循相关政府监管要求和政策指引，依据本标准文件进行披露或自愿披露</w:t>
      </w:r>
      <w:r>
        <w:rPr>
          <w:rFonts w:hint="eastAsia"/>
          <w:color w:val="auto"/>
          <w:kern w:val="0"/>
          <w:szCs w:val="21"/>
        </w:rPr>
        <w:t>。</w:t>
      </w:r>
      <w:r>
        <w:rPr>
          <w:rFonts w:hint="eastAsia"/>
          <w:color w:val="auto"/>
          <w:kern w:val="0"/>
          <w:szCs w:val="21"/>
          <w:lang w:val="en-US" w:eastAsia="zh-CN"/>
        </w:rPr>
        <w:t>ESG披露周期以一个自然年为基准，或根据需要自主规定披露周期。</w:t>
      </w:r>
    </w:p>
    <w:p>
      <w:pPr>
        <w:widowControl/>
        <w:autoSpaceDE w:val="0"/>
        <w:autoSpaceDN w:val="0"/>
        <w:rPr>
          <w:rFonts w:hint="default"/>
          <w:color w:val="auto"/>
          <w:kern w:val="0"/>
          <w:szCs w:val="21"/>
          <w:lang w:val="en-US" w:eastAsia="zh-CN"/>
        </w:rPr>
      </w:pPr>
      <w:r>
        <w:rPr>
          <w:rFonts w:hint="eastAsia"/>
          <w:color w:val="auto"/>
          <w:kern w:val="0"/>
          <w:szCs w:val="21"/>
          <w:lang w:val="en-US" w:eastAsia="zh-CN"/>
        </w:rPr>
        <w:t>5.1.2 钢铁企业ESG披露的一般流程包括披露目的的确定、披露形式的选择、披露信息核验和发布报告</w:t>
      </w:r>
      <w:r>
        <w:rPr>
          <w:rFonts w:hint="eastAsia"/>
          <w:color w:val="auto"/>
          <w:kern w:val="0"/>
          <w:szCs w:val="21"/>
        </w:rPr>
        <w:t>。</w:t>
      </w:r>
    </w:p>
    <w:p>
      <w:pPr>
        <w:numPr>
          <w:ilvl w:val="1"/>
          <w:numId w:val="2"/>
        </w:numPr>
        <w:spacing w:before="156" w:beforeLines="50" w:after="156" w:afterLines="50"/>
        <w:outlineLvl w:val="2"/>
        <w:rPr>
          <w:rFonts w:eastAsia="黑体"/>
          <w:color w:val="auto"/>
        </w:rPr>
      </w:pPr>
      <w:bookmarkStart w:id="54" w:name="_Toc28142"/>
      <w:r>
        <w:rPr>
          <w:rFonts w:hint="eastAsia" w:ascii="黑体" w:hAnsi="黑体" w:eastAsia="黑体" w:cs="黑体"/>
          <w:color w:val="auto"/>
          <w:kern w:val="0"/>
          <w:szCs w:val="21"/>
          <w:lang w:val="en-US" w:eastAsia="zh-CN"/>
        </w:rPr>
        <w:t>披露目的</w:t>
      </w:r>
      <w:bookmarkEnd w:id="54"/>
    </w:p>
    <w:p>
      <w:pPr>
        <w:widowControl/>
        <w:autoSpaceDE w:val="0"/>
        <w:autoSpaceDN w:val="0"/>
        <w:ind w:firstLine="420" w:firstLineChars="200"/>
        <w:rPr>
          <w:rFonts w:hint="eastAsia"/>
          <w:color w:val="auto"/>
          <w:kern w:val="0"/>
          <w:szCs w:val="21"/>
          <w:lang w:val="en-US" w:eastAsia="zh-CN"/>
        </w:rPr>
      </w:pPr>
      <w:r>
        <w:rPr>
          <w:rFonts w:hint="eastAsia"/>
          <w:color w:val="auto"/>
          <w:kern w:val="0"/>
          <w:szCs w:val="21"/>
          <w:lang w:val="en-US" w:eastAsia="zh-CN"/>
        </w:rPr>
        <w:t>根据钢铁企业ESG披露的利益相关方如：下游用户和消费者、监管机构、投资机构等的相关需求，确定披露的目的，以便确定开展披露工作的具体内容。</w:t>
      </w:r>
    </w:p>
    <w:p>
      <w:pPr>
        <w:numPr>
          <w:ilvl w:val="1"/>
          <w:numId w:val="2"/>
        </w:numPr>
        <w:spacing w:before="156" w:beforeLines="50" w:after="156" w:afterLines="50"/>
        <w:outlineLvl w:val="2"/>
        <w:rPr>
          <w:rFonts w:eastAsia="黑体"/>
          <w:color w:val="auto"/>
        </w:rPr>
      </w:pPr>
      <w:bookmarkStart w:id="55" w:name="_Toc25469"/>
      <w:r>
        <w:rPr>
          <w:rFonts w:hint="eastAsia" w:ascii="黑体" w:hAnsi="黑体" w:eastAsia="黑体" w:cs="黑体"/>
          <w:color w:val="auto"/>
          <w:kern w:val="0"/>
          <w:szCs w:val="21"/>
          <w:lang w:val="en-US" w:eastAsia="zh-CN"/>
        </w:rPr>
        <w:t>披露形式</w:t>
      </w:r>
      <w:bookmarkEnd w:id="55"/>
    </w:p>
    <w:p>
      <w:pPr>
        <w:widowControl/>
        <w:autoSpaceDE w:val="0"/>
        <w:autoSpaceDN w:val="0"/>
        <w:ind w:firstLine="420" w:firstLineChars="200"/>
        <w:rPr>
          <w:rFonts w:hint="eastAsia"/>
          <w:color w:val="auto"/>
          <w:kern w:val="0"/>
          <w:szCs w:val="21"/>
          <w:lang w:val="en-US" w:eastAsia="zh-CN"/>
        </w:rPr>
      </w:pPr>
      <w:r>
        <w:rPr>
          <w:rFonts w:hint="eastAsia"/>
          <w:color w:val="auto"/>
          <w:kern w:val="0"/>
          <w:szCs w:val="21"/>
          <w:lang w:val="en-US" w:eastAsia="zh-CN"/>
        </w:rPr>
        <w:t>钢铁企业可根据自身的实际情况，选择不同的披露形式对外披露。信息披露文件的形式包括但不限于：</w:t>
      </w:r>
    </w:p>
    <w:p>
      <w:pPr>
        <w:keepNext w:val="0"/>
        <w:keepLines w:val="0"/>
        <w:pageBreakBefore w:val="0"/>
        <w:widowControl/>
        <w:numPr>
          <w:ilvl w:val="0"/>
          <w:numId w:val="0"/>
        </w:numPr>
        <w:kinsoku/>
        <w:wordWrap/>
        <w:overflowPunct/>
        <w:topLinePunct w:val="0"/>
        <w:autoSpaceDE w:val="0"/>
        <w:autoSpaceDN w:val="0"/>
        <w:bidi w:val="0"/>
        <w:adjustRightInd/>
        <w:snapToGrid/>
        <w:ind w:firstLine="480" w:firstLineChars="200"/>
        <w:textAlignment w:val="auto"/>
        <w:rPr>
          <w:rFonts w:hint="default"/>
          <w:color w:val="auto"/>
          <w:kern w:val="0"/>
          <w:szCs w:val="21"/>
          <w:lang w:val="en-US" w:eastAsia="zh-CN"/>
        </w:rPr>
      </w:pPr>
      <w:r>
        <w:rPr>
          <w:rFonts w:hint="eastAsia"/>
          <w:color w:val="auto"/>
          <w:kern w:val="0"/>
          <w:sz w:val="24"/>
        </w:rPr>
        <w:t>a）</w:t>
      </w:r>
      <w:r>
        <w:rPr>
          <w:rFonts w:hint="eastAsia"/>
          <w:color w:val="auto"/>
          <w:kern w:val="0"/>
          <w:szCs w:val="21"/>
          <w:lang w:val="en-US" w:eastAsia="zh-CN"/>
        </w:rPr>
        <w:t>企业ESG报告或ESG数据表格；</w:t>
      </w:r>
    </w:p>
    <w:p>
      <w:pPr>
        <w:keepNext w:val="0"/>
        <w:keepLines w:val="0"/>
        <w:pageBreakBefore w:val="0"/>
        <w:widowControl/>
        <w:numPr>
          <w:ilvl w:val="0"/>
          <w:numId w:val="0"/>
        </w:numPr>
        <w:kinsoku/>
        <w:wordWrap/>
        <w:overflowPunct/>
        <w:topLinePunct w:val="0"/>
        <w:autoSpaceDE w:val="0"/>
        <w:autoSpaceDN w:val="0"/>
        <w:bidi w:val="0"/>
        <w:adjustRightInd/>
        <w:snapToGrid/>
        <w:ind w:firstLine="480" w:firstLineChars="200"/>
        <w:textAlignment w:val="auto"/>
        <w:rPr>
          <w:rFonts w:hint="default"/>
          <w:color w:val="auto"/>
          <w:kern w:val="0"/>
          <w:szCs w:val="21"/>
          <w:lang w:val="en-US" w:eastAsia="zh-CN"/>
        </w:rPr>
      </w:pPr>
      <w:r>
        <w:rPr>
          <w:rFonts w:hint="eastAsia"/>
          <w:color w:val="auto"/>
          <w:kern w:val="0"/>
          <w:sz w:val="24"/>
        </w:rPr>
        <w:t>b）</w:t>
      </w:r>
      <w:r>
        <w:rPr>
          <w:rFonts w:hint="eastAsia"/>
          <w:color w:val="auto"/>
          <w:kern w:val="0"/>
          <w:szCs w:val="21"/>
          <w:lang w:val="en-US" w:eastAsia="zh-CN"/>
        </w:rPr>
        <w:t>《企业社会责任报告》等报告；</w:t>
      </w:r>
    </w:p>
    <w:p>
      <w:pPr>
        <w:keepNext w:val="0"/>
        <w:keepLines w:val="0"/>
        <w:pageBreakBefore w:val="0"/>
        <w:widowControl/>
        <w:numPr>
          <w:ilvl w:val="0"/>
          <w:numId w:val="0"/>
        </w:numPr>
        <w:kinsoku/>
        <w:wordWrap/>
        <w:overflowPunct/>
        <w:topLinePunct w:val="0"/>
        <w:autoSpaceDE w:val="0"/>
        <w:autoSpaceDN w:val="0"/>
        <w:bidi w:val="0"/>
        <w:adjustRightInd/>
        <w:snapToGrid/>
        <w:ind w:firstLine="480" w:firstLineChars="200"/>
        <w:textAlignment w:val="auto"/>
        <w:rPr>
          <w:rFonts w:hint="default"/>
          <w:color w:val="auto"/>
          <w:kern w:val="0"/>
          <w:szCs w:val="21"/>
          <w:lang w:val="en-US" w:eastAsia="zh-CN"/>
        </w:rPr>
      </w:pPr>
      <w:r>
        <w:rPr>
          <w:rFonts w:hint="eastAsia"/>
          <w:color w:val="auto"/>
          <w:kern w:val="0"/>
          <w:sz w:val="24"/>
        </w:rPr>
        <w:t>c）</w:t>
      </w:r>
      <w:r>
        <w:rPr>
          <w:rFonts w:hint="eastAsia"/>
          <w:color w:val="auto"/>
          <w:kern w:val="0"/>
          <w:szCs w:val="21"/>
          <w:lang w:val="en-US" w:eastAsia="zh-CN"/>
        </w:rPr>
        <w:t>根据国家和地方相关法律法规要求编制的专题报告；</w:t>
      </w:r>
    </w:p>
    <w:p>
      <w:pPr>
        <w:keepNext w:val="0"/>
        <w:keepLines w:val="0"/>
        <w:pageBreakBefore w:val="0"/>
        <w:widowControl/>
        <w:numPr>
          <w:ilvl w:val="0"/>
          <w:numId w:val="0"/>
        </w:numPr>
        <w:kinsoku/>
        <w:wordWrap/>
        <w:overflowPunct/>
        <w:topLinePunct w:val="0"/>
        <w:autoSpaceDE w:val="0"/>
        <w:autoSpaceDN w:val="0"/>
        <w:bidi w:val="0"/>
        <w:adjustRightInd/>
        <w:snapToGrid/>
        <w:ind w:firstLine="480" w:firstLineChars="200"/>
        <w:textAlignment w:val="auto"/>
        <w:rPr>
          <w:rFonts w:hint="default"/>
          <w:color w:val="auto"/>
          <w:kern w:val="0"/>
          <w:szCs w:val="21"/>
          <w:lang w:val="en-US" w:eastAsia="zh-CN"/>
        </w:rPr>
      </w:pPr>
      <w:r>
        <w:rPr>
          <w:rFonts w:hint="eastAsia"/>
          <w:color w:val="auto"/>
          <w:kern w:val="0"/>
          <w:sz w:val="24"/>
          <w:lang w:val="en-US" w:eastAsia="zh-CN"/>
        </w:rPr>
        <w:t>d</w:t>
      </w:r>
      <w:r>
        <w:rPr>
          <w:rFonts w:hint="eastAsia"/>
          <w:color w:val="auto"/>
          <w:kern w:val="0"/>
          <w:sz w:val="24"/>
        </w:rPr>
        <w:t>）</w:t>
      </w:r>
      <w:r>
        <w:rPr>
          <w:rFonts w:hint="eastAsia"/>
          <w:color w:val="auto"/>
          <w:kern w:val="0"/>
          <w:szCs w:val="21"/>
          <w:lang w:val="en-US" w:eastAsia="zh-CN"/>
        </w:rPr>
        <w:t>企业声明或简报；</w:t>
      </w:r>
    </w:p>
    <w:p>
      <w:pPr>
        <w:keepNext w:val="0"/>
        <w:keepLines w:val="0"/>
        <w:pageBreakBefore w:val="0"/>
        <w:widowControl/>
        <w:numPr>
          <w:ilvl w:val="0"/>
          <w:numId w:val="0"/>
        </w:numPr>
        <w:kinsoku/>
        <w:wordWrap/>
        <w:overflowPunct/>
        <w:topLinePunct w:val="0"/>
        <w:autoSpaceDE w:val="0"/>
        <w:autoSpaceDN w:val="0"/>
        <w:bidi w:val="0"/>
        <w:adjustRightInd/>
        <w:snapToGrid/>
        <w:ind w:firstLine="480" w:firstLineChars="200"/>
        <w:textAlignment w:val="auto"/>
        <w:rPr>
          <w:rFonts w:hint="default"/>
          <w:color w:val="auto"/>
          <w:kern w:val="0"/>
          <w:szCs w:val="21"/>
          <w:lang w:val="en-US" w:eastAsia="zh-CN"/>
        </w:rPr>
      </w:pPr>
      <w:r>
        <w:rPr>
          <w:rFonts w:hint="eastAsia"/>
          <w:color w:val="auto"/>
          <w:kern w:val="0"/>
          <w:sz w:val="24"/>
          <w:lang w:val="en-US" w:eastAsia="zh-CN"/>
        </w:rPr>
        <w:t>e</w:t>
      </w:r>
      <w:r>
        <w:rPr>
          <w:rFonts w:hint="eastAsia"/>
          <w:color w:val="auto"/>
          <w:kern w:val="0"/>
          <w:sz w:val="24"/>
        </w:rPr>
        <w:t>）</w:t>
      </w:r>
      <w:r>
        <w:rPr>
          <w:rFonts w:hint="eastAsia"/>
          <w:color w:val="auto"/>
          <w:kern w:val="0"/>
          <w:szCs w:val="21"/>
          <w:lang w:val="en-US" w:eastAsia="zh-CN"/>
        </w:rPr>
        <w:t>其他适合的形式；</w:t>
      </w:r>
    </w:p>
    <w:p>
      <w:pPr>
        <w:numPr>
          <w:ilvl w:val="1"/>
          <w:numId w:val="2"/>
        </w:numPr>
        <w:spacing w:before="156" w:beforeLines="50" w:after="156" w:afterLines="50"/>
        <w:outlineLvl w:val="2"/>
        <w:rPr>
          <w:rFonts w:eastAsia="黑体"/>
          <w:color w:val="auto"/>
        </w:rPr>
      </w:pPr>
      <w:bookmarkStart w:id="56" w:name="_Toc11862"/>
      <w:r>
        <w:rPr>
          <w:rFonts w:hint="eastAsia" w:ascii="黑体" w:hAnsi="黑体" w:eastAsia="黑体" w:cs="黑体"/>
          <w:color w:val="auto"/>
          <w:kern w:val="0"/>
          <w:szCs w:val="21"/>
          <w:lang w:val="en-US" w:eastAsia="zh-CN"/>
        </w:rPr>
        <w:t>信息核验</w:t>
      </w:r>
      <w:bookmarkEnd w:id="56"/>
    </w:p>
    <w:p>
      <w:pPr>
        <w:widowControl/>
        <w:autoSpaceDE w:val="0"/>
        <w:autoSpaceDN w:val="0"/>
        <w:rPr>
          <w:rFonts w:hint="eastAsia"/>
          <w:color w:val="auto"/>
          <w:kern w:val="0"/>
          <w:szCs w:val="21"/>
          <w:lang w:val="en-US" w:eastAsia="zh-CN"/>
        </w:rPr>
      </w:pPr>
      <w:r>
        <w:rPr>
          <w:rFonts w:hint="eastAsia"/>
          <w:color w:val="auto"/>
          <w:kern w:val="0"/>
          <w:szCs w:val="21"/>
          <w:lang w:val="en-US" w:eastAsia="zh-CN"/>
        </w:rPr>
        <w:t>5.4.1  钢铁企业在ESG正式披露前，应对信息的真实性、准确性和时效性进行核验，保证所披露信息的真实、及时、有效。</w:t>
      </w:r>
    </w:p>
    <w:p>
      <w:pPr>
        <w:widowControl/>
        <w:autoSpaceDE w:val="0"/>
        <w:autoSpaceDN w:val="0"/>
        <w:rPr>
          <w:rFonts w:hint="default"/>
          <w:color w:val="auto"/>
          <w:kern w:val="0"/>
          <w:szCs w:val="21"/>
          <w:lang w:val="en-US" w:eastAsia="zh-CN"/>
        </w:rPr>
      </w:pPr>
      <w:r>
        <w:rPr>
          <w:rFonts w:hint="eastAsia"/>
          <w:color w:val="auto"/>
          <w:kern w:val="0"/>
          <w:szCs w:val="21"/>
          <w:lang w:val="en-US" w:eastAsia="zh-CN"/>
        </w:rPr>
        <w:t>5.4.2 钢铁企业可在披露前引入外部第三方评价机构对即将披露的ESG信息的搜集程序和真实性进行评估。</w:t>
      </w:r>
    </w:p>
    <w:p>
      <w:pPr>
        <w:numPr>
          <w:ilvl w:val="1"/>
          <w:numId w:val="2"/>
        </w:numPr>
        <w:spacing w:before="156" w:beforeLines="50" w:after="156" w:afterLines="50"/>
        <w:outlineLvl w:val="2"/>
        <w:rPr>
          <w:rFonts w:hint="default" w:ascii="黑体" w:hAnsi="黑体" w:eastAsia="黑体" w:cs="黑体"/>
          <w:color w:val="auto"/>
          <w:kern w:val="0"/>
          <w:szCs w:val="21"/>
          <w:lang w:val="en-US" w:eastAsia="zh-CN"/>
        </w:rPr>
      </w:pPr>
      <w:bookmarkStart w:id="57" w:name="_Toc12013"/>
      <w:r>
        <w:rPr>
          <w:rFonts w:hint="eastAsia" w:ascii="黑体" w:hAnsi="黑体" w:eastAsia="黑体" w:cs="黑体"/>
          <w:color w:val="auto"/>
          <w:kern w:val="0"/>
          <w:szCs w:val="21"/>
          <w:lang w:val="en-US" w:eastAsia="zh-CN"/>
        </w:rPr>
        <w:t>发布报告</w:t>
      </w:r>
      <w:bookmarkEnd w:id="57"/>
    </w:p>
    <w:p>
      <w:pPr>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color w:val="auto"/>
          <w:kern w:val="0"/>
          <w:szCs w:val="21"/>
          <w:lang w:val="en-US" w:eastAsia="zh-CN"/>
        </w:rPr>
      </w:pPr>
      <w:r>
        <w:rPr>
          <w:rFonts w:hint="eastAsia"/>
          <w:color w:val="auto"/>
          <w:kern w:val="0"/>
          <w:szCs w:val="21"/>
          <w:lang w:val="en-US" w:eastAsia="zh-CN"/>
        </w:rPr>
        <w:t>钢铁企业应根据利益相关方需求，采用相应披露形式发布ESG信息披露报告。</w:t>
      </w:r>
    </w:p>
    <w:p>
      <w:pPr>
        <w:pStyle w:val="58"/>
        <w:spacing w:before="312" w:after="312"/>
        <w:ind w:left="0"/>
        <w:rPr>
          <w:rFonts w:ascii="Times New Roman"/>
          <w:color w:val="auto"/>
        </w:rPr>
      </w:pPr>
      <w:bookmarkStart w:id="58" w:name="_Toc98332527"/>
      <w:bookmarkStart w:id="59" w:name="_Toc7862"/>
      <w:r>
        <w:rPr>
          <w:rFonts w:hint="eastAsia" w:ascii="Times New Roman"/>
          <w:color w:val="auto"/>
          <w:lang w:val="en-US" w:eastAsia="zh-CN"/>
        </w:rPr>
        <w:t>披露</w:t>
      </w:r>
      <w:bookmarkEnd w:id="58"/>
      <w:r>
        <w:rPr>
          <w:rFonts w:hint="eastAsia" w:ascii="Times New Roman"/>
          <w:color w:val="auto"/>
          <w:lang w:val="en-US" w:eastAsia="zh-CN"/>
        </w:rPr>
        <w:t>指标体系</w:t>
      </w:r>
      <w:bookmarkEnd w:id="59"/>
    </w:p>
    <w:p>
      <w:pPr>
        <w:widowControl/>
        <w:autoSpaceDE w:val="0"/>
        <w:autoSpaceDN w:val="0"/>
        <w:ind w:firstLine="420" w:firstLineChars="200"/>
        <w:rPr>
          <w:color w:val="auto"/>
          <w:kern w:val="0"/>
          <w:szCs w:val="21"/>
          <w:highlight w:val="none"/>
        </w:rPr>
      </w:pPr>
      <w:r>
        <w:rPr>
          <w:rFonts w:hint="eastAsia"/>
          <w:color w:val="auto"/>
          <w:kern w:val="0"/>
          <w:szCs w:val="21"/>
          <w:highlight w:val="none"/>
          <w:lang w:val="en-US" w:eastAsia="zh-CN"/>
        </w:rPr>
        <w:t>钢铁企业ESG信息披露指标体系主要从环境（E）、社会（S）和治理（G）3个维度出发，包括12个一级指标、36个二级指标和91个三级指标，具体见附录A</w:t>
      </w:r>
      <w:r>
        <w:rPr>
          <w:color w:val="auto"/>
          <w:kern w:val="0"/>
          <w:szCs w:val="21"/>
          <w:highlight w:val="none"/>
        </w:rPr>
        <w:t>。</w:t>
      </w:r>
    </w:p>
    <w:p>
      <w:pPr>
        <w:widowControl/>
        <w:autoSpaceDE w:val="0"/>
        <w:autoSpaceDN w:val="0"/>
        <w:ind w:firstLine="420" w:firstLineChars="200"/>
        <w:rPr>
          <w:color w:val="auto"/>
          <w:kern w:val="0"/>
          <w:szCs w:val="21"/>
          <w:highlight w:val="none"/>
        </w:rPr>
      </w:pPr>
    </w:p>
    <w:p>
      <w:pPr>
        <w:widowControl/>
        <w:autoSpaceDE w:val="0"/>
        <w:autoSpaceDN w:val="0"/>
        <w:ind w:firstLine="420" w:firstLineChars="200"/>
        <w:rPr>
          <w:color w:val="auto"/>
          <w:kern w:val="0"/>
          <w:szCs w:val="21"/>
          <w:highlight w:val="none"/>
        </w:rPr>
      </w:pPr>
    </w:p>
    <w:p>
      <w:pPr>
        <w:pStyle w:val="142"/>
        <w:framePr w:vAnchor="text" w:hAnchor="page" w:x="4522" w:y="647"/>
        <w:rPr>
          <w:rFonts w:hint="eastAsia"/>
          <w:color w:val="auto"/>
          <w:highlight w:val="none"/>
        </w:rPr>
      </w:pPr>
      <w:r>
        <w:rPr>
          <w:color w:val="auto"/>
          <w:highlight w:val="none"/>
        </w:rPr>
        <w:t>_________________________________</w:t>
      </w:r>
    </w:p>
    <w:p>
      <w:pPr>
        <w:widowControl/>
        <w:autoSpaceDE w:val="0"/>
        <w:autoSpaceDN w:val="0"/>
        <w:ind w:firstLine="420" w:firstLineChars="200"/>
        <w:rPr>
          <w:color w:val="auto"/>
          <w:kern w:val="0"/>
          <w:szCs w:val="21"/>
          <w:highlight w:val="none"/>
        </w:rPr>
      </w:pPr>
    </w:p>
    <w:p>
      <w:pPr>
        <w:widowControl/>
        <w:jc w:val="left"/>
        <w:rPr>
          <w:rFonts w:asciiTheme="minorEastAsia" w:hAnsiTheme="minorEastAsia" w:eastAsiaTheme="minorEastAsia"/>
          <w:b/>
          <w:bCs/>
          <w:color w:val="auto"/>
          <w:highlight w:val="none"/>
        </w:rPr>
        <w:sectPr>
          <w:footerReference r:id="rId6" w:type="default"/>
          <w:pgSz w:w="11906" w:h="16838"/>
          <w:pgMar w:top="567" w:right="1134" w:bottom="1134" w:left="1417" w:header="1418" w:footer="1134" w:gutter="0"/>
          <w:pgNumType w:start="1"/>
          <w:cols w:space="425" w:num="1"/>
          <w:formProt w:val="0"/>
          <w:docGrid w:type="lines" w:linePitch="312" w:charSpace="0"/>
        </w:sectPr>
      </w:pPr>
      <w:r>
        <w:rPr>
          <w:rFonts w:asciiTheme="minorEastAsia" w:hAnsiTheme="minorEastAsia" w:eastAsiaTheme="minorEastAsia"/>
          <w:b/>
          <w:bCs/>
          <w:color w:val="auto"/>
          <w:highlight w:val="none"/>
        </w:rPr>
        <w:br w:type="page"/>
      </w:r>
    </w:p>
    <w:p>
      <w:pPr>
        <w:widowControl/>
        <w:jc w:val="left"/>
        <w:rPr>
          <w:rFonts w:asciiTheme="minorEastAsia" w:hAnsiTheme="minorEastAsia" w:eastAsiaTheme="minorEastAsia"/>
          <w:b/>
          <w:bCs/>
          <w:color w:val="auto"/>
          <w:highlight w:val="none"/>
        </w:rPr>
      </w:pPr>
    </w:p>
    <w:p>
      <w:pPr>
        <w:widowControl/>
        <w:jc w:val="left"/>
        <w:rPr>
          <w:rFonts w:asciiTheme="minorEastAsia" w:hAnsiTheme="minorEastAsia" w:eastAsiaTheme="minorEastAsia"/>
          <w:b/>
          <w:bCs/>
          <w:color w:val="auto"/>
          <w:highlight w:val="none"/>
        </w:rPr>
      </w:pPr>
    </w:p>
    <w:p>
      <w:pPr>
        <w:spacing w:line="360" w:lineRule="auto"/>
        <w:ind w:firstLine="420" w:firstLineChars="200"/>
        <w:jc w:val="center"/>
        <w:outlineLvl w:val="0"/>
        <w:rPr>
          <w:rFonts w:eastAsia="黑体"/>
          <w:color w:val="auto"/>
          <w:szCs w:val="21"/>
          <w:highlight w:val="none"/>
        </w:rPr>
      </w:pPr>
      <w:bookmarkStart w:id="60" w:name="_Toc31711"/>
      <w:r>
        <w:rPr>
          <w:rFonts w:eastAsia="黑体"/>
          <w:color w:val="auto"/>
          <w:szCs w:val="21"/>
          <w:highlight w:val="none"/>
        </w:rPr>
        <w:t>附  录  A</w:t>
      </w:r>
      <w:bookmarkEnd w:id="60"/>
    </w:p>
    <w:p>
      <w:pPr>
        <w:spacing w:line="360" w:lineRule="auto"/>
        <w:ind w:firstLine="420" w:firstLineChars="200"/>
        <w:jc w:val="center"/>
        <w:rPr>
          <w:rFonts w:eastAsia="黑体"/>
          <w:color w:val="auto"/>
          <w:szCs w:val="21"/>
          <w:highlight w:val="none"/>
        </w:rPr>
      </w:pPr>
      <w:r>
        <w:rPr>
          <w:rFonts w:eastAsia="黑体"/>
          <w:color w:val="auto"/>
          <w:szCs w:val="21"/>
          <w:highlight w:val="none"/>
        </w:rPr>
        <w:t>（规范性)</w:t>
      </w:r>
    </w:p>
    <w:p>
      <w:pPr>
        <w:spacing w:line="360" w:lineRule="auto"/>
        <w:ind w:firstLine="420" w:firstLineChars="200"/>
        <w:jc w:val="center"/>
        <w:rPr>
          <w:rFonts w:hint="default" w:eastAsia="黑体"/>
          <w:color w:val="auto"/>
          <w:szCs w:val="21"/>
          <w:highlight w:val="none"/>
          <w:lang w:val="en-US" w:eastAsia="zh-CN"/>
        </w:rPr>
      </w:pPr>
      <w:r>
        <w:rPr>
          <w:rFonts w:hint="eastAsia" w:eastAsia="黑体"/>
          <w:color w:val="auto"/>
          <w:szCs w:val="21"/>
          <w:highlight w:val="none"/>
        </w:rPr>
        <w:t>钢铁企业ES</w:t>
      </w:r>
      <w:r>
        <w:rPr>
          <w:rFonts w:hint="eastAsia" w:eastAsia="黑体"/>
          <w:color w:val="auto"/>
          <w:szCs w:val="21"/>
          <w:highlight w:val="none"/>
          <w:lang w:val="en-US" w:eastAsia="zh-CN"/>
        </w:rPr>
        <w:t>G信息披露指标体系</w:t>
      </w:r>
    </w:p>
    <w:p>
      <w:pPr>
        <w:spacing w:line="360" w:lineRule="auto"/>
        <w:ind w:firstLine="420" w:firstLineChars="200"/>
        <w:rPr>
          <w:color w:val="auto"/>
          <w:szCs w:val="21"/>
          <w:highlight w:val="none"/>
        </w:rPr>
      </w:pPr>
      <w:r>
        <w:rPr>
          <w:rFonts w:hint="eastAsia"/>
          <w:color w:val="auto"/>
          <w:szCs w:val="21"/>
          <w:highlight w:val="none"/>
        </w:rPr>
        <w:t>钢铁</w:t>
      </w:r>
      <w:r>
        <w:rPr>
          <w:color w:val="auto"/>
          <w:szCs w:val="21"/>
          <w:highlight w:val="none"/>
        </w:rPr>
        <w:t>企业</w:t>
      </w:r>
      <w:r>
        <w:rPr>
          <w:rFonts w:hint="eastAsia"/>
          <w:color w:val="auto"/>
          <w:szCs w:val="21"/>
          <w:highlight w:val="none"/>
        </w:rPr>
        <w:t>ESG</w:t>
      </w:r>
      <w:r>
        <w:rPr>
          <w:rFonts w:hint="eastAsia"/>
          <w:color w:val="auto"/>
          <w:szCs w:val="21"/>
          <w:highlight w:val="none"/>
          <w:lang w:val="en-US" w:eastAsia="zh-CN"/>
        </w:rPr>
        <w:t>信息披露指标体系</w:t>
      </w:r>
      <w:r>
        <w:rPr>
          <w:color w:val="auto"/>
          <w:szCs w:val="21"/>
          <w:highlight w:val="none"/>
        </w:rPr>
        <w:t>见表A。</w:t>
      </w:r>
    </w:p>
    <w:p>
      <w:pPr>
        <w:spacing w:line="360" w:lineRule="auto"/>
        <w:ind w:firstLine="420" w:firstLineChars="200"/>
        <w:jc w:val="center"/>
        <w:rPr>
          <w:rFonts w:hint="default" w:eastAsia="黑体"/>
          <w:color w:val="auto"/>
          <w:highlight w:val="none"/>
          <w:lang w:val="en-US" w:eastAsia="zh-CN"/>
        </w:rPr>
      </w:pPr>
      <w:r>
        <w:rPr>
          <w:rFonts w:eastAsia="黑体"/>
          <w:color w:val="auto"/>
          <w:highlight w:val="none"/>
        </w:rPr>
        <w:t xml:space="preserve">表A  </w:t>
      </w:r>
      <w:r>
        <w:rPr>
          <w:rFonts w:hint="eastAsia" w:eastAsia="黑体"/>
          <w:color w:val="auto"/>
          <w:highlight w:val="none"/>
        </w:rPr>
        <w:t>钢铁</w:t>
      </w:r>
      <w:r>
        <w:rPr>
          <w:rFonts w:eastAsia="黑体"/>
          <w:color w:val="auto"/>
          <w:highlight w:val="none"/>
        </w:rPr>
        <w:t>企业</w:t>
      </w:r>
      <w:r>
        <w:rPr>
          <w:rFonts w:hint="eastAsia" w:eastAsia="黑体"/>
          <w:color w:val="auto"/>
          <w:highlight w:val="none"/>
        </w:rPr>
        <w:t>ESG</w:t>
      </w:r>
      <w:r>
        <w:rPr>
          <w:rFonts w:hint="eastAsia" w:eastAsia="黑体"/>
          <w:color w:val="auto"/>
          <w:highlight w:val="none"/>
          <w:lang w:val="en-US" w:eastAsia="zh-CN"/>
        </w:rPr>
        <w:t>信息披露指标体系</w:t>
      </w:r>
    </w:p>
    <w:tbl>
      <w:tblPr>
        <w:tblStyle w:val="36"/>
        <w:tblW w:w="48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25"/>
        <w:gridCol w:w="1499"/>
        <w:gridCol w:w="1937"/>
        <w:gridCol w:w="4055"/>
        <w:gridCol w:w="1332"/>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67" w:type="pct"/>
            <w:vMerge w:val="restart"/>
            <w:noWrap w:val="0"/>
            <w:vAlign w:val="center"/>
          </w:tcPr>
          <w:p>
            <w:pPr>
              <w:widowControl/>
              <w:jc w:val="center"/>
              <w:rPr>
                <w:rFonts w:hint="eastAsia"/>
                <w:b/>
                <w:bCs/>
                <w:color w:val="auto"/>
                <w:kern w:val="0"/>
              </w:rPr>
            </w:pPr>
            <w:r>
              <w:rPr>
                <w:rFonts w:hint="eastAsia"/>
                <w:b/>
                <w:bCs/>
                <w:color w:val="auto"/>
              </w:rPr>
              <w:t>序号</w:t>
            </w:r>
          </w:p>
        </w:tc>
        <w:tc>
          <w:tcPr>
            <w:tcW w:w="2888" w:type="pct"/>
            <w:gridSpan w:val="4"/>
            <w:noWrap w:val="0"/>
            <w:vAlign w:val="center"/>
          </w:tcPr>
          <w:p>
            <w:pPr>
              <w:jc w:val="center"/>
              <w:rPr>
                <w:rFonts w:hint="eastAsia"/>
                <w:b/>
                <w:bCs/>
                <w:color w:val="auto"/>
              </w:rPr>
            </w:pPr>
            <w:r>
              <w:rPr>
                <w:rFonts w:hint="eastAsia"/>
                <w:b/>
                <w:bCs/>
                <w:color w:val="auto"/>
              </w:rPr>
              <w:t>指标名称</w:t>
            </w:r>
          </w:p>
        </w:tc>
        <w:tc>
          <w:tcPr>
            <w:tcW w:w="451" w:type="pct"/>
            <w:vMerge w:val="restart"/>
            <w:noWrap w:val="0"/>
            <w:vAlign w:val="center"/>
          </w:tcPr>
          <w:p>
            <w:pPr>
              <w:jc w:val="center"/>
              <w:rPr>
                <w:rFonts w:hint="eastAsia" w:eastAsia="宋体"/>
                <w:b/>
                <w:bCs/>
                <w:color w:val="auto"/>
                <w:lang w:val="en-US" w:eastAsia="zh-CN"/>
              </w:rPr>
            </w:pPr>
            <w:r>
              <w:rPr>
                <w:rFonts w:hint="eastAsia"/>
                <w:b/>
                <w:bCs/>
                <w:color w:val="auto"/>
                <w:lang w:val="en-US" w:eastAsia="zh-CN"/>
              </w:rPr>
              <w:t>性质</w:t>
            </w:r>
          </w:p>
        </w:tc>
        <w:tc>
          <w:tcPr>
            <w:tcW w:w="1392" w:type="pct"/>
            <w:vMerge w:val="restart"/>
            <w:noWrap w:val="0"/>
            <w:vAlign w:val="center"/>
          </w:tcPr>
          <w:p>
            <w:pPr>
              <w:jc w:val="center"/>
              <w:rPr>
                <w:rFonts w:hint="eastAsia" w:eastAsia="宋体"/>
                <w:b/>
                <w:bCs/>
                <w:color w:val="auto"/>
                <w:lang w:val="en-US" w:eastAsia="zh-CN"/>
              </w:rPr>
            </w:pPr>
            <w:r>
              <w:rPr>
                <w:rFonts w:hint="eastAsia"/>
                <w:b/>
                <w:bCs/>
                <w:color w:val="auto"/>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267" w:type="pct"/>
            <w:vMerge w:val="continue"/>
            <w:noWrap w:val="0"/>
            <w:vAlign w:val="center"/>
          </w:tcPr>
          <w:p>
            <w:pPr>
              <w:jc w:val="center"/>
              <w:rPr>
                <w:rFonts w:hint="eastAsia"/>
                <w:b/>
                <w:bCs/>
                <w:color w:val="auto"/>
              </w:rPr>
            </w:pPr>
          </w:p>
        </w:tc>
        <w:tc>
          <w:tcPr>
            <w:tcW w:w="347" w:type="pct"/>
            <w:noWrap w:val="0"/>
            <w:vAlign w:val="center"/>
          </w:tcPr>
          <w:p>
            <w:pPr>
              <w:jc w:val="center"/>
              <w:rPr>
                <w:rFonts w:hint="eastAsia" w:eastAsia="宋体"/>
                <w:b/>
                <w:bCs/>
                <w:color w:val="auto"/>
                <w:lang w:val="en-US" w:eastAsia="zh-CN"/>
              </w:rPr>
            </w:pPr>
            <w:r>
              <w:rPr>
                <w:rFonts w:hint="eastAsia"/>
                <w:b/>
                <w:bCs/>
                <w:color w:val="auto"/>
                <w:lang w:val="en-US" w:eastAsia="zh-CN"/>
              </w:rPr>
              <w:t>维度</w:t>
            </w:r>
          </w:p>
        </w:tc>
        <w:tc>
          <w:tcPr>
            <w:tcW w:w="508"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b/>
                <w:bCs/>
                <w:color w:val="auto"/>
              </w:rPr>
              <w:t>一级指标</w:t>
            </w:r>
          </w:p>
        </w:tc>
        <w:tc>
          <w:tcPr>
            <w:tcW w:w="656"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b/>
                <w:bCs/>
                <w:color w:val="auto"/>
              </w:rPr>
              <w:t>二级指标</w:t>
            </w:r>
          </w:p>
        </w:tc>
        <w:tc>
          <w:tcPr>
            <w:tcW w:w="1375"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rPr>
              <w:t>三级指标</w:t>
            </w:r>
          </w:p>
        </w:tc>
        <w:tc>
          <w:tcPr>
            <w:tcW w:w="451" w:type="pct"/>
            <w:vMerge w:val="continue"/>
            <w:noWrap w:val="0"/>
            <w:vAlign w:val="center"/>
          </w:tcPr>
          <w:p>
            <w:pPr>
              <w:jc w:val="center"/>
              <w:rPr>
                <w:rFonts w:hint="eastAsia"/>
                <w:b/>
                <w:bCs/>
                <w:color w:val="auto"/>
              </w:rPr>
            </w:pPr>
          </w:p>
        </w:tc>
        <w:tc>
          <w:tcPr>
            <w:tcW w:w="1392" w:type="pct"/>
            <w:vMerge w:val="continue"/>
            <w:noWrap w:val="0"/>
            <w:vAlign w:val="center"/>
          </w:tcPr>
          <w:p>
            <w:pPr>
              <w:jc w:val="center"/>
              <w:rPr>
                <w:rFonts w:hint="eastAs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267" w:type="pct"/>
            <w:noWrap w:val="0"/>
            <w:vAlign w:val="center"/>
          </w:tcPr>
          <w:p>
            <w:pPr>
              <w:jc w:val="center"/>
              <w:rPr>
                <w:rFonts w:hint="eastAsia"/>
                <w:b/>
                <w:bCs/>
                <w:color w:val="auto"/>
              </w:rPr>
            </w:pPr>
            <w:r>
              <w:rPr>
                <w:rFonts w:hint="eastAsia"/>
                <w:b/>
                <w:bCs/>
                <w:color w:val="auto"/>
              </w:rPr>
              <w:t>1</w:t>
            </w:r>
          </w:p>
        </w:tc>
        <w:tc>
          <w:tcPr>
            <w:tcW w:w="347" w:type="pct"/>
            <w:vMerge w:val="restart"/>
            <w:noWrap w:val="0"/>
            <w:vAlign w:val="center"/>
          </w:tcPr>
          <w:p>
            <w:pPr>
              <w:jc w:val="center"/>
              <w:rPr>
                <w:rFonts w:hint="eastAsia"/>
                <w:color w:val="auto"/>
              </w:rPr>
            </w:pPr>
            <w:r>
              <w:rPr>
                <w:rFonts w:hint="eastAsia"/>
                <w:color w:val="auto"/>
              </w:rPr>
              <w:t>环境</w:t>
            </w:r>
          </w:p>
          <w:p>
            <w:pPr>
              <w:jc w:val="center"/>
              <w:rPr>
                <w:b/>
                <w:bCs/>
                <w:color w:val="auto"/>
              </w:rPr>
            </w:pPr>
            <w:r>
              <w:rPr>
                <w:rFonts w:hint="eastAsia"/>
                <w:color w:val="auto"/>
              </w:rPr>
              <w:t>（E）</w:t>
            </w:r>
          </w:p>
        </w:tc>
        <w:tc>
          <w:tcPr>
            <w:tcW w:w="508" w:type="pct"/>
            <w:vMerge w:val="restart"/>
            <w:noWrap w:val="0"/>
            <w:vAlign w:val="center"/>
          </w:tcPr>
          <w:p>
            <w:pPr>
              <w:jc w:val="center"/>
              <w:rPr>
                <w:rFonts w:hint="eastAsia" w:eastAsia="宋体"/>
                <w:color w:val="auto"/>
                <w:lang w:eastAsia="zh-CN"/>
              </w:rPr>
            </w:pPr>
            <w:r>
              <w:rPr>
                <w:rFonts w:hint="eastAsia"/>
                <w:color w:val="auto"/>
              </w:rPr>
              <w:t>环境</w:t>
            </w:r>
            <w:r>
              <w:rPr>
                <w:rFonts w:hint="eastAsia"/>
                <w:color w:val="auto"/>
                <w:lang w:val="en-US" w:eastAsia="zh-CN"/>
              </w:rPr>
              <w:t>管理</w:t>
            </w:r>
          </w:p>
        </w:tc>
        <w:tc>
          <w:tcPr>
            <w:tcW w:w="656" w:type="pct"/>
            <w:vMerge w:val="restart"/>
            <w:noWrap w:val="0"/>
            <w:vAlign w:val="center"/>
          </w:tcPr>
          <w:p>
            <w:pPr>
              <w:jc w:val="left"/>
              <w:rPr>
                <w:rFonts w:hint="default" w:eastAsia="宋体"/>
                <w:color w:val="auto"/>
                <w:lang w:val="en-US" w:eastAsia="zh-CN"/>
              </w:rPr>
            </w:pPr>
            <w:r>
              <w:rPr>
                <w:rFonts w:hint="eastAsia"/>
                <w:color w:val="auto"/>
                <w:lang w:val="en-US" w:eastAsia="zh-CN"/>
              </w:rPr>
              <w:t>环境管理制度和组织架构</w:t>
            </w:r>
          </w:p>
        </w:tc>
        <w:tc>
          <w:tcPr>
            <w:tcW w:w="1375"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环境保护或绿色低碳发展战略方针</w:t>
            </w:r>
          </w:p>
        </w:tc>
        <w:tc>
          <w:tcPr>
            <w:tcW w:w="451"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定性</w:t>
            </w:r>
          </w:p>
        </w:tc>
        <w:tc>
          <w:tcPr>
            <w:tcW w:w="139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企业发展规划或专项规划中关于企业绿色低碳发展总体思路和发展目标等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267" w:type="pct"/>
            <w:noWrap w:val="0"/>
            <w:vAlign w:val="center"/>
          </w:tcPr>
          <w:p>
            <w:pPr>
              <w:jc w:val="center"/>
              <w:rPr>
                <w:rFonts w:hint="eastAsia" w:eastAsia="宋体"/>
                <w:b/>
                <w:bCs/>
                <w:color w:val="auto"/>
                <w:lang w:val="en-US" w:eastAsia="zh-CN"/>
              </w:rPr>
            </w:pPr>
            <w:r>
              <w:rPr>
                <w:rFonts w:hint="eastAsia"/>
                <w:b/>
                <w:bCs/>
                <w:color w:val="auto"/>
                <w:lang w:val="en-US" w:eastAsia="zh-CN"/>
              </w:rPr>
              <w:t>2</w:t>
            </w:r>
          </w:p>
        </w:tc>
        <w:tc>
          <w:tcPr>
            <w:tcW w:w="347" w:type="pct"/>
            <w:vMerge w:val="continue"/>
            <w:noWrap w:val="0"/>
            <w:vAlign w:val="center"/>
          </w:tcPr>
          <w:p>
            <w:pPr>
              <w:jc w:val="center"/>
              <w:rPr>
                <w:rFonts w:hint="eastAsia"/>
                <w:color w:val="auto"/>
              </w:rPr>
            </w:pPr>
          </w:p>
        </w:tc>
        <w:tc>
          <w:tcPr>
            <w:tcW w:w="508" w:type="pct"/>
            <w:vMerge w:val="continue"/>
            <w:noWrap w:val="0"/>
            <w:vAlign w:val="center"/>
          </w:tcPr>
          <w:p>
            <w:pPr>
              <w:jc w:val="center"/>
              <w:rPr>
                <w:rFonts w:hint="eastAsia"/>
                <w:color w:val="auto"/>
              </w:rPr>
            </w:pPr>
          </w:p>
        </w:tc>
        <w:tc>
          <w:tcPr>
            <w:tcW w:w="656" w:type="pct"/>
            <w:vMerge w:val="continue"/>
            <w:noWrap w:val="0"/>
            <w:vAlign w:val="center"/>
          </w:tcPr>
          <w:p>
            <w:pPr>
              <w:jc w:val="left"/>
              <w:rPr>
                <w:rFonts w:hint="default" w:eastAsia="宋体"/>
                <w:color w:val="auto"/>
                <w:lang w:val="en-US" w:eastAsia="zh-CN"/>
              </w:rPr>
            </w:pPr>
          </w:p>
        </w:tc>
        <w:tc>
          <w:tcPr>
            <w:tcW w:w="1375"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环境保护或能源低碳管理组织架构</w:t>
            </w:r>
          </w:p>
        </w:tc>
        <w:tc>
          <w:tcPr>
            <w:tcW w:w="451"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定性</w:t>
            </w:r>
          </w:p>
        </w:tc>
        <w:tc>
          <w:tcPr>
            <w:tcW w:w="139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企业环境管理、能源管理或低碳发展管理团队组织架构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rPr>
              <w:t>3</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rFonts w:hint="default" w:eastAsia="宋体"/>
                <w:color w:val="auto"/>
                <w:lang w:val="en-US" w:eastAsia="zh-CN"/>
              </w:rPr>
            </w:pPr>
          </w:p>
        </w:tc>
        <w:tc>
          <w:tcPr>
            <w:tcW w:w="1375" w:type="pct"/>
            <w:noWrap w:val="0"/>
            <w:vAlign w:val="center"/>
          </w:tcPr>
          <w:p>
            <w:pPr>
              <w:jc w:val="left"/>
              <w:rPr>
                <w:rFonts w:hint="default"/>
                <w:color w:val="auto"/>
                <w:lang w:val="en-US" w:eastAsia="zh-CN"/>
              </w:rPr>
            </w:pPr>
            <w:r>
              <w:rPr>
                <w:rFonts w:hint="eastAsia"/>
                <w:color w:val="auto"/>
                <w:lang w:val="en-US" w:eastAsia="zh-CN"/>
              </w:rPr>
              <w:t>环境管理体系和能源管理体系建立实施情况</w:t>
            </w:r>
          </w:p>
        </w:tc>
        <w:tc>
          <w:tcPr>
            <w:tcW w:w="451" w:type="pct"/>
            <w:noWrap w:val="0"/>
            <w:vAlign w:val="center"/>
          </w:tcPr>
          <w:p>
            <w:pPr>
              <w:jc w:val="center"/>
              <w:rPr>
                <w:rFonts w:hint="default"/>
                <w:color w:val="auto"/>
                <w:lang w:val="en-US" w:eastAsia="zh-CN"/>
              </w:rPr>
            </w:pPr>
            <w:r>
              <w:rPr>
                <w:rFonts w:hint="eastAsia"/>
                <w:color w:val="auto"/>
                <w:lang w:val="en-US" w:eastAsia="zh-CN"/>
              </w:rPr>
              <w:t>定性</w:t>
            </w:r>
          </w:p>
        </w:tc>
        <w:tc>
          <w:tcPr>
            <w:tcW w:w="1392" w:type="pct"/>
            <w:noWrap w:val="0"/>
            <w:vAlign w:val="center"/>
          </w:tcPr>
          <w:p>
            <w:pPr>
              <w:jc w:val="center"/>
              <w:rPr>
                <w:rFonts w:hint="default"/>
                <w:color w:val="auto"/>
                <w:lang w:val="en-US" w:eastAsia="zh-CN"/>
              </w:rPr>
            </w:pPr>
            <w:r>
              <w:rPr>
                <w:rFonts w:hint="eastAsia"/>
                <w:color w:val="auto"/>
                <w:lang w:val="en-US" w:eastAsia="zh-CN"/>
              </w:rPr>
              <w:t>企业是否建立和实施环境、能源管理体系，是否通过相关认证等描述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lang w:val="en-US" w:eastAsia="zh-CN"/>
              </w:rPr>
              <w:t>4</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restart"/>
            <w:noWrap w:val="0"/>
            <w:vAlign w:val="center"/>
          </w:tcPr>
          <w:p>
            <w:pPr>
              <w:jc w:val="left"/>
              <w:rPr>
                <w:rFonts w:hint="default" w:eastAsia="宋体"/>
                <w:color w:val="auto"/>
                <w:lang w:val="en-US" w:eastAsia="zh-CN"/>
              </w:rPr>
            </w:pPr>
            <w:r>
              <w:rPr>
                <w:rFonts w:hint="eastAsia"/>
                <w:color w:val="auto"/>
                <w:lang w:val="en-US" w:eastAsia="zh-CN"/>
              </w:rPr>
              <w:t>环境事件处理及应对</w:t>
            </w:r>
          </w:p>
        </w:tc>
        <w:tc>
          <w:tcPr>
            <w:tcW w:w="1375"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rPr>
              <w:t>环境领域违法违规事件</w:t>
            </w:r>
          </w:p>
        </w:tc>
        <w:tc>
          <w:tcPr>
            <w:tcW w:w="451" w:type="pct"/>
            <w:noWrap w:val="0"/>
            <w:vAlign w:val="center"/>
          </w:tcPr>
          <w:p>
            <w:pPr>
              <w:jc w:val="center"/>
              <w:rPr>
                <w:rFonts w:hint="default" w:eastAsia="宋体"/>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eastAsia="宋体"/>
                <w:color w:val="auto"/>
                <w:lang w:val="en-US" w:eastAsia="zh-CN"/>
              </w:rPr>
            </w:pPr>
            <w:r>
              <w:rPr>
                <w:rFonts w:hint="eastAsia"/>
                <w:color w:val="auto"/>
                <w:lang w:val="en-US" w:eastAsia="zh-CN"/>
              </w:rPr>
              <w:t>企业主要环境违规事件的数量和情况描述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eastAsia"/>
                <w:b/>
                <w:bCs/>
                <w:color w:val="auto"/>
                <w:lang w:val="en-US" w:eastAsia="zh-CN"/>
              </w:rPr>
            </w:pPr>
            <w:r>
              <w:rPr>
                <w:rFonts w:hint="eastAsia"/>
                <w:b/>
                <w:bCs/>
                <w:color w:val="auto"/>
                <w:lang w:val="en-US" w:eastAsia="zh-CN"/>
              </w:rPr>
              <w:t>5</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rFonts w:hint="eastAsia"/>
                <w:color w:val="auto"/>
                <w:lang w:val="en-US" w:eastAsia="zh-CN"/>
              </w:rPr>
            </w:pPr>
          </w:p>
        </w:tc>
        <w:tc>
          <w:tcPr>
            <w:tcW w:w="1375" w:type="pct"/>
            <w:noWrap w:val="0"/>
            <w:vAlign w:val="center"/>
          </w:tcPr>
          <w:p>
            <w:pPr>
              <w:jc w:val="left"/>
              <w:rPr>
                <w:rFonts w:hint="default" w:eastAsia="宋体"/>
                <w:color w:val="auto"/>
                <w:lang w:val="en-US" w:eastAsia="zh-CN"/>
              </w:rPr>
            </w:pPr>
            <w:r>
              <w:rPr>
                <w:rFonts w:hint="eastAsia"/>
                <w:color w:val="auto"/>
                <w:lang w:val="en-US" w:eastAsia="zh-CN"/>
              </w:rPr>
              <w:t>突发环境类事件的应急预案</w:t>
            </w:r>
          </w:p>
        </w:tc>
        <w:tc>
          <w:tcPr>
            <w:tcW w:w="451" w:type="pct"/>
            <w:noWrap w:val="0"/>
            <w:vAlign w:val="center"/>
          </w:tcPr>
          <w:p>
            <w:pPr>
              <w:jc w:val="center"/>
              <w:rPr>
                <w:rFonts w:hint="eastAsia"/>
                <w:color w:val="auto"/>
                <w:lang w:val="en-US" w:eastAsia="zh-CN"/>
              </w:rPr>
            </w:pPr>
            <w:r>
              <w:rPr>
                <w:rFonts w:hint="eastAsia"/>
                <w:color w:val="auto"/>
                <w:lang w:val="en-US" w:eastAsia="zh-CN"/>
              </w:rPr>
              <w:t>定性</w:t>
            </w:r>
          </w:p>
        </w:tc>
        <w:tc>
          <w:tcPr>
            <w:tcW w:w="1392" w:type="pct"/>
            <w:noWrap w:val="0"/>
            <w:vAlign w:val="center"/>
          </w:tcPr>
          <w:p>
            <w:pPr>
              <w:jc w:val="center"/>
              <w:rPr>
                <w:rFonts w:hint="default"/>
                <w:color w:val="auto"/>
                <w:lang w:val="en-US" w:eastAsia="zh-CN"/>
              </w:rPr>
            </w:pPr>
            <w:r>
              <w:rPr>
                <w:rFonts w:hint="eastAsia"/>
                <w:color w:val="auto"/>
                <w:lang w:val="en-US" w:eastAsia="zh-CN"/>
              </w:rPr>
              <w:t>企业处理突发环境类事件的主要应急预案或措施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6</w:t>
            </w:r>
          </w:p>
        </w:tc>
        <w:tc>
          <w:tcPr>
            <w:tcW w:w="347" w:type="pct"/>
            <w:vMerge w:val="continue"/>
            <w:noWrap w:val="0"/>
            <w:vAlign w:val="center"/>
          </w:tcPr>
          <w:p>
            <w:pPr>
              <w:jc w:val="center"/>
              <w:rPr>
                <w:b/>
                <w:bCs/>
                <w:color w:val="auto"/>
              </w:rPr>
            </w:pPr>
          </w:p>
        </w:tc>
        <w:tc>
          <w:tcPr>
            <w:tcW w:w="508" w:type="pct"/>
            <w:vMerge w:val="restart"/>
            <w:noWrap w:val="0"/>
            <w:vAlign w:val="center"/>
          </w:tcPr>
          <w:p>
            <w:pPr>
              <w:jc w:val="center"/>
              <w:rPr>
                <w:rFonts w:hint="default" w:eastAsia="宋体"/>
                <w:b/>
                <w:bCs/>
                <w:color w:val="auto"/>
                <w:lang w:val="en-US" w:eastAsia="zh-CN"/>
              </w:rPr>
            </w:pPr>
            <w:r>
              <w:rPr>
                <w:rFonts w:hint="eastAsia"/>
                <w:b w:val="0"/>
                <w:bCs w:val="0"/>
                <w:color w:val="auto"/>
                <w:lang w:val="en-US" w:eastAsia="zh-CN"/>
              </w:rPr>
              <w:t>资源能源消耗</w:t>
            </w:r>
          </w:p>
        </w:tc>
        <w:tc>
          <w:tcPr>
            <w:tcW w:w="656" w:type="pct"/>
            <w:vMerge w:val="restart"/>
            <w:noWrap w:val="0"/>
            <w:vAlign w:val="center"/>
          </w:tcPr>
          <w:p>
            <w:pPr>
              <w:jc w:val="left"/>
              <w:rPr>
                <w:rFonts w:hint="default" w:eastAsia="宋体"/>
                <w:b w:val="0"/>
                <w:bCs w:val="0"/>
                <w:color w:val="auto"/>
                <w:lang w:val="en-US" w:eastAsia="zh-CN"/>
              </w:rPr>
            </w:pPr>
            <w:r>
              <w:rPr>
                <w:rFonts w:hint="eastAsia"/>
                <w:b w:val="0"/>
                <w:bCs w:val="0"/>
                <w:color w:val="auto"/>
                <w:lang w:val="en-US" w:eastAsia="zh-CN"/>
              </w:rPr>
              <w:t>水资源消耗</w:t>
            </w: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水资源使用管理及非常规水资源利用情况</w:t>
            </w:r>
          </w:p>
        </w:tc>
        <w:tc>
          <w:tcPr>
            <w:tcW w:w="451"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定量/定性</w:t>
            </w:r>
          </w:p>
        </w:tc>
        <w:tc>
          <w:tcPr>
            <w:tcW w:w="1392" w:type="pct"/>
            <w:noWrap w:val="0"/>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企业用水的管理方针和目标，利用非常规水资源如雨水、海水、城市中水等情况及利用量等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7</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rFonts w:hint="eastAsia"/>
                <w:b w:val="0"/>
                <w:bCs w:val="0"/>
                <w:color w:val="auto"/>
                <w:lang w:val="en-US" w:eastAsia="zh-CN"/>
              </w:rPr>
            </w:pPr>
          </w:p>
        </w:tc>
        <w:tc>
          <w:tcPr>
            <w:tcW w:w="656" w:type="pct"/>
            <w:vMerge w:val="continue"/>
            <w:noWrap w:val="0"/>
            <w:vAlign w:val="center"/>
          </w:tcPr>
          <w:p>
            <w:pPr>
              <w:jc w:val="left"/>
              <w:rPr>
                <w:rFonts w:hint="eastAsia"/>
                <w:b w:val="0"/>
                <w:bCs w:val="0"/>
                <w:color w:val="auto"/>
                <w:lang w:val="en-US" w:eastAsia="zh-CN"/>
              </w:rPr>
            </w:pPr>
          </w:p>
        </w:tc>
        <w:tc>
          <w:tcPr>
            <w:tcW w:w="1375" w:type="pct"/>
            <w:noWrap w:val="0"/>
            <w:vAlign w:val="center"/>
          </w:tcPr>
          <w:p>
            <w:pPr>
              <w:jc w:val="left"/>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吨钢新水消耗</w:t>
            </w:r>
          </w:p>
        </w:tc>
        <w:tc>
          <w:tcPr>
            <w:tcW w:w="451"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定量</w:t>
            </w:r>
          </w:p>
        </w:tc>
        <w:tc>
          <w:tcPr>
            <w:tcW w:w="1392"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吨钢新水消耗（立方米</w:t>
            </w:r>
            <w:r>
              <w:rPr>
                <w:rFonts w:hint="eastAsia"/>
                <w:b w:val="0"/>
                <w:bCs w:val="0"/>
                <w:color w:val="auto"/>
                <w:vertAlign w:val="baseline"/>
                <w:lang w:val="en-US" w:eastAsia="zh-CN"/>
              </w:rPr>
              <w:t>/吨</w:t>
            </w:r>
            <w:r>
              <w:rPr>
                <w:rFonts w:hint="eastAsia"/>
                <w:b w:val="0"/>
                <w:bCs w:val="0"/>
                <w:color w:val="auto"/>
                <w:lang w:val="en-US" w:eastAsia="zh-CN"/>
              </w:rPr>
              <w:t>）=年消耗新水总量（万立方米）/年粗钢产量（万吨）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8</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rFonts w:hint="default" w:eastAsia="宋体"/>
                <w:b w:val="0"/>
                <w:bCs w:val="0"/>
                <w:color w:val="auto"/>
                <w:lang w:val="en-US" w:eastAsia="zh-CN"/>
              </w:rPr>
            </w:pPr>
          </w:p>
        </w:tc>
        <w:tc>
          <w:tcPr>
            <w:tcW w:w="1375" w:type="pct"/>
            <w:noWrap w:val="0"/>
            <w:vAlign w:val="center"/>
          </w:tcPr>
          <w:p>
            <w:pPr>
              <w:jc w:val="left"/>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水重复利用率</w:t>
            </w:r>
          </w:p>
        </w:tc>
        <w:tc>
          <w:tcPr>
            <w:tcW w:w="451" w:type="pct"/>
            <w:noWrap w:val="0"/>
            <w:vAlign w:val="center"/>
          </w:tcPr>
          <w:p>
            <w:pPr>
              <w:jc w:val="center"/>
              <w:rPr>
                <w:rFonts w:hint="default"/>
                <w:color w:val="auto"/>
                <w:lang w:val="en-US" w:eastAsia="zh-CN"/>
              </w:rPr>
            </w:pPr>
            <w:r>
              <w:rPr>
                <w:rFonts w:hint="eastAsia"/>
                <w:color w:val="auto"/>
                <w:lang w:val="en-US" w:eastAsia="zh-CN"/>
              </w:rPr>
              <w:t>定量</w:t>
            </w:r>
          </w:p>
        </w:tc>
        <w:tc>
          <w:tcPr>
            <w:tcW w:w="1392" w:type="pct"/>
            <w:noWrap w:val="0"/>
            <w:vAlign w:val="center"/>
          </w:tcPr>
          <w:p>
            <w:pPr>
              <w:jc w:val="center"/>
              <w:rPr>
                <w:rFonts w:hint="default"/>
                <w:b w:val="0"/>
                <w:bCs w:val="0"/>
                <w:color w:val="auto"/>
                <w:lang w:val="en-US" w:eastAsia="zh-CN"/>
              </w:rPr>
            </w:pPr>
            <w:r>
              <w:rPr>
                <w:rFonts w:hint="eastAsia"/>
                <w:b w:val="0"/>
                <w:bCs w:val="0"/>
                <w:color w:val="auto"/>
                <w:lang w:val="en-US" w:eastAsia="zh-CN"/>
              </w:rPr>
              <w:t>水重复利用率（%）=年重复用水量（万立方米）/年工业用水总量（年消耗新水总量+年重复用水量）（万立方米）╳100%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9</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restart"/>
            <w:noWrap w:val="0"/>
            <w:vAlign w:val="center"/>
          </w:tcPr>
          <w:p>
            <w:pPr>
              <w:jc w:val="left"/>
              <w:rPr>
                <w:rFonts w:hint="default" w:eastAsia="宋体"/>
                <w:color w:val="auto"/>
                <w:lang w:val="en-US" w:eastAsia="zh-CN"/>
              </w:rPr>
            </w:pPr>
            <w:r>
              <w:rPr>
                <w:rFonts w:hint="eastAsia"/>
                <w:color w:val="auto"/>
                <w:lang w:val="en-US" w:eastAsia="zh-CN"/>
              </w:rPr>
              <w:t>原燃料消耗</w:t>
            </w:r>
          </w:p>
        </w:tc>
        <w:tc>
          <w:tcPr>
            <w:tcW w:w="1375" w:type="pct"/>
            <w:noWrap w:val="0"/>
            <w:vAlign w:val="center"/>
          </w:tcPr>
          <w:p>
            <w:pPr>
              <w:jc w:val="left"/>
              <w:rPr>
                <w:rFonts w:hint="default" w:eastAsia="宋体"/>
                <w:color w:val="auto"/>
                <w:lang w:val="en-US" w:eastAsia="zh-CN"/>
              </w:rPr>
            </w:pPr>
            <w:r>
              <w:rPr>
                <w:rFonts w:hint="eastAsia"/>
                <w:color w:val="auto"/>
                <w:lang w:val="en-US" w:eastAsia="zh-CN"/>
              </w:rPr>
              <w:t>原燃料使用管理</w:t>
            </w:r>
          </w:p>
        </w:tc>
        <w:tc>
          <w:tcPr>
            <w:tcW w:w="451" w:type="pct"/>
            <w:noWrap w:val="0"/>
            <w:vAlign w:val="center"/>
          </w:tcPr>
          <w:p>
            <w:pPr>
              <w:jc w:val="center"/>
              <w:rPr>
                <w:rFonts w:hint="default"/>
                <w:b w:val="0"/>
                <w:bCs w:val="0"/>
                <w:color w:val="auto"/>
                <w:lang w:val="en-US" w:eastAsia="zh-CN"/>
              </w:rPr>
            </w:pPr>
            <w:r>
              <w:rPr>
                <w:rFonts w:hint="eastAsia"/>
                <w:b w:val="0"/>
                <w:bCs w:val="0"/>
                <w:color w:val="auto"/>
                <w:lang w:val="en-US" w:eastAsia="zh-CN"/>
              </w:rPr>
              <w:t>定性</w:t>
            </w:r>
          </w:p>
        </w:tc>
        <w:tc>
          <w:tcPr>
            <w:tcW w:w="1392" w:type="pct"/>
            <w:noWrap w:val="0"/>
            <w:vAlign w:val="center"/>
          </w:tcPr>
          <w:p>
            <w:pPr>
              <w:jc w:val="center"/>
              <w:rPr>
                <w:rFonts w:hint="default"/>
                <w:b w:val="0"/>
                <w:bCs w:val="0"/>
                <w:color w:val="auto"/>
                <w:lang w:val="en-US" w:eastAsia="zh-CN"/>
              </w:rPr>
            </w:pPr>
            <w:r>
              <w:rPr>
                <w:rFonts w:hint="eastAsia"/>
                <w:b w:val="0"/>
                <w:bCs w:val="0"/>
                <w:color w:val="auto"/>
                <w:lang w:val="en-US" w:eastAsia="zh-CN"/>
              </w:rPr>
              <w:t>包括</w:t>
            </w:r>
            <w:r>
              <w:rPr>
                <w:rFonts w:hint="eastAsia"/>
                <w:color w:val="auto"/>
                <w:lang w:val="en-US" w:eastAsia="zh-CN"/>
              </w:rPr>
              <w:t>减少有害物的使用、绿色原料采购等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b/>
                <w:bCs/>
                <w:color w:val="auto"/>
                <w:lang w:val="en-US" w:eastAsia="zh-CN"/>
              </w:rPr>
            </w:pPr>
            <w:r>
              <w:rPr>
                <w:rFonts w:hint="eastAsia"/>
                <w:b/>
                <w:bCs/>
                <w:color w:val="auto"/>
                <w:lang w:val="en-US" w:eastAsia="zh-CN"/>
              </w:rPr>
              <w:t>10</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rFonts w:hint="eastAsia"/>
                <w:color w:val="auto"/>
                <w:lang w:val="en-US" w:eastAsia="zh-CN"/>
              </w:rPr>
            </w:pP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资源节约利用措施</w:t>
            </w:r>
          </w:p>
        </w:tc>
        <w:tc>
          <w:tcPr>
            <w:tcW w:w="451"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定性</w:t>
            </w:r>
          </w:p>
        </w:tc>
        <w:tc>
          <w:tcPr>
            <w:tcW w:w="1392"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包括</w:t>
            </w:r>
            <w:r>
              <w:rPr>
                <w:rFonts w:hint="eastAsia"/>
                <w:color w:val="auto"/>
                <w:lang w:val="en-US" w:eastAsia="zh-CN"/>
              </w:rPr>
              <w:t>铁矿石、石灰石、白云石等原辅料，以及铁合金、煤炭等资源的节约利用措施等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11</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eastAsia="宋体"/>
                <w:color w:val="auto"/>
                <w:lang w:val="en-US" w:eastAsia="zh-CN"/>
              </w:rPr>
            </w:pPr>
            <w:r>
              <w:rPr>
                <w:rFonts w:hint="eastAsia"/>
                <w:color w:val="auto"/>
                <w:lang w:val="en-US" w:eastAsia="zh-CN"/>
              </w:rPr>
              <w:t>铁矿石消耗</w:t>
            </w:r>
          </w:p>
        </w:tc>
        <w:tc>
          <w:tcPr>
            <w:tcW w:w="451" w:type="pct"/>
            <w:noWrap w:val="0"/>
            <w:vAlign w:val="center"/>
          </w:tcPr>
          <w:p>
            <w:pPr>
              <w:jc w:val="center"/>
              <w:rPr>
                <w:rFonts w:hint="default"/>
                <w:b w:val="0"/>
                <w:bCs w:val="0"/>
                <w:color w:val="auto"/>
                <w:lang w:val="en-US" w:eastAsia="zh-CN"/>
              </w:rPr>
            </w:pPr>
            <w:r>
              <w:rPr>
                <w:rFonts w:hint="eastAsia"/>
                <w:b w:val="0"/>
                <w:bCs w:val="0"/>
                <w:color w:val="auto"/>
                <w:lang w:val="en-US" w:eastAsia="zh-CN"/>
              </w:rPr>
              <w:t>定量</w:t>
            </w:r>
          </w:p>
        </w:tc>
        <w:tc>
          <w:tcPr>
            <w:tcW w:w="1392" w:type="pct"/>
            <w:noWrap w:val="0"/>
            <w:vAlign w:val="center"/>
          </w:tcPr>
          <w:p>
            <w:pPr>
              <w:jc w:val="center"/>
              <w:rPr>
                <w:rFonts w:hint="eastAsia"/>
                <w:b w:val="0"/>
                <w:bCs w:val="0"/>
                <w:color w:val="auto"/>
                <w:lang w:val="en-US" w:eastAsia="zh-CN"/>
              </w:rPr>
            </w:pPr>
            <w:r>
              <w:rPr>
                <w:rFonts w:hint="eastAsia"/>
                <w:b w:val="0"/>
                <w:bCs w:val="0"/>
                <w:color w:val="auto"/>
                <w:lang w:val="en-US" w:eastAsia="zh-CN"/>
              </w:rPr>
              <w:t>铁矿石消耗（千克/吨）=年铁矿石消耗量（千克）/年生铁合格产出量（吨）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12</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高炉燃料比</w:t>
            </w:r>
          </w:p>
        </w:tc>
        <w:tc>
          <w:tcPr>
            <w:tcW w:w="451" w:type="pct"/>
            <w:noWrap w:val="0"/>
            <w:vAlign w:val="center"/>
          </w:tcPr>
          <w:p>
            <w:pPr>
              <w:jc w:val="center"/>
              <w:rPr>
                <w:rFonts w:hint="default"/>
                <w:b w:val="0"/>
                <w:bCs w:val="0"/>
                <w:color w:val="auto"/>
                <w:lang w:val="en-US" w:eastAsia="zh-CN"/>
              </w:rPr>
            </w:pPr>
            <w:r>
              <w:rPr>
                <w:rFonts w:hint="eastAsia"/>
                <w:b w:val="0"/>
                <w:bCs w:val="0"/>
                <w:color w:val="auto"/>
                <w:lang w:val="en-US" w:eastAsia="zh-CN"/>
              </w:rPr>
              <w:t>定量</w:t>
            </w:r>
          </w:p>
        </w:tc>
        <w:tc>
          <w:tcPr>
            <w:tcW w:w="1392" w:type="pct"/>
            <w:noWrap w:val="0"/>
            <w:vAlign w:val="center"/>
          </w:tcPr>
          <w:p>
            <w:pPr>
              <w:jc w:val="center"/>
              <w:rPr>
                <w:rFonts w:hint="default"/>
                <w:b w:val="0"/>
                <w:bCs w:val="0"/>
                <w:color w:val="auto"/>
                <w:lang w:val="en-US" w:eastAsia="zh-CN"/>
              </w:rPr>
            </w:pPr>
            <w:r>
              <w:rPr>
                <w:rFonts w:hint="eastAsia"/>
                <w:b w:val="0"/>
                <w:bCs w:val="0"/>
                <w:color w:val="auto"/>
                <w:lang w:val="en-US" w:eastAsia="zh-CN"/>
              </w:rPr>
              <w:t>高炉燃料比（千克/吨）=年燃料耗用总量（千克）/年生铁合格产出量（吨）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13</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eastAsia="宋体"/>
                <w:color w:val="auto"/>
                <w:lang w:val="en-US" w:eastAsia="zh-CN"/>
              </w:rPr>
            </w:pPr>
            <w:r>
              <w:rPr>
                <w:rFonts w:hint="eastAsia"/>
                <w:color w:val="auto"/>
                <w:lang w:val="en-US" w:eastAsia="zh-CN"/>
              </w:rPr>
              <w:t>炼钢钢铁料消耗</w:t>
            </w:r>
          </w:p>
        </w:tc>
        <w:tc>
          <w:tcPr>
            <w:tcW w:w="451" w:type="pct"/>
            <w:noWrap w:val="0"/>
            <w:vAlign w:val="center"/>
          </w:tcPr>
          <w:p>
            <w:pPr>
              <w:jc w:val="center"/>
              <w:rPr>
                <w:rFonts w:hint="eastAsia"/>
                <w:b w:val="0"/>
                <w:bCs w:val="0"/>
                <w:color w:val="auto"/>
                <w:lang w:val="en-US" w:eastAsia="zh-CN"/>
              </w:rPr>
            </w:pPr>
            <w:r>
              <w:rPr>
                <w:rFonts w:hint="eastAsia"/>
                <w:b w:val="0"/>
                <w:bCs w:val="0"/>
                <w:color w:val="auto"/>
                <w:lang w:val="en-US" w:eastAsia="zh-CN"/>
              </w:rPr>
              <w:t>定量</w:t>
            </w:r>
          </w:p>
        </w:tc>
        <w:tc>
          <w:tcPr>
            <w:tcW w:w="1392" w:type="pct"/>
            <w:noWrap w:val="0"/>
            <w:vAlign w:val="center"/>
          </w:tcPr>
          <w:p>
            <w:pPr>
              <w:jc w:val="center"/>
              <w:rPr>
                <w:rFonts w:hint="eastAsia"/>
                <w:b w:val="0"/>
                <w:bCs w:val="0"/>
                <w:color w:val="auto"/>
                <w:lang w:val="en-US" w:eastAsia="zh-CN"/>
              </w:rPr>
            </w:pPr>
            <w:r>
              <w:rPr>
                <w:rFonts w:hint="eastAsia"/>
                <w:b w:val="0"/>
                <w:bCs w:val="0"/>
                <w:color w:val="auto"/>
                <w:lang w:val="en-US" w:eastAsia="zh-CN"/>
              </w:rPr>
              <w:t>钢铁料消耗（千克/吨）=年铁水和/或废钢消耗量（千克）/年粗钢产量（吨）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14</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restart"/>
            <w:noWrap w:val="0"/>
            <w:vAlign w:val="center"/>
          </w:tcPr>
          <w:p>
            <w:pPr>
              <w:jc w:val="left"/>
              <w:rPr>
                <w:rFonts w:hint="default" w:eastAsia="宋体"/>
                <w:color w:val="auto"/>
                <w:lang w:val="en-US" w:eastAsia="zh-CN"/>
              </w:rPr>
            </w:pPr>
            <w:r>
              <w:rPr>
                <w:rFonts w:hint="eastAsia"/>
                <w:color w:val="auto"/>
                <w:lang w:val="en-US" w:eastAsia="zh-CN"/>
              </w:rPr>
              <w:t>能源消耗</w:t>
            </w:r>
          </w:p>
        </w:tc>
        <w:tc>
          <w:tcPr>
            <w:tcW w:w="1375" w:type="pct"/>
            <w:noWrap w:val="0"/>
            <w:vAlign w:val="center"/>
          </w:tcPr>
          <w:p>
            <w:pPr>
              <w:jc w:val="left"/>
              <w:rPr>
                <w:rFonts w:hint="default"/>
                <w:color w:val="auto"/>
                <w:lang w:val="en-US" w:eastAsia="zh-CN"/>
              </w:rPr>
            </w:pPr>
            <w:r>
              <w:rPr>
                <w:rFonts w:hint="eastAsia"/>
                <w:color w:val="auto"/>
                <w:lang w:val="en-US" w:eastAsia="zh-CN"/>
              </w:rPr>
              <w:t>可再生能源的使用</w:t>
            </w:r>
          </w:p>
        </w:tc>
        <w:tc>
          <w:tcPr>
            <w:tcW w:w="451"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定性</w:t>
            </w:r>
          </w:p>
        </w:tc>
        <w:tc>
          <w:tcPr>
            <w:tcW w:w="1392" w:type="pct"/>
            <w:noWrap w:val="0"/>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包括太阳能、风能等可再生能源的使用情况和使用比例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15</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吨钢综合能耗</w:t>
            </w:r>
          </w:p>
        </w:tc>
        <w:tc>
          <w:tcPr>
            <w:tcW w:w="451" w:type="pct"/>
            <w:noWrap w:val="0"/>
            <w:vAlign w:val="center"/>
          </w:tcPr>
          <w:p>
            <w:pPr>
              <w:jc w:val="center"/>
              <w:rPr>
                <w:rFonts w:hint="default"/>
                <w:b w:val="0"/>
                <w:bCs w:val="0"/>
                <w:color w:val="auto"/>
                <w:lang w:val="en-US" w:eastAsia="zh-CN"/>
              </w:rPr>
            </w:pPr>
            <w:r>
              <w:rPr>
                <w:rFonts w:hint="eastAsia"/>
                <w:b w:val="0"/>
                <w:bCs w:val="0"/>
                <w:color w:val="auto"/>
                <w:lang w:val="en-US" w:eastAsia="zh-CN"/>
              </w:rPr>
              <w:t>定量</w:t>
            </w:r>
          </w:p>
        </w:tc>
        <w:tc>
          <w:tcPr>
            <w:tcW w:w="1392" w:type="pct"/>
            <w:noWrap w:val="0"/>
            <w:vAlign w:val="center"/>
          </w:tcPr>
          <w:p>
            <w:pPr>
              <w:jc w:val="center"/>
              <w:rPr>
                <w:rFonts w:hint="eastAsia"/>
                <w:b w:val="0"/>
                <w:bCs w:val="0"/>
                <w:color w:val="auto"/>
                <w:lang w:val="en-US" w:eastAsia="zh-CN"/>
              </w:rPr>
            </w:pPr>
            <w:r>
              <w:rPr>
                <w:rFonts w:hint="eastAsia"/>
                <w:b w:val="0"/>
                <w:bCs w:val="0"/>
                <w:color w:val="auto"/>
                <w:lang w:val="en-US" w:eastAsia="zh-CN"/>
              </w:rPr>
              <w:t>吨钢综合能耗（千克标煤/吨）=年消耗各类能源总量（千克标煤）/年粗钢产量（吨）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16</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工序能耗指标</w:t>
            </w:r>
          </w:p>
        </w:tc>
        <w:tc>
          <w:tcPr>
            <w:tcW w:w="451" w:type="pct"/>
            <w:noWrap w:val="0"/>
            <w:vAlign w:val="center"/>
          </w:tcPr>
          <w:p>
            <w:pPr>
              <w:jc w:val="center"/>
              <w:rPr>
                <w:rFonts w:hint="default"/>
                <w:b w:val="0"/>
                <w:bCs w:val="0"/>
                <w:color w:val="auto"/>
                <w:lang w:val="en-US" w:eastAsia="zh-CN"/>
              </w:rPr>
            </w:pPr>
            <w:r>
              <w:rPr>
                <w:rFonts w:hint="eastAsia"/>
                <w:b w:val="0"/>
                <w:bCs w:val="0"/>
                <w:color w:val="auto"/>
                <w:lang w:val="en-US" w:eastAsia="zh-CN"/>
              </w:rPr>
              <w:t>定量</w:t>
            </w:r>
          </w:p>
        </w:tc>
        <w:tc>
          <w:tcPr>
            <w:tcW w:w="1392" w:type="pct"/>
            <w:noWrap w:val="0"/>
            <w:vAlign w:val="center"/>
          </w:tcPr>
          <w:p>
            <w:pPr>
              <w:jc w:val="center"/>
              <w:rPr>
                <w:rFonts w:hint="default"/>
                <w:b w:val="0"/>
                <w:bCs w:val="0"/>
                <w:color w:val="auto"/>
                <w:lang w:val="en-US" w:eastAsia="zh-CN"/>
              </w:rPr>
            </w:pPr>
            <w:r>
              <w:rPr>
                <w:rFonts w:hint="eastAsia"/>
                <w:b w:val="0"/>
                <w:bCs w:val="0"/>
                <w:color w:val="auto"/>
                <w:lang w:val="en-US" w:eastAsia="zh-CN"/>
              </w:rPr>
              <w:t>包括烧结、球团、高炉、转炉、电炉等工序能耗值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17</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节能技术装备及煤气、余热余能利用情况</w:t>
            </w:r>
          </w:p>
        </w:tc>
        <w:tc>
          <w:tcPr>
            <w:tcW w:w="451" w:type="pct"/>
            <w:noWrap w:val="0"/>
            <w:vAlign w:val="center"/>
          </w:tcPr>
          <w:p>
            <w:pPr>
              <w:jc w:val="center"/>
              <w:rPr>
                <w:rFonts w:hint="eastAsia"/>
                <w:b w:val="0"/>
                <w:bCs w:val="0"/>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b w:val="0"/>
                <w:bCs w:val="0"/>
                <w:color w:val="auto"/>
                <w:lang w:val="en-US" w:eastAsia="zh-CN"/>
              </w:rPr>
            </w:pPr>
            <w:r>
              <w:rPr>
                <w:rFonts w:hint="eastAsia"/>
                <w:b w:val="0"/>
                <w:bCs w:val="0"/>
                <w:color w:val="auto"/>
                <w:lang w:val="en-US" w:eastAsia="zh-CN"/>
              </w:rPr>
              <w:t>主要节能技术装备应用情况及煤气、余热余能回收利用情况及项目改造情况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18</w:t>
            </w:r>
          </w:p>
        </w:tc>
        <w:tc>
          <w:tcPr>
            <w:tcW w:w="347" w:type="pct"/>
            <w:vMerge w:val="continue"/>
            <w:noWrap w:val="0"/>
            <w:vAlign w:val="center"/>
          </w:tcPr>
          <w:p>
            <w:pPr>
              <w:jc w:val="center"/>
              <w:rPr>
                <w:b/>
                <w:bCs/>
                <w:color w:val="auto"/>
              </w:rPr>
            </w:pPr>
          </w:p>
        </w:tc>
        <w:tc>
          <w:tcPr>
            <w:tcW w:w="508" w:type="pct"/>
            <w:vMerge w:val="restart"/>
            <w:noWrap w:val="0"/>
            <w:vAlign w:val="center"/>
          </w:tcPr>
          <w:p>
            <w:pPr>
              <w:jc w:val="center"/>
              <w:rPr>
                <w:rFonts w:hint="default" w:eastAsia="宋体"/>
                <w:color w:val="auto"/>
                <w:lang w:val="en-US" w:eastAsia="zh-CN"/>
              </w:rPr>
            </w:pPr>
            <w:r>
              <w:rPr>
                <w:rFonts w:hint="eastAsia"/>
                <w:color w:val="auto"/>
                <w:lang w:val="en-US" w:eastAsia="zh-CN"/>
              </w:rPr>
              <w:t>气候变化</w:t>
            </w:r>
          </w:p>
        </w:tc>
        <w:tc>
          <w:tcPr>
            <w:tcW w:w="656" w:type="pct"/>
            <w:vMerge w:val="restart"/>
            <w:noWrap w:val="0"/>
            <w:vAlign w:val="center"/>
          </w:tcPr>
          <w:p>
            <w:pPr>
              <w:jc w:val="left"/>
              <w:rPr>
                <w:rFonts w:hint="default" w:eastAsia="宋体"/>
                <w:color w:val="auto"/>
                <w:lang w:val="en-US" w:eastAsia="zh-CN"/>
              </w:rPr>
            </w:pPr>
            <w:r>
              <w:rPr>
                <w:rFonts w:hint="eastAsia"/>
                <w:color w:val="auto"/>
                <w:lang w:val="en-US" w:eastAsia="zh-CN"/>
              </w:rPr>
              <w:t>碳排放及低碳发展</w:t>
            </w:r>
          </w:p>
        </w:tc>
        <w:tc>
          <w:tcPr>
            <w:tcW w:w="1375" w:type="pct"/>
            <w:noWrap w:val="0"/>
            <w:vAlign w:val="center"/>
          </w:tcPr>
          <w:p>
            <w:pPr>
              <w:jc w:val="left"/>
              <w:rPr>
                <w:rFonts w:hint="default"/>
                <w:color w:val="auto"/>
                <w:lang w:val="en-US" w:eastAsia="zh-CN"/>
              </w:rPr>
            </w:pPr>
            <w:r>
              <w:rPr>
                <w:rFonts w:hint="eastAsia"/>
                <w:color w:val="auto"/>
                <w:lang w:val="en-US" w:eastAsia="zh-CN"/>
              </w:rPr>
              <w:t>碳达峰、碳中和及降碳行动计划和目标</w:t>
            </w:r>
          </w:p>
        </w:tc>
        <w:tc>
          <w:tcPr>
            <w:tcW w:w="451" w:type="pct"/>
            <w:noWrap w:val="0"/>
            <w:vAlign w:val="center"/>
          </w:tcPr>
          <w:p>
            <w:pPr>
              <w:jc w:val="center"/>
              <w:rPr>
                <w:rFonts w:hint="eastAsia"/>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b w:val="0"/>
                <w:bCs w:val="0"/>
                <w:color w:val="auto"/>
                <w:lang w:val="en-US" w:eastAsia="zh-CN"/>
              </w:rPr>
            </w:pPr>
            <w:r>
              <w:rPr>
                <w:rFonts w:hint="eastAsia"/>
                <w:b w:val="0"/>
                <w:bCs w:val="0"/>
                <w:color w:val="auto"/>
                <w:lang w:val="en-US" w:eastAsia="zh-CN"/>
              </w:rPr>
              <w:t>给出企业碳达峰的时间和降碳行动的具体计划目标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19</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吨钢二氧化碳排放量</w:t>
            </w:r>
          </w:p>
        </w:tc>
        <w:tc>
          <w:tcPr>
            <w:tcW w:w="451"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定量</w:t>
            </w:r>
          </w:p>
        </w:tc>
        <w:tc>
          <w:tcPr>
            <w:tcW w:w="1392" w:type="pct"/>
            <w:noWrap w:val="0"/>
            <w:vAlign w:val="center"/>
          </w:tcPr>
          <w:p>
            <w:pPr>
              <w:jc w:val="center"/>
              <w:rPr>
                <w:rFonts w:hint="eastAsia"/>
                <w:b w:val="0"/>
                <w:bCs w:val="0"/>
                <w:color w:val="auto"/>
                <w:lang w:val="en-US" w:eastAsia="zh-CN"/>
              </w:rPr>
            </w:pPr>
            <w:r>
              <w:rPr>
                <w:rFonts w:hint="eastAsia"/>
                <w:b w:val="0"/>
                <w:bCs w:val="0"/>
                <w:color w:val="auto"/>
                <w:lang w:val="en-US" w:eastAsia="zh-CN"/>
              </w:rPr>
              <w:t>吨钢二氧化碳排放量（吨/吨）=年排放二氧化碳总量（吨）/年粗钢产量（吨）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20</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rFonts w:hint="default"/>
                <w:color w:val="auto"/>
                <w:lang w:val="en-US"/>
              </w:rPr>
            </w:pPr>
          </w:p>
        </w:tc>
        <w:tc>
          <w:tcPr>
            <w:tcW w:w="1375" w:type="pct"/>
            <w:noWrap w:val="0"/>
            <w:vAlign w:val="center"/>
          </w:tcPr>
          <w:p>
            <w:pPr>
              <w:jc w:val="left"/>
              <w:rPr>
                <w:rFonts w:hint="default"/>
                <w:color w:val="auto"/>
                <w:lang w:val="en-US" w:eastAsia="zh-CN"/>
              </w:rPr>
            </w:pPr>
            <w:r>
              <w:rPr>
                <w:rFonts w:hint="eastAsia"/>
                <w:color w:val="auto"/>
                <w:lang w:val="en-US" w:eastAsia="zh-CN"/>
              </w:rPr>
              <w:t>低碳冶金新技术、新工艺及低碳升级改造项目情况</w:t>
            </w:r>
          </w:p>
        </w:tc>
        <w:tc>
          <w:tcPr>
            <w:tcW w:w="451"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定性</w:t>
            </w:r>
          </w:p>
        </w:tc>
        <w:tc>
          <w:tcPr>
            <w:tcW w:w="1392" w:type="pct"/>
            <w:noWrap w:val="0"/>
            <w:vAlign w:val="center"/>
          </w:tcPr>
          <w:p>
            <w:pPr>
              <w:jc w:val="center"/>
              <w:rPr>
                <w:rFonts w:hint="default"/>
                <w:b w:val="0"/>
                <w:bCs w:val="0"/>
                <w:color w:val="auto"/>
                <w:lang w:val="en-US" w:eastAsia="zh-CN"/>
              </w:rPr>
            </w:pPr>
            <w:r>
              <w:rPr>
                <w:rFonts w:hint="eastAsia"/>
                <w:b w:val="0"/>
                <w:bCs w:val="0"/>
                <w:color w:val="auto"/>
                <w:lang w:val="en-US" w:eastAsia="zh-CN"/>
              </w:rPr>
              <w:t>主要低碳冶金工艺技术和改造项目，如电炉短流程工艺结构、高炉喷氢、气基直接还原铁等低碳冶金技术、钢化联产等项目情况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21</w:t>
            </w:r>
          </w:p>
        </w:tc>
        <w:tc>
          <w:tcPr>
            <w:tcW w:w="347" w:type="pct"/>
            <w:vMerge w:val="continue"/>
            <w:noWrap w:val="0"/>
            <w:vAlign w:val="center"/>
          </w:tcPr>
          <w:p>
            <w:pPr>
              <w:jc w:val="center"/>
              <w:rPr>
                <w:b/>
                <w:bCs/>
                <w:color w:val="auto"/>
              </w:rPr>
            </w:pPr>
          </w:p>
        </w:tc>
        <w:tc>
          <w:tcPr>
            <w:tcW w:w="508" w:type="pct"/>
            <w:vMerge w:val="restart"/>
            <w:noWrap w:val="0"/>
            <w:vAlign w:val="center"/>
          </w:tcPr>
          <w:p>
            <w:pPr>
              <w:jc w:val="center"/>
              <w:rPr>
                <w:color w:val="auto"/>
              </w:rPr>
            </w:pPr>
            <w:r>
              <w:rPr>
                <w:color w:val="auto"/>
              </w:rPr>
              <w:t>环境</w:t>
            </w:r>
            <w:r>
              <w:rPr>
                <w:rFonts w:hint="eastAsia"/>
                <w:color w:val="auto"/>
              </w:rPr>
              <w:t>污染</w:t>
            </w:r>
            <w:r>
              <w:rPr>
                <w:color w:val="auto"/>
              </w:rPr>
              <w:t>排放</w:t>
            </w:r>
          </w:p>
        </w:tc>
        <w:tc>
          <w:tcPr>
            <w:tcW w:w="656" w:type="pct"/>
            <w:vMerge w:val="restart"/>
            <w:noWrap w:val="0"/>
            <w:vAlign w:val="center"/>
          </w:tcPr>
          <w:p>
            <w:pPr>
              <w:jc w:val="left"/>
              <w:rPr>
                <w:rFonts w:ascii="Times New Roman" w:hAnsi="Times New Roman" w:eastAsia="宋体" w:cs="Times New Roman"/>
                <w:b/>
                <w:bCs/>
                <w:color w:val="auto"/>
                <w:kern w:val="2"/>
                <w:sz w:val="21"/>
                <w:szCs w:val="21"/>
                <w:lang w:val="en-US" w:eastAsia="zh-CN" w:bidi="ar-SA"/>
              </w:rPr>
            </w:pPr>
            <w:r>
              <w:rPr>
                <w:rFonts w:hint="eastAsia"/>
                <w:color w:val="auto"/>
                <w:lang w:val="en-US" w:eastAsia="zh-CN"/>
              </w:rPr>
              <w:t>废气</w:t>
            </w:r>
            <w:r>
              <w:rPr>
                <w:color w:val="auto"/>
              </w:rPr>
              <w:t>排放</w:t>
            </w:r>
          </w:p>
        </w:tc>
        <w:tc>
          <w:tcPr>
            <w:tcW w:w="1375" w:type="pct"/>
            <w:noWrap w:val="0"/>
            <w:vAlign w:val="center"/>
          </w:tcPr>
          <w:p>
            <w:pPr>
              <w:jc w:val="left"/>
              <w:rPr>
                <w:rFonts w:hint="default" w:eastAsia="宋体"/>
                <w:color w:val="auto"/>
                <w:lang w:val="en-US" w:eastAsia="zh-CN"/>
              </w:rPr>
            </w:pPr>
            <w:r>
              <w:rPr>
                <w:rFonts w:hint="eastAsia"/>
                <w:color w:val="auto"/>
                <w:lang w:val="en-US" w:eastAsia="zh-CN"/>
              </w:rPr>
              <w:t>废气排放管理及达标情况</w:t>
            </w:r>
          </w:p>
        </w:tc>
        <w:tc>
          <w:tcPr>
            <w:tcW w:w="451" w:type="pct"/>
            <w:noWrap w:val="0"/>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定性</w:t>
            </w:r>
          </w:p>
        </w:tc>
        <w:tc>
          <w:tcPr>
            <w:tcW w:w="1392" w:type="pct"/>
            <w:noWrap w:val="0"/>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废物排放许可证管理、废气排放总量、废气排放达标率，以及是否达到超低排放要求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22</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吨钢废气污染物排放量</w:t>
            </w:r>
          </w:p>
        </w:tc>
        <w:tc>
          <w:tcPr>
            <w:tcW w:w="451"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定量</w:t>
            </w:r>
          </w:p>
        </w:tc>
        <w:tc>
          <w:tcPr>
            <w:tcW w:w="1392"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吨钢废气污染物排放量（吨/吨）=年废气污染物排放总量（吨）/年粗钢产量（吨）；主要包括颗粒物、二氧化硫、氮氧化物等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23</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超低排放项目改造及成效</w:t>
            </w:r>
          </w:p>
        </w:tc>
        <w:tc>
          <w:tcPr>
            <w:tcW w:w="451"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定量/定性</w:t>
            </w:r>
          </w:p>
        </w:tc>
        <w:tc>
          <w:tcPr>
            <w:tcW w:w="139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企业开展的超低排放项目改造情况、项目投入、减排效果等描述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24</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restart"/>
            <w:noWrap w:val="0"/>
            <w:vAlign w:val="center"/>
          </w:tcPr>
          <w:p>
            <w:pPr>
              <w:jc w:val="left"/>
              <w:rPr>
                <w:rFonts w:ascii="Times New Roman" w:hAnsi="Times New Roman" w:eastAsia="宋体" w:cs="Times New Roman"/>
                <w:b/>
                <w:bCs/>
                <w:color w:val="auto"/>
                <w:kern w:val="2"/>
                <w:sz w:val="21"/>
                <w:szCs w:val="21"/>
                <w:lang w:val="en-US" w:eastAsia="zh-CN" w:bidi="ar-SA"/>
              </w:rPr>
            </w:pPr>
            <w:r>
              <w:rPr>
                <w:rFonts w:hint="eastAsia"/>
                <w:color w:val="auto"/>
                <w:lang w:val="en-US" w:eastAsia="zh-CN"/>
              </w:rPr>
              <w:t>废水</w:t>
            </w:r>
            <w:r>
              <w:rPr>
                <w:color w:val="auto"/>
              </w:rPr>
              <w:t>排放</w:t>
            </w: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废水排放管理及达标情况</w:t>
            </w:r>
          </w:p>
        </w:tc>
        <w:tc>
          <w:tcPr>
            <w:tcW w:w="451"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定性</w:t>
            </w:r>
          </w:p>
        </w:tc>
        <w:tc>
          <w:tcPr>
            <w:tcW w:w="1392" w:type="pct"/>
            <w:noWrap w:val="0"/>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废物排放许可证管理、废水排放总量，以及废水处理及达标情况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25</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吨钢废水污染物排放量</w:t>
            </w:r>
          </w:p>
        </w:tc>
        <w:tc>
          <w:tcPr>
            <w:tcW w:w="451"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定量</w:t>
            </w:r>
          </w:p>
        </w:tc>
        <w:tc>
          <w:tcPr>
            <w:tcW w:w="1392"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吨钢废水污染物排放量（吨/吨）=年废水污染物排放总量（吨）/年粗钢产量（吨）；主要包括悬浮物、氨氮、化学需氧量、挥发酚等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26</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外排废水及去向</w:t>
            </w:r>
          </w:p>
        </w:tc>
        <w:tc>
          <w:tcPr>
            <w:tcW w:w="451" w:type="pct"/>
            <w:noWrap w:val="0"/>
            <w:vAlign w:val="center"/>
          </w:tcPr>
          <w:p>
            <w:pPr>
              <w:jc w:val="center"/>
              <w:rPr>
                <w:rFonts w:hint="default"/>
                <w:b w:val="0"/>
                <w:bCs w:val="0"/>
                <w:color w:val="auto"/>
                <w:lang w:val="en-US" w:eastAsia="zh-CN"/>
              </w:rPr>
            </w:pPr>
            <w:r>
              <w:rPr>
                <w:rFonts w:hint="eastAsia"/>
                <w:b w:val="0"/>
                <w:bCs w:val="0"/>
                <w:color w:val="auto"/>
                <w:lang w:val="en-US" w:eastAsia="zh-CN"/>
              </w:rPr>
              <w:t>定性</w:t>
            </w:r>
          </w:p>
        </w:tc>
        <w:tc>
          <w:tcPr>
            <w:tcW w:w="1392" w:type="pct"/>
            <w:noWrap w:val="0"/>
            <w:vAlign w:val="center"/>
          </w:tcPr>
          <w:p>
            <w:pPr>
              <w:jc w:val="center"/>
              <w:rPr>
                <w:rFonts w:hint="default"/>
                <w:b w:val="0"/>
                <w:bCs w:val="0"/>
                <w:color w:val="auto"/>
                <w:lang w:val="en-US" w:eastAsia="zh-CN"/>
              </w:rPr>
            </w:pPr>
            <w:r>
              <w:rPr>
                <w:rFonts w:hint="eastAsia"/>
                <w:b w:val="0"/>
                <w:bCs w:val="0"/>
                <w:color w:val="auto"/>
                <w:lang w:val="en-US" w:eastAsia="zh-CN"/>
              </w:rPr>
              <w:t>外排废水总量及去向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27</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b/>
                <w:bCs/>
                <w:color w:val="auto"/>
              </w:rPr>
            </w:pPr>
          </w:p>
        </w:tc>
        <w:tc>
          <w:tcPr>
            <w:tcW w:w="656" w:type="pct"/>
            <w:vMerge w:val="restart"/>
            <w:noWrap w:val="0"/>
            <w:vAlign w:val="center"/>
          </w:tcPr>
          <w:p>
            <w:pPr>
              <w:jc w:val="left"/>
              <w:rPr>
                <w:color w:val="auto"/>
              </w:rPr>
            </w:pPr>
            <w:r>
              <w:rPr>
                <w:color w:val="auto"/>
              </w:rPr>
              <w:t>固废排放</w:t>
            </w:r>
          </w:p>
        </w:tc>
        <w:tc>
          <w:tcPr>
            <w:tcW w:w="1375" w:type="pct"/>
            <w:noWrap w:val="0"/>
            <w:vAlign w:val="center"/>
          </w:tcPr>
          <w:p>
            <w:pPr>
              <w:jc w:val="left"/>
              <w:rPr>
                <w:rFonts w:hint="default"/>
                <w:color w:val="auto"/>
                <w:lang w:val="en-US" w:eastAsia="zh-CN"/>
              </w:rPr>
            </w:pPr>
            <w:r>
              <w:rPr>
                <w:rFonts w:hint="eastAsia"/>
                <w:color w:val="auto"/>
                <w:lang w:val="en-US" w:eastAsia="zh-CN"/>
              </w:rPr>
              <w:t>固废管理和合规处置情况</w:t>
            </w:r>
          </w:p>
        </w:tc>
        <w:tc>
          <w:tcPr>
            <w:tcW w:w="451" w:type="pct"/>
            <w:noWrap w:val="0"/>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定量/定性</w:t>
            </w:r>
          </w:p>
        </w:tc>
        <w:tc>
          <w:tcPr>
            <w:tcW w:w="1392" w:type="pct"/>
            <w:noWrap w:val="0"/>
            <w:vAlign w:val="center"/>
          </w:tcPr>
          <w:p>
            <w:pPr>
              <w:jc w:val="center"/>
              <w:rPr>
                <w:rFonts w:hint="default"/>
                <w:color w:val="auto"/>
                <w:lang w:val="en-US" w:eastAsia="zh-CN"/>
              </w:rPr>
            </w:pPr>
            <w:r>
              <w:rPr>
                <w:rFonts w:hint="eastAsia" w:cs="Times New Roman"/>
                <w:b w:val="0"/>
                <w:bCs w:val="0"/>
                <w:color w:val="auto"/>
                <w:kern w:val="2"/>
                <w:sz w:val="21"/>
                <w:szCs w:val="21"/>
                <w:lang w:val="en-US" w:eastAsia="zh-CN" w:bidi="ar-SA"/>
              </w:rPr>
              <w:t>废物排放许可证管理，固废</w:t>
            </w:r>
            <w:r>
              <w:rPr>
                <w:rFonts w:hint="eastAsia"/>
                <w:color w:val="auto"/>
                <w:kern w:val="0"/>
              </w:rPr>
              <w:t>产生</w:t>
            </w:r>
            <w:r>
              <w:rPr>
                <w:rFonts w:hint="eastAsia"/>
                <w:color w:val="auto"/>
                <w:kern w:val="0"/>
                <w:lang w:val="en-US" w:eastAsia="zh-CN"/>
              </w:rPr>
              <w:t>量及处置</w:t>
            </w:r>
            <w:r>
              <w:rPr>
                <w:rFonts w:hint="eastAsia" w:ascii="宋体" w:hAnsi="宋体"/>
                <w:color w:val="auto"/>
                <w:kern w:val="0"/>
                <w:lang w:val="en-US" w:eastAsia="zh-CN"/>
              </w:rPr>
              <w:t>利用</w:t>
            </w:r>
            <w:r>
              <w:rPr>
                <w:rFonts w:hint="eastAsia" w:cs="Times New Roman"/>
                <w:b w:val="0"/>
                <w:bCs w:val="0"/>
                <w:color w:val="auto"/>
                <w:kern w:val="2"/>
                <w:sz w:val="21"/>
                <w:szCs w:val="21"/>
                <w:lang w:val="en-US" w:eastAsia="zh-CN"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7" w:type="pct"/>
            <w:noWrap w:val="0"/>
            <w:vAlign w:val="center"/>
          </w:tcPr>
          <w:p>
            <w:pPr>
              <w:jc w:val="center"/>
              <w:rPr>
                <w:rFonts w:hint="eastAsia"/>
                <w:b/>
                <w:bCs/>
                <w:color w:val="auto"/>
                <w:lang w:val="en-US" w:eastAsia="zh-CN"/>
              </w:rPr>
            </w:pPr>
            <w:r>
              <w:rPr>
                <w:rFonts w:hint="eastAsia" w:cs="Times New Roman"/>
                <w:b/>
                <w:bCs/>
                <w:color w:val="auto"/>
                <w:kern w:val="2"/>
                <w:sz w:val="21"/>
                <w:szCs w:val="21"/>
                <w:lang w:val="en-US" w:eastAsia="zh-CN" w:bidi="ar-SA"/>
              </w:rPr>
              <w:t>28</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b/>
                <w:bCs/>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危险废物处置利用情况</w:t>
            </w:r>
          </w:p>
        </w:tc>
        <w:tc>
          <w:tcPr>
            <w:tcW w:w="451" w:type="pct"/>
            <w:noWrap w:val="0"/>
            <w:vAlign w:val="center"/>
          </w:tcPr>
          <w:p>
            <w:pPr>
              <w:jc w:val="center"/>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定量/定性</w:t>
            </w:r>
          </w:p>
        </w:tc>
        <w:tc>
          <w:tcPr>
            <w:tcW w:w="1392" w:type="pct"/>
            <w:noWrap w:val="0"/>
            <w:vAlign w:val="center"/>
          </w:tcPr>
          <w:p>
            <w:pPr>
              <w:jc w:val="center"/>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危险废物产生量，以及危险废物回收、储运和处置利用情况，危险废物需100%合规处置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29</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b/>
                <w:bCs/>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吨钢固废产生量</w:t>
            </w:r>
          </w:p>
        </w:tc>
        <w:tc>
          <w:tcPr>
            <w:tcW w:w="451" w:type="pct"/>
            <w:noWrap w:val="0"/>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定量</w:t>
            </w:r>
          </w:p>
        </w:tc>
        <w:tc>
          <w:tcPr>
            <w:tcW w:w="1392" w:type="pct"/>
            <w:noWrap w:val="0"/>
            <w:vAlign w:val="center"/>
          </w:tcPr>
          <w:p>
            <w:pPr>
              <w:jc w:val="center"/>
              <w:rPr>
                <w:rFonts w:hint="default" w:cs="Times New Roman"/>
                <w:b w:val="0"/>
                <w:bCs w:val="0"/>
                <w:color w:val="auto"/>
                <w:kern w:val="2"/>
                <w:sz w:val="21"/>
                <w:szCs w:val="21"/>
                <w:lang w:val="en-US" w:eastAsia="zh-CN" w:bidi="ar-SA"/>
              </w:rPr>
            </w:pPr>
            <w:r>
              <w:rPr>
                <w:rFonts w:hint="eastAsia"/>
                <w:color w:val="auto"/>
                <w:lang w:val="en-US" w:eastAsia="zh-CN"/>
              </w:rPr>
              <w:t>吨钢固废产生量（千克/吨）=年固废产生量（千克）/</w:t>
            </w:r>
            <w:r>
              <w:rPr>
                <w:rFonts w:hint="eastAsia"/>
                <w:b w:val="0"/>
                <w:bCs w:val="0"/>
                <w:color w:val="auto"/>
                <w:lang w:val="en-US" w:eastAsia="zh-CN"/>
              </w:rPr>
              <w:t>年粗钢产量</w:t>
            </w:r>
            <w:r>
              <w:rPr>
                <w:rFonts w:hint="eastAsia"/>
                <w:color w:val="auto"/>
                <w:lang w:val="en-US" w:eastAsia="zh-CN"/>
              </w:rPr>
              <w:t>（吨），包括高炉渣、钢渣和尘泥等产生量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30</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b/>
                <w:bCs/>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eastAsia="宋体"/>
                <w:color w:val="auto"/>
                <w:lang w:val="en-US" w:eastAsia="zh-CN"/>
              </w:rPr>
            </w:pPr>
            <w:r>
              <w:rPr>
                <w:rFonts w:hint="eastAsia"/>
                <w:color w:val="auto"/>
                <w:lang w:val="en-US" w:eastAsia="zh-CN"/>
              </w:rPr>
              <w:t>固废综合利用率</w:t>
            </w:r>
          </w:p>
        </w:tc>
        <w:tc>
          <w:tcPr>
            <w:tcW w:w="451" w:type="pct"/>
            <w:noWrap w:val="0"/>
            <w:vAlign w:val="center"/>
          </w:tcPr>
          <w:p>
            <w:pPr>
              <w:jc w:val="center"/>
              <w:rPr>
                <w:color w:val="auto"/>
              </w:rPr>
            </w:pPr>
            <w:r>
              <w:rPr>
                <w:rFonts w:hint="eastAsia"/>
                <w:b w:val="0"/>
                <w:bCs w:val="0"/>
                <w:color w:val="auto"/>
                <w:lang w:val="en-US" w:eastAsia="zh-CN"/>
              </w:rPr>
              <w:t>定量</w:t>
            </w:r>
          </w:p>
        </w:tc>
        <w:tc>
          <w:tcPr>
            <w:tcW w:w="1392" w:type="pct"/>
            <w:noWrap w:val="0"/>
            <w:vAlign w:val="center"/>
          </w:tcPr>
          <w:p>
            <w:pPr>
              <w:jc w:val="center"/>
              <w:rPr>
                <w:rFonts w:hint="default"/>
                <w:color w:val="auto"/>
                <w:lang w:val="en-US" w:eastAsia="zh-CN"/>
              </w:rPr>
            </w:pPr>
            <w:r>
              <w:rPr>
                <w:rFonts w:hint="eastAsia"/>
                <w:color w:val="auto"/>
                <w:lang w:val="en-US" w:eastAsia="zh-CN"/>
              </w:rPr>
              <w:t>固废综合利用率（%）=年固废综合利用量（吨）/年固废产生量（吨），包括高炉渣、钢渣和尘泥的利用率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31</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b/>
                <w:bCs/>
                <w:color w:val="auto"/>
              </w:rPr>
            </w:pPr>
          </w:p>
        </w:tc>
        <w:tc>
          <w:tcPr>
            <w:tcW w:w="656" w:type="pct"/>
            <w:vMerge w:val="restart"/>
            <w:noWrap w:val="0"/>
            <w:vAlign w:val="center"/>
          </w:tcPr>
          <w:p>
            <w:pPr>
              <w:jc w:val="left"/>
              <w:rPr>
                <w:color w:val="auto"/>
                <w:highlight w:val="yellow"/>
              </w:rPr>
            </w:pPr>
            <w:r>
              <w:rPr>
                <w:color w:val="auto"/>
              </w:rPr>
              <w:t>噪声排放</w:t>
            </w:r>
          </w:p>
        </w:tc>
        <w:tc>
          <w:tcPr>
            <w:tcW w:w="1375" w:type="pct"/>
            <w:noWrap w:val="0"/>
            <w:vAlign w:val="center"/>
          </w:tcPr>
          <w:p>
            <w:pPr>
              <w:jc w:val="left"/>
              <w:rPr>
                <w:rFonts w:hint="default" w:eastAsia="宋体"/>
                <w:color w:val="auto"/>
                <w:lang w:val="en-US" w:eastAsia="zh-CN"/>
              </w:rPr>
            </w:pPr>
            <w:r>
              <w:rPr>
                <w:rFonts w:hint="eastAsia"/>
                <w:color w:val="auto"/>
                <w:lang w:val="en-US" w:eastAsia="zh-CN"/>
              </w:rPr>
              <w:t>企业噪声管理</w:t>
            </w:r>
          </w:p>
        </w:tc>
        <w:tc>
          <w:tcPr>
            <w:tcW w:w="451" w:type="pct"/>
            <w:noWrap w:val="0"/>
            <w:vAlign w:val="center"/>
          </w:tcPr>
          <w:p>
            <w:pPr>
              <w:jc w:val="center"/>
              <w:rPr>
                <w:rFonts w:hint="default"/>
                <w:color w:val="auto"/>
                <w:lang w:val="en-US"/>
              </w:rPr>
            </w:pPr>
            <w:r>
              <w:rPr>
                <w:rFonts w:hint="eastAsia"/>
                <w:b w:val="0"/>
                <w:bCs w:val="0"/>
                <w:color w:val="auto"/>
                <w:lang w:val="en-US" w:eastAsia="zh-CN"/>
              </w:rPr>
              <w:t>定性</w:t>
            </w:r>
          </w:p>
        </w:tc>
        <w:tc>
          <w:tcPr>
            <w:tcW w:w="1392" w:type="pct"/>
            <w:noWrap w:val="0"/>
            <w:vAlign w:val="center"/>
          </w:tcPr>
          <w:p>
            <w:pPr>
              <w:jc w:val="center"/>
              <w:rPr>
                <w:rFonts w:hint="default" w:eastAsia="宋体"/>
                <w:color w:val="auto"/>
                <w:lang w:val="en-US" w:eastAsia="zh-CN"/>
              </w:rPr>
            </w:pPr>
            <w:r>
              <w:rPr>
                <w:rFonts w:hint="eastAsia"/>
                <w:color w:val="auto"/>
                <w:lang w:val="en-US" w:eastAsia="zh-CN"/>
              </w:rPr>
              <w:t>企业应具备噪声管理和降噪措施等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32</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b/>
                <w:bCs/>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企业噪声检测</w:t>
            </w:r>
          </w:p>
        </w:tc>
        <w:tc>
          <w:tcPr>
            <w:tcW w:w="451" w:type="pct"/>
            <w:noWrap w:val="0"/>
            <w:vAlign w:val="center"/>
          </w:tcPr>
          <w:p>
            <w:pPr>
              <w:jc w:val="center"/>
              <w:rPr>
                <w:rFonts w:hint="default"/>
                <w:b w:val="0"/>
                <w:bCs w:val="0"/>
                <w:color w:val="auto"/>
                <w:lang w:val="en-US" w:eastAsia="zh-CN"/>
              </w:rPr>
            </w:pPr>
            <w:r>
              <w:rPr>
                <w:rFonts w:hint="eastAsia"/>
                <w:b w:val="0"/>
                <w:bCs w:val="0"/>
                <w:color w:val="auto"/>
                <w:lang w:val="en-US" w:eastAsia="zh-CN"/>
              </w:rPr>
              <w:t>定量</w:t>
            </w:r>
          </w:p>
        </w:tc>
        <w:tc>
          <w:tcPr>
            <w:tcW w:w="1392" w:type="pct"/>
            <w:noWrap w:val="0"/>
            <w:vAlign w:val="center"/>
          </w:tcPr>
          <w:p>
            <w:pPr>
              <w:jc w:val="center"/>
              <w:rPr>
                <w:rFonts w:hint="default"/>
                <w:color w:val="auto"/>
                <w:lang w:val="en-US" w:eastAsia="zh-CN"/>
              </w:rPr>
            </w:pPr>
            <w:r>
              <w:rPr>
                <w:rFonts w:hint="eastAsia"/>
                <w:color w:val="auto"/>
                <w:lang w:val="en-US" w:eastAsia="zh-CN"/>
              </w:rPr>
              <w:t>企业应根据要求进行噪声检测，并披露噪声检测值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33</w:t>
            </w:r>
          </w:p>
        </w:tc>
        <w:tc>
          <w:tcPr>
            <w:tcW w:w="347" w:type="pct"/>
            <w:vMerge w:val="restart"/>
            <w:noWrap w:val="0"/>
            <w:vAlign w:val="center"/>
          </w:tcPr>
          <w:p>
            <w:pPr>
              <w:jc w:val="center"/>
              <w:rPr>
                <w:b/>
                <w:bCs/>
                <w:color w:val="auto"/>
              </w:rPr>
            </w:pPr>
            <w:r>
              <w:rPr>
                <w:rFonts w:hint="eastAsia"/>
                <w:color w:val="auto"/>
              </w:rPr>
              <w:t>社会（S）</w:t>
            </w:r>
          </w:p>
        </w:tc>
        <w:tc>
          <w:tcPr>
            <w:tcW w:w="508" w:type="pct"/>
            <w:vMerge w:val="restart"/>
            <w:noWrap w:val="0"/>
            <w:vAlign w:val="center"/>
          </w:tcPr>
          <w:p>
            <w:pPr>
              <w:jc w:val="center"/>
              <w:rPr>
                <w:rFonts w:hint="default" w:eastAsia="宋体"/>
                <w:color w:val="auto"/>
                <w:lang w:val="en-US" w:eastAsia="zh-CN"/>
              </w:rPr>
            </w:pPr>
            <w:r>
              <w:rPr>
                <w:rFonts w:hint="eastAsia"/>
                <w:color w:val="auto"/>
                <w:lang w:val="en-US" w:eastAsia="zh-CN"/>
              </w:rPr>
              <w:t>社会责任管理</w:t>
            </w:r>
          </w:p>
        </w:tc>
        <w:tc>
          <w:tcPr>
            <w:tcW w:w="656" w:type="pct"/>
            <w:vMerge w:val="restart"/>
            <w:noWrap w:val="0"/>
            <w:vAlign w:val="center"/>
          </w:tcPr>
          <w:p>
            <w:pPr>
              <w:jc w:val="left"/>
              <w:rPr>
                <w:color w:val="auto"/>
              </w:rPr>
            </w:pPr>
            <w:r>
              <w:rPr>
                <w:rFonts w:hint="eastAsia"/>
                <w:color w:val="auto"/>
              </w:rPr>
              <w:t>社会责任</w:t>
            </w:r>
            <w:r>
              <w:rPr>
                <w:rFonts w:hint="eastAsia"/>
                <w:color w:val="auto"/>
                <w:lang w:val="en-US" w:eastAsia="zh-CN"/>
              </w:rPr>
              <w:t>管理</w:t>
            </w:r>
            <w:r>
              <w:rPr>
                <w:rFonts w:hint="eastAsia"/>
                <w:color w:val="auto"/>
              </w:rPr>
              <w:t>制度</w:t>
            </w:r>
          </w:p>
        </w:tc>
        <w:tc>
          <w:tcPr>
            <w:tcW w:w="1375" w:type="pct"/>
            <w:noWrap w:val="0"/>
            <w:vAlign w:val="center"/>
          </w:tcPr>
          <w:p>
            <w:pPr>
              <w:jc w:val="left"/>
              <w:rPr>
                <w:rFonts w:hint="default"/>
                <w:color w:val="auto"/>
                <w:lang w:val="en-US" w:eastAsia="zh-CN"/>
              </w:rPr>
            </w:pPr>
            <w:r>
              <w:rPr>
                <w:rFonts w:hint="eastAsia"/>
                <w:color w:val="auto"/>
                <w:lang w:val="en-US" w:eastAsia="zh-CN"/>
              </w:rPr>
              <w:t>企业社会责任战略方针和工作措施</w:t>
            </w:r>
          </w:p>
        </w:tc>
        <w:tc>
          <w:tcPr>
            <w:tcW w:w="451" w:type="pct"/>
            <w:noWrap w:val="0"/>
            <w:vAlign w:val="center"/>
          </w:tcPr>
          <w:p>
            <w:pPr>
              <w:jc w:val="center"/>
              <w:rPr>
                <w:rFonts w:hint="eastAsia" w:eastAsia="宋体"/>
                <w:color w:val="auto"/>
                <w:lang w:val="en-US" w:eastAsia="zh-CN"/>
              </w:rPr>
            </w:pPr>
            <w:r>
              <w:rPr>
                <w:rFonts w:hint="eastAsia"/>
                <w:color w:val="auto"/>
                <w:lang w:val="en-US" w:eastAsia="zh-CN"/>
              </w:rPr>
              <w:t>定性</w:t>
            </w:r>
          </w:p>
        </w:tc>
        <w:tc>
          <w:tcPr>
            <w:tcW w:w="1392" w:type="pct"/>
            <w:noWrap w:val="0"/>
            <w:vAlign w:val="center"/>
          </w:tcPr>
          <w:p>
            <w:pPr>
              <w:jc w:val="center"/>
              <w:rPr>
                <w:rFonts w:hint="default"/>
                <w:color w:val="auto"/>
                <w:lang w:val="en-US"/>
              </w:rPr>
            </w:pPr>
            <w:r>
              <w:rPr>
                <w:rFonts w:hint="eastAsia"/>
                <w:color w:val="auto"/>
                <w:lang w:val="en-US" w:eastAsia="zh-CN"/>
              </w:rPr>
              <w:t>企业发展规划、专项规划或相关制度文件中关于社会责任的总体目标和工作方针等，或发布专门的社会责任报告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34</w:t>
            </w:r>
          </w:p>
        </w:tc>
        <w:tc>
          <w:tcPr>
            <w:tcW w:w="347" w:type="pct"/>
            <w:vMerge w:val="continue"/>
            <w:noWrap w:val="0"/>
            <w:vAlign w:val="center"/>
          </w:tcPr>
          <w:p>
            <w:pPr>
              <w:jc w:val="center"/>
              <w:rPr>
                <w:rFonts w:hint="eastAsia"/>
                <w:color w:val="auto"/>
              </w:rPr>
            </w:pPr>
          </w:p>
        </w:tc>
        <w:tc>
          <w:tcPr>
            <w:tcW w:w="508" w:type="pct"/>
            <w:vMerge w:val="continue"/>
            <w:noWrap w:val="0"/>
            <w:vAlign w:val="center"/>
          </w:tcPr>
          <w:p>
            <w:pPr>
              <w:jc w:val="center"/>
              <w:rPr>
                <w:rFonts w:hint="eastAsia"/>
                <w:color w:val="auto"/>
                <w:lang w:val="en-US" w:eastAsia="zh-CN"/>
              </w:rPr>
            </w:pPr>
          </w:p>
        </w:tc>
        <w:tc>
          <w:tcPr>
            <w:tcW w:w="656" w:type="pct"/>
            <w:vMerge w:val="continue"/>
            <w:noWrap w:val="0"/>
            <w:vAlign w:val="center"/>
          </w:tcPr>
          <w:p>
            <w:pPr>
              <w:jc w:val="left"/>
              <w:rPr>
                <w:rFonts w:hint="eastAsia"/>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社会责任管理部门及组织架构</w:t>
            </w:r>
          </w:p>
        </w:tc>
        <w:tc>
          <w:tcPr>
            <w:tcW w:w="451" w:type="pct"/>
            <w:noWrap w:val="0"/>
            <w:vAlign w:val="center"/>
          </w:tcPr>
          <w:p>
            <w:pPr>
              <w:jc w:val="center"/>
              <w:rPr>
                <w:rFonts w:hint="eastAsia"/>
                <w:color w:val="auto"/>
                <w:lang w:val="en-US" w:eastAsia="zh-CN"/>
              </w:rPr>
            </w:pPr>
            <w:r>
              <w:rPr>
                <w:rFonts w:hint="eastAsia"/>
                <w:color w:val="auto"/>
                <w:lang w:val="en-US" w:eastAsia="zh-CN"/>
              </w:rPr>
              <w:t>定性</w:t>
            </w:r>
          </w:p>
        </w:tc>
        <w:tc>
          <w:tcPr>
            <w:tcW w:w="1392" w:type="pct"/>
            <w:noWrap w:val="0"/>
            <w:vAlign w:val="center"/>
          </w:tcPr>
          <w:p>
            <w:pPr>
              <w:jc w:val="center"/>
              <w:rPr>
                <w:rFonts w:hint="eastAsia"/>
                <w:color w:val="auto"/>
                <w:lang w:val="en-US" w:eastAsia="zh-CN"/>
              </w:rPr>
            </w:pPr>
            <w:r>
              <w:rPr>
                <w:rFonts w:hint="eastAsia"/>
                <w:color w:val="auto"/>
                <w:lang w:val="en-US" w:eastAsia="zh-CN"/>
              </w:rPr>
              <w:t>企业社会责任相关管理部门和组织架构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35</w:t>
            </w:r>
          </w:p>
        </w:tc>
        <w:tc>
          <w:tcPr>
            <w:tcW w:w="347" w:type="pct"/>
            <w:vMerge w:val="continue"/>
            <w:noWrap w:val="0"/>
            <w:vAlign w:val="center"/>
          </w:tcPr>
          <w:p>
            <w:pPr>
              <w:jc w:val="center"/>
              <w:rPr>
                <w:rFonts w:hint="eastAsia"/>
                <w:color w:val="auto"/>
              </w:rPr>
            </w:pPr>
          </w:p>
        </w:tc>
        <w:tc>
          <w:tcPr>
            <w:tcW w:w="508" w:type="pct"/>
            <w:vMerge w:val="continue"/>
            <w:noWrap w:val="0"/>
            <w:vAlign w:val="center"/>
          </w:tcPr>
          <w:p>
            <w:pPr>
              <w:jc w:val="center"/>
              <w:rPr>
                <w:rFonts w:hint="eastAsia"/>
                <w:color w:val="auto"/>
              </w:rPr>
            </w:pPr>
          </w:p>
        </w:tc>
        <w:tc>
          <w:tcPr>
            <w:tcW w:w="656" w:type="pct"/>
            <w:vMerge w:val="continue"/>
            <w:noWrap w:val="0"/>
            <w:vAlign w:val="center"/>
          </w:tcPr>
          <w:p>
            <w:pPr>
              <w:jc w:val="center"/>
              <w:rPr>
                <w:rFonts w:hint="eastAsia"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default"/>
                <w:color w:val="auto"/>
                <w:lang w:val="en-US" w:eastAsia="zh-CN"/>
              </w:rPr>
            </w:pPr>
            <w:r>
              <w:rPr>
                <w:rFonts w:hint="eastAsia"/>
                <w:color w:val="auto"/>
                <w:lang w:val="en-US" w:eastAsia="zh-CN"/>
              </w:rPr>
              <w:t>职业健康安全管理体系建立实施情况</w:t>
            </w:r>
          </w:p>
        </w:tc>
        <w:tc>
          <w:tcPr>
            <w:tcW w:w="451" w:type="pct"/>
            <w:noWrap w:val="0"/>
            <w:vAlign w:val="center"/>
          </w:tcPr>
          <w:p>
            <w:pPr>
              <w:jc w:val="center"/>
              <w:rPr>
                <w:rFonts w:hint="eastAsia"/>
                <w:color w:val="auto"/>
                <w:lang w:val="en-US" w:eastAsia="zh-CN"/>
              </w:rPr>
            </w:pPr>
            <w:r>
              <w:rPr>
                <w:rFonts w:hint="eastAsia"/>
                <w:color w:val="auto"/>
                <w:lang w:val="en-US" w:eastAsia="zh-CN"/>
              </w:rPr>
              <w:t>定性</w:t>
            </w:r>
          </w:p>
        </w:tc>
        <w:tc>
          <w:tcPr>
            <w:tcW w:w="1392" w:type="pct"/>
            <w:noWrap w:val="0"/>
            <w:vAlign w:val="center"/>
          </w:tcPr>
          <w:p>
            <w:pPr>
              <w:jc w:val="center"/>
              <w:rPr>
                <w:rFonts w:hint="eastAsia"/>
                <w:color w:val="auto"/>
              </w:rPr>
            </w:pPr>
            <w:r>
              <w:rPr>
                <w:rFonts w:hint="eastAsia"/>
                <w:color w:val="auto"/>
                <w:lang w:val="en-US" w:eastAsia="zh-CN"/>
              </w:rPr>
              <w:t>企业是否建立和实施职业健康安全管理体系，是否通过相关认证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36</w:t>
            </w:r>
          </w:p>
        </w:tc>
        <w:tc>
          <w:tcPr>
            <w:tcW w:w="347" w:type="pct"/>
            <w:vMerge w:val="continue"/>
            <w:noWrap w:val="0"/>
            <w:vAlign w:val="center"/>
          </w:tcPr>
          <w:p>
            <w:pPr>
              <w:jc w:val="center"/>
              <w:rPr>
                <w:rFonts w:hint="eastAsia"/>
                <w:color w:val="auto"/>
              </w:rPr>
            </w:pPr>
          </w:p>
        </w:tc>
        <w:tc>
          <w:tcPr>
            <w:tcW w:w="508" w:type="pct"/>
            <w:vMerge w:val="continue"/>
            <w:noWrap w:val="0"/>
            <w:vAlign w:val="center"/>
          </w:tcPr>
          <w:p>
            <w:pPr>
              <w:jc w:val="center"/>
              <w:rPr>
                <w:rFonts w:hint="eastAsia"/>
                <w:color w:val="auto"/>
              </w:rPr>
            </w:pPr>
          </w:p>
        </w:tc>
        <w:tc>
          <w:tcPr>
            <w:tcW w:w="656"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事故处理及应对</w:t>
            </w:r>
          </w:p>
        </w:tc>
        <w:tc>
          <w:tcPr>
            <w:tcW w:w="1375" w:type="pct"/>
            <w:noWrap w:val="0"/>
            <w:vAlign w:val="center"/>
          </w:tcPr>
          <w:p>
            <w:pPr>
              <w:jc w:val="left"/>
              <w:rPr>
                <w:rFonts w:hint="default"/>
                <w:color w:val="auto"/>
                <w:lang w:val="en-US" w:eastAsia="zh-CN"/>
              </w:rPr>
            </w:pPr>
            <w:r>
              <w:rPr>
                <w:rFonts w:hint="eastAsia"/>
                <w:color w:val="auto"/>
                <w:lang w:val="en-US" w:eastAsia="zh-CN"/>
              </w:rPr>
              <w:t>重大安全事故的应对处理</w:t>
            </w:r>
          </w:p>
        </w:tc>
        <w:tc>
          <w:tcPr>
            <w:tcW w:w="451" w:type="pct"/>
            <w:noWrap w:val="0"/>
            <w:vAlign w:val="center"/>
          </w:tcPr>
          <w:p>
            <w:pPr>
              <w:jc w:val="center"/>
              <w:rPr>
                <w:rFonts w:hint="eastAsia"/>
                <w:color w:val="auto"/>
                <w:lang w:val="en-US" w:eastAsia="zh-CN"/>
              </w:rPr>
            </w:pPr>
            <w:r>
              <w:rPr>
                <w:rFonts w:hint="eastAsia"/>
                <w:color w:val="auto"/>
                <w:lang w:val="en-US" w:eastAsia="zh-CN"/>
              </w:rPr>
              <w:t>定性</w:t>
            </w:r>
          </w:p>
        </w:tc>
        <w:tc>
          <w:tcPr>
            <w:tcW w:w="1392" w:type="pct"/>
            <w:noWrap w:val="0"/>
            <w:vAlign w:val="center"/>
          </w:tcPr>
          <w:p>
            <w:pPr>
              <w:jc w:val="center"/>
              <w:rPr>
                <w:rFonts w:hint="eastAsia"/>
                <w:color w:val="auto"/>
                <w:lang w:val="en-US" w:eastAsia="zh-CN"/>
              </w:rPr>
            </w:pPr>
            <w:r>
              <w:rPr>
                <w:rFonts w:hint="eastAsia"/>
                <w:color w:val="auto"/>
                <w:lang w:val="en-US" w:eastAsia="zh-CN"/>
              </w:rPr>
              <w:t>企业重大安全事故的信息披露及应对处理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37</w:t>
            </w:r>
          </w:p>
        </w:tc>
        <w:tc>
          <w:tcPr>
            <w:tcW w:w="347" w:type="pct"/>
            <w:vMerge w:val="continue"/>
            <w:noWrap w:val="0"/>
            <w:vAlign w:val="center"/>
          </w:tcPr>
          <w:p>
            <w:pPr>
              <w:jc w:val="center"/>
              <w:rPr>
                <w:rFonts w:hint="eastAsia"/>
                <w:color w:val="auto"/>
              </w:rPr>
            </w:pPr>
          </w:p>
        </w:tc>
        <w:tc>
          <w:tcPr>
            <w:tcW w:w="508" w:type="pct"/>
            <w:vMerge w:val="restart"/>
            <w:noWrap w:val="0"/>
            <w:vAlign w:val="center"/>
          </w:tcPr>
          <w:p>
            <w:pPr>
              <w:jc w:val="center"/>
              <w:rPr>
                <w:rFonts w:hint="eastAsia"/>
                <w:color w:val="auto"/>
              </w:rPr>
            </w:pPr>
            <w:r>
              <w:rPr>
                <w:rFonts w:hint="eastAsia"/>
                <w:color w:val="auto"/>
                <w:lang w:val="en-US" w:eastAsia="zh-CN"/>
              </w:rPr>
              <w:t>员工权益</w:t>
            </w:r>
          </w:p>
        </w:tc>
        <w:tc>
          <w:tcPr>
            <w:tcW w:w="656"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员工招聘与就业</w:t>
            </w: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员工构成</w:t>
            </w:r>
          </w:p>
        </w:tc>
        <w:tc>
          <w:tcPr>
            <w:tcW w:w="451"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定量</w:t>
            </w:r>
          </w:p>
        </w:tc>
        <w:tc>
          <w:tcPr>
            <w:tcW w:w="139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包括企业员工总人数、不同年龄阶层员工分布、男女员工性别分布、企业员工学历分布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38</w:t>
            </w:r>
          </w:p>
        </w:tc>
        <w:tc>
          <w:tcPr>
            <w:tcW w:w="347" w:type="pct"/>
            <w:vMerge w:val="continue"/>
            <w:noWrap w:val="0"/>
            <w:vAlign w:val="center"/>
          </w:tcPr>
          <w:p>
            <w:pPr>
              <w:jc w:val="center"/>
              <w:rPr>
                <w:rFonts w:hint="eastAsia"/>
                <w:color w:val="auto"/>
              </w:rPr>
            </w:pPr>
          </w:p>
        </w:tc>
        <w:tc>
          <w:tcPr>
            <w:tcW w:w="508" w:type="pct"/>
            <w:vMerge w:val="continue"/>
            <w:noWrap w:val="0"/>
            <w:vAlign w:val="center"/>
          </w:tcPr>
          <w:p>
            <w:pPr>
              <w:jc w:val="center"/>
              <w:rPr>
                <w:rFonts w:hint="eastAsia"/>
                <w:color w:val="auto"/>
                <w:lang w:val="en-US" w:eastAsia="zh-CN"/>
              </w:rPr>
            </w:pPr>
          </w:p>
        </w:tc>
        <w:tc>
          <w:tcPr>
            <w:tcW w:w="656" w:type="pct"/>
            <w:vMerge w:val="continue"/>
            <w:noWrap w:val="0"/>
            <w:vAlign w:val="center"/>
          </w:tcPr>
          <w:p>
            <w:pPr>
              <w:jc w:val="center"/>
              <w:rPr>
                <w:rFonts w:hint="eastAsia" w:cs="Times New Roman"/>
                <w:color w:val="auto"/>
                <w:kern w:val="2"/>
                <w:sz w:val="21"/>
                <w:szCs w:val="21"/>
                <w:lang w:val="en-US" w:eastAsia="zh-CN" w:bidi="ar-SA"/>
              </w:rPr>
            </w:pPr>
          </w:p>
        </w:tc>
        <w:tc>
          <w:tcPr>
            <w:tcW w:w="1375" w:type="pct"/>
            <w:noWrap w:val="0"/>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劳动合同签订率</w:t>
            </w:r>
          </w:p>
        </w:tc>
        <w:tc>
          <w:tcPr>
            <w:tcW w:w="451" w:type="pct"/>
            <w:noWrap w:val="0"/>
            <w:vAlign w:val="center"/>
          </w:tcPr>
          <w:p>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定量</w:t>
            </w:r>
          </w:p>
        </w:tc>
        <w:tc>
          <w:tcPr>
            <w:tcW w:w="1392" w:type="pct"/>
            <w:noWrap w:val="0"/>
            <w:vAlign w:val="center"/>
          </w:tcPr>
          <w:p>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企业员工签订劳动合同的比例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39</w:t>
            </w:r>
          </w:p>
        </w:tc>
        <w:tc>
          <w:tcPr>
            <w:tcW w:w="347" w:type="pct"/>
            <w:vMerge w:val="continue"/>
            <w:noWrap w:val="0"/>
            <w:vAlign w:val="center"/>
          </w:tcPr>
          <w:p>
            <w:pPr>
              <w:jc w:val="center"/>
              <w:rPr>
                <w:rFonts w:hint="eastAsia"/>
                <w:color w:val="auto"/>
              </w:rPr>
            </w:pPr>
          </w:p>
        </w:tc>
        <w:tc>
          <w:tcPr>
            <w:tcW w:w="508" w:type="pct"/>
            <w:vMerge w:val="continue"/>
            <w:noWrap w:val="0"/>
            <w:vAlign w:val="center"/>
          </w:tcPr>
          <w:p>
            <w:pPr>
              <w:jc w:val="center"/>
              <w:rPr>
                <w:rFonts w:hint="eastAsia"/>
                <w:color w:val="auto"/>
              </w:rPr>
            </w:pPr>
          </w:p>
        </w:tc>
        <w:tc>
          <w:tcPr>
            <w:tcW w:w="656" w:type="pct"/>
            <w:vMerge w:val="continue"/>
            <w:noWrap w:val="0"/>
            <w:vAlign w:val="center"/>
          </w:tcPr>
          <w:p>
            <w:pPr>
              <w:jc w:val="center"/>
              <w:rPr>
                <w:rFonts w:hint="eastAsia"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员工流失率</w:t>
            </w:r>
          </w:p>
        </w:tc>
        <w:tc>
          <w:tcPr>
            <w:tcW w:w="451"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定量</w:t>
            </w:r>
          </w:p>
        </w:tc>
        <w:tc>
          <w:tcPr>
            <w:tcW w:w="139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包括员工离职率、技术岗位人才流动率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40</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restart"/>
            <w:noWrap w:val="0"/>
            <w:vAlign w:val="center"/>
          </w:tcPr>
          <w:p>
            <w:pPr>
              <w:jc w:val="center"/>
              <w:rPr>
                <w:rFonts w:hint="default" w:eastAsia="宋体"/>
                <w:color w:val="auto"/>
                <w:lang w:val="en-US" w:eastAsia="zh-CN"/>
              </w:rPr>
            </w:pPr>
            <w:r>
              <w:rPr>
                <w:rFonts w:hint="eastAsia"/>
                <w:color w:val="auto"/>
                <w:lang w:val="en-US" w:eastAsia="zh-CN"/>
              </w:rPr>
              <w:t>员工保障</w:t>
            </w:r>
          </w:p>
        </w:tc>
        <w:tc>
          <w:tcPr>
            <w:tcW w:w="1375" w:type="pct"/>
            <w:noWrap w:val="0"/>
            <w:vAlign w:val="center"/>
          </w:tcPr>
          <w:p>
            <w:pPr>
              <w:jc w:val="left"/>
              <w:rPr>
                <w:rFonts w:hint="default" w:eastAsia="宋体"/>
                <w:color w:val="auto"/>
                <w:lang w:val="en-US" w:eastAsia="zh-CN"/>
              </w:rPr>
            </w:pPr>
            <w:r>
              <w:rPr>
                <w:rFonts w:hint="eastAsia"/>
                <w:color w:val="auto"/>
                <w:lang w:val="en-US" w:eastAsia="zh-CN"/>
              </w:rPr>
              <w:t>员工民主管理</w:t>
            </w:r>
          </w:p>
        </w:tc>
        <w:tc>
          <w:tcPr>
            <w:tcW w:w="451" w:type="pct"/>
            <w:noWrap w:val="0"/>
            <w:vAlign w:val="center"/>
          </w:tcPr>
          <w:p>
            <w:pPr>
              <w:jc w:val="center"/>
              <w:rPr>
                <w:rFonts w:hint="default" w:eastAsia="宋体"/>
                <w:color w:val="auto"/>
                <w:lang w:val="en-US" w:eastAsia="zh-CN"/>
              </w:rPr>
            </w:pPr>
            <w:r>
              <w:rPr>
                <w:rFonts w:hint="eastAsia"/>
                <w:color w:val="auto"/>
                <w:lang w:val="en-US" w:eastAsia="zh-CN"/>
              </w:rPr>
              <w:t>定性</w:t>
            </w:r>
          </w:p>
        </w:tc>
        <w:tc>
          <w:tcPr>
            <w:tcW w:w="1392" w:type="pct"/>
            <w:noWrap w:val="0"/>
            <w:vAlign w:val="center"/>
          </w:tcPr>
          <w:p>
            <w:pPr>
              <w:jc w:val="center"/>
              <w:rPr>
                <w:rFonts w:hint="default" w:eastAsia="宋体"/>
                <w:color w:val="auto"/>
                <w:lang w:val="en-US" w:eastAsia="zh-CN"/>
              </w:rPr>
            </w:pPr>
            <w:r>
              <w:rPr>
                <w:rFonts w:hint="eastAsia"/>
                <w:color w:val="auto"/>
                <w:lang w:val="en-US" w:eastAsia="zh-CN"/>
              </w:rPr>
              <w:t>是否设立工会或职工代表大会，以及</w:t>
            </w:r>
            <w:bookmarkStart w:id="62" w:name="_GoBack"/>
            <w:bookmarkEnd w:id="62"/>
            <w:r>
              <w:rPr>
                <w:rFonts w:hint="eastAsia"/>
                <w:color w:val="auto"/>
                <w:lang w:val="en-US" w:eastAsia="zh-CN"/>
              </w:rPr>
              <w:t>工会或职工代表大会的运行情况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41</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hint="eastAsia"/>
                <w:color w:val="auto"/>
              </w:rPr>
            </w:pPr>
          </w:p>
        </w:tc>
        <w:tc>
          <w:tcPr>
            <w:tcW w:w="1375" w:type="pct"/>
            <w:noWrap w:val="0"/>
            <w:vAlign w:val="center"/>
          </w:tcPr>
          <w:p>
            <w:pPr>
              <w:jc w:val="left"/>
              <w:rPr>
                <w:rFonts w:hint="default" w:eastAsia="宋体"/>
                <w:color w:val="auto"/>
                <w:lang w:val="en-US" w:eastAsia="zh-CN"/>
              </w:rPr>
            </w:pPr>
            <w:r>
              <w:rPr>
                <w:rFonts w:hint="eastAsia"/>
                <w:color w:val="auto"/>
                <w:lang w:val="en-US" w:eastAsia="zh-CN"/>
              </w:rPr>
              <w:t>工作时间</w:t>
            </w:r>
          </w:p>
        </w:tc>
        <w:tc>
          <w:tcPr>
            <w:tcW w:w="451" w:type="pct"/>
            <w:noWrap w:val="0"/>
            <w:vAlign w:val="center"/>
          </w:tcPr>
          <w:p>
            <w:pPr>
              <w:jc w:val="center"/>
              <w:rPr>
                <w:rFonts w:hint="default" w:eastAsia="宋体"/>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eastAsia="宋体"/>
                <w:color w:val="auto"/>
                <w:lang w:val="en-US" w:eastAsia="zh-CN"/>
              </w:rPr>
            </w:pPr>
            <w:r>
              <w:rPr>
                <w:rFonts w:hint="eastAsia"/>
                <w:color w:val="auto"/>
                <w:lang w:val="en-US" w:eastAsia="zh-CN"/>
              </w:rPr>
              <w:t>工时制度，包括人均每日工作时间（小时）、人均每周工作时间（小时）、人均每周休息时间（日），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42</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hint="eastAsia"/>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带薪休假</w:t>
            </w:r>
          </w:p>
        </w:tc>
        <w:tc>
          <w:tcPr>
            <w:tcW w:w="451" w:type="pct"/>
            <w:noWrap w:val="0"/>
            <w:vAlign w:val="center"/>
          </w:tcPr>
          <w:p>
            <w:pPr>
              <w:jc w:val="center"/>
              <w:rPr>
                <w:rFonts w:hint="eastAsia"/>
                <w:color w:val="auto"/>
                <w:lang w:val="en-US" w:eastAsia="zh-CN"/>
              </w:rPr>
            </w:pPr>
            <w:r>
              <w:rPr>
                <w:rFonts w:hint="eastAsia"/>
                <w:color w:val="auto"/>
                <w:lang w:val="en-US" w:eastAsia="zh-CN"/>
              </w:rPr>
              <w:t>定量/定性</w:t>
            </w:r>
          </w:p>
        </w:tc>
        <w:tc>
          <w:tcPr>
            <w:tcW w:w="1392" w:type="pct"/>
            <w:noWrap w:val="0"/>
            <w:vAlign w:val="center"/>
          </w:tcPr>
          <w:p>
            <w:pPr>
              <w:jc w:val="center"/>
              <w:rPr>
                <w:rFonts w:hint="eastAsia"/>
                <w:color w:val="auto"/>
                <w:lang w:val="en-US" w:eastAsia="zh-CN"/>
              </w:rPr>
            </w:pPr>
            <w:r>
              <w:rPr>
                <w:rFonts w:hint="eastAsia"/>
                <w:color w:val="auto"/>
                <w:lang w:val="en-US" w:eastAsia="zh-CN"/>
              </w:rPr>
              <w:t>包括人均带薪休假天数、调休政策、延长工作时间的补偿或报酬等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43</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hint="eastAsia"/>
                <w:color w:val="auto"/>
              </w:rPr>
            </w:pPr>
          </w:p>
        </w:tc>
        <w:tc>
          <w:tcPr>
            <w:tcW w:w="1375" w:type="pct"/>
            <w:noWrap w:val="0"/>
            <w:vAlign w:val="center"/>
          </w:tcPr>
          <w:p>
            <w:pPr>
              <w:jc w:val="left"/>
              <w:rPr>
                <w:rFonts w:hint="default" w:eastAsia="宋体"/>
                <w:color w:val="auto"/>
                <w:lang w:val="en-US" w:eastAsia="zh-CN"/>
              </w:rPr>
            </w:pPr>
            <w:r>
              <w:rPr>
                <w:rFonts w:hint="eastAsia"/>
                <w:color w:val="auto"/>
                <w:lang w:val="en-US" w:eastAsia="zh-CN"/>
              </w:rPr>
              <w:t>员工薪酬与福利</w:t>
            </w:r>
          </w:p>
        </w:tc>
        <w:tc>
          <w:tcPr>
            <w:tcW w:w="451" w:type="pct"/>
            <w:noWrap w:val="0"/>
            <w:vAlign w:val="center"/>
          </w:tcPr>
          <w:p>
            <w:pPr>
              <w:jc w:val="center"/>
              <w:rPr>
                <w:rFonts w:hint="default" w:eastAsia="宋体"/>
                <w:color w:val="auto"/>
                <w:lang w:val="en-US" w:eastAsia="zh-CN"/>
              </w:rPr>
            </w:pPr>
            <w:r>
              <w:rPr>
                <w:rFonts w:hint="eastAsia"/>
                <w:color w:val="auto"/>
                <w:lang w:val="en-US" w:eastAsia="zh-CN"/>
              </w:rPr>
              <w:t>定性</w:t>
            </w:r>
          </w:p>
        </w:tc>
        <w:tc>
          <w:tcPr>
            <w:tcW w:w="1392" w:type="pct"/>
            <w:noWrap w:val="0"/>
            <w:vAlign w:val="center"/>
          </w:tcPr>
          <w:p>
            <w:pPr>
              <w:jc w:val="center"/>
              <w:rPr>
                <w:rFonts w:hint="default" w:eastAsia="宋体"/>
                <w:color w:val="auto"/>
                <w:lang w:val="en-US" w:eastAsia="zh-CN"/>
              </w:rPr>
            </w:pPr>
            <w:r>
              <w:rPr>
                <w:rFonts w:hint="eastAsia"/>
                <w:color w:val="auto"/>
                <w:lang w:val="en-US" w:eastAsia="zh-CN"/>
              </w:rPr>
              <w:t>包括员工基本工资、绩效、津贴、奖励等薪酬构成，以及五险一金等福利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44</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hint="eastAsia"/>
                <w:color w:val="auto"/>
              </w:rPr>
            </w:pPr>
          </w:p>
        </w:tc>
        <w:tc>
          <w:tcPr>
            <w:tcW w:w="1375" w:type="pct"/>
            <w:noWrap w:val="0"/>
            <w:vAlign w:val="center"/>
          </w:tcPr>
          <w:p>
            <w:pPr>
              <w:jc w:val="left"/>
              <w:rPr>
                <w:rFonts w:hint="default"/>
                <w:color w:val="auto"/>
                <w:lang w:val="en-US" w:eastAsia="zh-CN"/>
              </w:rPr>
            </w:pPr>
            <w:r>
              <w:rPr>
                <w:rFonts w:hint="eastAsia"/>
                <w:color w:val="auto"/>
                <w:lang w:val="en-US" w:eastAsia="zh-CN"/>
              </w:rPr>
              <w:t>员工满意度</w:t>
            </w:r>
          </w:p>
        </w:tc>
        <w:tc>
          <w:tcPr>
            <w:tcW w:w="451" w:type="pct"/>
            <w:noWrap w:val="0"/>
            <w:vAlign w:val="center"/>
          </w:tcPr>
          <w:p>
            <w:pPr>
              <w:jc w:val="center"/>
              <w:rPr>
                <w:rFonts w:hint="default"/>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color w:val="auto"/>
                <w:lang w:val="en-US" w:eastAsia="zh-CN"/>
              </w:rPr>
            </w:pPr>
            <w:r>
              <w:rPr>
                <w:rFonts w:hint="eastAsia"/>
                <w:color w:val="auto"/>
                <w:lang w:val="en-US" w:eastAsia="zh-CN"/>
              </w:rPr>
              <w:t>企业是否进行员工满意度调查，以及参与调查人数和满意度占比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45</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b/>
                <w:bCs/>
                <w:color w:val="auto"/>
              </w:rPr>
            </w:pPr>
          </w:p>
        </w:tc>
        <w:tc>
          <w:tcPr>
            <w:tcW w:w="656" w:type="pct"/>
            <w:vMerge w:val="restart"/>
            <w:noWrap w:val="0"/>
            <w:vAlign w:val="center"/>
          </w:tcPr>
          <w:p>
            <w:pPr>
              <w:jc w:val="center"/>
              <w:rPr>
                <w:rFonts w:ascii="Times New Roman" w:hAnsi="Times New Roman" w:eastAsia="宋体" w:cs="Times New Roman"/>
                <w:color w:val="auto"/>
                <w:kern w:val="2"/>
                <w:sz w:val="21"/>
                <w:szCs w:val="21"/>
                <w:lang w:val="en-US" w:eastAsia="zh-CN" w:bidi="ar-SA"/>
              </w:rPr>
            </w:pPr>
            <w:r>
              <w:rPr>
                <w:rFonts w:hint="eastAsia"/>
                <w:color w:val="auto"/>
              </w:rPr>
              <w:t>员工安全与健康</w:t>
            </w: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员工职业健康安全管理</w:t>
            </w:r>
          </w:p>
        </w:tc>
        <w:tc>
          <w:tcPr>
            <w:tcW w:w="451" w:type="pct"/>
            <w:noWrap w:val="0"/>
            <w:vAlign w:val="center"/>
          </w:tcPr>
          <w:p>
            <w:pPr>
              <w:jc w:val="center"/>
              <w:rPr>
                <w:rFonts w:hint="eastAsia"/>
                <w:color w:val="auto"/>
              </w:rPr>
            </w:pPr>
            <w:r>
              <w:rPr>
                <w:rFonts w:hint="eastAsia"/>
                <w:color w:val="auto"/>
                <w:lang w:val="en-US" w:eastAsia="zh-CN"/>
              </w:rPr>
              <w:t>定量/定性</w:t>
            </w:r>
          </w:p>
        </w:tc>
        <w:tc>
          <w:tcPr>
            <w:tcW w:w="1392" w:type="pct"/>
            <w:noWrap w:val="0"/>
            <w:vAlign w:val="center"/>
          </w:tcPr>
          <w:p>
            <w:pPr>
              <w:jc w:val="center"/>
              <w:rPr>
                <w:rFonts w:hint="default" w:eastAsia="宋体"/>
                <w:color w:val="auto"/>
                <w:lang w:val="en-US" w:eastAsia="zh-CN"/>
              </w:rPr>
            </w:pPr>
            <w:r>
              <w:rPr>
                <w:rFonts w:hint="eastAsia"/>
                <w:color w:val="auto"/>
                <w:lang w:val="en-US" w:eastAsia="zh-CN"/>
              </w:rPr>
              <w:t>包括预防职业健康安全措施，年度体检覆盖率等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46</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b/>
                <w:bCs/>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员工安全风险防控</w:t>
            </w:r>
          </w:p>
        </w:tc>
        <w:tc>
          <w:tcPr>
            <w:tcW w:w="451"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定量/定性</w:t>
            </w:r>
          </w:p>
        </w:tc>
        <w:tc>
          <w:tcPr>
            <w:tcW w:w="1392" w:type="pct"/>
            <w:noWrap w:val="0"/>
            <w:vAlign w:val="center"/>
          </w:tcPr>
          <w:p>
            <w:pPr>
              <w:jc w:val="center"/>
              <w:rPr>
                <w:rFonts w:hint="default" w:eastAsia="宋体"/>
                <w:color w:val="auto"/>
                <w:lang w:val="en-US" w:eastAsia="zh-CN"/>
              </w:rPr>
            </w:pPr>
            <w:r>
              <w:rPr>
                <w:rFonts w:hint="eastAsia"/>
                <w:color w:val="auto"/>
                <w:lang w:val="en-US" w:eastAsia="zh-CN"/>
              </w:rPr>
              <w:t>包括员工安全生产培训的覆盖范围、培训次数、时长和参加人数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47</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restart"/>
            <w:noWrap w:val="0"/>
            <w:vAlign w:val="center"/>
          </w:tcPr>
          <w:p>
            <w:pPr>
              <w:jc w:val="center"/>
              <w:rPr>
                <w:rFonts w:ascii="Times New Roman" w:hAnsi="Times New Roman" w:eastAsia="宋体" w:cs="Times New Roman"/>
                <w:b/>
                <w:bCs/>
                <w:color w:val="auto"/>
                <w:kern w:val="2"/>
                <w:sz w:val="21"/>
                <w:szCs w:val="21"/>
                <w:lang w:val="en-US" w:eastAsia="zh-CN" w:bidi="ar-SA"/>
              </w:rPr>
            </w:pPr>
            <w:r>
              <w:rPr>
                <w:rFonts w:hint="eastAsia"/>
                <w:color w:val="auto"/>
              </w:rPr>
              <w:t>员工发展</w:t>
            </w: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员工激励及晋升政策</w:t>
            </w:r>
          </w:p>
        </w:tc>
        <w:tc>
          <w:tcPr>
            <w:tcW w:w="451"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定性</w:t>
            </w:r>
          </w:p>
        </w:tc>
        <w:tc>
          <w:tcPr>
            <w:tcW w:w="1392" w:type="pct"/>
            <w:noWrap w:val="0"/>
            <w:vAlign w:val="center"/>
          </w:tcPr>
          <w:p>
            <w:pPr>
              <w:jc w:val="center"/>
              <w:rPr>
                <w:rFonts w:hint="default" w:eastAsia="宋体"/>
                <w:color w:val="auto"/>
                <w:lang w:val="en-US" w:eastAsia="zh-CN"/>
              </w:rPr>
            </w:pPr>
            <w:r>
              <w:rPr>
                <w:rFonts w:hint="eastAsia"/>
                <w:color w:val="auto"/>
                <w:lang w:val="en-US" w:eastAsia="zh-CN"/>
              </w:rPr>
              <w:t>企业员工晋升和选拔机制，岗位调整和职称评选等相关要求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48</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b/>
                <w:bCs/>
                <w:color w:val="auto"/>
              </w:rPr>
            </w:pPr>
          </w:p>
        </w:tc>
        <w:tc>
          <w:tcPr>
            <w:tcW w:w="656"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rPr>
              <w:t>员工成长计划</w:t>
            </w:r>
          </w:p>
        </w:tc>
        <w:tc>
          <w:tcPr>
            <w:tcW w:w="451"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定性/定量</w:t>
            </w:r>
          </w:p>
        </w:tc>
        <w:tc>
          <w:tcPr>
            <w:tcW w:w="1392" w:type="pct"/>
            <w:noWrap w:val="0"/>
            <w:vAlign w:val="center"/>
          </w:tcPr>
          <w:p>
            <w:pPr>
              <w:jc w:val="center"/>
              <w:rPr>
                <w:rFonts w:hint="default" w:eastAsia="宋体"/>
                <w:color w:val="auto"/>
                <w:lang w:val="en-US" w:eastAsia="zh-CN"/>
              </w:rPr>
            </w:pPr>
            <w:r>
              <w:rPr>
                <w:rFonts w:hint="eastAsia"/>
                <w:color w:val="auto"/>
                <w:lang w:val="en-US" w:eastAsia="zh-CN"/>
              </w:rPr>
              <w:t>包括员工职业规化、求学和内部应聘等政策措施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49</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员工专业培训</w:t>
            </w:r>
          </w:p>
        </w:tc>
        <w:tc>
          <w:tcPr>
            <w:tcW w:w="451"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定量/定性</w:t>
            </w:r>
          </w:p>
        </w:tc>
        <w:tc>
          <w:tcPr>
            <w:tcW w:w="1392" w:type="pct"/>
            <w:noWrap w:val="0"/>
            <w:vAlign w:val="center"/>
          </w:tcPr>
          <w:p>
            <w:pPr>
              <w:jc w:val="center"/>
              <w:rPr>
                <w:rFonts w:hint="default" w:eastAsia="宋体"/>
                <w:color w:val="auto"/>
                <w:lang w:val="en-US" w:eastAsia="zh-CN"/>
              </w:rPr>
            </w:pPr>
            <w:r>
              <w:rPr>
                <w:rFonts w:hint="eastAsia"/>
                <w:color w:val="auto"/>
                <w:lang w:val="en-US" w:eastAsia="zh-CN"/>
              </w:rPr>
              <w:t>管理岗位培训、业务技术岗位培训和操作维护岗位培训等的描述，及培训课时、受训人员比例等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50</w:t>
            </w:r>
          </w:p>
        </w:tc>
        <w:tc>
          <w:tcPr>
            <w:tcW w:w="347" w:type="pct"/>
            <w:vMerge w:val="continue"/>
            <w:noWrap w:val="0"/>
            <w:vAlign w:val="center"/>
          </w:tcPr>
          <w:p>
            <w:pPr>
              <w:jc w:val="center"/>
              <w:rPr>
                <w:b/>
                <w:bCs/>
                <w:color w:val="auto"/>
              </w:rPr>
            </w:pPr>
          </w:p>
        </w:tc>
        <w:tc>
          <w:tcPr>
            <w:tcW w:w="508" w:type="pct"/>
            <w:vMerge w:val="restart"/>
            <w:noWrap w:val="0"/>
            <w:vAlign w:val="center"/>
          </w:tcPr>
          <w:p>
            <w:pPr>
              <w:jc w:val="center"/>
              <w:rPr>
                <w:rFonts w:hint="default" w:eastAsia="宋体"/>
                <w:color w:val="auto"/>
                <w:lang w:val="en-US" w:eastAsia="zh-CN"/>
              </w:rPr>
            </w:pPr>
            <w:r>
              <w:rPr>
                <w:rFonts w:hint="eastAsia"/>
                <w:color w:val="auto"/>
                <w:lang w:val="en-US" w:eastAsia="zh-CN"/>
              </w:rPr>
              <w:t>产品责任</w:t>
            </w:r>
          </w:p>
        </w:tc>
        <w:tc>
          <w:tcPr>
            <w:tcW w:w="656"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产品质量安全</w:t>
            </w:r>
          </w:p>
        </w:tc>
        <w:tc>
          <w:tcPr>
            <w:tcW w:w="1375" w:type="pct"/>
            <w:noWrap w:val="0"/>
            <w:vAlign w:val="center"/>
          </w:tcPr>
          <w:p>
            <w:pPr>
              <w:jc w:val="left"/>
              <w:rPr>
                <w:rFonts w:hint="default"/>
                <w:color w:val="auto"/>
                <w:lang w:val="en-US" w:eastAsia="zh-CN"/>
              </w:rPr>
            </w:pPr>
            <w:r>
              <w:rPr>
                <w:rFonts w:hint="eastAsia"/>
                <w:color w:val="auto"/>
                <w:lang w:val="en-US" w:eastAsia="zh-CN"/>
              </w:rPr>
              <w:t>产品质量检测和质量管理认证机制</w:t>
            </w:r>
          </w:p>
        </w:tc>
        <w:tc>
          <w:tcPr>
            <w:tcW w:w="451" w:type="pct"/>
            <w:noWrap w:val="0"/>
            <w:vAlign w:val="center"/>
          </w:tcPr>
          <w:p>
            <w:pPr>
              <w:jc w:val="center"/>
              <w:rPr>
                <w:rFonts w:hint="eastAsia"/>
                <w:color w:val="auto"/>
                <w:lang w:val="en-US" w:eastAsia="zh-CN"/>
              </w:rPr>
            </w:pPr>
            <w:r>
              <w:rPr>
                <w:rFonts w:hint="eastAsia"/>
                <w:color w:val="auto"/>
                <w:lang w:val="en-US" w:eastAsia="zh-CN"/>
              </w:rPr>
              <w:t>定性</w:t>
            </w:r>
          </w:p>
        </w:tc>
        <w:tc>
          <w:tcPr>
            <w:tcW w:w="1392" w:type="pct"/>
            <w:noWrap w:val="0"/>
            <w:vAlign w:val="center"/>
          </w:tcPr>
          <w:p>
            <w:pPr>
              <w:jc w:val="center"/>
              <w:rPr>
                <w:rFonts w:hint="default"/>
                <w:color w:val="auto"/>
                <w:lang w:val="en-US" w:eastAsia="zh-CN"/>
              </w:rPr>
            </w:pPr>
            <w:r>
              <w:rPr>
                <w:rFonts w:hint="eastAsia"/>
                <w:color w:val="auto"/>
                <w:lang w:val="en-US" w:eastAsia="zh-CN"/>
              </w:rPr>
              <w:t>包括企业产品质量检测手段、质量管理体系认证等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51</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default"/>
                <w:color w:val="auto"/>
                <w:lang w:val="en-US" w:eastAsia="zh-CN"/>
              </w:rPr>
            </w:pPr>
            <w:r>
              <w:rPr>
                <w:rFonts w:hint="eastAsia"/>
                <w:color w:val="auto"/>
                <w:lang w:val="en-US" w:eastAsia="zh-CN"/>
              </w:rPr>
              <w:t>产品与服务质量保障、质量提升措施</w:t>
            </w:r>
          </w:p>
        </w:tc>
        <w:tc>
          <w:tcPr>
            <w:tcW w:w="451" w:type="pct"/>
            <w:noWrap w:val="0"/>
            <w:vAlign w:val="center"/>
          </w:tcPr>
          <w:p>
            <w:pPr>
              <w:jc w:val="center"/>
              <w:rPr>
                <w:rFonts w:hint="eastAsia"/>
                <w:color w:val="auto"/>
                <w:lang w:val="en-US" w:eastAsia="zh-CN"/>
              </w:rPr>
            </w:pPr>
            <w:r>
              <w:rPr>
                <w:rFonts w:hint="eastAsia"/>
                <w:color w:val="auto"/>
                <w:lang w:val="en-US" w:eastAsia="zh-CN"/>
              </w:rPr>
              <w:t>定性</w:t>
            </w:r>
          </w:p>
        </w:tc>
        <w:tc>
          <w:tcPr>
            <w:tcW w:w="1392" w:type="pct"/>
            <w:noWrap w:val="0"/>
            <w:vAlign w:val="center"/>
          </w:tcPr>
          <w:p>
            <w:pPr>
              <w:jc w:val="center"/>
              <w:rPr>
                <w:rFonts w:hint="default"/>
                <w:color w:val="auto"/>
                <w:lang w:val="en-US" w:eastAsia="zh-CN"/>
              </w:rPr>
            </w:pPr>
            <w:r>
              <w:rPr>
                <w:rFonts w:hint="eastAsia"/>
                <w:color w:val="auto"/>
                <w:lang w:val="en-US" w:eastAsia="zh-CN"/>
              </w:rPr>
              <w:t>企业产品与服务质量保障和质量提升措施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52</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rFonts w:hint="default" w:eastAsia="宋体"/>
                <w:color w:val="auto"/>
                <w:lang w:val="en-US" w:eastAsia="zh-CN"/>
              </w:rPr>
            </w:pPr>
          </w:p>
        </w:tc>
        <w:tc>
          <w:tcPr>
            <w:tcW w:w="656"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客户服务与权益</w:t>
            </w:r>
          </w:p>
        </w:tc>
        <w:tc>
          <w:tcPr>
            <w:tcW w:w="1375" w:type="pct"/>
            <w:noWrap w:val="0"/>
            <w:vAlign w:val="center"/>
          </w:tcPr>
          <w:p>
            <w:pPr>
              <w:jc w:val="left"/>
              <w:rPr>
                <w:rFonts w:hint="default"/>
                <w:color w:val="auto"/>
                <w:lang w:val="en-US" w:eastAsia="zh-CN"/>
              </w:rPr>
            </w:pPr>
            <w:r>
              <w:rPr>
                <w:rFonts w:hint="eastAsia" w:cs="Times New Roman"/>
                <w:color w:val="auto"/>
                <w:kern w:val="2"/>
                <w:sz w:val="21"/>
                <w:szCs w:val="21"/>
                <w:lang w:val="en-US" w:eastAsia="zh-CN" w:bidi="ar-SA"/>
              </w:rPr>
              <w:t>客户服务</w:t>
            </w:r>
          </w:p>
        </w:tc>
        <w:tc>
          <w:tcPr>
            <w:tcW w:w="451" w:type="pct"/>
            <w:noWrap w:val="0"/>
            <w:vAlign w:val="center"/>
          </w:tcPr>
          <w:p>
            <w:pPr>
              <w:jc w:val="center"/>
              <w:rPr>
                <w:rFonts w:hint="default"/>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color w:val="auto"/>
                <w:lang w:val="en-US" w:eastAsia="zh-CN"/>
              </w:rPr>
            </w:pPr>
            <w:r>
              <w:rPr>
                <w:rFonts w:hint="eastAsia"/>
                <w:color w:val="auto"/>
                <w:lang w:val="en-US" w:eastAsia="zh-CN"/>
              </w:rPr>
              <w:t>包括产品售后服务体系描述，企业与下游客户联合产品开发和客户满意度调查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53</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default"/>
                <w:color w:val="auto"/>
                <w:lang w:val="en-US" w:eastAsia="zh-CN"/>
              </w:rPr>
            </w:pPr>
            <w:r>
              <w:rPr>
                <w:rFonts w:hint="eastAsia" w:cs="Times New Roman"/>
                <w:color w:val="auto"/>
                <w:kern w:val="2"/>
                <w:sz w:val="21"/>
                <w:szCs w:val="21"/>
                <w:lang w:val="en-US" w:eastAsia="zh-CN" w:bidi="ar-SA"/>
              </w:rPr>
              <w:t>客户权益保障</w:t>
            </w:r>
          </w:p>
        </w:tc>
        <w:tc>
          <w:tcPr>
            <w:tcW w:w="451" w:type="pct"/>
            <w:noWrap w:val="0"/>
            <w:vAlign w:val="center"/>
          </w:tcPr>
          <w:p>
            <w:pPr>
              <w:jc w:val="center"/>
              <w:rPr>
                <w:rFonts w:hint="eastAsia"/>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color w:val="auto"/>
                <w:lang w:val="en-US" w:eastAsia="zh-CN"/>
              </w:rPr>
            </w:pPr>
            <w:r>
              <w:rPr>
                <w:rFonts w:hint="eastAsia"/>
                <w:color w:val="auto"/>
                <w:lang w:val="en-US" w:eastAsia="zh-CN"/>
              </w:rPr>
              <w:t>包括客户的投诉量、投诉应对机制及投诉解决数量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54</w:t>
            </w:r>
          </w:p>
        </w:tc>
        <w:tc>
          <w:tcPr>
            <w:tcW w:w="347" w:type="pct"/>
            <w:vMerge w:val="continue"/>
            <w:noWrap w:val="0"/>
            <w:vAlign w:val="center"/>
          </w:tcPr>
          <w:p>
            <w:pPr>
              <w:jc w:val="center"/>
              <w:rPr>
                <w:b/>
                <w:bCs/>
                <w:color w:val="auto"/>
              </w:rPr>
            </w:pPr>
          </w:p>
        </w:tc>
        <w:tc>
          <w:tcPr>
            <w:tcW w:w="508" w:type="pct"/>
            <w:vMerge w:val="restart"/>
            <w:noWrap w:val="0"/>
            <w:vAlign w:val="center"/>
          </w:tcPr>
          <w:p>
            <w:pPr>
              <w:jc w:val="center"/>
              <w:rPr>
                <w:rFonts w:hint="default" w:eastAsia="宋体"/>
                <w:color w:val="auto"/>
                <w:lang w:val="en-US" w:eastAsia="zh-CN"/>
              </w:rPr>
            </w:pPr>
            <w:r>
              <w:rPr>
                <w:rFonts w:hint="eastAsia"/>
                <w:color w:val="auto"/>
                <w:lang w:val="en-US" w:eastAsia="zh-CN"/>
              </w:rPr>
              <w:t>供应链管理</w:t>
            </w:r>
          </w:p>
        </w:tc>
        <w:tc>
          <w:tcPr>
            <w:tcW w:w="656"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供应商管理</w:t>
            </w:r>
          </w:p>
        </w:tc>
        <w:tc>
          <w:tcPr>
            <w:tcW w:w="1375" w:type="pct"/>
            <w:noWrap w:val="0"/>
            <w:vAlign w:val="center"/>
          </w:tcPr>
          <w:p>
            <w:pPr>
              <w:jc w:val="left"/>
              <w:rPr>
                <w:rFonts w:hint="default"/>
                <w:color w:val="auto"/>
                <w:lang w:val="en-US" w:eastAsia="zh-CN"/>
              </w:rPr>
            </w:pPr>
            <w:r>
              <w:rPr>
                <w:rFonts w:hint="eastAsia"/>
                <w:color w:val="auto"/>
                <w:lang w:val="en-US" w:eastAsia="zh-CN"/>
              </w:rPr>
              <w:t>供应商选择与管理</w:t>
            </w:r>
          </w:p>
        </w:tc>
        <w:tc>
          <w:tcPr>
            <w:tcW w:w="451" w:type="pct"/>
            <w:noWrap w:val="0"/>
            <w:vAlign w:val="center"/>
          </w:tcPr>
          <w:p>
            <w:pPr>
              <w:jc w:val="center"/>
              <w:rPr>
                <w:rFonts w:hint="default"/>
                <w:color w:val="auto"/>
                <w:lang w:val="en-US" w:eastAsia="zh-CN"/>
              </w:rPr>
            </w:pPr>
            <w:r>
              <w:rPr>
                <w:rFonts w:hint="eastAsia"/>
                <w:color w:val="auto"/>
                <w:lang w:val="en-US" w:eastAsia="zh-CN"/>
              </w:rPr>
              <w:t>定性</w:t>
            </w:r>
          </w:p>
        </w:tc>
        <w:tc>
          <w:tcPr>
            <w:tcW w:w="1392" w:type="pct"/>
            <w:noWrap w:val="0"/>
            <w:vAlign w:val="center"/>
          </w:tcPr>
          <w:p>
            <w:pPr>
              <w:jc w:val="center"/>
              <w:rPr>
                <w:rFonts w:hint="default"/>
                <w:color w:val="auto"/>
                <w:lang w:val="en-US" w:eastAsia="zh-CN"/>
              </w:rPr>
            </w:pPr>
            <w:r>
              <w:rPr>
                <w:rFonts w:hint="eastAsia"/>
                <w:color w:val="auto"/>
                <w:lang w:val="en-US" w:eastAsia="zh-CN"/>
              </w:rPr>
              <w:t>应具备供应商选择要求及管理考核办法等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55</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default"/>
                <w:color w:val="auto"/>
                <w:lang w:val="en-US" w:eastAsia="zh-CN"/>
              </w:rPr>
            </w:pPr>
            <w:r>
              <w:rPr>
                <w:rFonts w:hint="eastAsia"/>
                <w:color w:val="auto"/>
                <w:lang w:val="en-US" w:eastAsia="zh-CN"/>
              </w:rPr>
              <w:t>供应商ESG战略</w:t>
            </w:r>
          </w:p>
        </w:tc>
        <w:tc>
          <w:tcPr>
            <w:tcW w:w="451" w:type="pct"/>
            <w:noWrap w:val="0"/>
            <w:vAlign w:val="center"/>
          </w:tcPr>
          <w:p>
            <w:pPr>
              <w:jc w:val="center"/>
              <w:rPr>
                <w:rFonts w:hint="default"/>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color w:val="auto"/>
                <w:lang w:val="en-US" w:eastAsia="zh-CN"/>
              </w:rPr>
            </w:pPr>
            <w:r>
              <w:rPr>
                <w:rFonts w:hint="eastAsia"/>
                <w:color w:val="auto"/>
                <w:lang w:val="en-US" w:eastAsia="zh-CN"/>
              </w:rPr>
              <w:t>主要供应商清楚并遵循ESG理念，执行ESG战略的供应商占比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56</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供应链环节管理</w:t>
            </w:r>
          </w:p>
        </w:tc>
        <w:tc>
          <w:tcPr>
            <w:tcW w:w="1375" w:type="pct"/>
            <w:noWrap w:val="0"/>
            <w:vAlign w:val="center"/>
          </w:tcPr>
          <w:p>
            <w:pPr>
              <w:jc w:val="left"/>
              <w:rPr>
                <w:rFonts w:hint="default"/>
                <w:color w:val="auto"/>
                <w:lang w:val="en-US" w:eastAsia="zh-CN"/>
              </w:rPr>
            </w:pPr>
            <w:r>
              <w:rPr>
                <w:rFonts w:hint="eastAsia"/>
                <w:color w:val="auto"/>
                <w:lang w:val="en-US" w:eastAsia="zh-CN"/>
              </w:rPr>
              <w:t>绿色供应链管理评价</w:t>
            </w:r>
          </w:p>
        </w:tc>
        <w:tc>
          <w:tcPr>
            <w:tcW w:w="451" w:type="pct"/>
            <w:noWrap w:val="0"/>
            <w:vAlign w:val="center"/>
          </w:tcPr>
          <w:p>
            <w:pPr>
              <w:jc w:val="center"/>
              <w:rPr>
                <w:rFonts w:hint="default"/>
                <w:color w:val="auto"/>
                <w:lang w:val="en-US" w:eastAsia="zh-CN"/>
              </w:rPr>
            </w:pPr>
            <w:r>
              <w:rPr>
                <w:rFonts w:hint="eastAsia"/>
                <w:color w:val="auto"/>
                <w:lang w:val="en-US" w:eastAsia="zh-CN"/>
              </w:rPr>
              <w:t>定性</w:t>
            </w:r>
          </w:p>
        </w:tc>
        <w:tc>
          <w:tcPr>
            <w:tcW w:w="1392" w:type="pct"/>
            <w:noWrap w:val="0"/>
            <w:vAlign w:val="center"/>
          </w:tcPr>
          <w:p>
            <w:pPr>
              <w:jc w:val="center"/>
              <w:rPr>
                <w:rFonts w:hint="default"/>
                <w:color w:val="auto"/>
                <w:lang w:val="en-US" w:eastAsia="zh-CN"/>
              </w:rPr>
            </w:pPr>
            <w:r>
              <w:rPr>
                <w:rFonts w:hint="eastAsia"/>
                <w:color w:val="auto"/>
                <w:lang w:val="en-US" w:eastAsia="zh-CN"/>
              </w:rPr>
              <w:t>从原辅料绿色采购、清洁生产和绿色制造、能源转换和废弃物消纳处理等全生命周期进行评价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57</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hint="eastAsia" w:cs="Times New Roman"/>
                <w:color w:val="auto"/>
                <w:kern w:val="2"/>
                <w:sz w:val="21"/>
                <w:szCs w:val="21"/>
                <w:lang w:val="en-US" w:eastAsia="zh-CN" w:bidi="ar-SA"/>
              </w:rPr>
            </w:pPr>
          </w:p>
        </w:tc>
        <w:tc>
          <w:tcPr>
            <w:tcW w:w="1375" w:type="pct"/>
            <w:noWrap w:val="0"/>
            <w:vAlign w:val="center"/>
          </w:tcPr>
          <w:p>
            <w:pPr>
              <w:jc w:val="left"/>
              <w:rPr>
                <w:rFonts w:hint="default"/>
                <w:color w:val="auto"/>
                <w:lang w:val="en-US" w:eastAsia="zh-CN"/>
              </w:rPr>
            </w:pPr>
            <w:r>
              <w:rPr>
                <w:rFonts w:hint="eastAsia"/>
                <w:color w:val="auto"/>
                <w:lang w:val="en-US" w:eastAsia="zh-CN"/>
              </w:rPr>
              <w:t>供应链安全管理</w:t>
            </w:r>
          </w:p>
        </w:tc>
        <w:tc>
          <w:tcPr>
            <w:tcW w:w="451" w:type="pct"/>
            <w:noWrap w:val="0"/>
            <w:vAlign w:val="center"/>
          </w:tcPr>
          <w:p>
            <w:pPr>
              <w:jc w:val="center"/>
              <w:rPr>
                <w:rFonts w:hint="default"/>
                <w:color w:val="auto"/>
                <w:lang w:val="en-US" w:eastAsia="zh-CN"/>
              </w:rPr>
            </w:pPr>
            <w:r>
              <w:rPr>
                <w:rFonts w:hint="eastAsia"/>
                <w:color w:val="auto"/>
                <w:lang w:val="en-US" w:eastAsia="zh-CN"/>
              </w:rPr>
              <w:t>定性</w:t>
            </w:r>
          </w:p>
        </w:tc>
        <w:tc>
          <w:tcPr>
            <w:tcW w:w="1392" w:type="pct"/>
            <w:noWrap w:val="0"/>
            <w:vAlign w:val="center"/>
          </w:tcPr>
          <w:p>
            <w:pPr>
              <w:jc w:val="center"/>
              <w:rPr>
                <w:rFonts w:hint="default"/>
                <w:color w:val="auto"/>
                <w:lang w:val="en-US" w:eastAsia="zh-CN"/>
              </w:rPr>
            </w:pPr>
            <w:r>
              <w:rPr>
                <w:rFonts w:hint="eastAsia"/>
                <w:color w:val="auto"/>
                <w:lang w:val="en-US" w:eastAsia="zh-CN"/>
              </w:rPr>
              <w:t>包括企业的铁矿、废钢铁等大宗原料供应安全保障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58</w:t>
            </w:r>
          </w:p>
        </w:tc>
        <w:tc>
          <w:tcPr>
            <w:tcW w:w="347" w:type="pct"/>
            <w:vMerge w:val="continue"/>
            <w:noWrap w:val="0"/>
            <w:vAlign w:val="center"/>
          </w:tcPr>
          <w:p>
            <w:pPr>
              <w:jc w:val="center"/>
              <w:rPr>
                <w:b/>
                <w:bCs/>
                <w:color w:val="auto"/>
              </w:rPr>
            </w:pPr>
          </w:p>
        </w:tc>
        <w:tc>
          <w:tcPr>
            <w:tcW w:w="508" w:type="pct"/>
            <w:vMerge w:val="restart"/>
            <w:noWrap w:val="0"/>
            <w:vAlign w:val="center"/>
          </w:tcPr>
          <w:p>
            <w:pPr>
              <w:jc w:val="center"/>
              <w:rPr>
                <w:rFonts w:hint="default" w:eastAsia="宋体"/>
                <w:color w:val="auto"/>
                <w:lang w:val="en-US" w:eastAsia="zh-CN"/>
              </w:rPr>
            </w:pPr>
            <w:r>
              <w:rPr>
                <w:rFonts w:hint="eastAsia"/>
                <w:color w:val="auto"/>
                <w:lang w:val="en-US" w:eastAsia="zh-CN"/>
              </w:rPr>
              <w:t>社会响应</w:t>
            </w:r>
          </w:p>
        </w:tc>
        <w:tc>
          <w:tcPr>
            <w:tcW w:w="656"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社区关系处理</w:t>
            </w:r>
          </w:p>
        </w:tc>
        <w:tc>
          <w:tcPr>
            <w:tcW w:w="1375" w:type="pct"/>
            <w:noWrap w:val="0"/>
            <w:vAlign w:val="center"/>
          </w:tcPr>
          <w:p>
            <w:pPr>
              <w:jc w:val="left"/>
              <w:rPr>
                <w:rFonts w:hint="default"/>
                <w:color w:val="auto"/>
                <w:lang w:val="en-US" w:eastAsia="zh-CN"/>
              </w:rPr>
            </w:pPr>
            <w:r>
              <w:rPr>
                <w:rFonts w:hint="eastAsia"/>
                <w:color w:val="auto"/>
                <w:lang w:val="en-US" w:eastAsia="zh-CN"/>
              </w:rPr>
              <w:t>企业参与当地的经济和社会发展</w:t>
            </w:r>
          </w:p>
        </w:tc>
        <w:tc>
          <w:tcPr>
            <w:tcW w:w="451" w:type="pct"/>
            <w:noWrap w:val="0"/>
            <w:vAlign w:val="center"/>
          </w:tcPr>
          <w:p>
            <w:pPr>
              <w:jc w:val="center"/>
              <w:rPr>
                <w:rFonts w:hint="default"/>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color w:val="auto"/>
                <w:lang w:val="en-US" w:eastAsia="zh-CN"/>
              </w:rPr>
            </w:pPr>
            <w:r>
              <w:rPr>
                <w:rFonts w:hint="eastAsia"/>
                <w:color w:val="auto"/>
                <w:lang w:val="en-US" w:eastAsia="zh-CN"/>
              </w:rPr>
              <w:t>企业雇佣当地员工占比，上缴当地财政税收数值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59</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default" w:eastAsia="宋体"/>
                <w:color w:val="auto"/>
                <w:lang w:val="en-US" w:eastAsia="zh-CN"/>
              </w:rPr>
            </w:pPr>
            <w:r>
              <w:rPr>
                <w:rFonts w:hint="eastAsia"/>
                <w:color w:val="auto"/>
                <w:lang w:val="en-US" w:eastAsia="zh-CN"/>
              </w:rPr>
              <w:t>企业与周边居民的和谐共融</w:t>
            </w:r>
          </w:p>
        </w:tc>
        <w:tc>
          <w:tcPr>
            <w:tcW w:w="451"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139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包括企业自身的环境改善，以及为周边居民提供余热余能等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60</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restart"/>
            <w:noWrap w:val="0"/>
            <w:vAlign w:val="center"/>
          </w:tcPr>
          <w:p>
            <w:pPr>
              <w:jc w:val="center"/>
              <w:rPr>
                <w:rFonts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社会公益活动</w:t>
            </w:r>
          </w:p>
        </w:tc>
        <w:tc>
          <w:tcPr>
            <w:tcW w:w="1375"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kern w:val="0"/>
                <w:lang w:bidi="ar"/>
              </w:rPr>
              <w:t>慈善捐赠总额</w:t>
            </w:r>
          </w:p>
        </w:tc>
        <w:tc>
          <w:tcPr>
            <w:tcW w:w="451"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定量</w:t>
            </w:r>
          </w:p>
        </w:tc>
        <w:tc>
          <w:tcPr>
            <w:tcW w:w="139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企业参与社会公益慈善的捐赠总额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61</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参与公益活动</w:t>
            </w:r>
          </w:p>
        </w:tc>
        <w:tc>
          <w:tcPr>
            <w:tcW w:w="451"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定量/定性</w:t>
            </w:r>
          </w:p>
        </w:tc>
        <w:tc>
          <w:tcPr>
            <w:tcW w:w="139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企业参与</w:t>
            </w:r>
            <w:r>
              <w:rPr>
                <w:rFonts w:hint="eastAsia" w:cs="Times New Roman"/>
                <w:color w:val="auto"/>
                <w:kern w:val="2"/>
                <w:sz w:val="21"/>
                <w:szCs w:val="21"/>
                <w:lang w:val="en-US" w:eastAsia="zh-CN" w:bidi="ar-SA"/>
              </w:rPr>
              <w:t>救助灾害、救济贫困、捐资助学等公益活动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62</w:t>
            </w:r>
          </w:p>
        </w:tc>
        <w:tc>
          <w:tcPr>
            <w:tcW w:w="347" w:type="pct"/>
            <w:vMerge w:val="restart"/>
            <w:noWrap w:val="0"/>
            <w:vAlign w:val="center"/>
          </w:tcPr>
          <w:p>
            <w:pPr>
              <w:jc w:val="center"/>
              <w:rPr>
                <w:b/>
                <w:bCs/>
                <w:color w:val="auto"/>
              </w:rPr>
            </w:pPr>
            <w:r>
              <w:rPr>
                <w:rFonts w:hint="eastAsia"/>
                <w:color w:val="auto"/>
              </w:rPr>
              <w:t>治理（G）</w:t>
            </w:r>
          </w:p>
        </w:tc>
        <w:tc>
          <w:tcPr>
            <w:tcW w:w="508" w:type="pct"/>
            <w:vMerge w:val="restart"/>
            <w:noWrap w:val="0"/>
            <w:vAlign w:val="center"/>
          </w:tcPr>
          <w:p>
            <w:pPr>
              <w:jc w:val="center"/>
              <w:rPr>
                <w:rFonts w:hint="default" w:eastAsia="宋体"/>
                <w:color w:val="auto"/>
                <w:lang w:val="en-US" w:eastAsia="zh-CN"/>
              </w:rPr>
            </w:pPr>
            <w:r>
              <w:rPr>
                <w:rFonts w:hint="eastAsia"/>
                <w:color w:val="auto"/>
                <w:lang w:val="en-US" w:eastAsia="zh-CN"/>
              </w:rPr>
              <w:t>治理结构</w:t>
            </w:r>
          </w:p>
        </w:tc>
        <w:tc>
          <w:tcPr>
            <w:tcW w:w="656"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股东大会</w:t>
            </w:r>
          </w:p>
        </w:tc>
        <w:tc>
          <w:tcPr>
            <w:tcW w:w="1375" w:type="pct"/>
            <w:noWrap w:val="0"/>
            <w:vAlign w:val="center"/>
          </w:tcPr>
          <w:p>
            <w:pPr>
              <w:jc w:val="left"/>
              <w:rPr>
                <w:rFonts w:hint="default"/>
                <w:color w:val="auto"/>
                <w:lang w:val="en-US" w:eastAsia="zh-CN"/>
              </w:rPr>
            </w:pPr>
            <w:r>
              <w:rPr>
                <w:rFonts w:hint="eastAsia"/>
                <w:color w:val="auto"/>
                <w:lang w:val="en-US" w:eastAsia="zh-CN"/>
              </w:rPr>
              <w:t>股东构成及持股情况</w:t>
            </w:r>
          </w:p>
        </w:tc>
        <w:tc>
          <w:tcPr>
            <w:tcW w:w="451" w:type="pct"/>
            <w:noWrap w:val="0"/>
            <w:vAlign w:val="center"/>
          </w:tcPr>
          <w:p>
            <w:pPr>
              <w:jc w:val="center"/>
              <w:rPr>
                <w:rFonts w:hint="default"/>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color w:val="auto"/>
                <w:lang w:val="en-US" w:eastAsia="zh-CN"/>
              </w:rPr>
            </w:pPr>
            <w:r>
              <w:rPr>
                <w:rFonts w:hint="eastAsia"/>
                <w:color w:val="auto"/>
                <w:lang w:val="en-US" w:eastAsia="zh-CN"/>
              </w:rPr>
              <w:t>包括股东名称、股权性质、持股数量和比例等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63</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default"/>
                <w:color w:val="auto"/>
                <w:lang w:val="en-US" w:eastAsia="zh-CN"/>
              </w:rPr>
            </w:pPr>
            <w:r>
              <w:rPr>
                <w:rFonts w:hint="eastAsia"/>
                <w:color w:val="auto"/>
                <w:lang w:val="en-US" w:eastAsia="zh-CN"/>
              </w:rPr>
              <w:t>股东大会运作情况</w:t>
            </w:r>
          </w:p>
        </w:tc>
        <w:tc>
          <w:tcPr>
            <w:tcW w:w="451" w:type="pct"/>
            <w:noWrap w:val="0"/>
            <w:vAlign w:val="center"/>
          </w:tcPr>
          <w:p>
            <w:pPr>
              <w:jc w:val="center"/>
              <w:rPr>
                <w:rFonts w:hint="eastAsia"/>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color w:val="auto"/>
                <w:lang w:val="en-US" w:eastAsia="zh-CN"/>
              </w:rPr>
            </w:pPr>
            <w:r>
              <w:rPr>
                <w:rFonts w:hint="eastAsia"/>
                <w:color w:val="auto"/>
                <w:lang w:val="en-US" w:eastAsia="zh-CN"/>
              </w:rPr>
              <w:t>股东大会议事规则，股东大会召开次数、参加人数、出席率等会议情况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64</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董事会</w:t>
            </w:r>
          </w:p>
        </w:tc>
        <w:tc>
          <w:tcPr>
            <w:tcW w:w="1375" w:type="pct"/>
            <w:noWrap w:val="0"/>
            <w:vAlign w:val="center"/>
          </w:tcPr>
          <w:p>
            <w:pPr>
              <w:jc w:val="left"/>
              <w:rPr>
                <w:rFonts w:hint="default"/>
                <w:color w:val="auto"/>
                <w:lang w:val="en-US" w:eastAsia="zh-CN"/>
              </w:rPr>
            </w:pPr>
            <w:r>
              <w:rPr>
                <w:rFonts w:hint="eastAsia"/>
                <w:color w:val="auto"/>
                <w:lang w:val="en-US" w:eastAsia="zh-CN"/>
              </w:rPr>
              <w:t>董事会成员构成及背景</w:t>
            </w:r>
          </w:p>
        </w:tc>
        <w:tc>
          <w:tcPr>
            <w:tcW w:w="451" w:type="pct"/>
            <w:noWrap w:val="0"/>
            <w:vAlign w:val="center"/>
          </w:tcPr>
          <w:p>
            <w:pPr>
              <w:jc w:val="center"/>
              <w:rPr>
                <w:rFonts w:hint="eastAsia"/>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color w:val="auto"/>
                <w:lang w:val="en-US" w:eastAsia="zh-CN"/>
              </w:rPr>
            </w:pPr>
            <w:r>
              <w:rPr>
                <w:rFonts w:hint="eastAsia"/>
                <w:color w:val="auto"/>
                <w:lang w:val="en-US" w:eastAsia="zh-CN"/>
              </w:rPr>
              <w:t>董事会成员产生方式，董事会成员构成及性别、年龄、履历等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65</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default"/>
                <w:color w:val="auto"/>
                <w:lang w:val="en-US" w:eastAsia="zh-CN"/>
              </w:rPr>
            </w:pPr>
            <w:r>
              <w:rPr>
                <w:rFonts w:hint="eastAsia"/>
                <w:color w:val="auto"/>
                <w:lang w:val="en-US" w:eastAsia="zh-CN"/>
              </w:rPr>
              <w:t>董事会运作情况</w:t>
            </w:r>
          </w:p>
        </w:tc>
        <w:tc>
          <w:tcPr>
            <w:tcW w:w="451" w:type="pct"/>
            <w:noWrap w:val="0"/>
            <w:vAlign w:val="center"/>
          </w:tcPr>
          <w:p>
            <w:pPr>
              <w:jc w:val="center"/>
              <w:rPr>
                <w:rFonts w:hint="eastAsia"/>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color w:val="auto"/>
                <w:lang w:val="en-US" w:eastAsia="zh-CN"/>
              </w:rPr>
            </w:pPr>
            <w:r>
              <w:rPr>
                <w:rFonts w:hint="eastAsia"/>
                <w:color w:val="auto"/>
                <w:lang w:val="en-US" w:eastAsia="zh-CN"/>
              </w:rPr>
              <w:t>董事会议事规则，董事会召开次数、参加人数、出席率等会议情况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66</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监事会</w:t>
            </w:r>
          </w:p>
        </w:tc>
        <w:tc>
          <w:tcPr>
            <w:tcW w:w="1375"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监事会成员构成及背景</w:t>
            </w:r>
          </w:p>
        </w:tc>
        <w:tc>
          <w:tcPr>
            <w:tcW w:w="451"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定量/定性</w:t>
            </w:r>
          </w:p>
        </w:tc>
        <w:tc>
          <w:tcPr>
            <w:tcW w:w="139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监事会成员产生方式，监事会成员构成及性别、年龄、履历等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67</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1375"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监事会运作情况</w:t>
            </w:r>
          </w:p>
        </w:tc>
        <w:tc>
          <w:tcPr>
            <w:tcW w:w="451"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定量/定性</w:t>
            </w:r>
          </w:p>
        </w:tc>
        <w:tc>
          <w:tcPr>
            <w:tcW w:w="139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监事会议事规则，监事会召开次数、参加人数、出席率等会议情况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68</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高级管理层</w:t>
            </w:r>
          </w:p>
        </w:tc>
        <w:tc>
          <w:tcPr>
            <w:tcW w:w="1375" w:type="pct"/>
            <w:noWrap w:val="0"/>
            <w:vAlign w:val="center"/>
          </w:tcPr>
          <w:p>
            <w:pPr>
              <w:jc w:val="left"/>
              <w:rPr>
                <w:rFonts w:hint="default"/>
                <w:color w:val="auto"/>
                <w:lang w:val="en-US" w:eastAsia="zh-CN"/>
              </w:rPr>
            </w:pPr>
            <w:r>
              <w:rPr>
                <w:rFonts w:hint="eastAsia"/>
                <w:color w:val="auto"/>
                <w:lang w:val="en-US" w:eastAsia="zh-CN"/>
              </w:rPr>
              <w:t>高级管理层人员构成及背景</w:t>
            </w:r>
          </w:p>
        </w:tc>
        <w:tc>
          <w:tcPr>
            <w:tcW w:w="451" w:type="pct"/>
            <w:noWrap w:val="0"/>
            <w:vAlign w:val="center"/>
          </w:tcPr>
          <w:p>
            <w:pPr>
              <w:jc w:val="center"/>
              <w:rPr>
                <w:rFonts w:hint="eastAsia"/>
                <w:color w:val="auto"/>
                <w:lang w:val="en-US" w:eastAsia="zh-CN"/>
              </w:rPr>
            </w:pPr>
            <w:r>
              <w:rPr>
                <w:rFonts w:hint="eastAsia"/>
                <w:color w:val="auto"/>
                <w:lang w:val="en-US" w:eastAsia="zh-CN"/>
              </w:rPr>
              <w:t>定量/定性</w:t>
            </w:r>
          </w:p>
        </w:tc>
        <w:tc>
          <w:tcPr>
            <w:tcW w:w="1392" w:type="pct"/>
            <w:noWrap w:val="0"/>
            <w:vAlign w:val="center"/>
          </w:tcPr>
          <w:p>
            <w:pPr>
              <w:jc w:val="center"/>
              <w:rPr>
                <w:rFonts w:hint="default"/>
                <w:color w:val="auto"/>
                <w:lang w:val="en-US" w:eastAsia="zh-CN"/>
              </w:rPr>
            </w:pPr>
            <w:r>
              <w:rPr>
                <w:rFonts w:hint="eastAsia"/>
                <w:color w:val="auto"/>
                <w:lang w:val="en-US" w:eastAsia="zh-CN"/>
              </w:rPr>
              <w:t>高级管理人员性别、年龄、履历、任职等，高管平均任期等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7"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69</w:t>
            </w:r>
          </w:p>
        </w:tc>
        <w:tc>
          <w:tcPr>
            <w:tcW w:w="347" w:type="pct"/>
            <w:vMerge w:val="continue"/>
            <w:noWrap w:val="0"/>
            <w:vAlign w:val="center"/>
          </w:tcPr>
          <w:p>
            <w:pPr>
              <w:jc w:val="center"/>
              <w:rPr>
                <w:b/>
                <w:bCs/>
                <w:color w:val="auto"/>
              </w:rPr>
            </w:pPr>
          </w:p>
        </w:tc>
        <w:tc>
          <w:tcPr>
            <w:tcW w:w="508" w:type="pct"/>
            <w:vMerge w:val="continue"/>
            <w:noWrap w:val="0"/>
            <w:vAlign w:val="center"/>
          </w:tcPr>
          <w:p>
            <w:pPr>
              <w:jc w:val="center"/>
              <w:rPr>
                <w:color w:val="auto"/>
              </w:rPr>
            </w:pPr>
          </w:p>
        </w:tc>
        <w:tc>
          <w:tcPr>
            <w:tcW w:w="656" w:type="pct"/>
            <w:vMerge w:val="continue"/>
            <w:noWrap w:val="0"/>
            <w:vAlign w:val="center"/>
          </w:tcPr>
          <w:p>
            <w:pPr>
              <w:jc w:val="left"/>
              <w:rPr>
                <w:color w:val="auto"/>
              </w:rPr>
            </w:pPr>
          </w:p>
        </w:tc>
        <w:tc>
          <w:tcPr>
            <w:tcW w:w="1375"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高级管理层人员持股</w:t>
            </w:r>
          </w:p>
        </w:tc>
        <w:tc>
          <w:tcPr>
            <w:tcW w:w="451" w:type="pct"/>
            <w:noWrap w:val="0"/>
            <w:vAlign w:val="center"/>
          </w:tcPr>
          <w:p>
            <w:pPr>
              <w:jc w:val="center"/>
              <w:rPr>
                <w:rFonts w:hint="eastAsia" w:eastAsia="宋体"/>
                <w:color w:val="auto"/>
                <w:lang w:val="en-US" w:eastAsia="zh-CN"/>
              </w:rPr>
            </w:pPr>
            <w:r>
              <w:rPr>
                <w:rFonts w:hint="eastAsia"/>
                <w:color w:val="auto"/>
                <w:lang w:val="en-US" w:eastAsia="zh-CN"/>
              </w:rPr>
              <w:t>定量</w:t>
            </w:r>
          </w:p>
        </w:tc>
        <w:tc>
          <w:tcPr>
            <w:tcW w:w="1392" w:type="pct"/>
            <w:noWrap w:val="0"/>
            <w:vAlign w:val="center"/>
          </w:tcPr>
          <w:p>
            <w:pPr>
              <w:jc w:val="center"/>
              <w:rPr>
                <w:rFonts w:hint="default" w:eastAsia="宋体"/>
                <w:color w:val="auto"/>
                <w:lang w:val="en-US" w:eastAsia="zh-CN"/>
              </w:rPr>
            </w:pPr>
            <w:r>
              <w:rPr>
                <w:rFonts w:hint="eastAsia"/>
                <w:color w:val="auto"/>
                <w:lang w:val="en-US" w:eastAsia="zh-CN"/>
              </w:rPr>
              <w:t>高级管理人员持股数量及比例，股权增加变化情况等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70</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Align w:val="center"/>
          </w:tcPr>
          <w:p>
            <w:pPr>
              <w:jc w:val="center"/>
              <w:rPr>
                <w:rFonts w:hint="default" w:eastAsia="宋体"/>
                <w:color w:val="auto"/>
                <w:lang w:val="en-US" w:eastAsia="zh-CN"/>
              </w:rPr>
            </w:pPr>
            <w:r>
              <w:rPr>
                <w:rFonts w:hint="eastAsia"/>
                <w:color w:val="auto"/>
                <w:lang w:val="en-US" w:eastAsia="zh-CN"/>
              </w:rPr>
              <w:t>其他最高治理机构</w:t>
            </w:r>
          </w:p>
        </w:tc>
        <w:tc>
          <w:tcPr>
            <w:tcW w:w="1375" w:type="pct"/>
            <w:vAlign w:val="center"/>
          </w:tcPr>
          <w:p>
            <w:pPr>
              <w:jc w:val="left"/>
              <w:rPr>
                <w:rFonts w:hint="default" w:eastAsia="宋体"/>
                <w:color w:val="auto"/>
                <w:lang w:val="en-US" w:eastAsia="zh-CN"/>
              </w:rPr>
            </w:pPr>
            <w:r>
              <w:rPr>
                <w:rFonts w:hint="eastAsia"/>
                <w:color w:val="auto"/>
                <w:lang w:val="en-US" w:eastAsia="zh-CN"/>
              </w:rPr>
              <w:t>其他最高治理机构情况</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vAlign w:val="center"/>
          </w:tcPr>
          <w:p>
            <w:pPr>
              <w:jc w:val="center"/>
              <w:rPr>
                <w:rFonts w:hint="default" w:eastAsia="宋体"/>
                <w:color w:val="auto"/>
                <w:lang w:val="en-US" w:eastAsia="zh-CN"/>
              </w:rPr>
            </w:pPr>
            <w:r>
              <w:rPr>
                <w:rFonts w:hint="eastAsia"/>
                <w:color w:val="auto"/>
                <w:lang w:val="en-US" w:eastAsia="zh-CN"/>
              </w:rPr>
              <w:t>未设立“三会一层”的治理架构，描述企业最高治理机构情况，包括最高治理机构名称、人员构成及背景、运行机制等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71</w:t>
            </w:r>
          </w:p>
        </w:tc>
        <w:tc>
          <w:tcPr>
            <w:tcW w:w="347" w:type="pct"/>
            <w:vMerge w:val="continue"/>
            <w:vAlign w:val="center"/>
          </w:tcPr>
          <w:p>
            <w:pPr>
              <w:jc w:val="center"/>
              <w:rPr>
                <w:b/>
                <w:bCs/>
                <w:color w:val="auto"/>
              </w:rPr>
            </w:pPr>
          </w:p>
        </w:tc>
        <w:tc>
          <w:tcPr>
            <w:tcW w:w="508" w:type="pct"/>
            <w:vMerge w:val="restart"/>
            <w:vAlign w:val="center"/>
          </w:tcPr>
          <w:p>
            <w:pPr>
              <w:jc w:val="center"/>
              <w:rPr>
                <w:rFonts w:hint="default" w:eastAsia="宋体"/>
                <w:color w:val="auto"/>
                <w:lang w:val="en-US" w:eastAsia="zh-CN"/>
              </w:rPr>
            </w:pPr>
            <w:r>
              <w:rPr>
                <w:rFonts w:hint="eastAsia"/>
                <w:color w:val="auto"/>
                <w:lang w:val="en-US" w:eastAsia="zh-CN"/>
              </w:rPr>
              <w:t>治理机制</w:t>
            </w:r>
          </w:p>
        </w:tc>
        <w:tc>
          <w:tcPr>
            <w:tcW w:w="656" w:type="pct"/>
            <w:vMerge w:val="restart"/>
            <w:vAlign w:val="center"/>
          </w:tcPr>
          <w:p>
            <w:pPr>
              <w:jc w:val="center"/>
              <w:rPr>
                <w:rFonts w:hint="default" w:eastAsia="宋体"/>
                <w:color w:val="auto"/>
                <w:lang w:val="en-US" w:eastAsia="zh-CN"/>
              </w:rPr>
            </w:pPr>
            <w:r>
              <w:rPr>
                <w:rFonts w:hint="eastAsia"/>
                <w:color w:val="auto"/>
                <w:lang w:val="en-US" w:eastAsia="zh-CN"/>
              </w:rPr>
              <w:t>风险管理</w:t>
            </w:r>
          </w:p>
        </w:tc>
        <w:tc>
          <w:tcPr>
            <w:tcW w:w="1375" w:type="pct"/>
            <w:vAlign w:val="center"/>
          </w:tcPr>
          <w:p>
            <w:pPr>
              <w:jc w:val="left"/>
              <w:rPr>
                <w:rFonts w:ascii="Times New Roman" w:hAnsi="Times New Roman" w:eastAsia="宋体" w:cs="Times New Roman"/>
                <w:color w:val="auto"/>
                <w:kern w:val="2"/>
                <w:sz w:val="21"/>
                <w:szCs w:val="21"/>
                <w:lang w:val="en-US" w:eastAsia="zh-CN" w:bidi="ar-SA"/>
              </w:rPr>
            </w:pPr>
            <w:r>
              <w:rPr>
                <w:rFonts w:hint="eastAsia"/>
                <w:color w:val="auto"/>
                <w:lang w:val="en-US" w:eastAsia="zh-CN"/>
              </w:rPr>
              <w:t>风险管理体系</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tcPr>
          <w:p>
            <w:pPr>
              <w:jc w:val="center"/>
              <w:rPr>
                <w:rFonts w:hint="default" w:eastAsia="宋体"/>
                <w:color w:val="auto"/>
                <w:lang w:val="en-US" w:eastAsia="zh-CN"/>
              </w:rPr>
            </w:pPr>
            <w:r>
              <w:rPr>
                <w:rFonts w:hint="eastAsia"/>
                <w:color w:val="auto"/>
                <w:lang w:val="en-US" w:eastAsia="zh-CN"/>
              </w:rPr>
              <w:t>企业风险管理的相关制度和政策，相关风险管理部门等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72</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continue"/>
            <w:vAlign w:val="center"/>
          </w:tcPr>
          <w:p>
            <w:pPr>
              <w:jc w:val="center"/>
              <w:rPr>
                <w:rFonts w:ascii="Times New Roman" w:hAnsi="Times New Roman" w:eastAsia="宋体" w:cs="Times New Roman"/>
                <w:b/>
                <w:bCs/>
                <w:color w:val="auto"/>
                <w:kern w:val="2"/>
                <w:sz w:val="21"/>
                <w:szCs w:val="21"/>
                <w:lang w:val="en-US" w:eastAsia="zh-CN" w:bidi="ar-SA"/>
              </w:rPr>
            </w:pPr>
          </w:p>
        </w:tc>
        <w:tc>
          <w:tcPr>
            <w:tcW w:w="1375"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重大风险识别及防范</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tcPr>
          <w:p>
            <w:pPr>
              <w:jc w:val="center"/>
              <w:rPr>
                <w:rFonts w:hint="default" w:eastAsia="宋体"/>
                <w:color w:val="auto"/>
                <w:lang w:val="en-US" w:eastAsia="zh-CN"/>
              </w:rPr>
            </w:pPr>
            <w:r>
              <w:rPr>
                <w:rFonts w:hint="eastAsia"/>
                <w:color w:val="auto"/>
                <w:lang w:val="en-US" w:eastAsia="zh-CN"/>
              </w:rPr>
              <w:t>企业识别和评估具有潜在重大影响的风险种类，并提出防范措施。包括企业环境和气候风险识别、应急风险管理等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73</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restart"/>
            <w:vAlign w:val="center"/>
          </w:tcPr>
          <w:p>
            <w:pPr>
              <w:jc w:val="center"/>
              <w:rPr>
                <w:rFonts w:hint="default" w:eastAsia="宋体"/>
                <w:color w:val="auto"/>
                <w:lang w:val="en-US" w:eastAsia="zh-CN"/>
              </w:rPr>
            </w:pPr>
            <w:r>
              <w:rPr>
                <w:rFonts w:hint="eastAsia"/>
                <w:color w:val="auto"/>
                <w:lang w:val="en-US" w:eastAsia="zh-CN"/>
              </w:rPr>
              <w:t>监督管理</w:t>
            </w:r>
          </w:p>
        </w:tc>
        <w:tc>
          <w:tcPr>
            <w:tcW w:w="1375"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审计制度及实施</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tcPr>
          <w:p>
            <w:pPr>
              <w:jc w:val="center"/>
              <w:rPr>
                <w:rFonts w:hint="default" w:eastAsia="宋体"/>
                <w:color w:val="auto"/>
                <w:lang w:val="en-US" w:eastAsia="zh-CN"/>
              </w:rPr>
            </w:pPr>
            <w:r>
              <w:rPr>
                <w:rFonts w:hint="eastAsia"/>
                <w:color w:val="auto"/>
                <w:lang w:val="en-US" w:eastAsia="zh-CN"/>
              </w:rPr>
              <w:t>企业内外部审计制度、审计意见、发现问题及整改情况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74</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continue"/>
            <w:vAlign w:val="center"/>
          </w:tcPr>
          <w:p>
            <w:pPr>
              <w:jc w:val="center"/>
              <w:rPr>
                <w:rFonts w:ascii="Times New Roman" w:hAnsi="Times New Roman" w:eastAsia="宋体" w:cs="Times New Roman"/>
                <w:color w:val="auto"/>
                <w:kern w:val="2"/>
                <w:sz w:val="21"/>
                <w:szCs w:val="21"/>
                <w:lang w:val="en-US" w:eastAsia="zh-CN" w:bidi="ar-SA"/>
              </w:rPr>
            </w:pPr>
          </w:p>
        </w:tc>
        <w:tc>
          <w:tcPr>
            <w:tcW w:w="1375"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投诉、举报制度及实施</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定量/定性</w:t>
            </w:r>
          </w:p>
        </w:tc>
        <w:tc>
          <w:tcPr>
            <w:tcW w:w="0" w:type="auto"/>
          </w:tcPr>
          <w:p>
            <w:pPr>
              <w:jc w:val="center"/>
              <w:rPr>
                <w:rFonts w:hint="default" w:eastAsia="宋体"/>
                <w:color w:val="auto"/>
                <w:lang w:val="en-US" w:eastAsia="zh-CN"/>
              </w:rPr>
            </w:pPr>
            <w:r>
              <w:rPr>
                <w:rFonts w:hint="eastAsia"/>
                <w:color w:val="auto"/>
                <w:lang w:val="en-US" w:eastAsia="zh-CN"/>
              </w:rPr>
              <w:t>是否设立投诉、举报制度，是否对投诉、举报人员进行保护，报告期内收到投诉、举报的数量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75</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高管激励</w:t>
            </w:r>
          </w:p>
        </w:tc>
        <w:tc>
          <w:tcPr>
            <w:tcW w:w="1375" w:type="pct"/>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高管聘任及薪酬激励</w:t>
            </w:r>
          </w:p>
        </w:tc>
        <w:tc>
          <w:tcPr>
            <w:tcW w:w="0" w:type="auto"/>
            <w:vAlign w:val="center"/>
          </w:tcPr>
          <w:p>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tcPr>
          <w:p>
            <w:pPr>
              <w:jc w:val="center"/>
              <w:rPr>
                <w:rFonts w:hint="default"/>
                <w:color w:val="auto"/>
                <w:lang w:val="en-US" w:eastAsia="zh-CN"/>
              </w:rPr>
            </w:pPr>
            <w:r>
              <w:rPr>
                <w:rFonts w:hint="eastAsia"/>
                <w:color w:val="auto"/>
                <w:lang w:val="en-US" w:eastAsia="zh-CN"/>
              </w:rPr>
              <w:t>企业高管人员聘任及解聘程序，高管薪酬管理办法等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76</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continue"/>
            <w:vAlign w:val="center"/>
          </w:tcPr>
          <w:p>
            <w:pPr>
              <w:jc w:val="center"/>
              <w:rPr>
                <w:rFonts w:ascii="Times New Roman" w:hAnsi="Times New Roman" w:eastAsia="宋体" w:cs="Times New Roman"/>
                <w:color w:val="auto"/>
                <w:kern w:val="2"/>
                <w:sz w:val="21"/>
                <w:szCs w:val="21"/>
                <w:lang w:val="en-US" w:eastAsia="zh-CN" w:bidi="ar-SA"/>
              </w:rPr>
            </w:pPr>
          </w:p>
        </w:tc>
        <w:tc>
          <w:tcPr>
            <w:tcW w:w="1375" w:type="pct"/>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高管绩效与ESG目标关联</w:t>
            </w:r>
          </w:p>
        </w:tc>
        <w:tc>
          <w:tcPr>
            <w:tcW w:w="0" w:type="auto"/>
            <w:vAlign w:val="center"/>
          </w:tcPr>
          <w:p>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tcPr>
          <w:p>
            <w:pPr>
              <w:jc w:val="center"/>
              <w:rPr>
                <w:rFonts w:hint="default"/>
                <w:color w:val="auto"/>
                <w:lang w:val="en-US" w:eastAsia="zh-CN"/>
              </w:rPr>
            </w:pPr>
            <w:r>
              <w:rPr>
                <w:rFonts w:hint="eastAsia"/>
                <w:color w:val="auto"/>
                <w:lang w:val="en-US" w:eastAsia="zh-CN"/>
              </w:rPr>
              <w:t>企业高管绩效评价与ESG目标关联情况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77</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Align w:val="center"/>
          </w:tcPr>
          <w:p>
            <w:pPr>
              <w:jc w:val="center"/>
              <w:rPr>
                <w:rFonts w:hint="default" w:eastAsia="宋体"/>
                <w:color w:val="auto"/>
                <w:lang w:val="en-US" w:eastAsia="zh-CN"/>
              </w:rPr>
            </w:pPr>
            <w:r>
              <w:rPr>
                <w:rFonts w:hint="eastAsia"/>
                <w:color w:val="auto"/>
                <w:lang w:val="en-US" w:eastAsia="zh-CN"/>
              </w:rPr>
              <w:t>信息披露</w:t>
            </w:r>
          </w:p>
        </w:tc>
        <w:tc>
          <w:tcPr>
            <w:tcW w:w="1375"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企业信息披露及实施</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tcPr>
          <w:p>
            <w:pPr>
              <w:jc w:val="center"/>
              <w:rPr>
                <w:rFonts w:hint="default" w:eastAsia="宋体"/>
                <w:color w:val="auto"/>
                <w:lang w:val="en-US" w:eastAsia="zh-CN"/>
              </w:rPr>
            </w:pPr>
            <w:r>
              <w:rPr>
                <w:rFonts w:hint="eastAsia"/>
                <w:color w:val="auto"/>
                <w:lang w:val="en-US" w:eastAsia="zh-CN"/>
              </w:rPr>
              <w:t>企业信息披露的负责部门、相关程序和实施情况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78</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restart"/>
            <w:vAlign w:val="center"/>
          </w:tcPr>
          <w:p>
            <w:pPr>
              <w:jc w:val="center"/>
              <w:rPr>
                <w:rFonts w:hint="default" w:eastAsia="宋体"/>
                <w:color w:val="auto"/>
                <w:lang w:val="en-US" w:eastAsia="zh-CN"/>
              </w:rPr>
            </w:pPr>
            <w:r>
              <w:rPr>
                <w:rFonts w:hint="eastAsia"/>
                <w:color w:val="auto"/>
                <w:lang w:val="en-US" w:eastAsia="zh-CN"/>
              </w:rPr>
              <w:t>商业道德</w:t>
            </w:r>
          </w:p>
        </w:tc>
        <w:tc>
          <w:tcPr>
            <w:tcW w:w="1375"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企业商业道德</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定量/定性</w:t>
            </w:r>
          </w:p>
        </w:tc>
        <w:tc>
          <w:tcPr>
            <w:tcW w:w="0" w:type="auto"/>
          </w:tcPr>
          <w:p>
            <w:pPr>
              <w:jc w:val="center"/>
              <w:rPr>
                <w:rFonts w:hint="default" w:eastAsia="宋体"/>
                <w:color w:val="auto"/>
                <w:lang w:val="en-US" w:eastAsia="zh-CN"/>
              </w:rPr>
            </w:pPr>
            <w:r>
              <w:rPr>
                <w:rFonts w:hint="eastAsia"/>
                <w:color w:val="auto"/>
                <w:lang w:val="en-US" w:eastAsia="zh-CN"/>
              </w:rPr>
              <w:t>企业商业道德制度建设及培训情况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79</w:t>
            </w:r>
          </w:p>
        </w:tc>
        <w:tc>
          <w:tcPr>
            <w:tcW w:w="347" w:type="pct"/>
            <w:vMerge w:val="continue"/>
            <w:vAlign w:val="center"/>
          </w:tcPr>
          <w:p>
            <w:pPr>
              <w:jc w:val="center"/>
              <w:rPr>
                <w:b/>
                <w:bCs/>
                <w:color w:val="auto"/>
              </w:rPr>
            </w:pPr>
          </w:p>
        </w:tc>
        <w:tc>
          <w:tcPr>
            <w:tcW w:w="508" w:type="pct"/>
            <w:vMerge w:val="continue"/>
          </w:tcPr>
          <w:p>
            <w:pPr>
              <w:jc w:val="center"/>
              <w:rPr>
                <w:color w:val="auto"/>
              </w:rPr>
            </w:pPr>
          </w:p>
        </w:tc>
        <w:tc>
          <w:tcPr>
            <w:tcW w:w="656" w:type="pct"/>
            <w:vMerge w:val="continue"/>
          </w:tcPr>
          <w:p>
            <w:pPr>
              <w:jc w:val="center"/>
              <w:rPr>
                <w:color w:val="auto"/>
              </w:rPr>
            </w:pPr>
          </w:p>
        </w:tc>
        <w:tc>
          <w:tcPr>
            <w:tcW w:w="1375"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员工行为准则</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定量/定性</w:t>
            </w:r>
          </w:p>
        </w:tc>
        <w:tc>
          <w:tcPr>
            <w:tcW w:w="0" w:type="auto"/>
            <w:vAlign w:val="top"/>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员工行为准则制度建设及培训情况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80</w:t>
            </w:r>
          </w:p>
        </w:tc>
        <w:tc>
          <w:tcPr>
            <w:tcW w:w="347" w:type="pct"/>
            <w:vMerge w:val="continue"/>
            <w:vAlign w:val="center"/>
          </w:tcPr>
          <w:p>
            <w:pPr>
              <w:jc w:val="center"/>
              <w:rPr>
                <w:b/>
                <w:bCs/>
                <w:color w:val="auto"/>
              </w:rPr>
            </w:pPr>
          </w:p>
        </w:tc>
        <w:tc>
          <w:tcPr>
            <w:tcW w:w="508" w:type="pct"/>
            <w:vMerge w:val="restart"/>
            <w:vAlign w:val="center"/>
          </w:tcPr>
          <w:p>
            <w:pPr>
              <w:jc w:val="center"/>
              <w:rPr>
                <w:rFonts w:hint="default" w:eastAsia="宋体"/>
                <w:color w:val="auto"/>
                <w:lang w:val="en-US" w:eastAsia="zh-CN"/>
              </w:rPr>
            </w:pPr>
            <w:r>
              <w:rPr>
                <w:rFonts w:hint="eastAsia"/>
                <w:color w:val="auto"/>
                <w:lang w:val="en-US" w:eastAsia="zh-CN"/>
              </w:rPr>
              <w:t>治理效能</w:t>
            </w:r>
          </w:p>
        </w:tc>
        <w:tc>
          <w:tcPr>
            <w:tcW w:w="656"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企业发展战略与文化</w:t>
            </w:r>
          </w:p>
        </w:tc>
        <w:tc>
          <w:tcPr>
            <w:tcW w:w="1375" w:type="pct"/>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企业发展战略与商业模式</w:t>
            </w:r>
          </w:p>
        </w:tc>
        <w:tc>
          <w:tcPr>
            <w:tcW w:w="451" w:type="pc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tcPr>
          <w:p>
            <w:pPr>
              <w:jc w:val="center"/>
              <w:rPr>
                <w:rFonts w:hint="default" w:eastAsia="宋体"/>
                <w:color w:val="auto"/>
                <w:lang w:val="en-US" w:eastAsia="zh-CN"/>
              </w:rPr>
            </w:pPr>
            <w:r>
              <w:rPr>
                <w:rFonts w:hint="eastAsia"/>
                <w:color w:val="auto"/>
                <w:lang w:val="en-US" w:eastAsia="zh-CN"/>
              </w:rPr>
              <w:t>企业使命与愿景、所采取商业模式及特点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81</w:t>
            </w:r>
          </w:p>
        </w:tc>
        <w:tc>
          <w:tcPr>
            <w:tcW w:w="347" w:type="pct"/>
            <w:vMerge w:val="continue"/>
            <w:vAlign w:val="center"/>
          </w:tcPr>
          <w:p>
            <w:pPr>
              <w:jc w:val="center"/>
              <w:rPr>
                <w:b/>
                <w:bCs/>
                <w:color w:val="auto"/>
              </w:rPr>
            </w:pPr>
          </w:p>
        </w:tc>
        <w:tc>
          <w:tcPr>
            <w:tcW w:w="508" w:type="pct"/>
            <w:vMerge w:val="continue"/>
          </w:tcPr>
          <w:p>
            <w:pPr>
              <w:jc w:val="center"/>
              <w:rPr>
                <w:color w:val="auto"/>
              </w:rPr>
            </w:pPr>
          </w:p>
        </w:tc>
        <w:tc>
          <w:tcPr>
            <w:tcW w:w="656" w:type="pct"/>
            <w:vMerge w:val="continue"/>
          </w:tcPr>
          <w:p>
            <w:pPr>
              <w:jc w:val="center"/>
              <w:rPr>
                <w:color w:val="auto"/>
              </w:rPr>
            </w:pPr>
          </w:p>
        </w:tc>
        <w:tc>
          <w:tcPr>
            <w:tcW w:w="1375" w:type="pct"/>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企业文化建设</w:t>
            </w:r>
          </w:p>
        </w:tc>
        <w:tc>
          <w:tcPr>
            <w:tcW w:w="451" w:type="pc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tcPr>
          <w:p>
            <w:pPr>
              <w:jc w:val="center"/>
              <w:rPr>
                <w:rFonts w:hint="default" w:eastAsia="宋体"/>
                <w:color w:val="auto"/>
                <w:lang w:val="en-US" w:eastAsia="zh-CN"/>
              </w:rPr>
            </w:pPr>
            <w:r>
              <w:rPr>
                <w:rFonts w:hint="eastAsia"/>
                <w:color w:val="auto"/>
                <w:lang w:val="en-US" w:eastAsia="zh-CN"/>
              </w:rPr>
              <w:t>企业文化内涵、企业价值观、主要文化建设措施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82</w:t>
            </w:r>
          </w:p>
        </w:tc>
        <w:tc>
          <w:tcPr>
            <w:tcW w:w="347" w:type="pct"/>
            <w:vMerge w:val="continue"/>
            <w:vAlign w:val="center"/>
          </w:tcPr>
          <w:p>
            <w:pPr>
              <w:jc w:val="center"/>
              <w:rPr>
                <w:b/>
                <w:bCs/>
                <w:color w:val="auto"/>
              </w:rPr>
            </w:pPr>
          </w:p>
        </w:tc>
        <w:tc>
          <w:tcPr>
            <w:tcW w:w="508" w:type="pct"/>
            <w:vMerge w:val="continue"/>
          </w:tcPr>
          <w:p>
            <w:pPr>
              <w:jc w:val="center"/>
              <w:rPr>
                <w:color w:val="auto"/>
              </w:rPr>
            </w:pPr>
          </w:p>
        </w:tc>
        <w:tc>
          <w:tcPr>
            <w:tcW w:w="656" w:type="pct"/>
            <w:vMerge w:val="restart"/>
            <w:vAlign w:val="center"/>
          </w:tcPr>
          <w:p>
            <w:pPr>
              <w:jc w:val="center"/>
              <w:rPr>
                <w:rFonts w:hint="default" w:eastAsia="宋体"/>
                <w:color w:val="auto"/>
                <w:lang w:val="en-US" w:eastAsia="zh-CN"/>
              </w:rPr>
            </w:pPr>
            <w:r>
              <w:rPr>
                <w:rFonts w:hint="eastAsia"/>
                <w:color w:val="auto"/>
                <w:lang w:val="en-US" w:eastAsia="zh-CN"/>
              </w:rPr>
              <w:t>生产效率</w:t>
            </w:r>
          </w:p>
        </w:tc>
        <w:tc>
          <w:tcPr>
            <w:tcW w:w="1375"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产品产量和产值规模</w:t>
            </w:r>
          </w:p>
        </w:tc>
        <w:tc>
          <w:tcPr>
            <w:tcW w:w="0" w:type="auto"/>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定量</w:t>
            </w:r>
          </w:p>
        </w:tc>
        <w:tc>
          <w:tcPr>
            <w:tcW w:w="0" w:type="auto"/>
          </w:tcPr>
          <w:p>
            <w:pPr>
              <w:jc w:val="center"/>
              <w:rPr>
                <w:rFonts w:hint="default" w:eastAsia="宋体"/>
                <w:color w:val="auto"/>
                <w:lang w:val="en-US" w:eastAsia="zh-CN"/>
              </w:rPr>
            </w:pPr>
            <w:r>
              <w:rPr>
                <w:rFonts w:hint="eastAsia"/>
                <w:color w:val="auto"/>
                <w:lang w:val="en-US" w:eastAsia="zh-CN"/>
              </w:rPr>
              <w:t>企业主要产品、产量及年产值规模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83</w:t>
            </w:r>
          </w:p>
        </w:tc>
        <w:tc>
          <w:tcPr>
            <w:tcW w:w="347" w:type="pct"/>
            <w:vMerge w:val="continue"/>
            <w:vAlign w:val="center"/>
          </w:tcPr>
          <w:p>
            <w:pPr>
              <w:jc w:val="center"/>
              <w:rPr>
                <w:b/>
                <w:bCs/>
                <w:color w:val="auto"/>
              </w:rPr>
            </w:pPr>
          </w:p>
        </w:tc>
        <w:tc>
          <w:tcPr>
            <w:tcW w:w="508" w:type="pct"/>
            <w:vMerge w:val="continue"/>
          </w:tcPr>
          <w:p>
            <w:pPr>
              <w:jc w:val="center"/>
              <w:rPr>
                <w:color w:val="auto"/>
              </w:rPr>
            </w:pPr>
          </w:p>
        </w:tc>
        <w:tc>
          <w:tcPr>
            <w:tcW w:w="656" w:type="pct"/>
            <w:vMerge w:val="continue"/>
          </w:tcPr>
          <w:p>
            <w:pPr>
              <w:jc w:val="center"/>
              <w:rPr>
                <w:color w:val="auto"/>
              </w:rPr>
            </w:pPr>
          </w:p>
        </w:tc>
        <w:tc>
          <w:tcPr>
            <w:tcW w:w="1375"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生产工艺及装备</w:t>
            </w:r>
          </w:p>
        </w:tc>
        <w:tc>
          <w:tcPr>
            <w:tcW w:w="0" w:type="auto"/>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定量/定性</w:t>
            </w:r>
          </w:p>
        </w:tc>
        <w:tc>
          <w:tcPr>
            <w:tcW w:w="0" w:type="auto"/>
          </w:tcPr>
          <w:p>
            <w:pPr>
              <w:jc w:val="center"/>
              <w:rPr>
                <w:rFonts w:hint="default" w:eastAsia="宋体"/>
                <w:color w:val="auto"/>
                <w:lang w:val="en-US" w:eastAsia="zh-CN"/>
              </w:rPr>
            </w:pPr>
            <w:r>
              <w:rPr>
                <w:rFonts w:hint="eastAsia"/>
                <w:color w:val="auto"/>
                <w:lang w:val="en-US" w:eastAsia="zh-CN"/>
              </w:rPr>
              <w:t>企业主要生产工艺路线及装备规模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84</w:t>
            </w:r>
          </w:p>
        </w:tc>
        <w:tc>
          <w:tcPr>
            <w:tcW w:w="347" w:type="pct"/>
            <w:vMerge w:val="continue"/>
            <w:vAlign w:val="center"/>
          </w:tcPr>
          <w:p>
            <w:pPr>
              <w:jc w:val="center"/>
              <w:rPr>
                <w:b/>
                <w:bCs/>
                <w:color w:val="auto"/>
              </w:rPr>
            </w:pPr>
          </w:p>
        </w:tc>
        <w:tc>
          <w:tcPr>
            <w:tcW w:w="508" w:type="pct"/>
            <w:vMerge w:val="continue"/>
          </w:tcPr>
          <w:p>
            <w:pPr>
              <w:jc w:val="center"/>
              <w:rPr>
                <w:color w:val="auto"/>
              </w:rPr>
            </w:pPr>
          </w:p>
        </w:tc>
        <w:tc>
          <w:tcPr>
            <w:tcW w:w="656" w:type="pct"/>
            <w:vMerge w:val="continue"/>
          </w:tcPr>
          <w:p>
            <w:pPr>
              <w:jc w:val="center"/>
              <w:rPr>
                <w:color w:val="auto"/>
              </w:rPr>
            </w:pPr>
          </w:p>
        </w:tc>
        <w:tc>
          <w:tcPr>
            <w:tcW w:w="1375" w:type="pct"/>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人均产钢量</w:t>
            </w:r>
          </w:p>
        </w:tc>
        <w:tc>
          <w:tcPr>
            <w:tcW w:w="0" w:type="auto"/>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定量</w:t>
            </w:r>
          </w:p>
        </w:tc>
        <w:tc>
          <w:tcPr>
            <w:tcW w:w="0" w:type="auto"/>
          </w:tcPr>
          <w:p>
            <w:pPr>
              <w:jc w:val="center"/>
              <w:rPr>
                <w:rFonts w:hint="default" w:eastAsia="宋体"/>
                <w:color w:val="auto"/>
                <w:lang w:val="en-US" w:eastAsia="zh-CN"/>
              </w:rPr>
            </w:pPr>
            <w:r>
              <w:rPr>
                <w:rFonts w:hint="eastAsia"/>
                <w:color w:val="auto"/>
                <w:lang w:val="en-US" w:eastAsia="zh-CN"/>
              </w:rPr>
              <w:t>人均产钢量（吨/年.人）=年粗钢总产量（吨）/生产性员工人数（人）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85</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restart"/>
            <w:vAlign w:val="center"/>
          </w:tcPr>
          <w:p>
            <w:pPr>
              <w:jc w:val="center"/>
              <w:rPr>
                <w:rFonts w:hint="default" w:eastAsia="宋体"/>
                <w:color w:val="auto"/>
                <w:lang w:val="en-US" w:eastAsia="zh-CN"/>
              </w:rPr>
            </w:pPr>
            <w:r>
              <w:rPr>
                <w:rFonts w:hint="eastAsia"/>
                <w:color w:val="auto"/>
                <w:lang w:val="en-US" w:eastAsia="zh-CN"/>
              </w:rPr>
              <w:t>创新发展</w:t>
            </w:r>
          </w:p>
        </w:tc>
        <w:tc>
          <w:tcPr>
            <w:tcW w:w="1375" w:type="pct"/>
            <w:vAlign w:val="center"/>
          </w:tcPr>
          <w:p>
            <w:pPr>
              <w:jc w:val="left"/>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研发与创新管理体系</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vAlign w:val="center"/>
          </w:tcPr>
          <w:p>
            <w:pPr>
              <w:jc w:val="center"/>
              <w:rPr>
                <w:rFonts w:hint="default" w:eastAsia="宋体"/>
                <w:color w:val="auto"/>
                <w:lang w:val="en-US" w:eastAsia="zh-CN"/>
              </w:rPr>
            </w:pPr>
            <w:r>
              <w:rPr>
                <w:rFonts w:hint="eastAsia"/>
                <w:color w:val="auto"/>
                <w:lang w:val="en-US" w:eastAsia="zh-CN"/>
              </w:rPr>
              <w:t>研发与创新管理体系、制度，以及高新技术企业或技术中心等认定情况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86</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continue"/>
            <w:vAlign w:val="center"/>
          </w:tcPr>
          <w:p>
            <w:pPr>
              <w:jc w:val="center"/>
              <w:rPr>
                <w:rFonts w:ascii="Times New Roman" w:hAnsi="Times New Roman" w:eastAsia="宋体" w:cs="Times New Roman"/>
                <w:color w:val="auto"/>
                <w:kern w:val="2"/>
                <w:sz w:val="21"/>
                <w:szCs w:val="21"/>
                <w:lang w:val="en-US" w:eastAsia="zh-CN" w:bidi="ar-SA"/>
              </w:rPr>
            </w:pPr>
          </w:p>
        </w:tc>
        <w:tc>
          <w:tcPr>
            <w:tcW w:w="1375" w:type="pct"/>
            <w:vAlign w:val="center"/>
          </w:tcPr>
          <w:p>
            <w:pPr>
              <w:jc w:val="left"/>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研发投入</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定量</w:t>
            </w:r>
          </w:p>
        </w:tc>
        <w:tc>
          <w:tcPr>
            <w:tcW w:w="0" w:type="auto"/>
            <w:vAlign w:val="center"/>
          </w:tcPr>
          <w:p>
            <w:pPr>
              <w:jc w:val="center"/>
              <w:rPr>
                <w:rFonts w:hint="default" w:eastAsia="宋体"/>
                <w:color w:val="auto"/>
                <w:lang w:val="en-US" w:eastAsia="zh-CN"/>
              </w:rPr>
            </w:pPr>
            <w:r>
              <w:rPr>
                <w:rFonts w:hint="eastAsia"/>
                <w:color w:val="auto"/>
                <w:lang w:val="en-US" w:eastAsia="zh-CN"/>
              </w:rPr>
              <w:t>包括研发人员和资金投入，以及占总生产人员和主营业务收入比例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87</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continue"/>
            <w:vAlign w:val="center"/>
          </w:tcPr>
          <w:p>
            <w:pPr>
              <w:jc w:val="center"/>
              <w:rPr>
                <w:color w:val="auto"/>
              </w:rPr>
            </w:pPr>
          </w:p>
        </w:tc>
        <w:tc>
          <w:tcPr>
            <w:tcW w:w="1375" w:type="pct"/>
            <w:vAlign w:val="center"/>
          </w:tcPr>
          <w:p>
            <w:pPr>
              <w:jc w:val="left"/>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创新成果</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定量</w:t>
            </w:r>
          </w:p>
        </w:tc>
        <w:tc>
          <w:tcPr>
            <w:tcW w:w="0" w:type="auto"/>
            <w:vAlign w:val="center"/>
          </w:tcPr>
          <w:p>
            <w:pPr>
              <w:jc w:val="center"/>
              <w:rPr>
                <w:rFonts w:hint="default" w:eastAsia="宋体"/>
                <w:color w:val="auto"/>
                <w:lang w:val="en-US" w:eastAsia="zh-CN"/>
              </w:rPr>
            </w:pPr>
            <w:r>
              <w:rPr>
                <w:rFonts w:hint="eastAsia"/>
                <w:color w:val="auto"/>
                <w:lang w:val="en-US" w:eastAsia="zh-CN"/>
              </w:rPr>
              <w:t>包括企业申请专利数及授权数、商标及软件著作权，新产品研发及技术开发科技成果等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88</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continue"/>
            <w:vAlign w:val="center"/>
          </w:tcPr>
          <w:p>
            <w:pPr>
              <w:jc w:val="center"/>
              <w:rPr>
                <w:color w:val="auto"/>
              </w:rPr>
            </w:pPr>
          </w:p>
        </w:tc>
        <w:tc>
          <w:tcPr>
            <w:tcW w:w="1375" w:type="pct"/>
            <w:vAlign w:val="center"/>
          </w:tcPr>
          <w:p>
            <w:pPr>
              <w:jc w:val="left"/>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管理创新</w:t>
            </w:r>
          </w:p>
        </w:tc>
        <w:tc>
          <w:tcPr>
            <w:tcW w:w="0" w:type="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vAlign w:val="center"/>
          </w:tcPr>
          <w:p>
            <w:pPr>
              <w:jc w:val="center"/>
              <w:rPr>
                <w:rFonts w:hint="default" w:eastAsia="宋体"/>
                <w:color w:val="auto"/>
                <w:lang w:val="en-US" w:eastAsia="zh-CN"/>
              </w:rPr>
            </w:pPr>
            <w:r>
              <w:rPr>
                <w:rFonts w:hint="eastAsia"/>
                <w:color w:val="auto"/>
                <w:lang w:val="en-US" w:eastAsia="zh-CN"/>
              </w:rPr>
              <w:t>企业通过引入新的管理方法、管理模式或管理系统等更有效实现组织目标的创新活动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89</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restart"/>
            <w:vAlign w:val="center"/>
          </w:tcPr>
          <w:p>
            <w:pPr>
              <w:jc w:val="center"/>
              <w:rPr>
                <w:rFonts w:hint="default" w:eastAsia="宋体"/>
                <w:color w:val="auto"/>
                <w:lang w:val="en-US" w:eastAsia="zh-CN"/>
              </w:rPr>
            </w:pPr>
            <w:r>
              <w:rPr>
                <w:rFonts w:hint="eastAsia"/>
                <w:color w:val="auto"/>
                <w:lang w:val="en-US" w:eastAsia="zh-CN"/>
              </w:rPr>
              <w:t>企业ESG管理</w:t>
            </w:r>
          </w:p>
        </w:tc>
        <w:tc>
          <w:tcPr>
            <w:tcW w:w="1375" w:type="pct"/>
            <w:vAlign w:val="center"/>
          </w:tcPr>
          <w:p>
            <w:pPr>
              <w:jc w:val="left"/>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ESG融入企业战略</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vAlign w:val="center"/>
          </w:tcPr>
          <w:p>
            <w:pPr>
              <w:jc w:val="center"/>
              <w:rPr>
                <w:rFonts w:hint="default" w:eastAsia="宋体"/>
                <w:color w:val="auto"/>
                <w:lang w:val="en-US" w:eastAsia="zh-CN"/>
              </w:rPr>
            </w:pPr>
            <w:r>
              <w:rPr>
                <w:rFonts w:hint="eastAsia"/>
                <w:color w:val="auto"/>
                <w:lang w:val="en-US" w:eastAsia="zh-CN"/>
              </w:rPr>
              <w:t>企业将ESG融入战略分析、制定和实施等过程的情况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90</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continue"/>
            <w:vAlign w:val="center"/>
          </w:tcPr>
          <w:p>
            <w:pPr>
              <w:jc w:val="center"/>
              <w:rPr>
                <w:color w:val="auto"/>
              </w:rPr>
            </w:pPr>
          </w:p>
        </w:tc>
        <w:tc>
          <w:tcPr>
            <w:tcW w:w="1375" w:type="pct"/>
            <w:vAlign w:val="center"/>
          </w:tcPr>
          <w:p>
            <w:pPr>
              <w:jc w:val="left"/>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ESG融入经营管理</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vAlign w:val="center"/>
          </w:tcPr>
          <w:p>
            <w:pPr>
              <w:jc w:val="center"/>
              <w:rPr>
                <w:rFonts w:hint="default" w:eastAsia="宋体"/>
                <w:color w:val="auto"/>
                <w:lang w:val="en-US" w:eastAsia="zh-CN"/>
              </w:rPr>
            </w:pPr>
            <w:r>
              <w:rPr>
                <w:rFonts w:hint="eastAsia"/>
                <w:color w:val="auto"/>
                <w:lang w:val="en-US" w:eastAsia="zh-CN"/>
              </w:rPr>
              <w:t>企业将ESG融入经营管理过程的方式方法及执行落实情况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91</w:t>
            </w:r>
          </w:p>
        </w:tc>
        <w:tc>
          <w:tcPr>
            <w:tcW w:w="347" w:type="pct"/>
            <w:vMerge w:val="continue"/>
            <w:vAlign w:val="center"/>
          </w:tcPr>
          <w:p>
            <w:pPr>
              <w:jc w:val="center"/>
              <w:rPr>
                <w:b/>
                <w:bCs/>
                <w:color w:val="auto"/>
              </w:rPr>
            </w:pPr>
          </w:p>
        </w:tc>
        <w:tc>
          <w:tcPr>
            <w:tcW w:w="508" w:type="pct"/>
            <w:vMerge w:val="continue"/>
            <w:vAlign w:val="center"/>
          </w:tcPr>
          <w:p>
            <w:pPr>
              <w:jc w:val="center"/>
              <w:rPr>
                <w:color w:val="auto"/>
              </w:rPr>
            </w:pPr>
          </w:p>
        </w:tc>
        <w:tc>
          <w:tcPr>
            <w:tcW w:w="656" w:type="pct"/>
            <w:vMerge w:val="continue"/>
            <w:vAlign w:val="center"/>
          </w:tcPr>
          <w:p>
            <w:pPr>
              <w:jc w:val="center"/>
              <w:rPr>
                <w:color w:val="auto"/>
              </w:rPr>
            </w:pPr>
          </w:p>
        </w:tc>
        <w:tc>
          <w:tcPr>
            <w:tcW w:w="1375" w:type="pct"/>
            <w:vAlign w:val="center"/>
          </w:tcPr>
          <w:p>
            <w:pPr>
              <w:jc w:val="left"/>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ESG融入投资决策</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定性</w:t>
            </w:r>
          </w:p>
        </w:tc>
        <w:tc>
          <w:tcPr>
            <w:tcW w:w="0" w:type="auto"/>
            <w:vAlign w:val="center"/>
          </w:tcPr>
          <w:p>
            <w:pPr>
              <w:jc w:val="center"/>
              <w:rPr>
                <w:rFonts w:hint="default" w:eastAsia="宋体"/>
                <w:color w:val="auto"/>
                <w:lang w:val="en-US" w:eastAsia="zh-CN"/>
              </w:rPr>
            </w:pPr>
            <w:r>
              <w:rPr>
                <w:rFonts w:hint="eastAsia"/>
                <w:color w:val="auto"/>
                <w:lang w:val="en-US" w:eastAsia="zh-CN"/>
              </w:rPr>
              <w:t>企业将ESG融入投资决策的情况</w:t>
            </w:r>
          </w:p>
        </w:tc>
      </w:tr>
    </w:tbl>
    <w:p>
      <w:pPr>
        <w:rPr>
          <w:color w:val="auto"/>
        </w:rPr>
      </w:pPr>
      <w:r>
        <w:rPr>
          <w:rFonts w:eastAsia="黑体"/>
          <w:color w:val="auto"/>
          <w:szCs w:val="21"/>
        </w:rPr>
        <w:br w:type="page"/>
      </w:r>
    </w:p>
    <w:p>
      <w:pPr>
        <w:spacing w:line="360" w:lineRule="auto"/>
        <w:ind w:firstLine="420" w:firstLineChars="200"/>
        <w:jc w:val="center"/>
        <w:outlineLvl w:val="0"/>
        <w:rPr>
          <w:color w:val="auto"/>
        </w:rPr>
        <w:sectPr>
          <w:footerReference r:id="rId7" w:type="default"/>
          <w:pgSz w:w="16838" w:h="11906" w:orient="landscape"/>
          <w:pgMar w:top="1418" w:right="567" w:bottom="1134" w:left="1134" w:header="1418" w:footer="1134" w:gutter="0"/>
          <w:cols w:space="720" w:num="1"/>
          <w:formProt w:val="0"/>
          <w:docGrid w:type="lines" w:linePitch="312" w:charSpace="0"/>
        </w:sectPr>
      </w:pPr>
    </w:p>
    <w:p>
      <w:pPr>
        <w:rPr>
          <w:rFonts w:hint="eastAsia" w:ascii="黑体" w:hAnsi="黑体" w:eastAsia="黑体"/>
          <w:b/>
          <w:color w:val="auto"/>
          <w:szCs w:val="21"/>
        </w:rPr>
      </w:pPr>
    </w:p>
    <w:p>
      <w:pPr>
        <w:widowControl/>
        <w:tabs>
          <w:tab w:val="center" w:pos="4201"/>
          <w:tab w:val="right" w:leader="dot" w:pos="9298"/>
        </w:tabs>
        <w:autoSpaceDE w:val="0"/>
        <w:autoSpaceDN w:val="0"/>
        <w:spacing w:before="312" w:beforeLines="100" w:after="312" w:afterLines="100"/>
        <w:jc w:val="center"/>
        <w:outlineLvl w:val="1"/>
        <w:rPr>
          <w:rFonts w:ascii="黑体" w:hAnsi="黑体" w:eastAsia="黑体"/>
          <w:b/>
          <w:color w:val="auto"/>
          <w:szCs w:val="21"/>
        </w:rPr>
      </w:pPr>
      <w:bookmarkStart w:id="61" w:name="_Toc6984"/>
      <w:r>
        <w:rPr>
          <w:rFonts w:hint="eastAsia" w:ascii="黑体" w:hAnsi="黑体" w:eastAsia="黑体"/>
          <w:b/>
          <w:color w:val="auto"/>
          <w:szCs w:val="21"/>
        </w:rPr>
        <w:t>参 考 文 献</w:t>
      </w:r>
      <w:bookmarkEnd w:id="61"/>
    </w:p>
    <w:p>
      <w:pPr>
        <w:widowControl/>
        <w:tabs>
          <w:tab w:val="center" w:pos="4201"/>
          <w:tab w:val="right" w:leader="dot" w:pos="9298"/>
        </w:tabs>
        <w:autoSpaceDE w:val="0"/>
        <w:autoSpaceDN w:val="0"/>
        <w:jc w:val="left"/>
        <w:rPr>
          <w:rFonts w:ascii="宋体" w:hAnsi="宋体"/>
          <w:bCs/>
          <w:color w:val="auto"/>
          <w:sz w:val="22"/>
          <w:szCs w:val="22"/>
        </w:rPr>
      </w:pPr>
      <w:r>
        <w:rPr>
          <w:rFonts w:hint="eastAsia" w:ascii="宋体" w:hAnsi="宋体"/>
          <w:bCs/>
          <w:color w:val="auto"/>
          <w:sz w:val="22"/>
          <w:szCs w:val="22"/>
        </w:rPr>
        <w:t>[</w:t>
      </w:r>
      <w:r>
        <w:rPr>
          <w:rFonts w:ascii="宋体" w:hAnsi="宋体"/>
          <w:bCs/>
          <w:color w:val="auto"/>
          <w:sz w:val="22"/>
          <w:szCs w:val="22"/>
        </w:rPr>
        <w:t>1</w:t>
      </w:r>
      <w:r>
        <w:rPr>
          <w:rFonts w:hint="eastAsia" w:ascii="宋体" w:hAnsi="宋体"/>
          <w:bCs/>
          <w:color w:val="auto"/>
          <w:sz w:val="22"/>
          <w:szCs w:val="22"/>
        </w:rPr>
        <w:t>]  中国社会科学院经济学部企业社会责任研究中心 中国企业社会责任报告编写指南CASS-CSR4.0</w:t>
      </w:r>
    </w:p>
    <w:p>
      <w:pPr>
        <w:widowControl/>
        <w:tabs>
          <w:tab w:val="center" w:pos="4201"/>
          <w:tab w:val="right" w:leader="dot" w:pos="9298"/>
        </w:tabs>
        <w:autoSpaceDE w:val="0"/>
        <w:autoSpaceDN w:val="0"/>
        <w:jc w:val="left"/>
        <w:rPr>
          <w:rFonts w:ascii="宋体" w:hAnsi="宋体"/>
          <w:bCs/>
          <w:color w:val="auto"/>
          <w:sz w:val="22"/>
          <w:szCs w:val="22"/>
        </w:rPr>
      </w:pPr>
      <w:r>
        <w:rPr>
          <w:rFonts w:hint="eastAsia" w:ascii="宋体" w:hAnsi="宋体"/>
          <w:bCs/>
          <w:color w:val="auto"/>
          <w:sz w:val="22"/>
          <w:szCs w:val="22"/>
        </w:rPr>
        <w:t>[2</w:t>
      </w:r>
      <w:r>
        <w:rPr>
          <w:rFonts w:ascii="宋体" w:hAnsi="宋体"/>
          <w:bCs/>
          <w:color w:val="auto"/>
          <w:sz w:val="22"/>
          <w:szCs w:val="22"/>
        </w:rPr>
        <w:t xml:space="preserve">]  </w:t>
      </w:r>
      <w:r>
        <w:rPr>
          <w:rFonts w:hint="eastAsia" w:ascii="宋体" w:hAnsi="宋体"/>
          <w:bCs/>
          <w:color w:val="auto"/>
          <w:sz w:val="22"/>
          <w:szCs w:val="22"/>
        </w:rPr>
        <w:t xml:space="preserve">中华人民共和国国家发展和改革委员会、中华人民共和国生态环境部、中华人民共和国工业和信息化部公告 </w:t>
      </w:r>
      <w:r>
        <w:rPr>
          <w:rFonts w:ascii="宋体" w:hAnsi="宋体"/>
          <w:bCs/>
          <w:color w:val="auto"/>
          <w:sz w:val="22"/>
          <w:szCs w:val="22"/>
        </w:rPr>
        <w:t>2018</w:t>
      </w:r>
      <w:r>
        <w:rPr>
          <w:rFonts w:hint="eastAsia" w:ascii="宋体" w:hAnsi="宋体"/>
          <w:bCs/>
          <w:color w:val="auto"/>
          <w:sz w:val="22"/>
          <w:szCs w:val="22"/>
        </w:rPr>
        <w:t>年 第</w:t>
      </w:r>
      <w:r>
        <w:rPr>
          <w:rFonts w:ascii="宋体" w:hAnsi="宋体"/>
          <w:bCs/>
          <w:color w:val="auto"/>
          <w:sz w:val="22"/>
          <w:szCs w:val="22"/>
        </w:rPr>
        <w:t>17</w:t>
      </w:r>
      <w:r>
        <w:rPr>
          <w:rFonts w:hint="eastAsia" w:ascii="宋体" w:hAnsi="宋体"/>
          <w:bCs/>
          <w:color w:val="auto"/>
          <w:sz w:val="22"/>
          <w:szCs w:val="22"/>
        </w:rPr>
        <w:t>号 钢铁行业清洁生产评价指标体系</w:t>
      </w:r>
    </w:p>
    <w:p>
      <w:pPr>
        <w:widowControl/>
        <w:tabs>
          <w:tab w:val="center" w:pos="4201"/>
          <w:tab w:val="right" w:leader="dot" w:pos="9298"/>
        </w:tabs>
        <w:autoSpaceDE w:val="0"/>
        <w:autoSpaceDN w:val="0"/>
        <w:jc w:val="left"/>
        <w:rPr>
          <w:rFonts w:hint="eastAsia" w:ascii="宋体" w:hAnsi="宋体"/>
          <w:bCs/>
          <w:color w:val="auto"/>
          <w:sz w:val="22"/>
          <w:szCs w:val="22"/>
        </w:rPr>
      </w:pPr>
      <w:r>
        <w:rPr>
          <w:rFonts w:hint="eastAsia" w:ascii="宋体" w:hAnsi="宋体"/>
          <w:bCs/>
          <w:color w:val="auto"/>
          <w:sz w:val="22"/>
          <w:szCs w:val="22"/>
        </w:rPr>
        <w:t>[3</w:t>
      </w:r>
      <w:r>
        <w:rPr>
          <w:rFonts w:ascii="宋体" w:hAnsi="宋体"/>
          <w:bCs/>
          <w:color w:val="auto"/>
          <w:sz w:val="22"/>
          <w:szCs w:val="22"/>
        </w:rPr>
        <w:t xml:space="preserve">]  </w:t>
      </w:r>
      <w:r>
        <w:rPr>
          <w:rFonts w:hint="eastAsia" w:ascii="宋体" w:hAnsi="宋体"/>
          <w:bCs/>
          <w:color w:val="auto"/>
          <w:sz w:val="22"/>
          <w:szCs w:val="22"/>
        </w:rPr>
        <w:t>中华人民共和国生态环境部等 关于推进实施钢铁行业超低排放的意见（环大气〔2</w:t>
      </w:r>
      <w:r>
        <w:rPr>
          <w:rFonts w:ascii="宋体" w:hAnsi="宋体"/>
          <w:bCs/>
          <w:color w:val="auto"/>
          <w:sz w:val="22"/>
          <w:szCs w:val="22"/>
        </w:rPr>
        <w:t>019</w:t>
      </w:r>
      <w:r>
        <w:rPr>
          <w:rFonts w:hint="eastAsia" w:ascii="宋体" w:hAnsi="宋体"/>
          <w:bCs/>
          <w:color w:val="auto"/>
          <w:sz w:val="22"/>
          <w:szCs w:val="22"/>
        </w:rPr>
        <w:t>〕3</w:t>
      </w:r>
      <w:r>
        <w:rPr>
          <w:rFonts w:ascii="宋体" w:hAnsi="宋体"/>
          <w:bCs/>
          <w:color w:val="auto"/>
          <w:sz w:val="22"/>
          <w:szCs w:val="22"/>
        </w:rPr>
        <w:t>5</w:t>
      </w:r>
      <w:r>
        <w:rPr>
          <w:rFonts w:hint="eastAsia" w:ascii="宋体" w:hAnsi="宋体"/>
          <w:bCs/>
          <w:color w:val="auto"/>
          <w:sz w:val="22"/>
          <w:szCs w:val="22"/>
        </w:rPr>
        <w:t>号）</w:t>
      </w:r>
    </w:p>
    <w:p>
      <w:pPr>
        <w:widowControl/>
        <w:tabs>
          <w:tab w:val="center" w:pos="4201"/>
          <w:tab w:val="right" w:leader="dot" w:pos="9298"/>
        </w:tabs>
        <w:autoSpaceDE w:val="0"/>
        <w:autoSpaceDN w:val="0"/>
        <w:jc w:val="left"/>
        <w:rPr>
          <w:rFonts w:hint="eastAsia" w:ascii="宋体" w:hAnsi="宋体" w:cs="宋体"/>
          <w:color w:val="auto"/>
        </w:rPr>
      </w:pPr>
      <w:r>
        <w:rPr>
          <w:rFonts w:hint="eastAsia" w:ascii="宋体" w:hAnsi="宋体"/>
          <w:bCs/>
          <w:color w:val="auto"/>
          <w:sz w:val="22"/>
          <w:szCs w:val="22"/>
        </w:rPr>
        <w:t>[4</w:t>
      </w:r>
      <w:r>
        <w:rPr>
          <w:rFonts w:ascii="宋体" w:hAnsi="宋体"/>
          <w:bCs/>
          <w:color w:val="auto"/>
          <w:sz w:val="22"/>
          <w:szCs w:val="22"/>
        </w:rPr>
        <w:t xml:space="preserve">] </w:t>
      </w:r>
      <w:r>
        <w:rPr>
          <w:rFonts w:hint="eastAsia" w:ascii="宋体" w:hAnsi="宋体" w:cs="宋体"/>
          <w:color w:val="auto"/>
        </w:rPr>
        <w:t>《GB/T 24031 环境管理环境绩效评价指南》</w:t>
      </w:r>
    </w:p>
    <w:p>
      <w:pPr>
        <w:widowControl/>
        <w:tabs>
          <w:tab w:val="center" w:pos="4201"/>
          <w:tab w:val="right" w:leader="dot" w:pos="9298"/>
        </w:tabs>
        <w:autoSpaceDE w:val="0"/>
        <w:autoSpaceDN w:val="0"/>
        <w:jc w:val="left"/>
        <w:rPr>
          <w:rFonts w:hint="eastAsia" w:ascii="宋体" w:hAnsi="宋体"/>
          <w:bCs/>
          <w:color w:val="auto"/>
          <w:sz w:val="22"/>
          <w:szCs w:val="22"/>
        </w:rPr>
      </w:pPr>
      <w:r>
        <w:rPr>
          <w:rFonts w:hint="eastAsia" w:ascii="宋体" w:hAnsi="宋体"/>
          <w:bCs/>
          <w:color w:val="auto"/>
          <w:sz w:val="22"/>
          <w:szCs w:val="22"/>
        </w:rPr>
        <w:t>[</w:t>
      </w:r>
      <w:r>
        <w:rPr>
          <w:rFonts w:hint="eastAsia" w:ascii="宋体" w:hAnsi="宋体"/>
          <w:bCs/>
          <w:color w:val="auto"/>
          <w:sz w:val="22"/>
          <w:szCs w:val="22"/>
          <w:lang w:val="en-US" w:eastAsia="zh-CN"/>
        </w:rPr>
        <w:t>5</w:t>
      </w:r>
      <w:r>
        <w:rPr>
          <w:rFonts w:ascii="宋体" w:hAnsi="宋体"/>
          <w:bCs/>
          <w:color w:val="auto"/>
          <w:sz w:val="22"/>
          <w:szCs w:val="22"/>
        </w:rPr>
        <w:t>]</w:t>
      </w:r>
      <w:r>
        <w:rPr>
          <w:rFonts w:hint="eastAsia" w:ascii="宋体" w:hAnsi="宋体"/>
          <w:bCs/>
          <w:color w:val="auto"/>
          <w:sz w:val="22"/>
          <w:szCs w:val="22"/>
          <w:lang w:val="en-US" w:eastAsia="zh-CN"/>
        </w:rPr>
        <w:t xml:space="preserve"> </w:t>
      </w:r>
      <w:r>
        <w:rPr>
          <w:rFonts w:hint="eastAsia" w:ascii="宋体" w:hAnsi="宋体" w:cs="宋体"/>
          <w:color w:val="auto"/>
        </w:rPr>
        <w:t>《GB/T 26317 公司治理风险管理指南》</w:t>
      </w:r>
    </w:p>
    <w:p>
      <w:pPr>
        <w:widowControl/>
        <w:tabs>
          <w:tab w:val="center" w:pos="4201"/>
          <w:tab w:val="right" w:leader="dot" w:pos="9298"/>
        </w:tabs>
        <w:autoSpaceDE w:val="0"/>
        <w:autoSpaceDN w:val="0"/>
        <w:jc w:val="left"/>
        <w:rPr>
          <w:rFonts w:hint="eastAsia" w:ascii="宋体" w:hAnsi="宋体" w:cs="宋体"/>
          <w:color w:val="auto"/>
        </w:rPr>
      </w:pPr>
      <w:r>
        <w:rPr>
          <w:rFonts w:hint="eastAsia" w:ascii="宋体" w:hAnsi="宋体" w:cs="宋体"/>
          <w:color w:val="auto"/>
          <w:lang w:val="en-US" w:eastAsia="zh-CN"/>
        </w:rPr>
        <w:t>[</w:t>
      </w:r>
      <w:r>
        <w:rPr>
          <w:rFonts w:hint="eastAsia" w:ascii="宋体" w:hAnsi="宋体"/>
          <w:bCs/>
          <w:color w:val="auto"/>
          <w:sz w:val="22"/>
          <w:szCs w:val="22"/>
          <w:lang w:val="en-US" w:eastAsia="zh-CN"/>
        </w:rPr>
        <w:t>6</w:t>
      </w:r>
      <w:r>
        <w:rPr>
          <w:rFonts w:hint="eastAsia" w:ascii="宋体" w:hAnsi="宋体" w:cs="宋体"/>
          <w:color w:val="auto"/>
          <w:lang w:val="en-US" w:eastAsia="zh-CN"/>
        </w:rPr>
        <w:t xml:space="preserve">] </w:t>
      </w:r>
      <w:r>
        <w:rPr>
          <w:rFonts w:hint="eastAsia" w:ascii="宋体" w:hAnsi="宋体" w:cs="宋体"/>
          <w:color w:val="auto"/>
        </w:rPr>
        <w:t>《GB/T 29604 社会责任管理体系要求及使用指南》</w:t>
      </w:r>
    </w:p>
    <w:p>
      <w:pPr>
        <w:widowControl/>
        <w:tabs>
          <w:tab w:val="center" w:pos="4201"/>
          <w:tab w:val="right" w:leader="dot" w:pos="9298"/>
        </w:tabs>
        <w:autoSpaceDE w:val="0"/>
        <w:autoSpaceDN w:val="0"/>
        <w:jc w:val="left"/>
        <w:rPr>
          <w:rFonts w:hint="eastAsia" w:ascii="宋体" w:hAnsi="宋体" w:cs="宋体"/>
          <w:color w:val="auto"/>
        </w:rPr>
      </w:pPr>
      <w:r>
        <w:rPr>
          <w:rFonts w:hint="eastAsia" w:ascii="宋体" w:hAnsi="宋体" w:cs="宋体"/>
          <w:color w:val="auto"/>
          <w:lang w:val="en-US" w:eastAsia="zh-CN"/>
        </w:rPr>
        <w:t>[</w:t>
      </w:r>
      <w:r>
        <w:rPr>
          <w:rFonts w:hint="eastAsia" w:ascii="宋体" w:hAnsi="宋体"/>
          <w:bCs/>
          <w:color w:val="auto"/>
          <w:sz w:val="22"/>
          <w:szCs w:val="22"/>
          <w:lang w:val="en-US" w:eastAsia="zh-CN"/>
        </w:rPr>
        <w:t>7</w:t>
      </w:r>
      <w:r>
        <w:rPr>
          <w:rFonts w:hint="eastAsia" w:ascii="宋体" w:hAnsi="宋体" w:cs="宋体"/>
          <w:color w:val="auto"/>
          <w:lang w:val="en-US" w:eastAsia="zh-CN"/>
        </w:rPr>
        <w:t xml:space="preserve">] </w:t>
      </w:r>
      <w:r>
        <w:rPr>
          <w:rFonts w:hint="eastAsia" w:ascii="宋体" w:hAnsi="宋体"/>
          <w:bCs/>
          <w:color w:val="auto"/>
          <w:sz w:val="22"/>
          <w:szCs w:val="22"/>
          <w:lang w:eastAsia="zh-CN"/>
        </w:rPr>
        <w:t>《</w:t>
      </w:r>
      <w:r>
        <w:rPr>
          <w:rFonts w:hint="eastAsia" w:ascii="宋体" w:hAnsi="宋体"/>
          <w:bCs/>
          <w:color w:val="auto"/>
          <w:sz w:val="22"/>
          <w:szCs w:val="22"/>
        </w:rPr>
        <w:t>Y</w:t>
      </w:r>
      <w:r>
        <w:rPr>
          <w:rFonts w:ascii="宋体" w:hAnsi="宋体"/>
          <w:bCs/>
          <w:color w:val="auto"/>
          <w:sz w:val="22"/>
          <w:szCs w:val="22"/>
        </w:rPr>
        <w:t xml:space="preserve">B/T 4771-2019 </w:t>
      </w:r>
      <w:r>
        <w:rPr>
          <w:rFonts w:hint="eastAsia" w:ascii="宋体" w:hAnsi="宋体"/>
          <w:bCs/>
          <w:color w:val="auto"/>
          <w:sz w:val="22"/>
          <w:szCs w:val="22"/>
        </w:rPr>
        <w:t>钢铁行业绿色工厂评价导则</w:t>
      </w:r>
      <w:r>
        <w:rPr>
          <w:rFonts w:hint="eastAsia" w:ascii="宋体" w:hAnsi="宋体"/>
          <w:bCs/>
          <w:color w:val="auto"/>
          <w:sz w:val="22"/>
          <w:szCs w:val="22"/>
          <w:lang w:eastAsia="zh-CN"/>
        </w:rPr>
        <w:t>》</w:t>
      </w:r>
      <w:r>
        <w:rPr>
          <w:rFonts w:hint="eastAsia" w:ascii="宋体" w:hAnsi="宋体" w:cs="宋体"/>
          <w:color w:val="auto"/>
          <w:lang w:val="en-US" w:eastAsia="zh-CN"/>
        </w:rPr>
        <w:t xml:space="preserve"> </w:t>
      </w:r>
    </w:p>
    <w:p>
      <w:pPr>
        <w:widowControl/>
        <w:tabs>
          <w:tab w:val="center" w:pos="4201"/>
          <w:tab w:val="right" w:leader="dot" w:pos="9298"/>
        </w:tabs>
        <w:autoSpaceDE w:val="0"/>
        <w:autoSpaceDN w:val="0"/>
        <w:jc w:val="left"/>
        <w:rPr>
          <w:rFonts w:hint="eastAsia" w:ascii="宋体" w:hAnsi="宋体" w:cs="宋体"/>
          <w:color w:val="auto"/>
        </w:rPr>
      </w:pPr>
      <w:r>
        <w:rPr>
          <w:rFonts w:hint="eastAsia" w:ascii="宋体" w:hAnsi="宋体" w:cs="宋体"/>
          <w:color w:val="auto"/>
          <w:lang w:val="en-US" w:eastAsia="zh-CN"/>
        </w:rPr>
        <w:t>[</w:t>
      </w:r>
      <w:r>
        <w:rPr>
          <w:rFonts w:hint="eastAsia" w:ascii="宋体" w:hAnsi="宋体"/>
          <w:bCs/>
          <w:color w:val="auto"/>
          <w:sz w:val="22"/>
          <w:szCs w:val="22"/>
          <w:lang w:val="en-US" w:eastAsia="zh-CN"/>
        </w:rPr>
        <w:t>8</w:t>
      </w:r>
      <w:r>
        <w:rPr>
          <w:rFonts w:hint="eastAsia" w:ascii="宋体" w:hAnsi="宋体" w:cs="宋体"/>
          <w:color w:val="auto"/>
          <w:lang w:val="en-US" w:eastAsia="zh-CN"/>
        </w:rPr>
        <w:t xml:space="preserve">] </w:t>
      </w:r>
      <w:r>
        <w:rPr>
          <w:rFonts w:hint="eastAsia" w:ascii="宋体" w:hAnsi="宋体" w:cs="宋体"/>
          <w:color w:val="auto"/>
        </w:rPr>
        <w:t>《T/CCIIA 0003-2020</w:t>
      </w:r>
      <w:r>
        <w:rPr>
          <w:rFonts w:hint="eastAsia" w:ascii="宋体" w:hAnsi="宋体" w:cs="宋体"/>
          <w:color w:val="auto"/>
          <w:lang w:val="en-US" w:eastAsia="zh-CN"/>
        </w:rPr>
        <w:t xml:space="preserve"> </w:t>
      </w:r>
      <w:r>
        <w:rPr>
          <w:rFonts w:hint="eastAsia" w:ascii="宋体" w:hAnsi="宋体" w:cs="宋体"/>
          <w:color w:val="auto"/>
        </w:rPr>
        <w:t>中国石油和化工行业上市公司ESG评价指南》</w:t>
      </w:r>
    </w:p>
    <w:p>
      <w:pPr>
        <w:widowControl/>
        <w:tabs>
          <w:tab w:val="center" w:pos="4201"/>
          <w:tab w:val="right" w:leader="dot" w:pos="9298"/>
        </w:tabs>
        <w:autoSpaceDE w:val="0"/>
        <w:autoSpaceDN w:val="0"/>
        <w:jc w:val="left"/>
        <w:rPr>
          <w:rFonts w:hint="eastAsia" w:ascii="宋体" w:hAnsi="宋体" w:cs="宋体"/>
          <w:color w:val="auto"/>
        </w:rPr>
      </w:pPr>
      <w:r>
        <w:rPr>
          <w:rFonts w:hint="eastAsia" w:ascii="宋体" w:hAnsi="宋体" w:cs="宋体"/>
          <w:color w:val="auto"/>
          <w:lang w:val="en-US" w:eastAsia="zh-CN"/>
        </w:rPr>
        <w:t>[</w:t>
      </w:r>
      <w:r>
        <w:rPr>
          <w:rFonts w:hint="eastAsia" w:ascii="宋体" w:hAnsi="宋体"/>
          <w:bCs/>
          <w:color w:val="auto"/>
          <w:sz w:val="22"/>
          <w:szCs w:val="22"/>
          <w:lang w:val="en-US" w:eastAsia="zh-CN"/>
        </w:rPr>
        <w:t>9</w:t>
      </w:r>
      <w:r>
        <w:rPr>
          <w:rFonts w:hint="eastAsia" w:ascii="宋体" w:hAnsi="宋体" w:cs="宋体"/>
          <w:color w:val="auto"/>
          <w:lang w:val="en-US" w:eastAsia="zh-CN"/>
        </w:rPr>
        <w:t xml:space="preserve">] </w:t>
      </w:r>
      <w:r>
        <w:rPr>
          <w:rFonts w:hint="eastAsia" w:ascii="宋体" w:hAnsi="宋体" w:cs="宋体"/>
          <w:color w:val="auto"/>
        </w:rPr>
        <w:t>《T/C</w:t>
      </w:r>
      <w:r>
        <w:rPr>
          <w:rFonts w:hint="eastAsia" w:ascii="宋体" w:hAnsi="宋体" w:cs="宋体"/>
          <w:color w:val="auto"/>
          <w:lang w:val="en-US" w:eastAsia="zh-CN"/>
        </w:rPr>
        <w:t>ERDS</w:t>
      </w:r>
      <w:r>
        <w:rPr>
          <w:rFonts w:hint="eastAsia" w:ascii="宋体" w:hAnsi="宋体" w:cs="宋体"/>
          <w:color w:val="auto"/>
        </w:rPr>
        <w:t xml:space="preserve"> </w:t>
      </w:r>
      <w:r>
        <w:rPr>
          <w:rFonts w:hint="eastAsia" w:ascii="宋体" w:hAnsi="宋体" w:cs="宋体"/>
          <w:color w:val="auto"/>
          <w:lang w:val="en-US" w:eastAsia="zh-CN"/>
        </w:rPr>
        <w:t>2</w:t>
      </w:r>
      <w:r>
        <w:rPr>
          <w:rFonts w:hint="eastAsia" w:ascii="宋体" w:hAnsi="宋体" w:cs="宋体"/>
          <w:color w:val="auto"/>
        </w:rPr>
        <w:t>-202</w:t>
      </w:r>
      <w:r>
        <w:rPr>
          <w:rFonts w:hint="eastAsia" w:ascii="宋体" w:hAnsi="宋体" w:cs="宋体"/>
          <w:color w:val="auto"/>
          <w:lang w:val="en-US" w:eastAsia="zh-CN"/>
        </w:rPr>
        <w:t>2 企业ESG披露指南</w:t>
      </w:r>
      <w:r>
        <w:rPr>
          <w:rFonts w:hint="eastAsia" w:ascii="宋体" w:hAnsi="宋体" w:cs="宋体"/>
          <w:color w:val="auto"/>
        </w:rPr>
        <w:t>》</w:t>
      </w:r>
    </w:p>
    <w:p>
      <w:pPr>
        <w:widowControl/>
        <w:tabs>
          <w:tab w:val="center" w:pos="4201"/>
          <w:tab w:val="right" w:leader="dot" w:pos="9298"/>
        </w:tabs>
        <w:autoSpaceDE w:val="0"/>
        <w:autoSpaceDN w:val="0"/>
        <w:jc w:val="left"/>
        <w:rPr>
          <w:rFonts w:hint="eastAsia" w:ascii="宋体" w:hAnsi="宋体" w:cs="宋体"/>
          <w:color w:val="auto"/>
        </w:rPr>
      </w:pPr>
    </w:p>
    <w:p>
      <w:pPr>
        <w:jc w:val="left"/>
        <w:rPr>
          <w:rFonts w:ascii="宋体" w:hAnsi="宋体"/>
          <w:b/>
          <w:bCs/>
          <w:color w:val="auto"/>
          <w:szCs w:val="21"/>
        </w:rPr>
      </w:pPr>
    </w:p>
    <w:p>
      <w:pPr>
        <w:pStyle w:val="26"/>
        <w:ind w:firstLine="0" w:firstLineChars="0"/>
        <w:rPr>
          <w:rFonts w:ascii="Times New Roman"/>
          <w:color w:val="auto"/>
        </w:rPr>
      </w:pPr>
    </w:p>
    <w:p>
      <w:pPr>
        <w:pStyle w:val="26"/>
        <w:ind w:firstLine="0" w:firstLineChars="0"/>
        <w:rPr>
          <w:rFonts w:ascii="Times New Roman"/>
          <w:color w:val="auto"/>
        </w:rPr>
      </w:pPr>
    </w:p>
    <w:p>
      <w:pPr>
        <w:ind w:firstLine="420" w:firstLineChars="200"/>
        <w:jc w:val="left"/>
        <w:rPr>
          <w:color w:val="auto"/>
        </w:rPr>
      </w:pPr>
    </w:p>
    <w:sectPr>
      <w:footerReference r:id="rId8" w:type="default"/>
      <w:pgSz w:w="11906" w:h="16838"/>
      <w:pgMar w:top="567" w:right="1134" w:bottom="1134" w:left="1417" w:header="1418" w:footer="1134"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II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cs="Times New Roman"/>
      </w:rPr>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7</w:t>
    </w:r>
    <w:r>
      <w:rPr>
        <w:rFonts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ascii="黑体" w:eastAsia="黑体" w:cs="黑体"/>
        <w:b/>
        <w:bCs/>
        <w:sz w:val="21"/>
        <w:szCs w:val="21"/>
      </w:rPr>
      <w:t>T/SSEA</w:t>
    </w:r>
    <w:r>
      <w:rPr>
        <w:rFonts w:ascii="黑体" w:cs="黑体"/>
        <w:b/>
        <w:bCs/>
        <w:sz w:val="21"/>
        <w:szCs w:val="21"/>
      </w:rPr>
      <w:t xml:space="preserve"> </w:t>
    </w:r>
    <w:r>
      <w:rPr>
        <w:rFonts w:hint="eastAsia" w:ascii="黑体" w:cs="黑体"/>
        <w:b/>
        <w:bCs/>
        <w:sz w:val="21"/>
        <w:szCs w:val="21"/>
        <w:lang w:val="en-US" w:eastAsia="zh-CN"/>
      </w:rPr>
      <w:t>XXX</w:t>
    </w:r>
    <w:r>
      <w:rPr>
        <w:rFonts w:ascii="黑体" w:eastAsia="黑体" w:cs="黑体"/>
        <w:b/>
        <w:bCs/>
        <w:sz w:val="21"/>
        <w:szCs w:val="21"/>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71"/>
      <w:suff w:val="nothing"/>
      <w:lvlText w:val="注%1："/>
      <w:lvlJc w:val="left"/>
      <w:pPr>
        <w:ind w:left="669" w:hanging="448"/>
      </w:pPr>
      <w:rPr>
        <w:rFonts w:hint="eastAsia" w:ascii="黑体" w:eastAsia="黑体" w:cs="Times New Roman"/>
        <w:b w:val="0"/>
        <w:bCs w:val="0"/>
        <w:i w:val="0"/>
        <w:iCs w:val="0"/>
        <w:sz w:val="18"/>
        <w:szCs w:val="18"/>
      </w:rPr>
    </w:lvl>
    <w:lvl w:ilvl="1" w:tentative="0">
      <w:start w:val="1"/>
      <w:numFmt w:val="lowerLetter"/>
      <w:lvlText w:val="%2)"/>
      <w:lvlJc w:val="left"/>
      <w:pPr>
        <w:tabs>
          <w:tab w:val="left" w:pos="-142"/>
        </w:tabs>
        <w:ind w:left="850" w:hanging="629"/>
      </w:pPr>
      <w:rPr>
        <w:rFonts w:hint="eastAsia" w:cs="Times New Roman"/>
      </w:rPr>
    </w:lvl>
    <w:lvl w:ilvl="2" w:tentative="0">
      <w:start w:val="1"/>
      <w:numFmt w:val="lowerRoman"/>
      <w:lvlText w:val="%3."/>
      <w:lvlJc w:val="right"/>
      <w:pPr>
        <w:tabs>
          <w:tab w:val="left" w:pos="-142"/>
        </w:tabs>
        <w:ind w:left="850" w:hanging="629"/>
      </w:pPr>
      <w:rPr>
        <w:rFonts w:hint="eastAsia" w:cs="Times New Roman"/>
      </w:rPr>
    </w:lvl>
    <w:lvl w:ilvl="3" w:tentative="0">
      <w:start w:val="1"/>
      <w:numFmt w:val="decimal"/>
      <w:lvlText w:val="%4."/>
      <w:lvlJc w:val="left"/>
      <w:pPr>
        <w:tabs>
          <w:tab w:val="left" w:pos="-142"/>
        </w:tabs>
        <w:ind w:left="850" w:hanging="629"/>
      </w:pPr>
      <w:rPr>
        <w:rFonts w:hint="eastAsia" w:cs="Times New Roman"/>
      </w:rPr>
    </w:lvl>
    <w:lvl w:ilvl="4" w:tentative="0">
      <w:start w:val="1"/>
      <w:numFmt w:val="lowerLetter"/>
      <w:lvlText w:val="%5)"/>
      <w:lvlJc w:val="left"/>
      <w:pPr>
        <w:tabs>
          <w:tab w:val="left" w:pos="-142"/>
        </w:tabs>
        <w:ind w:left="850" w:hanging="629"/>
      </w:pPr>
      <w:rPr>
        <w:rFonts w:hint="eastAsia" w:cs="Times New Roman"/>
      </w:rPr>
    </w:lvl>
    <w:lvl w:ilvl="5" w:tentative="0">
      <w:start w:val="1"/>
      <w:numFmt w:val="lowerRoman"/>
      <w:lvlText w:val="%6."/>
      <w:lvlJc w:val="right"/>
      <w:pPr>
        <w:tabs>
          <w:tab w:val="left" w:pos="-142"/>
        </w:tabs>
        <w:ind w:left="850" w:hanging="629"/>
      </w:pPr>
      <w:rPr>
        <w:rFonts w:hint="eastAsia" w:cs="Times New Roman"/>
      </w:rPr>
    </w:lvl>
    <w:lvl w:ilvl="6" w:tentative="0">
      <w:start w:val="1"/>
      <w:numFmt w:val="decimal"/>
      <w:lvlText w:val="%7."/>
      <w:lvlJc w:val="left"/>
      <w:pPr>
        <w:tabs>
          <w:tab w:val="left" w:pos="-142"/>
        </w:tabs>
        <w:ind w:left="850" w:hanging="629"/>
      </w:pPr>
      <w:rPr>
        <w:rFonts w:hint="eastAsia" w:cs="Times New Roman"/>
      </w:rPr>
    </w:lvl>
    <w:lvl w:ilvl="7" w:tentative="0">
      <w:start w:val="1"/>
      <w:numFmt w:val="lowerLetter"/>
      <w:lvlText w:val="%8)"/>
      <w:lvlJc w:val="left"/>
      <w:pPr>
        <w:tabs>
          <w:tab w:val="left" w:pos="-142"/>
        </w:tabs>
        <w:ind w:left="850" w:hanging="629"/>
      </w:pPr>
      <w:rPr>
        <w:rFonts w:hint="eastAsia" w:cs="Times New Roman"/>
      </w:rPr>
    </w:lvl>
    <w:lvl w:ilvl="8" w:tentative="0">
      <w:start w:val="1"/>
      <w:numFmt w:val="lowerRoman"/>
      <w:lvlText w:val="%9."/>
      <w:lvlJc w:val="right"/>
      <w:pPr>
        <w:tabs>
          <w:tab w:val="left" w:pos="-142"/>
        </w:tabs>
        <w:ind w:left="850" w:hanging="629"/>
      </w:pPr>
      <w:rPr>
        <w:rFonts w:hint="eastAsia" w:cs="Times New Roman"/>
      </w:rPr>
    </w:lvl>
  </w:abstractNum>
  <w:abstractNum w:abstractNumId="1">
    <w:nsid w:val="093C6778"/>
    <w:multiLevelType w:val="multilevel"/>
    <w:tmpl w:val="093C6778"/>
    <w:lvl w:ilvl="0" w:tentative="0">
      <w:start w:val="1"/>
      <w:numFmt w:val="decimal"/>
      <w:pStyle w:val="129"/>
      <w:suff w:val="nothing"/>
      <w:lvlText w:val="示例%1："/>
      <w:lvlJc w:val="left"/>
      <w:pPr>
        <w:ind w:firstLine="397"/>
      </w:pPr>
      <w:rPr>
        <w:rFonts w:hint="eastAsia" w:ascii="黑体" w:eastAsia="黑体" w:cs="Times New Roman"/>
        <w:sz w:val="18"/>
        <w:szCs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65"/>
      <w:suff w:val="nothing"/>
      <w:lvlText w:val="%1示例："/>
      <w:lvlJc w:val="left"/>
      <w:pPr>
        <w:ind w:firstLine="363"/>
      </w:pPr>
      <w:rPr>
        <w:rFonts w:hint="eastAsia" w:ascii="黑体" w:eastAsia="黑体" w:cs="Times New Roman"/>
        <w:b w:val="0"/>
        <w:bCs w:val="0"/>
        <w:i w:val="0"/>
        <w:iCs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132885FD"/>
    <w:multiLevelType w:val="multilevel"/>
    <w:tmpl w:val="132885FD"/>
    <w:lvl w:ilvl="0" w:tentative="0">
      <w:start w:val="1"/>
      <w:numFmt w:val="lowerLetter"/>
      <w:pStyle w:val="134"/>
      <w:suff w:val="nothing"/>
      <w:lvlText w:val="%1   "/>
      <w:lvlJc w:val="left"/>
      <w:pPr>
        <w:tabs>
          <w:tab w:val="left" w:pos="0"/>
        </w:tabs>
        <w:ind w:left="465" w:hanging="181"/>
      </w:pPr>
      <w:rPr>
        <w:rFonts w:hint="default" w:asci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78"/>
      <w:suff w:val="nothing"/>
      <w:lvlText w:val="注%1："/>
      <w:lvlJc w:val="left"/>
      <w:pPr>
        <w:ind w:left="1016" w:hanging="448"/>
      </w:pPr>
      <w:rPr>
        <w:rFonts w:hint="eastAsia" w:ascii="黑体" w:eastAsia="黑体" w:cs="Times New Roman"/>
        <w:b w:val="0"/>
        <w:bCs w:val="0"/>
        <w:i w:val="0"/>
        <w:iCs w:val="0"/>
        <w:sz w:val="18"/>
        <w:szCs w:val="18"/>
        <w:vertAlign w:val="baseline"/>
      </w:rPr>
    </w:lvl>
    <w:lvl w:ilvl="1" w:tentative="0">
      <w:start w:val="1"/>
      <w:numFmt w:val="lowerLetter"/>
      <w:lvlText w:val="%2)"/>
      <w:lvlJc w:val="left"/>
      <w:pPr>
        <w:tabs>
          <w:tab w:val="left" w:pos="385"/>
        </w:tabs>
        <w:ind w:left="1377" w:hanging="629"/>
      </w:pPr>
      <w:rPr>
        <w:rFonts w:hint="eastAsia" w:cs="Times New Roman"/>
        <w:vertAlign w:val="baseline"/>
      </w:rPr>
    </w:lvl>
    <w:lvl w:ilvl="2" w:tentative="0">
      <w:start w:val="1"/>
      <w:numFmt w:val="lowerRoman"/>
      <w:lvlText w:val="%3."/>
      <w:lvlJc w:val="right"/>
      <w:pPr>
        <w:tabs>
          <w:tab w:val="left" w:pos="385"/>
        </w:tabs>
        <w:ind w:left="1377" w:hanging="629"/>
      </w:pPr>
      <w:rPr>
        <w:rFonts w:hint="eastAsia" w:cs="Times New Roman"/>
        <w:vertAlign w:val="baseline"/>
      </w:rPr>
    </w:lvl>
    <w:lvl w:ilvl="3" w:tentative="0">
      <w:start w:val="1"/>
      <w:numFmt w:val="decimal"/>
      <w:lvlText w:val="%4."/>
      <w:lvlJc w:val="left"/>
      <w:pPr>
        <w:tabs>
          <w:tab w:val="left" w:pos="385"/>
        </w:tabs>
        <w:ind w:left="1377" w:hanging="629"/>
      </w:pPr>
      <w:rPr>
        <w:rFonts w:hint="eastAsia" w:cs="Times New Roman"/>
        <w:vertAlign w:val="baseline"/>
      </w:rPr>
    </w:lvl>
    <w:lvl w:ilvl="4" w:tentative="0">
      <w:start w:val="1"/>
      <w:numFmt w:val="lowerLetter"/>
      <w:lvlText w:val="%5)"/>
      <w:lvlJc w:val="left"/>
      <w:pPr>
        <w:tabs>
          <w:tab w:val="left" w:pos="385"/>
        </w:tabs>
        <w:ind w:left="1377" w:hanging="629"/>
      </w:pPr>
      <w:rPr>
        <w:rFonts w:hint="eastAsia" w:cs="Times New Roman"/>
        <w:vertAlign w:val="baseline"/>
      </w:rPr>
    </w:lvl>
    <w:lvl w:ilvl="5" w:tentative="0">
      <w:start w:val="1"/>
      <w:numFmt w:val="lowerRoman"/>
      <w:lvlText w:val="%6."/>
      <w:lvlJc w:val="right"/>
      <w:pPr>
        <w:tabs>
          <w:tab w:val="left" w:pos="385"/>
        </w:tabs>
        <w:ind w:left="1377" w:hanging="629"/>
      </w:pPr>
      <w:rPr>
        <w:rFonts w:hint="eastAsia" w:cs="Times New Roman"/>
        <w:vertAlign w:val="baseline"/>
      </w:rPr>
    </w:lvl>
    <w:lvl w:ilvl="6" w:tentative="0">
      <w:start w:val="1"/>
      <w:numFmt w:val="decimal"/>
      <w:lvlText w:val="%7."/>
      <w:lvlJc w:val="left"/>
      <w:pPr>
        <w:tabs>
          <w:tab w:val="left" w:pos="385"/>
        </w:tabs>
        <w:ind w:left="1377" w:hanging="629"/>
      </w:pPr>
      <w:rPr>
        <w:rFonts w:hint="eastAsia" w:cs="Times New Roman"/>
        <w:vertAlign w:val="baseline"/>
      </w:rPr>
    </w:lvl>
    <w:lvl w:ilvl="7" w:tentative="0">
      <w:start w:val="1"/>
      <w:numFmt w:val="lowerLetter"/>
      <w:lvlText w:val="%8)"/>
      <w:lvlJc w:val="left"/>
      <w:pPr>
        <w:tabs>
          <w:tab w:val="left" w:pos="385"/>
        </w:tabs>
        <w:ind w:left="1377" w:hanging="629"/>
      </w:pPr>
      <w:rPr>
        <w:rFonts w:hint="eastAsia" w:cs="Times New Roman"/>
        <w:vertAlign w:val="baseline"/>
      </w:rPr>
    </w:lvl>
    <w:lvl w:ilvl="8" w:tentative="0">
      <w:start w:val="1"/>
      <w:numFmt w:val="lowerRoman"/>
      <w:lvlText w:val="%9."/>
      <w:lvlJc w:val="right"/>
      <w:pPr>
        <w:tabs>
          <w:tab w:val="left" w:pos="385"/>
        </w:tabs>
        <w:ind w:left="1377" w:hanging="629"/>
      </w:pPr>
      <w:rPr>
        <w:rFonts w:hint="eastAsia" w:cs="Times New Roman"/>
        <w:vertAlign w:val="baseline"/>
      </w:rPr>
    </w:lvl>
  </w:abstractNum>
  <w:abstractNum w:abstractNumId="5">
    <w:nsid w:val="1FC91163"/>
    <w:multiLevelType w:val="multilevel"/>
    <w:tmpl w:val="1FC91163"/>
    <w:lvl w:ilvl="0" w:tentative="0">
      <w:start w:val="1"/>
      <w:numFmt w:val="decimal"/>
      <w:pStyle w:val="58"/>
      <w:suff w:val="nothing"/>
      <w:lvlText w:val="%1　"/>
      <w:lvlJc w:val="left"/>
      <w:pPr>
        <w:ind w:left="142" w:firstLine="0"/>
      </w:pPr>
      <w:rPr>
        <w:rFonts w:hint="eastAsia" w:ascii="黑体" w:hAnsi="Times New Roman" w:eastAsia="黑体" w:cs="Times New Roman"/>
        <w:b w:val="0"/>
        <w:bCs w:val="0"/>
        <w:i w:val="0"/>
        <w:iCs w:val="0"/>
        <w:sz w:val="21"/>
        <w:szCs w:val="21"/>
      </w:rPr>
    </w:lvl>
    <w:lvl w:ilvl="1" w:tentative="0">
      <w:start w:val="1"/>
      <w:numFmt w:val="decimal"/>
      <w:pStyle w:val="55"/>
      <w:suff w:val="nothing"/>
      <w:lvlText w:val="%1.%2　"/>
      <w:lvlJc w:val="left"/>
      <w:pPr>
        <w:ind w:left="0" w:firstLine="0"/>
      </w:pPr>
      <w:rPr>
        <w:rFonts w:hint="eastAsia"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9"/>
      <w:suff w:val="nothing"/>
      <w:lvlText w:val="%1.%2.%3　"/>
      <w:lvlJc w:val="left"/>
      <w:pPr>
        <w:ind w:left="0" w:firstLine="0"/>
      </w:pPr>
      <w:rPr>
        <w:rFonts w:hint="eastAsia" w:ascii="黑体" w:hAnsi="Times New Roman" w:eastAsia="黑体" w:cs="Times New Roman"/>
        <w:b w:val="0"/>
        <w:bCs w:val="0"/>
        <w:i w:val="0"/>
        <w:iCs w:val="0"/>
        <w:sz w:val="21"/>
        <w:szCs w:val="21"/>
      </w:rPr>
    </w:lvl>
    <w:lvl w:ilvl="3" w:tentative="0">
      <w:start w:val="1"/>
      <w:numFmt w:val="decimal"/>
      <w:pStyle w:val="64"/>
      <w:suff w:val="nothing"/>
      <w:lvlText w:val="%1.%2.%3.%4　"/>
      <w:lvlJc w:val="left"/>
      <w:pPr>
        <w:ind w:left="0" w:firstLine="0"/>
      </w:pPr>
      <w:rPr>
        <w:rFonts w:hint="eastAsia" w:ascii="黑体" w:hAnsi="Times New Roman" w:eastAsia="黑体" w:cs="Times New Roman"/>
        <w:b w:val="0"/>
        <w:bCs w:val="0"/>
        <w:i w:val="0"/>
        <w:iCs w:val="0"/>
        <w:sz w:val="21"/>
        <w:szCs w:val="21"/>
      </w:rPr>
    </w:lvl>
    <w:lvl w:ilvl="4" w:tentative="0">
      <w:start w:val="1"/>
      <w:numFmt w:val="decimal"/>
      <w:pStyle w:val="68"/>
      <w:suff w:val="nothing"/>
      <w:lvlText w:val="%1.%2.%3.%4.%5　"/>
      <w:lvlJc w:val="left"/>
      <w:pPr>
        <w:ind w:left="0" w:firstLine="0"/>
      </w:pPr>
      <w:rPr>
        <w:rFonts w:hint="eastAsia" w:ascii="黑体" w:hAnsi="Times New Roman" w:eastAsia="黑体" w:cs="Times New Roman"/>
        <w:b w:val="0"/>
        <w:bCs w:val="0"/>
        <w:i w:val="0"/>
        <w:iCs w:val="0"/>
        <w:sz w:val="21"/>
        <w:szCs w:val="21"/>
      </w:rPr>
    </w:lvl>
    <w:lvl w:ilvl="5" w:tentative="0">
      <w:start w:val="1"/>
      <w:numFmt w:val="decimal"/>
      <w:pStyle w:val="69"/>
      <w:suff w:val="nothing"/>
      <w:lvlText w:val="%1.%2.%3.%4.%5.%6　"/>
      <w:lvlJc w:val="left"/>
      <w:pPr>
        <w:ind w:left="0" w:firstLine="0"/>
      </w:pPr>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111"/>
      <w:suff w:val="space"/>
      <w:lvlText w:val="%1"/>
      <w:lvlJc w:val="left"/>
      <w:pPr>
        <w:ind w:left="623" w:hanging="425"/>
      </w:pPr>
      <w:rPr>
        <w:rFonts w:hint="eastAsia" w:cs="Times New Roman"/>
      </w:rPr>
    </w:lvl>
    <w:lvl w:ilvl="1" w:tentative="0">
      <w:start w:val="1"/>
      <w:numFmt w:val="decimal"/>
      <w:pStyle w:val="112"/>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61"/>
      <w:suff w:val="nothing"/>
      <w:lvlText w:val="%1——"/>
      <w:lvlJc w:val="left"/>
      <w:pPr>
        <w:ind w:left="833" w:hanging="408"/>
      </w:pPr>
      <w:rPr>
        <w:rFonts w:hint="eastAsia" w:cs="Times New Roman"/>
      </w:rPr>
    </w:lvl>
    <w:lvl w:ilvl="1" w:tentative="0">
      <w:start w:val="1"/>
      <w:numFmt w:val="bullet"/>
      <w:pStyle w:val="62"/>
      <w:lvlText w:val=""/>
      <w:lvlJc w:val="left"/>
      <w:pPr>
        <w:tabs>
          <w:tab w:val="left" w:pos="760"/>
        </w:tabs>
        <w:ind w:left="1264" w:hanging="413"/>
      </w:pPr>
      <w:rPr>
        <w:rFonts w:hint="default" w:ascii="Symbol" w:hAnsi="Symbol"/>
        <w:color w:val="auto"/>
      </w:rPr>
    </w:lvl>
    <w:lvl w:ilvl="2" w:tentative="0">
      <w:start w:val="1"/>
      <w:numFmt w:val="bullet"/>
      <w:pStyle w:val="7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8BE18DA"/>
    <w:multiLevelType w:val="multilevel"/>
    <w:tmpl w:val="38BE18DA"/>
    <w:lvl w:ilvl="0" w:tentative="0">
      <w:start w:val="1"/>
      <w:numFmt w:val="lowerLetter"/>
      <w:pStyle w:val="7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7"/>
      <w:lvlText w:val="%2)"/>
      <w:lvlJc w:val="left"/>
      <w:pPr>
        <w:tabs>
          <w:tab w:val="left" w:pos="1260"/>
        </w:tabs>
        <w:ind w:left="1259" w:hanging="419"/>
      </w:pPr>
      <w:rPr>
        <w:rFonts w:hint="eastAsia"/>
      </w:rPr>
    </w:lvl>
    <w:lvl w:ilvl="2" w:tentative="0">
      <w:start w:val="1"/>
      <w:numFmt w:val="decimal"/>
      <w:pStyle w:val="7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0">
    <w:nsid w:val="4B733A5F"/>
    <w:multiLevelType w:val="multilevel"/>
    <w:tmpl w:val="4B733A5F"/>
    <w:lvl w:ilvl="0" w:tentative="0">
      <w:start w:val="1"/>
      <w:numFmt w:val="decimal"/>
      <w:pStyle w:val="75"/>
      <w:suff w:val="nothing"/>
      <w:lvlText w:val="示例%1："/>
      <w:lvlJc w:val="left"/>
      <w:pPr>
        <w:ind w:firstLine="363"/>
      </w:pPr>
      <w:rPr>
        <w:rFonts w:hint="eastAsia" w:ascii="黑体" w:hAnsi="Times New Roman" w:eastAsia="黑体" w:cs="Times New Roman"/>
        <w:b w:val="0"/>
        <w:bCs w:val="0"/>
        <w:i w:val="0"/>
        <w:iCs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41"/>
      <w:suff w:val="nothing"/>
      <w:lvlText w:val="图%1　"/>
      <w:lvlJc w:val="left"/>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99"/>
      <w:lvlText w:val="%1"/>
      <w:lvlJc w:val="left"/>
      <w:pPr>
        <w:tabs>
          <w:tab w:val="left" w:pos="0"/>
        </w:tabs>
        <w:ind w:hanging="425"/>
      </w:pPr>
      <w:rPr>
        <w:rFonts w:hint="eastAsia" w:cs="Times New Roman"/>
      </w:rPr>
    </w:lvl>
    <w:lvl w:ilvl="1" w:tentative="0">
      <w:start w:val="1"/>
      <w:numFmt w:val="decimal"/>
      <w:pStyle w:val="100"/>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39"/>
      <w:suff w:val="nothing"/>
      <w:lvlText w:val="表%1　"/>
      <w:lvlJc w:val="left"/>
      <w:pPr>
        <w:ind w:left="3402"/>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4254"/>
        </w:tabs>
        <w:ind w:left="-4254" w:hanging="567"/>
      </w:pPr>
      <w:rPr>
        <w:rFonts w:hint="eastAsia" w:cs="Times New Roman"/>
      </w:rPr>
    </w:lvl>
    <w:lvl w:ilvl="2" w:tentative="0">
      <w:start w:val="1"/>
      <w:numFmt w:val="decimal"/>
      <w:lvlText w:val="%1.%2.%3"/>
      <w:lvlJc w:val="left"/>
      <w:pPr>
        <w:tabs>
          <w:tab w:val="left" w:pos="-3828"/>
        </w:tabs>
        <w:ind w:left="-3828" w:hanging="567"/>
      </w:pPr>
      <w:rPr>
        <w:rFonts w:hint="eastAsia" w:cs="Times New Roman"/>
      </w:rPr>
    </w:lvl>
    <w:lvl w:ilvl="3" w:tentative="0">
      <w:start w:val="1"/>
      <w:numFmt w:val="decimal"/>
      <w:lvlText w:val="%1.%2.%3.%4"/>
      <w:lvlJc w:val="left"/>
      <w:pPr>
        <w:tabs>
          <w:tab w:val="left" w:pos="-3262"/>
        </w:tabs>
        <w:ind w:left="-3262" w:hanging="708"/>
      </w:pPr>
      <w:rPr>
        <w:rFonts w:hint="eastAsia" w:cs="Times New Roman"/>
      </w:rPr>
    </w:lvl>
    <w:lvl w:ilvl="4" w:tentative="0">
      <w:start w:val="1"/>
      <w:numFmt w:val="decimal"/>
      <w:lvlText w:val="%1.%2.%3.%4.%5"/>
      <w:lvlJc w:val="left"/>
      <w:pPr>
        <w:tabs>
          <w:tab w:val="left" w:pos="-2695"/>
        </w:tabs>
        <w:ind w:left="-2695" w:hanging="850"/>
      </w:pPr>
      <w:rPr>
        <w:rFonts w:hint="eastAsia" w:cs="Times New Roman"/>
      </w:rPr>
    </w:lvl>
    <w:lvl w:ilvl="5" w:tentative="0">
      <w:start w:val="1"/>
      <w:numFmt w:val="decimal"/>
      <w:lvlText w:val="%1.%2.%3.%4.%5.%6"/>
      <w:lvlJc w:val="left"/>
      <w:pPr>
        <w:tabs>
          <w:tab w:val="left" w:pos="-1986"/>
        </w:tabs>
        <w:ind w:left="-1986" w:hanging="1134"/>
      </w:pPr>
      <w:rPr>
        <w:rFonts w:hint="eastAsia" w:cs="Times New Roman"/>
      </w:rPr>
    </w:lvl>
    <w:lvl w:ilvl="6" w:tentative="0">
      <w:start w:val="1"/>
      <w:numFmt w:val="decimal"/>
      <w:lvlText w:val="%1.%2.%3.%4.%5.%6.%7"/>
      <w:lvlJc w:val="left"/>
      <w:pPr>
        <w:tabs>
          <w:tab w:val="left" w:pos="-1419"/>
        </w:tabs>
        <w:ind w:left="-1419" w:hanging="1276"/>
      </w:pPr>
      <w:rPr>
        <w:rFonts w:hint="eastAsia" w:cs="Times New Roman"/>
      </w:rPr>
    </w:lvl>
    <w:lvl w:ilvl="7" w:tentative="0">
      <w:start w:val="1"/>
      <w:numFmt w:val="decimal"/>
      <w:lvlText w:val="%1.%2.%3.%4.%5.%6.%7.%8"/>
      <w:lvlJc w:val="left"/>
      <w:pPr>
        <w:tabs>
          <w:tab w:val="left" w:pos="-852"/>
        </w:tabs>
        <w:ind w:left="-852" w:hanging="1418"/>
      </w:pPr>
      <w:rPr>
        <w:rFonts w:hint="eastAsia" w:cs="Times New Roman"/>
      </w:rPr>
    </w:lvl>
    <w:lvl w:ilvl="8" w:tentative="0">
      <w:start w:val="1"/>
      <w:numFmt w:val="decimal"/>
      <w:lvlText w:val="%1.%2.%3.%4.%5.%6.%7.%8.%9"/>
      <w:lvlJc w:val="left"/>
      <w:pPr>
        <w:tabs>
          <w:tab w:val="left" w:pos="-144"/>
        </w:tabs>
        <w:ind w:left="-144" w:hanging="1700"/>
      </w:pPr>
      <w:rPr>
        <w:rFonts w:hint="eastAsia" w:cs="Times New Roman"/>
      </w:rPr>
    </w:lvl>
  </w:abstractNum>
  <w:abstractNum w:abstractNumId="14">
    <w:nsid w:val="657D3FBC"/>
    <w:multiLevelType w:val="multilevel"/>
    <w:tmpl w:val="657D3FBC"/>
    <w:lvl w:ilvl="0" w:tentative="0">
      <w:start w:val="1"/>
      <w:numFmt w:val="upperLetter"/>
      <w:pStyle w:val="97"/>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115"/>
      <w:suff w:val="nothing"/>
      <w:lvlText w:val="%1.%2　"/>
      <w:lvlJc w:val="left"/>
      <w:rPr>
        <w:rFonts w:hint="eastAsia" w:ascii="黑体" w:hAnsi="Times New Roman" w:eastAsia="黑体" w:cs="Times New Roman"/>
        <w:b w:val="0"/>
        <w:bCs w:val="0"/>
        <w:i w:val="0"/>
        <w:iCs w:val="0"/>
        <w:snapToGrid/>
        <w:spacing w:val="0"/>
        <w:w w:val="100"/>
        <w:kern w:val="21"/>
        <w:sz w:val="21"/>
        <w:szCs w:val="21"/>
      </w:rPr>
    </w:lvl>
    <w:lvl w:ilvl="2" w:tentative="0">
      <w:start w:val="1"/>
      <w:numFmt w:val="decimal"/>
      <w:pStyle w:val="116"/>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101"/>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106"/>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109"/>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113"/>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18"/>
      <w:lvlText w:val="%1)"/>
      <w:lvlJc w:val="left"/>
      <w:pPr>
        <w:tabs>
          <w:tab w:val="left" w:pos="839"/>
        </w:tabs>
        <w:ind w:left="839" w:hanging="419"/>
      </w:pPr>
      <w:rPr>
        <w:rFonts w:hint="eastAsia" w:ascii="宋体" w:eastAsia="宋体" w:cs="Times New Roman"/>
        <w:b w:val="0"/>
        <w:bCs w:val="0"/>
        <w:i w:val="0"/>
        <w:iCs w:val="0"/>
        <w:sz w:val="21"/>
        <w:szCs w:val="21"/>
      </w:rPr>
    </w:lvl>
    <w:lvl w:ilvl="1" w:tentative="0">
      <w:start w:val="1"/>
      <w:numFmt w:val="decimal"/>
      <w:pStyle w:val="108"/>
      <w:lvlText w:val="%2)"/>
      <w:lvlJc w:val="left"/>
      <w:pPr>
        <w:tabs>
          <w:tab w:val="left" w:pos="840"/>
        </w:tabs>
        <w:ind w:left="839" w:hanging="419"/>
      </w:pPr>
      <w:rPr>
        <w:rFonts w:hint="eastAsia" w:ascii="宋体" w:eastAsia="宋体" w:cs="Times New Roman"/>
        <w:b w:val="0"/>
        <w:bCs w:val="0"/>
        <w:i w:val="0"/>
        <w:iCs w:val="0"/>
        <w:sz w:val="21"/>
        <w:szCs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6">
    <w:nsid w:val="6DBF04F4"/>
    <w:multiLevelType w:val="multilevel"/>
    <w:tmpl w:val="6DBF04F4"/>
    <w:lvl w:ilvl="0" w:tentative="0">
      <w:start w:val="1"/>
      <w:numFmt w:val="none"/>
      <w:pStyle w:val="70"/>
      <w:suff w:val="nothing"/>
      <w:lvlText w:val="%1注："/>
      <w:lvlJc w:val="left"/>
      <w:pPr>
        <w:ind w:left="726" w:hanging="363"/>
      </w:pPr>
      <w:rPr>
        <w:rFonts w:hint="eastAsia" w:ascii="黑体" w:hAnsi="Times New Roman" w:eastAsia="黑体" w:cs="Times New Roman"/>
        <w:b w:val="0"/>
        <w:bCs w:val="0"/>
        <w:i w:val="0"/>
        <w:iCs w:val="0"/>
        <w:sz w:val="18"/>
        <w:szCs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ZWQyMmZjNGRjNGRjNjlmMjk0MDFkZjM0NjM4YjcyMmIifQ=="/>
  </w:docVars>
  <w:rsids>
    <w:rsidRoot w:val="00035925"/>
    <w:rsid w:val="000001B7"/>
    <w:rsid w:val="00000244"/>
    <w:rsid w:val="00000517"/>
    <w:rsid w:val="0000052B"/>
    <w:rsid w:val="0000185F"/>
    <w:rsid w:val="0000586F"/>
    <w:rsid w:val="00005C90"/>
    <w:rsid w:val="00010E46"/>
    <w:rsid w:val="0001252B"/>
    <w:rsid w:val="00013D71"/>
    <w:rsid w:val="00013D86"/>
    <w:rsid w:val="00013E02"/>
    <w:rsid w:val="00014745"/>
    <w:rsid w:val="00016EC0"/>
    <w:rsid w:val="0002143C"/>
    <w:rsid w:val="00022AED"/>
    <w:rsid w:val="00022B82"/>
    <w:rsid w:val="0002322A"/>
    <w:rsid w:val="0002387F"/>
    <w:rsid w:val="00025A65"/>
    <w:rsid w:val="00026C31"/>
    <w:rsid w:val="00027280"/>
    <w:rsid w:val="00027FFA"/>
    <w:rsid w:val="000306E3"/>
    <w:rsid w:val="00030C4E"/>
    <w:rsid w:val="000320A7"/>
    <w:rsid w:val="0003258B"/>
    <w:rsid w:val="00032D2F"/>
    <w:rsid w:val="00033045"/>
    <w:rsid w:val="0003464B"/>
    <w:rsid w:val="0003558C"/>
    <w:rsid w:val="00035925"/>
    <w:rsid w:val="0003593E"/>
    <w:rsid w:val="00035A34"/>
    <w:rsid w:val="00036346"/>
    <w:rsid w:val="00036844"/>
    <w:rsid w:val="00037EAC"/>
    <w:rsid w:val="00042701"/>
    <w:rsid w:val="00044F00"/>
    <w:rsid w:val="00045C2F"/>
    <w:rsid w:val="000461E2"/>
    <w:rsid w:val="000462D4"/>
    <w:rsid w:val="0004718E"/>
    <w:rsid w:val="00050839"/>
    <w:rsid w:val="000514BC"/>
    <w:rsid w:val="000527CE"/>
    <w:rsid w:val="0005342B"/>
    <w:rsid w:val="0005393A"/>
    <w:rsid w:val="00053B32"/>
    <w:rsid w:val="000567F2"/>
    <w:rsid w:val="00056BFD"/>
    <w:rsid w:val="00057D65"/>
    <w:rsid w:val="000606A4"/>
    <w:rsid w:val="000610FA"/>
    <w:rsid w:val="0006119A"/>
    <w:rsid w:val="000619F5"/>
    <w:rsid w:val="00063231"/>
    <w:rsid w:val="000643CF"/>
    <w:rsid w:val="00064DE1"/>
    <w:rsid w:val="00064FEC"/>
    <w:rsid w:val="00067091"/>
    <w:rsid w:val="00067208"/>
    <w:rsid w:val="000672BF"/>
    <w:rsid w:val="000675FC"/>
    <w:rsid w:val="0006789D"/>
    <w:rsid w:val="00067CDF"/>
    <w:rsid w:val="00067F0D"/>
    <w:rsid w:val="00071361"/>
    <w:rsid w:val="00071AEB"/>
    <w:rsid w:val="000721DD"/>
    <w:rsid w:val="00072A6D"/>
    <w:rsid w:val="00074FBE"/>
    <w:rsid w:val="00083A09"/>
    <w:rsid w:val="00084BA9"/>
    <w:rsid w:val="000857AA"/>
    <w:rsid w:val="0009005E"/>
    <w:rsid w:val="00090DCE"/>
    <w:rsid w:val="00090FAE"/>
    <w:rsid w:val="000912F8"/>
    <w:rsid w:val="00091491"/>
    <w:rsid w:val="000915B3"/>
    <w:rsid w:val="00092857"/>
    <w:rsid w:val="00092D45"/>
    <w:rsid w:val="00092FEF"/>
    <w:rsid w:val="00094BAA"/>
    <w:rsid w:val="0009704C"/>
    <w:rsid w:val="000979A6"/>
    <w:rsid w:val="000A0040"/>
    <w:rsid w:val="000A062E"/>
    <w:rsid w:val="000A20A9"/>
    <w:rsid w:val="000A48B1"/>
    <w:rsid w:val="000A62F7"/>
    <w:rsid w:val="000A7209"/>
    <w:rsid w:val="000B0BF2"/>
    <w:rsid w:val="000B2FBB"/>
    <w:rsid w:val="000B3143"/>
    <w:rsid w:val="000B443C"/>
    <w:rsid w:val="000B6B2B"/>
    <w:rsid w:val="000B6B7C"/>
    <w:rsid w:val="000B7FD1"/>
    <w:rsid w:val="000C045B"/>
    <w:rsid w:val="000C0FF4"/>
    <w:rsid w:val="000C15B1"/>
    <w:rsid w:val="000C2147"/>
    <w:rsid w:val="000C3270"/>
    <w:rsid w:val="000C497E"/>
    <w:rsid w:val="000C4E60"/>
    <w:rsid w:val="000C628F"/>
    <w:rsid w:val="000C6B05"/>
    <w:rsid w:val="000C6DD6"/>
    <w:rsid w:val="000C73D4"/>
    <w:rsid w:val="000C7586"/>
    <w:rsid w:val="000D0A9C"/>
    <w:rsid w:val="000D3D4C"/>
    <w:rsid w:val="000D3DA4"/>
    <w:rsid w:val="000D492D"/>
    <w:rsid w:val="000D4D6C"/>
    <w:rsid w:val="000D4F51"/>
    <w:rsid w:val="000D6130"/>
    <w:rsid w:val="000D718B"/>
    <w:rsid w:val="000D7258"/>
    <w:rsid w:val="000D7BC6"/>
    <w:rsid w:val="000E0C46"/>
    <w:rsid w:val="000E1864"/>
    <w:rsid w:val="000E2790"/>
    <w:rsid w:val="000E29ED"/>
    <w:rsid w:val="000E4CBE"/>
    <w:rsid w:val="000E5472"/>
    <w:rsid w:val="000E5586"/>
    <w:rsid w:val="000E5640"/>
    <w:rsid w:val="000E5EC4"/>
    <w:rsid w:val="000E630E"/>
    <w:rsid w:val="000E64D5"/>
    <w:rsid w:val="000E7A99"/>
    <w:rsid w:val="000F030C"/>
    <w:rsid w:val="000F04C9"/>
    <w:rsid w:val="000F129C"/>
    <w:rsid w:val="000F1BDD"/>
    <w:rsid w:val="000F1C0B"/>
    <w:rsid w:val="000F30D1"/>
    <w:rsid w:val="000F41CB"/>
    <w:rsid w:val="000F653F"/>
    <w:rsid w:val="000F7D6A"/>
    <w:rsid w:val="00100337"/>
    <w:rsid w:val="001003E0"/>
    <w:rsid w:val="00100429"/>
    <w:rsid w:val="00100DE8"/>
    <w:rsid w:val="00100F7A"/>
    <w:rsid w:val="0010114C"/>
    <w:rsid w:val="001029DC"/>
    <w:rsid w:val="001034E3"/>
    <w:rsid w:val="00103882"/>
    <w:rsid w:val="0010425E"/>
    <w:rsid w:val="00104C0C"/>
    <w:rsid w:val="001053C6"/>
    <w:rsid w:val="001056DE"/>
    <w:rsid w:val="001057B0"/>
    <w:rsid w:val="001059E6"/>
    <w:rsid w:val="001077DF"/>
    <w:rsid w:val="00107A75"/>
    <w:rsid w:val="00107CAF"/>
    <w:rsid w:val="0011064B"/>
    <w:rsid w:val="00110AA2"/>
    <w:rsid w:val="001116CC"/>
    <w:rsid w:val="00112060"/>
    <w:rsid w:val="001124C0"/>
    <w:rsid w:val="00113D11"/>
    <w:rsid w:val="0011444C"/>
    <w:rsid w:val="0011532C"/>
    <w:rsid w:val="001164EB"/>
    <w:rsid w:val="0011689D"/>
    <w:rsid w:val="00117988"/>
    <w:rsid w:val="00121103"/>
    <w:rsid w:val="001229F2"/>
    <w:rsid w:val="00123134"/>
    <w:rsid w:val="001235A7"/>
    <w:rsid w:val="00123FE3"/>
    <w:rsid w:val="00125047"/>
    <w:rsid w:val="00125E24"/>
    <w:rsid w:val="00126742"/>
    <w:rsid w:val="00126BCD"/>
    <w:rsid w:val="0013175F"/>
    <w:rsid w:val="0013194D"/>
    <w:rsid w:val="00132A59"/>
    <w:rsid w:val="00133E26"/>
    <w:rsid w:val="00133E61"/>
    <w:rsid w:val="00134D7C"/>
    <w:rsid w:val="00135A9A"/>
    <w:rsid w:val="00135B77"/>
    <w:rsid w:val="00135F99"/>
    <w:rsid w:val="001369E6"/>
    <w:rsid w:val="0014111B"/>
    <w:rsid w:val="00141C24"/>
    <w:rsid w:val="00143C46"/>
    <w:rsid w:val="0014467D"/>
    <w:rsid w:val="001446BC"/>
    <w:rsid w:val="00146DC4"/>
    <w:rsid w:val="001512B4"/>
    <w:rsid w:val="00151B3E"/>
    <w:rsid w:val="00152D9A"/>
    <w:rsid w:val="00153114"/>
    <w:rsid w:val="0015508D"/>
    <w:rsid w:val="001551D5"/>
    <w:rsid w:val="00156414"/>
    <w:rsid w:val="001575C4"/>
    <w:rsid w:val="0015795B"/>
    <w:rsid w:val="001620A5"/>
    <w:rsid w:val="001623DF"/>
    <w:rsid w:val="00162EB2"/>
    <w:rsid w:val="00164C02"/>
    <w:rsid w:val="00164C53"/>
    <w:rsid w:val="00164E53"/>
    <w:rsid w:val="00165E64"/>
    <w:rsid w:val="00166726"/>
    <w:rsid w:val="0016699D"/>
    <w:rsid w:val="00167C35"/>
    <w:rsid w:val="0017085E"/>
    <w:rsid w:val="00170905"/>
    <w:rsid w:val="001709BA"/>
    <w:rsid w:val="00170A21"/>
    <w:rsid w:val="0017142D"/>
    <w:rsid w:val="00171DCE"/>
    <w:rsid w:val="0017325E"/>
    <w:rsid w:val="0017412A"/>
    <w:rsid w:val="00175159"/>
    <w:rsid w:val="001758FB"/>
    <w:rsid w:val="001759C2"/>
    <w:rsid w:val="00176208"/>
    <w:rsid w:val="001764D6"/>
    <w:rsid w:val="0017680E"/>
    <w:rsid w:val="0018082B"/>
    <w:rsid w:val="00180F9F"/>
    <w:rsid w:val="00180FA7"/>
    <w:rsid w:val="0018211B"/>
    <w:rsid w:val="0018246C"/>
    <w:rsid w:val="00182580"/>
    <w:rsid w:val="00182C36"/>
    <w:rsid w:val="00183ED2"/>
    <w:rsid w:val="00183FED"/>
    <w:rsid w:val="001840D3"/>
    <w:rsid w:val="00185968"/>
    <w:rsid w:val="001862DB"/>
    <w:rsid w:val="00187F9E"/>
    <w:rsid w:val="001900F8"/>
    <w:rsid w:val="00191258"/>
    <w:rsid w:val="0019246F"/>
    <w:rsid w:val="00192680"/>
    <w:rsid w:val="00192717"/>
    <w:rsid w:val="00192B64"/>
    <w:rsid w:val="00193037"/>
    <w:rsid w:val="00193A2C"/>
    <w:rsid w:val="00195223"/>
    <w:rsid w:val="00195DB1"/>
    <w:rsid w:val="00196666"/>
    <w:rsid w:val="00197779"/>
    <w:rsid w:val="00197BD5"/>
    <w:rsid w:val="001A0490"/>
    <w:rsid w:val="001A0D78"/>
    <w:rsid w:val="001A117F"/>
    <w:rsid w:val="001A226C"/>
    <w:rsid w:val="001A27F0"/>
    <w:rsid w:val="001A288E"/>
    <w:rsid w:val="001A461B"/>
    <w:rsid w:val="001A6B02"/>
    <w:rsid w:val="001A7FF5"/>
    <w:rsid w:val="001B1A7B"/>
    <w:rsid w:val="001B1EF7"/>
    <w:rsid w:val="001B2195"/>
    <w:rsid w:val="001B26E4"/>
    <w:rsid w:val="001B4AB3"/>
    <w:rsid w:val="001B51BA"/>
    <w:rsid w:val="001B5944"/>
    <w:rsid w:val="001B6315"/>
    <w:rsid w:val="001B6DC2"/>
    <w:rsid w:val="001B795F"/>
    <w:rsid w:val="001C01A6"/>
    <w:rsid w:val="001C0F75"/>
    <w:rsid w:val="001C13E8"/>
    <w:rsid w:val="001C149C"/>
    <w:rsid w:val="001C1934"/>
    <w:rsid w:val="001C1B41"/>
    <w:rsid w:val="001C21AC"/>
    <w:rsid w:val="001C2CCA"/>
    <w:rsid w:val="001C33AF"/>
    <w:rsid w:val="001C3C7E"/>
    <w:rsid w:val="001C47BA"/>
    <w:rsid w:val="001C59EA"/>
    <w:rsid w:val="001C5EEA"/>
    <w:rsid w:val="001C6135"/>
    <w:rsid w:val="001C74B4"/>
    <w:rsid w:val="001D1942"/>
    <w:rsid w:val="001D19A5"/>
    <w:rsid w:val="001D406C"/>
    <w:rsid w:val="001D41EE"/>
    <w:rsid w:val="001D43BC"/>
    <w:rsid w:val="001D4746"/>
    <w:rsid w:val="001D565E"/>
    <w:rsid w:val="001D56CD"/>
    <w:rsid w:val="001D66A3"/>
    <w:rsid w:val="001E02A7"/>
    <w:rsid w:val="001E0380"/>
    <w:rsid w:val="001E13B1"/>
    <w:rsid w:val="001E200D"/>
    <w:rsid w:val="001E3EF4"/>
    <w:rsid w:val="001E3FDD"/>
    <w:rsid w:val="001E434A"/>
    <w:rsid w:val="001E4358"/>
    <w:rsid w:val="001E469B"/>
    <w:rsid w:val="001E5465"/>
    <w:rsid w:val="001E5C10"/>
    <w:rsid w:val="001E65EC"/>
    <w:rsid w:val="001E6683"/>
    <w:rsid w:val="001E6738"/>
    <w:rsid w:val="001E79B6"/>
    <w:rsid w:val="001E7FF0"/>
    <w:rsid w:val="001F0453"/>
    <w:rsid w:val="001F0FA3"/>
    <w:rsid w:val="001F20FE"/>
    <w:rsid w:val="001F3392"/>
    <w:rsid w:val="001F3A19"/>
    <w:rsid w:val="001F3B3D"/>
    <w:rsid w:val="001F3F93"/>
    <w:rsid w:val="001F51DD"/>
    <w:rsid w:val="001F6701"/>
    <w:rsid w:val="001F7B4E"/>
    <w:rsid w:val="001F7F44"/>
    <w:rsid w:val="00200C1D"/>
    <w:rsid w:val="00201EC1"/>
    <w:rsid w:val="00202A87"/>
    <w:rsid w:val="00202AEC"/>
    <w:rsid w:val="00203190"/>
    <w:rsid w:val="00203818"/>
    <w:rsid w:val="00205C33"/>
    <w:rsid w:val="002064E4"/>
    <w:rsid w:val="0020681A"/>
    <w:rsid w:val="00206838"/>
    <w:rsid w:val="0020763D"/>
    <w:rsid w:val="002100D3"/>
    <w:rsid w:val="0021037C"/>
    <w:rsid w:val="002109BC"/>
    <w:rsid w:val="00210A7C"/>
    <w:rsid w:val="00212B9F"/>
    <w:rsid w:val="00213EC4"/>
    <w:rsid w:val="002147BF"/>
    <w:rsid w:val="00214DAF"/>
    <w:rsid w:val="00215EB0"/>
    <w:rsid w:val="0021654A"/>
    <w:rsid w:val="00217540"/>
    <w:rsid w:val="00217B8D"/>
    <w:rsid w:val="00221490"/>
    <w:rsid w:val="00221F2B"/>
    <w:rsid w:val="002227D7"/>
    <w:rsid w:val="002240B6"/>
    <w:rsid w:val="00226235"/>
    <w:rsid w:val="00226C86"/>
    <w:rsid w:val="00226E51"/>
    <w:rsid w:val="0022783A"/>
    <w:rsid w:val="002301A7"/>
    <w:rsid w:val="00231B58"/>
    <w:rsid w:val="002327C5"/>
    <w:rsid w:val="00232884"/>
    <w:rsid w:val="00234467"/>
    <w:rsid w:val="00234C5E"/>
    <w:rsid w:val="00236256"/>
    <w:rsid w:val="0023784C"/>
    <w:rsid w:val="00237D8D"/>
    <w:rsid w:val="00240D77"/>
    <w:rsid w:val="00241AB0"/>
    <w:rsid w:val="00241DA2"/>
    <w:rsid w:val="00241FBE"/>
    <w:rsid w:val="00242B88"/>
    <w:rsid w:val="00242FCB"/>
    <w:rsid w:val="00243FFB"/>
    <w:rsid w:val="00244895"/>
    <w:rsid w:val="00244F44"/>
    <w:rsid w:val="00245DB4"/>
    <w:rsid w:val="00247C76"/>
    <w:rsid w:val="00247FEE"/>
    <w:rsid w:val="00250657"/>
    <w:rsid w:val="00250E7D"/>
    <w:rsid w:val="002543B4"/>
    <w:rsid w:val="002544F8"/>
    <w:rsid w:val="00254CCF"/>
    <w:rsid w:val="0025532D"/>
    <w:rsid w:val="00255B8B"/>
    <w:rsid w:val="002565D5"/>
    <w:rsid w:val="00256CCF"/>
    <w:rsid w:val="00257094"/>
    <w:rsid w:val="00257EF4"/>
    <w:rsid w:val="002622C0"/>
    <w:rsid w:val="002636DE"/>
    <w:rsid w:val="00263D55"/>
    <w:rsid w:val="002674F0"/>
    <w:rsid w:val="0026794C"/>
    <w:rsid w:val="00272CE5"/>
    <w:rsid w:val="00273308"/>
    <w:rsid w:val="002736B3"/>
    <w:rsid w:val="002736EB"/>
    <w:rsid w:val="00273FA3"/>
    <w:rsid w:val="00275267"/>
    <w:rsid w:val="002773B2"/>
    <w:rsid w:val="002778AE"/>
    <w:rsid w:val="0028269A"/>
    <w:rsid w:val="00283590"/>
    <w:rsid w:val="002841C9"/>
    <w:rsid w:val="002844EA"/>
    <w:rsid w:val="00285CCF"/>
    <w:rsid w:val="00286973"/>
    <w:rsid w:val="00286DB4"/>
    <w:rsid w:val="00290676"/>
    <w:rsid w:val="00291B15"/>
    <w:rsid w:val="00293E7A"/>
    <w:rsid w:val="00293FD2"/>
    <w:rsid w:val="00294157"/>
    <w:rsid w:val="00294E70"/>
    <w:rsid w:val="002975A7"/>
    <w:rsid w:val="002A0758"/>
    <w:rsid w:val="002A0897"/>
    <w:rsid w:val="002A139A"/>
    <w:rsid w:val="002A1924"/>
    <w:rsid w:val="002A5480"/>
    <w:rsid w:val="002A7420"/>
    <w:rsid w:val="002A7BFA"/>
    <w:rsid w:val="002A7E2C"/>
    <w:rsid w:val="002B019D"/>
    <w:rsid w:val="002B0F12"/>
    <w:rsid w:val="002B1308"/>
    <w:rsid w:val="002B26FD"/>
    <w:rsid w:val="002B2CE8"/>
    <w:rsid w:val="002B4212"/>
    <w:rsid w:val="002B434B"/>
    <w:rsid w:val="002B4554"/>
    <w:rsid w:val="002B51D0"/>
    <w:rsid w:val="002B7C1E"/>
    <w:rsid w:val="002C204F"/>
    <w:rsid w:val="002C34D1"/>
    <w:rsid w:val="002C3E71"/>
    <w:rsid w:val="002C451A"/>
    <w:rsid w:val="002C47D8"/>
    <w:rsid w:val="002C47F0"/>
    <w:rsid w:val="002C689C"/>
    <w:rsid w:val="002C6C11"/>
    <w:rsid w:val="002C72D8"/>
    <w:rsid w:val="002C7792"/>
    <w:rsid w:val="002D11FA"/>
    <w:rsid w:val="002D18E4"/>
    <w:rsid w:val="002D1DE0"/>
    <w:rsid w:val="002D2C61"/>
    <w:rsid w:val="002D3A47"/>
    <w:rsid w:val="002D4DF4"/>
    <w:rsid w:val="002D5FD3"/>
    <w:rsid w:val="002D67F9"/>
    <w:rsid w:val="002D7DAD"/>
    <w:rsid w:val="002E0DDF"/>
    <w:rsid w:val="002E17D6"/>
    <w:rsid w:val="002E2906"/>
    <w:rsid w:val="002E2E09"/>
    <w:rsid w:val="002E3B55"/>
    <w:rsid w:val="002E48FA"/>
    <w:rsid w:val="002E5635"/>
    <w:rsid w:val="002E5B6C"/>
    <w:rsid w:val="002E64C3"/>
    <w:rsid w:val="002E6A2C"/>
    <w:rsid w:val="002E6EE0"/>
    <w:rsid w:val="002E7B31"/>
    <w:rsid w:val="002F04E8"/>
    <w:rsid w:val="002F1391"/>
    <w:rsid w:val="002F1D8C"/>
    <w:rsid w:val="002F206F"/>
    <w:rsid w:val="002F21DA"/>
    <w:rsid w:val="002F25E3"/>
    <w:rsid w:val="002F26EB"/>
    <w:rsid w:val="002F5C0D"/>
    <w:rsid w:val="002F626D"/>
    <w:rsid w:val="002F69D7"/>
    <w:rsid w:val="0030061A"/>
    <w:rsid w:val="00301265"/>
    <w:rsid w:val="00301F39"/>
    <w:rsid w:val="00304040"/>
    <w:rsid w:val="00305F9F"/>
    <w:rsid w:val="00306441"/>
    <w:rsid w:val="00307A8C"/>
    <w:rsid w:val="00311E59"/>
    <w:rsid w:val="00311F56"/>
    <w:rsid w:val="003128D8"/>
    <w:rsid w:val="00312E12"/>
    <w:rsid w:val="00313329"/>
    <w:rsid w:val="00313E94"/>
    <w:rsid w:val="00315F14"/>
    <w:rsid w:val="00316041"/>
    <w:rsid w:val="003207BA"/>
    <w:rsid w:val="0032138E"/>
    <w:rsid w:val="003216CC"/>
    <w:rsid w:val="003216F7"/>
    <w:rsid w:val="003220E4"/>
    <w:rsid w:val="0032369A"/>
    <w:rsid w:val="003243FA"/>
    <w:rsid w:val="00324A1C"/>
    <w:rsid w:val="00325926"/>
    <w:rsid w:val="003261D4"/>
    <w:rsid w:val="00326B99"/>
    <w:rsid w:val="00327A8A"/>
    <w:rsid w:val="0033183E"/>
    <w:rsid w:val="00333AE0"/>
    <w:rsid w:val="00334E32"/>
    <w:rsid w:val="00336610"/>
    <w:rsid w:val="00336CAD"/>
    <w:rsid w:val="00341062"/>
    <w:rsid w:val="003413C3"/>
    <w:rsid w:val="00343ECD"/>
    <w:rsid w:val="00343F73"/>
    <w:rsid w:val="00344021"/>
    <w:rsid w:val="00344C34"/>
    <w:rsid w:val="00345060"/>
    <w:rsid w:val="00345CDE"/>
    <w:rsid w:val="00345E65"/>
    <w:rsid w:val="00347879"/>
    <w:rsid w:val="00350036"/>
    <w:rsid w:val="00350D6E"/>
    <w:rsid w:val="00352632"/>
    <w:rsid w:val="00352FAE"/>
    <w:rsid w:val="0035323B"/>
    <w:rsid w:val="00353784"/>
    <w:rsid w:val="00353D81"/>
    <w:rsid w:val="00354239"/>
    <w:rsid w:val="00355155"/>
    <w:rsid w:val="003555DC"/>
    <w:rsid w:val="003569DE"/>
    <w:rsid w:val="00357837"/>
    <w:rsid w:val="00360455"/>
    <w:rsid w:val="003609D2"/>
    <w:rsid w:val="003622E6"/>
    <w:rsid w:val="00362502"/>
    <w:rsid w:val="003638AF"/>
    <w:rsid w:val="00363F22"/>
    <w:rsid w:val="003702CF"/>
    <w:rsid w:val="00370B1A"/>
    <w:rsid w:val="00371D30"/>
    <w:rsid w:val="00372123"/>
    <w:rsid w:val="003744AE"/>
    <w:rsid w:val="00375564"/>
    <w:rsid w:val="00375930"/>
    <w:rsid w:val="00376350"/>
    <w:rsid w:val="00377B0E"/>
    <w:rsid w:val="00377C4B"/>
    <w:rsid w:val="00377C6A"/>
    <w:rsid w:val="00380199"/>
    <w:rsid w:val="003804E5"/>
    <w:rsid w:val="00380968"/>
    <w:rsid w:val="00380A22"/>
    <w:rsid w:val="00381508"/>
    <w:rsid w:val="00381D17"/>
    <w:rsid w:val="00382241"/>
    <w:rsid w:val="0038297B"/>
    <w:rsid w:val="00383191"/>
    <w:rsid w:val="00384343"/>
    <w:rsid w:val="00384BE8"/>
    <w:rsid w:val="003850BB"/>
    <w:rsid w:val="0038586F"/>
    <w:rsid w:val="0038609E"/>
    <w:rsid w:val="00386DED"/>
    <w:rsid w:val="003907F3"/>
    <w:rsid w:val="003912E7"/>
    <w:rsid w:val="00391D3F"/>
    <w:rsid w:val="00393947"/>
    <w:rsid w:val="00393A0B"/>
    <w:rsid w:val="0039467E"/>
    <w:rsid w:val="00394706"/>
    <w:rsid w:val="003A2275"/>
    <w:rsid w:val="003A3724"/>
    <w:rsid w:val="003A4019"/>
    <w:rsid w:val="003A5372"/>
    <w:rsid w:val="003A6A4F"/>
    <w:rsid w:val="003A7088"/>
    <w:rsid w:val="003B00DF"/>
    <w:rsid w:val="003B1275"/>
    <w:rsid w:val="003B1778"/>
    <w:rsid w:val="003B1CF9"/>
    <w:rsid w:val="003B24F3"/>
    <w:rsid w:val="003B2F9B"/>
    <w:rsid w:val="003B36F9"/>
    <w:rsid w:val="003B3DEF"/>
    <w:rsid w:val="003B40F8"/>
    <w:rsid w:val="003B413B"/>
    <w:rsid w:val="003B426F"/>
    <w:rsid w:val="003B51C0"/>
    <w:rsid w:val="003B585D"/>
    <w:rsid w:val="003B5992"/>
    <w:rsid w:val="003B5DEB"/>
    <w:rsid w:val="003C02F3"/>
    <w:rsid w:val="003C045E"/>
    <w:rsid w:val="003C0505"/>
    <w:rsid w:val="003C11CB"/>
    <w:rsid w:val="003C21BD"/>
    <w:rsid w:val="003C27FF"/>
    <w:rsid w:val="003C3C30"/>
    <w:rsid w:val="003C41D8"/>
    <w:rsid w:val="003C48E7"/>
    <w:rsid w:val="003C4CBB"/>
    <w:rsid w:val="003C75F3"/>
    <w:rsid w:val="003C7643"/>
    <w:rsid w:val="003C78A3"/>
    <w:rsid w:val="003C7C73"/>
    <w:rsid w:val="003C7EBB"/>
    <w:rsid w:val="003D0B4E"/>
    <w:rsid w:val="003D1853"/>
    <w:rsid w:val="003D2AE0"/>
    <w:rsid w:val="003D2E24"/>
    <w:rsid w:val="003D4538"/>
    <w:rsid w:val="003D49B7"/>
    <w:rsid w:val="003D4C77"/>
    <w:rsid w:val="003D500E"/>
    <w:rsid w:val="003D61E2"/>
    <w:rsid w:val="003D64D0"/>
    <w:rsid w:val="003D64D6"/>
    <w:rsid w:val="003D6A44"/>
    <w:rsid w:val="003E1867"/>
    <w:rsid w:val="003E1F52"/>
    <w:rsid w:val="003E3284"/>
    <w:rsid w:val="003E34ED"/>
    <w:rsid w:val="003E36C1"/>
    <w:rsid w:val="003E4DFB"/>
    <w:rsid w:val="003E5342"/>
    <w:rsid w:val="003E5729"/>
    <w:rsid w:val="003E6267"/>
    <w:rsid w:val="003E7D16"/>
    <w:rsid w:val="003F0ECD"/>
    <w:rsid w:val="003F0F18"/>
    <w:rsid w:val="003F2719"/>
    <w:rsid w:val="003F274D"/>
    <w:rsid w:val="003F4818"/>
    <w:rsid w:val="003F4EE0"/>
    <w:rsid w:val="003F6911"/>
    <w:rsid w:val="003F6BAE"/>
    <w:rsid w:val="003F785B"/>
    <w:rsid w:val="004010D4"/>
    <w:rsid w:val="00401DED"/>
    <w:rsid w:val="00402153"/>
    <w:rsid w:val="00402FC1"/>
    <w:rsid w:val="004038B9"/>
    <w:rsid w:val="00404F48"/>
    <w:rsid w:val="00406313"/>
    <w:rsid w:val="0041287A"/>
    <w:rsid w:val="0041534A"/>
    <w:rsid w:val="0041635F"/>
    <w:rsid w:val="004165D8"/>
    <w:rsid w:val="00420397"/>
    <w:rsid w:val="00421D37"/>
    <w:rsid w:val="0042290C"/>
    <w:rsid w:val="004236E8"/>
    <w:rsid w:val="0042497F"/>
    <w:rsid w:val="00425082"/>
    <w:rsid w:val="00425DDC"/>
    <w:rsid w:val="00431DEB"/>
    <w:rsid w:val="00432A12"/>
    <w:rsid w:val="00434C6C"/>
    <w:rsid w:val="0043567E"/>
    <w:rsid w:val="00435C02"/>
    <w:rsid w:val="00435E9D"/>
    <w:rsid w:val="0043794B"/>
    <w:rsid w:val="00440A46"/>
    <w:rsid w:val="00440C72"/>
    <w:rsid w:val="00440E8C"/>
    <w:rsid w:val="004424E3"/>
    <w:rsid w:val="00445A2F"/>
    <w:rsid w:val="00446B29"/>
    <w:rsid w:val="00446D01"/>
    <w:rsid w:val="00446DFF"/>
    <w:rsid w:val="00447826"/>
    <w:rsid w:val="00447977"/>
    <w:rsid w:val="0045007E"/>
    <w:rsid w:val="0045110F"/>
    <w:rsid w:val="004511D6"/>
    <w:rsid w:val="00452B7C"/>
    <w:rsid w:val="00453120"/>
    <w:rsid w:val="00453F9A"/>
    <w:rsid w:val="00454506"/>
    <w:rsid w:val="004566FA"/>
    <w:rsid w:val="004575AF"/>
    <w:rsid w:val="00457836"/>
    <w:rsid w:val="00457C06"/>
    <w:rsid w:val="004605F9"/>
    <w:rsid w:val="00462344"/>
    <w:rsid w:val="00462FF4"/>
    <w:rsid w:val="00463AA4"/>
    <w:rsid w:val="00465A7C"/>
    <w:rsid w:val="00466F2A"/>
    <w:rsid w:val="004670DB"/>
    <w:rsid w:val="00467CB3"/>
    <w:rsid w:val="00471983"/>
    <w:rsid w:val="00471E91"/>
    <w:rsid w:val="00472085"/>
    <w:rsid w:val="00474675"/>
    <w:rsid w:val="0047470C"/>
    <w:rsid w:val="00476393"/>
    <w:rsid w:val="00477E25"/>
    <w:rsid w:val="00481FFE"/>
    <w:rsid w:val="00482472"/>
    <w:rsid w:val="004826D4"/>
    <w:rsid w:val="00482A40"/>
    <w:rsid w:val="0048328D"/>
    <w:rsid w:val="004838B7"/>
    <w:rsid w:val="0048405B"/>
    <w:rsid w:val="004856D9"/>
    <w:rsid w:val="00485B70"/>
    <w:rsid w:val="004869A0"/>
    <w:rsid w:val="00486B66"/>
    <w:rsid w:val="00490604"/>
    <w:rsid w:val="00490F1B"/>
    <w:rsid w:val="00496AC6"/>
    <w:rsid w:val="00497AF9"/>
    <w:rsid w:val="00497C2C"/>
    <w:rsid w:val="004A1341"/>
    <w:rsid w:val="004A35F9"/>
    <w:rsid w:val="004A3B72"/>
    <w:rsid w:val="004A607F"/>
    <w:rsid w:val="004B0FF8"/>
    <w:rsid w:val="004B1BFA"/>
    <w:rsid w:val="004B1F13"/>
    <w:rsid w:val="004B23C3"/>
    <w:rsid w:val="004B24C1"/>
    <w:rsid w:val="004B6A75"/>
    <w:rsid w:val="004B6F1F"/>
    <w:rsid w:val="004C292F"/>
    <w:rsid w:val="004C37E6"/>
    <w:rsid w:val="004C431E"/>
    <w:rsid w:val="004C4D67"/>
    <w:rsid w:val="004C4ED5"/>
    <w:rsid w:val="004C63C8"/>
    <w:rsid w:val="004C7623"/>
    <w:rsid w:val="004C7C8D"/>
    <w:rsid w:val="004C7FB7"/>
    <w:rsid w:val="004D048A"/>
    <w:rsid w:val="004D11F4"/>
    <w:rsid w:val="004D1BB8"/>
    <w:rsid w:val="004D1D87"/>
    <w:rsid w:val="004D201E"/>
    <w:rsid w:val="004D239A"/>
    <w:rsid w:val="004D28A7"/>
    <w:rsid w:val="004D29C2"/>
    <w:rsid w:val="004D3F8F"/>
    <w:rsid w:val="004D4250"/>
    <w:rsid w:val="004E0D40"/>
    <w:rsid w:val="004E1858"/>
    <w:rsid w:val="004E2C25"/>
    <w:rsid w:val="004E2D09"/>
    <w:rsid w:val="004E3A05"/>
    <w:rsid w:val="004E47F5"/>
    <w:rsid w:val="004E4F52"/>
    <w:rsid w:val="004E60F7"/>
    <w:rsid w:val="004E7ADB"/>
    <w:rsid w:val="004F0B90"/>
    <w:rsid w:val="004F1024"/>
    <w:rsid w:val="004F24D5"/>
    <w:rsid w:val="004F327C"/>
    <w:rsid w:val="004F4BAC"/>
    <w:rsid w:val="004F56CB"/>
    <w:rsid w:val="004F59B3"/>
    <w:rsid w:val="004F603B"/>
    <w:rsid w:val="004F7AAD"/>
    <w:rsid w:val="004F7CCF"/>
    <w:rsid w:val="004F7F6B"/>
    <w:rsid w:val="00502FEC"/>
    <w:rsid w:val="00503888"/>
    <w:rsid w:val="00503ECD"/>
    <w:rsid w:val="005041FA"/>
    <w:rsid w:val="0050445C"/>
    <w:rsid w:val="005045C7"/>
    <w:rsid w:val="00504F1F"/>
    <w:rsid w:val="0050572A"/>
    <w:rsid w:val="00510280"/>
    <w:rsid w:val="00510EB8"/>
    <w:rsid w:val="00510EC4"/>
    <w:rsid w:val="00511E50"/>
    <w:rsid w:val="00512E2C"/>
    <w:rsid w:val="00513172"/>
    <w:rsid w:val="00513D73"/>
    <w:rsid w:val="0051402A"/>
    <w:rsid w:val="00514A43"/>
    <w:rsid w:val="00514ADF"/>
    <w:rsid w:val="00514D8C"/>
    <w:rsid w:val="005151E0"/>
    <w:rsid w:val="00516924"/>
    <w:rsid w:val="00517254"/>
    <w:rsid w:val="005174E5"/>
    <w:rsid w:val="0051783F"/>
    <w:rsid w:val="00517E66"/>
    <w:rsid w:val="00520216"/>
    <w:rsid w:val="00522393"/>
    <w:rsid w:val="00522620"/>
    <w:rsid w:val="005227E2"/>
    <w:rsid w:val="0052288D"/>
    <w:rsid w:val="00524205"/>
    <w:rsid w:val="005251D1"/>
    <w:rsid w:val="00525656"/>
    <w:rsid w:val="00525EB4"/>
    <w:rsid w:val="00531039"/>
    <w:rsid w:val="0053356E"/>
    <w:rsid w:val="005336FA"/>
    <w:rsid w:val="00533737"/>
    <w:rsid w:val="00533CF1"/>
    <w:rsid w:val="00534609"/>
    <w:rsid w:val="00534C02"/>
    <w:rsid w:val="00535E12"/>
    <w:rsid w:val="005375D9"/>
    <w:rsid w:val="00540088"/>
    <w:rsid w:val="00541045"/>
    <w:rsid w:val="005421C1"/>
    <w:rsid w:val="00542460"/>
    <w:rsid w:val="005425C9"/>
    <w:rsid w:val="0054264B"/>
    <w:rsid w:val="0054334D"/>
    <w:rsid w:val="005433DC"/>
    <w:rsid w:val="00543786"/>
    <w:rsid w:val="0054385E"/>
    <w:rsid w:val="00543975"/>
    <w:rsid w:val="00547944"/>
    <w:rsid w:val="00547F5E"/>
    <w:rsid w:val="00550306"/>
    <w:rsid w:val="005515D4"/>
    <w:rsid w:val="00551DD0"/>
    <w:rsid w:val="005533D7"/>
    <w:rsid w:val="00554D52"/>
    <w:rsid w:val="00562A2C"/>
    <w:rsid w:val="00564EEB"/>
    <w:rsid w:val="00565023"/>
    <w:rsid w:val="00565900"/>
    <w:rsid w:val="00565B91"/>
    <w:rsid w:val="00565FC8"/>
    <w:rsid w:val="00566BD6"/>
    <w:rsid w:val="005703DE"/>
    <w:rsid w:val="00570532"/>
    <w:rsid w:val="0057065E"/>
    <w:rsid w:val="00572B64"/>
    <w:rsid w:val="005747A4"/>
    <w:rsid w:val="00574AC2"/>
    <w:rsid w:val="00576528"/>
    <w:rsid w:val="00576A4A"/>
    <w:rsid w:val="00576BDE"/>
    <w:rsid w:val="00576DB2"/>
    <w:rsid w:val="00577187"/>
    <w:rsid w:val="00581A11"/>
    <w:rsid w:val="00581D00"/>
    <w:rsid w:val="00581DCE"/>
    <w:rsid w:val="005826D7"/>
    <w:rsid w:val="0058464E"/>
    <w:rsid w:val="00584923"/>
    <w:rsid w:val="00584E97"/>
    <w:rsid w:val="00585EED"/>
    <w:rsid w:val="00587905"/>
    <w:rsid w:val="00590F37"/>
    <w:rsid w:val="0059578C"/>
    <w:rsid w:val="005A01CB"/>
    <w:rsid w:val="005A1B35"/>
    <w:rsid w:val="005A1B59"/>
    <w:rsid w:val="005A2B83"/>
    <w:rsid w:val="005A2DC5"/>
    <w:rsid w:val="005A3708"/>
    <w:rsid w:val="005A5026"/>
    <w:rsid w:val="005A58FF"/>
    <w:rsid w:val="005A5EAF"/>
    <w:rsid w:val="005A64C0"/>
    <w:rsid w:val="005A6599"/>
    <w:rsid w:val="005A68FA"/>
    <w:rsid w:val="005A7708"/>
    <w:rsid w:val="005A7F1E"/>
    <w:rsid w:val="005B0927"/>
    <w:rsid w:val="005B199A"/>
    <w:rsid w:val="005B2E6A"/>
    <w:rsid w:val="005B3A5F"/>
    <w:rsid w:val="005B3A6E"/>
    <w:rsid w:val="005B3C11"/>
    <w:rsid w:val="005B57F5"/>
    <w:rsid w:val="005B6C26"/>
    <w:rsid w:val="005B6E1A"/>
    <w:rsid w:val="005C1C28"/>
    <w:rsid w:val="005C4260"/>
    <w:rsid w:val="005C4CD2"/>
    <w:rsid w:val="005C624C"/>
    <w:rsid w:val="005C6C83"/>
    <w:rsid w:val="005C6DB5"/>
    <w:rsid w:val="005C7D62"/>
    <w:rsid w:val="005D0677"/>
    <w:rsid w:val="005D4531"/>
    <w:rsid w:val="005D4DC7"/>
    <w:rsid w:val="005D5F23"/>
    <w:rsid w:val="005D7E01"/>
    <w:rsid w:val="005E188E"/>
    <w:rsid w:val="005E19E7"/>
    <w:rsid w:val="005E1B13"/>
    <w:rsid w:val="005E442D"/>
    <w:rsid w:val="005E448E"/>
    <w:rsid w:val="005E46C1"/>
    <w:rsid w:val="005E719F"/>
    <w:rsid w:val="005F0026"/>
    <w:rsid w:val="005F0F5F"/>
    <w:rsid w:val="005F31D0"/>
    <w:rsid w:val="005F33CF"/>
    <w:rsid w:val="005F36AE"/>
    <w:rsid w:val="005F4729"/>
    <w:rsid w:val="005F60E0"/>
    <w:rsid w:val="005F654F"/>
    <w:rsid w:val="00600549"/>
    <w:rsid w:val="00600A1A"/>
    <w:rsid w:val="006010FD"/>
    <w:rsid w:val="006011FE"/>
    <w:rsid w:val="00601676"/>
    <w:rsid w:val="00602AC6"/>
    <w:rsid w:val="00602C1E"/>
    <w:rsid w:val="006054D0"/>
    <w:rsid w:val="00606D8A"/>
    <w:rsid w:val="00607C5A"/>
    <w:rsid w:val="006106C1"/>
    <w:rsid w:val="00612D12"/>
    <w:rsid w:val="00613101"/>
    <w:rsid w:val="00613594"/>
    <w:rsid w:val="006137F4"/>
    <w:rsid w:val="0061386C"/>
    <w:rsid w:val="00614B4E"/>
    <w:rsid w:val="006163BE"/>
    <w:rsid w:val="00616B4B"/>
    <w:rsid w:val="0061716C"/>
    <w:rsid w:val="00620116"/>
    <w:rsid w:val="00620D44"/>
    <w:rsid w:val="00621025"/>
    <w:rsid w:val="00621936"/>
    <w:rsid w:val="00622982"/>
    <w:rsid w:val="00622FEC"/>
    <w:rsid w:val="00623A27"/>
    <w:rsid w:val="00623CDA"/>
    <w:rsid w:val="00623D27"/>
    <w:rsid w:val="006243A1"/>
    <w:rsid w:val="00626C29"/>
    <w:rsid w:val="00627614"/>
    <w:rsid w:val="00627F67"/>
    <w:rsid w:val="006312D3"/>
    <w:rsid w:val="006328D4"/>
    <w:rsid w:val="00632E56"/>
    <w:rsid w:val="006340C3"/>
    <w:rsid w:val="00635CBA"/>
    <w:rsid w:val="00635D4D"/>
    <w:rsid w:val="00637301"/>
    <w:rsid w:val="0064338B"/>
    <w:rsid w:val="006445B9"/>
    <w:rsid w:val="00646542"/>
    <w:rsid w:val="006504F4"/>
    <w:rsid w:val="006506FA"/>
    <w:rsid w:val="00651423"/>
    <w:rsid w:val="0065199E"/>
    <w:rsid w:val="00651C73"/>
    <w:rsid w:val="00651E19"/>
    <w:rsid w:val="00653432"/>
    <w:rsid w:val="00653FEB"/>
    <w:rsid w:val="00654277"/>
    <w:rsid w:val="00654BC9"/>
    <w:rsid w:val="006552FD"/>
    <w:rsid w:val="006555D0"/>
    <w:rsid w:val="006559E7"/>
    <w:rsid w:val="00655B96"/>
    <w:rsid w:val="00656E2C"/>
    <w:rsid w:val="00660E6E"/>
    <w:rsid w:val="0066351D"/>
    <w:rsid w:val="00663AF3"/>
    <w:rsid w:val="00663ED9"/>
    <w:rsid w:val="00665EB5"/>
    <w:rsid w:val="00666B6C"/>
    <w:rsid w:val="00670E2F"/>
    <w:rsid w:val="00671120"/>
    <w:rsid w:val="00672592"/>
    <w:rsid w:val="00673889"/>
    <w:rsid w:val="00673BD4"/>
    <w:rsid w:val="00673C64"/>
    <w:rsid w:val="00673EB2"/>
    <w:rsid w:val="00674BC1"/>
    <w:rsid w:val="00676AFB"/>
    <w:rsid w:val="0067770D"/>
    <w:rsid w:val="00680055"/>
    <w:rsid w:val="00681208"/>
    <w:rsid w:val="00682664"/>
    <w:rsid w:val="00682682"/>
    <w:rsid w:val="00682702"/>
    <w:rsid w:val="00682B0D"/>
    <w:rsid w:val="00682D26"/>
    <w:rsid w:val="006841CE"/>
    <w:rsid w:val="006842AE"/>
    <w:rsid w:val="00686A3F"/>
    <w:rsid w:val="00690587"/>
    <w:rsid w:val="00690764"/>
    <w:rsid w:val="00692368"/>
    <w:rsid w:val="00696579"/>
    <w:rsid w:val="00696591"/>
    <w:rsid w:val="00696B4E"/>
    <w:rsid w:val="00697CD3"/>
    <w:rsid w:val="006A050A"/>
    <w:rsid w:val="006A1A57"/>
    <w:rsid w:val="006A1A74"/>
    <w:rsid w:val="006A2E44"/>
    <w:rsid w:val="006A2EBC"/>
    <w:rsid w:val="006A31F5"/>
    <w:rsid w:val="006A3ECB"/>
    <w:rsid w:val="006A472F"/>
    <w:rsid w:val="006A5305"/>
    <w:rsid w:val="006A5EA0"/>
    <w:rsid w:val="006A71F7"/>
    <w:rsid w:val="006A783B"/>
    <w:rsid w:val="006A7B33"/>
    <w:rsid w:val="006B03AE"/>
    <w:rsid w:val="006B101E"/>
    <w:rsid w:val="006B185A"/>
    <w:rsid w:val="006B4772"/>
    <w:rsid w:val="006B4ADD"/>
    <w:rsid w:val="006B4E13"/>
    <w:rsid w:val="006B50C3"/>
    <w:rsid w:val="006B75DD"/>
    <w:rsid w:val="006B7C5A"/>
    <w:rsid w:val="006C0152"/>
    <w:rsid w:val="006C10AE"/>
    <w:rsid w:val="006C28C7"/>
    <w:rsid w:val="006C61D8"/>
    <w:rsid w:val="006C67E0"/>
    <w:rsid w:val="006C7ABA"/>
    <w:rsid w:val="006D00B8"/>
    <w:rsid w:val="006D0B3C"/>
    <w:rsid w:val="006D0B40"/>
    <w:rsid w:val="006D0D60"/>
    <w:rsid w:val="006D0F33"/>
    <w:rsid w:val="006D1122"/>
    <w:rsid w:val="006D30AD"/>
    <w:rsid w:val="006D3C00"/>
    <w:rsid w:val="006D4767"/>
    <w:rsid w:val="006D4EDA"/>
    <w:rsid w:val="006D6F66"/>
    <w:rsid w:val="006E0A32"/>
    <w:rsid w:val="006E0ADF"/>
    <w:rsid w:val="006E0E7B"/>
    <w:rsid w:val="006E20EE"/>
    <w:rsid w:val="006E2179"/>
    <w:rsid w:val="006E3675"/>
    <w:rsid w:val="006E3E59"/>
    <w:rsid w:val="006E45D5"/>
    <w:rsid w:val="006E4A7F"/>
    <w:rsid w:val="006E5D51"/>
    <w:rsid w:val="006E6036"/>
    <w:rsid w:val="006E733D"/>
    <w:rsid w:val="006E7EBB"/>
    <w:rsid w:val="006F091D"/>
    <w:rsid w:val="006F0F76"/>
    <w:rsid w:val="006F2551"/>
    <w:rsid w:val="006F3F27"/>
    <w:rsid w:val="006F4CD4"/>
    <w:rsid w:val="006F60C4"/>
    <w:rsid w:val="006F68F4"/>
    <w:rsid w:val="006F6EA2"/>
    <w:rsid w:val="007006D1"/>
    <w:rsid w:val="00701044"/>
    <w:rsid w:val="00703125"/>
    <w:rsid w:val="00703E0C"/>
    <w:rsid w:val="00704DF6"/>
    <w:rsid w:val="0070651C"/>
    <w:rsid w:val="0070677E"/>
    <w:rsid w:val="00711B51"/>
    <w:rsid w:val="007132A3"/>
    <w:rsid w:val="007132DD"/>
    <w:rsid w:val="007153B3"/>
    <w:rsid w:val="00715620"/>
    <w:rsid w:val="00716421"/>
    <w:rsid w:val="0071756F"/>
    <w:rsid w:val="0072059B"/>
    <w:rsid w:val="007206AC"/>
    <w:rsid w:val="0072086A"/>
    <w:rsid w:val="00720B3A"/>
    <w:rsid w:val="007236F1"/>
    <w:rsid w:val="00724EFB"/>
    <w:rsid w:val="00724F62"/>
    <w:rsid w:val="00725121"/>
    <w:rsid w:val="007255D1"/>
    <w:rsid w:val="00725EC4"/>
    <w:rsid w:val="007269A5"/>
    <w:rsid w:val="00730EEE"/>
    <w:rsid w:val="00732051"/>
    <w:rsid w:val="00732054"/>
    <w:rsid w:val="007334A8"/>
    <w:rsid w:val="0073417D"/>
    <w:rsid w:val="007349C2"/>
    <w:rsid w:val="007351D7"/>
    <w:rsid w:val="007351F0"/>
    <w:rsid w:val="007354D8"/>
    <w:rsid w:val="007363FA"/>
    <w:rsid w:val="00736491"/>
    <w:rsid w:val="00736BAD"/>
    <w:rsid w:val="00737A73"/>
    <w:rsid w:val="00737E8A"/>
    <w:rsid w:val="00740145"/>
    <w:rsid w:val="00740B53"/>
    <w:rsid w:val="007419C3"/>
    <w:rsid w:val="00742093"/>
    <w:rsid w:val="00745FF8"/>
    <w:rsid w:val="00746766"/>
    <w:rsid w:val="007467A7"/>
    <w:rsid w:val="007469DD"/>
    <w:rsid w:val="0074741B"/>
    <w:rsid w:val="0074759E"/>
    <w:rsid w:val="007478EA"/>
    <w:rsid w:val="0075033A"/>
    <w:rsid w:val="0075077F"/>
    <w:rsid w:val="00752ADC"/>
    <w:rsid w:val="0075415C"/>
    <w:rsid w:val="007543F1"/>
    <w:rsid w:val="00760870"/>
    <w:rsid w:val="00763502"/>
    <w:rsid w:val="00764B04"/>
    <w:rsid w:val="007658AA"/>
    <w:rsid w:val="007667DB"/>
    <w:rsid w:val="00767910"/>
    <w:rsid w:val="00767C94"/>
    <w:rsid w:val="007701C7"/>
    <w:rsid w:val="00770547"/>
    <w:rsid w:val="00771EDD"/>
    <w:rsid w:val="007734CA"/>
    <w:rsid w:val="00775A04"/>
    <w:rsid w:val="007770DF"/>
    <w:rsid w:val="00780582"/>
    <w:rsid w:val="00780AEC"/>
    <w:rsid w:val="00781F12"/>
    <w:rsid w:val="00784511"/>
    <w:rsid w:val="00784EDB"/>
    <w:rsid w:val="0078542E"/>
    <w:rsid w:val="00785B03"/>
    <w:rsid w:val="00786D46"/>
    <w:rsid w:val="00787045"/>
    <w:rsid w:val="00791166"/>
    <w:rsid w:val="007913AB"/>
    <w:rsid w:val="007914F7"/>
    <w:rsid w:val="00791C3E"/>
    <w:rsid w:val="00791F10"/>
    <w:rsid w:val="00793AB6"/>
    <w:rsid w:val="00794171"/>
    <w:rsid w:val="00795432"/>
    <w:rsid w:val="0079732B"/>
    <w:rsid w:val="007974B3"/>
    <w:rsid w:val="007A0116"/>
    <w:rsid w:val="007A01EB"/>
    <w:rsid w:val="007A0672"/>
    <w:rsid w:val="007A14D7"/>
    <w:rsid w:val="007A1984"/>
    <w:rsid w:val="007A2506"/>
    <w:rsid w:val="007A2BC2"/>
    <w:rsid w:val="007A3503"/>
    <w:rsid w:val="007A40EB"/>
    <w:rsid w:val="007A6023"/>
    <w:rsid w:val="007A67DB"/>
    <w:rsid w:val="007A6C97"/>
    <w:rsid w:val="007A7200"/>
    <w:rsid w:val="007A79BB"/>
    <w:rsid w:val="007A7D5D"/>
    <w:rsid w:val="007B0481"/>
    <w:rsid w:val="007B1625"/>
    <w:rsid w:val="007B3860"/>
    <w:rsid w:val="007B4201"/>
    <w:rsid w:val="007B706E"/>
    <w:rsid w:val="007B71EB"/>
    <w:rsid w:val="007B7B83"/>
    <w:rsid w:val="007B7E97"/>
    <w:rsid w:val="007C0299"/>
    <w:rsid w:val="007C032D"/>
    <w:rsid w:val="007C1566"/>
    <w:rsid w:val="007C1E71"/>
    <w:rsid w:val="007C21DF"/>
    <w:rsid w:val="007C2C14"/>
    <w:rsid w:val="007C3687"/>
    <w:rsid w:val="007C425A"/>
    <w:rsid w:val="007C564A"/>
    <w:rsid w:val="007C6205"/>
    <w:rsid w:val="007C686A"/>
    <w:rsid w:val="007C728E"/>
    <w:rsid w:val="007C7B98"/>
    <w:rsid w:val="007D0667"/>
    <w:rsid w:val="007D0F8D"/>
    <w:rsid w:val="007D194D"/>
    <w:rsid w:val="007D2799"/>
    <w:rsid w:val="007D2C53"/>
    <w:rsid w:val="007D2D42"/>
    <w:rsid w:val="007D30D2"/>
    <w:rsid w:val="007D33D0"/>
    <w:rsid w:val="007D3D60"/>
    <w:rsid w:val="007D5D56"/>
    <w:rsid w:val="007D6B1A"/>
    <w:rsid w:val="007E0F9A"/>
    <w:rsid w:val="007E1980"/>
    <w:rsid w:val="007E1FD9"/>
    <w:rsid w:val="007E473B"/>
    <w:rsid w:val="007E4887"/>
    <w:rsid w:val="007E48A8"/>
    <w:rsid w:val="007E4B76"/>
    <w:rsid w:val="007E5BBD"/>
    <w:rsid w:val="007E5EA8"/>
    <w:rsid w:val="007E6D0D"/>
    <w:rsid w:val="007E7CAE"/>
    <w:rsid w:val="007F0C76"/>
    <w:rsid w:val="007F0CF1"/>
    <w:rsid w:val="007F12A5"/>
    <w:rsid w:val="007F141C"/>
    <w:rsid w:val="007F1486"/>
    <w:rsid w:val="007F16A7"/>
    <w:rsid w:val="007F2044"/>
    <w:rsid w:val="007F262B"/>
    <w:rsid w:val="007F2B9A"/>
    <w:rsid w:val="007F344E"/>
    <w:rsid w:val="007F4514"/>
    <w:rsid w:val="007F4CF1"/>
    <w:rsid w:val="007F4F3B"/>
    <w:rsid w:val="007F5257"/>
    <w:rsid w:val="007F758D"/>
    <w:rsid w:val="007F7646"/>
    <w:rsid w:val="007F7D52"/>
    <w:rsid w:val="00800C74"/>
    <w:rsid w:val="00801004"/>
    <w:rsid w:val="00801AD5"/>
    <w:rsid w:val="00801D96"/>
    <w:rsid w:val="00801F30"/>
    <w:rsid w:val="008027CA"/>
    <w:rsid w:val="00804004"/>
    <w:rsid w:val="008052F2"/>
    <w:rsid w:val="0080654C"/>
    <w:rsid w:val="008071C6"/>
    <w:rsid w:val="00807277"/>
    <w:rsid w:val="008133DF"/>
    <w:rsid w:val="00814877"/>
    <w:rsid w:val="00815B15"/>
    <w:rsid w:val="00817A00"/>
    <w:rsid w:val="00817D1C"/>
    <w:rsid w:val="00817FCA"/>
    <w:rsid w:val="008213B2"/>
    <w:rsid w:val="00822CFE"/>
    <w:rsid w:val="00823620"/>
    <w:rsid w:val="008242A5"/>
    <w:rsid w:val="00824361"/>
    <w:rsid w:val="00824BC5"/>
    <w:rsid w:val="00825215"/>
    <w:rsid w:val="00826C94"/>
    <w:rsid w:val="00826E45"/>
    <w:rsid w:val="008300B4"/>
    <w:rsid w:val="0083155F"/>
    <w:rsid w:val="008322D5"/>
    <w:rsid w:val="00832954"/>
    <w:rsid w:val="00834F31"/>
    <w:rsid w:val="00835DB3"/>
    <w:rsid w:val="0083617B"/>
    <w:rsid w:val="00836307"/>
    <w:rsid w:val="00836509"/>
    <w:rsid w:val="00836E44"/>
    <w:rsid w:val="008371BD"/>
    <w:rsid w:val="008375C3"/>
    <w:rsid w:val="00837A05"/>
    <w:rsid w:val="00840325"/>
    <w:rsid w:val="00840C02"/>
    <w:rsid w:val="008415E8"/>
    <w:rsid w:val="008445BD"/>
    <w:rsid w:val="00844EF7"/>
    <w:rsid w:val="008450EA"/>
    <w:rsid w:val="00845EA8"/>
    <w:rsid w:val="00845FB4"/>
    <w:rsid w:val="008467F0"/>
    <w:rsid w:val="00847376"/>
    <w:rsid w:val="00847628"/>
    <w:rsid w:val="00847B37"/>
    <w:rsid w:val="008504A8"/>
    <w:rsid w:val="008523B6"/>
    <w:rsid w:val="00852658"/>
    <w:rsid w:val="0085282E"/>
    <w:rsid w:val="00852C61"/>
    <w:rsid w:val="008536B0"/>
    <w:rsid w:val="00855080"/>
    <w:rsid w:val="00855688"/>
    <w:rsid w:val="00855DF0"/>
    <w:rsid w:val="00856AF2"/>
    <w:rsid w:val="00860909"/>
    <w:rsid w:val="00860DE1"/>
    <w:rsid w:val="00861630"/>
    <w:rsid w:val="008617B7"/>
    <w:rsid w:val="00862EC4"/>
    <w:rsid w:val="008660F2"/>
    <w:rsid w:val="0087198C"/>
    <w:rsid w:val="00871CF9"/>
    <w:rsid w:val="008722EB"/>
    <w:rsid w:val="00872C1F"/>
    <w:rsid w:val="00873B42"/>
    <w:rsid w:val="00876526"/>
    <w:rsid w:val="00876808"/>
    <w:rsid w:val="00876CF3"/>
    <w:rsid w:val="0087712F"/>
    <w:rsid w:val="008848F4"/>
    <w:rsid w:val="008856BC"/>
    <w:rsid w:val="008856D8"/>
    <w:rsid w:val="00886577"/>
    <w:rsid w:val="008865B7"/>
    <w:rsid w:val="00887234"/>
    <w:rsid w:val="00890562"/>
    <w:rsid w:val="0089057F"/>
    <w:rsid w:val="008905D4"/>
    <w:rsid w:val="008918FC"/>
    <w:rsid w:val="00892C03"/>
    <w:rsid w:val="00892E82"/>
    <w:rsid w:val="00894D67"/>
    <w:rsid w:val="008960D4"/>
    <w:rsid w:val="008963F0"/>
    <w:rsid w:val="00896DE8"/>
    <w:rsid w:val="008976CC"/>
    <w:rsid w:val="008979C0"/>
    <w:rsid w:val="008A03FB"/>
    <w:rsid w:val="008A10F0"/>
    <w:rsid w:val="008A12B3"/>
    <w:rsid w:val="008A22CD"/>
    <w:rsid w:val="008A53E1"/>
    <w:rsid w:val="008A65EE"/>
    <w:rsid w:val="008A6B79"/>
    <w:rsid w:val="008B2050"/>
    <w:rsid w:val="008B2B15"/>
    <w:rsid w:val="008B2B5D"/>
    <w:rsid w:val="008B7393"/>
    <w:rsid w:val="008B7EC9"/>
    <w:rsid w:val="008C135C"/>
    <w:rsid w:val="008C17B7"/>
    <w:rsid w:val="008C1B58"/>
    <w:rsid w:val="008C39AE"/>
    <w:rsid w:val="008C3BD2"/>
    <w:rsid w:val="008C4EE1"/>
    <w:rsid w:val="008C590D"/>
    <w:rsid w:val="008C59BC"/>
    <w:rsid w:val="008C620B"/>
    <w:rsid w:val="008C6DFD"/>
    <w:rsid w:val="008C76AD"/>
    <w:rsid w:val="008D0030"/>
    <w:rsid w:val="008D052E"/>
    <w:rsid w:val="008D0B83"/>
    <w:rsid w:val="008D1C37"/>
    <w:rsid w:val="008D2869"/>
    <w:rsid w:val="008D293F"/>
    <w:rsid w:val="008D2ABA"/>
    <w:rsid w:val="008D2E13"/>
    <w:rsid w:val="008D5B9B"/>
    <w:rsid w:val="008D66F2"/>
    <w:rsid w:val="008D75F1"/>
    <w:rsid w:val="008D76DB"/>
    <w:rsid w:val="008E031B"/>
    <w:rsid w:val="008E08DF"/>
    <w:rsid w:val="008E1703"/>
    <w:rsid w:val="008E3010"/>
    <w:rsid w:val="008E3459"/>
    <w:rsid w:val="008E4D49"/>
    <w:rsid w:val="008E4E5E"/>
    <w:rsid w:val="008E4EE9"/>
    <w:rsid w:val="008E523B"/>
    <w:rsid w:val="008E54C0"/>
    <w:rsid w:val="008E7029"/>
    <w:rsid w:val="008E7620"/>
    <w:rsid w:val="008E7CDD"/>
    <w:rsid w:val="008E7EF6"/>
    <w:rsid w:val="008F073D"/>
    <w:rsid w:val="008F08F1"/>
    <w:rsid w:val="008F0B71"/>
    <w:rsid w:val="008F17A7"/>
    <w:rsid w:val="008F1F98"/>
    <w:rsid w:val="008F2E52"/>
    <w:rsid w:val="008F3FBF"/>
    <w:rsid w:val="008F6758"/>
    <w:rsid w:val="008F67F1"/>
    <w:rsid w:val="008F6A3C"/>
    <w:rsid w:val="008F6A5A"/>
    <w:rsid w:val="008F7A1E"/>
    <w:rsid w:val="008F7ECD"/>
    <w:rsid w:val="008F7F4B"/>
    <w:rsid w:val="009011BA"/>
    <w:rsid w:val="00901A3F"/>
    <w:rsid w:val="009040DD"/>
    <w:rsid w:val="0090468A"/>
    <w:rsid w:val="00904C59"/>
    <w:rsid w:val="00905149"/>
    <w:rsid w:val="009059CA"/>
    <w:rsid w:val="00905B47"/>
    <w:rsid w:val="00905BC7"/>
    <w:rsid w:val="00905CBC"/>
    <w:rsid w:val="00905ED1"/>
    <w:rsid w:val="00907DFD"/>
    <w:rsid w:val="00910FF7"/>
    <w:rsid w:val="00912964"/>
    <w:rsid w:val="00912FA0"/>
    <w:rsid w:val="0091331C"/>
    <w:rsid w:val="0091739E"/>
    <w:rsid w:val="00917802"/>
    <w:rsid w:val="009179A3"/>
    <w:rsid w:val="009220A1"/>
    <w:rsid w:val="00922EFD"/>
    <w:rsid w:val="009238BD"/>
    <w:rsid w:val="00923B98"/>
    <w:rsid w:val="009279DE"/>
    <w:rsid w:val="00930116"/>
    <w:rsid w:val="009306BE"/>
    <w:rsid w:val="0093071D"/>
    <w:rsid w:val="00930B04"/>
    <w:rsid w:val="00931156"/>
    <w:rsid w:val="009319E5"/>
    <w:rsid w:val="00935354"/>
    <w:rsid w:val="00935CE0"/>
    <w:rsid w:val="00936AD5"/>
    <w:rsid w:val="0094212C"/>
    <w:rsid w:val="00943AD2"/>
    <w:rsid w:val="009442B9"/>
    <w:rsid w:val="00945AFE"/>
    <w:rsid w:val="009472FD"/>
    <w:rsid w:val="00947407"/>
    <w:rsid w:val="00953B4F"/>
    <w:rsid w:val="0095425F"/>
    <w:rsid w:val="00954689"/>
    <w:rsid w:val="00954C36"/>
    <w:rsid w:val="0095620F"/>
    <w:rsid w:val="00956B8F"/>
    <w:rsid w:val="0095792B"/>
    <w:rsid w:val="009617C9"/>
    <w:rsid w:val="00961BDA"/>
    <w:rsid w:val="00961C93"/>
    <w:rsid w:val="0096362B"/>
    <w:rsid w:val="0096490F"/>
    <w:rsid w:val="00965324"/>
    <w:rsid w:val="009679DA"/>
    <w:rsid w:val="00967A47"/>
    <w:rsid w:val="0097091E"/>
    <w:rsid w:val="009721DF"/>
    <w:rsid w:val="009724CA"/>
    <w:rsid w:val="009734DA"/>
    <w:rsid w:val="00974E80"/>
    <w:rsid w:val="00974EE3"/>
    <w:rsid w:val="009750DA"/>
    <w:rsid w:val="00975958"/>
    <w:rsid w:val="009760D3"/>
    <w:rsid w:val="00976FBA"/>
    <w:rsid w:val="00977132"/>
    <w:rsid w:val="0098047D"/>
    <w:rsid w:val="00981A4B"/>
    <w:rsid w:val="0098212D"/>
    <w:rsid w:val="00982501"/>
    <w:rsid w:val="009827C0"/>
    <w:rsid w:val="00984A84"/>
    <w:rsid w:val="00985009"/>
    <w:rsid w:val="00985BDE"/>
    <w:rsid w:val="00985D32"/>
    <w:rsid w:val="00986E43"/>
    <w:rsid w:val="009877D3"/>
    <w:rsid w:val="00987DAA"/>
    <w:rsid w:val="009933B4"/>
    <w:rsid w:val="009938CF"/>
    <w:rsid w:val="00994B20"/>
    <w:rsid w:val="00994E8F"/>
    <w:rsid w:val="009951DC"/>
    <w:rsid w:val="009959BB"/>
    <w:rsid w:val="009966E8"/>
    <w:rsid w:val="00997158"/>
    <w:rsid w:val="009A0544"/>
    <w:rsid w:val="009A3A7C"/>
    <w:rsid w:val="009A3ED5"/>
    <w:rsid w:val="009A41A5"/>
    <w:rsid w:val="009A42AF"/>
    <w:rsid w:val="009A45DC"/>
    <w:rsid w:val="009A6FF4"/>
    <w:rsid w:val="009A7502"/>
    <w:rsid w:val="009A7596"/>
    <w:rsid w:val="009B055C"/>
    <w:rsid w:val="009B1CE7"/>
    <w:rsid w:val="009B2ADB"/>
    <w:rsid w:val="009B3B62"/>
    <w:rsid w:val="009B4393"/>
    <w:rsid w:val="009B4C2E"/>
    <w:rsid w:val="009B5387"/>
    <w:rsid w:val="009B5984"/>
    <w:rsid w:val="009B5DF9"/>
    <w:rsid w:val="009B603A"/>
    <w:rsid w:val="009B7A35"/>
    <w:rsid w:val="009C2D0E"/>
    <w:rsid w:val="009C30B6"/>
    <w:rsid w:val="009C3DAC"/>
    <w:rsid w:val="009C3E61"/>
    <w:rsid w:val="009C42E0"/>
    <w:rsid w:val="009C4443"/>
    <w:rsid w:val="009C47FC"/>
    <w:rsid w:val="009C4CCB"/>
    <w:rsid w:val="009C6FDE"/>
    <w:rsid w:val="009D1149"/>
    <w:rsid w:val="009D197E"/>
    <w:rsid w:val="009D306F"/>
    <w:rsid w:val="009D311C"/>
    <w:rsid w:val="009D4A4E"/>
    <w:rsid w:val="009D4B39"/>
    <w:rsid w:val="009D4DC0"/>
    <w:rsid w:val="009D5362"/>
    <w:rsid w:val="009D6097"/>
    <w:rsid w:val="009D6118"/>
    <w:rsid w:val="009D6309"/>
    <w:rsid w:val="009D7EDF"/>
    <w:rsid w:val="009E1415"/>
    <w:rsid w:val="009E249C"/>
    <w:rsid w:val="009E28D8"/>
    <w:rsid w:val="009E4BD5"/>
    <w:rsid w:val="009E52F8"/>
    <w:rsid w:val="009E588A"/>
    <w:rsid w:val="009E5A35"/>
    <w:rsid w:val="009E5B0A"/>
    <w:rsid w:val="009E6116"/>
    <w:rsid w:val="009F155D"/>
    <w:rsid w:val="009F3B9B"/>
    <w:rsid w:val="009F4EFA"/>
    <w:rsid w:val="009F567D"/>
    <w:rsid w:val="009F6023"/>
    <w:rsid w:val="009F6A22"/>
    <w:rsid w:val="009F6D07"/>
    <w:rsid w:val="009F7402"/>
    <w:rsid w:val="00A02E43"/>
    <w:rsid w:val="00A038E0"/>
    <w:rsid w:val="00A03D21"/>
    <w:rsid w:val="00A05D09"/>
    <w:rsid w:val="00A065F9"/>
    <w:rsid w:val="00A06AF5"/>
    <w:rsid w:val="00A06D93"/>
    <w:rsid w:val="00A06F3F"/>
    <w:rsid w:val="00A07F34"/>
    <w:rsid w:val="00A104CE"/>
    <w:rsid w:val="00A12384"/>
    <w:rsid w:val="00A12BC6"/>
    <w:rsid w:val="00A12DCD"/>
    <w:rsid w:val="00A148EA"/>
    <w:rsid w:val="00A20244"/>
    <w:rsid w:val="00A22087"/>
    <w:rsid w:val="00A22138"/>
    <w:rsid w:val="00A22154"/>
    <w:rsid w:val="00A22A53"/>
    <w:rsid w:val="00A23355"/>
    <w:rsid w:val="00A233E7"/>
    <w:rsid w:val="00A236FF"/>
    <w:rsid w:val="00A24D71"/>
    <w:rsid w:val="00A25C38"/>
    <w:rsid w:val="00A2646B"/>
    <w:rsid w:val="00A31AC1"/>
    <w:rsid w:val="00A31F20"/>
    <w:rsid w:val="00A31FFF"/>
    <w:rsid w:val="00A32168"/>
    <w:rsid w:val="00A3354D"/>
    <w:rsid w:val="00A34786"/>
    <w:rsid w:val="00A36799"/>
    <w:rsid w:val="00A36BBE"/>
    <w:rsid w:val="00A410B8"/>
    <w:rsid w:val="00A421B0"/>
    <w:rsid w:val="00A422F1"/>
    <w:rsid w:val="00A4267C"/>
    <w:rsid w:val="00A427E7"/>
    <w:rsid w:val="00A4307A"/>
    <w:rsid w:val="00A46A16"/>
    <w:rsid w:val="00A47EBB"/>
    <w:rsid w:val="00A502C5"/>
    <w:rsid w:val="00A5116E"/>
    <w:rsid w:val="00A51C3C"/>
    <w:rsid w:val="00A51CDD"/>
    <w:rsid w:val="00A529C6"/>
    <w:rsid w:val="00A52EC7"/>
    <w:rsid w:val="00A5424C"/>
    <w:rsid w:val="00A55D18"/>
    <w:rsid w:val="00A568F9"/>
    <w:rsid w:val="00A573C1"/>
    <w:rsid w:val="00A57A31"/>
    <w:rsid w:val="00A60440"/>
    <w:rsid w:val="00A62401"/>
    <w:rsid w:val="00A6596D"/>
    <w:rsid w:val="00A65A5B"/>
    <w:rsid w:val="00A6730D"/>
    <w:rsid w:val="00A67A7E"/>
    <w:rsid w:val="00A71625"/>
    <w:rsid w:val="00A71863"/>
    <w:rsid w:val="00A71B9B"/>
    <w:rsid w:val="00A7274D"/>
    <w:rsid w:val="00A73310"/>
    <w:rsid w:val="00A74B1D"/>
    <w:rsid w:val="00A751C7"/>
    <w:rsid w:val="00A76BC5"/>
    <w:rsid w:val="00A80109"/>
    <w:rsid w:val="00A80349"/>
    <w:rsid w:val="00A8043E"/>
    <w:rsid w:val="00A81310"/>
    <w:rsid w:val="00A81EE9"/>
    <w:rsid w:val="00A81FE0"/>
    <w:rsid w:val="00A8243E"/>
    <w:rsid w:val="00A83EAE"/>
    <w:rsid w:val="00A86A1C"/>
    <w:rsid w:val="00A87844"/>
    <w:rsid w:val="00A90147"/>
    <w:rsid w:val="00A901CD"/>
    <w:rsid w:val="00A9131D"/>
    <w:rsid w:val="00A91526"/>
    <w:rsid w:val="00A917E6"/>
    <w:rsid w:val="00A92B2B"/>
    <w:rsid w:val="00A942AD"/>
    <w:rsid w:val="00AA038C"/>
    <w:rsid w:val="00AA31BE"/>
    <w:rsid w:val="00AA3979"/>
    <w:rsid w:val="00AA5374"/>
    <w:rsid w:val="00AA5DDE"/>
    <w:rsid w:val="00AA61CF"/>
    <w:rsid w:val="00AA64CA"/>
    <w:rsid w:val="00AA7A09"/>
    <w:rsid w:val="00AB040C"/>
    <w:rsid w:val="00AB3B50"/>
    <w:rsid w:val="00AB3F61"/>
    <w:rsid w:val="00AB4DE7"/>
    <w:rsid w:val="00AB4EF3"/>
    <w:rsid w:val="00AB534F"/>
    <w:rsid w:val="00AB553E"/>
    <w:rsid w:val="00AB58FB"/>
    <w:rsid w:val="00AB5D6E"/>
    <w:rsid w:val="00AB6FAC"/>
    <w:rsid w:val="00AB7B39"/>
    <w:rsid w:val="00AC05B1"/>
    <w:rsid w:val="00AC0755"/>
    <w:rsid w:val="00AC2D08"/>
    <w:rsid w:val="00AC34B8"/>
    <w:rsid w:val="00AC390B"/>
    <w:rsid w:val="00AC39FC"/>
    <w:rsid w:val="00AC5590"/>
    <w:rsid w:val="00AC667E"/>
    <w:rsid w:val="00AD1E33"/>
    <w:rsid w:val="00AD356C"/>
    <w:rsid w:val="00AD360B"/>
    <w:rsid w:val="00AD5329"/>
    <w:rsid w:val="00AD6109"/>
    <w:rsid w:val="00AD7FAD"/>
    <w:rsid w:val="00AE1345"/>
    <w:rsid w:val="00AE1693"/>
    <w:rsid w:val="00AE2280"/>
    <w:rsid w:val="00AE26E5"/>
    <w:rsid w:val="00AE2914"/>
    <w:rsid w:val="00AE292F"/>
    <w:rsid w:val="00AE2F66"/>
    <w:rsid w:val="00AE52C9"/>
    <w:rsid w:val="00AE5A69"/>
    <w:rsid w:val="00AE6926"/>
    <w:rsid w:val="00AE6D15"/>
    <w:rsid w:val="00AE7E19"/>
    <w:rsid w:val="00AF0720"/>
    <w:rsid w:val="00AF084A"/>
    <w:rsid w:val="00AF1571"/>
    <w:rsid w:val="00AF1A8A"/>
    <w:rsid w:val="00AF1B23"/>
    <w:rsid w:val="00AF1D6F"/>
    <w:rsid w:val="00AF1FB5"/>
    <w:rsid w:val="00AF2BF5"/>
    <w:rsid w:val="00AF477C"/>
    <w:rsid w:val="00AF5762"/>
    <w:rsid w:val="00AF6FC6"/>
    <w:rsid w:val="00AF70D0"/>
    <w:rsid w:val="00AF767E"/>
    <w:rsid w:val="00B01298"/>
    <w:rsid w:val="00B02B84"/>
    <w:rsid w:val="00B03259"/>
    <w:rsid w:val="00B03EFF"/>
    <w:rsid w:val="00B04182"/>
    <w:rsid w:val="00B04550"/>
    <w:rsid w:val="00B04A69"/>
    <w:rsid w:val="00B05EEB"/>
    <w:rsid w:val="00B07AE3"/>
    <w:rsid w:val="00B11430"/>
    <w:rsid w:val="00B152A8"/>
    <w:rsid w:val="00B170E6"/>
    <w:rsid w:val="00B201EF"/>
    <w:rsid w:val="00B2118E"/>
    <w:rsid w:val="00B21A95"/>
    <w:rsid w:val="00B21F0D"/>
    <w:rsid w:val="00B23D26"/>
    <w:rsid w:val="00B2466E"/>
    <w:rsid w:val="00B255CE"/>
    <w:rsid w:val="00B26058"/>
    <w:rsid w:val="00B260AE"/>
    <w:rsid w:val="00B263B5"/>
    <w:rsid w:val="00B26F61"/>
    <w:rsid w:val="00B27559"/>
    <w:rsid w:val="00B30147"/>
    <w:rsid w:val="00B30F67"/>
    <w:rsid w:val="00B33AEF"/>
    <w:rsid w:val="00B342C0"/>
    <w:rsid w:val="00B34EA7"/>
    <w:rsid w:val="00B35193"/>
    <w:rsid w:val="00B35276"/>
    <w:rsid w:val="00B353EB"/>
    <w:rsid w:val="00B35ED5"/>
    <w:rsid w:val="00B405DE"/>
    <w:rsid w:val="00B40E34"/>
    <w:rsid w:val="00B411F2"/>
    <w:rsid w:val="00B41A9E"/>
    <w:rsid w:val="00B42425"/>
    <w:rsid w:val="00B439C4"/>
    <w:rsid w:val="00B44392"/>
    <w:rsid w:val="00B4535E"/>
    <w:rsid w:val="00B46B47"/>
    <w:rsid w:val="00B479AC"/>
    <w:rsid w:val="00B47D8D"/>
    <w:rsid w:val="00B50F17"/>
    <w:rsid w:val="00B52A8C"/>
    <w:rsid w:val="00B52FA6"/>
    <w:rsid w:val="00B53A73"/>
    <w:rsid w:val="00B54C85"/>
    <w:rsid w:val="00B54E6A"/>
    <w:rsid w:val="00B551D3"/>
    <w:rsid w:val="00B55BBA"/>
    <w:rsid w:val="00B5652B"/>
    <w:rsid w:val="00B601FA"/>
    <w:rsid w:val="00B6039A"/>
    <w:rsid w:val="00B6089C"/>
    <w:rsid w:val="00B60A37"/>
    <w:rsid w:val="00B62F5B"/>
    <w:rsid w:val="00B630EB"/>
    <w:rsid w:val="00B636A8"/>
    <w:rsid w:val="00B658E2"/>
    <w:rsid w:val="00B6595A"/>
    <w:rsid w:val="00B66484"/>
    <w:rsid w:val="00B665C6"/>
    <w:rsid w:val="00B704C7"/>
    <w:rsid w:val="00B70571"/>
    <w:rsid w:val="00B71104"/>
    <w:rsid w:val="00B71FEC"/>
    <w:rsid w:val="00B7238B"/>
    <w:rsid w:val="00B733C6"/>
    <w:rsid w:val="00B73675"/>
    <w:rsid w:val="00B7394E"/>
    <w:rsid w:val="00B73B10"/>
    <w:rsid w:val="00B7672B"/>
    <w:rsid w:val="00B76751"/>
    <w:rsid w:val="00B77B2B"/>
    <w:rsid w:val="00B802B4"/>
    <w:rsid w:val="00B805AF"/>
    <w:rsid w:val="00B834CA"/>
    <w:rsid w:val="00B869EC"/>
    <w:rsid w:val="00B86ACB"/>
    <w:rsid w:val="00B8782C"/>
    <w:rsid w:val="00B9112B"/>
    <w:rsid w:val="00B9129D"/>
    <w:rsid w:val="00B9397A"/>
    <w:rsid w:val="00B93E0A"/>
    <w:rsid w:val="00B960DA"/>
    <w:rsid w:val="00B9633D"/>
    <w:rsid w:val="00BA1E81"/>
    <w:rsid w:val="00BA1ED6"/>
    <w:rsid w:val="00BA2427"/>
    <w:rsid w:val="00BA2E31"/>
    <w:rsid w:val="00BA2EBE"/>
    <w:rsid w:val="00BA2F31"/>
    <w:rsid w:val="00BA36AE"/>
    <w:rsid w:val="00BA4047"/>
    <w:rsid w:val="00BA4A08"/>
    <w:rsid w:val="00BA4C0D"/>
    <w:rsid w:val="00BA5D0C"/>
    <w:rsid w:val="00BA6AE0"/>
    <w:rsid w:val="00BA6FF1"/>
    <w:rsid w:val="00BB0F28"/>
    <w:rsid w:val="00BB17BC"/>
    <w:rsid w:val="00BB292A"/>
    <w:rsid w:val="00BB2DB7"/>
    <w:rsid w:val="00BB2F53"/>
    <w:rsid w:val="00BB3D64"/>
    <w:rsid w:val="00BB458A"/>
    <w:rsid w:val="00BB5647"/>
    <w:rsid w:val="00BB5E92"/>
    <w:rsid w:val="00BB637D"/>
    <w:rsid w:val="00BB7014"/>
    <w:rsid w:val="00BC0068"/>
    <w:rsid w:val="00BC0AFA"/>
    <w:rsid w:val="00BC143D"/>
    <w:rsid w:val="00BC162A"/>
    <w:rsid w:val="00BC1BA2"/>
    <w:rsid w:val="00BC1F7B"/>
    <w:rsid w:val="00BC2468"/>
    <w:rsid w:val="00BC26C5"/>
    <w:rsid w:val="00BC4323"/>
    <w:rsid w:val="00BC456D"/>
    <w:rsid w:val="00BC6B71"/>
    <w:rsid w:val="00BC7349"/>
    <w:rsid w:val="00BC7C09"/>
    <w:rsid w:val="00BD00D3"/>
    <w:rsid w:val="00BD03E8"/>
    <w:rsid w:val="00BD1069"/>
    <w:rsid w:val="00BD12CB"/>
    <w:rsid w:val="00BD12CE"/>
    <w:rsid w:val="00BD1659"/>
    <w:rsid w:val="00BD3AA9"/>
    <w:rsid w:val="00BD3CC4"/>
    <w:rsid w:val="00BD4A18"/>
    <w:rsid w:val="00BD5398"/>
    <w:rsid w:val="00BD5611"/>
    <w:rsid w:val="00BD6DB2"/>
    <w:rsid w:val="00BD6EB4"/>
    <w:rsid w:val="00BE01D7"/>
    <w:rsid w:val="00BE11CF"/>
    <w:rsid w:val="00BE1EF6"/>
    <w:rsid w:val="00BE1F5B"/>
    <w:rsid w:val="00BE21AB"/>
    <w:rsid w:val="00BE241F"/>
    <w:rsid w:val="00BE3D6D"/>
    <w:rsid w:val="00BE53B0"/>
    <w:rsid w:val="00BE55CB"/>
    <w:rsid w:val="00BE7648"/>
    <w:rsid w:val="00BE775A"/>
    <w:rsid w:val="00BE7C78"/>
    <w:rsid w:val="00BF004E"/>
    <w:rsid w:val="00BF0568"/>
    <w:rsid w:val="00BF06CB"/>
    <w:rsid w:val="00BF1361"/>
    <w:rsid w:val="00BF1F90"/>
    <w:rsid w:val="00BF1F93"/>
    <w:rsid w:val="00BF3574"/>
    <w:rsid w:val="00BF3B8E"/>
    <w:rsid w:val="00BF504E"/>
    <w:rsid w:val="00BF57C1"/>
    <w:rsid w:val="00BF5BF8"/>
    <w:rsid w:val="00BF617A"/>
    <w:rsid w:val="00BF7FCF"/>
    <w:rsid w:val="00C01F4A"/>
    <w:rsid w:val="00C025A6"/>
    <w:rsid w:val="00C02DE3"/>
    <w:rsid w:val="00C02FAE"/>
    <w:rsid w:val="00C03482"/>
    <w:rsid w:val="00C03714"/>
    <w:rsid w:val="00C0379D"/>
    <w:rsid w:val="00C03931"/>
    <w:rsid w:val="00C05BD7"/>
    <w:rsid w:val="00C05E87"/>
    <w:rsid w:val="00C05FE3"/>
    <w:rsid w:val="00C0793E"/>
    <w:rsid w:val="00C11575"/>
    <w:rsid w:val="00C1286E"/>
    <w:rsid w:val="00C136BE"/>
    <w:rsid w:val="00C14087"/>
    <w:rsid w:val="00C15C18"/>
    <w:rsid w:val="00C20648"/>
    <w:rsid w:val="00C20A7F"/>
    <w:rsid w:val="00C20EAC"/>
    <w:rsid w:val="00C2136D"/>
    <w:rsid w:val="00C214EE"/>
    <w:rsid w:val="00C21992"/>
    <w:rsid w:val="00C21F58"/>
    <w:rsid w:val="00C2314B"/>
    <w:rsid w:val="00C2320C"/>
    <w:rsid w:val="00C234A3"/>
    <w:rsid w:val="00C24971"/>
    <w:rsid w:val="00C2628B"/>
    <w:rsid w:val="00C26BE5"/>
    <w:rsid w:val="00C26E4D"/>
    <w:rsid w:val="00C27909"/>
    <w:rsid w:val="00C27B03"/>
    <w:rsid w:val="00C30216"/>
    <w:rsid w:val="00C304BA"/>
    <w:rsid w:val="00C3109F"/>
    <w:rsid w:val="00C314E1"/>
    <w:rsid w:val="00C32A7A"/>
    <w:rsid w:val="00C336E3"/>
    <w:rsid w:val="00C34397"/>
    <w:rsid w:val="00C35BF6"/>
    <w:rsid w:val="00C3776C"/>
    <w:rsid w:val="00C4095D"/>
    <w:rsid w:val="00C45886"/>
    <w:rsid w:val="00C46187"/>
    <w:rsid w:val="00C471A7"/>
    <w:rsid w:val="00C47AA4"/>
    <w:rsid w:val="00C47B51"/>
    <w:rsid w:val="00C47E28"/>
    <w:rsid w:val="00C509F1"/>
    <w:rsid w:val="00C52D3D"/>
    <w:rsid w:val="00C54279"/>
    <w:rsid w:val="00C542C4"/>
    <w:rsid w:val="00C546E6"/>
    <w:rsid w:val="00C5470F"/>
    <w:rsid w:val="00C550CE"/>
    <w:rsid w:val="00C56589"/>
    <w:rsid w:val="00C576DD"/>
    <w:rsid w:val="00C601D2"/>
    <w:rsid w:val="00C612FD"/>
    <w:rsid w:val="00C621FB"/>
    <w:rsid w:val="00C6255F"/>
    <w:rsid w:val="00C632FA"/>
    <w:rsid w:val="00C6482A"/>
    <w:rsid w:val="00C65652"/>
    <w:rsid w:val="00C65661"/>
    <w:rsid w:val="00C65BCC"/>
    <w:rsid w:val="00C66970"/>
    <w:rsid w:val="00C6723C"/>
    <w:rsid w:val="00C702DA"/>
    <w:rsid w:val="00C703C4"/>
    <w:rsid w:val="00C7253A"/>
    <w:rsid w:val="00C73D6F"/>
    <w:rsid w:val="00C73F82"/>
    <w:rsid w:val="00C7497E"/>
    <w:rsid w:val="00C74DAE"/>
    <w:rsid w:val="00C76B3A"/>
    <w:rsid w:val="00C77565"/>
    <w:rsid w:val="00C77938"/>
    <w:rsid w:val="00C812CB"/>
    <w:rsid w:val="00C81946"/>
    <w:rsid w:val="00C828AB"/>
    <w:rsid w:val="00C85774"/>
    <w:rsid w:val="00C8691C"/>
    <w:rsid w:val="00C87458"/>
    <w:rsid w:val="00C87E74"/>
    <w:rsid w:val="00C904C2"/>
    <w:rsid w:val="00C93ECD"/>
    <w:rsid w:val="00C9589A"/>
    <w:rsid w:val="00C96025"/>
    <w:rsid w:val="00C97412"/>
    <w:rsid w:val="00CA09AB"/>
    <w:rsid w:val="00CA1064"/>
    <w:rsid w:val="00CA12FB"/>
    <w:rsid w:val="00CA168A"/>
    <w:rsid w:val="00CA1F78"/>
    <w:rsid w:val="00CA25E6"/>
    <w:rsid w:val="00CA271A"/>
    <w:rsid w:val="00CA34E3"/>
    <w:rsid w:val="00CA357E"/>
    <w:rsid w:val="00CA39EF"/>
    <w:rsid w:val="00CA3F1B"/>
    <w:rsid w:val="00CA44F9"/>
    <w:rsid w:val="00CA49AF"/>
    <w:rsid w:val="00CA4A69"/>
    <w:rsid w:val="00CA5416"/>
    <w:rsid w:val="00CA6D2D"/>
    <w:rsid w:val="00CB13C9"/>
    <w:rsid w:val="00CB17DF"/>
    <w:rsid w:val="00CB1B2C"/>
    <w:rsid w:val="00CB1EDB"/>
    <w:rsid w:val="00CB2502"/>
    <w:rsid w:val="00CB2A3C"/>
    <w:rsid w:val="00CB399B"/>
    <w:rsid w:val="00CB4903"/>
    <w:rsid w:val="00CB4C2A"/>
    <w:rsid w:val="00CB589B"/>
    <w:rsid w:val="00CB739E"/>
    <w:rsid w:val="00CB7A76"/>
    <w:rsid w:val="00CC3E0C"/>
    <w:rsid w:val="00CC48A7"/>
    <w:rsid w:val="00CC58D3"/>
    <w:rsid w:val="00CC608B"/>
    <w:rsid w:val="00CC784D"/>
    <w:rsid w:val="00CD06B1"/>
    <w:rsid w:val="00CD09F9"/>
    <w:rsid w:val="00CD0C57"/>
    <w:rsid w:val="00CD0D00"/>
    <w:rsid w:val="00CD17E7"/>
    <w:rsid w:val="00CD2790"/>
    <w:rsid w:val="00CD2F90"/>
    <w:rsid w:val="00CD3530"/>
    <w:rsid w:val="00CD3B24"/>
    <w:rsid w:val="00CD3DFB"/>
    <w:rsid w:val="00CD7059"/>
    <w:rsid w:val="00CD75DF"/>
    <w:rsid w:val="00CE16B6"/>
    <w:rsid w:val="00CE1983"/>
    <w:rsid w:val="00CE23E9"/>
    <w:rsid w:val="00CE2CD3"/>
    <w:rsid w:val="00CE36BF"/>
    <w:rsid w:val="00CE4A59"/>
    <w:rsid w:val="00CE4E3B"/>
    <w:rsid w:val="00CE578B"/>
    <w:rsid w:val="00CE5FEC"/>
    <w:rsid w:val="00CE63B1"/>
    <w:rsid w:val="00CE6850"/>
    <w:rsid w:val="00CE69E7"/>
    <w:rsid w:val="00CE704E"/>
    <w:rsid w:val="00CE76FB"/>
    <w:rsid w:val="00CE7F43"/>
    <w:rsid w:val="00CF13A5"/>
    <w:rsid w:val="00CF1BCA"/>
    <w:rsid w:val="00CF2D52"/>
    <w:rsid w:val="00CF44A7"/>
    <w:rsid w:val="00CF5009"/>
    <w:rsid w:val="00D005AB"/>
    <w:rsid w:val="00D00E5E"/>
    <w:rsid w:val="00D02317"/>
    <w:rsid w:val="00D0337B"/>
    <w:rsid w:val="00D042B8"/>
    <w:rsid w:val="00D04A29"/>
    <w:rsid w:val="00D04A40"/>
    <w:rsid w:val="00D05C4A"/>
    <w:rsid w:val="00D06620"/>
    <w:rsid w:val="00D06B96"/>
    <w:rsid w:val="00D06BF4"/>
    <w:rsid w:val="00D079B2"/>
    <w:rsid w:val="00D07F24"/>
    <w:rsid w:val="00D1016D"/>
    <w:rsid w:val="00D10C45"/>
    <w:rsid w:val="00D10F79"/>
    <w:rsid w:val="00D114E9"/>
    <w:rsid w:val="00D11A16"/>
    <w:rsid w:val="00D12128"/>
    <w:rsid w:val="00D13C7E"/>
    <w:rsid w:val="00D141A0"/>
    <w:rsid w:val="00D15933"/>
    <w:rsid w:val="00D15B00"/>
    <w:rsid w:val="00D15DCA"/>
    <w:rsid w:val="00D168F6"/>
    <w:rsid w:val="00D20E17"/>
    <w:rsid w:val="00D225F8"/>
    <w:rsid w:val="00D2387F"/>
    <w:rsid w:val="00D23C89"/>
    <w:rsid w:val="00D23E9C"/>
    <w:rsid w:val="00D24D4B"/>
    <w:rsid w:val="00D24FE4"/>
    <w:rsid w:val="00D2665E"/>
    <w:rsid w:val="00D26C60"/>
    <w:rsid w:val="00D26D39"/>
    <w:rsid w:val="00D26F70"/>
    <w:rsid w:val="00D27361"/>
    <w:rsid w:val="00D27856"/>
    <w:rsid w:val="00D27AC9"/>
    <w:rsid w:val="00D30C5F"/>
    <w:rsid w:val="00D317AA"/>
    <w:rsid w:val="00D3383B"/>
    <w:rsid w:val="00D34C55"/>
    <w:rsid w:val="00D364B0"/>
    <w:rsid w:val="00D369AD"/>
    <w:rsid w:val="00D369CE"/>
    <w:rsid w:val="00D37416"/>
    <w:rsid w:val="00D40771"/>
    <w:rsid w:val="00D41D09"/>
    <w:rsid w:val="00D4296B"/>
    <w:rsid w:val="00D429C6"/>
    <w:rsid w:val="00D45B0D"/>
    <w:rsid w:val="00D46254"/>
    <w:rsid w:val="00D4677E"/>
    <w:rsid w:val="00D46794"/>
    <w:rsid w:val="00D47249"/>
    <w:rsid w:val="00D47748"/>
    <w:rsid w:val="00D52EA7"/>
    <w:rsid w:val="00D53796"/>
    <w:rsid w:val="00D54BD6"/>
    <w:rsid w:val="00D54CC3"/>
    <w:rsid w:val="00D56570"/>
    <w:rsid w:val="00D57F27"/>
    <w:rsid w:val="00D6041A"/>
    <w:rsid w:val="00D6144B"/>
    <w:rsid w:val="00D61B29"/>
    <w:rsid w:val="00D62640"/>
    <w:rsid w:val="00D6334E"/>
    <w:rsid w:val="00D633EB"/>
    <w:rsid w:val="00D636A7"/>
    <w:rsid w:val="00D648D7"/>
    <w:rsid w:val="00D6554D"/>
    <w:rsid w:val="00D65886"/>
    <w:rsid w:val="00D707F0"/>
    <w:rsid w:val="00D70899"/>
    <w:rsid w:val="00D711BF"/>
    <w:rsid w:val="00D71AB4"/>
    <w:rsid w:val="00D7201E"/>
    <w:rsid w:val="00D747D8"/>
    <w:rsid w:val="00D74900"/>
    <w:rsid w:val="00D750FA"/>
    <w:rsid w:val="00D75178"/>
    <w:rsid w:val="00D76540"/>
    <w:rsid w:val="00D80E9D"/>
    <w:rsid w:val="00D815F0"/>
    <w:rsid w:val="00D81818"/>
    <w:rsid w:val="00D81BC6"/>
    <w:rsid w:val="00D8244B"/>
    <w:rsid w:val="00D82FF7"/>
    <w:rsid w:val="00D83DDF"/>
    <w:rsid w:val="00D847FE"/>
    <w:rsid w:val="00D854AA"/>
    <w:rsid w:val="00D858A7"/>
    <w:rsid w:val="00D86C8B"/>
    <w:rsid w:val="00D86F0E"/>
    <w:rsid w:val="00D873D8"/>
    <w:rsid w:val="00D901F7"/>
    <w:rsid w:val="00D915EC"/>
    <w:rsid w:val="00D926D2"/>
    <w:rsid w:val="00D93449"/>
    <w:rsid w:val="00D93810"/>
    <w:rsid w:val="00D9393A"/>
    <w:rsid w:val="00D95ADF"/>
    <w:rsid w:val="00D964EA"/>
    <w:rsid w:val="00D966D0"/>
    <w:rsid w:val="00D96FA2"/>
    <w:rsid w:val="00D9720A"/>
    <w:rsid w:val="00D972EB"/>
    <w:rsid w:val="00D97461"/>
    <w:rsid w:val="00D9789E"/>
    <w:rsid w:val="00DA0838"/>
    <w:rsid w:val="00DA0C59"/>
    <w:rsid w:val="00DA1E84"/>
    <w:rsid w:val="00DA23D5"/>
    <w:rsid w:val="00DA3991"/>
    <w:rsid w:val="00DA46A9"/>
    <w:rsid w:val="00DA560A"/>
    <w:rsid w:val="00DA56E7"/>
    <w:rsid w:val="00DA5F0A"/>
    <w:rsid w:val="00DA61E4"/>
    <w:rsid w:val="00DB1F97"/>
    <w:rsid w:val="00DB2826"/>
    <w:rsid w:val="00DB2A94"/>
    <w:rsid w:val="00DB364F"/>
    <w:rsid w:val="00DB38D3"/>
    <w:rsid w:val="00DB7250"/>
    <w:rsid w:val="00DB7E6C"/>
    <w:rsid w:val="00DC20A6"/>
    <w:rsid w:val="00DC2E57"/>
    <w:rsid w:val="00DC377B"/>
    <w:rsid w:val="00DC4320"/>
    <w:rsid w:val="00DC727F"/>
    <w:rsid w:val="00DD0254"/>
    <w:rsid w:val="00DD141E"/>
    <w:rsid w:val="00DD14DD"/>
    <w:rsid w:val="00DD2D22"/>
    <w:rsid w:val="00DD3986"/>
    <w:rsid w:val="00DD3A2C"/>
    <w:rsid w:val="00DD3C53"/>
    <w:rsid w:val="00DD5A29"/>
    <w:rsid w:val="00DD5D9D"/>
    <w:rsid w:val="00DD5DE9"/>
    <w:rsid w:val="00DD70C7"/>
    <w:rsid w:val="00DD78CD"/>
    <w:rsid w:val="00DE0A40"/>
    <w:rsid w:val="00DE2A2D"/>
    <w:rsid w:val="00DE2A79"/>
    <w:rsid w:val="00DE3486"/>
    <w:rsid w:val="00DE35CB"/>
    <w:rsid w:val="00DE3B4E"/>
    <w:rsid w:val="00DE3EE7"/>
    <w:rsid w:val="00DE49E7"/>
    <w:rsid w:val="00DE55B6"/>
    <w:rsid w:val="00DE5A2B"/>
    <w:rsid w:val="00DE5A38"/>
    <w:rsid w:val="00DE7CC5"/>
    <w:rsid w:val="00DF0537"/>
    <w:rsid w:val="00DF0E9C"/>
    <w:rsid w:val="00DF21E9"/>
    <w:rsid w:val="00DF2A0B"/>
    <w:rsid w:val="00DF2FCE"/>
    <w:rsid w:val="00DF3486"/>
    <w:rsid w:val="00DF3C8E"/>
    <w:rsid w:val="00DF434E"/>
    <w:rsid w:val="00DF6660"/>
    <w:rsid w:val="00DF6BAF"/>
    <w:rsid w:val="00DF6E60"/>
    <w:rsid w:val="00DF6EF5"/>
    <w:rsid w:val="00E006F2"/>
    <w:rsid w:val="00E00F14"/>
    <w:rsid w:val="00E012AF"/>
    <w:rsid w:val="00E013DD"/>
    <w:rsid w:val="00E02108"/>
    <w:rsid w:val="00E024F9"/>
    <w:rsid w:val="00E02BCA"/>
    <w:rsid w:val="00E030AF"/>
    <w:rsid w:val="00E036DA"/>
    <w:rsid w:val="00E03A59"/>
    <w:rsid w:val="00E04891"/>
    <w:rsid w:val="00E050BD"/>
    <w:rsid w:val="00E05A55"/>
    <w:rsid w:val="00E06386"/>
    <w:rsid w:val="00E06A02"/>
    <w:rsid w:val="00E06F1F"/>
    <w:rsid w:val="00E1128F"/>
    <w:rsid w:val="00E11D4B"/>
    <w:rsid w:val="00E133A9"/>
    <w:rsid w:val="00E13C87"/>
    <w:rsid w:val="00E14EA2"/>
    <w:rsid w:val="00E15B78"/>
    <w:rsid w:val="00E16705"/>
    <w:rsid w:val="00E16C13"/>
    <w:rsid w:val="00E16CB9"/>
    <w:rsid w:val="00E24EB4"/>
    <w:rsid w:val="00E254C9"/>
    <w:rsid w:val="00E25BB5"/>
    <w:rsid w:val="00E264E7"/>
    <w:rsid w:val="00E30067"/>
    <w:rsid w:val="00E311B1"/>
    <w:rsid w:val="00E31545"/>
    <w:rsid w:val="00E320ED"/>
    <w:rsid w:val="00E33AFB"/>
    <w:rsid w:val="00E33EB6"/>
    <w:rsid w:val="00E34071"/>
    <w:rsid w:val="00E34218"/>
    <w:rsid w:val="00E359F1"/>
    <w:rsid w:val="00E4048D"/>
    <w:rsid w:val="00E4144A"/>
    <w:rsid w:val="00E419F9"/>
    <w:rsid w:val="00E42171"/>
    <w:rsid w:val="00E425EA"/>
    <w:rsid w:val="00E42B6A"/>
    <w:rsid w:val="00E43B86"/>
    <w:rsid w:val="00E446D4"/>
    <w:rsid w:val="00E46282"/>
    <w:rsid w:val="00E478A5"/>
    <w:rsid w:val="00E51E09"/>
    <w:rsid w:val="00E5216E"/>
    <w:rsid w:val="00E5482C"/>
    <w:rsid w:val="00E54DC9"/>
    <w:rsid w:val="00E55049"/>
    <w:rsid w:val="00E558B6"/>
    <w:rsid w:val="00E56640"/>
    <w:rsid w:val="00E569CC"/>
    <w:rsid w:val="00E56B7D"/>
    <w:rsid w:val="00E56F59"/>
    <w:rsid w:val="00E57B54"/>
    <w:rsid w:val="00E61910"/>
    <w:rsid w:val="00E62E71"/>
    <w:rsid w:val="00E62F81"/>
    <w:rsid w:val="00E6400A"/>
    <w:rsid w:val="00E66C59"/>
    <w:rsid w:val="00E71171"/>
    <w:rsid w:val="00E71187"/>
    <w:rsid w:val="00E74792"/>
    <w:rsid w:val="00E7606F"/>
    <w:rsid w:val="00E76C65"/>
    <w:rsid w:val="00E776EB"/>
    <w:rsid w:val="00E80660"/>
    <w:rsid w:val="00E80690"/>
    <w:rsid w:val="00E80EAC"/>
    <w:rsid w:val="00E80ED1"/>
    <w:rsid w:val="00E81166"/>
    <w:rsid w:val="00E8223E"/>
    <w:rsid w:val="00E82344"/>
    <w:rsid w:val="00E82F14"/>
    <w:rsid w:val="00E83066"/>
    <w:rsid w:val="00E84411"/>
    <w:rsid w:val="00E84C82"/>
    <w:rsid w:val="00E84D64"/>
    <w:rsid w:val="00E84EC6"/>
    <w:rsid w:val="00E85872"/>
    <w:rsid w:val="00E85D1A"/>
    <w:rsid w:val="00E85E77"/>
    <w:rsid w:val="00E86852"/>
    <w:rsid w:val="00E86F35"/>
    <w:rsid w:val="00E87408"/>
    <w:rsid w:val="00E877F9"/>
    <w:rsid w:val="00E90867"/>
    <w:rsid w:val="00E911AF"/>
    <w:rsid w:val="00E912D7"/>
    <w:rsid w:val="00E914C4"/>
    <w:rsid w:val="00E934F5"/>
    <w:rsid w:val="00E936F5"/>
    <w:rsid w:val="00E937DD"/>
    <w:rsid w:val="00E950E3"/>
    <w:rsid w:val="00E95EBB"/>
    <w:rsid w:val="00E965A9"/>
    <w:rsid w:val="00E96961"/>
    <w:rsid w:val="00E96D59"/>
    <w:rsid w:val="00E96ECF"/>
    <w:rsid w:val="00E975F1"/>
    <w:rsid w:val="00E979A2"/>
    <w:rsid w:val="00EA0AC1"/>
    <w:rsid w:val="00EA17ED"/>
    <w:rsid w:val="00EA25BC"/>
    <w:rsid w:val="00EA373D"/>
    <w:rsid w:val="00EA420D"/>
    <w:rsid w:val="00EA72EC"/>
    <w:rsid w:val="00EA7B55"/>
    <w:rsid w:val="00EB082D"/>
    <w:rsid w:val="00EB0B8F"/>
    <w:rsid w:val="00EB11CB"/>
    <w:rsid w:val="00EB275A"/>
    <w:rsid w:val="00EB440F"/>
    <w:rsid w:val="00EB533E"/>
    <w:rsid w:val="00EB786A"/>
    <w:rsid w:val="00EB7A6C"/>
    <w:rsid w:val="00EC0575"/>
    <w:rsid w:val="00EC0C7E"/>
    <w:rsid w:val="00EC11A3"/>
    <w:rsid w:val="00EC1438"/>
    <w:rsid w:val="00EC1578"/>
    <w:rsid w:val="00EC1C72"/>
    <w:rsid w:val="00EC1FAC"/>
    <w:rsid w:val="00EC37EB"/>
    <w:rsid w:val="00EC3CC9"/>
    <w:rsid w:val="00EC3DA1"/>
    <w:rsid w:val="00EC47A7"/>
    <w:rsid w:val="00EC4DFC"/>
    <w:rsid w:val="00EC680A"/>
    <w:rsid w:val="00EC6DAB"/>
    <w:rsid w:val="00EC6FF2"/>
    <w:rsid w:val="00EC7466"/>
    <w:rsid w:val="00ED0A88"/>
    <w:rsid w:val="00ED15BD"/>
    <w:rsid w:val="00ED1771"/>
    <w:rsid w:val="00ED18A4"/>
    <w:rsid w:val="00ED2201"/>
    <w:rsid w:val="00ED411C"/>
    <w:rsid w:val="00ED4496"/>
    <w:rsid w:val="00ED5DD2"/>
    <w:rsid w:val="00ED67CF"/>
    <w:rsid w:val="00ED746E"/>
    <w:rsid w:val="00EE08C5"/>
    <w:rsid w:val="00EE1D73"/>
    <w:rsid w:val="00EE2BED"/>
    <w:rsid w:val="00EE3117"/>
    <w:rsid w:val="00EE349A"/>
    <w:rsid w:val="00EE374B"/>
    <w:rsid w:val="00EE78BD"/>
    <w:rsid w:val="00EF1125"/>
    <w:rsid w:val="00EF1DB3"/>
    <w:rsid w:val="00EF1F2D"/>
    <w:rsid w:val="00EF3D6B"/>
    <w:rsid w:val="00EF4B52"/>
    <w:rsid w:val="00EF746B"/>
    <w:rsid w:val="00F00008"/>
    <w:rsid w:val="00F0063D"/>
    <w:rsid w:val="00F00949"/>
    <w:rsid w:val="00F01E3C"/>
    <w:rsid w:val="00F02AA0"/>
    <w:rsid w:val="00F03669"/>
    <w:rsid w:val="00F03E33"/>
    <w:rsid w:val="00F047EB"/>
    <w:rsid w:val="00F04F77"/>
    <w:rsid w:val="00F0516A"/>
    <w:rsid w:val="00F07155"/>
    <w:rsid w:val="00F1003F"/>
    <w:rsid w:val="00F10911"/>
    <w:rsid w:val="00F10DE1"/>
    <w:rsid w:val="00F11485"/>
    <w:rsid w:val="00F11624"/>
    <w:rsid w:val="00F11AD4"/>
    <w:rsid w:val="00F11BB5"/>
    <w:rsid w:val="00F11C31"/>
    <w:rsid w:val="00F139C4"/>
    <w:rsid w:val="00F1417B"/>
    <w:rsid w:val="00F1439B"/>
    <w:rsid w:val="00F15E7B"/>
    <w:rsid w:val="00F161BB"/>
    <w:rsid w:val="00F165C7"/>
    <w:rsid w:val="00F16BC6"/>
    <w:rsid w:val="00F20593"/>
    <w:rsid w:val="00F21126"/>
    <w:rsid w:val="00F21690"/>
    <w:rsid w:val="00F23DEF"/>
    <w:rsid w:val="00F266AD"/>
    <w:rsid w:val="00F276E1"/>
    <w:rsid w:val="00F27CD7"/>
    <w:rsid w:val="00F316C6"/>
    <w:rsid w:val="00F32840"/>
    <w:rsid w:val="00F3328D"/>
    <w:rsid w:val="00F346C1"/>
    <w:rsid w:val="00F34B99"/>
    <w:rsid w:val="00F35975"/>
    <w:rsid w:val="00F36D9A"/>
    <w:rsid w:val="00F371D7"/>
    <w:rsid w:val="00F40C63"/>
    <w:rsid w:val="00F41309"/>
    <w:rsid w:val="00F41942"/>
    <w:rsid w:val="00F41D66"/>
    <w:rsid w:val="00F426F0"/>
    <w:rsid w:val="00F42991"/>
    <w:rsid w:val="00F43B25"/>
    <w:rsid w:val="00F44D67"/>
    <w:rsid w:val="00F44E4E"/>
    <w:rsid w:val="00F47845"/>
    <w:rsid w:val="00F50A2D"/>
    <w:rsid w:val="00F5283F"/>
    <w:rsid w:val="00F52DAB"/>
    <w:rsid w:val="00F541AF"/>
    <w:rsid w:val="00F543F0"/>
    <w:rsid w:val="00F55EBE"/>
    <w:rsid w:val="00F57610"/>
    <w:rsid w:val="00F57616"/>
    <w:rsid w:val="00F60995"/>
    <w:rsid w:val="00F61738"/>
    <w:rsid w:val="00F617F4"/>
    <w:rsid w:val="00F61805"/>
    <w:rsid w:val="00F62322"/>
    <w:rsid w:val="00F6582C"/>
    <w:rsid w:val="00F66AD6"/>
    <w:rsid w:val="00F70249"/>
    <w:rsid w:val="00F704EB"/>
    <w:rsid w:val="00F70986"/>
    <w:rsid w:val="00F70DF2"/>
    <w:rsid w:val="00F7515B"/>
    <w:rsid w:val="00F752EF"/>
    <w:rsid w:val="00F764A8"/>
    <w:rsid w:val="00F7705A"/>
    <w:rsid w:val="00F81D29"/>
    <w:rsid w:val="00F84679"/>
    <w:rsid w:val="00F84EFE"/>
    <w:rsid w:val="00F84FB3"/>
    <w:rsid w:val="00F855B7"/>
    <w:rsid w:val="00F86593"/>
    <w:rsid w:val="00F866F6"/>
    <w:rsid w:val="00F87142"/>
    <w:rsid w:val="00F87C50"/>
    <w:rsid w:val="00F911FC"/>
    <w:rsid w:val="00F913EA"/>
    <w:rsid w:val="00F91C4D"/>
    <w:rsid w:val="00F92DB7"/>
    <w:rsid w:val="00F92FD9"/>
    <w:rsid w:val="00F934E7"/>
    <w:rsid w:val="00F93BCB"/>
    <w:rsid w:val="00F94308"/>
    <w:rsid w:val="00F979E8"/>
    <w:rsid w:val="00F97F51"/>
    <w:rsid w:val="00F97F9E"/>
    <w:rsid w:val="00FA323C"/>
    <w:rsid w:val="00FA37B0"/>
    <w:rsid w:val="00FA3E8B"/>
    <w:rsid w:val="00FA656E"/>
    <w:rsid w:val="00FA6684"/>
    <w:rsid w:val="00FA731E"/>
    <w:rsid w:val="00FA7801"/>
    <w:rsid w:val="00FB1B99"/>
    <w:rsid w:val="00FB210F"/>
    <w:rsid w:val="00FB28D7"/>
    <w:rsid w:val="00FB2B38"/>
    <w:rsid w:val="00FB3CB0"/>
    <w:rsid w:val="00FB49BB"/>
    <w:rsid w:val="00FB50BB"/>
    <w:rsid w:val="00FB5F29"/>
    <w:rsid w:val="00FB6D39"/>
    <w:rsid w:val="00FB79A5"/>
    <w:rsid w:val="00FC325D"/>
    <w:rsid w:val="00FC3C83"/>
    <w:rsid w:val="00FC6358"/>
    <w:rsid w:val="00FC707F"/>
    <w:rsid w:val="00FD2275"/>
    <w:rsid w:val="00FD2663"/>
    <w:rsid w:val="00FD320D"/>
    <w:rsid w:val="00FD3C17"/>
    <w:rsid w:val="00FD42F6"/>
    <w:rsid w:val="00FD650A"/>
    <w:rsid w:val="00FD6A10"/>
    <w:rsid w:val="00FD6DC5"/>
    <w:rsid w:val="00FE053C"/>
    <w:rsid w:val="00FE182A"/>
    <w:rsid w:val="00FE2306"/>
    <w:rsid w:val="00FE23DE"/>
    <w:rsid w:val="00FE2CE0"/>
    <w:rsid w:val="00FE56D6"/>
    <w:rsid w:val="00FE5CB1"/>
    <w:rsid w:val="00FE6071"/>
    <w:rsid w:val="00FE62F8"/>
    <w:rsid w:val="00FE7868"/>
    <w:rsid w:val="00FF2251"/>
    <w:rsid w:val="00FF24A7"/>
    <w:rsid w:val="00FF3871"/>
    <w:rsid w:val="00FF536B"/>
    <w:rsid w:val="00FF663C"/>
    <w:rsid w:val="00FF6A83"/>
    <w:rsid w:val="00FF786B"/>
    <w:rsid w:val="012D0134"/>
    <w:rsid w:val="017E6AD3"/>
    <w:rsid w:val="01A622F0"/>
    <w:rsid w:val="01CC7417"/>
    <w:rsid w:val="02D66925"/>
    <w:rsid w:val="0318438B"/>
    <w:rsid w:val="037C58A6"/>
    <w:rsid w:val="03B61558"/>
    <w:rsid w:val="045D527D"/>
    <w:rsid w:val="048D559B"/>
    <w:rsid w:val="054D15A5"/>
    <w:rsid w:val="055B42CE"/>
    <w:rsid w:val="05740424"/>
    <w:rsid w:val="05B47CD3"/>
    <w:rsid w:val="05BB5AAB"/>
    <w:rsid w:val="05DF7570"/>
    <w:rsid w:val="064E7988"/>
    <w:rsid w:val="065A0A5C"/>
    <w:rsid w:val="06A63C71"/>
    <w:rsid w:val="070A09C8"/>
    <w:rsid w:val="0740241A"/>
    <w:rsid w:val="07410794"/>
    <w:rsid w:val="0764332B"/>
    <w:rsid w:val="07C907C7"/>
    <w:rsid w:val="085D3388"/>
    <w:rsid w:val="087263EA"/>
    <w:rsid w:val="08D30E58"/>
    <w:rsid w:val="091F7893"/>
    <w:rsid w:val="09607369"/>
    <w:rsid w:val="098A5BA8"/>
    <w:rsid w:val="09E36934"/>
    <w:rsid w:val="0A6A41E3"/>
    <w:rsid w:val="0A746F39"/>
    <w:rsid w:val="0AD94E5C"/>
    <w:rsid w:val="0B234F31"/>
    <w:rsid w:val="0BD95EB2"/>
    <w:rsid w:val="0BFD291A"/>
    <w:rsid w:val="0BFF7873"/>
    <w:rsid w:val="0C0174B3"/>
    <w:rsid w:val="0C4C1E34"/>
    <w:rsid w:val="0C6A6A0C"/>
    <w:rsid w:val="0CF95C38"/>
    <w:rsid w:val="0D91425A"/>
    <w:rsid w:val="0DAC56D5"/>
    <w:rsid w:val="0DB84299"/>
    <w:rsid w:val="0DE45BDF"/>
    <w:rsid w:val="0DF5500B"/>
    <w:rsid w:val="0DFC1E1E"/>
    <w:rsid w:val="0E63041C"/>
    <w:rsid w:val="0EA444C8"/>
    <w:rsid w:val="0EAE6090"/>
    <w:rsid w:val="0ED97846"/>
    <w:rsid w:val="0EE14277"/>
    <w:rsid w:val="0F0A525B"/>
    <w:rsid w:val="0F0D35AD"/>
    <w:rsid w:val="0F1D79A0"/>
    <w:rsid w:val="0F44295E"/>
    <w:rsid w:val="0F594146"/>
    <w:rsid w:val="0F6070F6"/>
    <w:rsid w:val="0F7F2C14"/>
    <w:rsid w:val="0FAB0BC1"/>
    <w:rsid w:val="1002006C"/>
    <w:rsid w:val="10242012"/>
    <w:rsid w:val="102B1EE9"/>
    <w:rsid w:val="10943A1C"/>
    <w:rsid w:val="11162E46"/>
    <w:rsid w:val="11451CB7"/>
    <w:rsid w:val="115D6AC2"/>
    <w:rsid w:val="11710BC6"/>
    <w:rsid w:val="12522222"/>
    <w:rsid w:val="125B3EF9"/>
    <w:rsid w:val="12DD1A17"/>
    <w:rsid w:val="13735B6B"/>
    <w:rsid w:val="13F64655"/>
    <w:rsid w:val="142A4679"/>
    <w:rsid w:val="143E55B9"/>
    <w:rsid w:val="149C5DF3"/>
    <w:rsid w:val="149F6C71"/>
    <w:rsid w:val="14B86D0D"/>
    <w:rsid w:val="161B3D6B"/>
    <w:rsid w:val="16224EC6"/>
    <w:rsid w:val="168B6260"/>
    <w:rsid w:val="16BD5408"/>
    <w:rsid w:val="16D57556"/>
    <w:rsid w:val="172945DD"/>
    <w:rsid w:val="173F3425"/>
    <w:rsid w:val="174255C4"/>
    <w:rsid w:val="1752072F"/>
    <w:rsid w:val="19075D21"/>
    <w:rsid w:val="197A3EA4"/>
    <w:rsid w:val="199137FD"/>
    <w:rsid w:val="19972F90"/>
    <w:rsid w:val="19C3310D"/>
    <w:rsid w:val="19D9315D"/>
    <w:rsid w:val="1A1C543C"/>
    <w:rsid w:val="1A227691"/>
    <w:rsid w:val="1A7D166C"/>
    <w:rsid w:val="1A8955F0"/>
    <w:rsid w:val="1A9F1E8B"/>
    <w:rsid w:val="1B2232DB"/>
    <w:rsid w:val="1B4D1F49"/>
    <w:rsid w:val="1B6110F5"/>
    <w:rsid w:val="1B7650B8"/>
    <w:rsid w:val="1C096CF1"/>
    <w:rsid w:val="1C3168B4"/>
    <w:rsid w:val="1C3C61F7"/>
    <w:rsid w:val="1C3D0576"/>
    <w:rsid w:val="1C8267B1"/>
    <w:rsid w:val="1CFD38FD"/>
    <w:rsid w:val="1D207A50"/>
    <w:rsid w:val="1D220153"/>
    <w:rsid w:val="1E1677B2"/>
    <w:rsid w:val="1E1756CF"/>
    <w:rsid w:val="1E841064"/>
    <w:rsid w:val="1EB57DE6"/>
    <w:rsid w:val="1EC31D43"/>
    <w:rsid w:val="1EFD4CC4"/>
    <w:rsid w:val="1F766D05"/>
    <w:rsid w:val="1F9F1AD0"/>
    <w:rsid w:val="1FEB6DEA"/>
    <w:rsid w:val="1FF11FCF"/>
    <w:rsid w:val="20317928"/>
    <w:rsid w:val="20FD558B"/>
    <w:rsid w:val="21483F2E"/>
    <w:rsid w:val="21834FAB"/>
    <w:rsid w:val="219122AD"/>
    <w:rsid w:val="21F946FF"/>
    <w:rsid w:val="22297D47"/>
    <w:rsid w:val="226C5523"/>
    <w:rsid w:val="226D0039"/>
    <w:rsid w:val="22D47E92"/>
    <w:rsid w:val="22E93FB4"/>
    <w:rsid w:val="235045EE"/>
    <w:rsid w:val="239F740F"/>
    <w:rsid w:val="23B67FC0"/>
    <w:rsid w:val="243570E1"/>
    <w:rsid w:val="24530BF7"/>
    <w:rsid w:val="24963B1D"/>
    <w:rsid w:val="250F3A5F"/>
    <w:rsid w:val="252234BE"/>
    <w:rsid w:val="25730E93"/>
    <w:rsid w:val="257674A1"/>
    <w:rsid w:val="25D479FB"/>
    <w:rsid w:val="268B3004"/>
    <w:rsid w:val="26A21DAD"/>
    <w:rsid w:val="26B97ADD"/>
    <w:rsid w:val="274F1834"/>
    <w:rsid w:val="275F63D6"/>
    <w:rsid w:val="281479BF"/>
    <w:rsid w:val="281B4200"/>
    <w:rsid w:val="283F74C5"/>
    <w:rsid w:val="28AD2424"/>
    <w:rsid w:val="28BE1CA9"/>
    <w:rsid w:val="28EA6677"/>
    <w:rsid w:val="290C5FAC"/>
    <w:rsid w:val="291A6CE4"/>
    <w:rsid w:val="29354E98"/>
    <w:rsid w:val="29CE58C8"/>
    <w:rsid w:val="2A95658D"/>
    <w:rsid w:val="2AD3710C"/>
    <w:rsid w:val="2B8537CF"/>
    <w:rsid w:val="2B8E1053"/>
    <w:rsid w:val="2BC46747"/>
    <w:rsid w:val="2C360A8E"/>
    <w:rsid w:val="2C8807B6"/>
    <w:rsid w:val="2CCB2F51"/>
    <w:rsid w:val="2CCC7CE8"/>
    <w:rsid w:val="2CCF2614"/>
    <w:rsid w:val="2D1F31FF"/>
    <w:rsid w:val="2D9568CC"/>
    <w:rsid w:val="2DD647D1"/>
    <w:rsid w:val="2E040380"/>
    <w:rsid w:val="2EC07C4B"/>
    <w:rsid w:val="2F1F6F4A"/>
    <w:rsid w:val="2F3840C5"/>
    <w:rsid w:val="301C0B0F"/>
    <w:rsid w:val="30314953"/>
    <w:rsid w:val="30473DA7"/>
    <w:rsid w:val="30C9036F"/>
    <w:rsid w:val="30CC312E"/>
    <w:rsid w:val="30CF1BB1"/>
    <w:rsid w:val="30FA7323"/>
    <w:rsid w:val="317333DD"/>
    <w:rsid w:val="31755B28"/>
    <w:rsid w:val="31F10388"/>
    <w:rsid w:val="3206781C"/>
    <w:rsid w:val="32881F6E"/>
    <w:rsid w:val="336C0C1C"/>
    <w:rsid w:val="33A92DFA"/>
    <w:rsid w:val="345466A3"/>
    <w:rsid w:val="34AE1C70"/>
    <w:rsid w:val="34BD2714"/>
    <w:rsid w:val="358F6C73"/>
    <w:rsid w:val="366356D1"/>
    <w:rsid w:val="36E16EB7"/>
    <w:rsid w:val="373F3521"/>
    <w:rsid w:val="37694586"/>
    <w:rsid w:val="3781684D"/>
    <w:rsid w:val="378D5B47"/>
    <w:rsid w:val="37AD2F8F"/>
    <w:rsid w:val="37BA0168"/>
    <w:rsid w:val="37F47CFA"/>
    <w:rsid w:val="38AE446D"/>
    <w:rsid w:val="394D6F17"/>
    <w:rsid w:val="399C2829"/>
    <w:rsid w:val="39A3019F"/>
    <w:rsid w:val="39BD3C68"/>
    <w:rsid w:val="39C9057E"/>
    <w:rsid w:val="3A152BE4"/>
    <w:rsid w:val="3A1C012D"/>
    <w:rsid w:val="3A2722A0"/>
    <w:rsid w:val="3A641890"/>
    <w:rsid w:val="3A89438A"/>
    <w:rsid w:val="3AEF38C6"/>
    <w:rsid w:val="3B5739AD"/>
    <w:rsid w:val="3B5904A4"/>
    <w:rsid w:val="3B6B3D51"/>
    <w:rsid w:val="3BAD5126"/>
    <w:rsid w:val="3BFA2A01"/>
    <w:rsid w:val="3C34099A"/>
    <w:rsid w:val="3C3E4D32"/>
    <w:rsid w:val="3C5D6414"/>
    <w:rsid w:val="3D337051"/>
    <w:rsid w:val="3D443ECA"/>
    <w:rsid w:val="3DC87637"/>
    <w:rsid w:val="3E8D56B2"/>
    <w:rsid w:val="3F066C57"/>
    <w:rsid w:val="3F322CF9"/>
    <w:rsid w:val="3F422687"/>
    <w:rsid w:val="3FD525E7"/>
    <w:rsid w:val="3FF011FE"/>
    <w:rsid w:val="402E0521"/>
    <w:rsid w:val="40764CC7"/>
    <w:rsid w:val="408443F4"/>
    <w:rsid w:val="41051799"/>
    <w:rsid w:val="412626D2"/>
    <w:rsid w:val="4143401C"/>
    <w:rsid w:val="417D7613"/>
    <w:rsid w:val="41842195"/>
    <w:rsid w:val="41D337DF"/>
    <w:rsid w:val="420810BB"/>
    <w:rsid w:val="42DB1453"/>
    <w:rsid w:val="4332471E"/>
    <w:rsid w:val="43961B95"/>
    <w:rsid w:val="44563885"/>
    <w:rsid w:val="44A85DD4"/>
    <w:rsid w:val="44F60451"/>
    <w:rsid w:val="44FA7B3E"/>
    <w:rsid w:val="450B06C7"/>
    <w:rsid w:val="45481959"/>
    <w:rsid w:val="45612036"/>
    <w:rsid w:val="456A74E8"/>
    <w:rsid w:val="45C62291"/>
    <w:rsid w:val="45DD1372"/>
    <w:rsid w:val="45FF7742"/>
    <w:rsid w:val="466807B9"/>
    <w:rsid w:val="46756369"/>
    <w:rsid w:val="46854836"/>
    <w:rsid w:val="469178EA"/>
    <w:rsid w:val="477F02C1"/>
    <w:rsid w:val="47A64DF5"/>
    <w:rsid w:val="47CF1484"/>
    <w:rsid w:val="47FD5EE2"/>
    <w:rsid w:val="48295E5D"/>
    <w:rsid w:val="4849230E"/>
    <w:rsid w:val="4886579E"/>
    <w:rsid w:val="48EB754D"/>
    <w:rsid w:val="49265F80"/>
    <w:rsid w:val="494C7321"/>
    <w:rsid w:val="4A52300A"/>
    <w:rsid w:val="4AD80F41"/>
    <w:rsid w:val="4B0412F7"/>
    <w:rsid w:val="4B87716D"/>
    <w:rsid w:val="4B8D6675"/>
    <w:rsid w:val="4BAE7A97"/>
    <w:rsid w:val="4BAF64FC"/>
    <w:rsid w:val="4BB71754"/>
    <w:rsid w:val="4BEA1EEF"/>
    <w:rsid w:val="4BFF465F"/>
    <w:rsid w:val="4C304E63"/>
    <w:rsid w:val="4C710666"/>
    <w:rsid w:val="4CB357D7"/>
    <w:rsid w:val="4D196294"/>
    <w:rsid w:val="4D252BF9"/>
    <w:rsid w:val="4D56157D"/>
    <w:rsid w:val="4D5706F3"/>
    <w:rsid w:val="4D697B06"/>
    <w:rsid w:val="4D837EAF"/>
    <w:rsid w:val="4D88382E"/>
    <w:rsid w:val="4E1C0F91"/>
    <w:rsid w:val="4E4A66BD"/>
    <w:rsid w:val="4E661744"/>
    <w:rsid w:val="4E7A6815"/>
    <w:rsid w:val="4E8E292E"/>
    <w:rsid w:val="4EC67E86"/>
    <w:rsid w:val="4EC9195A"/>
    <w:rsid w:val="4EE541FC"/>
    <w:rsid w:val="4EF526A7"/>
    <w:rsid w:val="4F3D713D"/>
    <w:rsid w:val="4F5F47D7"/>
    <w:rsid w:val="4FB7020D"/>
    <w:rsid w:val="4FE7046C"/>
    <w:rsid w:val="500D5CD4"/>
    <w:rsid w:val="50251B17"/>
    <w:rsid w:val="507838FD"/>
    <w:rsid w:val="509C0568"/>
    <w:rsid w:val="50E71CCB"/>
    <w:rsid w:val="50E775C9"/>
    <w:rsid w:val="50F97323"/>
    <w:rsid w:val="51215FF9"/>
    <w:rsid w:val="5150456E"/>
    <w:rsid w:val="51D265A6"/>
    <w:rsid w:val="523B3038"/>
    <w:rsid w:val="526D4827"/>
    <w:rsid w:val="529941AA"/>
    <w:rsid w:val="52C81962"/>
    <w:rsid w:val="53005D47"/>
    <w:rsid w:val="530840CE"/>
    <w:rsid w:val="53350718"/>
    <w:rsid w:val="538A4400"/>
    <w:rsid w:val="53D45BE6"/>
    <w:rsid w:val="53FA7628"/>
    <w:rsid w:val="541A5F83"/>
    <w:rsid w:val="54257327"/>
    <w:rsid w:val="542B684E"/>
    <w:rsid w:val="546115FB"/>
    <w:rsid w:val="54B35DEB"/>
    <w:rsid w:val="54B806F3"/>
    <w:rsid w:val="54B977A4"/>
    <w:rsid w:val="54E41259"/>
    <w:rsid w:val="54FC0D4D"/>
    <w:rsid w:val="552A5D65"/>
    <w:rsid w:val="55320C19"/>
    <w:rsid w:val="556A2486"/>
    <w:rsid w:val="55BE5FE0"/>
    <w:rsid w:val="563F18BC"/>
    <w:rsid w:val="564E04A9"/>
    <w:rsid w:val="568C2CA2"/>
    <w:rsid w:val="56C138AA"/>
    <w:rsid w:val="56D4165B"/>
    <w:rsid w:val="574C147C"/>
    <w:rsid w:val="582861BB"/>
    <w:rsid w:val="58353CEE"/>
    <w:rsid w:val="5841364E"/>
    <w:rsid w:val="58A93D9E"/>
    <w:rsid w:val="58BB4A77"/>
    <w:rsid w:val="59C26271"/>
    <w:rsid w:val="59F119FC"/>
    <w:rsid w:val="5A0A7086"/>
    <w:rsid w:val="5A2B17B2"/>
    <w:rsid w:val="5A347F96"/>
    <w:rsid w:val="5A353BE1"/>
    <w:rsid w:val="5A386C5F"/>
    <w:rsid w:val="5A590387"/>
    <w:rsid w:val="5AC2347D"/>
    <w:rsid w:val="5B106CDC"/>
    <w:rsid w:val="5B3610B0"/>
    <w:rsid w:val="5B4E4B04"/>
    <w:rsid w:val="5B7A50C9"/>
    <w:rsid w:val="5BA92DF1"/>
    <w:rsid w:val="5C0D74B1"/>
    <w:rsid w:val="5C1A6B4D"/>
    <w:rsid w:val="5C567FC6"/>
    <w:rsid w:val="5C5F1711"/>
    <w:rsid w:val="5C6B6D35"/>
    <w:rsid w:val="5CFF48D3"/>
    <w:rsid w:val="5D290242"/>
    <w:rsid w:val="5D5E5DDE"/>
    <w:rsid w:val="5D63436B"/>
    <w:rsid w:val="5D7B426B"/>
    <w:rsid w:val="5D934B09"/>
    <w:rsid w:val="5E5F37F0"/>
    <w:rsid w:val="5ECD6327"/>
    <w:rsid w:val="5ED16F9E"/>
    <w:rsid w:val="5F4C026A"/>
    <w:rsid w:val="5F7736D5"/>
    <w:rsid w:val="5F9E1086"/>
    <w:rsid w:val="5FA16987"/>
    <w:rsid w:val="5FD13BCE"/>
    <w:rsid w:val="605B5694"/>
    <w:rsid w:val="60677748"/>
    <w:rsid w:val="60757756"/>
    <w:rsid w:val="60FA6129"/>
    <w:rsid w:val="60FE0FB8"/>
    <w:rsid w:val="6139383B"/>
    <w:rsid w:val="61DD2069"/>
    <w:rsid w:val="62293491"/>
    <w:rsid w:val="6250754C"/>
    <w:rsid w:val="628D6444"/>
    <w:rsid w:val="6299419B"/>
    <w:rsid w:val="62A73E54"/>
    <w:rsid w:val="62AC65A1"/>
    <w:rsid w:val="62C34B5E"/>
    <w:rsid w:val="63463F64"/>
    <w:rsid w:val="63757446"/>
    <w:rsid w:val="63A770CE"/>
    <w:rsid w:val="63CE2874"/>
    <w:rsid w:val="63F91E15"/>
    <w:rsid w:val="64C00997"/>
    <w:rsid w:val="64D40267"/>
    <w:rsid w:val="65002557"/>
    <w:rsid w:val="650C39BB"/>
    <w:rsid w:val="65400AE0"/>
    <w:rsid w:val="65851FC8"/>
    <w:rsid w:val="65F31340"/>
    <w:rsid w:val="66070F45"/>
    <w:rsid w:val="66C53140"/>
    <w:rsid w:val="66C91A71"/>
    <w:rsid w:val="67342CA5"/>
    <w:rsid w:val="673A193E"/>
    <w:rsid w:val="67440270"/>
    <w:rsid w:val="676F0878"/>
    <w:rsid w:val="67A94D7B"/>
    <w:rsid w:val="67CE2507"/>
    <w:rsid w:val="67E45E71"/>
    <w:rsid w:val="67EF2AD7"/>
    <w:rsid w:val="68042BF1"/>
    <w:rsid w:val="687D5E98"/>
    <w:rsid w:val="68B351FB"/>
    <w:rsid w:val="68D84895"/>
    <w:rsid w:val="68E304BB"/>
    <w:rsid w:val="6956748A"/>
    <w:rsid w:val="69AF4ACB"/>
    <w:rsid w:val="69F548BE"/>
    <w:rsid w:val="6A250594"/>
    <w:rsid w:val="6A29254F"/>
    <w:rsid w:val="6A566090"/>
    <w:rsid w:val="6A8B0FA1"/>
    <w:rsid w:val="6AB933FE"/>
    <w:rsid w:val="6AEA0DC8"/>
    <w:rsid w:val="6B1E5446"/>
    <w:rsid w:val="6B6B670A"/>
    <w:rsid w:val="6BB3043E"/>
    <w:rsid w:val="6BDD3FFC"/>
    <w:rsid w:val="6BEF508F"/>
    <w:rsid w:val="6C723C70"/>
    <w:rsid w:val="6CBC4CC4"/>
    <w:rsid w:val="6CD6362E"/>
    <w:rsid w:val="6D756B31"/>
    <w:rsid w:val="6D9408F8"/>
    <w:rsid w:val="6E26547D"/>
    <w:rsid w:val="6E45639A"/>
    <w:rsid w:val="6E5C185E"/>
    <w:rsid w:val="6E6153A2"/>
    <w:rsid w:val="6E731682"/>
    <w:rsid w:val="6E8049CB"/>
    <w:rsid w:val="6EAC26B6"/>
    <w:rsid w:val="6EAE0B28"/>
    <w:rsid w:val="6ED178C2"/>
    <w:rsid w:val="6F4F3E60"/>
    <w:rsid w:val="6F557963"/>
    <w:rsid w:val="6FD900E2"/>
    <w:rsid w:val="70020B75"/>
    <w:rsid w:val="704471B2"/>
    <w:rsid w:val="705670D1"/>
    <w:rsid w:val="70833C77"/>
    <w:rsid w:val="708A0CA1"/>
    <w:rsid w:val="7095786A"/>
    <w:rsid w:val="70A5288D"/>
    <w:rsid w:val="70AF6651"/>
    <w:rsid w:val="7150405F"/>
    <w:rsid w:val="715E65F3"/>
    <w:rsid w:val="71D5077F"/>
    <w:rsid w:val="71EF5F59"/>
    <w:rsid w:val="72244433"/>
    <w:rsid w:val="72967903"/>
    <w:rsid w:val="72A107AD"/>
    <w:rsid w:val="72AA01BD"/>
    <w:rsid w:val="72EA5884"/>
    <w:rsid w:val="72F46EC1"/>
    <w:rsid w:val="73145451"/>
    <w:rsid w:val="7335737B"/>
    <w:rsid w:val="73C9015C"/>
    <w:rsid w:val="73D36C21"/>
    <w:rsid w:val="73F81483"/>
    <w:rsid w:val="74772468"/>
    <w:rsid w:val="74FA0F5F"/>
    <w:rsid w:val="75451449"/>
    <w:rsid w:val="75DF6E34"/>
    <w:rsid w:val="75EC6538"/>
    <w:rsid w:val="761F463C"/>
    <w:rsid w:val="763D2669"/>
    <w:rsid w:val="76851214"/>
    <w:rsid w:val="77E84B53"/>
    <w:rsid w:val="7894516D"/>
    <w:rsid w:val="78A12B57"/>
    <w:rsid w:val="78BA6AED"/>
    <w:rsid w:val="78D07102"/>
    <w:rsid w:val="7921146C"/>
    <w:rsid w:val="798661F3"/>
    <w:rsid w:val="799353A5"/>
    <w:rsid w:val="799D29DE"/>
    <w:rsid w:val="79D136DB"/>
    <w:rsid w:val="7A1C70DF"/>
    <w:rsid w:val="7A4A46DF"/>
    <w:rsid w:val="7A667F5E"/>
    <w:rsid w:val="7AB07CCF"/>
    <w:rsid w:val="7AF056B8"/>
    <w:rsid w:val="7AF624DF"/>
    <w:rsid w:val="7B113011"/>
    <w:rsid w:val="7BB32E5A"/>
    <w:rsid w:val="7BC15A74"/>
    <w:rsid w:val="7BDE77D6"/>
    <w:rsid w:val="7BF158BE"/>
    <w:rsid w:val="7C1618F1"/>
    <w:rsid w:val="7C3F2676"/>
    <w:rsid w:val="7C9D7165"/>
    <w:rsid w:val="7CBD7237"/>
    <w:rsid w:val="7CEC7B47"/>
    <w:rsid w:val="7D10098B"/>
    <w:rsid w:val="7D215AF3"/>
    <w:rsid w:val="7D320257"/>
    <w:rsid w:val="7D3876EF"/>
    <w:rsid w:val="7D5D7BF1"/>
    <w:rsid w:val="7DEB53F0"/>
    <w:rsid w:val="7E1D7AB2"/>
    <w:rsid w:val="7E3C494E"/>
    <w:rsid w:val="7E622C48"/>
    <w:rsid w:val="7EF84BBB"/>
    <w:rsid w:val="7F0728D0"/>
    <w:rsid w:val="7F381C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ocked="1"/>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name="footnote reference"/>
    <w:lsdException w:qFormat="1" w:unhideWhenUsed="0" w:uiPriority="0" w:name="annotation reference"/>
    <w:lsdException w:uiPriority="0" w:name="line number" w:locked="1"/>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semiHidden="0" w:name="List Number" w:locked="1"/>
    <w:lsdException w:uiPriority="0" w:name="List 2" w:locked="1"/>
    <w:lsdException w:uiPriority="0" w:name="List 3" w:locked="1"/>
    <w:lsdException w:uiPriority="0" w:semiHidden="0" w:name="List 4" w:locked="1"/>
    <w:lsdException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semiHidden="0" w:name="Salutation" w:locked="1"/>
    <w:lsdException w:qFormat="1" w:uiPriority="0" w:semiHidden="0" w:name="Date" w:locked="1"/>
    <w:lsdException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0" w:name="Plain Text" w:locked="1"/>
    <w:lsdException w:uiPriority="0" w:name="E-mail Signature" w:locked="1"/>
    <w:lsdException w:qFormat="1" w:uiPriority="99"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3"/>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58"/>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locked/>
    <w:uiPriority w:val="0"/>
    <w:pPr>
      <w:spacing w:beforeAutospacing="1" w:afterAutospacing="1"/>
      <w:jc w:val="left"/>
      <w:outlineLvl w:val="2"/>
    </w:pPr>
    <w:rPr>
      <w:rFonts w:hint="eastAsia" w:ascii="宋体" w:hAnsi="宋体"/>
      <w:b/>
      <w:bCs/>
      <w:kern w:val="0"/>
      <w:sz w:val="27"/>
      <w:szCs w:val="27"/>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cs="宋体"/>
    </w:rPr>
  </w:style>
  <w:style w:type="paragraph" w:styleId="6">
    <w:name w:val="index 8"/>
    <w:basedOn w:val="1"/>
    <w:next w:val="1"/>
    <w:semiHidden/>
    <w:qFormat/>
    <w:uiPriority w:val="0"/>
    <w:pPr>
      <w:ind w:left="1680" w:hanging="210"/>
      <w:jc w:val="left"/>
    </w:pPr>
    <w:rPr>
      <w:rFonts w:ascii="Calibri" w:hAnsi="Calibri" w:cs="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semiHidden/>
    <w:qFormat/>
    <w:uiPriority w:val="0"/>
    <w:pPr>
      <w:ind w:left="1050" w:hanging="210"/>
      <w:jc w:val="left"/>
    </w:pPr>
    <w:rPr>
      <w:rFonts w:ascii="Calibri" w:hAnsi="Calibri" w:cs="Calibri"/>
      <w:sz w:val="20"/>
      <w:szCs w:val="20"/>
    </w:rPr>
  </w:style>
  <w:style w:type="paragraph" w:styleId="9">
    <w:name w:val="Document Map"/>
    <w:basedOn w:val="1"/>
    <w:link w:val="48"/>
    <w:semiHidden/>
    <w:qFormat/>
    <w:uiPriority w:val="0"/>
    <w:pPr>
      <w:shd w:val="clear" w:color="auto" w:fill="000080"/>
    </w:pPr>
  </w:style>
  <w:style w:type="paragraph" w:styleId="10">
    <w:name w:val="annotation text"/>
    <w:basedOn w:val="1"/>
    <w:link w:val="46"/>
    <w:semiHidden/>
    <w:qFormat/>
    <w:uiPriority w:val="0"/>
    <w:pPr>
      <w:jc w:val="left"/>
    </w:pPr>
  </w:style>
  <w:style w:type="paragraph" w:styleId="11">
    <w:name w:val="index 6"/>
    <w:basedOn w:val="1"/>
    <w:next w:val="1"/>
    <w:semiHidden/>
    <w:qFormat/>
    <w:uiPriority w:val="0"/>
    <w:pPr>
      <w:ind w:left="1260" w:hanging="210"/>
      <w:jc w:val="left"/>
    </w:pPr>
    <w:rPr>
      <w:rFonts w:ascii="Calibri" w:hAnsi="Calibri" w:cs="Calibri"/>
      <w:sz w:val="20"/>
      <w:szCs w:val="20"/>
    </w:rPr>
  </w:style>
  <w:style w:type="paragraph" w:styleId="12">
    <w:name w:val="index 4"/>
    <w:basedOn w:val="1"/>
    <w:next w:val="1"/>
    <w:semiHidden/>
    <w:qFormat/>
    <w:uiPriority w:val="0"/>
    <w:pPr>
      <w:ind w:left="840" w:hanging="210"/>
      <w:jc w:val="left"/>
    </w:pPr>
    <w:rPr>
      <w:rFonts w:ascii="Calibri" w:hAnsi="Calibri" w:cs="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cs="宋体"/>
    </w:rPr>
  </w:style>
  <w:style w:type="paragraph" w:styleId="14">
    <w:name w:val="toc 3"/>
    <w:basedOn w:val="1"/>
    <w:next w:val="1"/>
    <w:qFormat/>
    <w:uiPriority w:val="39"/>
    <w:pPr>
      <w:tabs>
        <w:tab w:val="right" w:leader="dot" w:pos="9241"/>
      </w:tabs>
      <w:ind w:firstLine="102" w:firstLineChars="100"/>
      <w:jc w:val="left"/>
    </w:pPr>
    <w:rPr>
      <w:rFonts w:ascii="宋体" w:cs="宋体"/>
    </w:rPr>
  </w:style>
  <w:style w:type="paragraph" w:styleId="15">
    <w:name w:val="toc 8"/>
    <w:basedOn w:val="1"/>
    <w:next w:val="1"/>
    <w:semiHidden/>
    <w:qFormat/>
    <w:uiPriority w:val="0"/>
    <w:pPr>
      <w:tabs>
        <w:tab w:val="right" w:leader="dot" w:pos="9241"/>
      </w:tabs>
      <w:ind w:firstLine="607" w:firstLineChars="600"/>
      <w:jc w:val="left"/>
    </w:pPr>
    <w:rPr>
      <w:rFonts w:ascii="宋体" w:cs="宋体"/>
    </w:rPr>
  </w:style>
  <w:style w:type="paragraph" w:styleId="16">
    <w:name w:val="index 3"/>
    <w:basedOn w:val="1"/>
    <w:next w:val="1"/>
    <w:semiHidden/>
    <w:qFormat/>
    <w:uiPriority w:val="0"/>
    <w:pPr>
      <w:ind w:left="630" w:hanging="210"/>
      <w:jc w:val="left"/>
    </w:pPr>
    <w:rPr>
      <w:rFonts w:ascii="Calibri" w:hAnsi="Calibri" w:cs="Calibri"/>
      <w:sz w:val="20"/>
      <w:szCs w:val="20"/>
    </w:rPr>
  </w:style>
  <w:style w:type="paragraph" w:styleId="17">
    <w:name w:val="Date"/>
    <w:basedOn w:val="1"/>
    <w:next w:val="1"/>
    <w:link w:val="155"/>
    <w:unhideWhenUsed/>
    <w:qFormat/>
    <w:locked/>
    <w:uiPriority w:val="0"/>
    <w:pPr>
      <w:ind w:left="100" w:leftChars="2500"/>
    </w:pPr>
  </w:style>
  <w:style w:type="paragraph" w:styleId="18">
    <w:name w:val="endnote text"/>
    <w:basedOn w:val="1"/>
    <w:link w:val="49"/>
    <w:semiHidden/>
    <w:qFormat/>
    <w:uiPriority w:val="0"/>
    <w:pPr>
      <w:snapToGrid w:val="0"/>
      <w:jc w:val="left"/>
    </w:pPr>
  </w:style>
  <w:style w:type="paragraph" w:styleId="19">
    <w:name w:val="Balloon Text"/>
    <w:basedOn w:val="1"/>
    <w:link w:val="50"/>
    <w:semiHidden/>
    <w:qFormat/>
    <w:uiPriority w:val="0"/>
    <w:rPr>
      <w:sz w:val="18"/>
      <w:szCs w:val="18"/>
    </w:rPr>
  </w:style>
  <w:style w:type="paragraph" w:styleId="20">
    <w:name w:val="footer"/>
    <w:basedOn w:val="1"/>
    <w:link w:val="51"/>
    <w:qFormat/>
    <w:uiPriority w:val="99"/>
    <w:pPr>
      <w:snapToGrid w:val="0"/>
      <w:ind w:right="210" w:rightChars="100"/>
      <w:jc w:val="right"/>
    </w:pPr>
    <w:rPr>
      <w:sz w:val="18"/>
      <w:szCs w:val="18"/>
    </w:rPr>
  </w:style>
  <w:style w:type="paragraph" w:styleId="21">
    <w:name w:val="header"/>
    <w:basedOn w:val="1"/>
    <w:link w:val="52"/>
    <w:qFormat/>
    <w:uiPriority w:val="0"/>
    <w:pPr>
      <w:snapToGrid w:val="0"/>
      <w:jc w:val="left"/>
    </w:pPr>
    <w:rPr>
      <w:sz w:val="18"/>
      <w:szCs w:val="18"/>
    </w:rPr>
  </w:style>
  <w:style w:type="paragraph" w:styleId="22">
    <w:name w:val="toc 1"/>
    <w:basedOn w:val="1"/>
    <w:next w:val="1"/>
    <w:qFormat/>
    <w:uiPriority w:val="39"/>
    <w:pPr>
      <w:tabs>
        <w:tab w:val="right" w:leader="dot" w:pos="9241"/>
      </w:tabs>
      <w:spacing w:beforeLines="25" w:afterLines="25"/>
      <w:jc w:val="left"/>
    </w:pPr>
    <w:rPr>
      <w:rFonts w:ascii="宋体" w:cs="宋体"/>
    </w:rPr>
  </w:style>
  <w:style w:type="paragraph" w:styleId="23">
    <w:name w:val="toc 4"/>
    <w:basedOn w:val="1"/>
    <w:next w:val="1"/>
    <w:semiHidden/>
    <w:qFormat/>
    <w:uiPriority w:val="0"/>
    <w:pPr>
      <w:tabs>
        <w:tab w:val="right" w:leader="dot" w:pos="9241"/>
      </w:tabs>
      <w:ind w:firstLine="198" w:firstLineChars="200"/>
      <w:jc w:val="left"/>
    </w:pPr>
    <w:rPr>
      <w:rFonts w:ascii="宋体" w:cs="宋体"/>
    </w:rPr>
  </w:style>
  <w:style w:type="paragraph" w:styleId="24">
    <w:name w:val="index heading"/>
    <w:basedOn w:val="1"/>
    <w:next w:val="25"/>
    <w:semiHidden/>
    <w:qFormat/>
    <w:uiPriority w:val="0"/>
    <w:pPr>
      <w:spacing w:before="120" w:after="120"/>
      <w:jc w:val="center"/>
    </w:pPr>
    <w:rPr>
      <w:rFonts w:ascii="Calibri" w:hAnsi="Calibri" w:cs="Calibri"/>
      <w:b/>
      <w:bCs/>
    </w:rPr>
  </w:style>
  <w:style w:type="paragraph" w:styleId="25">
    <w:name w:val="index 1"/>
    <w:basedOn w:val="1"/>
    <w:next w:val="26"/>
    <w:semiHidden/>
    <w:qFormat/>
    <w:uiPriority w:val="0"/>
    <w:pPr>
      <w:tabs>
        <w:tab w:val="right" w:leader="dot" w:pos="9299"/>
      </w:tabs>
      <w:jc w:val="left"/>
    </w:pPr>
    <w:rPr>
      <w:rFonts w:ascii="宋体" w:cs="宋体"/>
    </w:rPr>
  </w:style>
  <w:style w:type="paragraph" w:customStyle="1" w:styleId="26">
    <w:name w:val="段"/>
    <w:link w:val="54"/>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7">
    <w:name w:val="footnote text"/>
    <w:basedOn w:val="1"/>
    <w:link w:val="53"/>
    <w:semiHidden/>
    <w:qFormat/>
    <w:uiPriority w:val="0"/>
    <w:pPr>
      <w:numPr>
        <w:ilvl w:val="0"/>
        <w:numId w:val="1"/>
      </w:numPr>
      <w:snapToGrid w:val="0"/>
      <w:jc w:val="left"/>
    </w:pPr>
    <w:rPr>
      <w:rFonts w:ascii="宋体" w:cs="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cs="宋体"/>
    </w:rPr>
  </w:style>
  <w:style w:type="paragraph" w:styleId="29">
    <w:name w:val="index 7"/>
    <w:basedOn w:val="1"/>
    <w:next w:val="1"/>
    <w:semiHidden/>
    <w:qFormat/>
    <w:uiPriority w:val="0"/>
    <w:pPr>
      <w:ind w:left="1470" w:hanging="210"/>
      <w:jc w:val="left"/>
    </w:pPr>
    <w:rPr>
      <w:rFonts w:ascii="Calibri" w:hAnsi="Calibri" w:cs="Calibri"/>
      <w:sz w:val="20"/>
      <w:szCs w:val="20"/>
    </w:rPr>
  </w:style>
  <w:style w:type="paragraph" w:styleId="30">
    <w:name w:val="index 9"/>
    <w:basedOn w:val="1"/>
    <w:next w:val="1"/>
    <w:semiHidden/>
    <w:qFormat/>
    <w:uiPriority w:val="0"/>
    <w:pPr>
      <w:ind w:left="1890" w:hanging="210"/>
      <w:jc w:val="left"/>
    </w:pPr>
    <w:rPr>
      <w:rFonts w:ascii="Calibri" w:hAnsi="Calibri" w:cs="Calibri"/>
      <w:sz w:val="20"/>
      <w:szCs w:val="20"/>
    </w:rPr>
  </w:style>
  <w:style w:type="paragraph" w:styleId="31">
    <w:name w:val="toc 2"/>
    <w:basedOn w:val="1"/>
    <w:next w:val="1"/>
    <w:qFormat/>
    <w:uiPriority w:val="39"/>
    <w:pPr>
      <w:tabs>
        <w:tab w:val="right" w:leader="dot" w:pos="9241"/>
      </w:tabs>
    </w:pPr>
    <w:rPr>
      <w:rFonts w:ascii="宋体" w:cs="宋体"/>
    </w:rPr>
  </w:style>
  <w:style w:type="paragraph" w:styleId="32">
    <w:name w:val="toc 9"/>
    <w:basedOn w:val="1"/>
    <w:next w:val="1"/>
    <w:semiHidden/>
    <w:qFormat/>
    <w:uiPriority w:val="0"/>
    <w:pPr>
      <w:ind w:left="1470"/>
      <w:jc w:val="left"/>
    </w:pPr>
    <w:rPr>
      <w:sz w:val="20"/>
      <w:szCs w:val="20"/>
    </w:rPr>
  </w:style>
  <w:style w:type="paragraph" w:styleId="33">
    <w:name w:val="Normal (Web)"/>
    <w:basedOn w:val="1"/>
    <w:unhideWhenUsed/>
    <w:qFormat/>
    <w:locked/>
    <w:uiPriority w:val="99"/>
    <w:rPr>
      <w:sz w:val="24"/>
      <w:szCs w:val="24"/>
    </w:rPr>
  </w:style>
  <w:style w:type="paragraph" w:styleId="34">
    <w:name w:val="index 2"/>
    <w:basedOn w:val="1"/>
    <w:next w:val="1"/>
    <w:semiHidden/>
    <w:qFormat/>
    <w:uiPriority w:val="0"/>
    <w:pPr>
      <w:ind w:left="420" w:hanging="210"/>
      <w:jc w:val="left"/>
    </w:pPr>
    <w:rPr>
      <w:rFonts w:ascii="Calibri" w:hAnsi="Calibri" w:cs="Calibri"/>
      <w:sz w:val="20"/>
      <w:szCs w:val="20"/>
    </w:rPr>
  </w:style>
  <w:style w:type="paragraph" w:styleId="35">
    <w:name w:val="annotation subject"/>
    <w:basedOn w:val="10"/>
    <w:next w:val="10"/>
    <w:link w:val="47"/>
    <w:semiHidden/>
    <w:qFormat/>
    <w:uiPriority w:val="0"/>
    <w:rPr>
      <w:b/>
      <w:bCs/>
    </w:rPr>
  </w:style>
  <w:style w:type="table" w:styleId="37">
    <w:name w:val="Table Grid"/>
    <w:basedOn w:val="36"/>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basedOn w:val="38"/>
    <w:semiHidden/>
    <w:qFormat/>
    <w:uiPriority w:val="0"/>
    <w:rPr>
      <w:rFonts w:cs="Times New Roman"/>
      <w:vertAlign w:val="superscript"/>
    </w:rPr>
  </w:style>
  <w:style w:type="character" w:styleId="40">
    <w:name w:val="page number"/>
    <w:basedOn w:val="38"/>
    <w:qFormat/>
    <w:uiPriority w:val="0"/>
    <w:rPr>
      <w:rFonts w:ascii="Times New Roman" w:hAnsi="Times New Roman" w:eastAsia="宋体" w:cs="Times New Roman"/>
      <w:sz w:val="18"/>
      <w:szCs w:val="18"/>
    </w:rPr>
  </w:style>
  <w:style w:type="character" w:styleId="41">
    <w:name w:val="FollowedHyperlink"/>
    <w:basedOn w:val="38"/>
    <w:qFormat/>
    <w:uiPriority w:val="0"/>
    <w:rPr>
      <w:rFonts w:cs="Times New Roman"/>
      <w:color w:val="800080"/>
      <w:u w:val="single"/>
    </w:rPr>
  </w:style>
  <w:style w:type="character" w:styleId="42">
    <w:name w:val="Emphasis"/>
    <w:basedOn w:val="38"/>
    <w:qFormat/>
    <w:locked/>
    <w:uiPriority w:val="0"/>
    <w:rPr>
      <w:i/>
    </w:rPr>
  </w:style>
  <w:style w:type="character" w:styleId="43">
    <w:name w:val="Hyperlink"/>
    <w:basedOn w:val="38"/>
    <w:qFormat/>
    <w:uiPriority w:val="99"/>
    <w:rPr>
      <w:rFonts w:cs="Times New Roman"/>
      <w:color w:val="0000FF"/>
      <w:spacing w:val="0"/>
      <w:w w:val="100"/>
      <w:sz w:val="21"/>
      <w:szCs w:val="21"/>
      <w:u w:val="single"/>
    </w:rPr>
  </w:style>
  <w:style w:type="character" w:styleId="44">
    <w:name w:val="annotation reference"/>
    <w:basedOn w:val="38"/>
    <w:semiHidden/>
    <w:qFormat/>
    <w:uiPriority w:val="0"/>
    <w:rPr>
      <w:rFonts w:cs="Times New Roman"/>
      <w:sz w:val="21"/>
      <w:szCs w:val="21"/>
    </w:rPr>
  </w:style>
  <w:style w:type="character" w:styleId="45">
    <w:name w:val="footnote reference"/>
    <w:basedOn w:val="38"/>
    <w:semiHidden/>
    <w:qFormat/>
    <w:uiPriority w:val="0"/>
    <w:rPr>
      <w:rFonts w:cs="Times New Roman"/>
      <w:vertAlign w:val="superscript"/>
    </w:rPr>
  </w:style>
  <w:style w:type="character" w:customStyle="1" w:styleId="46">
    <w:name w:val="批注文字 Char"/>
    <w:basedOn w:val="38"/>
    <w:link w:val="10"/>
    <w:semiHidden/>
    <w:qFormat/>
    <w:locked/>
    <w:uiPriority w:val="0"/>
    <w:rPr>
      <w:rFonts w:cs="Times New Roman"/>
      <w:kern w:val="2"/>
      <w:sz w:val="24"/>
      <w:szCs w:val="24"/>
    </w:rPr>
  </w:style>
  <w:style w:type="character" w:customStyle="1" w:styleId="47">
    <w:name w:val="批注主题 Char"/>
    <w:basedOn w:val="46"/>
    <w:link w:val="35"/>
    <w:semiHidden/>
    <w:qFormat/>
    <w:locked/>
    <w:uiPriority w:val="0"/>
    <w:rPr>
      <w:rFonts w:cs="Times New Roman"/>
      <w:b/>
      <w:bCs/>
      <w:kern w:val="2"/>
      <w:sz w:val="24"/>
      <w:szCs w:val="24"/>
    </w:rPr>
  </w:style>
  <w:style w:type="character" w:customStyle="1" w:styleId="48">
    <w:name w:val="文档结构图 Char"/>
    <w:basedOn w:val="38"/>
    <w:link w:val="9"/>
    <w:semiHidden/>
    <w:qFormat/>
    <w:locked/>
    <w:uiPriority w:val="0"/>
    <w:rPr>
      <w:rFonts w:cs="Times New Roman"/>
      <w:sz w:val="2"/>
      <w:szCs w:val="2"/>
    </w:rPr>
  </w:style>
  <w:style w:type="character" w:customStyle="1" w:styleId="49">
    <w:name w:val="尾注文本 Char"/>
    <w:basedOn w:val="38"/>
    <w:link w:val="18"/>
    <w:semiHidden/>
    <w:qFormat/>
    <w:locked/>
    <w:uiPriority w:val="0"/>
    <w:rPr>
      <w:rFonts w:cs="Times New Roman"/>
      <w:sz w:val="21"/>
      <w:szCs w:val="21"/>
    </w:rPr>
  </w:style>
  <w:style w:type="character" w:customStyle="1" w:styleId="50">
    <w:name w:val="批注框文本 Char"/>
    <w:basedOn w:val="38"/>
    <w:link w:val="19"/>
    <w:qFormat/>
    <w:locked/>
    <w:uiPriority w:val="0"/>
    <w:rPr>
      <w:rFonts w:cs="Times New Roman"/>
      <w:kern w:val="2"/>
      <w:sz w:val="18"/>
      <w:szCs w:val="18"/>
    </w:rPr>
  </w:style>
  <w:style w:type="character" w:customStyle="1" w:styleId="51">
    <w:name w:val="页脚 Char"/>
    <w:basedOn w:val="38"/>
    <w:link w:val="20"/>
    <w:qFormat/>
    <w:locked/>
    <w:uiPriority w:val="0"/>
    <w:rPr>
      <w:rFonts w:cs="Times New Roman"/>
      <w:kern w:val="2"/>
      <w:sz w:val="18"/>
      <w:szCs w:val="18"/>
    </w:rPr>
  </w:style>
  <w:style w:type="character" w:customStyle="1" w:styleId="52">
    <w:name w:val="页眉 Char"/>
    <w:basedOn w:val="38"/>
    <w:link w:val="21"/>
    <w:semiHidden/>
    <w:qFormat/>
    <w:locked/>
    <w:uiPriority w:val="0"/>
    <w:rPr>
      <w:rFonts w:cs="Times New Roman"/>
      <w:sz w:val="18"/>
      <w:szCs w:val="18"/>
    </w:rPr>
  </w:style>
  <w:style w:type="character" w:customStyle="1" w:styleId="53">
    <w:name w:val="脚注文本 Char"/>
    <w:basedOn w:val="38"/>
    <w:link w:val="27"/>
    <w:semiHidden/>
    <w:qFormat/>
    <w:locked/>
    <w:uiPriority w:val="0"/>
    <w:rPr>
      <w:rFonts w:ascii="宋体" w:cs="宋体"/>
      <w:kern w:val="2"/>
      <w:sz w:val="18"/>
      <w:szCs w:val="18"/>
    </w:rPr>
  </w:style>
  <w:style w:type="character" w:customStyle="1" w:styleId="54">
    <w:name w:val="段 Char"/>
    <w:basedOn w:val="38"/>
    <w:link w:val="26"/>
    <w:qFormat/>
    <w:locked/>
    <w:uiPriority w:val="99"/>
    <w:rPr>
      <w:rFonts w:ascii="宋体" w:cs="宋体"/>
      <w:sz w:val="21"/>
      <w:szCs w:val="21"/>
      <w:lang w:val="en-US" w:eastAsia="zh-CN" w:bidi="ar-SA"/>
    </w:rPr>
  </w:style>
  <w:style w:type="paragraph" w:customStyle="1" w:styleId="55">
    <w:name w:val="一级条标题"/>
    <w:next w:val="26"/>
    <w:link w:val="151"/>
    <w:qFormat/>
    <w:uiPriority w:val="0"/>
    <w:pPr>
      <w:numPr>
        <w:ilvl w:val="1"/>
        <w:numId w:val="2"/>
      </w:numPr>
      <w:spacing w:beforeLines="50" w:afterLines="50"/>
      <w:outlineLvl w:val="2"/>
    </w:pPr>
    <w:rPr>
      <w:rFonts w:ascii="黑体" w:hAnsi="Times New Roman" w:eastAsia="黑体" w:cs="Times New Roman"/>
      <w:sz w:val="21"/>
      <w:lang w:val="en-US" w:eastAsia="zh-CN" w:bidi="ar-SA"/>
    </w:rPr>
  </w:style>
  <w:style w:type="paragraph" w:customStyle="1" w:styleId="56">
    <w:name w:val="标准书脚_奇数页"/>
    <w:qFormat/>
    <w:uiPriority w:val="0"/>
    <w:pPr>
      <w:spacing w:before="120"/>
      <w:ind w:right="198"/>
      <w:jc w:val="right"/>
    </w:pPr>
    <w:rPr>
      <w:rFonts w:ascii="宋体" w:hAnsi="Times New Roman" w:eastAsia="宋体" w:cs="宋体"/>
      <w:sz w:val="18"/>
      <w:szCs w:val="18"/>
      <w:lang w:val="en-US" w:eastAsia="zh-CN" w:bidi="ar-SA"/>
    </w:rPr>
  </w:style>
  <w:style w:type="paragraph" w:customStyle="1" w:styleId="57">
    <w:name w:val="标准书眉_奇数页"/>
    <w:next w:val="1"/>
    <w:qFormat/>
    <w:uiPriority w:val="0"/>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8">
    <w:name w:val="章标题"/>
    <w:next w:val="26"/>
    <w:link w:val="15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9">
    <w:name w:val="二级条标题"/>
    <w:basedOn w:val="55"/>
    <w:next w:val="26"/>
    <w:link w:val="152"/>
    <w:qFormat/>
    <w:uiPriority w:val="0"/>
    <w:pPr>
      <w:numPr>
        <w:ilvl w:val="2"/>
      </w:numPr>
      <w:spacing w:before="50" w:after="50"/>
      <w:outlineLvl w:val="3"/>
    </w:pPr>
  </w:style>
  <w:style w:type="paragraph" w:customStyle="1" w:styleId="6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61">
    <w:name w:val="列项——（一级）"/>
    <w:qFormat/>
    <w:uiPriority w:val="0"/>
    <w:pPr>
      <w:widowControl w:val="0"/>
      <w:numPr>
        <w:ilvl w:val="0"/>
        <w:numId w:val="3"/>
      </w:numPr>
      <w:jc w:val="both"/>
    </w:pPr>
    <w:rPr>
      <w:rFonts w:ascii="宋体" w:hAnsi="Times New Roman" w:eastAsia="宋体" w:cs="宋体"/>
      <w:sz w:val="21"/>
      <w:szCs w:val="21"/>
      <w:lang w:val="en-US" w:eastAsia="zh-CN" w:bidi="ar-SA"/>
    </w:rPr>
  </w:style>
  <w:style w:type="paragraph" w:customStyle="1" w:styleId="62">
    <w:name w:val="列项●（二级）"/>
    <w:qFormat/>
    <w:uiPriority w:val="0"/>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63">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4">
    <w:name w:val="三级条标题"/>
    <w:basedOn w:val="59"/>
    <w:next w:val="26"/>
    <w:qFormat/>
    <w:uiPriority w:val="0"/>
    <w:pPr>
      <w:numPr>
        <w:ilvl w:val="3"/>
      </w:numPr>
      <w:outlineLvl w:val="4"/>
    </w:pPr>
  </w:style>
  <w:style w:type="paragraph" w:customStyle="1" w:styleId="65">
    <w:name w:val="示例"/>
    <w:next w:val="66"/>
    <w:qFormat/>
    <w:uiPriority w:val="0"/>
    <w:pPr>
      <w:widowControl w:val="0"/>
      <w:numPr>
        <w:ilvl w:val="0"/>
        <w:numId w:val="4"/>
      </w:numPr>
      <w:jc w:val="both"/>
    </w:pPr>
    <w:rPr>
      <w:rFonts w:ascii="宋体" w:hAnsi="Times New Roman" w:eastAsia="宋体" w:cs="宋体"/>
      <w:sz w:val="18"/>
      <w:szCs w:val="18"/>
      <w:lang w:val="en-US" w:eastAsia="zh-CN" w:bidi="ar-SA"/>
    </w:rPr>
  </w:style>
  <w:style w:type="paragraph" w:customStyle="1" w:styleId="66">
    <w:name w:val="示例内容"/>
    <w:qFormat/>
    <w:uiPriority w:val="0"/>
    <w:pPr>
      <w:ind w:firstLine="200" w:firstLineChars="200"/>
    </w:pPr>
    <w:rPr>
      <w:rFonts w:ascii="宋体" w:hAnsi="Times New Roman" w:eastAsia="宋体" w:cs="宋体"/>
      <w:sz w:val="18"/>
      <w:szCs w:val="18"/>
      <w:lang w:val="en-US" w:eastAsia="zh-CN" w:bidi="ar-SA"/>
    </w:rPr>
  </w:style>
  <w:style w:type="paragraph" w:customStyle="1" w:styleId="67">
    <w:name w:val="数字编号列项（二级）"/>
    <w:qFormat/>
    <w:uiPriority w:val="0"/>
    <w:pPr>
      <w:numPr>
        <w:ilvl w:val="1"/>
        <w:numId w:val="5"/>
      </w:numPr>
      <w:jc w:val="both"/>
    </w:pPr>
    <w:rPr>
      <w:rFonts w:ascii="宋体" w:hAnsi="Times New Roman" w:eastAsia="宋体" w:cs="宋体"/>
      <w:sz w:val="21"/>
      <w:szCs w:val="21"/>
      <w:lang w:val="en-US" w:eastAsia="zh-CN" w:bidi="ar-SA"/>
    </w:rPr>
  </w:style>
  <w:style w:type="paragraph" w:customStyle="1" w:styleId="68">
    <w:name w:val="四级条标题"/>
    <w:basedOn w:val="64"/>
    <w:next w:val="26"/>
    <w:qFormat/>
    <w:uiPriority w:val="0"/>
    <w:pPr>
      <w:numPr>
        <w:ilvl w:val="4"/>
      </w:numPr>
      <w:outlineLvl w:val="5"/>
    </w:pPr>
  </w:style>
  <w:style w:type="paragraph" w:customStyle="1" w:styleId="69">
    <w:name w:val="五级条标题"/>
    <w:basedOn w:val="68"/>
    <w:next w:val="26"/>
    <w:qFormat/>
    <w:uiPriority w:val="0"/>
    <w:pPr>
      <w:numPr>
        <w:ilvl w:val="5"/>
      </w:numPr>
      <w:outlineLvl w:val="6"/>
    </w:pPr>
  </w:style>
  <w:style w:type="paragraph" w:customStyle="1" w:styleId="70">
    <w:name w:val="注："/>
    <w:next w:val="26"/>
    <w:qFormat/>
    <w:uiPriority w:val="0"/>
    <w:pPr>
      <w:widowControl w:val="0"/>
      <w:numPr>
        <w:ilvl w:val="0"/>
        <w:numId w:val="6"/>
      </w:numPr>
      <w:autoSpaceDE w:val="0"/>
      <w:autoSpaceDN w:val="0"/>
      <w:jc w:val="both"/>
    </w:pPr>
    <w:rPr>
      <w:rFonts w:ascii="宋体" w:hAnsi="Times New Roman" w:eastAsia="宋体" w:cs="宋体"/>
      <w:sz w:val="18"/>
      <w:szCs w:val="18"/>
      <w:lang w:val="en-US" w:eastAsia="zh-CN" w:bidi="ar-SA"/>
    </w:rPr>
  </w:style>
  <w:style w:type="paragraph" w:customStyle="1" w:styleId="71">
    <w:name w:val="注×："/>
    <w:qFormat/>
    <w:uiPriority w:val="0"/>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72">
    <w:name w:val="字母编号列项（一级）"/>
    <w:qFormat/>
    <w:uiPriority w:val="0"/>
    <w:pPr>
      <w:numPr>
        <w:ilvl w:val="0"/>
        <w:numId w:val="5"/>
      </w:numPr>
      <w:jc w:val="both"/>
    </w:pPr>
    <w:rPr>
      <w:rFonts w:ascii="宋体" w:hAnsi="Times New Roman" w:eastAsia="宋体" w:cs="宋体"/>
      <w:sz w:val="21"/>
      <w:szCs w:val="21"/>
      <w:lang w:val="en-US" w:eastAsia="zh-CN" w:bidi="ar-SA"/>
    </w:rPr>
  </w:style>
  <w:style w:type="paragraph" w:customStyle="1" w:styleId="73">
    <w:name w:val="列项◆（三级）"/>
    <w:basedOn w:val="1"/>
    <w:qFormat/>
    <w:uiPriority w:val="0"/>
    <w:pPr>
      <w:numPr>
        <w:ilvl w:val="2"/>
        <w:numId w:val="3"/>
      </w:numPr>
    </w:pPr>
    <w:rPr>
      <w:rFonts w:ascii="宋体" w:cs="宋体"/>
    </w:rPr>
  </w:style>
  <w:style w:type="paragraph" w:customStyle="1" w:styleId="74">
    <w:name w:val="编号列项（三级）"/>
    <w:qFormat/>
    <w:uiPriority w:val="0"/>
    <w:pPr>
      <w:numPr>
        <w:ilvl w:val="2"/>
        <w:numId w:val="5"/>
      </w:numPr>
    </w:pPr>
    <w:rPr>
      <w:rFonts w:ascii="宋体" w:hAnsi="Times New Roman" w:eastAsia="宋体" w:cs="宋体"/>
      <w:sz w:val="21"/>
      <w:szCs w:val="21"/>
      <w:lang w:val="en-US" w:eastAsia="zh-CN" w:bidi="ar-SA"/>
    </w:rPr>
  </w:style>
  <w:style w:type="paragraph" w:customStyle="1" w:styleId="75">
    <w:name w:val="示例×："/>
    <w:basedOn w:val="58"/>
    <w:qFormat/>
    <w:uiPriority w:val="0"/>
    <w:pPr>
      <w:numPr>
        <w:numId w:val="8"/>
      </w:numPr>
      <w:spacing w:beforeLines="0" w:afterLines="0"/>
      <w:outlineLvl w:val="9"/>
    </w:pPr>
    <w:rPr>
      <w:rFonts w:ascii="宋体" w:eastAsia="宋体" w:cs="宋体"/>
      <w:sz w:val="18"/>
      <w:szCs w:val="18"/>
    </w:rPr>
  </w:style>
  <w:style w:type="paragraph" w:customStyle="1" w:styleId="76">
    <w:name w:val="二级无"/>
    <w:basedOn w:val="59"/>
    <w:qFormat/>
    <w:uiPriority w:val="0"/>
    <w:pPr>
      <w:spacing w:beforeLines="0" w:afterLines="0"/>
    </w:pPr>
    <w:rPr>
      <w:rFonts w:ascii="宋体" w:eastAsia="宋体" w:cs="宋体"/>
    </w:rPr>
  </w:style>
  <w:style w:type="paragraph" w:customStyle="1" w:styleId="77">
    <w:name w:val="注：（正文）"/>
    <w:basedOn w:val="70"/>
    <w:next w:val="26"/>
    <w:qFormat/>
    <w:uiPriority w:val="0"/>
  </w:style>
  <w:style w:type="paragraph" w:customStyle="1" w:styleId="78">
    <w:name w:val="注×：（正文）"/>
    <w:qFormat/>
    <w:uiPriority w:val="0"/>
    <w:pPr>
      <w:numPr>
        <w:ilvl w:val="0"/>
        <w:numId w:val="9"/>
      </w:numPr>
      <w:ind w:left="811"/>
      <w:jc w:val="both"/>
    </w:pPr>
    <w:rPr>
      <w:rFonts w:ascii="宋体" w:hAnsi="Times New Roman" w:eastAsia="宋体" w:cs="宋体"/>
      <w:sz w:val="18"/>
      <w:szCs w:val="18"/>
      <w:lang w:val="en-US" w:eastAsia="zh-CN" w:bidi="ar-SA"/>
    </w:rPr>
  </w:style>
  <w:style w:type="paragraph" w:customStyle="1" w:styleId="79">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8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81">
    <w:name w:val="标准书脚_偶数页"/>
    <w:qFormat/>
    <w:uiPriority w:val="0"/>
    <w:pPr>
      <w:spacing w:before="120"/>
      <w:ind w:left="221"/>
    </w:pPr>
    <w:rPr>
      <w:rFonts w:ascii="宋体" w:hAnsi="Times New Roman" w:eastAsia="宋体" w:cs="宋体"/>
      <w:sz w:val="18"/>
      <w:szCs w:val="18"/>
      <w:lang w:val="en-US" w:eastAsia="zh-CN" w:bidi="ar-SA"/>
    </w:rPr>
  </w:style>
  <w:style w:type="paragraph" w:customStyle="1" w:styleId="82">
    <w:name w:val="标准书眉_偶数页"/>
    <w:basedOn w:val="57"/>
    <w:next w:val="1"/>
    <w:qFormat/>
    <w:uiPriority w:val="0"/>
    <w:pPr>
      <w:jc w:val="left"/>
    </w:pPr>
  </w:style>
  <w:style w:type="paragraph" w:customStyle="1" w:styleId="83">
    <w:name w:val="标准书眉一"/>
    <w:qFormat/>
    <w:uiPriority w:val="0"/>
    <w:pPr>
      <w:jc w:val="both"/>
    </w:pPr>
    <w:rPr>
      <w:rFonts w:ascii="Times New Roman" w:hAnsi="Times New Roman" w:eastAsia="宋体" w:cs="Times New Roman"/>
      <w:lang w:val="en-US" w:eastAsia="zh-CN" w:bidi="ar-SA"/>
    </w:rPr>
  </w:style>
  <w:style w:type="paragraph" w:customStyle="1" w:styleId="84">
    <w:name w:val="参考文献"/>
    <w:basedOn w:val="1"/>
    <w:next w:val="26"/>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85">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cs="黑体"/>
      <w:kern w:val="0"/>
    </w:rPr>
  </w:style>
  <w:style w:type="character" w:customStyle="1" w:styleId="86">
    <w:name w:val="发布"/>
    <w:basedOn w:val="38"/>
    <w:qFormat/>
    <w:uiPriority w:val="0"/>
    <w:rPr>
      <w:rFonts w:ascii="黑体" w:eastAsia="黑体" w:cs="黑体"/>
      <w:spacing w:val="85"/>
      <w:w w:val="100"/>
      <w:position w:val="3"/>
      <w:sz w:val="28"/>
      <w:szCs w:val="28"/>
    </w:rPr>
  </w:style>
  <w:style w:type="paragraph" w:customStyle="1" w:styleId="87">
    <w:name w:val="发布部门"/>
    <w:next w:val="26"/>
    <w:qFormat/>
    <w:uiPriority w:val="0"/>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8">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8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9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9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92">
    <w:name w:val="封面标准英文名称"/>
    <w:basedOn w:val="91"/>
    <w:qFormat/>
    <w:uiPriority w:val="0"/>
    <w:pPr>
      <w:framePr w:wrap="around"/>
      <w:spacing w:before="370" w:line="400" w:lineRule="exact"/>
    </w:pPr>
    <w:rPr>
      <w:rFonts w:ascii="Times New Roman" w:cs="Times New Roman"/>
      <w:sz w:val="28"/>
      <w:szCs w:val="28"/>
    </w:rPr>
  </w:style>
  <w:style w:type="paragraph" w:customStyle="1" w:styleId="93">
    <w:name w:val="封面一致性程度标识"/>
    <w:basedOn w:val="92"/>
    <w:qFormat/>
    <w:uiPriority w:val="0"/>
    <w:pPr>
      <w:framePr w:wrap="around"/>
      <w:spacing w:before="440"/>
    </w:pPr>
    <w:rPr>
      <w:rFonts w:ascii="宋体" w:eastAsia="宋体" w:cs="宋体"/>
    </w:rPr>
  </w:style>
  <w:style w:type="paragraph" w:customStyle="1" w:styleId="94">
    <w:name w:val="封面标准文稿类别"/>
    <w:basedOn w:val="93"/>
    <w:qFormat/>
    <w:uiPriority w:val="0"/>
    <w:pPr>
      <w:framePr w:wrap="around"/>
      <w:spacing w:after="160" w:line="240" w:lineRule="auto"/>
    </w:pPr>
    <w:rPr>
      <w:sz w:val="24"/>
      <w:szCs w:val="24"/>
    </w:rPr>
  </w:style>
  <w:style w:type="paragraph" w:customStyle="1" w:styleId="95">
    <w:name w:val="封面标准文稿编辑信息"/>
    <w:basedOn w:val="94"/>
    <w:qFormat/>
    <w:uiPriority w:val="0"/>
    <w:pPr>
      <w:framePr w:wrap="around"/>
      <w:spacing w:before="180" w:line="180" w:lineRule="exact"/>
    </w:pPr>
    <w:rPr>
      <w:sz w:val="21"/>
      <w:szCs w:val="21"/>
    </w:rPr>
  </w:style>
  <w:style w:type="paragraph" w:customStyle="1" w:styleId="96">
    <w:name w:val="封面正文"/>
    <w:qFormat/>
    <w:uiPriority w:val="0"/>
    <w:pPr>
      <w:jc w:val="both"/>
    </w:pPr>
    <w:rPr>
      <w:rFonts w:ascii="Times New Roman" w:hAnsi="Times New Roman" w:eastAsia="宋体" w:cs="Times New Roman"/>
      <w:lang w:val="en-US" w:eastAsia="zh-CN" w:bidi="ar-SA"/>
    </w:rPr>
  </w:style>
  <w:style w:type="paragraph" w:customStyle="1" w:styleId="97">
    <w:name w:val="附录标识"/>
    <w:basedOn w:val="1"/>
    <w:next w:val="26"/>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98">
    <w:name w:val="附录标题"/>
    <w:basedOn w:val="26"/>
    <w:next w:val="26"/>
    <w:qFormat/>
    <w:uiPriority w:val="0"/>
    <w:pPr>
      <w:ind w:firstLine="0" w:firstLineChars="0"/>
      <w:jc w:val="center"/>
    </w:pPr>
    <w:rPr>
      <w:rFonts w:ascii="黑体" w:eastAsia="黑体" w:cs="黑体"/>
    </w:rPr>
  </w:style>
  <w:style w:type="paragraph" w:customStyle="1" w:styleId="99">
    <w:name w:val="附录表标号"/>
    <w:basedOn w:val="1"/>
    <w:next w:val="26"/>
    <w:qFormat/>
    <w:uiPriority w:val="0"/>
    <w:pPr>
      <w:numPr>
        <w:ilvl w:val="0"/>
        <w:numId w:val="11"/>
      </w:numPr>
      <w:spacing w:line="14" w:lineRule="exact"/>
      <w:ind w:left="811" w:hanging="448"/>
      <w:jc w:val="center"/>
      <w:outlineLvl w:val="0"/>
    </w:pPr>
    <w:rPr>
      <w:color w:val="FFFFFF"/>
    </w:rPr>
  </w:style>
  <w:style w:type="paragraph" w:customStyle="1" w:styleId="100">
    <w:name w:val="附录表标题"/>
    <w:basedOn w:val="1"/>
    <w:next w:val="26"/>
    <w:qFormat/>
    <w:uiPriority w:val="0"/>
    <w:pPr>
      <w:numPr>
        <w:ilvl w:val="1"/>
        <w:numId w:val="11"/>
      </w:numPr>
      <w:tabs>
        <w:tab w:val="left" w:pos="180"/>
      </w:tabs>
      <w:spacing w:beforeLines="50" w:afterLines="50"/>
      <w:jc w:val="center"/>
    </w:pPr>
    <w:rPr>
      <w:rFonts w:ascii="黑体" w:eastAsia="黑体" w:cs="黑体"/>
    </w:rPr>
  </w:style>
  <w:style w:type="paragraph" w:customStyle="1" w:styleId="101">
    <w:name w:val="附录二级条标题"/>
    <w:basedOn w:val="1"/>
    <w:next w:val="26"/>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02">
    <w:name w:val="附录二级无"/>
    <w:basedOn w:val="101"/>
    <w:qFormat/>
    <w:uiPriority w:val="0"/>
    <w:pPr>
      <w:tabs>
        <w:tab w:val="clear" w:pos="360"/>
      </w:tabs>
      <w:spacing w:beforeLines="0" w:afterLines="0"/>
    </w:pPr>
    <w:rPr>
      <w:rFonts w:ascii="宋体" w:eastAsia="宋体" w:cs="宋体"/>
    </w:rPr>
  </w:style>
  <w:style w:type="paragraph" w:customStyle="1" w:styleId="103">
    <w:name w:val="附录公式"/>
    <w:basedOn w:val="26"/>
    <w:next w:val="26"/>
    <w:link w:val="104"/>
    <w:qFormat/>
    <w:uiPriority w:val="0"/>
  </w:style>
  <w:style w:type="character" w:customStyle="1" w:styleId="104">
    <w:name w:val="附录公式 Char"/>
    <w:basedOn w:val="54"/>
    <w:link w:val="103"/>
    <w:qFormat/>
    <w:locked/>
    <w:uiPriority w:val="0"/>
    <w:rPr>
      <w:rFonts w:ascii="宋体" w:cs="宋体"/>
      <w:sz w:val="21"/>
      <w:szCs w:val="21"/>
      <w:lang w:val="en-US" w:eastAsia="zh-CN" w:bidi="ar-SA"/>
    </w:rPr>
  </w:style>
  <w:style w:type="paragraph" w:customStyle="1" w:styleId="105">
    <w:name w:val="附录公式编号制表符"/>
    <w:basedOn w:val="1"/>
    <w:next w:val="26"/>
    <w:qFormat/>
    <w:uiPriority w:val="0"/>
    <w:pPr>
      <w:widowControl/>
      <w:tabs>
        <w:tab w:val="center" w:pos="4201"/>
        <w:tab w:val="right" w:leader="dot" w:pos="9298"/>
      </w:tabs>
      <w:autoSpaceDE w:val="0"/>
      <w:autoSpaceDN w:val="0"/>
    </w:pPr>
    <w:rPr>
      <w:rFonts w:ascii="宋体" w:cs="宋体"/>
      <w:kern w:val="0"/>
    </w:rPr>
  </w:style>
  <w:style w:type="paragraph" w:customStyle="1" w:styleId="106">
    <w:name w:val="附录三级条标题"/>
    <w:basedOn w:val="101"/>
    <w:next w:val="26"/>
    <w:qFormat/>
    <w:uiPriority w:val="0"/>
    <w:pPr>
      <w:numPr>
        <w:ilvl w:val="4"/>
      </w:numPr>
      <w:outlineLvl w:val="4"/>
    </w:pPr>
  </w:style>
  <w:style w:type="paragraph" w:customStyle="1" w:styleId="107">
    <w:name w:val="附录三级无"/>
    <w:basedOn w:val="106"/>
    <w:qFormat/>
    <w:uiPriority w:val="0"/>
    <w:pPr>
      <w:tabs>
        <w:tab w:val="clear" w:pos="360"/>
      </w:tabs>
      <w:spacing w:beforeLines="0" w:afterLines="0"/>
    </w:pPr>
    <w:rPr>
      <w:rFonts w:ascii="宋体" w:eastAsia="宋体" w:cs="宋体"/>
    </w:rPr>
  </w:style>
  <w:style w:type="paragraph" w:customStyle="1" w:styleId="108">
    <w:name w:val="附录数字编号列项（二级）"/>
    <w:qFormat/>
    <w:uiPriority w:val="0"/>
    <w:pPr>
      <w:numPr>
        <w:ilvl w:val="1"/>
        <w:numId w:val="12"/>
      </w:numPr>
    </w:pPr>
    <w:rPr>
      <w:rFonts w:ascii="宋体" w:hAnsi="Times New Roman" w:eastAsia="宋体" w:cs="宋体"/>
      <w:sz w:val="21"/>
      <w:szCs w:val="21"/>
      <w:lang w:val="en-US" w:eastAsia="zh-CN" w:bidi="ar-SA"/>
    </w:rPr>
  </w:style>
  <w:style w:type="paragraph" w:customStyle="1" w:styleId="109">
    <w:name w:val="附录四级条标题"/>
    <w:basedOn w:val="106"/>
    <w:next w:val="26"/>
    <w:qFormat/>
    <w:uiPriority w:val="0"/>
    <w:pPr>
      <w:numPr>
        <w:ilvl w:val="5"/>
      </w:numPr>
      <w:outlineLvl w:val="5"/>
    </w:pPr>
  </w:style>
  <w:style w:type="paragraph" w:customStyle="1" w:styleId="110">
    <w:name w:val="附录四级无"/>
    <w:basedOn w:val="109"/>
    <w:qFormat/>
    <w:uiPriority w:val="0"/>
    <w:pPr>
      <w:tabs>
        <w:tab w:val="clear" w:pos="360"/>
      </w:tabs>
      <w:spacing w:beforeLines="0" w:afterLines="0"/>
    </w:pPr>
    <w:rPr>
      <w:rFonts w:ascii="宋体" w:eastAsia="宋体" w:cs="宋体"/>
    </w:rPr>
  </w:style>
  <w:style w:type="paragraph" w:customStyle="1" w:styleId="111">
    <w:name w:val="附录图标号"/>
    <w:basedOn w:val="1"/>
    <w:qFormat/>
    <w:uiPriority w:val="0"/>
    <w:pPr>
      <w:keepNext/>
      <w:pageBreakBefore/>
      <w:widowControl/>
      <w:numPr>
        <w:ilvl w:val="0"/>
        <w:numId w:val="13"/>
      </w:numPr>
      <w:spacing w:line="14" w:lineRule="exact"/>
      <w:ind w:firstLine="363"/>
      <w:jc w:val="center"/>
      <w:outlineLvl w:val="0"/>
    </w:pPr>
    <w:rPr>
      <w:color w:val="FFFFFF"/>
    </w:rPr>
  </w:style>
  <w:style w:type="paragraph" w:customStyle="1" w:styleId="112">
    <w:name w:val="附录图标题"/>
    <w:basedOn w:val="1"/>
    <w:next w:val="26"/>
    <w:qFormat/>
    <w:uiPriority w:val="0"/>
    <w:pPr>
      <w:numPr>
        <w:ilvl w:val="1"/>
        <w:numId w:val="13"/>
      </w:numPr>
      <w:tabs>
        <w:tab w:val="left" w:pos="363"/>
      </w:tabs>
      <w:spacing w:beforeLines="50" w:afterLines="50"/>
      <w:jc w:val="center"/>
    </w:pPr>
    <w:rPr>
      <w:rFonts w:ascii="黑体" w:eastAsia="黑体" w:cs="黑体"/>
    </w:rPr>
  </w:style>
  <w:style w:type="paragraph" w:customStyle="1" w:styleId="113">
    <w:name w:val="附录五级条标题"/>
    <w:basedOn w:val="109"/>
    <w:next w:val="26"/>
    <w:qFormat/>
    <w:uiPriority w:val="0"/>
    <w:pPr>
      <w:numPr>
        <w:ilvl w:val="6"/>
      </w:numPr>
      <w:outlineLvl w:val="6"/>
    </w:pPr>
  </w:style>
  <w:style w:type="paragraph" w:customStyle="1" w:styleId="114">
    <w:name w:val="附录五级无"/>
    <w:basedOn w:val="113"/>
    <w:qFormat/>
    <w:uiPriority w:val="0"/>
    <w:pPr>
      <w:tabs>
        <w:tab w:val="clear" w:pos="360"/>
      </w:tabs>
      <w:spacing w:beforeLines="0" w:afterLines="0"/>
    </w:pPr>
    <w:rPr>
      <w:rFonts w:ascii="宋体" w:eastAsia="宋体" w:cs="宋体"/>
    </w:rPr>
  </w:style>
  <w:style w:type="paragraph" w:customStyle="1" w:styleId="115">
    <w:name w:val="附录章标题"/>
    <w:next w:val="26"/>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6">
    <w:name w:val="附录一级条标题"/>
    <w:basedOn w:val="115"/>
    <w:next w:val="26"/>
    <w:qFormat/>
    <w:uiPriority w:val="0"/>
    <w:pPr>
      <w:numPr>
        <w:ilvl w:val="2"/>
      </w:numPr>
      <w:autoSpaceDN w:val="0"/>
      <w:spacing w:beforeLines="50" w:afterLines="50"/>
      <w:outlineLvl w:val="2"/>
    </w:pPr>
  </w:style>
  <w:style w:type="paragraph" w:customStyle="1" w:styleId="117">
    <w:name w:val="附录一级无"/>
    <w:basedOn w:val="116"/>
    <w:qFormat/>
    <w:uiPriority w:val="0"/>
    <w:pPr>
      <w:tabs>
        <w:tab w:val="clear" w:pos="360"/>
      </w:tabs>
      <w:spacing w:beforeLines="0" w:afterLines="0"/>
    </w:pPr>
    <w:rPr>
      <w:rFonts w:ascii="宋体" w:eastAsia="宋体" w:cs="宋体"/>
    </w:rPr>
  </w:style>
  <w:style w:type="paragraph" w:customStyle="1" w:styleId="118">
    <w:name w:val="附录字母编号列项（一级）"/>
    <w:qFormat/>
    <w:uiPriority w:val="0"/>
    <w:pPr>
      <w:numPr>
        <w:ilvl w:val="0"/>
        <w:numId w:val="12"/>
      </w:numPr>
    </w:pPr>
    <w:rPr>
      <w:rFonts w:ascii="宋体" w:hAnsi="Times New Roman" w:eastAsia="宋体" w:cs="宋体"/>
      <w:sz w:val="21"/>
      <w:szCs w:val="21"/>
      <w:lang w:val="en-US" w:eastAsia="zh-CN" w:bidi="ar-SA"/>
    </w:rPr>
  </w:style>
  <w:style w:type="paragraph" w:customStyle="1" w:styleId="119">
    <w:name w:val="列项说明"/>
    <w:basedOn w:val="1"/>
    <w:qFormat/>
    <w:uiPriority w:val="0"/>
    <w:pPr>
      <w:adjustRightInd w:val="0"/>
      <w:spacing w:line="320" w:lineRule="exact"/>
      <w:ind w:left="400" w:leftChars="200" w:hanging="200" w:hangingChars="200"/>
      <w:jc w:val="left"/>
      <w:textAlignment w:val="baseline"/>
    </w:pPr>
    <w:rPr>
      <w:rFonts w:ascii="宋体" w:cs="宋体"/>
      <w:kern w:val="0"/>
    </w:rPr>
  </w:style>
  <w:style w:type="paragraph" w:customStyle="1" w:styleId="120">
    <w:name w:val="列项说明数字编号"/>
    <w:qFormat/>
    <w:uiPriority w:val="0"/>
    <w:pPr>
      <w:ind w:left="600" w:leftChars="400" w:hanging="200" w:hangingChars="200"/>
    </w:pPr>
    <w:rPr>
      <w:rFonts w:ascii="宋体" w:hAnsi="Times New Roman" w:eastAsia="宋体" w:cs="宋体"/>
      <w:sz w:val="21"/>
      <w:szCs w:val="21"/>
      <w:lang w:val="en-US" w:eastAsia="zh-CN" w:bidi="ar-SA"/>
    </w:rPr>
  </w:style>
  <w:style w:type="paragraph" w:customStyle="1" w:styleId="121">
    <w:name w:val="目次、索引正文"/>
    <w:qFormat/>
    <w:uiPriority w:val="0"/>
    <w:pPr>
      <w:spacing w:line="320" w:lineRule="exact"/>
      <w:jc w:val="both"/>
    </w:pPr>
    <w:rPr>
      <w:rFonts w:ascii="宋体" w:hAnsi="Times New Roman" w:eastAsia="宋体" w:cs="宋体"/>
      <w:sz w:val="21"/>
      <w:szCs w:val="21"/>
      <w:lang w:val="en-US" w:eastAsia="zh-CN" w:bidi="ar-SA"/>
    </w:rPr>
  </w:style>
  <w:style w:type="paragraph" w:customStyle="1" w:styleId="122">
    <w:name w:val="其他标准标志"/>
    <w:basedOn w:val="79"/>
    <w:qFormat/>
    <w:uiPriority w:val="0"/>
    <w:pPr>
      <w:framePr w:w="6101" w:wrap="around" w:vAnchor="page" w:hAnchor="page" w:x="4673" w:y="942"/>
    </w:pPr>
    <w:rPr>
      <w:w w:val="130"/>
    </w:rPr>
  </w:style>
  <w:style w:type="paragraph" w:customStyle="1" w:styleId="123">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24">
    <w:name w:val="其他发布部门"/>
    <w:basedOn w:val="87"/>
    <w:qFormat/>
    <w:uiPriority w:val="0"/>
    <w:pPr>
      <w:framePr w:wrap="around" w:y="15310"/>
      <w:spacing w:line="240" w:lineRule="atLeast"/>
    </w:pPr>
    <w:rPr>
      <w:rFonts w:ascii="黑体" w:eastAsia="黑体" w:cs="黑体"/>
      <w:b w:val="0"/>
      <w:bCs w:val="0"/>
    </w:rPr>
  </w:style>
  <w:style w:type="paragraph" w:customStyle="1" w:styleId="125">
    <w:name w:val="前言、引言标题"/>
    <w:next w:val="26"/>
    <w:qFormat/>
    <w:uiPriority w:val="0"/>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6">
    <w:name w:val="三级无"/>
    <w:basedOn w:val="64"/>
    <w:qFormat/>
    <w:uiPriority w:val="0"/>
    <w:pPr>
      <w:spacing w:beforeLines="0" w:afterLines="0"/>
    </w:pPr>
    <w:rPr>
      <w:rFonts w:ascii="宋体" w:eastAsia="宋体" w:cs="宋体"/>
    </w:rPr>
  </w:style>
  <w:style w:type="paragraph" w:customStyle="1" w:styleId="127">
    <w:name w:val="实施日期"/>
    <w:basedOn w:val="88"/>
    <w:qFormat/>
    <w:uiPriority w:val="0"/>
    <w:pPr>
      <w:framePr w:wrap="around" w:vAnchor="page" w:hAnchor="text"/>
      <w:jc w:val="right"/>
    </w:pPr>
  </w:style>
  <w:style w:type="paragraph" w:customStyle="1" w:styleId="128">
    <w:name w:val="示例后文字"/>
    <w:basedOn w:val="26"/>
    <w:next w:val="26"/>
    <w:qFormat/>
    <w:uiPriority w:val="0"/>
    <w:pPr>
      <w:ind w:firstLine="360"/>
    </w:pPr>
    <w:rPr>
      <w:sz w:val="18"/>
      <w:szCs w:val="18"/>
    </w:rPr>
  </w:style>
  <w:style w:type="paragraph" w:customStyle="1" w:styleId="129">
    <w:name w:val="首示例"/>
    <w:next w:val="26"/>
    <w:link w:val="130"/>
    <w:qFormat/>
    <w:uiPriority w:val="0"/>
    <w:pPr>
      <w:numPr>
        <w:ilvl w:val="0"/>
        <w:numId w:val="14"/>
      </w:numPr>
      <w:tabs>
        <w:tab w:val="left" w:pos="360"/>
      </w:tabs>
    </w:pPr>
    <w:rPr>
      <w:rFonts w:ascii="宋体" w:hAnsi="宋体" w:eastAsia="宋体" w:cs="宋体"/>
      <w:kern w:val="2"/>
      <w:sz w:val="18"/>
      <w:szCs w:val="18"/>
      <w:lang w:val="en-US" w:eastAsia="zh-CN" w:bidi="ar-SA"/>
    </w:rPr>
  </w:style>
  <w:style w:type="character" w:customStyle="1" w:styleId="130">
    <w:name w:val="首示例 Char"/>
    <w:basedOn w:val="38"/>
    <w:link w:val="129"/>
    <w:qFormat/>
    <w:locked/>
    <w:uiPriority w:val="0"/>
    <w:rPr>
      <w:rFonts w:ascii="宋体" w:hAnsi="宋体" w:cs="宋体"/>
      <w:kern w:val="2"/>
      <w:sz w:val="18"/>
      <w:szCs w:val="18"/>
    </w:rPr>
  </w:style>
  <w:style w:type="paragraph" w:customStyle="1" w:styleId="131">
    <w:name w:val="四级无"/>
    <w:basedOn w:val="68"/>
    <w:qFormat/>
    <w:uiPriority w:val="0"/>
    <w:pPr>
      <w:spacing w:beforeLines="0" w:afterLines="0"/>
    </w:pPr>
    <w:rPr>
      <w:rFonts w:ascii="宋体" w:eastAsia="宋体" w:cs="宋体"/>
    </w:rPr>
  </w:style>
  <w:style w:type="paragraph" w:customStyle="1" w:styleId="132">
    <w:name w:val="条文脚注"/>
    <w:basedOn w:val="27"/>
    <w:qFormat/>
    <w:uiPriority w:val="0"/>
    <w:pPr>
      <w:numPr>
        <w:numId w:val="0"/>
      </w:numPr>
      <w:jc w:val="both"/>
    </w:pPr>
  </w:style>
  <w:style w:type="paragraph" w:customStyle="1" w:styleId="133">
    <w:name w:val="图标脚注说明"/>
    <w:basedOn w:val="26"/>
    <w:qFormat/>
    <w:uiPriority w:val="0"/>
    <w:pPr>
      <w:ind w:left="840" w:hanging="420" w:firstLineChars="0"/>
    </w:pPr>
    <w:rPr>
      <w:sz w:val="18"/>
      <w:szCs w:val="18"/>
    </w:rPr>
  </w:style>
  <w:style w:type="paragraph" w:customStyle="1" w:styleId="134">
    <w:name w:val="图表脚注说明"/>
    <w:basedOn w:val="1"/>
    <w:qFormat/>
    <w:uiPriority w:val="0"/>
    <w:pPr>
      <w:numPr>
        <w:ilvl w:val="0"/>
        <w:numId w:val="15"/>
      </w:numPr>
    </w:pPr>
    <w:rPr>
      <w:rFonts w:ascii="宋体" w:cs="宋体"/>
      <w:sz w:val="18"/>
      <w:szCs w:val="18"/>
    </w:rPr>
  </w:style>
  <w:style w:type="paragraph" w:customStyle="1" w:styleId="135">
    <w:name w:val="图的脚注"/>
    <w:next w:val="26"/>
    <w:qFormat/>
    <w:uiPriority w:val="0"/>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36">
    <w:name w:val="文献分类号"/>
    <w:qFormat/>
    <w:uiPriority w:val="0"/>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37">
    <w:name w:val="五级无"/>
    <w:basedOn w:val="69"/>
    <w:qFormat/>
    <w:uiPriority w:val="0"/>
    <w:pPr>
      <w:spacing w:beforeLines="0" w:afterLines="0"/>
    </w:pPr>
    <w:rPr>
      <w:rFonts w:ascii="宋体" w:eastAsia="宋体" w:cs="宋体"/>
    </w:rPr>
  </w:style>
  <w:style w:type="paragraph" w:customStyle="1" w:styleId="138">
    <w:name w:val="一级无"/>
    <w:basedOn w:val="55"/>
    <w:qFormat/>
    <w:uiPriority w:val="0"/>
    <w:pPr>
      <w:spacing w:beforeLines="0" w:afterLines="0"/>
    </w:pPr>
    <w:rPr>
      <w:rFonts w:ascii="宋体" w:eastAsia="宋体" w:cs="宋体"/>
    </w:rPr>
  </w:style>
  <w:style w:type="paragraph" w:customStyle="1" w:styleId="139">
    <w:name w:val="正文表标题"/>
    <w:next w:val="26"/>
    <w:qFormat/>
    <w:uiPriority w:val="0"/>
    <w:pPr>
      <w:numPr>
        <w:ilvl w:val="0"/>
        <w:numId w:val="16"/>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0">
    <w:name w:val="正文公式编号制表符"/>
    <w:basedOn w:val="26"/>
    <w:next w:val="26"/>
    <w:qFormat/>
    <w:uiPriority w:val="0"/>
    <w:pPr>
      <w:ind w:firstLine="0" w:firstLineChars="0"/>
    </w:pPr>
  </w:style>
  <w:style w:type="paragraph" w:customStyle="1" w:styleId="141">
    <w:name w:val="正文图标题"/>
    <w:next w:val="26"/>
    <w:qFormat/>
    <w:uiPriority w:val="0"/>
    <w:pPr>
      <w:numPr>
        <w:ilvl w:val="0"/>
        <w:numId w:val="17"/>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2">
    <w:name w:val="终结线"/>
    <w:basedOn w:val="1"/>
    <w:qFormat/>
    <w:uiPriority w:val="0"/>
    <w:pPr>
      <w:framePr w:hSpace="181" w:vSpace="181" w:wrap="around" w:vAnchor="text" w:hAnchor="margin" w:xAlign="center" w:y="285"/>
    </w:pPr>
  </w:style>
  <w:style w:type="paragraph" w:customStyle="1" w:styleId="143">
    <w:name w:val="其他发布日期"/>
    <w:basedOn w:val="88"/>
    <w:qFormat/>
    <w:uiPriority w:val="0"/>
    <w:pPr>
      <w:framePr w:wrap="around" w:vAnchor="page" w:hAnchor="text" w:x="1419"/>
    </w:pPr>
  </w:style>
  <w:style w:type="paragraph" w:customStyle="1" w:styleId="144">
    <w:name w:val="其他实施日期"/>
    <w:basedOn w:val="127"/>
    <w:qFormat/>
    <w:uiPriority w:val="0"/>
    <w:pPr>
      <w:framePr w:wrap="around"/>
    </w:pPr>
  </w:style>
  <w:style w:type="paragraph" w:customStyle="1" w:styleId="145">
    <w:name w:val="封面标准名称2"/>
    <w:basedOn w:val="91"/>
    <w:qFormat/>
    <w:uiPriority w:val="0"/>
    <w:pPr>
      <w:framePr w:wrap="around" w:y="4469"/>
      <w:spacing w:beforeLines="630"/>
    </w:pPr>
  </w:style>
  <w:style w:type="paragraph" w:customStyle="1" w:styleId="146">
    <w:name w:val="封面标准英文名称2"/>
    <w:basedOn w:val="92"/>
    <w:qFormat/>
    <w:uiPriority w:val="0"/>
    <w:pPr>
      <w:framePr w:wrap="around" w:y="4469"/>
    </w:pPr>
  </w:style>
  <w:style w:type="paragraph" w:customStyle="1" w:styleId="147">
    <w:name w:val="封面一致性程度标识2"/>
    <w:basedOn w:val="93"/>
    <w:qFormat/>
    <w:uiPriority w:val="0"/>
    <w:pPr>
      <w:framePr w:wrap="around" w:y="4469"/>
    </w:pPr>
  </w:style>
  <w:style w:type="paragraph" w:customStyle="1" w:styleId="148">
    <w:name w:val="封面标准文稿类别2"/>
    <w:basedOn w:val="94"/>
    <w:qFormat/>
    <w:uiPriority w:val="0"/>
    <w:pPr>
      <w:framePr w:wrap="around" w:y="4469"/>
    </w:pPr>
  </w:style>
  <w:style w:type="paragraph" w:customStyle="1" w:styleId="149">
    <w:name w:val="封面标准文稿编辑信息2"/>
    <w:basedOn w:val="95"/>
    <w:qFormat/>
    <w:uiPriority w:val="0"/>
    <w:pPr>
      <w:framePr w:wrap="around" w:y="4469"/>
    </w:pPr>
  </w:style>
  <w:style w:type="character" w:customStyle="1" w:styleId="150">
    <w:name w:val="章标题 Char"/>
    <w:link w:val="58"/>
    <w:qFormat/>
    <w:locked/>
    <w:uiPriority w:val="0"/>
    <w:rPr>
      <w:rFonts w:ascii="黑体" w:eastAsia="黑体"/>
      <w:sz w:val="21"/>
    </w:rPr>
  </w:style>
  <w:style w:type="character" w:customStyle="1" w:styleId="151">
    <w:name w:val="一级条标题 Char"/>
    <w:link w:val="55"/>
    <w:qFormat/>
    <w:locked/>
    <w:uiPriority w:val="0"/>
    <w:rPr>
      <w:rFonts w:ascii="黑体" w:eastAsia="黑体"/>
      <w:sz w:val="21"/>
    </w:rPr>
  </w:style>
  <w:style w:type="character" w:customStyle="1" w:styleId="152">
    <w:name w:val="二级条标题 Char"/>
    <w:basedOn w:val="151"/>
    <w:link w:val="59"/>
    <w:qFormat/>
    <w:locked/>
    <w:uiPriority w:val="0"/>
    <w:rPr>
      <w:rFonts w:ascii="黑体" w:eastAsia="黑体"/>
      <w:sz w:val="21"/>
    </w:rPr>
  </w:style>
  <w:style w:type="character" w:customStyle="1" w:styleId="153">
    <w:name w:val="标题 1 Char"/>
    <w:basedOn w:val="38"/>
    <w:link w:val="2"/>
    <w:qFormat/>
    <w:uiPriority w:val="9"/>
    <w:rPr>
      <w:rFonts w:ascii="宋体" w:hAnsi="宋体" w:cs="宋体"/>
      <w:b/>
      <w:bCs/>
      <w:kern w:val="36"/>
      <w:sz w:val="48"/>
      <w:szCs w:val="48"/>
    </w:rPr>
  </w:style>
  <w:style w:type="character" w:customStyle="1" w:styleId="154">
    <w:name w:val="页脚 字符"/>
    <w:qFormat/>
    <w:locked/>
    <w:uiPriority w:val="99"/>
    <w:rPr>
      <w:kern w:val="2"/>
      <w:sz w:val="18"/>
      <w:szCs w:val="18"/>
    </w:rPr>
  </w:style>
  <w:style w:type="character" w:customStyle="1" w:styleId="155">
    <w:name w:val="日期 Char"/>
    <w:basedOn w:val="38"/>
    <w:link w:val="17"/>
    <w:qFormat/>
    <w:uiPriority w:val="0"/>
    <w:rPr>
      <w:kern w:val="2"/>
      <w:sz w:val="21"/>
      <w:szCs w:val="21"/>
    </w:rPr>
  </w:style>
  <w:style w:type="paragraph" w:customStyle="1" w:styleId="156">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57">
    <w:name w:val="MTConvertedEquation"/>
    <w:basedOn w:val="38"/>
    <w:qFormat/>
    <w:uiPriority w:val="0"/>
    <w:rPr>
      <w:rFonts w:ascii="Cambria Math" w:hAnsi="Cambria Math" w:cs="Times New Roman"/>
    </w:rPr>
  </w:style>
  <w:style w:type="character" w:customStyle="1" w:styleId="158">
    <w:name w:val="标题 2 Char"/>
    <w:basedOn w:val="38"/>
    <w:link w:val="3"/>
    <w:qFormat/>
    <w:uiPriority w:val="9"/>
    <w:rPr>
      <w:rFonts w:asciiTheme="majorHAnsi" w:hAnsiTheme="majorHAnsi" w:eastAsiaTheme="majorEastAsia" w:cstheme="majorBidi"/>
      <w:b/>
      <w:bCs/>
      <w:kern w:val="2"/>
      <w:sz w:val="32"/>
      <w:szCs w:val="32"/>
    </w:rPr>
  </w:style>
  <w:style w:type="paragraph" w:customStyle="1" w:styleId="159">
    <w:name w:val="正文1"/>
    <w:qFormat/>
    <w:uiPriority w:val="0"/>
    <w:pPr>
      <w:jc w:val="both"/>
    </w:pPr>
    <w:rPr>
      <w:rFonts w:ascii="Times New Roman" w:hAnsi="Times New Roman" w:eastAsia="宋体" w:cs="Times New Roman"/>
      <w:kern w:val="2"/>
      <w:sz w:val="21"/>
      <w:szCs w:val="21"/>
      <w:lang w:val="en-US" w:eastAsia="zh-CN" w:bidi="ar-SA"/>
    </w:rPr>
  </w:style>
  <w:style w:type="paragraph" w:styleId="160">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61">
    <w:name w:val="_Style 2"/>
    <w:basedOn w:val="2"/>
    <w:next w:val="1"/>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textRotate="1"/>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F1654-FCFE-4500-8306-6A4E54F3F3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5802</Words>
  <Characters>6256</Characters>
  <Lines>50</Lines>
  <Paragraphs>14</Paragraphs>
  <TotalTime>27</TotalTime>
  <ScaleCrop>false</ScaleCrop>
  <LinksUpToDate>false</LinksUpToDate>
  <CharactersWithSpaces>6373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2020-06-02T01:28:00Z</dcterms:created>
  <dc:creator>CNIS</dc:creator>
  <cp:lastModifiedBy>wangqiang</cp:lastModifiedBy>
  <cp:lastPrinted>2022-05-07T09:37:00Z</cp:lastPrinted>
  <dcterms:modified xsi:type="dcterms:W3CDTF">2022-11-20T07:44:36Z</dcterms:modified>
  <dc:title>标准名称</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162FED2E0C1A49598C8BF963ABDF73D0</vt:lpwstr>
  </property>
  <property fmtid="{D5CDD505-2E9C-101B-9397-08002B2CF9AE}" pid="4" name="MTWinEqns">
    <vt:bool>true</vt:bool>
  </property>
</Properties>
</file>