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SectionMark0"/>
    <w:bookmarkStart w:id="1" w:name="_Toc22715"/>
    <w:bookmarkStart w:id="2" w:name="_Toc13552"/>
    <w:p w:rsidR="002606BB" w:rsidRDefault="00841612">
      <w:pPr>
        <w:pStyle w:val="affffffa"/>
        <w:rPr>
          <w:rFonts w:ascii="宋体" w:hAnsi="宋体" w:cs="宋体"/>
          <w:color w:val="000000" w:themeColor="text1"/>
          <w:sz w:val="32"/>
          <w:szCs w:val="32"/>
        </w:rPr>
        <w:sectPr w:rsidR="002606BB">
          <w:headerReference w:type="default" r:id="rId10"/>
          <w:footerReference w:type="even" r:id="rId11"/>
          <w:pgSz w:w="11907" w:h="16839"/>
          <w:pgMar w:top="567" w:right="851" w:bottom="1361" w:left="1418" w:header="0" w:footer="0" w:gutter="0"/>
          <w:pgNumType w:fmt="upperRoman" w:start="1"/>
          <w:cols w:space="720"/>
          <w:titlePg/>
          <w:docGrid w:type="lines" w:linePitch="312"/>
        </w:sectPr>
      </w:pPr>
      <w:r>
        <w:rPr>
          <w:rFonts w:ascii="宋体" w:cs="宋体"/>
          <w:noProof/>
          <w:color w:val="000000" w:themeColor="text1"/>
          <w:sz w:val="32"/>
          <w:szCs w:val="32"/>
        </w:rPr>
        <mc:AlternateContent>
          <mc:Choice Requires="wps">
            <w:drawing>
              <wp:anchor distT="0" distB="0" distL="113665" distR="113665" simplePos="0" relativeHeight="251653120" behindDoc="0" locked="1" layoutInCell="1" allowOverlap="1">
                <wp:simplePos x="0" y="0"/>
                <wp:positionH relativeFrom="margin">
                  <wp:posOffset>1270</wp:posOffset>
                </wp:positionH>
                <wp:positionV relativeFrom="margin">
                  <wp:posOffset>25400</wp:posOffset>
                </wp:positionV>
                <wp:extent cx="1100455" cy="657860"/>
                <wp:effectExtent l="0" t="0" r="0" b="0"/>
                <wp:wrapNone/>
                <wp:docPr id="1" name="文本框 13"/>
                <wp:cNvGraphicFramePr/>
                <a:graphic xmlns:a="http://schemas.openxmlformats.org/drawingml/2006/main">
                  <a:graphicData uri="http://schemas.microsoft.com/office/word/2010/wordprocessingShape">
                    <wps:wsp>
                      <wps:cNvSpPr/>
                      <wps:spPr>
                        <a:xfrm>
                          <a:off x="0" y="0"/>
                          <a:ext cx="1100455" cy="657860"/>
                        </a:xfrm>
                        <a:prstGeom prst="rect">
                          <a:avLst/>
                        </a:prstGeom>
                        <a:solidFill>
                          <a:srgbClr val="FFFFFF"/>
                        </a:solidFill>
                        <a:ln w="9525" cap="flat" cmpd="sng">
                          <a:noFill/>
                          <a:prstDash val="solid"/>
                          <a:round/>
                        </a:ln>
                      </wps:spPr>
                      <wps:txbx>
                        <w:txbxContent>
                          <w:p w:rsidR="002606BB" w:rsidRDefault="00841612">
                            <w:pPr>
                              <w:pStyle w:val="afffffe"/>
                            </w:pPr>
                            <w:r>
                              <w:t>ICS11.020</w:t>
                            </w:r>
                          </w:p>
                          <w:p w:rsidR="002606BB" w:rsidRDefault="00841612">
                            <w:pPr>
                              <w:pStyle w:val="afffffe"/>
                            </w:pPr>
                            <w:r>
                              <w:rPr>
                                <w:rFonts w:hint="eastAsia"/>
                              </w:rPr>
                              <w:t>C00</w:t>
                            </w:r>
                          </w:p>
                          <w:p w:rsidR="002606BB" w:rsidRDefault="002606BB">
                            <w:pPr>
                              <w:pStyle w:val="afffffe"/>
                            </w:pPr>
                          </w:p>
                        </w:txbxContent>
                      </wps:txbx>
                      <wps:bodyPr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rect id="文本框 13" o:spid="_x0000_s1026" o:spt="1" style="position:absolute;left:0pt;margin-left:0.1pt;margin-top:2pt;height:51.8pt;width:86.65pt;mso-position-horizontal-relative:margin;mso-position-vertical-relative:margin;z-index:251659264;mso-width-relative:page;mso-height-relative:page;" fillcolor="#FFFFFF" filled="t" stroked="f" coordsize="21600,21600" o:gfxdata="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4SLjLTAAAABgEAAA8AAAAAAAAA&#10;AQAgAAAAIgAAAGRycy9kb3ducmV2LnhtbFBLAQIUABQAAAAIAIdO4kCOqEbvFgIAACEEAAAOAAAA&#10;AAAAAAEAIAAAACIBAABkcnMvZTJvRG9jLnhtbFBLBQYAAAAABgAGAFkBAACqBQAAAAA=&#10;">
                <v:fill on="t" focussize="0,0"/>
                <v:stroke on="f" joinstyle="round"/>
                <v:imagedata o:title=""/>
                <o:lock v:ext="edit" aspectratio="f"/>
                <v:textbox inset="0mm,0mm,0mm,0mm">
                  <w:txbxContent>
                    <w:p>
                      <w:pPr>
                        <w:pStyle w:val="117"/>
                      </w:pPr>
                      <w:r>
                        <w:t>ICS11.020</w:t>
                      </w:r>
                    </w:p>
                    <w:p>
                      <w:pPr>
                        <w:pStyle w:val="117"/>
                      </w:pPr>
                      <w:r>
                        <w:rPr>
                          <w:rFonts w:hint="eastAsia"/>
                        </w:rPr>
                        <w:t>C00</w:t>
                      </w:r>
                    </w:p>
                    <w:p>
                      <w:pPr>
                        <w:pStyle w:val="117"/>
                      </w:pPr>
                    </w:p>
                  </w:txbxContent>
                </v:textbox>
                <w10:anchorlock/>
              </v:rect>
            </w:pict>
          </mc:Fallback>
        </mc:AlternateContent>
      </w:r>
      <w:r>
        <w:rPr>
          <w:rFonts w:ascii="宋体" w:hAnsi="宋体" w:cs="宋体"/>
          <w:noProof/>
          <w:color w:val="000000" w:themeColor="text1"/>
          <w:sz w:val="32"/>
          <w:szCs w:val="32"/>
        </w:rPr>
        <mc:AlternateContent>
          <mc:Choice Requires="wps">
            <w:drawing>
              <wp:anchor distT="0" distB="0" distL="113665" distR="113665" simplePos="0" relativeHeight="251654144" behindDoc="0" locked="0" layoutInCell="1" allowOverlap="1">
                <wp:simplePos x="0" y="0"/>
                <wp:positionH relativeFrom="column">
                  <wp:posOffset>0</wp:posOffset>
                </wp:positionH>
                <wp:positionV relativeFrom="paragraph">
                  <wp:posOffset>8889365</wp:posOffset>
                </wp:positionV>
                <wp:extent cx="6121400" cy="635"/>
                <wp:effectExtent l="0" t="0" r="0" b="0"/>
                <wp:wrapNone/>
                <wp:docPr id="4" name="直接连接符 12"/>
                <wp:cNvGraphicFramePr/>
                <a:graphic xmlns:a="http://schemas.openxmlformats.org/drawingml/2006/main">
                  <a:graphicData uri="http://schemas.microsoft.com/office/word/2010/wordprocessingShape">
                    <wps:wsp>
                      <wps:cNvCnPr/>
                      <wps:spPr>
                        <a:xfrm>
                          <a:off x="0" y="0"/>
                          <a:ext cx="6121400" cy="952"/>
                        </a:xfrm>
                        <a:prstGeom prst="line">
                          <a:avLst/>
                        </a:prstGeom>
                        <a:noFill/>
                        <a:ln w="12700" cap="flat" cmpd="sng">
                          <a:solidFill>
                            <a:srgbClr val="800008"/>
                          </a:solidFill>
                          <a:prstDash val="solid"/>
                          <a:round/>
                        </a:ln>
                      </wps:spPr>
                      <wps:bodyPr/>
                    </wps:wsp>
                  </a:graphicData>
                </a:graphic>
              </wp:anchor>
            </w:drawing>
          </mc:Choice>
          <mc:Fallback xmlns:wpsCustomData="http://www.wps.cn/officeDocument/2013/wpsCustomData" xmlns:w15="http://schemas.microsoft.com/office/word/2012/wordml">
            <w:pict>
              <v:line id="直接连接符 12" o:spid="_x0000_s1026" o:spt="20" style="position:absolute;left:0pt;margin-left:0pt;margin-top:699.95pt;height:0.05pt;width:482pt;z-index:251660288;mso-width-relative:page;mso-height-relative:page;" filled="f" stroked="t" coordsize="21600,21600" o:gfxdata="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Bo4AV1gAAAAoBAAAPAAAAAAAA&#10;AAEAIAAAACIAAABkcnMvZG93bnJldi54bWxQSwECFAAUAAAACACHTuJAnS7zwdsBAACdAwAADgAA&#10;AAAAAAABACAAAAAlAQAAZHJzL2Uyb0RvYy54bWxQSwUGAAAAAAYABgBZAQAAcgUAAAAA&#10;">
                <v:fill on="f" focussize="0,0"/>
                <v:stroke weight="1pt" color="#800008" joinstyle="round"/>
                <v:imagedata o:title=""/>
                <o:lock v:ext="edit" aspectratio="f"/>
              </v:line>
            </w:pict>
          </mc:Fallback>
        </mc:AlternateContent>
      </w:r>
      <w:r>
        <w:rPr>
          <w:rFonts w:ascii="宋体" w:hAnsi="宋体" w:cs="宋体"/>
          <w:noProof/>
          <w:color w:val="000000" w:themeColor="text1"/>
          <w:sz w:val="32"/>
          <w:szCs w:val="32"/>
        </w:rPr>
        <mc:AlternateContent>
          <mc:Choice Requires="wps">
            <w:drawing>
              <wp:anchor distT="0" distB="0" distL="113665" distR="113665" simplePos="0" relativeHeight="251655168" behindDoc="0" locked="0" layoutInCell="1" allowOverlap="1">
                <wp:simplePos x="0" y="0"/>
                <wp:positionH relativeFrom="column">
                  <wp:posOffset>0</wp:posOffset>
                </wp:positionH>
                <wp:positionV relativeFrom="paragraph">
                  <wp:posOffset>2272665</wp:posOffset>
                </wp:positionV>
                <wp:extent cx="6121400" cy="635"/>
                <wp:effectExtent l="0" t="0" r="0" b="0"/>
                <wp:wrapNone/>
                <wp:docPr id="6" name="直接连接符 11"/>
                <wp:cNvGraphicFramePr/>
                <a:graphic xmlns:a="http://schemas.openxmlformats.org/drawingml/2006/main">
                  <a:graphicData uri="http://schemas.microsoft.com/office/word/2010/wordprocessingShape">
                    <wps:wsp>
                      <wps:cNvCnPr/>
                      <wps:spPr>
                        <a:xfrm>
                          <a:off x="0" y="0"/>
                          <a:ext cx="6121400" cy="952"/>
                        </a:xfrm>
                        <a:prstGeom prst="line">
                          <a:avLst/>
                        </a:prstGeom>
                        <a:noFill/>
                        <a:ln w="12700" cap="flat" cmpd="sng">
                          <a:solidFill>
                            <a:srgbClr val="800008"/>
                          </a:solidFill>
                          <a:prstDash val="solid"/>
                          <a:round/>
                        </a:ln>
                      </wps:spPr>
                      <wps:bodyPr/>
                    </wps:wsp>
                  </a:graphicData>
                </a:graphic>
              </wp:anchor>
            </w:drawing>
          </mc:Choice>
          <mc:Fallback xmlns:wpsCustomData="http://www.wps.cn/officeDocument/2013/wpsCustomData" xmlns:w15="http://schemas.microsoft.com/office/word/2012/wordml">
            <w:pict>
              <v:line id="直接连接符 11" o:spid="_x0000_s1026" o:spt="20" style="position:absolute;left:0pt;margin-left:0pt;margin-top:178.95pt;height:0.05pt;width:482pt;z-index:251661312;mso-width-relative:page;mso-height-relative:page;" filled="f" stroked="t" coordsize="21600,21600" o:gfxdata="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R5zUPWAAAACAEAAA8AAAAAAAAA&#10;AQAgAAAAIgAAAGRycy9kb3ducmV2LnhtbFBLAQIUABQAAAAIAIdO4kBUcP6y2gEAAJ0DAAAOAAAA&#10;AAAAAAEAIAAAACUBAABkcnMvZTJvRG9jLnhtbFBLBQYAAAAABgAGAFkBAABxBQAAAAA=&#10;">
                <v:fill on="f" focussize="0,0"/>
                <v:stroke weight="1pt" color="#800008" joinstyle="round"/>
                <v:imagedata o:title=""/>
                <o:lock v:ext="edit" aspectratio="f"/>
              </v:line>
            </w:pict>
          </mc:Fallback>
        </mc:AlternateContent>
      </w:r>
      <w:r>
        <w:rPr>
          <w:rFonts w:ascii="宋体" w:hAnsi="宋体" w:cs="宋体"/>
          <w:noProof/>
          <w:color w:val="000000" w:themeColor="text1"/>
          <w:sz w:val="32"/>
          <w:szCs w:val="32"/>
        </w:rPr>
        <mc:AlternateContent>
          <mc:Choice Requires="wps">
            <w:drawing>
              <wp:anchor distT="0" distB="0" distL="113665" distR="113665" simplePos="0" relativeHeight="251656192" behindDoc="0" locked="1" layoutInCell="1" allowOverlap="1">
                <wp:simplePos x="0" y="0"/>
                <wp:positionH relativeFrom="margin">
                  <wp:posOffset>3810</wp:posOffset>
                </wp:positionH>
                <wp:positionV relativeFrom="margin">
                  <wp:posOffset>8989060</wp:posOffset>
                </wp:positionV>
                <wp:extent cx="6120130" cy="363220"/>
                <wp:effectExtent l="0" t="0" r="0" b="0"/>
                <wp:wrapNone/>
                <wp:docPr id="8" name="文本框 10"/>
                <wp:cNvGraphicFramePr/>
                <a:graphic xmlns:a="http://schemas.openxmlformats.org/drawingml/2006/main">
                  <a:graphicData uri="http://schemas.microsoft.com/office/word/2010/wordprocessingShape">
                    <wps:wsp>
                      <wps:cNvSpPr/>
                      <wps:spPr>
                        <a:xfrm>
                          <a:off x="0" y="0"/>
                          <a:ext cx="6120130" cy="363220"/>
                        </a:xfrm>
                        <a:prstGeom prst="rect">
                          <a:avLst/>
                        </a:prstGeom>
                        <a:solidFill>
                          <a:srgbClr val="FFFFFF"/>
                        </a:solidFill>
                        <a:ln w="9525" cap="flat" cmpd="sng">
                          <a:noFill/>
                          <a:prstDash val="solid"/>
                          <a:round/>
                        </a:ln>
                      </wps:spPr>
                      <wps:txbx>
                        <w:txbxContent>
                          <w:p w:rsidR="002606BB" w:rsidRDefault="00841612">
                            <w:pPr>
                              <w:pStyle w:val="afffc"/>
                              <w:rPr>
                                <w:color w:val="FF0000"/>
                              </w:rPr>
                            </w:pPr>
                            <w:r>
                              <w:rPr>
                                <w:rFonts w:hint="eastAsia"/>
                              </w:rPr>
                              <w:t>中国医药生物技术协会</w:t>
                            </w:r>
                            <w:r>
                              <w:rPr>
                                <w:rStyle w:val="affffffc"/>
                                <w:rFonts w:hint="eastAsia"/>
                              </w:rPr>
                              <w:t xml:space="preserve"> </w:t>
                            </w:r>
                            <w:r>
                              <w:rPr>
                                <w:rStyle w:val="affffffc"/>
                                <w:rFonts w:hint="eastAsia"/>
                              </w:rPr>
                              <w:t>发布</w:t>
                            </w:r>
                          </w:p>
                        </w:txbxContent>
                      </wps:txbx>
                      <wps:bodyPr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rect id="文本框 10" o:spid="_x0000_s1026" o:spt="1" style="position:absolute;left:0pt;margin-left:0.3pt;margin-top:707.8pt;height:28.6pt;width:481.9pt;mso-position-horizontal-relative:margin;mso-position-vertical-relative:margin;z-index:251662336;mso-width-relative:page;mso-height-relative:page;" fillcolor="#FFFFFF" filled="t" stroked="f" coordsize="21600,21600" o:gfxdata="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N9pC1gAAAAoBAAAPAAAAAAAA&#10;AAEAIAAAACIAAABkcnMvZG93bnJldi54bWxQSwECFAAUAAAACACHTuJAICcNAhQCAAAhBAAADgAA&#10;AAAAAAABACAAAAAlAQAAZHJzL2Uyb0RvYy54bWxQSwUGAAAAAAYABgBZAQAAqwUAAAAA&#10;">
                <v:fill on="t" focussize="0,0"/>
                <v:stroke on="f" joinstyle="round"/>
                <v:imagedata o:title=""/>
                <o:lock v:ext="edit" aspectratio="f"/>
                <v:textbox inset="0mm,0mm,0mm,0mm">
                  <w:txbxContent>
                    <w:p>
                      <w:pPr>
                        <w:pStyle w:val="59"/>
                        <w:rPr>
                          <w:color w:val="FF0000"/>
                        </w:rPr>
                      </w:pPr>
                      <w:r>
                        <w:rPr>
                          <w:rFonts w:hint="eastAsia"/>
                        </w:rPr>
                        <w:t>中国医药生物技术协会</w:t>
                      </w:r>
                      <w:r>
                        <w:rPr>
                          <w:rStyle w:val="141"/>
                          <w:rFonts w:hint="eastAsia"/>
                        </w:rPr>
                        <w:t xml:space="preserve"> 发布</w:t>
                      </w:r>
                    </w:p>
                  </w:txbxContent>
                </v:textbox>
                <w10:anchorlock/>
              </v:rect>
            </w:pict>
          </mc:Fallback>
        </mc:AlternateContent>
      </w:r>
      <w:r>
        <w:rPr>
          <w:rFonts w:ascii="宋体" w:cs="宋体"/>
          <w:noProof/>
          <w:color w:val="000000" w:themeColor="text1"/>
          <w:sz w:val="32"/>
          <w:szCs w:val="32"/>
        </w:rPr>
        <mc:AlternateContent>
          <mc:Choice Requires="wps">
            <w:drawing>
              <wp:anchor distT="0" distB="0" distL="113665" distR="113665" simplePos="0" relativeHeight="251657216"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1" name="文本框 9"/>
                <wp:cNvGraphicFramePr/>
                <a:graphic xmlns:a="http://schemas.openxmlformats.org/drawingml/2006/main">
                  <a:graphicData uri="http://schemas.microsoft.com/office/word/2010/wordprocessingShape">
                    <wps:wsp>
                      <wps:cNvSpPr/>
                      <wps:spPr>
                        <a:xfrm>
                          <a:off x="0" y="0"/>
                          <a:ext cx="2019299" cy="312419"/>
                        </a:xfrm>
                        <a:prstGeom prst="rect">
                          <a:avLst/>
                        </a:prstGeom>
                        <a:solidFill>
                          <a:srgbClr val="FFFFFF"/>
                        </a:solidFill>
                        <a:ln w="9525" cap="flat" cmpd="sng">
                          <a:noFill/>
                          <a:prstDash val="solid"/>
                          <a:round/>
                        </a:ln>
                      </wps:spPr>
                      <wps:txbx>
                        <w:txbxContent>
                          <w:p w:rsidR="002606BB" w:rsidRDefault="00841612">
                            <w:pPr>
                              <w:pStyle w:val="affffc"/>
                            </w:pPr>
                            <w:r>
                              <w:rPr>
                                <w:rFonts w:ascii="黑体" w:hint="eastAsia"/>
                              </w:rPr>
                              <w:t>202?-??-??</w:t>
                            </w:r>
                            <w:r>
                              <w:rPr>
                                <w:rFonts w:hint="eastAsia"/>
                              </w:rPr>
                              <w:t>实施</w:t>
                            </w:r>
                          </w:p>
                        </w:txbxContent>
                      </wps:txbx>
                      <wps:bodyPr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rect id="文本框 9" o:spid="_x0000_s1026" o:spt="1"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9B7t2AAAAA0BAAAPAAAA&#10;AAAAAAEAIAAAACIAAABkcnMvZG93bnJldi54bWxQSwECFAAUAAAACACHTuJADz3dGBUCAAAhBAAA&#10;DgAAAAAAAAABACAAAAAnAQAAZHJzL2Uyb0RvYy54bWxQSwUGAAAAAAYABgBZAQAArgUAAAAA&#10;">
                <v:fill on="t" focussize="0,0"/>
                <v:stroke on="f" joinstyle="round"/>
                <v:imagedata o:title=""/>
                <o:lock v:ext="edit" aspectratio="f"/>
                <v:textbox inset="0mm,0mm,0mm,0mm">
                  <w:txbxContent>
                    <w:p>
                      <w:pPr>
                        <w:pStyle w:val="85"/>
                      </w:pPr>
                      <w:r>
                        <w:rPr>
                          <w:rFonts w:hint="eastAsia" w:ascii="黑体"/>
                        </w:rPr>
                        <w:t>202?-??-??</w:t>
                      </w:r>
                      <w:r>
                        <w:rPr>
                          <w:rFonts w:hint="eastAsia"/>
                        </w:rPr>
                        <w:t>实施</w:t>
                      </w:r>
                    </w:p>
                  </w:txbxContent>
                </v:textbox>
                <w10:anchorlock/>
              </v:rect>
            </w:pict>
          </mc:Fallback>
        </mc:AlternateContent>
      </w:r>
      <w:r>
        <w:rPr>
          <w:rFonts w:ascii="宋体" w:hAnsi="宋体" w:cs="宋体"/>
          <w:noProof/>
          <w:color w:val="000000" w:themeColor="text1"/>
          <w:sz w:val="32"/>
          <w:szCs w:val="32"/>
        </w:rPr>
        <mc:AlternateContent>
          <mc:Choice Requires="wps">
            <w:drawing>
              <wp:anchor distT="0" distB="0" distL="113665" distR="113665" simplePos="0" relativeHeight="25165824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14" name="文本框 8"/>
                <wp:cNvGraphicFramePr/>
                <a:graphic xmlns:a="http://schemas.openxmlformats.org/drawingml/2006/main">
                  <a:graphicData uri="http://schemas.microsoft.com/office/word/2010/wordprocessingShape">
                    <wps:wsp>
                      <wps:cNvSpPr/>
                      <wps:spPr>
                        <a:xfrm>
                          <a:off x="0" y="0"/>
                          <a:ext cx="2019300" cy="312419"/>
                        </a:xfrm>
                        <a:prstGeom prst="rect">
                          <a:avLst/>
                        </a:prstGeom>
                        <a:solidFill>
                          <a:srgbClr val="FFFFFF"/>
                        </a:solidFill>
                        <a:ln w="9525" cap="flat" cmpd="sng">
                          <a:noFill/>
                          <a:prstDash val="solid"/>
                          <a:round/>
                        </a:ln>
                      </wps:spPr>
                      <wps:txbx>
                        <w:txbxContent>
                          <w:p w:rsidR="002606BB" w:rsidRDefault="00841612">
                            <w:pPr>
                              <w:pStyle w:val="afffa"/>
                            </w:pPr>
                            <w:r>
                              <w:rPr>
                                <w:rFonts w:ascii="黑体" w:hint="eastAsia"/>
                              </w:rPr>
                              <w:t>202?-??-??</w:t>
                            </w:r>
                            <w:r>
                              <w:rPr>
                                <w:rFonts w:hint="eastAsia"/>
                              </w:rPr>
                              <w:t>发布</w:t>
                            </w:r>
                          </w:p>
                        </w:txbxContent>
                      </wps:txbx>
                      <wps:bodyPr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rect id="文本框 8" o:spid="_x0000_s1026" o:spt="1"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wKAPVAAAACgEAAA8AAAAA&#10;AAAAAQAgAAAAIgAAAGRycy9kb3ducmV2LnhtbFBLAQIUABQAAAAIAIdO4kBdSOPnFwIAACEEAAAO&#10;AAAAAAAAAAEAIAAAACQBAABkcnMvZTJvRG9jLnhtbFBLBQYAAAAABgAGAFkBAACtBQAAAAA=&#10;">
                <v:fill on="t" focussize="0,0"/>
                <v:stroke on="f" joinstyle="round"/>
                <v:imagedata o:title=""/>
                <o:lock v:ext="edit" aspectratio="f"/>
                <v:textbox inset="0mm,0mm,0mm,0mm">
                  <w:txbxContent>
                    <w:p>
                      <w:pPr>
                        <w:pStyle w:val="56"/>
                      </w:pPr>
                      <w:r>
                        <w:rPr>
                          <w:rFonts w:hint="eastAsia" w:ascii="黑体"/>
                        </w:rPr>
                        <w:t>202?-??-??</w:t>
                      </w:r>
                      <w:r>
                        <w:rPr>
                          <w:rFonts w:hint="eastAsia"/>
                        </w:rPr>
                        <w:t>发布</w:t>
                      </w:r>
                    </w:p>
                  </w:txbxContent>
                </v:textbox>
                <w10:anchorlock/>
              </v:rect>
            </w:pict>
          </mc:Fallback>
        </mc:AlternateContent>
      </w:r>
      <w:r>
        <w:rPr>
          <w:rFonts w:ascii="宋体" w:hAnsi="宋体" w:cs="宋体"/>
          <w:noProof/>
          <w:color w:val="000000" w:themeColor="text1"/>
          <w:sz w:val="32"/>
          <w:szCs w:val="32"/>
        </w:rPr>
        <mc:AlternateContent>
          <mc:Choice Requires="wps">
            <w:drawing>
              <wp:anchor distT="0" distB="0" distL="113665" distR="113665" simplePos="0" relativeHeight="251659264" behindDoc="0" locked="1" layoutInCell="1" allowOverlap="1">
                <wp:simplePos x="0" y="0"/>
                <wp:positionH relativeFrom="margin">
                  <wp:posOffset>111125</wp:posOffset>
                </wp:positionH>
                <wp:positionV relativeFrom="margin">
                  <wp:posOffset>2760345</wp:posOffset>
                </wp:positionV>
                <wp:extent cx="5969000" cy="4609465"/>
                <wp:effectExtent l="0" t="0" r="0" b="0"/>
                <wp:wrapNone/>
                <wp:docPr id="17" name="文本框 7"/>
                <wp:cNvGraphicFramePr/>
                <a:graphic xmlns:a="http://schemas.openxmlformats.org/drawingml/2006/main">
                  <a:graphicData uri="http://schemas.microsoft.com/office/word/2010/wordprocessingShape">
                    <wps:wsp>
                      <wps:cNvSpPr/>
                      <wps:spPr>
                        <a:xfrm>
                          <a:off x="0" y="0"/>
                          <a:ext cx="5969000" cy="4609465"/>
                        </a:xfrm>
                        <a:prstGeom prst="rect">
                          <a:avLst/>
                        </a:prstGeom>
                        <a:solidFill>
                          <a:srgbClr val="FFFFFF"/>
                        </a:solidFill>
                        <a:ln w="9525" cap="flat" cmpd="sng">
                          <a:noFill/>
                          <a:prstDash val="solid"/>
                          <a:round/>
                        </a:ln>
                      </wps:spPr>
                      <wps:txbx>
                        <w:txbxContent>
                          <w:p w:rsidR="002606BB" w:rsidRDefault="00841612">
                            <w:pPr>
                              <w:pStyle w:val="afffff5"/>
                              <w:rPr>
                                <w:rFonts w:ascii="Times New Roman" w:eastAsia="黑体"/>
                                <w:b/>
                                <w:sz w:val="36"/>
                                <w:szCs w:val="36"/>
                              </w:rPr>
                            </w:pPr>
                            <w:r>
                              <w:rPr>
                                <w:rFonts w:ascii="Times New Roman" w:eastAsia="黑体" w:hint="eastAsia"/>
                                <w:b/>
                                <w:sz w:val="36"/>
                                <w:szCs w:val="36"/>
                              </w:rPr>
                              <w:t>细胞治疗产品生产用原材料的质量管理规范</w:t>
                            </w:r>
                          </w:p>
                          <w:p w:rsidR="002606BB" w:rsidRDefault="00841612">
                            <w:pPr>
                              <w:pStyle w:val="afffff5"/>
                              <w:rPr>
                                <w:rFonts w:ascii="Times New Roman" w:eastAsia="黑体"/>
                                <w:b/>
                                <w:sz w:val="28"/>
                              </w:rPr>
                            </w:pPr>
                            <w:r>
                              <w:rPr>
                                <w:rFonts w:ascii="Times New Roman" w:eastAsia="黑体" w:hint="eastAsia"/>
                                <w:b/>
                                <w:sz w:val="28"/>
                              </w:rPr>
                              <w:t xml:space="preserve">Specification of </w:t>
                            </w:r>
                            <w:r>
                              <w:rPr>
                                <w:rFonts w:ascii="Times New Roman" w:eastAsia="黑体"/>
                                <w:b/>
                                <w:sz w:val="28"/>
                              </w:rPr>
                              <w:t xml:space="preserve">quality </w:t>
                            </w:r>
                            <w:r>
                              <w:rPr>
                                <w:rFonts w:ascii="Times New Roman" w:eastAsia="黑体"/>
                                <w:b/>
                                <w:sz w:val="28"/>
                              </w:rPr>
                              <w:t>management</w:t>
                            </w:r>
                            <w:r>
                              <w:rPr>
                                <w:rFonts w:ascii="Times New Roman" w:eastAsia="黑体" w:hint="eastAsia"/>
                                <w:b/>
                                <w:sz w:val="28"/>
                              </w:rPr>
                              <w:t xml:space="preserve"> for ancillary materials present during the production of cellular therapeutic products</w:t>
                            </w:r>
                            <w:r>
                              <w:rPr>
                                <w:rFonts w:ascii="Times New Roman" w:eastAsia="黑体"/>
                                <w:b/>
                                <w:sz w:val="28"/>
                              </w:rPr>
                              <w:t xml:space="preserve"> </w:t>
                            </w:r>
                          </w:p>
                          <w:p w:rsidR="002606BB" w:rsidRDefault="00841612">
                            <w:pPr>
                              <w:pStyle w:val="afffff5"/>
                              <w:rPr>
                                <w:rFonts w:ascii="Times New Roman" w:eastAsia="黑体"/>
                                <w:bCs/>
                                <w:sz w:val="28"/>
                              </w:rPr>
                            </w:pPr>
                            <w:r>
                              <w:rPr>
                                <w:rFonts w:ascii="Times New Roman" w:eastAsia="黑体" w:hint="eastAsia"/>
                                <w:bCs/>
                                <w:sz w:val="28"/>
                              </w:rPr>
                              <w:t>（</w:t>
                            </w:r>
                            <w:r>
                              <w:rPr>
                                <w:rFonts w:ascii="Times New Roman" w:eastAsia="黑体" w:hint="eastAsia"/>
                                <w:bCs/>
                                <w:sz w:val="28"/>
                              </w:rPr>
                              <w:t>ISO/CD 20399 draft for DIS registration</w:t>
                            </w:r>
                            <w:r>
                              <w:rPr>
                                <w:rFonts w:ascii="Times New Roman" w:eastAsia="黑体" w:hint="eastAsia"/>
                                <w:bCs/>
                                <w:sz w:val="28"/>
                              </w:rPr>
                              <w:t>，</w:t>
                            </w:r>
                            <w:r>
                              <w:rPr>
                                <w:rFonts w:ascii="Times New Roman" w:eastAsia="黑体" w:hint="eastAsia"/>
                                <w:bCs/>
                                <w:sz w:val="28"/>
                              </w:rPr>
                              <w:t xml:space="preserve">Biotechnology - Ancillary materials present during the production of cellular therapeutic products and gene therapy </w:t>
                            </w:r>
                            <w:r>
                              <w:rPr>
                                <w:rFonts w:ascii="Times New Roman" w:eastAsia="黑体" w:hint="eastAsia"/>
                                <w:bCs/>
                                <w:sz w:val="28"/>
                              </w:rPr>
                              <w:t>products, NEQ</w:t>
                            </w:r>
                            <w:r>
                              <w:rPr>
                                <w:rFonts w:ascii="Times New Roman" w:eastAsia="黑体" w:hint="eastAsia"/>
                                <w:bCs/>
                                <w:sz w:val="28"/>
                              </w:rPr>
                              <w:t>）</w:t>
                            </w:r>
                          </w:p>
                          <w:p w:rsidR="002606BB" w:rsidRDefault="00763FAE" w:rsidP="00763FAE">
                            <w:pPr>
                              <w:pStyle w:val="afffff5"/>
                              <w:rPr>
                                <w:rFonts w:ascii="Times New Roman" w:eastAsia="黑体"/>
                                <w:bCs/>
                                <w:sz w:val="28"/>
                              </w:rPr>
                            </w:pPr>
                            <w:r>
                              <w:rPr>
                                <w:rFonts w:ascii="Times New Roman" w:eastAsia="黑体" w:hint="eastAsia"/>
                                <w:bCs/>
                                <w:sz w:val="28"/>
                              </w:rPr>
                              <w:t>（</w:t>
                            </w:r>
                            <w:r>
                              <w:rPr>
                                <w:rFonts w:ascii="Times New Roman" w:eastAsia="黑体"/>
                                <w:bCs/>
                                <w:sz w:val="28"/>
                              </w:rPr>
                              <w:t>征求意见稿</w:t>
                            </w:r>
                            <w:r>
                              <w:rPr>
                                <w:rFonts w:ascii="Times New Roman" w:eastAsia="黑体" w:hint="eastAsia"/>
                                <w:bCs/>
                                <w:sz w:val="28"/>
                              </w:rPr>
                              <w:t>）</w:t>
                            </w:r>
                            <w:bookmarkStart w:id="3" w:name="_GoBack"/>
                            <w:bookmarkEnd w:id="3"/>
                          </w:p>
                          <w:p w:rsidR="002606BB" w:rsidRDefault="00841612">
                            <w:pPr>
                              <w:pStyle w:val="afffff5"/>
                              <w:rPr>
                                <w:rFonts w:ascii="Times New Roman" w:eastAsia="黑体"/>
                                <w:bCs/>
                                <w:sz w:val="28"/>
                              </w:rPr>
                            </w:pPr>
                            <w:r>
                              <w:rPr>
                                <w:rFonts w:ascii="Times New Roman" w:eastAsia="黑体" w:hint="eastAsia"/>
                                <w:bCs/>
                                <w:sz w:val="28"/>
                              </w:rPr>
                              <w:t>版本号</w:t>
                            </w:r>
                            <w:r>
                              <w:rPr>
                                <w:rFonts w:ascii="Times New Roman" w:eastAsia="黑体" w:hint="eastAsia"/>
                                <w:bCs/>
                                <w:sz w:val="28"/>
                              </w:rPr>
                              <w:t>8.1</w:t>
                            </w:r>
                            <w:r>
                              <w:rPr>
                                <w:rFonts w:ascii="Times New Roman" w:eastAsia="黑体" w:hint="eastAsia"/>
                                <w:bCs/>
                                <w:sz w:val="28"/>
                              </w:rPr>
                              <w:t xml:space="preserve"> </w:t>
                            </w:r>
                          </w:p>
                        </w:txbxContent>
                      </wps:txbx>
                      <wps:bodyPr vert="horz" wrap="square" lIns="0" tIns="0" rIns="0" bIns="0" anchor="t" anchorCtr="0" upright="1">
                        <a:noAutofit/>
                      </wps:bodyPr>
                    </wps:wsp>
                  </a:graphicData>
                </a:graphic>
              </wp:anchor>
            </w:drawing>
          </mc:Choice>
          <mc:Fallback>
            <w:pict>
              <v:rect id="文本框 7" o:spid="_x0000_s1030" style="position:absolute;left:0;text-align:left;margin-left:8.75pt;margin-top:217.35pt;width:470pt;height:362.95pt;z-index:251659264;visibility:visible;mso-wrap-style:square;mso-wrap-distance-left:8.95pt;mso-wrap-distance-top:0;mso-wrap-distance-right:8.9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" stroked="f">
                <v:stroke joinstyle="round"/>
                <v:textbox inset="0,0,0,0">
                  <w:txbxContent>
                    <w:p w:rsidR="002606BB" w:rsidRDefault="00841612">
                      <w:pPr>
                        <w:pStyle w:val="afffff5"/>
                        <w:rPr>
                          <w:rFonts w:ascii="Times New Roman" w:eastAsia="黑体"/>
                          <w:b/>
                          <w:sz w:val="36"/>
                          <w:szCs w:val="36"/>
                        </w:rPr>
                      </w:pPr>
                      <w:r>
                        <w:rPr>
                          <w:rFonts w:ascii="Times New Roman" w:eastAsia="黑体" w:hint="eastAsia"/>
                          <w:b/>
                          <w:sz w:val="36"/>
                          <w:szCs w:val="36"/>
                        </w:rPr>
                        <w:t>细胞治疗产品生产用原材料的质量管理规范</w:t>
                      </w:r>
                    </w:p>
                    <w:p w:rsidR="002606BB" w:rsidRDefault="00841612">
                      <w:pPr>
                        <w:pStyle w:val="afffff5"/>
                        <w:rPr>
                          <w:rFonts w:ascii="Times New Roman" w:eastAsia="黑体"/>
                          <w:b/>
                          <w:sz w:val="28"/>
                        </w:rPr>
                      </w:pPr>
                      <w:r>
                        <w:rPr>
                          <w:rFonts w:ascii="Times New Roman" w:eastAsia="黑体" w:hint="eastAsia"/>
                          <w:b/>
                          <w:sz w:val="28"/>
                        </w:rPr>
                        <w:t xml:space="preserve">Specification of </w:t>
                      </w:r>
                      <w:r>
                        <w:rPr>
                          <w:rFonts w:ascii="Times New Roman" w:eastAsia="黑体"/>
                          <w:b/>
                          <w:sz w:val="28"/>
                        </w:rPr>
                        <w:t xml:space="preserve">quality </w:t>
                      </w:r>
                      <w:r>
                        <w:rPr>
                          <w:rFonts w:ascii="Times New Roman" w:eastAsia="黑体"/>
                          <w:b/>
                          <w:sz w:val="28"/>
                        </w:rPr>
                        <w:t>management</w:t>
                      </w:r>
                      <w:r>
                        <w:rPr>
                          <w:rFonts w:ascii="Times New Roman" w:eastAsia="黑体" w:hint="eastAsia"/>
                          <w:b/>
                          <w:sz w:val="28"/>
                        </w:rPr>
                        <w:t xml:space="preserve"> for ancillary materials present during the production of cellular therapeutic products</w:t>
                      </w:r>
                      <w:r>
                        <w:rPr>
                          <w:rFonts w:ascii="Times New Roman" w:eastAsia="黑体"/>
                          <w:b/>
                          <w:sz w:val="28"/>
                        </w:rPr>
                        <w:t xml:space="preserve"> </w:t>
                      </w:r>
                    </w:p>
                    <w:p w:rsidR="002606BB" w:rsidRDefault="00841612">
                      <w:pPr>
                        <w:pStyle w:val="afffff5"/>
                        <w:rPr>
                          <w:rFonts w:ascii="Times New Roman" w:eastAsia="黑体"/>
                          <w:bCs/>
                          <w:sz w:val="28"/>
                        </w:rPr>
                      </w:pPr>
                      <w:r>
                        <w:rPr>
                          <w:rFonts w:ascii="Times New Roman" w:eastAsia="黑体" w:hint="eastAsia"/>
                          <w:bCs/>
                          <w:sz w:val="28"/>
                        </w:rPr>
                        <w:t>（</w:t>
                      </w:r>
                      <w:r>
                        <w:rPr>
                          <w:rFonts w:ascii="Times New Roman" w:eastAsia="黑体" w:hint="eastAsia"/>
                          <w:bCs/>
                          <w:sz w:val="28"/>
                        </w:rPr>
                        <w:t>ISO/CD 20399 draft for DIS registration</w:t>
                      </w:r>
                      <w:r>
                        <w:rPr>
                          <w:rFonts w:ascii="Times New Roman" w:eastAsia="黑体" w:hint="eastAsia"/>
                          <w:bCs/>
                          <w:sz w:val="28"/>
                        </w:rPr>
                        <w:t>，</w:t>
                      </w:r>
                      <w:r>
                        <w:rPr>
                          <w:rFonts w:ascii="Times New Roman" w:eastAsia="黑体" w:hint="eastAsia"/>
                          <w:bCs/>
                          <w:sz w:val="28"/>
                        </w:rPr>
                        <w:t xml:space="preserve">Biotechnology - Ancillary materials present during the production of cellular therapeutic products and gene therapy </w:t>
                      </w:r>
                      <w:r>
                        <w:rPr>
                          <w:rFonts w:ascii="Times New Roman" w:eastAsia="黑体" w:hint="eastAsia"/>
                          <w:bCs/>
                          <w:sz w:val="28"/>
                        </w:rPr>
                        <w:t>products, NEQ</w:t>
                      </w:r>
                      <w:r>
                        <w:rPr>
                          <w:rFonts w:ascii="Times New Roman" w:eastAsia="黑体" w:hint="eastAsia"/>
                          <w:bCs/>
                          <w:sz w:val="28"/>
                        </w:rPr>
                        <w:t>）</w:t>
                      </w:r>
                    </w:p>
                    <w:p w:rsidR="002606BB" w:rsidRDefault="00763FAE" w:rsidP="00763FAE">
                      <w:pPr>
                        <w:pStyle w:val="afffff5"/>
                        <w:rPr>
                          <w:rFonts w:ascii="Times New Roman" w:eastAsia="黑体"/>
                          <w:bCs/>
                          <w:sz w:val="28"/>
                        </w:rPr>
                      </w:pPr>
                      <w:r>
                        <w:rPr>
                          <w:rFonts w:ascii="Times New Roman" w:eastAsia="黑体" w:hint="eastAsia"/>
                          <w:bCs/>
                          <w:sz w:val="28"/>
                        </w:rPr>
                        <w:t>（</w:t>
                      </w:r>
                      <w:r>
                        <w:rPr>
                          <w:rFonts w:ascii="Times New Roman" w:eastAsia="黑体"/>
                          <w:bCs/>
                          <w:sz w:val="28"/>
                        </w:rPr>
                        <w:t>征求意见稿</w:t>
                      </w:r>
                      <w:r>
                        <w:rPr>
                          <w:rFonts w:ascii="Times New Roman" w:eastAsia="黑体" w:hint="eastAsia"/>
                          <w:bCs/>
                          <w:sz w:val="28"/>
                        </w:rPr>
                        <w:t>）</w:t>
                      </w:r>
                      <w:bookmarkStart w:id="4" w:name="_GoBack"/>
                      <w:bookmarkEnd w:id="4"/>
                    </w:p>
                    <w:p w:rsidR="002606BB" w:rsidRDefault="00841612">
                      <w:pPr>
                        <w:pStyle w:val="afffff5"/>
                        <w:rPr>
                          <w:rFonts w:ascii="Times New Roman" w:eastAsia="黑体"/>
                          <w:bCs/>
                          <w:sz w:val="28"/>
                        </w:rPr>
                      </w:pPr>
                      <w:r>
                        <w:rPr>
                          <w:rFonts w:ascii="Times New Roman" w:eastAsia="黑体" w:hint="eastAsia"/>
                          <w:bCs/>
                          <w:sz w:val="28"/>
                        </w:rPr>
                        <w:t>版本号</w:t>
                      </w:r>
                      <w:r>
                        <w:rPr>
                          <w:rFonts w:ascii="Times New Roman" w:eastAsia="黑体" w:hint="eastAsia"/>
                          <w:bCs/>
                          <w:sz w:val="28"/>
                        </w:rPr>
                        <w:t>8.1</w:t>
                      </w:r>
                      <w:r>
                        <w:rPr>
                          <w:rFonts w:ascii="Times New Roman" w:eastAsia="黑体" w:hint="eastAsia"/>
                          <w:bCs/>
                          <w:sz w:val="28"/>
                        </w:rPr>
                        <w:t xml:space="preserve"> </w:t>
                      </w:r>
                    </w:p>
                  </w:txbxContent>
                </v:textbox>
                <w10:wrap anchorx="margin" anchory="margin"/>
                <w10:anchorlock/>
              </v:rect>
            </w:pict>
          </mc:Fallback>
        </mc:AlternateContent>
      </w:r>
      <w:r>
        <w:rPr>
          <w:rFonts w:ascii="宋体" w:cs="宋体"/>
          <w:noProof/>
          <w:color w:val="000000" w:themeColor="text1"/>
          <w:sz w:val="32"/>
          <w:szCs w:val="32"/>
        </w:rPr>
        <mc:AlternateContent>
          <mc:Choice Requires="wps">
            <w:drawing>
              <wp:anchor distT="0" distB="0" distL="113665" distR="113665" simplePos="0" relativeHeight="251660288" behindDoc="0" locked="1" layoutInCell="1" allowOverlap="1">
                <wp:simplePos x="0" y="0"/>
                <wp:positionH relativeFrom="margin">
                  <wp:posOffset>2044065</wp:posOffset>
                </wp:positionH>
                <wp:positionV relativeFrom="margin">
                  <wp:posOffset>1736090</wp:posOffset>
                </wp:positionV>
                <wp:extent cx="3952875" cy="654685"/>
                <wp:effectExtent l="0" t="0" r="0" b="0"/>
                <wp:wrapNone/>
                <wp:docPr id="20" name="文本框 6"/>
                <wp:cNvGraphicFramePr/>
                <a:graphic xmlns:a="http://schemas.openxmlformats.org/drawingml/2006/main">
                  <a:graphicData uri="http://schemas.microsoft.com/office/word/2010/wordprocessingShape">
                    <wps:wsp>
                      <wps:cNvSpPr/>
                      <wps:spPr>
                        <a:xfrm>
                          <a:off x="0" y="0"/>
                          <a:ext cx="3952875" cy="654685"/>
                        </a:xfrm>
                        <a:prstGeom prst="rect">
                          <a:avLst/>
                        </a:prstGeom>
                        <a:solidFill>
                          <a:srgbClr val="FFFFFF">
                            <a:alpha val="0"/>
                          </a:srgbClr>
                        </a:solidFill>
                        <a:ln w="9525" cap="flat" cmpd="sng">
                          <a:noFill/>
                          <a:prstDash val="solid"/>
                          <a:round/>
                        </a:ln>
                      </wps:spPr>
                      <wps:txbx>
                        <w:txbxContent>
                          <w:p w:rsidR="002606BB" w:rsidRDefault="00841612">
                            <w:pPr>
                              <w:jc w:val="right"/>
                              <w:rPr>
                                <w:rFonts w:hint="default"/>
                              </w:rPr>
                            </w:pPr>
                            <w:r>
                              <w:rPr>
                                <w:rFonts w:ascii="黑体" w:eastAsia="黑体"/>
                                <w:sz w:val="28"/>
                                <w:szCs w:val="28"/>
                              </w:rPr>
                              <w:t>CMBA/T 00</w:t>
                            </w:r>
                            <w:r>
                              <w:rPr>
                                <w:rFonts w:ascii="黑体" w:eastAsia="黑体"/>
                                <w:sz w:val="28"/>
                                <w:szCs w:val="28"/>
                              </w:rPr>
                              <w:t>？</w:t>
                            </w:r>
                            <w:r>
                              <w:rPr>
                                <w:rFonts w:ascii="黑体" w:eastAsia="黑体"/>
                                <w:sz w:val="28"/>
                                <w:szCs w:val="28"/>
                              </w:rPr>
                              <w:t>-2022</w:t>
                            </w:r>
                          </w:p>
                        </w:txbxContent>
                      </wps:txbx>
                      <wps:bodyPr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rect id="文本框 6" o:spid="_x0000_s1026" o:spt="1" style="position:absolute;left:0pt;margin-left:160.95pt;margin-top:136.7pt;height:51.55pt;width:311.25pt;mso-position-horizontal-relative:margin;mso-position-vertical-relative:margin;z-index:251665408;mso-width-relative:page;mso-height-relative:page;" fillcolor="#FFFFFF" filled="t" stroked="f" coordsize="21600,21600" o:gfxdata="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f/&#10;ZXjaAAAACwEAAA8AAAAAAAAAAQAgAAAAIgAAAGRycy9kb3ducmV2LnhtbFBLAQIUABQAAAAIAIdO&#10;4kD13aqkIQIAAD4EAAAOAAAAAAAAAAEAIAAAACkBAABkcnMvZTJvRG9jLnhtbFBLBQYAAAAABgAG&#10;AFkBAAC8BQAAAAA=&#10;">
                <v:fill on="t" opacity="0f" focussize="0,0"/>
                <v:stroke on="f" joinstyle="round"/>
                <v:imagedata o:title=""/>
                <o:lock v:ext="edit" aspectratio="f"/>
                <v:textbox inset="0mm,0mm,0mm,0mm">
                  <w:txbxContent>
                    <w:p>
                      <w:pPr>
                        <w:jc w:val="right"/>
                        <w:rPr>
                          <w:rFonts w:hint="default"/>
                        </w:rPr>
                      </w:pPr>
                      <w:r>
                        <w:rPr>
                          <w:rFonts w:ascii="黑体" w:eastAsia="黑体"/>
                          <w:sz w:val="28"/>
                          <w:szCs w:val="28"/>
                        </w:rPr>
                        <w:t>CMBA/T 00？-2022</w:t>
                      </w:r>
                    </w:p>
                  </w:txbxContent>
                </v:textbox>
                <w10:anchorlock/>
              </v:rect>
            </w:pict>
          </mc:Fallback>
        </mc:AlternateContent>
      </w:r>
      <w:r>
        <w:rPr>
          <w:rFonts w:ascii="宋体" w:cs="宋体"/>
          <w:noProof/>
          <w:color w:val="000000" w:themeColor="text1"/>
          <w:sz w:val="32"/>
          <w:szCs w:val="32"/>
        </w:rPr>
        <mc:AlternateContent>
          <mc:Choice Requires="wps">
            <w:drawing>
              <wp:anchor distT="0" distB="0" distL="113665" distR="113665" simplePos="0" relativeHeight="251661312" behindDoc="0" locked="1" layoutInCell="1" allowOverlap="1">
                <wp:simplePos x="0" y="0"/>
                <wp:positionH relativeFrom="margin">
                  <wp:posOffset>2579370</wp:posOffset>
                </wp:positionH>
                <wp:positionV relativeFrom="margin">
                  <wp:posOffset>-198120</wp:posOffset>
                </wp:positionV>
                <wp:extent cx="3175000" cy="720090"/>
                <wp:effectExtent l="0" t="0" r="0" b="0"/>
                <wp:wrapNone/>
                <wp:docPr id="23" name="文本框 5"/>
                <wp:cNvGraphicFramePr/>
                <a:graphic xmlns:a="http://schemas.openxmlformats.org/drawingml/2006/main">
                  <a:graphicData uri="http://schemas.microsoft.com/office/word/2010/wordprocessingShape">
                    <wps:wsp>
                      <wps:cNvSpPr/>
                      <wps:spPr>
                        <a:xfrm>
                          <a:off x="0" y="0"/>
                          <a:ext cx="3175000" cy="720090"/>
                        </a:xfrm>
                        <a:prstGeom prst="rect">
                          <a:avLst/>
                        </a:prstGeom>
                        <a:solidFill>
                          <a:srgbClr val="FFFFFF"/>
                        </a:solidFill>
                        <a:ln w="9525" cap="flat" cmpd="sng">
                          <a:noFill/>
                          <a:prstDash val="solid"/>
                          <a:round/>
                        </a:ln>
                      </wps:spPr>
                      <wps:txbx>
                        <w:txbxContent>
                          <w:p w:rsidR="002606BB" w:rsidRDefault="002606BB">
                            <w:pPr>
                              <w:rPr>
                                <w:rFonts w:hint="default"/>
                              </w:rPr>
                            </w:pPr>
                          </w:p>
                        </w:txbxContent>
                      </wps:txbx>
                      <wps:bodyPr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rect id="文本框 5" o:spid="_x0000_s1026" o:spt="1" style="position:absolute;left:0pt;margin-left:203.1pt;margin-top:-15.6pt;height:56.7pt;width:250pt;mso-position-horizontal-relative:margin;mso-position-vertical-relative:margin;z-index:251666432;mso-width-relative:page;mso-height-relative:page;" fillcolor="#FFFFFF" filled="t" stroked="f" coordsize="21600,21600" o:gfxdata="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dl2u9UAAAAKAQAADwAAAAAA&#10;AAABACAAAAAiAAAAZHJzL2Rvd25yZXYueG1sUEsBAhQAFAAAAAgAh07iQCkT6r0WAgAAIQQAAA4A&#10;AAAAAAAAAQAgAAAAJAEAAGRycy9lMm9Eb2MueG1sUEsFBgAAAAAGAAYAWQEAAKwFAAAAAA==&#10;">
                <v:fill on="t" focussize="0,0"/>
                <v:stroke on="f" joinstyle="round"/>
                <v:imagedata o:title=""/>
                <o:lock v:ext="edit" aspectratio="f"/>
                <v:textbox inset="0mm,0mm,0mm,0mm">
                  <w:txbxContent>
                    <w:p>
                      <w:pPr>
                        <w:rPr>
                          <w:rFonts w:hint="default"/>
                        </w:rPr>
                      </w:pPr>
                    </w:p>
                  </w:txbxContent>
                </v:textbox>
                <w10:anchorlock/>
              </v:rect>
            </w:pict>
          </mc:Fallback>
        </mc:AlternateContent>
      </w:r>
      <w:r>
        <w:rPr>
          <w:rFonts w:ascii="宋体" w:cs="宋体"/>
          <w:noProof/>
          <w:color w:val="000000" w:themeColor="text1"/>
          <w:sz w:val="32"/>
          <w:szCs w:val="32"/>
        </w:rPr>
        <mc:AlternateContent>
          <mc:Choice Requires="wps">
            <w:drawing>
              <wp:anchor distT="0" distB="0" distL="113665" distR="113665" simplePos="0" relativeHeight="251662336" behindDoc="0" locked="1" layoutInCell="1" allowOverlap="1">
                <wp:simplePos x="0" y="0"/>
                <wp:positionH relativeFrom="margin">
                  <wp:posOffset>0</wp:posOffset>
                </wp:positionH>
                <wp:positionV relativeFrom="margin">
                  <wp:posOffset>1010920</wp:posOffset>
                </wp:positionV>
                <wp:extent cx="5953125" cy="391160"/>
                <wp:effectExtent l="0" t="0" r="5715" b="5080"/>
                <wp:wrapNone/>
                <wp:docPr id="26" name="文本框 4"/>
                <wp:cNvGraphicFramePr/>
                <a:graphic xmlns:a="http://schemas.openxmlformats.org/drawingml/2006/main">
                  <a:graphicData uri="http://schemas.microsoft.com/office/word/2010/wordprocessingShape">
                    <wps:wsp>
                      <wps:cNvSpPr/>
                      <wps:spPr>
                        <a:xfrm>
                          <a:off x="0" y="0"/>
                          <a:ext cx="5953125" cy="391160"/>
                        </a:xfrm>
                        <a:prstGeom prst="rect">
                          <a:avLst/>
                        </a:prstGeom>
                        <a:solidFill>
                          <a:srgbClr val="FFFFFF"/>
                        </a:solidFill>
                        <a:ln w="9525" cap="flat" cmpd="sng">
                          <a:noFill/>
                          <a:prstDash val="solid"/>
                          <a:round/>
                        </a:ln>
                      </wps:spPr>
                      <wps:txbx>
                        <w:txbxContent>
                          <w:p w:rsidR="002606BB" w:rsidRDefault="00841612">
                            <w:pPr>
                              <w:pStyle w:val="afffff9"/>
                            </w:pPr>
                            <w:r>
                              <w:rPr>
                                <w:rFonts w:hint="eastAsia"/>
                              </w:rPr>
                              <w:t>中国医药生物技术协会标准</w:t>
                            </w:r>
                          </w:p>
                        </w:txbxContent>
                      </wps:txbx>
                      <wps:bodyPr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rect id="文本框 4" o:spid="_x0000_s1026" o:spt="1" style="position:absolute;left:0pt;margin-left:0pt;margin-top:79.6pt;height:30.8pt;width:468.75pt;mso-position-horizontal-relative:margin;mso-position-vertical-relative:margin;z-index:251667456;mso-width-relative:page;mso-height-relative:page;" fillcolor="#FFFFFF" filled="t" stroked="f" coordsize="21600,21600" o:gfxdata="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byQGNUAAAAIAQAADwAAAAAA&#10;AAABACAAAAAiAAAAZHJzL2Rvd25yZXYueG1sUEsBAhQAFAAAAAgAh07iQFilcLoWAgAAIQQAAA4A&#10;AAAAAAAAAQAgAAAAJAEAAGRycy9lMm9Eb2MueG1sUEsFBgAAAAAGAAYAWQEAAKwFAAAAAA==&#10;">
                <v:fill on="t" focussize="0,0"/>
                <v:stroke on="f" joinstyle="round"/>
                <v:imagedata o:title=""/>
                <o:lock v:ext="edit" aspectratio="f"/>
                <v:textbox inset="0mm,0mm,0mm,0mm">
                  <w:txbxContent>
                    <w:p>
                      <w:pPr>
                        <w:pStyle w:val="110"/>
                      </w:pPr>
                      <w:r>
                        <w:rPr>
                          <w:rFonts w:hint="eastAsia"/>
                        </w:rPr>
                        <w:t>中国医药生物技术协会标准</w:t>
                      </w:r>
                    </w:p>
                  </w:txbxContent>
                </v:textbox>
                <w10:anchorlock/>
              </v:rect>
            </w:pict>
          </mc:Fallback>
        </mc:AlternateContent>
      </w:r>
    </w:p>
    <w:bookmarkEnd w:id="0"/>
    <w:p w:rsidR="002606BB" w:rsidRDefault="002606BB">
      <w:pPr>
        <w:pStyle w:val="afffff1"/>
        <w:rPr>
          <w:rFonts w:hint="default"/>
          <w:color w:val="000000" w:themeColor="text1"/>
        </w:rPr>
        <w:sectPr w:rsidR="002606BB">
          <w:footerReference w:type="default" r:id="rId12"/>
          <w:pgSz w:w="11906" w:h="16838"/>
          <w:pgMar w:top="567" w:right="1134" w:bottom="1134" w:left="1418" w:header="1418" w:footer="1134" w:gutter="0"/>
          <w:pgNumType w:fmt="upperRoman"/>
          <w:cols w:space="720"/>
          <w:formProt w:val="0"/>
          <w:docGrid w:type="lines" w:linePitch="312"/>
        </w:sectPr>
      </w:pPr>
    </w:p>
    <w:p w:rsidR="002606BB" w:rsidRDefault="00841612">
      <w:pPr>
        <w:pStyle w:val="afffff1"/>
        <w:rPr>
          <w:rFonts w:hint="default"/>
          <w:color w:val="000000" w:themeColor="text1"/>
        </w:rPr>
      </w:pPr>
      <w:bookmarkStart w:id="5" w:name="_Toc981"/>
      <w:bookmarkStart w:id="6" w:name="_Toc26553"/>
      <w:bookmarkStart w:id="7" w:name="_Toc22923"/>
      <w:bookmarkStart w:id="8" w:name="_Toc27885"/>
      <w:bookmarkStart w:id="9" w:name="_Toc18831"/>
      <w:bookmarkStart w:id="10" w:name="_Toc4091"/>
      <w:bookmarkStart w:id="11" w:name="_Toc6791"/>
      <w:bookmarkStart w:id="12" w:name="_Toc16125"/>
      <w:r>
        <w:rPr>
          <w:color w:val="000000" w:themeColor="text1"/>
        </w:rPr>
        <w:t>目</w:t>
      </w:r>
      <w:bookmarkStart w:id="13" w:name="BKML"/>
      <w:r>
        <w:rPr>
          <w:color w:val="000000" w:themeColor="text1"/>
        </w:rPr>
        <w:t>  次</w:t>
      </w:r>
      <w:bookmarkEnd w:id="13"/>
    </w:p>
    <w:p w:rsidR="002606BB" w:rsidRDefault="00841612" w:rsidP="00763FAE">
      <w:pPr>
        <w:pStyle w:val="10"/>
        <w:tabs>
          <w:tab w:val="clear" w:pos="9242"/>
          <w:tab w:val="right" w:leader="dot" w:pos="9354"/>
        </w:tabs>
        <w:spacing w:before="78" w:after="78"/>
        <w:rPr>
          <w:rFonts w:hint="default"/>
        </w:rPr>
      </w:pPr>
      <w:r>
        <w:rPr>
          <w:color w:val="000000" w:themeColor="text1"/>
        </w:rPr>
        <w:fldChar w:fldCharType="begin"/>
      </w:r>
      <w:r>
        <w:rPr>
          <w:color w:val="000000" w:themeColor="text1"/>
        </w:rPr>
        <w:instrText xml:space="preserve"> TOC \h \z \t"</w:instrText>
      </w:r>
      <w:r>
        <w:rPr>
          <w:color w:val="000000" w:themeColor="text1"/>
        </w:rPr>
        <w:instrText>前言、引言标题</w:instrText>
      </w:r>
      <w:r>
        <w:rPr>
          <w:color w:val="000000" w:themeColor="text1"/>
        </w:rPr>
        <w:instrText>,1,</w:instrText>
      </w:r>
      <w:r>
        <w:rPr>
          <w:color w:val="000000" w:themeColor="text1"/>
        </w:rPr>
        <w:instrText>参考文献、索引标题</w:instrText>
      </w:r>
      <w:r>
        <w:rPr>
          <w:color w:val="000000" w:themeColor="text1"/>
        </w:rPr>
        <w:instrText>,1,</w:instrText>
      </w:r>
      <w:r>
        <w:rPr>
          <w:color w:val="000000" w:themeColor="text1"/>
        </w:rPr>
        <w:instrText>章标题</w:instrText>
      </w:r>
      <w:r>
        <w:rPr>
          <w:color w:val="000000" w:themeColor="text1"/>
        </w:rPr>
        <w:instrText>,1,</w:instrText>
      </w:r>
      <w:r>
        <w:rPr>
          <w:color w:val="000000" w:themeColor="text1"/>
        </w:rPr>
        <w:instrText>参考文献</w:instrText>
      </w:r>
      <w:r>
        <w:rPr>
          <w:color w:val="000000" w:themeColor="text1"/>
        </w:rPr>
        <w:instrText>,1,</w:instrText>
      </w:r>
      <w:r>
        <w:rPr>
          <w:color w:val="000000" w:themeColor="text1"/>
        </w:rPr>
        <w:instrText>附录标识</w:instrText>
      </w:r>
      <w:r>
        <w:rPr>
          <w:color w:val="000000" w:themeColor="text1"/>
        </w:rPr>
        <w:instrText xml:space="preserve">,1" \* MERGEFORMAT </w:instrText>
      </w:r>
      <w:r>
        <w:rPr>
          <w:color w:val="000000" w:themeColor="text1"/>
        </w:rPr>
        <w:fldChar w:fldCharType="separate"/>
      </w:r>
      <w:hyperlink w:anchor="_Toc8150" w:history="1">
        <w:r>
          <w:t>前  言</w:t>
        </w:r>
        <w:r>
          <w:tab/>
        </w:r>
        <w:r>
          <w:fldChar w:fldCharType="begin"/>
        </w:r>
        <w:r>
          <w:instrText xml:space="preserve"> PAGEREF _Toc8150 \h </w:instrText>
        </w:r>
        <w:r>
          <w:fldChar w:fldCharType="separate"/>
        </w:r>
        <w:r>
          <w:t>I</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12123" w:history="1">
        <w:r>
          <w:t>引  言</w:t>
        </w:r>
        <w:r>
          <w:tab/>
        </w:r>
        <w:r>
          <w:fldChar w:fldCharType="begin"/>
        </w:r>
        <w:r>
          <w:instrText xml:space="preserve"> PAGEREF _Toc12123 \h </w:instrText>
        </w:r>
        <w:r>
          <w:fldChar w:fldCharType="separate"/>
        </w:r>
        <w:r>
          <w:t>II</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12845" w:history="1">
        <w:r>
          <w:rPr>
            <w:rFonts w:ascii="黑体" w:eastAsia="黑体" w:hAnsi="黑体"/>
          </w:rPr>
          <w:t xml:space="preserve">1 </w:t>
        </w:r>
        <w:r>
          <w:t>范围</w:t>
        </w:r>
        <w:r>
          <w:tab/>
        </w:r>
        <w:r>
          <w:fldChar w:fldCharType="begin"/>
        </w:r>
        <w:r>
          <w:instrText xml:space="preserve"> PAGEREF _Toc12845 \h </w:instrText>
        </w:r>
        <w:r>
          <w:fldChar w:fldCharType="separate"/>
        </w:r>
        <w:r>
          <w:t>1</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2182" w:history="1">
        <w:r>
          <w:rPr>
            <w:rFonts w:ascii="黑体" w:eastAsia="黑体" w:hAnsi="黑体"/>
          </w:rPr>
          <w:t xml:space="preserve">2 </w:t>
        </w:r>
        <w:r>
          <w:t>规范性引用文件</w:t>
        </w:r>
        <w:r>
          <w:tab/>
        </w:r>
        <w:r>
          <w:fldChar w:fldCharType="begin"/>
        </w:r>
        <w:r>
          <w:instrText xml:space="preserve"> PAGEREF _Toc2182 \h </w:instrText>
        </w:r>
        <w:r>
          <w:fldChar w:fldCharType="separate"/>
        </w:r>
        <w:r>
          <w:t>1</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20540" w:history="1">
        <w:r>
          <w:rPr>
            <w:rFonts w:ascii="黑体" w:eastAsia="黑体" w:hAnsi="黑体"/>
          </w:rPr>
          <w:t xml:space="preserve">3 </w:t>
        </w:r>
        <w:r>
          <w:t>术语和定义</w:t>
        </w:r>
        <w:r>
          <w:tab/>
        </w:r>
        <w:r>
          <w:fldChar w:fldCharType="begin"/>
        </w:r>
        <w:r>
          <w:instrText xml:space="preserve"> PAGEREF _Toc20540 \h </w:instrText>
        </w:r>
        <w:r>
          <w:fldChar w:fldCharType="separate"/>
        </w:r>
        <w:r>
          <w:t>1</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9034" w:history="1">
        <w:r>
          <w:rPr>
            <w:rFonts w:ascii="黑体" w:eastAsia="黑体" w:hAnsi="黑体"/>
          </w:rPr>
          <w:t xml:space="preserve">4 </w:t>
        </w:r>
        <w:r>
          <w:t>符号和缩略术语</w:t>
        </w:r>
        <w:r>
          <w:tab/>
        </w:r>
        <w:r>
          <w:fldChar w:fldCharType="begin"/>
        </w:r>
        <w:r>
          <w:instrText xml:space="preserve"> PAGEREF _Toc9034 \h </w:instrText>
        </w:r>
        <w:r>
          <w:fldChar w:fldCharType="separate"/>
        </w:r>
        <w:r>
          <w:t>3</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19518" w:history="1">
        <w:r>
          <w:rPr>
            <w:rFonts w:ascii="黑体" w:eastAsia="黑体" w:hAnsi="黑体"/>
          </w:rPr>
          <w:t xml:space="preserve">5 </w:t>
        </w:r>
        <w:r>
          <w:t>基本原则</w:t>
        </w:r>
        <w:r>
          <w:tab/>
        </w:r>
        <w:r>
          <w:fldChar w:fldCharType="begin"/>
        </w:r>
        <w:r>
          <w:instrText xml:space="preserve"> PAGEREF _Toc19518 \h </w:instrText>
        </w:r>
        <w:r>
          <w:fldChar w:fldCharType="separate"/>
        </w:r>
        <w:r>
          <w:t>4</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18677" w:history="1">
        <w:r>
          <w:rPr>
            <w:rFonts w:ascii="黑体" w:eastAsia="黑体" w:hAnsi="黑体"/>
          </w:rPr>
          <w:t xml:space="preserve">6 </w:t>
        </w:r>
        <w:r>
          <w:t>风险评估标准和降低风险的措施</w:t>
        </w:r>
        <w:r>
          <w:tab/>
        </w:r>
        <w:r>
          <w:fldChar w:fldCharType="begin"/>
        </w:r>
        <w:r>
          <w:instrText xml:space="preserve"> PAGEREF _Toc18677 \h </w:instrText>
        </w:r>
        <w:r>
          <w:fldChar w:fldCharType="separate"/>
        </w:r>
        <w:r>
          <w:t>6</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4678" w:history="1">
        <w:r>
          <w:rPr>
            <w:rFonts w:ascii="黑体" w:eastAsia="黑体" w:hAnsi="黑体"/>
          </w:rPr>
          <w:t xml:space="preserve">7 </w:t>
        </w:r>
        <w:r>
          <w:t>表征和质量属性</w:t>
        </w:r>
        <w:r>
          <w:tab/>
        </w:r>
        <w:r>
          <w:fldChar w:fldCharType="begin"/>
        </w:r>
        <w:r>
          <w:instrText xml:space="preserve"> PAGEREF _Toc4678 \h </w:instrText>
        </w:r>
        <w:r>
          <w:fldChar w:fldCharType="separate"/>
        </w:r>
        <w:r>
          <w:t>10</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17767" w:history="1">
        <w:r>
          <w:rPr>
            <w:rFonts w:ascii="黑体" w:eastAsia="黑体" w:hAnsi="黑体"/>
          </w:rPr>
          <w:t xml:space="preserve">8 </w:t>
        </w:r>
        <w:r>
          <w:t>生产和生物安全性</w:t>
        </w:r>
        <w:r>
          <w:tab/>
        </w:r>
        <w:r>
          <w:fldChar w:fldCharType="begin"/>
        </w:r>
        <w:r>
          <w:instrText xml:space="preserve"> PAGEREF _Toc17767 \h </w:instrText>
        </w:r>
        <w:r>
          <w:fldChar w:fldCharType="separate"/>
        </w:r>
        <w:r>
          <w:t>12</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22141" w:history="1">
        <w:r>
          <w:rPr>
            <w:rFonts w:ascii="黑体" w:eastAsia="黑体" w:hAnsi="黑体"/>
          </w:rPr>
          <w:t xml:space="preserve">9 </w:t>
        </w:r>
        <w:r>
          <w:t>性能</w:t>
        </w:r>
        <w:r>
          <w:tab/>
        </w:r>
        <w:r>
          <w:fldChar w:fldCharType="begin"/>
        </w:r>
        <w:r>
          <w:instrText xml:space="preserve"> PAGEREF _Toc22141 \h </w:instrText>
        </w:r>
        <w:r>
          <w:fldChar w:fldCharType="separate"/>
        </w:r>
        <w:r>
          <w:t>14</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23741" w:history="1">
        <w:r>
          <w:rPr>
            <w:rFonts w:ascii="黑体" w:eastAsia="黑体" w:hAnsi="黑体"/>
          </w:rPr>
          <w:t xml:space="preserve">10 </w:t>
        </w:r>
        <w:r>
          <w:t>特殊类别及其质量要求</w:t>
        </w:r>
        <w:r>
          <w:tab/>
        </w:r>
        <w:r>
          <w:fldChar w:fldCharType="begin"/>
        </w:r>
        <w:r>
          <w:instrText xml:space="preserve"> PAGEREF _Toc23741 \h </w:instrText>
        </w:r>
        <w:r>
          <w:fldChar w:fldCharType="separate"/>
        </w:r>
        <w:r>
          <w:t>15</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12963" w:history="1">
        <w:r>
          <w:rPr>
            <w:rFonts w:ascii="黑体" w:eastAsia="黑体" w:hAnsi="黑体"/>
          </w:rPr>
          <w:t xml:space="preserve">11 </w:t>
        </w:r>
        <w:r>
          <w:t>文件</w:t>
        </w:r>
        <w:r>
          <w:tab/>
        </w:r>
        <w:r>
          <w:fldChar w:fldCharType="begin"/>
        </w:r>
        <w:r>
          <w:instrText xml:space="preserve"> PAGEREF _Toc12963 \h </w:instrText>
        </w:r>
        <w:r>
          <w:fldChar w:fldCharType="separate"/>
        </w:r>
        <w:r>
          <w:t>18</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30577" w:history="1">
        <w:r>
          <w:rPr>
            <w:rFonts w:ascii="黑体" w:eastAsia="黑体" w:hAnsi="黑体"/>
          </w:rPr>
          <w:t xml:space="preserve">12 </w:t>
        </w:r>
        <w:r>
          <w:t>组分变更管理</w:t>
        </w:r>
        <w:r>
          <w:tab/>
        </w:r>
        <w:r>
          <w:fldChar w:fldCharType="begin"/>
        </w:r>
        <w:r>
          <w:instrText xml:space="preserve"> PAGEREF _Toc30577 \h </w:instrText>
        </w:r>
        <w:r>
          <w:fldChar w:fldCharType="separate"/>
        </w:r>
        <w:r>
          <w:t>22</w:t>
        </w:r>
        <w:r>
          <w:fldChar w:fldCharType="end"/>
        </w:r>
      </w:hyperlink>
    </w:p>
    <w:p w:rsidR="002606BB" w:rsidRDefault="00841612" w:rsidP="00763FAE">
      <w:pPr>
        <w:pStyle w:val="10"/>
        <w:tabs>
          <w:tab w:val="clear" w:pos="9242"/>
          <w:tab w:val="right" w:leader="dot" w:pos="9354"/>
        </w:tabs>
        <w:spacing w:before="78" w:after="78"/>
        <w:rPr>
          <w:rFonts w:hint="default"/>
        </w:rPr>
      </w:pPr>
      <w:hyperlink w:anchor="_Toc5175" w:history="1">
        <w:r>
          <w:t>参 考 文 献</w:t>
        </w:r>
        <w:r>
          <w:tab/>
        </w:r>
        <w:r>
          <w:fldChar w:fldCharType="begin"/>
        </w:r>
        <w:r>
          <w:instrText xml:space="preserve"> PAGEREF _Toc5175 \h </w:instrText>
        </w:r>
        <w:r>
          <w:fldChar w:fldCharType="separate"/>
        </w:r>
        <w:r>
          <w:t>23</w:t>
        </w:r>
        <w:r>
          <w:fldChar w:fldCharType="end"/>
        </w:r>
      </w:hyperlink>
    </w:p>
    <w:p w:rsidR="002606BB" w:rsidRDefault="00841612">
      <w:pPr>
        <w:pStyle w:val="afff"/>
        <w:ind w:firstLine="420"/>
        <w:rPr>
          <w:color w:val="000000" w:themeColor="text1"/>
        </w:rPr>
      </w:pPr>
      <w:r>
        <w:rPr>
          <w:rFonts w:hint="eastAsia"/>
          <w:color w:val="000000" w:themeColor="text1"/>
        </w:rPr>
        <w:fldChar w:fldCharType="end"/>
      </w:r>
    </w:p>
    <w:p w:rsidR="002606BB" w:rsidRDefault="002606BB">
      <w:pPr>
        <w:pStyle w:val="afffe"/>
        <w:rPr>
          <w:rFonts w:ascii="宋体" w:hAnsi="宋体"/>
          <w:color w:val="000000" w:themeColor="text1"/>
        </w:rPr>
        <w:sectPr w:rsidR="002606BB">
          <w:footerReference w:type="default" r:id="rId13"/>
          <w:pgSz w:w="11906" w:h="16838"/>
          <w:pgMar w:top="567" w:right="1134" w:bottom="1134" w:left="1418" w:header="1418" w:footer="1134" w:gutter="0"/>
          <w:pgNumType w:fmt="upperRoman" w:start="1"/>
          <w:cols w:space="720"/>
          <w:formProt w:val="0"/>
          <w:docGrid w:type="lines" w:linePitch="312"/>
        </w:sectPr>
      </w:pPr>
      <w:bookmarkStart w:id="14" w:name="_Toc21489"/>
    </w:p>
    <w:p w:rsidR="002606BB" w:rsidRDefault="00841612">
      <w:pPr>
        <w:pStyle w:val="afffe"/>
        <w:rPr>
          <w:rFonts w:ascii="宋体" w:hAnsi="宋体"/>
          <w:color w:val="000000" w:themeColor="text1"/>
        </w:rPr>
      </w:pPr>
      <w:bookmarkStart w:id="15" w:name="_Toc8150"/>
      <w:r>
        <w:rPr>
          <w:rFonts w:ascii="宋体" w:hAnsi="宋体" w:hint="eastAsia"/>
          <w:color w:val="000000" w:themeColor="text1"/>
        </w:rPr>
        <w:t>前</w:t>
      </w:r>
      <w:bookmarkStart w:id="16" w:name="BKQY"/>
      <w:r>
        <w:rPr>
          <w:rFonts w:ascii="宋体" w:hAnsi="宋体" w:hint="eastAsia"/>
          <w:color w:val="000000" w:themeColor="text1"/>
        </w:rPr>
        <w:t>  言</w:t>
      </w:r>
      <w:bookmarkEnd w:id="1"/>
      <w:bookmarkEnd w:id="2"/>
      <w:bookmarkEnd w:id="5"/>
      <w:bookmarkEnd w:id="6"/>
      <w:bookmarkEnd w:id="7"/>
      <w:bookmarkEnd w:id="8"/>
      <w:bookmarkEnd w:id="9"/>
      <w:bookmarkEnd w:id="10"/>
      <w:bookmarkEnd w:id="11"/>
      <w:bookmarkEnd w:id="12"/>
      <w:bookmarkEnd w:id="14"/>
      <w:bookmarkEnd w:id="15"/>
      <w:bookmarkEnd w:id="16"/>
    </w:p>
    <w:p w:rsidR="002606BB" w:rsidRDefault="002606BB">
      <w:pPr>
        <w:pStyle w:val="afff"/>
        <w:ind w:firstLine="420"/>
        <w:rPr>
          <w:color w:val="000000" w:themeColor="text1"/>
        </w:rPr>
      </w:pPr>
    </w:p>
    <w:p w:rsidR="002606BB" w:rsidRDefault="00841612">
      <w:pPr>
        <w:keepNext/>
        <w:keepLines/>
        <w:widowControl/>
        <w:tabs>
          <w:tab w:val="left" w:pos="308"/>
        </w:tabs>
        <w:ind w:firstLineChars="200" w:firstLine="420"/>
        <w:rPr>
          <w:rFonts w:hint="default"/>
          <w:color w:val="000000" w:themeColor="text1"/>
        </w:rPr>
      </w:pPr>
      <w:r>
        <w:rPr>
          <w:color w:val="000000" w:themeColor="text1"/>
        </w:rPr>
        <w:t>本文件按照</w:t>
      </w:r>
      <w:r>
        <w:rPr>
          <w:color w:val="000000" w:themeColor="text1"/>
        </w:rPr>
        <w:t>GBT1.1-2020</w:t>
      </w:r>
      <w:r>
        <w:rPr>
          <w:color w:val="000000" w:themeColor="text1"/>
        </w:rPr>
        <w:t>《标准化工作导则</w:t>
      </w:r>
      <w:r>
        <w:rPr>
          <w:color w:val="000000" w:themeColor="text1"/>
        </w:rPr>
        <w:t xml:space="preserve"> </w:t>
      </w:r>
      <w:r>
        <w:rPr>
          <w:color w:val="000000" w:themeColor="text1"/>
        </w:rPr>
        <w:t>第</w:t>
      </w:r>
      <w:r>
        <w:rPr>
          <w:color w:val="000000" w:themeColor="text1"/>
        </w:rPr>
        <w:t>1</w:t>
      </w:r>
      <w:r>
        <w:rPr>
          <w:color w:val="000000" w:themeColor="text1"/>
        </w:rPr>
        <w:t>部</w:t>
      </w:r>
      <w:r>
        <w:rPr>
          <w:color w:val="000000" w:themeColor="text1"/>
        </w:rPr>
        <w:t>分：标准化文件的结构和起草规则》，</w:t>
      </w:r>
      <w:r>
        <w:rPr>
          <w:color w:val="000000" w:themeColor="text1"/>
        </w:rPr>
        <w:t>GB/T 1.2-2020</w:t>
      </w:r>
      <w:r>
        <w:rPr>
          <w:color w:val="000000" w:themeColor="text1"/>
        </w:rPr>
        <w:t>《标准化工作导则</w:t>
      </w:r>
      <w:r>
        <w:rPr>
          <w:color w:val="000000" w:themeColor="text1"/>
        </w:rPr>
        <w:t xml:space="preserve"> </w:t>
      </w:r>
      <w:r>
        <w:rPr>
          <w:color w:val="000000" w:themeColor="text1"/>
        </w:rPr>
        <w:t>第</w:t>
      </w:r>
      <w:r>
        <w:rPr>
          <w:color w:val="000000" w:themeColor="text1"/>
        </w:rPr>
        <w:t>2</w:t>
      </w:r>
      <w:r>
        <w:rPr>
          <w:color w:val="000000" w:themeColor="text1"/>
        </w:rPr>
        <w:t>部分：以</w:t>
      </w:r>
      <w:r>
        <w:rPr>
          <w:color w:val="000000" w:themeColor="text1"/>
        </w:rPr>
        <w:t>ISO/IEC</w:t>
      </w:r>
      <w:r>
        <w:rPr>
          <w:color w:val="000000" w:themeColor="text1"/>
        </w:rPr>
        <w:t>标准化文件为基础的标准化文件起草规则》给出的规则起草。</w:t>
      </w:r>
    </w:p>
    <w:p w:rsidR="002606BB" w:rsidRDefault="00841612">
      <w:pPr>
        <w:keepNext/>
        <w:keepLines/>
        <w:widowControl/>
        <w:tabs>
          <w:tab w:val="left" w:pos="308"/>
        </w:tabs>
        <w:ind w:firstLineChars="200" w:firstLine="420"/>
        <w:rPr>
          <w:rFonts w:hint="default"/>
          <w:color w:val="000000" w:themeColor="text1"/>
        </w:rPr>
      </w:pPr>
      <w:r>
        <w:rPr>
          <w:color w:val="000000" w:themeColor="text1"/>
        </w:rPr>
        <w:t>本文件使用</w:t>
      </w:r>
      <w:r>
        <w:rPr>
          <w:rFonts w:hint="default"/>
          <w:color w:val="000000" w:themeColor="text1"/>
        </w:rPr>
        <w:t>重新起草</w:t>
      </w:r>
      <w:r>
        <w:rPr>
          <w:color w:val="000000" w:themeColor="text1"/>
        </w:rPr>
        <w:t>法</w:t>
      </w:r>
      <w:r>
        <w:rPr>
          <w:rFonts w:hint="default"/>
          <w:color w:val="000000" w:themeColor="text1"/>
        </w:rPr>
        <w:t>修改采用</w:t>
      </w:r>
      <w:r>
        <w:rPr>
          <w:color w:val="000000" w:themeColor="text1"/>
        </w:rPr>
        <w:t>国际</w:t>
      </w:r>
      <w:r>
        <w:rPr>
          <w:rFonts w:hint="default"/>
          <w:color w:val="000000" w:themeColor="text1"/>
        </w:rPr>
        <w:t>标准</w:t>
      </w:r>
      <w:r>
        <w:rPr>
          <w:color w:val="000000" w:themeColor="text1"/>
        </w:rPr>
        <w:t>ISO/CD 20399:2021</w:t>
      </w:r>
      <w:r>
        <w:rPr>
          <w:color w:val="000000" w:themeColor="text1"/>
        </w:rPr>
        <w:t>生物</w:t>
      </w:r>
      <w:r>
        <w:rPr>
          <w:rFonts w:hint="default"/>
          <w:color w:val="000000" w:themeColor="text1"/>
        </w:rPr>
        <w:t>技术</w:t>
      </w:r>
      <w:r>
        <w:rPr>
          <w:rFonts w:hint="default"/>
          <w:color w:val="000000" w:themeColor="text1"/>
        </w:rPr>
        <w:t>-</w:t>
      </w:r>
      <w:r>
        <w:rPr>
          <w:color w:val="000000" w:themeColor="text1"/>
        </w:rPr>
        <w:t>细胞</w:t>
      </w:r>
      <w:r>
        <w:rPr>
          <w:rFonts w:hint="default"/>
          <w:color w:val="000000" w:themeColor="text1"/>
        </w:rPr>
        <w:t>和基因治疗产品生产用原材料（</w:t>
      </w:r>
      <w:r>
        <w:rPr>
          <w:color w:val="000000" w:themeColor="text1"/>
        </w:rPr>
        <w:t xml:space="preserve">Biotechnology </w:t>
      </w:r>
      <w:r>
        <w:rPr>
          <w:color w:val="000000" w:themeColor="text1"/>
        </w:rPr>
        <w:t>—</w:t>
      </w:r>
      <w:r>
        <w:rPr>
          <w:color w:val="000000" w:themeColor="text1"/>
        </w:rPr>
        <w:t xml:space="preserve"> Ancillary materials present during the production of cellular therapeutic products and gene therapy </w:t>
      </w:r>
      <w:r>
        <w:rPr>
          <w:color w:val="000000" w:themeColor="text1"/>
        </w:rPr>
        <w:t>products</w:t>
      </w:r>
      <w:r>
        <w:rPr>
          <w:rFonts w:hint="default"/>
          <w:color w:val="000000" w:themeColor="text1"/>
        </w:rPr>
        <w:t>）</w:t>
      </w:r>
      <w:r>
        <w:rPr>
          <w:color w:val="000000" w:themeColor="text1"/>
        </w:rPr>
        <w:t>，一致性程度为非等效。</w:t>
      </w:r>
    </w:p>
    <w:p w:rsidR="002606BB" w:rsidRDefault="00841612">
      <w:pPr>
        <w:ind w:firstLine="420"/>
        <w:rPr>
          <w:rFonts w:hint="default"/>
          <w:color w:val="000000" w:themeColor="text1"/>
        </w:rPr>
      </w:pPr>
      <w:r>
        <w:rPr>
          <w:color w:val="000000" w:themeColor="text1"/>
        </w:rPr>
        <w:t>请注意本文件的某些内容可能涉及专利。本文件的发布机构不承担识别这些专利的责任。</w:t>
      </w:r>
    </w:p>
    <w:p w:rsidR="002606BB" w:rsidRDefault="00841612">
      <w:pPr>
        <w:ind w:firstLine="420"/>
        <w:rPr>
          <w:rFonts w:hint="default"/>
          <w:color w:val="000000" w:themeColor="text1"/>
        </w:rPr>
      </w:pPr>
      <w:r>
        <w:rPr>
          <w:color w:val="000000" w:themeColor="text1"/>
        </w:rPr>
        <w:t>本文件由中国医药生物技术协会（</w:t>
      </w:r>
      <w:r>
        <w:rPr>
          <w:color w:val="000000" w:themeColor="text1"/>
        </w:rPr>
        <w:t>CMBA</w:t>
      </w:r>
      <w:r>
        <w:rPr>
          <w:color w:val="000000" w:themeColor="text1"/>
        </w:rPr>
        <w:t>）提出并归口。</w:t>
      </w:r>
    </w:p>
    <w:p w:rsidR="002606BB" w:rsidRDefault="00841612">
      <w:pPr>
        <w:ind w:firstLine="435"/>
        <w:rPr>
          <w:rFonts w:hint="default"/>
          <w:color w:val="000000" w:themeColor="text1"/>
        </w:rPr>
      </w:pPr>
      <w:r>
        <w:rPr>
          <w:color w:val="000000" w:themeColor="text1"/>
        </w:rPr>
        <w:t>本文件起草单位：。</w:t>
      </w:r>
    </w:p>
    <w:p w:rsidR="002606BB" w:rsidRDefault="00841612">
      <w:pPr>
        <w:ind w:firstLine="435"/>
        <w:rPr>
          <w:rFonts w:hint="default"/>
          <w:color w:val="000000" w:themeColor="text1"/>
        </w:rPr>
      </w:pPr>
      <w:r>
        <w:rPr>
          <w:color w:val="000000" w:themeColor="text1"/>
        </w:rPr>
        <w:t>本文件主要参与单位：。</w:t>
      </w:r>
    </w:p>
    <w:p w:rsidR="002606BB" w:rsidRDefault="00841612">
      <w:pPr>
        <w:ind w:firstLine="435"/>
        <w:rPr>
          <w:rFonts w:hint="default"/>
          <w:color w:val="000000" w:themeColor="text1"/>
          <w:spacing w:val="-2"/>
        </w:rPr>
      </w:pPr>
      <w:r>
        <w:rPr>
          <w:color w:val="000000" w:themeColor="text1"/>
          <w:spacing w:val="-2"/>
          <w:kern w:val="0"/>
        </w:rPr>
        <w:t>本文件主要起草人：</w:t>
      </w:r>
      <w:r>
        <w:rPr>
          <w:color w:val="000000" w:themeColor="text1"/>
        </w:rPr>
        <w:t>。</w:t>
      </w:r>
    </w:p>
    <w:p w:rsidR="002606BB" w:rsidRDefault="00841612">
      <w:pPr>
        <w:ind w:firstLine="435"/>
        <w:rPr>
          <w:rFonts w:hint="default"/>
          <w:color w:val="000000" w:themeColor="text1"/>
        </w:rPr>
      </w:pPr>
      <w:r>
        <w:rPr>
          <w:color w:val="000000" w:themeColor="text1"/>
        </w:rPr>
        <w:t>本文件为首次发布。</w:t>
      </w:r>
    </w:p>
    <w:p w:rsidR="002606BB" w:rsidRDefault="00841612">
      <w:pPr>
        <w:pStyle w:val="afffe"/>
        <w:rPr>
          <w:color w:val="000000" w:themeColor="text1"/>
          <w:szCs w:val="21"/>
        </w:rPr>
      </w:pPr>
      <w:bookmarkStart w:id="17" w:name="_Toc22518"/>
      <w:bookmarkStart w:id="18" w:name="_Toc12123"/>
      <w:bookmarkStart w:id="19" w:name="_Toc31903"/>
      <w:bookmarkStart w:id="20" w:name="_Toc3676"/>
      <w:bookmarkStart w:id="21" w:name="_Toc21548"/>
      <w:bookmarkStart w:id="22" w:name="_Toc32204"/>
      <w:bookmarkStart w:id="23" w:name="_Toc31760"/>
      <w:bookmarkStart w:id="24" w:name="_Toc12174"/>
      <w:bookmarkStart w:id="25" w:name="_Toc3523"/>
      <w:bookmarkStart w:id="26" w:name="_Toc22605"/>
      <w:bookmarkStart w:id="27" w:name="_Toc10224"/>
      <w:bookmarkStart w:id="28" w:name="_Toc19416"/>
      <w:r>
        <w:rPr>
          <w:rFonts w:hint="eastAsia"/>
          <w:color w:val="000000" w:themeColor="text1"/>
          <w:szCs w:val="21"/>
        </w:rPr>
        <w:t>引</w:t>
      </w:r>
      <w:bookmarkStart w:id="29" w:name="BKYY"/>
      <w:r>
        <w:rPr>
          <w:rFonts w:hint="eastAsia"/>
          <w:color w:val="000000" w:themeColor="text1"/>
          <w:szCs w:val="21"/>
        </w:rPr>
        <w:t>  言</w:t>
      </w:r>
      <w:bookmarkEnd w:id="17"/>
      <w:bookmarkEnd w:id="18"/>
      <w:bookmarkEnd w:id="19"/>
      <w:bookmarkEnd w:id="20"/>
      <w:bookmarkEnd w:id="21"/>
      <w:bookmarkEnd w:id="22"/>
      <w:bookmarkEnd w:id="23"/>
      <w:bookmarkEnd w:id="24"/>
      <w:bookmarkEnd w:id="25"/>
      <w:bookmarkEnd w:id="26"/>
      <w:bookmarkEnd w:id="27"/>
      <w:bookmarkEnd w:id="28"/>
      <w:bookmarkEnd w:id="29"/>
    </w:p>
    <w:p w:rsidR="002606BB" w:rsidRDefault="002606BB">
      <w:pPr>
        <w:pStyle w:val="afff"/>
        <w:ind w:firstLine="420"/>
        <w:rPr>
          <w:color w:val="000000" w:themeColor="text1"/>
        </w:rPr>
      </w:pPr>
    </w:p>
    <w:p w:rsidR="002606BB" w:rsidRDefault="00841612">
      <w:pPr>
        <w:ind w:firstLine="420"/>
        <w:rPr>
          <w:rFonts w:hint="default"/>
          <w:color w:val="000000" w:themeColor="text1"/>
        </w:rPr>
      </w:pPr>
      <w:r>
        <w:rPr>
          <w:color w:val="000000" w:themeColor="text1"/>
        </w:rPr>
        <w:t>伴随先进治疗产品（</w:t>
      </w:r>
      <w:r>
        <w:rPr>
          <w:color w:val="000000" w:themeColor="text1"/>
        </w:rPr>
        <w:t>ATMP</w:t>
      </w:r>
      <w:r>
        <w:rPr>
          <w:color w:val="000000" w:themeColor="text1"/>
        </w:rPr>
        <w:t>）的快速发展，细胞治疗产品生产用原材料的需求不断增长。为了确保临床用细胞治疗产品的安全性、质量稳定性和</w:t>
      </w:r>
      <w:proofErr w:type="gramStart"/>
      <w:r>
        <w:rPr>
          <w:color w:val="000000" w:themeColor="text1"/>
        </w:rPr>
        <w:t>可</w:t>
      </w:r>
      <w:proofErr w:type="gramEnd"/>
      <w:r>
        <w:rPr>
          <w:color w:val="000000" w:themeColor="text1"/>
        </w:rPr>
        <w:t>追溯性，需要对其生产过程中使用的生产用原材料的质量要求做出规定，以进一步控制细胞治疗产品的质量。</w:t>
      </w:r>
    </w:p>
    <w:p w:rsidR="002606BB" w:rsidRDefault="00841612">
      <w:pPr>
        <w:ind w:firstLine="420"/>
        <w:rPr>
          <w:rFonts w:hint="default"/>
          <w:color w:val="000000" w:themeColor="text1"/>
        </w:rPr>
      </w:pPr>
      <w:r>
        <w:rPr>
          <w:color w:val="000000" w:themeColor="text1"/>
        </w:rPr>
        <w:t>生产用原材料可以是包含多组分的复杂混合物，诸如盐类、缓冲液、培养基、添加因子（如生长因子、酶类、免疫纯化用抗体等）等。如果一种生产用原材料含有多种组分（如培养基），则其中所有组分都属于生产用原材料的范围。该材料在不同批次间的组分变化可能会影响具有特定质量属性的细胞治疗产品生产的一致性。因此，生产用原材料可能对细胞治疗产品的安全性和有效性造成影响，应通过基于风险管理的方法开展对生产用原材料的质量管理。</w:t>
      </w:r>
    </w:p>
    <w:p w:rsidR="002606BB" w:rsidRDefault="00841612">
      <w:pPr>
        <w:ind w:firstLine="420"/>
        <w:rPr>
          <w:rFonts w:hint="default"/>
          <w:color w:val="000000" w:themeColor="text1"/>
        </w:rPr>
      </w:pPr>
      <w:r>
        <w:rPr>
          <w:color w:val="000000" w:themeColor="text1"/>
        </w:rPr>
        <w:t>本文件给出了生产用原材料的定义和基本质量要求，以期对生产用原材料的一致性和质量控制提供指导；描述了为证明生产</w:t>
      </w:r>
      <w:r>
        <w:rPr>
          <w:color w:val="000000" w:themeColor="text1"/>
        </w:rPr>
        <w:t>用原材料的批次间一致性应考量的原材料文件；并进一步给出了某些特定组分或类型的生产用原材料，如动物源性成分、血清类、重组类等的专属特点和质量要求。本文件旨在确保细胞治疗产品生产过程中使用的生产用原材料的质量和稳定性，防止病源微生物的引入和传播，避免污染、差错等风险，有助于细胞治疗产品的质量控制，以确保其生物学效用和功能符合预期的用途。</w:t>
      </w:r>
    </w:p>
    <w:p w:rsidR="002606BB" w:rsidRDefault="002606BB">
      <w:pPr>
        <w:ind w:firstLine="420"/>
        <w:rPr>
          <w:rFonts w:hint="default"/>
          <w:color w:val="000000" w:themeColor="text1"/>
        </w:rPr>
        <w:sectPr w:rsidR="002606BB">
          <w:footerReference w:type="default" r:id="rId14"/>
          <w:pgSz w:w="11906" w:h="16838"/>
          <w:pgMar w:top="567" w:right="1134" w:bottom="1134" w:left="1418" w:header="1418" w:footer="1134" w:gutter="0"/>
          <w:pgNumType w:fmt="upperRoman" w:start="1"/>
          <w:cols w:space="720"/>
          <w:formProt w:val="0"/>
          <w:docGrid w:type="lines" w:linePitch="312"/>
        </w:sectPr>
      </w:pPr>
      <w:bookmarkStart w:id="30" w:name="StandardName"/>
    </w:p>
    <w:p w:rsidR="002606BB" w:rsidRDefault="00841612">
      <w:pPr>
        <w:pStyle w:val="afffff1"/>
        <w:rPr>
          <w:rFonts w:hint="default"/>
          <w:color w:val="000000" w:themeColor="text1"/>
        </w:rPr>
      </w:pPr>
      <w:r>
        <w:rPr>
          <w:color w:val="000000" w:themeColor="text1"/>
        </w:rPr>
        <w:t>细胞治疗产品生产用原材料的质量管理规范</w:t>
      </w:r>
      <w:bookmarkEnd w:id="30"/>
    </w:p>
    <w:p w:rsidR="002606BB" w:rsidRDefault="00841612" w:rsidP="00763FAE">
      <w:pPr>
        <w:pStyle w:val="a0"/>
        <w:spacing w:before="312" w:after="312"/>
        <w:rPr>
          <w:color w:val="000000" w:themeColor="text1"/>
        </w:rPr>
      </w:pPr>
      <w:bookmarkStart w:id="31" w:name="_Toc32619"/>
      <w:bookmarkStart w:id="32" w:name="_Toc18183"/>
      <w:bookmarkStart w:id="33" w:name="_Toc28613"/>
      <w:bookmarkStart w:id="34" w:name="_Toc12392"/>
      <w:bookmarkStart w:id="35" w:name="_Toc31087"/>
      <w:bookmarkStart w:id="36" w:name="_Toc22837"/>
      <w:bookmarkStart w:id="37" w:name="_Toc16322"/>
      <w:bookmarkStart w:id="38" w:name="_Toc25052"/>
      <w:bookmarkStart w:id="39" w:name="_Toc5812"/>
      <w:bookmarkStart w:id="40" w:name="_Toc12845"/>
      <w:bookmarkStart w:id="41" w:name="_Toc9738"/>
      <w:bookmarkStart w:id="42" w:name="_Toc11485"/>
      <w:bookmarkStart w:id="43" w:name="_Toc10931"/>
      <w:r>
        <w:rPr>
          <w:rFonts w:hint="eastAsia"/>
          <w:color w:val="000000" w:themeColor="text1"/>
        </w:rPr>
        <w:t>范围</w:t>
      </w:r>
      <w:bookmarkEnd w:id="31"/>
      <w:bookmarkEnd w:id="32"/>
      <w:bookmarkEnd w:id="33"/>
      <w:bookmarkEnd w:id="34"/>
      <w:bookmarkEnd w:id="35"/>
      <w:bookmarkEnd w:id="36"/>
      <w:bookmarkEnd w:id="37"/>
      <w:bookmarkEnd w:id="38"/>
      <w:bookmarkEnd w:id="39"/>
      <w:bookmarkEnd w:id="40"/>
      <w:bookmarkEnd w:id="41"/>
      <w:bookmarkEnd w:id="42"/>
      <w:bookmarkEnd w:id="43"/>
    </w:p>
    <w:p w:rsidR="002606BB" w:rsidRDefault="00841612">
      <w:pPr>
        <w:pStyle w:val="afff"/>
        <w:ind w:firstLine="420"/>
        <w:rPr>
          <w:color w:val="000000" w:themeColor="text1"/>
        </w:rPr>
      </w:pPr>
      <w:bookmarkStart w:id="44" w:name="_Toc30683"/>
      <w:bookmarkStart w:id="45" w:name="_Toc24628"/>
      <w:bookmarkStart w:id="46" w:name="_Toc13022"/>
      <w:bookmarkStart w:id="47" w:name="_Toc18014"/>
      <w:r>
        <w:rPr>
          <w:rFonts w:hint="eastAsia"/>
          <w:color w:val="000000" w:themeColor="text1"/>
        </w:rPr>
        <w:t>本</w:t>
      </w:r>
      <w:r>
        <w:rPr>
          <w:rFonts w:hint="eastAsia"/>
          <w:color w:val="000000" w:themeColor="text1"/>
        </w:rPr>
        <w:t>文件给出了细胞治疗产品生产用原材料的质量要求，以及某些特定组分或类型的生产用原材料，如动物源性成分、血清类、重组类等的专属特点和质量要求。</w:t>
      </w:r>
    </w:p>
    <w:p w:rsidR="002606BB" w:rsidRDefault="00841612">
      <w:pPr>
        <w:pStyle w:val="afff"/>
        <w:ind w:firstLine="420"/>
        <w:rPr>
          <w:color w:val="000000" w:themeColor="text1"/>
        </w:rPr>
      </w:pPr>
      <w:r>
        <w:rPr>
          <w:rFonts w:hint="eastAsia"/>
          <w:color w:val="000000" w:themeColor="text1"/>
        </w:rPr>
        <w:t>本文件适用于细胞治疗或基因治疗产品的生产用原材料的质量管理，旨在帮助生产用原材料的供应者和使用者在标识、纯度、储存和稳定性、生物安全和性能方面实现</w:t>
      </w:r>
      <w:r>
        <w:rPr>
          <w:rFonts w:hint="eastAsia"/>
          <w:color w:val="000000" w:themeColor="text1"/>
        </w:rPr>
        <w:t>/</w:t>
      </w:r>
      <w:r>
        <w:rPr>
          <w:rFonts w:hint="eastAsia"/>
          <w:color w:val="000000" w:themeColor="text1"/>
        </w:rPr>
        <w:t>进行质量管理。</w:t>
      </w:r>
    </w:p>
    <w:p w:rsidR="002606BB" w:rsidRDefault="00841612">
      <w:pPr>
        <w:pStyle w:val="afff"/>
        <w:ind w:firstLine="420"/>
        <w:rPr>
          <w:color w:val="000000" w:themeColor="text1"/>
        </w:rPr>
      </w:pPr>
      <w:r>
        <w:rPr>
          <w:rFonts w:hint="eastAsia"/>
          <w:color w:val="000000" w:themeColor="text1"/>
        </w:rPr>
        <w:t>本文件不适用于作为最终治疗产品的细胞、细胞治疗产品的起始材料和细胞治疗产品辅料。饲养细胞（</w:t>
      </w:r>
      <w:r>
        <w:rPr>
          <w:rFonts w:hint="eastAsia"/>
          <w:color w:val="000000" w:themeColor="text1"/>
        </w:rPr>
        <w:t>feeder cells</w:t>
      </w:r>
      <w:r>
        <w:rPr>
          <w:rFonts w:hint="eastAsia"/>
          <w:color w:val="000000" w:themeColor="text1"/>
        </w:rPr>
        <w:t>）、器具和设备，以及生物制备后使用的添加剂。</w:t>
      </w:r>
    </w:p>
    <w:p w:rsidR="002606BB" w:rsidRDefault="00841612" w:rsidP="00763FAE">
      <w:pPr>
        <w:pStyle w:val="a0"/>
        <w:spacing w:before="312" w:after="312"/>
        <w:rPr>
          <w:color w:val="000000" w:themeColor="text1"/>
        </w:rPr>
      </w:pPr>
      <w:bookmarkStart w:id="48" w:name="_Toc7449"/>
      <w:bookmarkStart w:id="49" w:name="_Toc30345"/>
      <w:bookmarkStart w:id="50" w:name="_Toc7551"/>
      <w:bookmarkStart w:id="51" w:name="_Toc28737"/>
      <w:bookmarkStart w:id="52" w:name="_Toc18995"/>
      <w:bookmarkStart w:id="53" w:name="_Toc29968"/>
      <w:bookmarkStart w:id="54" w:name="_Toc26877"/>
      <w:bookmarkStart w:id="55" w:name="_Toc6894"/>
      <w:bookmarkStart w:id="56" w:name="_Toc28933"/>
      <w:bookmarkStart w:id="57" w:name="_Toc9884"/>
      <w:bookmarkStart w:id="58" w:name="_Toc3904"/>
      <w:bookmarkStart w:id="59" w:name="_Toc22416"/>
      <w:bookmarkStart w:id="60" w:name="_Toc2182"/>
      <w:bookmarkEnd w:id="44"/>
      <w:bookmarkEnd w:id="45"/>
      <w:bookmarkEnd w:id="46"/>
      <w:bookmarkEnd w:id="47"/>
      <w:r>
        <w:rPr>
          <w:rFonts w:hint="eastAsia"/>
          <w:color w:val="000000" w:themeColor="text1"/>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p>
    <w:p w:rsidR="002606BB" w:rsidRDefault="00841612">
      <w:pPr>
        <w:pStyle w:val="afff"/>
        <w:ind w:firstLine="420"/>
        <w:rPr>
          <w:color w:val="000000" w:themeColor="text1"/>
        </w:rPr>
      </w:pPr>
      <w:r>
        <w:rPr>
          <w:rFonts w:hint="eastAsia"/>
          <w:color w:val="000000" w:themeColor="text1"/>
        </w:rPr>
        <w:t>下列文件中的内容通过文中的规范性</w:t>
      </w:r>
      <w:r>
        <w:rPr>
          <w:rFonts w:hint="eastAsia"/>
          <w:color w:val="000000" w:themeColor="text1"/>
        </w:rPr>
        <w:t>应用而构成本文件必不可少的条款。其中，注日期的引用文件，仅该日期对应的版本适用于本文件；不注日期的引用文件，其最新版本（包括所有的修改单）适用于本文件。</w:t>
      </w:r>
    </w:p>
    <w:p w:rsidR="002606BB" w:rsidRDefault="00841612">
      <w:pPr>
        <w:keepNext/>
        <w:keepLines/>
        <w:widowControl/>
        <w:tabs>
          <w:tab w:val="left" w:pos="308"/>
        </w:tabs>
        <w:ind w:firstLineChars="200" w:firstLine="420"/>
        <w:rPr>
          <w:rFonts w:hint="default"/>
          <w:color w:val="000000" w:themeColor="text1"/>
        </w:rPr>
      </w:pPr>
      <w:r>
        <w:rPr>
          <w:color w:val="000000" w:themeColor="text1"/>
        </w:rPr>
        <w:t xml:space="preserve">GB/T 19000 </w:t>
      </w:r>
      <w:r>
        <w:rPr>
          <w:color w:val="000000" w:themeColor="text1"/>
        </w:rPr>
        <w:t>质量管理体系基础和术语</w:t>
      </w:r>
    </w:p>
    <w:p w:rsidR="002606BB" w:rsidRDefault="00841612">
      <w:pPr>
        <w:keepNext/>
        <w:keepLines/>
        <w:widowControl/>
        <w:tabs>
          <w:tab w:val="left" w:pos="308"/>
        </w:tabs>
        <w:ind w:firstLineChars="150" w:firstLine="315"/>
        <w:rPr>
          <w:rFonts w:hint="default"/>
          <w:color w:val="000000" w:themeColor="text1"/>
        </w:rPr>
      </w:pPr>
      <w:r>
        <w:rPr>
          <w:rFonts w:ascii="Times New Roman" w:eastAsia="Times New Roman" w:hAnsi="Times New Roman" w:hint="default"/>
          <w:color w:val="000000" w:themeColor="text1"/>
        </w:rPr>
        <w:t>《</w:t>
      </w:r>
      <w:r>
        <w:rPr>
          <w:color w:val="000000" w:themeColor="text1"/>
        </w:rPr>
        <w:t>中华人民共和国药典</w:t>
      </w:r>
      <w:r>
        <w:rPr>
          <w:rFonts w:ascii="Times New Roman" w:eastAsia="Times New Roman" w:hAnsi="Times New Roman" w:hint="default"/>
          <w:color w:val="000000" w:themeColor="text1"/>
        </w:rPr>
        <w:t>》</w:t>
      </w:r>
    </w:p>
    <w:p w:rsidR="002606BB" w:rsidRDefault="00841612" w:rsidP="00763FAE">
      <w:pPr>
        <w:pStyle w:val="a0"/>
        <w:spacing w:before="312" w:after="312"/>
        <w:rPr>
          <w:color w:val="000000" w:themeColor="text1"/>
        </w:rPr>
      </w:pPr>
      <w:bookmarkStart w:id="61" w:name="_Toc19289"/>
      <w:bookmarkStart w:id="62" w:name="_Toc20875"/>
      <w:bookmarkStart w:id="63" w:name="_Toc20540"/>
      <w:bookmarkStart w:id="64" w:name="_Toc289"/>
      <w:bookmarkStart w:id="65" w:name="_Toc21335"/>
      <w:bookmarkStart w:id="66" w:name="_Toc28681"/>
      <w:bookmarkStart w:id="67" w:name="_Toc12387"/>
      <w:bookmarkStart w:id="68" w:name="_Toc19866"/>
      <w:bookmarkStart w:id="69" w:name="_Toc5715"/>
      <w:bookmarkStart w:id="70" w:name="_Toc6520"/>
      <w:bookmarkStart w:id="71" w:name="_Toc7430"/>
      <w:r>
        <w:rPr>
          <w:rFonts w:hint="eastAsia"/>
          <w:color w:val="000000" w:themeColor="text1"/>
        </w:rPr>
        <w:t>术语和定义</w:t>
      </w:r>
      <w:bookmarkEnd w:id="61"/>
      <w:bookmarkEnd w:id="62"/>
      <w:bookmarkEnd w:id="63"/>
      <w:bookmarkEnd w:id="64"/>
      <w:bookmarkEnd w:id="65"/>
      <w:bookmarkEnd w:id="66"/>
      <w:bookmarkEnd w:id="67"/>
      <w:bookmarkEnd w:id="68"/>
      <w:bookmarkEnd w:id="69"/>
      <w:bookmarkEnd w:id="70"/>
      <w:bookmarkEnd w:id="71"/>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细胞治疗产品　</w:t>
      </w:r>
      <w:r>
        <w:rPr>
          <w:rFonts w:ascii="黑体" w:eastAsia="黑体" w:cs="黑体" w:hint="eastAsia"/>
          <w:color w:val="000000" w:themeColor="text1"/>
          <w:sz w:val="21"/>
          <w:szCs w:val="21"/>
        </w:rPr>
        <w:t>cellular</w:t>
      </w:r>
      <w:r>
        <w:rPr>
          <w:rFonts w:ascii="黑体" w:eastAsia="黑体" w:cs="黑体" w:hint="eastAsia"/>
          <w:color w:val="000000" w:themeColor="text1"/>
          <w:sz w:val="21"/>
          <w:szCs w:val="21"/>
        </w:rPr>
        <w:t xml:space="preserve">　</w:t>
      </w:r>
      <w:r>
        <w:rPr>
          <w:rFonts w:ascii="黑体" w:eastAsia="黑体" w:cs="黑体" w:hint="eastAsia"/>
          <w:color w:val="000000" w:themeColor="text1"/>
          <w:sz w:val="21"/>
          <w:szCs w:val="21"/>
        </w:rPr>
        <w:t>therapeutic</w:t>
      </w:r>
      <w:r>
        <w:rPr>
          <w:rFonts w:ascii="黑体" w:eastAsia="黑体" w:cs="黑体" w:hint="eastAsia"/>
          <w:color w:val="000000" w:themeColor="text1"/>
          <w:sz w:val="21"/>
          <w:szCs w:val="21"/>
        </w:rPr>
        <w:t xml:space="preserve">　</w:t>
      </w:r>
      <w:r>
        <w:rPr>
          <w:rFonts w:ascii="黑体" w:eastAsia="黑体" w:cs="黑体" w:hint="eastAsia"/>
          <w:color w:val="000000" w:themeColor="text1"/>
          <w:sz w:val="21"/>
          <w:szCs w:val="21"/>
        </w:rPr>
        <w:t>product</w:t>
      </w:r>
      <w:r>
        <w:rPr>
          <w:rFonts w:ascii="黑体" w:eastAsia="黑体" w:cs="黑体" w:hint="eastAsia"/>
          <w:color w:val="000000" w:themeColor="text1"/>
          <w:sz w:val="21"/>
          <w:szCs w:val="21"/>
        </w:rPr>
        <w:t xml:space="preserve">　</w:t>
      </w:r>
    </w:p>
    <w:p w:rsidR="002606BB" w:rsidRDefault="00841612">
      <w:pPr>
        <w:keepNext/>
        <w:keepLines/>
        <w:widowControl/>
        <w:ind w:firstLineChars="200" w:firstLine="420"/>
        <w:rPr>
          <w:rFonts w:hint="default"/>
          <w:color w:val="000000" w:themeColor="text1"/>
        </w:rPr>
      </w:pPr>
      <w:r>
        <w:rPr>
          <w:color w:val="000000" w:themeColor="text1"/>
        </w:rPr>
        <w:t>以细胞为活性物质的用于细胞治疗或基因治疗的产品。</w:t>
      </w:r>
    </w:p>
    <w:p w:rsidR="002606BB" w:rsidRDefault="00841612">
      <w:pPr>
        <w:pStyle w:val="af7"/>
        <w:numPr>
          <w:ilvl w:val="0"/>
          <w:numId w:val="0"/>
        </w:numPr>
        <w:ind w:left="726"/>
        <w:rPr>
          <w:color w:val="000000" w:themeColor="text1"/>
        </w:rPr>
      </w:pPr>
      <w:r>
        <w:rPr>
          <w:rFonts w:ascii="黑体" w:eastAsia="黑体" w:hAnsi="黑体" w:hint="eastAsia"/>
          <w:color w:val="000000" w:themeColor="text1"/>
        </w:rPr>
        <w:t>注</w:t>
      </w:r>
      <w:r>
        <w:rPr>
          <w:rFonts w:ascii="黑体" w:eastAsia="黑体" w:hAnsi="黑体" w:hint="eastAsia"/>
          <w:color w:val="000000" w:themeColor="text1"/>
        </w:rPr>
        <w:t>1</w:t>
      </w:r>
      <w:r>
        <w:rPr>
          <w:rFonts w:ascii="黑体" w:eastAsia="黑体" w:hAnsi="黑体" w:hint="eastAsia"/>
          <w:color w:val="000000" w:themeColor="text1"/>
        </w:rPr>
        <w:t>：</w:t>
      </w:r>
      <w:r>
        <w:rPr>
          <w:rFonts w:hint="eastAsia"/>
          <w:color w:val="000000" w:themeColor="text1"/>
        </w:rPr>
        <w:t>细胞治疗产品包括以细胞为</w:t>
      </w:r>
      <w:proofErr w:type="gramStart"/>
      <w:r>
        <w:rPr>
          <w:rFonts w:hint="eastAsia"/>
          <w:color w:val="000000" w:themeColor="text1"/>
        </w:rPr>
        <w:t>终产品</w:t>
      </w:r>
      <w:proofErr w:type="gramEnd"/>
      <w:r>
        <w:rPr>
          <w:rFonts w:hint="eastAsia"/>
          <w:color w:val="000000" w:themeColor="text1"/>
        </w:rPr>
        <w:t>的基因治疗产品。</w:t>
      </w:r>
    </w:p>
    <w:p w:rsidR="002606BB" w:rsidRDefault="00841612">
      <w:pPr>
        <w:pStyle w:val="af7"/>
        <w:numPr>
          <w:ilvl w:val="0"/>
          <w:numId w:val="0"/>
        </w:numPr>
        <w:ind w:left="363"/>
        <w:rPr>
          <w:color w:val="000000" w:themeColor="text1"/>
        </w:rPr>
      </w:pPr>
      <w:r>
        <w:rPr>
          <w:rFonts w:ascii="黑体" w:eastAsia="黑体" w:hAnsi="黑体" w:hint="eastAsia"/>
          <w:color w:val="000000" w:themeColor="text1"/>
        </w:rPr>
        <w:t>注</w:t>
      </w:r>
      <w:r>
        <w:rPr>
          <w:rFonts w:ascii="黑体" w:eastAsia="黑体" w:hAnsi="黑体"/>
          <w:color w:val="000000" w:themeColor="text1"/>
        </w:rPr>
        <w:t>2</w:t>
      </w:r>
      <w:r>
        <w:rPr>
          <w:rFonts w:ascii="黑体" w:eastAsia="黑体" w:hAnsi="黑体" w:hint="eastAsia"/>
          <w:color w:val="000000" w:themeColor="text1"/>
        </w:rPr>
        <w:t>：</w:t>
      </w:r>
      <w:r>
        <w:rPr>
          <w:rFonts w:hint="eastAsia"/>
          <w:color w:val="000000" w:themeColor="text1"/>
        </w:rPr>
        <w:t>细胞治疗产品不包括重组蛋白。</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生产用原材料　</w:t>
      </w:r>
      <w:r>
        <w:rPr>
          <w:rFonts w:ascii="黑体" w:eastAsia="黑体" w:cs="黑体" w:hint="eastAsia"/>
          <w:color w:val="000000" w:themeColor="text1"/>
          <w:sz w:val="21"/>
          <w:szCs w:val="21"/>
        </w:rPr>
        <w:t>ancillary</w:t>
      </w:r>
      <w:r>
        <w:rPr>
          <w:rFonts w:ascii="黑体" w:eastAsia="黑体" w:cs="黑体" w:hint="eastAsia"/>
          <w:color w:val="000000" w:themeColor="text1"/>
          <w:sz w:val="21"/>
          <w:szCs w:val="21"/>
        </w:rPr>
        <w:t xml:space="preserve">　</w:t>
      </w:r>
      <w:r>
        <w:rPr>
          <w:rFonts w:ascii="黑体" w:eastAsia="黑体" w:cs="黑体" w:hint="eastAsia"/>
          <w:color w:val="000000" w:themeColor="text1"/>
          <w:sz w:val="21"/>
          <w:szCs w:val="21"/>
        </w:rPr>
        <w:t>material for</w:t>
      </w:r>
      <w:r>
        <w:rPr>
          <w:rFonts w:ascii="黑体" w:eastAsia="黑体" w:cs="黑体" w:hint="eastAsia"/>
          <w:color w:val="000000" w:themeColor="text1"/>
          <w:sz w:val="21"/>
          <w:szCs w:val="21"/>
        </w:rPr>
        <w:t xml:space="preserve"> production</w:t>
      </w:r>
      <w:r>
        <w:rPr>
          <w:rFonts w:ascii="黑体" w:eastAsia="黑体" w:cs="黑体" w:hint="eastAsia"/>
          <w:color w:val="000000" w:themeColor="text1"/>
          <w:sz w:val="21"/>
          <w:szCs w:val="21"/>
        </w:rPr>
        <w:t>；</w:t>
      </w:r>
      <w:r>
        <w:rPr>
          <w:rFonts w:ascii="黑体" w:eastAsia="黑体" w:cs="黑体" w:hint="eastAsia"/>
          <w:color w:val="000000" w:themeColor="text1"/>
          <w:sz w:val="21"/>
          <w:szCs w:val="21"/>
        </w:rPr>
        <w:t xml:space="preserve">(AM) </w:t>
      </w:r>
      <w:r>
        <w:rPr>
          <w:rFonts w:ascii="黑体" w:eastAsia="黑体" w:cs="黑体" w:hint="eastAsia"/>
          <w:color w:val="000000" w:themeColor="text1"/>
          <w:sz w:val="21"/>
          <w:szCs w:val="21"/>
        </w:rPr>
        <w:t xml:space="preserve">　</w:t>
      </w:r>
    </w:p>
    <w:p w:rsidR="002606BB" w:rsidRDefault="00841612">
      <w:pPr>
        <w:keepNext/>
        <w:keepLines/>
        <w:widowControl/>
        <w:spacing w:line="320" w:lineRule="exact"/>
        <w:ind w:firstLineChars="200" w:firstLine="420"/>
        <w:rPr>
          <w:rFonts w:hint="default"/>
          <w:color w:val="000000" w:themeColor="text1"/>
        </w:rPr>
      </w:pPr>
      <w:r>
        <w:rPr>
          <w:color w:val="000000" w:themeColor="text1"/>
        </w:rPr>
        <w:t>在生产过程中与细胞治疗产品直接接触，但不期望在</w:t>
      </w:r>
      <w:proofErr w:type="gramStart"/>
      <w:r>
        <w:rPr>
          <w:color w:val="000000" w:themeColor="text1"/>
        </w:rPr>
        <w:t>终产品</w:t>
      </w:r>
      <w:proofErr w:type="gramEnd"/>
      <w:r>
        <w:rPr>
          <w:color w:val="000000" w:themeColor="text1"/>
        </w:rPr>
        <w:t>中存在的材料。</w:t>
      </w:r>
    </w:p>
    <w:p w:rsidR="002606BB" w:rsidRDefault="00841612">
      <w:pPr>
        <w:pStyle w:val="af7"/>
        <w:numPr>
          <w:ilvl w:val="0"/>
          <w:numId w:val="0"/>
        </w:numPr>
        <w:ind w:left="363"/>
        <w:rPr>
          <w:color w:val="000000" w:themeColor="text1"/>
        </w:rPr>
      </w:pPr>
      <w:r>
        <w:rPr>
          <w:rFonts w:ascii="黑体" w:eastAsia="黑体" w:hAnsi="黑体" w:hint="eastAsia"/>
          <w:color w:val="000000" w:themeColor="text1"/>
        </w:rPr>
        <w:t>注</w:t>
      </w:r>
      <w:r>
        <w:rPr>
          <w:rFonts w:ascii="黑体" w:eastAsia="黑体" w:hAnsi="黑体" w:hint="eastAsia"/>
          <w:color w:val="000000" w:themeColor="text1"/>
        </w:rPr>
        <w:t>1</w:t>
      </w:r>
      <w:r>
        <w:rPr>
          <w:rFonts w:ascii="黑体" w:eastAsia="黑体" w:hAnsi="黑体" w:hint="eastAsia"/>
          <w:color w:val="000000" w:themeColor="text1"/>
        </w:rPr>
        <w:t>：</w:t>
      </w:r>
      <w:r>
        <w:rPr>
          <w:rFonts w:hint="eastAsia"/>
          <w:color w:val="000000" w:themeColor="text1"/>
        </w:rPr>
        <w:t>本文件中生产用原材料不包括与细胞或组织接触的非生物学性质的耗材（如组织培养瓶、袋、管、移液管、针）和其他塑料制品，但包括含有生物源性成分的耗材（如已包被细胞因子的培养皿等）。</w:t>
      </w:r>
    </w:p>
    <w:p w:rsidR="002606BB" w:rsidRDefault="00841612">
      <w:pPr>
        <w:pStyle w:val="af7"/>
        <w:numPr>
          <w:ilvl w:val="0"/>
          <w:numId w:val="0"/>
        </w:numPr>
        <w:ind w:firstLineChars="200" w:firstLine="360"/>
        <w:rPr>
          <w:color w:val="000000" w:themeColor="text1"/>
        </w:rPr>
      </w:pPr>
      <w:r>
        <w:rPr>
          <w:rFonts w:ascii="黑体" w:eastAsia="黑体" w:hAnsi="黑体" w:hint="eastAsia"/>
          <w:color w:val="000000" w:themeColor="text1"/>
        </w:rPr>
        <w:t>注</w:t>
      </w:r>
      <w:r>
        <w:rPr>
          <w:rFonts w:ascii="黑体" w:eastAsia="黑体" w:hAnsi="黑体"/>
          <w:color w:val="000000" w:themeColor="text1"/>
        </w:rPr>
        <w:t>2</w:t>
      </w:r>
      <w:r>
        <w:rPr>
          <w:rFonts w:ascii="黑体" w:eastAsia="黑体" w:hAnsi="黑体" w:hint="eastAsia"/>
          <w:color w:val="000000" w:themeColor="text1"/>
        </w:rPr>
        <w:t>：</w:t>
      </w:r>
      <w:r>
        <w:rPr>
          <w:rFonts w:hint="eastAsia"/>
          <w:color w:val="000000" w:themeColor="text1"/>
        </w:rPr>
        <w:t>在某些文献中生产用原材料也称为生产用辅助材料。</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细胞起始材料　</w:t>
      </w:r>
      <w:r>
        <w:rPr>
          <w:rFonts w:ascii="黑体" w:eastAsia="黑体" w:cs="黑体" w:hint="eastAsia"/>
          <w:color w:val="000000" w:themeColor="text1"/>
          <w:sz w:val="21"/>
          <w:szCs w:val="21"/>
        </w:rPr>
        <w:t>cellular starting</w:t>
      </w:r>
      <w:r>
        <w:rPr>
          <w:rFonts w:ascii="黑体" w:eastAsia="黑体" w:cs="黑体" w:hint="eastAsia"/>
          <w:color w:val="000000" w:themeColor="text1"/>
          <w:sz w:val="21"/>
          <w:szCs w:val="21"/>
        </w:rPr>
        <w:t xml:space="preserve">　</w:t>
      </w:r>
      <w:r>
        <w:rPr>
          <w:rFonts w:ascii="黑体" w:eastAsia="黑体" w:cs="黑体" w:hint="eastAsia"/>
          <w:color w:val="000000" w:themeColor="text1"/>
          <w:sz w:val="21"/>
          <w:szCs w:val="21"/>
        </w:rPr>
        <w:t>material</w:t>
      </w:r>
      <w:r>
        <w:rPr>
          <w:rFonts w:ascii="黑体" w:eastAsia="黑体" w:cs="黑体" w:hint="eastAsia"/>
          <w:color w:val="000000" w:themeColor="text1"/>
          <w:sz w:val="21"/>
          <w:szCs w:val="21"/>
        </w:rPr>
        <w:t xml:space="preserve">　</w:t>
      </w:r>
    </w:p>
    <w:p w:rsidR="002606BB" w:rsidRDefault="00841612">
      <w:pPr>
        <w:keepNext/>
        <w:keepLines/>
        <w:widowControl/>
        <w:ind w:firstLineChars="200" w:firstLine="420"/>
        <w:rPr>
          <w:rFonts w:hint="default"/>
          <w:color w:val="000000" w:themeColor="text1"/>
        </w:rPr>
      </w:pPr>
      <w:r>
        <w:rPr>
          <w:color w:val="000000" w:themeColor="text1"/>
        </w:rPr>
        <w:t>部分或全部纳入细胞治疗产品活性物质的细胞来源的所有物质。</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辅料　</w:t>
      </w:r>
      <w:r>
        <w:rPr>
          <w:rFonts w:ascii="黑体" w:eastAsia="黑体" w:cs="黑体" w:hint="eastAsia"/>
          <w:color w:val="000000" w:themeColor="text1"/>
          <w:sz w:val="21"/>
          <w:szCs w:val="21"/>
        </w:rPr>
        <w:t>excipient</w:t>
      </w:r>
    </w:p>
    <w:p w:rsidR="002606BB" w:rsidRDefault="00841612">
      <w:pPr>
        <w:keepNext/>
        <w:keepLines/>
        <w:widowControl/>
        <w:ind w:firstLineChars="200" w:firstLine="420"/>
        <w:rPr>
          <w:rFonts w:hint="default"/>
          <w:color w:val="000000" w:themeColor="text1"/>
        </w:rPr>
      </w:pPr>
      <w:r>
        <w:rPr>
          <w:color w:val="000000" w:themeColor="text1"/>
        </w:rPr>
        <w:t>细胞治疗产品配方中所使用的辅助材料。</w:t>
      </w:r>
    </w:p>
    <w:p w:rsidR="002606BB" w:rsidRDefault="00841612">
      <w:pPr>
        <w:pStyle w:val="affff1"/>
        <w:numPr>
          <w:ilvl w:val="255"/>
          <w:numId w:val="0"/>
        </w:numPr>
        <w:ind w:left="363"/>
        <w:rPr>
          <w:color w:val="000000" w:themeColor="text1"/>
        </w:rPr>
      </w:pPr>
      <w:r>
        <w:rPr>
          <w:rFonts w:ascii="黑体" w:eastAsia="黑体" w:hAnsi="黑体" w:hint="eastAsia"/>
          <w:color w:val="000000" w:themeColor="text1"/>
        </w:rPr>
        <w:t>举例：</w:t>
      </w:r>
      <w:r>
        <w:rPr>
          <w:rFonts w:hint="eastAsia"/>
          <w:color w:val="000000" w:themeColor="text1"/>
        </w:rPr>
        <w:t>稳定剂、缓冲液、细胞冻存液。</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生产用原材料使用者　</w:t>
      </w:r>
      <w:r>
        <w:rPr>
          <w:rFonts w:ascii="黑体" w:eastAsia="黑体" w:cs="黑体" w:hint="eastAsia"/>
          <w:color w:val="000000" w:themeColor="text1"/>
          <w:sz w:val="21"/>
          <w:szCs w:val="21"/>
        </w:rPr>
        <w:t>AM user</w:t>
      </w:r>
      <w:r>
        <w:rPr>
          <w:rFonts w:ascii="黑体" w:eastAsia="黑体" w:cs="黑体" w:hint="eastAsia"/>
          <w:color w:val="000000" w:themeColor="text1"/>
          <w:sz w:val="21"/>
          <w:szCs w:val="21"/>
        </w:rPr>
        <w:t xml:space="preserve">　</w:t>
      </w:r>
    </w:p>
    <w:p w:rsidR="002606BB" w:rsidRDefault="00841612">
      <w:pPr>
        <w:keepNext/>
        <w:keepLines/>
        <w:widowControl/>
        <w:spacing w:line="320" w:lineRule="exact"/>
        <w:ind w:firstLineChars="200" w:firstLine="420"/>
        <w:rPr>
          <w:rFonts w:hint="default"/>
          <w:color w:val="000000" w:themeColor="text1"/>
        </w:rPr>
      </w:pPr>
      <w:r>
        <w:rPr>
          <w:color w:val="000000" w:themeColor="text1"/>
        </w:rPr>
        <w:t>在细胞治疗产品生产过程中使用生产用原材料（</w:t>
      </w:r>
      <w:r>
        <w:rPr>
          <w:color w:val="000000" w:themeColor="text1"/>
        </w:rPr>
        <w:t>3.2</w:t>
      </w:r>
      <w:r>
        <w:rPr>
          <w:color w:val="000000" w:themeColor="text1"/>
        </w:rPr>
        <w:t>）的实体。</w:t>
      </w:r>
    </w:p>
    <w:p w:rsidR="002606BB" w:rsidRDefault="00841612">
      <w:pPr>
        <w:pStyle w:val="af7"/>
        <w:rPr>
          <w:color w:val="000000" w:themeColor="text1"/>
        </w:rPr>
      </w:pPr>
      <w:r>
        <w:rPr>
          <w:rFonts w:hint="eastAsia"/>
          <w:color w:val="000000" w:themeColor="text1"/>
        </w:rPr>
        <w:t>当某个细胞治疗产品的生产机构同时也生产相关的生产用原材料时，机构内生产用原材料的使用部门被视为生产用原材料使用者。</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生产用原材料供应者</w:t>
      </w:r>
      <w:r>
        <w:rPr>
          <w:rFonts w:ascii="黑体" w:eastAsia="黑体" w:cs="黑体" w:hint="eastAsia"/>
          <w:color w:val="000000" w:themeColor="text1"/>
          <w:sz w:val="21"/>
          <w:szCs w:val="21"/>
        </w:rPr>
        <w:t xml:space="preserve"> AM supplier</w:t>
      </w:r>
      <w:r>
        <w:rPr>
          <w:rFonts w:ascii="黑体" w:eastAsia="黑体" w:cs="黑体" w:hint="eastAsia"/>
          <w:color w:val="000000" w:themeColor="text1"/>
          <w:sz w:val="21"/>
          <w:szCs w:val="21"/>
        </w:rPr>
        <w:t xml:space="preserve">　</w:t>
      </w:r>
    </w:p>
    <w:p w:rsidR="002606BB" w:rsidRDefault="00841612">
      <w:pPr>
        <w:keepNext/>
        <w:keepLines/>
        <w:widowControl/>
        <w:spacing w:line="320" w:lineRule="exact"/>
        <w:ind w:firstLineChars="200" w:firstLine="420"/>
        <w:rPr>
          <w:rFonts w:hint="default"/>
          <w:color w:val="000000" w:themeColor="text1"/>
        </w:rPr>
      </w:pPr>
      <w:r>
        <w:rPr>
          <w:color w:val="000000" w:themeColor="text1"/>
        </w:rPr>
        <w:t>为生产用原材料使用者（</w:t>
      </w:r>
      <w:r>
        <w:rPr>
          <w:color w:val="000000" w:themeColor="text1"/>
        </w:rPr>
        <w:t>3.5</w:t>
      </w:r>
      <w:r>
        <w:rPr>
          <w:color w:val="000000" w:themeColor="text1"/>
        </w:rPr>
        <w:t>）制造和</w:t>
      </w:r>
      <w:r>
        <w:rPr>
          <w:color w:val="000000" w:themeColor="text1"/>
        </w:rPr>
        <w:t>/</w:t>
      </w:r>
      <w:r>
        <w:rPr>
          <w:color w:val="000000" w:themeColor="text1"/>
        </w:rPr>
        <w:t>或供应生产用原材料（</w:t>
      </w:r>
      <w:r>
        <w:rPr>
          <w:color w:val="000000" w:themeColor="text1"/>
        </w:rPr>
        <w:t>3.2</w:t>
      </w:r>
      <w:r>
        <w:rPr>
          <w:color w:val="000000" w:themeColor="text1"/>
        </w:rPr>
        <w:t>）的实体。</w:t>
      </w:r>
    </w:p>
    <w:p w:rsidR="002606BB" w:rsidRDefault="00841612">
      <w:pPr>
        <w:pStyle w:val="af7"/>
        <w:rPr>
          <w:color w:val="000000" w:themeColor="text1"/>
        </w:rPr>
      </w:pPr>
      <w:r>
        <w:rPr>
          <w:rFonts w:hint="eastAsia"/>
          <w:color w:val="000000" w:themeColor="text1"/>
        </w:rPr>
        <w:t>当某个细胞治疗产品的生产机构同时也生产相关的生产用原材料时，机构内生产用原材料的生产部门被视为生产用原材料供应者。</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cs="黑体"/>
          <w:color w:val="000000" w:themeColor="text1"/>
          <w:sz w:val="21"/>
          <w:szCs w:val="21"/>
        </w:rPr>
      </w:pPr>
      <w:r>
        <w:rPr>
          <w:rFonts w:ascii="黑体" w:eastAsia="黑体" w:cs="黑体" w:hint="eastAsia"/>
          <w:color w:val="000000" w:themeColor="text1"/>
          <w:sz w:val="21"/>
          <w:szCs w:val="21"/>
        </w:rPr>
        <w:t xml:space="preserve">化学限定成分　</w:t>
      </w:r>
      <w:r>
        <w:rPr>
          <w:rFonts w:ascii="黑体" w:eastAsia="黑体" w:cs="黑体" w:hint="eastAsia"/>
          <w:color w:val="000000" w:themeColor="text1"/>
          <w:sz w:val="21"/>
          <w:szCs w:val="21"/>
        </w:rPr>
        <w:t>chemically defined component</w:t>
      </w:r>
    </w:p>
    <w:p w:rsidR="002606BB" w:rsidRDefault="00841612">
      <w:pPr>
        <w:keepNext/>
        <w:keepLines/>
        <w:widowControl/>
        <w:spacing w:line="320" w:lineRule="exact"/>
        <w:ind w:firstLineChars="200" w:firstLine="420"/>
        <w:rPr>
          <w:rFonts w:hint="default"/>
          <w:color w:val="000000" w:themeColor="text1"/>
        </w:rPr>
      </w:pPr>
      <w:r>
        <w:rPr>
          <w:color w:val="000000" w:themeColor="text1"/>
        </w:rPr>
        <w:t>在分子水平上已识别或已明确化学结构的物质。</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无动物源性成分　</w:t>
      </w:r>
      <w:r>
        <w:rPr>
          <w:rFonts w:ascii="黑体" w:eastAsia="黑体" w:cs="黑体" w:hint="eastAsia"/>
          <w:color w:val="000000" w:themeColor="text1"/>
          <w:sz w:val="21"/>
          <w:szCs w:val="21"/>
        </w:rPr>
        <w:t>animal-derived component free</w:t>
      </w:r>
      <w:r>
        <w:rPr>
          <w:rFonts w:ascii="黑体" w:eastAsia="黑体" w:cs="黑体" w:hint="eastAsia"/>
          <w:color w:val="000000" w:themeColor="text1"/>
          <w:sz w:val="21"/>
          <w:szCs w:val="21"/>
        </w:rPr>
        <w:t>；</w:t>
      </w:r>
      <w:r>
        <w:rPr>
          <w:rFonts w:ascii="黑体" w:eastAsia="黑体" w:cs="黑体" w:hint="eastAsia"/>
          <w:color w:val="000000" w:themeColor="text1"/>
          <w:sz w:val="21"/>
          <w:szCs w:val="21"/>
        </w:rPr>
        <w:t>ADCF</w:t>
      </w:r>
      <w:r>
        <w:rPr>
          <w:rFonts w:ascii="黑体" w:eastAsia="黑体" w:cs="黑体" w:hint="eastAsia"/>
          <w:color w:val="000000" w:themeColor="text1"/>
          <w:sz w:val="21"/>
          <w:szCs w:val="21"/>
        </w:rPr>
        <w:t xml:space="preserve">　</w:t>
      </w:r>
    </w:p>
    <w:p w:rsidR="002606BB" w:rsidRDefault="00841612">
      <w:pPr>
        <w:keepNext/>
        <w:keepLines/>
        <w:widowControl/>
        <w:spacing w:line="320" w:lineRule="exact"/>
        <w:ind w:firstLineChars="200" w:firstLine="420"/>
        <w:rPr>
          <w:rFonts w:hint="default"/>
          <w:color w:val="000000" w:themeColor="text1"/>
        </w:rPr>
      </w:pPr>
      <w:r>
        <w:rPr>
          <w:color w:val="000000" w:themeColor="text1"/>
        </w:rPr>
        <w:t>不存在动物源性成分。</w:t>
      </w:r>
    </w:p>
    <w:p w:rsidR="002606BB" w:rsidRDefault="00841612">
      <w:pPr>
        <w:pStyle w:val="a"/>
        <w:rPr>
          <w:color w:val="000000" w:themeColor="text1"/>
        </w:rPr>
      </w:pPr>
      <w:r>
        <w:rPr>
          <w:rFonts w:hint="eastAsia"/>
          <w:color w:val="000000" w:themeColor="text1"/>
        </w:rPr>
        <w:t>定义</w:t>
      </w:r>
      <w:r>
        <w:rPr>
          <w:rFonts w:hint="eastAsia"/>
          <w:color w:val="000000" w:themeColor="text1"/>
        </w:rPr>
        <w:t>ADCF</w:t>
      </w:r>
      <w:r>
        <w:rPr>
          <w:rFonts w:hint="eastAsia"/>
          <w:color w:val="000000" w:themeColor="text1"/>
        </w:rPr>
        <w:t>类型的主要目的是为使用者开展生产用原材料的风险评估提供必要的信息。</w:t>
      </w:r>
    </w:p>
    <w:p w:rsidR="002606BB" w:rsidRDefault="00841612">
      <w:pPr>
        <w:pStyle w:val="a"/>
        <w:rPr>
          <w:color w:val="000000" w:themeColor="text1"/>
        </w:rPr>
      </w:pPr>
      <w:r>
        <w:rPr>
          <w:rFonts w:hint="eastAsia"/>
          <w:color w:val="000000" w:themeColor="text1"/>
        </w:rPr>
        <w:t>在某些情况下，无动物源性成分（</w:t>
      </w:r>
      <w:r>
        <w:rPr>
          <w:rFonts w:hint="eastAsia"/>
          <w:color w:val="000000" w:themeColor="text1"/>
        </w:rPr>
        <w:t>ADCF</w:t>
      </w:r>
      <w:r>
        <w:rPr>
          <w:rFonts w:hint="eastAsia"/>
          <w:color w:val="000000" w:themeColor="text1"/>
        </w:rPr>
        <w:t>）被称为</w:t>
      </w:r>
      <w:proofErr w:type="gramStart"/>
      <w:r>
        <w:rPr>
          <w:rFonts w:hint="eastAsia"/>
          <w:color w:val="000000" w:themeColor="text1"/>
        </w:rPr>
        <w:t>非动物</w:t>
      </w:r>
      <w:proofErr w:type="gramEnd"/>
      <w:r>
        <w:rPr>
          <w:rFonts w:hint="eastAsia"/>
          <w:color w:val="000000" w:themeColor="text1"/>
        </w:rPr>
        <w:t>来源</w:t>
      </w:r>
      <w:r>
        <w:rPr>
          <w:rFonts w:hint="eastAsia"/>
          <w:color w:val="000000" w:themeColor="text1"/>
        </w:rPr>
        <w:t xml:space="preserve">(animal origin </w:t>
      </w:r>
      <w:r>
        <w:rPr>
          <w:rFonts w:hint="eastAsia"/>
          <w:color w:val="000000" w:themeColor="text1"/>
        </w:rPr>
        <w:t>free)</w:t>
      </w:r>
      <w:r>
        <w:rPr>
          <w:rFonts w:hint="eastAsia"/>
          <w:color w:val="000000" w:themeColor="text1"/>
        </w:rPr>
        <w:t>。</w:t>
      </w:r>
    </w:p>
    <w:p w:rsidR="002606BB" w:rsidRDefault="00841612">
      <w:pPr>
        <w:pStyle w:val="a"/>
        <w:rPr>
          <w:color w:val="000000" w:themeColor="text1"/>
        </w:rPr>
      </w:pPr>
      <w:r>
        <w:rPr>
          <w:rFonts w:hint="eastAsia"/>
          <w:color w:val="000000" w:themeColor="text1"/>
        </w:rPr>
        <w:t>不含除人源性以外的动物源性成分被称为无异源性成分（</w:t>
      </w:r>
      <w:proofErr w:type="spellStart"/>
      <w:r>
        <w:rPr>
          <w:rFonts w:hint="eastAsia"/>
          <w:color w:val="000000" w:themeColor="text1"/>
        </w:rPr>
        <w:t>xeno</w:t>
      </w:r>
      <w:proofErr w:type="spellEnd"/>
      <w:r>
        <w:rPr>
          <w:rFonts w:hint="eastAsia"/>
          <w:color w:val="000000" w:themeColor="text1"/>
        </w:rPr>
        <w:t>-free</w:t>
      </w:r>
      <w:r>
        <w:rPr>
          <w:rFonts w:hint="eastAsia"/>
          <w:color w:val="000000" w:themeColor="text1"/>
        </w:rPr>
        <w:t>）。</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生产用原材料的杂质　</w:t>
      </w:r>
      <w:r>
        <w:rPr>
          <w:rFonts w:ascii="黑体" w:eastAsia="黑体" w:cs="黑体" w:hint="eastAsia"/>
          <w:color w:val="000000" w:themeColor="text1"/>
          <w:sz w:val="21"/>
          <w:szCs w:val="21"/>
        </w:rPr>
        <w:t>AM</w:t>
      </w:r>
      <w:r>
        <w:rPr>
          <w:rFonts w:ascii="黑体" w:eastAsia="黑体" w:cs="黑体"/>
          <w:color w:val="000000" w:themeColor="text1"/>
          <w:sz w:val="21"/>
          <w:szCs w:val="21"/>
        </w:rPr>
        <w:t xml:space="preserve"> </w:t>
      </w:r>
      <w:proofErr w:type="spellStart"/>
      <w:r>
        <w:rPr>
          <w:rFonts w:ascii="黑体" w:eastAsia="黑体" w:cs="黑体" w:hint="eastAsia"/>
          <w:color w:val="000000" w:themeColor="text1"/>
          <w:sz w:val="21"/>
          <w:szCs w:val="21"/>
        </w:rPr>
        <w:t>mpurity</w:t>
      </w:r>
      <w:proofErr w:type="spellEnd"/>
      <w:r>
        <w:rPr>
          <w:rFonts w:ascii="黑体" w:eastAsia="黑体" w:cs="黑体" w:hint="eastAsia"/>
          <w:color w:val="000000" w:themeColor="text1"/>
          <w:sz w:val="21"/>
          <w:szCs w:val="21"/>
        </w:rPr>
        <w:t xml:space="preserve">　</w:t>
      </w:r>
    </w:p>
    <w:p w:rsidR="002606BB" w:rsidRDefault="00841612">
      <w:pPr>
        <w:keepNext/>
        <w:keepLines/>
        <w:widowControl/>
        <w:ind w:firstLineChars="200" w:firstLine="420"/>
        <w:rPr>
          <w:rFonts w:hint="default"/>
          <w:color w:val="000000" w:themeColor="text1"/>
        </w:rPr>
      </w:pPr>
      <w:r>
        <w:rPr>
          <w:color w:val="000000" w:themeColor="text1"/>
        </w:rPr>
        <w:t>生产用原材料中的非目标成分。</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储存期限</w:t>
      </w:r>
      <w:r>
        <w:rPr>
          <w:rFonts w:ascii="黑体" w:eastAsia="黑体" w:cs="黑体" w:hint="eastAsia"/>
          <w:color w:val="000000" w:themeColor="text1"/>
          <w:sz w:val="21"/>
          <w:szCs w:val="21"/>
        </w:rPr>
        <w:t xml:space="preserve"> shelf life</w:t>
      </w:r>
    </w:p>
    <w:p w:rsidR="002606BB" w:rsidRDefault="00841612">
      <w:pPr>
        <w:keepNext/>
        <w:keepLines/>
        <w:widowControl/>
        <w:ind w:firstLineChars="200" w:firstLine="420"/>
        <w:rPr>
          <w:rFonts w:hint="default"/>
          <w:color w:val="000000" w:themeColor="text1"/>
        </w:rPr>
      </w:pPr>
      <w:r>
        <w:rPr>
          <w:color w:val="000000" w:themeColor="text1"/>
        </w:rPr>
        <w:t>在规定条件下储存时，预期生产用原材料能符合说明书规定的保存时间。</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稳定性</w:t>
      </w:r>
      <w:r>
        <w:rPr>
          <w:rFonts w:ascii="黑体" w:eastAsia="黑体" w:cs="黑体" w:hint="eastAsia"/>
          <w:color w:val="000000" w:themeColor="text1"/>
          <w:sz w:val="21"/>
          <w:szCs w:val="21"/>
        </w:rPr>
        <w:t xml:space="preserve"> stability</w:t>
      </w:r>
    </w:p>
    <w:p w:rsidR="002606BB" w:rsidRDefault="00841612">
      <w:pPr>
        <w:keepNext/>
        <w:keepLines/>
        <w:widowControl/>
        <w:ind w:firstLineChars="200" w:firstLine="420"/>
        <w:rPr>
          <w:rFonts w:hint="default"/>
          <w:color w:val="000000" w:themeColor="text1"/>
        </w:rPr>
      </w:pPr>
      <w:r>
        <w:rPr>
          <w:color w:val="000000" w:themeColor="text1"/>
        </w:rPr>
        <w:t>在规定的保存条件下存放规定的时间段时，生产用原材料的特性指标保持在规定范围内的性能。</w:t>
      </w:r>
    </w:p>
    <w:p w:rsidR="002606BB" w:rsidRDefault="002606BB" w:rsidP="00763FAE">
      <w:pPr>
        <w:pStyle w:val="a1"/>
        <w:spacing w:before="156" w:after="156"/>
        <w:rPr>
          <w:color w:val="000000" w:themeColor="text1"/>
        </w:rPr>
      </w:pPr>
    </w:p>
    <w:p w:rsidR="002606BB" w:rsidRDefault="00841612">
      <w:pPr>
        <w:pStyle w:val="Default"/>
        <w:spacing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监管链　</w:t>
      </w:r>
      <w:r>
        <w:rPr>
          <w:rFonts w:ascii="黑体" w:eastAsia="黑体" w:cs="黑体" w:hint="eastAsia"/>
          <w:color w:val="000000" w:themeColor="text1"/>
          <w:sz w:val="21"/>
          <w:szCs w:val="21"/>
        </w:rPr>
        <w:t>chain of custody</w:t>
      </w:r>
    </w:p>
    <w:p w:rsidR="002606BB" w:rsidRDefault="00841612">
      <w:pPr>
        <w:pStyle w:val="aff9"/>
        <w:spacing w:before="10"/>
        <w:ind w:left="328"/>
        <w:rPr>
          <w:rFonts w:hint="default"/>
          <w:color w:val="000000" w:themeColor="text1"/>
          <w:w w:val="105"/>
          <w:lang w:eastAsia="zh-CN"/>
        </w:rPr>
      </w:pPr>
      <w:r>
        <w:rPr>
          <w:rFonts w:eastAsia="宋体"/>
          <w:color w:val="000000" w:themeColor="text1"/>
          <w:w w:val="105"/>
          <w:lang w:eastAsia="zh-CN"/>
        </w:rPr>
        <w:t>当生产用原材料在每个工艺环节间传递时对其的监管</w:t>
      </w:r>
      <w:r>
        <w:rPr>
          <w:color w:val="000000" w:themeColor="text1"/>
          <w:w w:val="105"/>
          <w:lang w:eastAsia="zh-CN"/>
        </w:rPr>
        <w:t>或控制</w:t>
      </w:r>
    </w:p>
    <w:p w:rsidR="002606BB" w:rsidRDefault="00841612">
      <w:pPr>
        <w:pStyle w:val="af7"/>
        <w:rPr>
          <w:color w:val="000000" w:themeColor="text1"/>
        </w:rPr>
      </w:pPr>
      <w:r>
        <w:rPr>
          <w:rFonts w:hint="eastAsia"/>
          <w:color w:val="000000" w:themeColor="text1"/>
        </w:rPr>
        <w:t>本文件中的“监管链”是生产用原材料从生产到最终客户的完整路径。它涵盖了生产用原材料的控制、分销和送到使用者的物流。</w:t>
      </w:r>
    </w:p>
    <w:p w:rsidR="002606BB" w:rsidRDefault="002606BB" w:rsidP="00763FAE">
      <w:pPr>
        <w:pStyle w:val="a1"/>
        <w:spacing w:before="156" w:after="156"/>
        <w:rPr>
          <w:color w:val="000000" w:themeColor="text1"/>
        </w:rPr>
      </w:pPr>
    </w:p>
    <w:p w:rsidR="002606BB" w:rsidRDefault="00841612">
      <w:pPr>
        <w:pStyle w:val="afff"/>
        <w:ind w:firstLine="420"/>
        <w:rPr>
          <w:rFonts w:ascii="黑体" w:eastAsia="黑体" w:hAnsi="Cambria" w:cs="黑体"/>
          <w:color w:val="000000" w:themeColor="text1"/>
          <w:szCs w:val="21"/>
        </w:rPr>
      </w:pPr>
      <w:r>
        <w:rPr>
          <w:rFonts w:ascii="黑体" w:eastAsia="黑体" w:hAnsi="Cambria" w:cs="黑体" w:hint="eastAsia"/>
          <w:color w:val="000000" w:themeColor="text1"/>
          <w:szCs w:val="21"/>
        </w:rPr>
        <w:t>产品标准</w:t>
      </w:r>
      <w:r>
        <w:rPr>
          <w:rFonts w:ascii="黑体" w:eastAsia="黑体" w:cs="黑体" w:hint="eastAsia"/>
          <w:color w:val="000000" w:themeColor="text1"/>
          <w:szCs w:val="21"/>
        </w:rPr>
        <w:t xml:space="preserve"> </w:t>
      </w:r>
      <w:r>
        <w:rPr>
          <w:rFonts w:ascii="黑体" w:eastAsia="黑体" w:hAnsi="Cambria" w:cs="黑体" w:hint="eastAsia"/>
          <w:color w:val="000000" w:themeColor="text1"/>
          <w:szCs w:val="21"/>
        </w:rPr>
        <w:t>specification</w:t>
      </w:r>
    </w:p>
    <w:p w:rsidR="002606BB" w:rsidRDefault="00841612">
      <w:pPr>
        <w:pStyle w:val="afff"/>
        <w:ind w:firstLine="420"/>
        <w:rPr>
          <w:color w:val="000000" w:themeColor="text1"/>
        </w:rPr>
      </w:pPr>
      <w:r>
        <w:rPr>
          <w:rFonts w:hint="eastAsia"/>
          <w:color w:val="000000" w:themeColor="text1"/>
        </w:rPr>
        <w:t>包括检测清单、分析方法参比物、以及符合预期用途的可接受标准。</w:t>
      </w:r>
    </w:p>
    <w:p w:rsidR="002606BB" w:rsidRDefault="002606BB" w:rsidP="00763FAE">
      <w:pPr>
        <w:pStyle w:val="a1"/>
        <w:spacing w:before="156" w:after="156"/>
        <w:rPr>
          <w:color w:val="000000" w:themeColor="text1"/>
        </w:rPr>
      </w:pPr>
    </w:p>
    <w:p w:rsidR="002606BB" w:rsidRDefault="00841612">
      <w:pPr>
        <w:pStyle w:val="afff"/>
        <w:ind w:firstLine="420"/>
        <w:rPr>
          <w:rFonts w:ascii="黑体" w:eastAsia="黑体" w:hAnsi="Cambria" w:cs="黑体"/>
          <w:color w:val="000000" w:themeColor="text1"/>
          <w:szCs w:val="21"/>
        </w:rPr>
      </w:pPr>
      <w:r>
        <w:rPr>
          <w:rFonts w:ascii="黑体" w:eastAsia="黑体" w:hAnsi="Cambria" w:cs="黑体" w:hint="eastAsia"/>
          <w:color w:val="000000" w:themeColor="text1"/>
          <w:szCs w:val="21"/>
        </w:rPr>
        <w:t>可追溯性</w:t>
      </w:r>
      <w:r>
        <w:rPr>
          <w:rFonts w:ascii="黑体" w:eastAsia="黑体" w:cs="黑体" w:hint="eastAsia"/>
          <w:color w:val="000000" w:themeColor="text1"/>
          <w:szCs w:val="21"/>
        </w:rPr>
        <w:t xml:space="preserve"> </w:t>
      </w:r>
      <w:r>
        <w:rPr>
          <w:rFonts w:ascii="黑体" w:eastAsia="黑体" w:hAnsi="Cambria" w:cs="黑体" w:hint="eastAsia"/>
          <w:color w:val="000000" w:themeColor="text1"/>
          <w:szCs w:val="21"/>
        </w:rPr>
        <w:t>traceability</w:t>
      </w:r>
    </w:p>
    <w:p w:rsidR="002606BB" w:rsidRDefault="00841612">
      <w:pPr>
        <w:pStyle w:val="afff"/>
        <w:ind w:firstLine="420"/>
        <w:rPr>
          <w:color w:val="000000" w:themeColor="text1"/>
        </w:rPr>
      </w:pPr>
      <w:r>
        <w:rPr>
          <w:rFonts w:hint="eastAsia"/>
          <w:color w:val="000000" w:themeColor="text1"/>
        </w:rPr>
        <w:t>能够追溯对象的历史、应用和位置的能力。</w:t>
      </w:r>
    </w:p>
    <w:p w:rsidR="002606BB" w:rsidRDefault="00841612">
      <w:pPr>
        <w:pStyle w:val="af7"/>
        <w:rPr>
          <w:color w:val="000000" w:themeColor="text1"/>
        </w:rPr>
      </w:pPr>
      <w:r>
        <w:rPr>
          <w:color w:val="000000" w:themeColor="text1"/>
        </w:rPr>
        <w:t>当</w:t>
      </w:r>
      <w:r>
        <w:rPr>
          <w:rFonts w:hint="eastAsia"/>
          <w:color w:val="000000" w:themeColor="text1"/>
        </w:rPr>
        <w:t>以</w:t>
      </w:r>
      <w:r>
        <w:rPr>
          <w:color w:val="000000" w:themeColor="text1"/>
        </w:rPr>
        <w:t>产品或服务</w:t>
      </w:r>
      <w:r>
        <w:rPr>
          <w:rFonts w:hint="eastAsia"/>
          <w:color w:val="000000" w:themeColor="text1"/>
        </w:rPr>
        <w:t>为追溯对象</w:t>
      </w:r>
      <w:r>
        <w:rPr>
          <w:color w:val="000000" w:themeColor="text1"/>
        </w:rPr>
        <w:t>时，可追溯性可涉及：</w:t>
      </w:r>
      <w:r>
        <w:rPr>
          <w:rFonts w:hint="eastAsia"/>
          <w:color w:val="000000" w:themeColor="text1"/>
        </w:rPr>
        <w:t>其</w:t>
      </w:r>
      <w:r>
        <w:rPr>
          <w:color w:val="000000" w:themeColor="text1"/>
        </w:rPr>
        <w:t>材料和零件的来源；</w:t>
      </w:r>
      <w:r>
        <w:rPr>
          <w:rFonts w:hint="eastAsia"/>
          <w:color w:val="000000" w:themeColor="text1"/>
        </w:rPr>
        <w:t>其加工的</w:t>
      </w:r>
      <w:r>
        <w:rPr>
          <w:color w:val="000000" w:themeColor="text1"/>
        </w:rPr>
        <w:t>历史记录；</w:t>
      </w:r>
      <w:r>
        <w:rPr>
          <w:rFonts w:hint="eastAsia"/>
          <w:color w:val="000000" w:themeColor="text1"/>
        </w:rPr>
        <w:t>其在</w:t>
      </w:r>
      <w:r>
        <w:rPr>
          <w:color w:val="000000" w:themeColor="text1"/>
        </w:rPr>
        <w:t>交付后的分布和位置。</w:t>
      </w:r>
    </w:p>
    <w:p w:rsidR="002606BB" w:rsidRDefault="00841612" w:rsidP="00763FAE">
      <w:pPr>
        <w:pStyle w:val="a0"/>
        <w:spacing w:before="312" w:after="312"/>
        <w:rPr>
          <w:color w:val="000000" w:themeColor="text1"/>
        </w:rPr>
      </w:pPr>
      <w:bookmarkStart w:id="72" w:name="_Toc29612"/>
      <w:bookmarkStart w:id="73" w:name="_Toc32423"/>
      <w:bookmarkStart w:id="74" w:name="_Toc13478"/>
      <w:bookmarkStart w:id="75" w:name="_Toc7239"/>
      <w:bookmarkStart w:id="76" w:name="_Toc30351"/>
      <w:bookmarkStart w:id="77" w:name="_Toc13063"/>
      <w:bookmarkStart w:id="78" w:name="_Toc11794"/>
      <w:bookmarkStart w:id="79" w:name="_Toc20709"/>
      <w:bookmarkStart w:id="80" w:name="_Toc9034"/>
      <w:bookmarkStart w:id="81" w:name="_Toc2393"/>
      <w:bookmarkStart w:id="82" w:name="_Toc2197"/>
      <w:bookmarkStart w:id="83" w:name="_Toc4465"/>
      <w:r>
        <w:rPr>
          <w:rFonts w:hint="eastAsia"/>
          <w:color w:val="000000" w:themeColor="text1"/>
        </w:rPr>
        <w:t>符号和缩略术语</w:t>
      </w:r>
      <w:bookmarkEnd w:id="72"/>
      <w:bookmarkEnd w:id="73"/>
      <w:bookmarkEnd w:id="74"/>
      <w:bookmarkEnd w:id="75"/>
      <w:bookmarkEnd w:id="76"/>
      <w:bookmarkEnd w:id="77"/>
      <w:bookmarkEnd w:id="78"/>
      <w:bookmarkEnd w:id="79"/>
      <w:bookmarkEnd w:id="80"/>
      <w:bookmarkEnd w:id="81"/>
      <w:bookmarkEnd w:id="82"/>
      <w:bookmarkEnd w:id="83"/>
    </w:p>
    <w:p w:rsidR="002606BB" w:rsidRDefault="00841612">
      <w:pPr>
        <w:pStyle w:val="Default"/>
        <w:spacing w:line="300" w:lineRule="auto"/>
        <w:ind w:firstLineChars="200" w:firstLine="420"/>
        <w:jc w:val="both"/>
        <w:rPr>
          <w:color w:val="000000" w:themeColor="text1"/>
          <w:sz w:val="21"/>
          <w:szCs w:val="21"/>
        </w:rPr>
      </w:pPr>
      <w:r>
        <w:rPr>
          <w:rFonts w:hint="eastAsia"/>
          <w:color w:val="000000" w:themeColor="text1"/>
          <w:sz w:val="21"/>
          <w:szCs w:val="21"/>
        </w:rPr>
        <w:t>下列</w:t>
      </w:r>
      <w:r>
        <w:rPr>
          <w:color w:val="000000" w:themeColor="text1"/>
          <w:sz w:val="21"/>
          <w:szCs w:val="21"/>
        </w:rPr>
        <w:t>符号和缩略术语</w:t>
      </w:r>
      <w:r>
        <w:rPr>
          <w:rFonts w:hint="eastAsia"/>
          <w:color w:val="000000" w:themeColor="text1"/>
          <w:sz w:val="21"/>
          <w:szCs w:val="21"/>
        </w:rPr>
        <w:t>适用于</w:t>
      </w:r>
      <w:r>
        <w:rPr>
          <w:color w:val="000000" w:themeColor="text1"/>
          <w:sz w:val="21"/>
          <w:szCs w:val="21"/>
        </w:rPr>
        <w:t>本文件。</w:t>
      </w:r>
    </w:p>
    <w:p w:rsidR="002606BB" w:rsidRDefault="00841612">
      <w:pPr>
        <w:pStyle w:val="Default"/>
        <w:spacing w:line="300" w:lineRule="auto"/>
        <w:ind w:firstLineChars="200" w:firstLine="420"/>
        <w:jc w:val="both"/>
        <w:rPr>
          <w:color w:val="000000" w:themeColor="text1"/>
          <w:sz w:val="21"/>
          <w:szCs w:val="21"/>
        </w:rPr>
      </w:pPr>
      <w:r>
        <w:rPr>
          <w:color w:val="000000" w:themeColor="text1"/>
          <w:sz w:val="21"/>
          <w:szCs w:val="21"/>
        </w:rPr>
        <w:t>ADCF</w:t>
      </w:r>
      <w:r>
        <w:rPr>
          <w:rFonts w:hint="eastAsia"/>
          <w:color w:val="000000" w:themeColor="text1"/>
          <w:sz w:val="21"/>
          <w:szCs w:val="21"/>
        </w:rPr>
        <w:t xml:space="preserve">　</w:t>
      </w:r>
      <w:r>
        <w:rPr>
          <w:rFonts w:hint="eastAsia"/>
          <w:color w:val="000000" w:themeColor="text1"/>
          <w:sz w:val="21"/>
          <w:szCs w:val="21"/>
        </w:rPr>
        <w:tab/>
      </w:r>
      <w:r>
        <w:rPr>
          <w:rFonts w:hint="eastAsia"/>
          <w:color w:val="000000" w:themeColor="text1"/>
          <w:sz w:val="21"/>
          <w:szCs w:val="21"/>
        </w:rPr>
        <w:t>无动物源性成分</w:t>
      </w:r>
      <w:r>
        <w:rPr>
          <w:rFonts w:hint="eastAsia"/>
          <w:color w:val="000000" w:themeColor="text1"/>
          <w:sz w:val="21"/>
          <w:szCs w:val="21"/>
        </w:rPr>
        <w:t xml:space="preserve"> </w:t>
      </w:r>
      <w:r>
        <w:rPr>
          <w:color w:val="000000" w:themeColor="text1"/>
          <w:sz w:val="21"/>
          <w:szCs w:val="21"/>
        </w:rPr>
        <w:t>animal</w:t>
      </w:r>
      <w:r>
        <w:rPr>
          <w:rFonts w:hint="eastAsia"/>
          <w:color w:val="000000" w:themeColor="text1"/>
          <w:sz w:val="21"/>
          <w:szCs w:val="21"/>
        </w:rPr>
        <w:t xml:space="preserve"> </w:t>
      </w:r>
      <w:r>
        <w:rPr>
          <w:color w:val="000000" w:themeColor="text1"/>
          <w:sz w:val="21"/>
          <w:szCs w:val="21"/>
        </w:rPr>
        <w:t>derived</w:t>
      </w:r>
      <w:r>
        <w:rPr>
          <w:rFonts w:hint="eastAsia"/>
          <w:color w:val="000000" w:themeColor="text1"/>
          <w:sz w:val="21"/>
          <w:szCs w:val="21"/>
        </w:rPr>
        <w:t xml:space="preserve"> </w:t>
      </w:r>
      <w:r>
        <w:rPr>
          <w:color w:val="000000" w:themeColor="text1"/>
          <w:sz w:val="21"/>
          <w:szCs w:val="21"/>
        </w:rPr>
        <w:t>component</w:t>
      </w:r>
      <w:r>
        <w:rPr>
          <w:rFonts w:hint="eastAsia"/>
          <w:color w:val="000000" w:themeColor="text1"/>
          <w:sz w:val="21"/>
          <w:szCs w:val="21"/>
        </w:rPr>
        <w:t xml:space="preserve"> </w:t>
      </w:r>
      <w:r>
        <w:rPr>
          <w:color w:val="000000" w:themeColor="text1"/>
          <w:sz w:val="21"/>
          <w:szCs w:val="21"/>
        </w:rPr>
        <w:t>free</w:t>
      </w:r>
      <w:r>
        <w:rPr>
          <w:rFonts w:hint="eastAsia"/>
          <w:color w:val="000000" w:themeColor="text1"/>
          <w:sz w:val="21"/>
          <w:szCs w:val="21"/>
        </w:rPr>
        <w:t xml:space="preserve"> </w:t>
      </w:r>
    </w:p>
    <w:p w:rsidR="002606BB" w:rsidRDefault="00841612">
      <w:pPr>
        <w:pStyle w:val="Default"/>
        <w:spacing w:line="300" w:lineRule="auto"/>
        <w:ind w:firstLineChars="200" w:firstLine="420"/>
        <w:jc w:val="both"/>
        <w:rPr>
          <w:color w:val="000000" w:themeColor="text1"/>
          <w:sz w:val="21"/>
          <w:szCs w:val="21"/>
        </w:rPr>
      </w:pPr>
      <w:r>
        <w:rPr>
          <w:rFonts w:hint="eastAsia"/>
          <w:color w:val="000000" w:themeColor="text1"/>
          <w:sz w:val="21"/>
          <w:szCs w:val="21"/>
        </w:rPr>
        <w:t>AM</w:t>
      </w:r>
      <w:r>
        <w:rPr>
          <w:rFonts w:hint="eastAsia"/>
          <w:color w:val="000000" w:themeColor="text1"/>
          <w:sz w:val="21"/>
          <w:szCs w:val="21"/>
        </w:rPr>
        <w:tab/>
      </w:r>
      <w:r>
        <w:rPr>
          <w:rFonts w:hint="eastAsia"/>
          <w:color w:val="000000" w:themeColor="text1"/>
          <w:sz w:val="21"/>
          <w:szCs w:val="21"/>
        </w:rPr>
        <w:tab/>
      </w:r>
      <w:r>
        <w:rPr>
          <w:rFonts w:hint="eastAsia"/>
          <w:color w:val="000000" w:themeColor="text1"/>
          <w:sz w:val="21"/>
          <w:szCs w:val="21"/>
        </w:rPr>
        <w:t>无动物源性成分</w:t>
      </w:r>
      <w:r>
        <w:rPr>
          <w:rFonts w:hint="eastAsia"/>
          <w:color w:val="000000" w:themeColor="text1"/>
          <w:sz w:val="21"/>
          <w:szCs w:val="21"/>
        </w:rPr>
        <w:t xml:space="preserve"> ancillary </w:t>
      </w:r>
      <w:r>
        <w:rPr>
          <w:color w:val="000000" w:themeColor="text1"/>
          <w:sz w:val="21"/>
          <w:szCs w:val="21"/>
        </w:rPr>
        <w:t>material</w:t>
      </w:r>
      <w:r>
        <w:rPr>
          <w:rFonts w:hint="eastAsia"/>
          <w:color w:val="000000" w:themeColor="text1"/>
          <w:sz w:val="21"/>
          <w:szCs w:val="21"/>
        </w:rPr>
        <w:t xml:space="preserve">s for production </w:t>
      </w:r>
    </w:p>
    <w:p w:rsidR="002606BB" w:rsidRDefault="00841612">
      <w:pPr>
        <w:pStyle w:val="Default"/>
        <w:spacing w:line="300" w:lineRule="auto"/>
        <w:ind w:firstLineChars="200" w:firstLine="420"/>
        <w:jc w:val="both"/>
        <w:rPr>
          <w:color w:val="000000" w:themeColor="text1"/>
          <w:sz w:val="21"/>
          <w:szCs w:val="21"/>
        </w:rPr>
      </w:pPr>
      <w:r>
        <w:rPr>
          <w:color w:val="000000" w:themeColor="text1"/>
          <w:sz w:val="21"/>
          <w:szCs w:val="21"/>
        </w:rPr>
        <w:t>AOF</w:t>
      </w:r>
      <w:r>
        <w:rPr>
          <w:rFonts w:hint="eastAsia"/>
          <w:color w:val="000000" w:themeColor="text1"/>
          <w:sz w:val="21"/>
          <w:szCs w:val="21"/>
        </w:rPr>
        <w:t xml:space="preserve">　</w:t>
      </w:r>
      <w:r>
        <w:rPr>
          <w:rFonts w:hint="eastAsia"/>
          <w:color w:val="000000" w:themeColor="text1"/>
          <w:sz w:val="21"/>
          <w:szCs w:val="21"/>
        </w:rPr>
        <w:tab/>
      </w:r>
      <w:proofErr w:type="gramStart"/>
      <w:r>
        <w:rPr>
          <w:rFonts w:hint="eastAsia"/>
          <w:color w:val="000000" w:themeColor="text1"/>
          <w:sz w:val="21"/>
          <w:szCs w:val="21"/>
        </w:rPr>
        <w:t>非动物</w:t>
      </w:r>
      <w:proofErr w:type="gramEnd"/>
      <w:r>
        <w:rPr>
          <w:rFonts w:hint="eastAsia"/>
          <w:color w:val="000000" w:themeColor="text1"/>
          <w:sz w:val="21"/>
          <w:szCs w:val="21"/>
        </w:rPr>
        <w:t>来源</w:t>
      </w:r>
      <w:r>
        <w:rPr>
          <w:color w:val="000000" w:themeColor="text1"/>
          <w:sz w:val="21"/>
          <w:szCs w:val="21"/>
        </w:rPr>
        <w:t xml:space="preserve"> animal</w:t>
      </w:r>
      <w:r>
        <w:rPr>
          <w:rFonts w:hint="eastAsia"/>
          <w:color w:val="000000" w:themeColor="text1"/>
          <w:sz w:val="21"/>
          <w:szCs w:val="21"/>
        </w:rPr>
        <w:t xml:space="preserve"> </w:t>
      </w:r>
      <w:r>
        <w:rPr>
          <w:color w:val="000000" w:themeColor="text1"/>
          <w:sz w:val="21"/>
          <w:szCs w:val="21"/>
        </w:rPr>
        <w:t>origin</w:t>
      </w:r>
      <w:r>
        <w:rPr>
          <w:rFonts w:hint="eastAsia"/>
          <w:color w:val="000000" w:themeColor="text1"/>
          <w:sz w:val="21"/>
          <w:szCs w:val="21"/>
        </w:rPr>
        <w:t xml:space="preserve"> </w:t>
      </w:r>
      <w:r>
        <w:rPr>
          <w:color w:val="000000" w:themeColor="text1"/>
          <w:sz w:val="21"/>
          <w:szCs w:val="21"/>
        </w:rPr>
        <w:t>free</w:t>
      </w:r>
    </w:p>
    <w:p w:rsidR="002606BB" w:rsidRDefault="00841612">
      <w:pPr>
        <w:pStyle w:val="Default"/>
        <w:spacing w:line="300" w:lineRule="auto"/>
        <w:ind w:firstLineChars="200" w:firstLine="420"/>
        <w:jc w:val="both"/>
        <w:rPr>
          <w:color w:val="000000" w:themeColor="text1"/>
          <w:sz w:val="21"/>
          <w:szCs w:val="21"/>
        </w:rPr>
      </w:pPr>
      <w:r>
        <w:rPr>
          <w:rFonts w:hint="eastAsia"/>
          <w:color w:val="000000" w:themeColor="text1"/>
          <w:sz w:val="21"/>
          <w:szCs w:val="21"/>
        </w:rPr>
        <w:t>BSE</w:t>
      </w:r>
      <w:r>
        <w:rPr>
          <w:rFonts w:hint="eastAsia"/>
          <w:color w:val="000000" w:themeColor="text1"/>
          <w:sz w:val="21"/>
          <w:szCs w:val="21"/>
        </w:rPr>
        <w:tab/>
      </w:r>
      <w:r>
        <w:rPr>
          <w:rFonts w:hint="eastAsia"/>
          <w:color w:val="000000" w:themeColor="text1"/>
          <w:sz w:val="21"/>
          <w:szCs w:val="21"/>
        </w:rPr>
        <w:tab/>
      </w:r>
      <w:r>
        <w:rPr>
          <w:rFonts w:hint="eastAsia"/>
          <w:color w:val="000000" w:themeColor="text1"/>
          <w:sz w:val="21"/>
          <w:szCs w:val="21"/>
        </w:rPr>
        <w:t>牛海绵状脑病</w:t>
      </w:r>
      <w:r>
        <w:rPr>
          <w:rFonts w:hint="eastAsia"/>
          <w:color w:val="000000" w:themeColor="text1"/>
          <w:sz w:val="21"/>
          <w:szCs w:val="21"/>
        </w:rPr>
        <w:t xml:space="preserve"> bovine spongiform encephalopathy </w:t>
      </w:r>
    </w:p>
    <w:p w:rsidR="002606BB" w:rsidRDefault="00841612">
      <w:pPr>
        <w:pStyle w:val="Default"/>
        <w:spacing w:line="300" w:lineRule="auto"/>
        <w:ind w:firstLineChars="200" w:firstLine="420"/>
        <w:jc w:val="both"/>
        <w:rPr>
          <w:color w:val="000000" w:themeColor="text1"/>
          <w:sz w:val="21"/>
          <w:szCs w:val="21"/>
        </w:rPr>
      </w:pPr>
      <w:r>
        <w:rPr>
          <w:color w:val="000000" w:themeColor="text1"/>
          <w:sz w:val="21"/>
          <w:szCs w:val="21"/>
        </w:rPr>
        <w:t>CoA</w:t>
      </w:r>
      <w:r>
        <w:rPr>
          <w:rFonts w:hint="eastAsia"/>
          <w:color w:val="000000" w:themeColor="text1"/>
          <w:sz w:val="21"/>
          <w:szCs w:val="21"/>
        </w:rPr>
        <w:t xml:space="preserve">　</w:t>
      </w:r>
      <w:r>
        <w:rPr>
          <w:rFonts w:hint="eastAsia"/>
          <w:color w:val="000000" w:themeColor="text1"/>
          <w:sz w:val="21"/>
          <w:szCs w:val="21"/>
        </w:rPr>
        <w:tab/>
      </w:r>
      <w:r>
        <w:rPr>
          <w:rFonts w:hint="eastAsia"/>
          <w:color w:val="000000" w:themeColor="text1"/>
          <w:sz w:val="21"/>
          <w:szCs w:val="21"/>
        </w:rPr>
        <w:t>分析证明</w:t>
      </w:r>
      <w:r>
        <w:rPr>
          <w:rFonts w:hint="eastAsia"/>
          <w:color w:val="000000" w:themeColor="text1"/>
          <w:sz w:val="21"/>
          <w:szCs w:val="21"/>
        </w:rPr>
        <w:t xml:space="preserve"> </w:t>
      </w:r>
      <w:r>
        <w:rPr>
          <w:color w:val="000000" w:themeColor="text1"/>
          <w:sz w:val="21"/>
          <w:szCs w:val="21"/>
        </w:rPr>
        <w:t>certificate</w:t>
      </w:r>
      <w:r>
        <w:rPr>
          <w:rFonts w:hint="eastAsia"/>
          <w:color w:val="000000" w:themeColor="text1"/>
          <w:sz w:val="21"/>
          <w:szCs w:val="21"/>
        </w:rPr>
        <w:t xml:space="preserve"> </w:t>
      </w:r>
      <w:r>
        <w:rPr>
          <w:color w:val="000000" w:themeColor="text1"/>
          <w:sz w:val="21"/>
          <w:szCs w:val="21"/>
        </w:rPr>
        <w:t>of</w:t>
      </w:r>
      <w:r>
        <w:rPr>
          <w:rFonts w:hint="eastAsia"/>
          <w:color w:val="000000" w:themeColor="text1"/>
          <w:sz w:val="21"/>
          <w:szCs w:val="21"/>
        </w:rPr>
        <w:t xml:space="preserve"> </w:t>
      </w:r>
      <w:r>
        <w:rPr>
          <w:color w:val="000000" w:themeColor="text1"/>
          <w:sz w:val="21"/>
          <w:szCs w:val="21"/>
        </w:rPr>
        <w:t>analysis</w:t>
      </w:r>
    </w:p>
    <w:p w:rsidR="002606BB" w:rsidRDefault="00841612">
      <w:pPr>
        <w:pStyle w:val="Default"/>
        <w:spacing w:line="300" w:lineRule="auto"/>
        <w:ind w:firstLineChars="200" w:firstLine="420"/>
        <w:jc w:val="both"/>
        <w:rPr>
          <w:color w:val="000000" w:themeColor="text1"/>
          <w:sz w:val="21"/>
          <w:szCs w:val="21"/>
        </w:rPr>
      </w:pPr>
      <w:proofErr w:type="spellStart"/>
      <w:r>
        <w:rPr>
          <w:rFonts w:hint="eastAsia"/>
          <w:color w:val="000000" w:themeColor="text1"/>
          <w:sz w:val="21"/>
          <w:szCs w:val="21"/>
        </w:rPr>
        <w:t>CoC</w:t>
      </w:r>
      <w:proofErr w:type="spellEnd"/>
      <w:r>
        <w:rPr>
          <w:rFonts w:hint="eastAsia"/>
          <w:color w:val="000000" w:themeColor="text1"/>
          <w:sz w:val="21"/>
          <w:szCs w:val="21"/>
        </w:rPr>
        <w:tab/>
      </w:r>
      <w:r>
        <w:rPr>
          <w:rFonts w:hint="eastAsia"/>
          <w:color w:val="000000" w:themeColor="text1"/>
          <w:sz w:val="21"/>
          <w:szCs w:val="21"/>
        </w:rPr>
        <w:tab/>
      </w:r>
      <w:r>
        <w:rPr>
          <w:rFonts w:hint="eastAsia"/>
          <w:color w:val="000000" w:themeColor="text1"/>
          <w:sz w:val="21"/>
          <w:szCs w:val="21"/>
        </w:rPr>
        <w:t>合</w:t>
      </w:r>
      <w:proofErr w:type="gramStart"/>
      <w:r>
        <w:rPr>
          <w:rFonts w:hint="eastAsia"/>
          <w:color w:val="000000" w:themeColor="text1"/>
          <w:sz w:val="21"/>
          <w:szCs w:val="21"/>
        </w:rPr>
        <w:t>规</w:t>
      </w:r>
      <w:proofErr w:type="gramEnd"/>
      <w:r>
        <w:rPr>
          <w:rFonts w:hint="eastAsia"/>
          <w:color w:val="000000" w:themeColor="text1"/>
          <w:sz w:val="21"/>
          <w:szCs w:val="21"/>
        </w:rPr>
        <w:t>证明</w:t>
      </w:r>
      <w:r>
        <w:rPr>
          <w:rFonts w:hint="eastAsia"/>
          <w:color w:val="000000" w:themeColor="text1"/>
          <w:sz w:val="21"/>
          <w:szCs w:val="21"/>
        </w:rPr>
        <w:t xml:space="preserve"> c</w:t>
      </w:r>
      <w:r>
        <w:rPr>
          <w:color w:val="000000" w:themeColor="text1"/>
          <w:sz w:val="21"/>
          <w:szCs w:val="21"/>
        </w:rPr>
        <w:t>ertificate</w:t>
      </w:r>
      <w:r>
        <w:rPr>
          <w:rFonts w:hint="eastAsia"/>
          <w:color w:val="000000" w:themeColor="text1"/>
          <w:sz w:val="21"/>
          <w:szCs w:val="21"/>
        </w:rPr>
        <w:t xml:space="preserve"> </w:t>
      </w:r>
      <w:r>
        <w:rPr>
          <w:color w:val="000000" w:themeColor="text1"/>
          <w:sz w:val="21"/>
          <w:szCs w:val="21"/>
        </w:rPr>
        <w:t>of</w:t>
      </w:r>
      <w:r>
        <w:rPr>
          <w:rFonts w:hint="eastAsia"/>
          <w:color w:val="000000" w:themeColor="text1"/>
          <w:sz w:val="21"/>
          <w:szCs w:val="21"/>
        </w:rPr>
        <w:t xml:space="preserve"> </w:t>
      </w:r>
      <w:r>
        <w:rPr>
          <w:color w:val="000000" w:themeColor="text1"/>
          <w:sz w:val="21"/>
          <w:szCs w:val="21"/>
        </w:rPr>
        <w:t>compliance</w:t>
      </w:r>
    </w:p>
    <w:p w:rsidR="002606BB" w:rsidRDefault="00841612">
      <w:pPr>
        <w:pStyle w:val="Default"/>
        <w:spacing w:line="300" w:lineRule="auto"/>
        <w:ind w:firstLineChars="200" w:firstLine="420"/>
        <w:jc w:val="both"/>
        <w:rPr>
          <w:color w:val="000000" w:themeColor="text1"/>
          <w:sz w:val="21"/>
          <w:szCs w:val="21"/>
        </w:rPr>
      </w:pPr>
      <w:proofErr w:type="spellStart"/>
      <w:r>
        <w:rPr>
          <w:rFonts w:hint="eastAsia"/>
          <w:color w:val="000000" w:themeColor="text1"/>
          <w:sz w:val="21"/>
          <w:szCs w:val="21"/>
        </w:rPr>
        <w:t>CoI</w:t>
      </w:r>
      <w:proofErr w:type="spellEnd"/>
      <w:r>
        <w:rPr>
          <w:rFonts w:hint="eastAsia"/>
          <w:color w:val="000000" w:themeColor="text1"/>
          <w:sz w:val="21"/>
          <w:szCs w:val="21"/>
        </w:rPr>
        <w:tab/>
      </w:r>
      <w:r>
        <w:rPr>
          <w:rFonts w:hint="eastAsia"/>
          <w:color w:val="000000" w:themeColor="text1"/>
          <w:sz w:val="21"/>
          <w:szCs w:val="21"/>
        </w:rPr>
        <w:tab/>
      </w:r>
      <w:r>
        <w:rPr>
          <w:rFonts w:hint="eastAsia"/>
          <w:color w:val="000000" w:themeColor="text1"/>
          <w:sz w:val="21"/>
          <w:szCs w:val="21"/>
        </w:rPr>
        <w:t>辐照证明</w:t>
      </w:r>
      <w:r>
        <w:rPr>
          <w:rFonts w:hint="eastAsia"/>
          <w:color w:val="000000" w:themeColor="text1"/>
          <w:sz w:val="21"/>
          <w:szCs w:val="21"/>
        </w:rPr>
        <w:t xml:space="preserve"> certificate of irradiation</w:t>
      </w:r>
    </w:p>
    <w:p w:rsidR="002606BB" w:rsidRDefault="00841612">
      <w:pPr>
        <w:pStyle w:val="Default"/>
        <w:spacing w:line="300" w:lineRule="auto"/>
        <w:ind w:firstLineChars="200" w:firstLine="420"/>
        <w:jc w:val="both"/>
        <w:rPr>
          <w:color w:val="000000" w:themeColor="text1"/>
          <w:sz w:val="21"/>
          <w:szCs w:val="21"/>
        </w:rPr>
      </w:pPr>
      <w:proofErr w:type="spellStart"/>
      <w:r>
        <w:rPr>
          <w:color w:val="000000" w:themeColor="text1"/>
          <w:sz w:val="21"/>
          <w:szCs w:val="21"/>
        </w:rPr>
        <w:t>CoO</w:t>
      </w:r>
      <w:proofErr w:type="spellEnd"/>
      <w:r>
        <w:rPr>
          <w:rFonts w:hint="eastAsia"/>
          <w:color w:val="000000" w:themeColor="text1"/>
          <w:sz w:val="21"/>
          <w:szCs w:val="21"/>
        </w:rPr>
        <w:t xml:space="preserve">　</w:t>
      </w:r>
      <w:r>
        <w:rPr>
          <w:rFonts w:hint="eastAsia"/>
          <w:color w:val="000000" w:themeColor="text1"/>
          <w:sz w:val="21"/>
          <w:szCs w:val="21"/>
        </w:rPr>
        <w:tab/>
      </w:r>
      <w:r>
        <w:rPr>
          <w:rFonts w:hint="eastAsia"/>
          <w:color w:val="000000" w:themeColor="text1"/>
          <w:sz w:val="21"/>
          <w:szCs w:val="21"/>
        </w:rPr>
        <w:t>原产地证</w:t>
      </w:r>
      <w:r>
        <w:rPr>
          <w:rFonts w:hint="eastAsia"/>
          <w:color w:val="000000" w:themeColor="text1"/>
          <w:sz w:val="21"/>
          <w:szCs w:val="21"/>
        </w:rPr>
        <w:t>明</w:t>
      </w:r>
      <w:r>
        <w:rPr>
          <w:rFonts w:hint="eastAsia"/>
          <w:color w:val="000000" w:themeColor="text1"/>
          <w:sz w:val="21"/>
          <w:szCs w:val="21"/>
        </w:rPr>
        <w:t xml:space="preserve"> </w:t>
      </w:r>
      <w:r>
        <w:rPr>
          <w:color w:val="000000" w:themeColor="text1"/>
          <w:sz w:val="21"/>
          <w:szCs w:val="21"/>
        </w:rPr>
        <w:t>certificate</w:t>
      </w:r>
      <w:r>
        <w:rPr>
          <w:rFonts w:hint="eastAsia"/>
          <w:color w:val="000000" w:themeColor="text1"/>
          <w:sz w:val="21"/>
          <w:szCs w:val="21"/>
        </w:rPr>
        <w:t xml:space="preserve"> </w:t>
      </w:r>
      <w:r>
        <w:rPr>
          <w:color w:val="000000" w:themeColor="text1"/>
          <w:sz w:val="21"/>
          <w:szCs w:val="21"/>
        </w:rPr>
        <w:t>of</w:t>
      </w:r>
      <w:r>
        <w:rPr>
          <w:rFonts w:hint="eastAsia"/>
          <w:color w:val="000000" w:themeColor="text1"/>
          <w:sz w:val="21"/>
          <w:szCs w:val="21"/>
        </w:rPr>
        <w:t xml:space="preserve"> </w:t>
      </w:r>
      <w:r>
        <w:rPr>
          <w:color w:val="000000" w:themeColor="text1"/>
          <w:sz w:val="21"/>
          <w:szCs w:val="21"/>
        </w:rPr>
        <w:t>origin</w:t>
      </w:r>
    </w:p>
    <w:p w:rsidR="002606BB" w:rsidRDefault="00841612">
      <w:pPr>
        <w:pStyle w:val="Default"/>
        <w:spacing w:line="300" w:lineRule="auto"/>
        <w:ind w:firstLineChars="200" w:firstLine="420"/>
        <w:jc w:val="both"/>
        <w:rPr>
          <w:color w:val="000000" w:themeColor="text1"/>
          <w:sz w:val="21"/>
          <w:szCs w:val="21"/>
        </w:rPr>
      </w:pPr>
      <w:r>
        <w:rPr>
          <w:color w:val="000000" w:themeColor="text1"/>
          <w:sz w:val="21"/>
          <w:szCs w:val="21"/>
        </w:rPr>
        <w:t>(c)GMP</w:t>
      </w:r>
      <w:r>
        <w:rPr>
          <w:rFonts w:hint="eastAsia"/>
          <w:color w:val="000000" w:themeColor="text1"/>
          <w:sz w:val="21"/>
          <w:szCs w:val="21"/>
        </w:rPr>
        <w:t xml:space="preserve">　</w:t>
      </w:r>
      <w:r>
        <w:rPr>
          <w:rFonts w:hint="eastAsia"/>
          <w:color w:val="000000" w:themeColor="text1"/>
          <w:sz w:val="21"/>
          <w:szCs w:val="21"/>
        </w:rPr>
        <w:t>(</w:t>
      </w:r>
      <w:r>
        <w:rPr>
          <w:rFonts w:hint="eastAsia"/>
          <w:color w:val="000000" w:themeColor="text1"/>
          <w:sz w:val="21"/>
          <w:szCs w:val="21"/>
        </w:rPr>
        <w:t>现行的</w:t>
      </w:r>
      <w:r>
        <w:rPr>
          <w:rFonts w:hint="eastAsia"/>
          <w:color w:val="000000" w:themeColor="text1"/>
          <w:sz w:val="21"/>
          <w:szCs w:val="21"/>
        </w:rPr>
        <w:t>)</w:t>
      </w:r>
      <w:r>
        <w:rPr>
          <w:rFonts w:hint="eastAsia"/>
          <w:color w:val="000000" w:themeColor="text1"/>
          <w:sz w:val="21"/>
          <w:szCs w:val="21"/>
        </w:rPr>
        <w:t>药品生产质量管理</w:t>
      </w:r>
      <w:proofErr w:type="gramStart"/>
      <w:r>
        <w:rPr>
          <w:rFonts w:hint="eastAsia"/>
          <w:color w:val="000000" w:themeColor="text1"/>
          <w:sz w:val="21"/>
          <w:szCs w:val="21"/>
        </w:rPr>
        <w:t>规</w:t>
      </w:r>
      <w:proofErr w:type="gramEnd"/>
      <w:r>
        <w:rPr>
          <w:rFonts w:hint="eastAsia"/>
          <w:color w:val="000000" w:themeColor="text1"/>
          <w:sz w:val="21"/>
          <w:szCs w:val="21"/>
        </w:rPr>
        <w:t xml:space="preserve"> </w:t>
      </w:r>
      <w:r>
        <w:rPr>
          <w:color w:val="000000" w:themeColor="text1"/>
          <w:sz w:val="21"/>
          <w:szCs w:val="21"/>
        </w:rPr>
        <w:t>(current)</w:t>
      </w:r>
      <w:r>
        <w:rPr>
          <w:rFonts w:hint="eastAsia"/>
          <w:color w:val="000000" w:themeColor="text1"/>
          <w:sz w:val="21"/>
          <w:szCs w:val="21"/>
        </w:rPr>
        <w:t xml:space="preserve"> </w:t>
      </w:r>
      <w:r>
        <w:rPr>
          <w:color w:val="000000" w:themeColor="text1"/>
          <w:sz w:val="21"/>
          <w:szCs w:val="21"/>
        </w:rPr>
        <w:t>good</w:t>
      </w:r>
      <w:r>
        <w:rPr>
          <w:rFonts w:hint="eastAsia"/>
          <w:color w:val="000000" w:themeColor="text1"/>
          <w:sz w:val="21"/>
          <w:szCs w:val="21"/>
        </w:rPr>
        <w:t xml:space="preserve"> </w:t>
      </w:r>
      <w:r>
        <w:rPr>
          <w:color w:val="000000" w:themeColor="text1"/>
          <w:sz w:val="21"/>
          <w:szCs w:val="21"/>
        </w:rPr>
        <w:t>manufacturing</w:t>
      </w:r>
      <w:r>
        <w:rPr>
          <w:rFonts w:hint="eastAsia"/>
          <w:color w:val="000000" w:themeColor="text1"/>
          <w:sz w:val="21"/>
          <w:szCs w:val="21"/>
        </w:rPr>
        <w:t xml:space="preserve"> </w:t>
      </w:r>
      <w:r>
        <w:rPr>
          <w:color w:val="000000" w:themeColor="text1"/>
          <w:sz w:val="21"/>
          <w:szCs w:val="21"/>
        </w:rPr>
        <w:t>practice</w:t>
      </w:r>
    </w:p>
    <w:p w:rsidR="002606BB" w:rsidRDefault="00841612">
      <w:pPr>
        <w:pStyle w:val="Default"/>
        <w:spacing w:line="300" w:lineRule="auto"/>
        <w:ind w:firstLineChars="200" w:firstLine="420"/>
        <w:jc w:val="both"/>
        <w:rPr>
          <w:color w:val="000000" w:themeColor="text1"/>
          <w:sz w:val="21"/>
          <w:szCs w:val="21"/>
        </w:rPr>
      </w:pPr>
      <w:r>
        <w:rPr>
          <w:color w:val="000000" w:themeColor="text1"/>
          <w:sz w:val="21"/>
          <w:szCs w:val="21"/>
        </w:rPr>
        <w:t>IVUO</w:t>
      </w:r>
      <w:r>
        <w:rPr>
          <w:color w:val="000000" w:themeColor="text1"/>
          <w:sz w:val="21"/>
          <w:szCs w:val="21"/>
        </w:rPr>
        <w:tab/>
      </w:r>
      <w:r>
        <w:rPr>
          <w:rFonts w:hint="eastAsia"/>
          <w:color w:val="000000" w:themeColor="text1"/>
          <w:sz w:val="21"/>
          <w:szCs w:val="21"/>
        </w:rPr>
        <w:t>仅供体外使用</w:t>
      </w:r>
      <w:r>
        <w:rPr>
          <w:rFonts w:hint="eastAsia"/>
          <w:color w:val="000000" w:themeColor="text1"/>
          <w:sz w:val="21"/>
          <w:szCs w:val="21"/>
        </w:rPr>
        <w:t xml:space="preserve"> </w:t>
      </w:r>
      <w:r>
        <w:rPr>
          <w:i/>
          <w:iCs/>
          <w:color w:val="000000" w:themeColor="text1"/>
          <w:sz w:val="21"/>
          <w:szCs w:val="21"/>
        </w:rPr>
        <w:t>in</w:t>
      </w:r>
      <w:r>
        <w:rPr>
          <w:rFonts w:hint="eastAsia"/>
          <w:i/>
          <w:iCs/>
          <w:color w:val="000000" w:themeColor="text1"/>
          <w:sz w:val="21"/>
          <w:szCs w:val="21"/>
        </w:rPr>
        <w:t xml:space="preserve"> </w:t>
      </w:r>
      <w:r>
        <w:rPr>
          <w:i/>
          <w:iCs/>
          <w:color w:val="000000" w:themeColor="text1"/>
          <w:sz w:val="21"/>
          <w:szCs w:val="21"/>
        </w:rPr>
        <w:t>vitro</w:t>
      </w:r>
      <w:r>
        <w:rPr>
          <w:rFonts w:hint="eastAsia"/>
          <w:color w:val="000000" w:themeColor="text1"/>
          <w:sz w:val="21"/>
          <w:szCs w:val="21"/>
        </w:rPr>
        <w:t xml:space="preserve"> </w:t>
      </w:r>
      <w:r>
        <w:rPr>
          <w:color w:val="000000" w:themeColor="text1"/>
          <w:sz w:val="21"/>
          <w:szCs w:val="21"/>
        </w:rPr>
        <w:t>use</w:t>
      </w:r>
      <w:r>
        <w:rPr>
          <w:rFonts w:hint="eastAsia"/>
          <w:color w:val="000000" w:themeColor="text1"/>
          <w:sz w:val="21"/>
          <w:szCs w:val="21"/>
        </w:rPr>
        <w:t xml:space="preserve"> </w:t>
      </w:r>
      <w:r>
        <w:rPr>
          <w:color w:val="000000" w:themeColor="text1"/>
          <w:sz w:val="21"/>
          <w:szCs w:val="21"/>
        </w:rPr>
        <w:t>only</w:t>
      </w:r>
    </w:p>
    <w:p w:rsidR="002606BB" w:rsidRDefault="00841612">
      <w:pPr>
        <w:pStyle w:val="Default"/>
        <w:spacing w:line="300" w:lineRule="auto"/>
        <w:ind w:firstLineChars="200" w:firstLine="420"/>
        <w:jc w:val="both"/>
        <w:rPr>
          <w:color w:val="000000" w:themeColor="text1"/>
          <w:sz w:val="21"/>
          <w:szCs w:val="21"/>
        </w:rPr>
      </w:pPr>
      <w:r>
        <w:rPr>
          <w:rFonts w:hint="eastAsia"/>
          <w:color w:val="000000" w:themeColor="text1"/>
          <w:sz w:val="21"/>
          <w:szCs w:val="21"/>
        </w:rPr>
        <w:t>LOD</w:t>
      </w:r>
      <w:r>
        <w:rPr>
          <w:rFonts w:hint="eastAsia"/>
          <w:color w:val="000000" w:themeColor="text1"/>
          <w:sz w:val="21"/>
          <w:szCs w:val="21"/>
        </w:rPr>
        <w:tab/>
      </w:r>
      <w:r>
        <w:rPr>
          <w:rFonts w:hint="eastAsia"/>
          <w:color w:val="000000" w:themeColor="text1"/>
          <w:sz w:val="21"/>
          <w:szCs w:val="21"/>
        </w:rPr>
        <w:tab/>
      </w:r>
      <w:r>
        <w:rPr>
          <w:rFonts w:hint="eastAsia"/>
          <w:color w:val="000000" w:themeColor="text1"/>
          <w:sz w:val="21"/>
          <w:szCs w:val="21"/>
        </w:rPr>
        <w:t>检测限</w:t>
      </w:r>
      <w:r>
        <w:rPr>
          <w:rFonts w:hint="eastAsia"/>
          <w:color w:val="000000" w:themeColor="text1"/>
          <w:sz w:val="21"/>
          <w:szCs w:val="21"/>
        </w:rPr>
        <w:t xml:space="preserve"> limit of detection</w:t>
      </w:r>
    </w:p>
    <w:p w:rsidR="002606BB" w:rsidRDefault="00841612">
      <w:pPr>
        <w:pStyle w:val="Default"/>
        <w:spacing w:line="300" w:lineRule="auto"/>
        <w:ind w:firstLineChars="200" w:firstLine="420"/>
        <w:jc w:val="both"/>
        <w:rPr>
          <w:color w:val="000000" w:themeColor="text1"/>
          <w:sz w:val="21"/>
          <w:szCs w:val="21"/>
        </w:rPr>
      </w:pPr>
      <w:r>
        <w:rPr>
          <w:rFonts w:hint="eastAsia"/>
          <w:color w:val="000000" w:themeColor="text1"/>
          <w:sz w:val="21"/>
          <w:szCs w:val="21"/>
        </w:rPr>
        <w:t>LOT</w:t>
      </w:r>
      <w:r>
        <w:rPr>
          <w:rFonts w:hint="eastAsia"/>
          <w:color w:val="000000" w:themeColor="text1"/>
          <w:sz w:val="21"/>
          <w:szCs w:val="21"/>
        </w:rPr>
        <w:tab/>
      </w:r>
      <w:r>
        <w:rPr>
          <w:rFonts w:hint="eastAsia"/>
          <w:color w:val="000000" w:themeColor="text1"/>
          <w:sz w:val="21"/>
          <w:szCs w:val="21"/>
        </w:rPr>
        <w:tab/>
      </w:r>
      <w:r>
        <w:rPr>
          <w:rFonts w:hint="eastAsia"/>
          <w:color w:val="000000" w:themeColor="text1"/>
          <w:sz w:val="21"/>
          <w:szCs w:val="21"/>
        </w:rPr>
        <w:t>容许限</w:t>
      </w:r>
      <w:r>
        <w:rPr>
          <w:rFonts w:hint="eastAsia"/>
          <w:color w:val="000000" w:themeColor="text1"/>
          <w:sz w:val="21"/>
          <w:szCs w:val="21"/>
        </w:rPr>
        <w:t xml:space="preserve"> limit of tolerance</w:t>
      </w:r>
    </w:p>
    <w:p w:rsidR="002606BB" w:rsidRDefault="00841612">
      <w:pPr>
        <w:pStyle w:val="Default"/>
        <w:spacing w:line="300" w:lineRule="auto"/>
        <w:ind w:firstLineChars="200" w:firstLine="420"/>
        <w:jc w:val="both"/>
        <w:rPr>
          <w:color w:val="000000" w:themeColor="text1"/>
          <w:sz w:val="21"/>
          <w:szCs w:val="21"/>
        </w:rPr>
      </w:pPr>
      <w:r>
        <w:rPr>
          <w:rFonts w:hint="eastAsia"/>
          <w:color w:val="000000" w:themeColor="text1"/>
          <w:sz w:val="21"/>
          <w:szCs w:val="21"/>
        </w:rPr>
        <w:t>QC</w:t>
      </w:r>
      <w:r>
        <w:rPr>
          <w:rFonts w:hint="eastAsia"/>
          <w:color w:val="000000" w:themeColor="text1"/>
          <w:sz w:val="21"/>
          <w:szCs w:val="21"/>
        </w:rPr>
        <w:tab/>
      </w:r>
      <w:r>
        <w:rPr>
          <w:rFonts w:hint="eastAsia"/>
          <w:color w:val="000000" w:themeColor="text1"/>
          <w:sz w:val="21"/>
          <w:szCs w:val="21"/>
        </w:rPr>
        <w:tab/>
      </w:r>
      <w:r>
        <w:rPr>
          <w:rFonts w:hint="eastAsia"/>
          <w:color w:val="000000" w:themeColor="text1"/>
          <w:sz w:val="21"/>
          <w:szCs w:val="21"/>
        </w:rPr>
        <w:t>质量控制</w:t>
      </w:r>
      <w:r>
        <w:rPr>
          <w:rFonts w:hint="eastAsia"/>
          <w:color w:val="000000" w:themeColor="text1"/>
          <w:sz w:val="21"/>
          <w:szCs w:val="21"/>
        </w:rPr>
        <w:t xml:space="preserve"> quality control</w:t>
      </w:r>
    </w:p>
    <w:p w:rsidR="002606BB" w:rsidRDefault="00841612">
      <w:pPr>
        <w:pStyle w:val="Default"/>
        <w:spacing w:line="300" w:lineRule="auto"/>
        <w:ind w:firstLineChars="200" w:firstLine="420"/>
        <w:jc w:val="both"/>
        <w:rPr>
          <w:color w:val="000000" w:themeColor="text1"/>
          <w:sz w:val="21"/>
          <w:szCs w:val="21"/>
        </w:rPr>
      </w:pPr>
      <w:r>
        <w:rPr>
          <w:rFonts w:hint="eastAsia"/>
          <w:color w:val="000000" w:themeColor="text1"/>
          <w:sz w:val="21"/>
          <w:szCs w:val="21"/>
        </w:rPr>
        <w:t>QMS</w:t>
      </w:r>
      <w:r>
        <w:rPr>
          <w:rFonts w:hint="eastAsia"/>
          <w:color w:val="000000" w:themeColor="text1"/>
          <w:sz w:val="21"/>
          <w:szCs w:val="21"/>
        </w:rPr>
        <w:tab/>
      </w:r>
      <w:r>
        <w:rPr>
          <w:rFonts w:hint="eastAsia"/>
          <w:color w:val="000000" w:themeColor="text1"/>
          <w:sz w:val="21"/>
          <w:szCs w:val="21"/>
        </w:rPr>
        <w:tab/>
      </w:r>
      <w:r>
        <w:rPr>
          <w:rFonts w:hint="eastAsia"/>
          <w:color w:val="000000" w:themeColor="text1"/>
          <w:sz w:val="21"/>
          <w:szCs w:val="21"/>
        </w:rPr>
        <w:t>质量管理体系</w:t>
      </w:r>
      <w:r>
        <w:rPr>
          <w:rFonts w:hint="eastAsia"/>
          <w:color w:val="000000" w:themeColor="text1"/>
          <w:sz w:val="21"/>
          <w:szCs w:val="21"/>
        </w:rPr>
        <w:t xml:space="preserve"> quality management system</w:t>
      </w:r>
    </w:p>
    <w:p w:rsidR="002606BB" w:rsidRDefault="00841612">
      <w:pPr>
        <w:pStyle w:val="Default"/>
        <w:spacing w:line="300" w:lineRule="auto"/>
        <w:ind w:firstLineChars="200" w:firstLine="420"/>
        <w:jc w:val="both"/>
        <w:rPr>
          <w:color w:val="000000" w:themeColor="text1"/>
          <w:sz w:val="21"/>
          <w:szCs w:val="21"/>
        </w:rPr>
      </w:pPr>
      <w:r>
        <w:rPr>
          <w:color w:val="000000" w:themeColor="text1"/>
          <w:sz w:val="21"/>
          <w:szCs w:val="21"/>
        </w:rPr>
        <w:t>RUO</w:t>
      </w:r>
      <w:r>
        <w:rPr>
          <w:rFonts w:hint="eastAsia"/>
          <w:color w:val="000000" w:themeColor="text1"/>
          <w:sz w:val="21"/>
          <w:szCs w:val="21"/>
        </w:rPr>
        <w:tab/>
      </w:r>
      <w:r>
        <w:rPr>
          <w:rFonts w:hint="eastAsia"/>
          <w:color w:val="000000" w:themeColor="text1"/>
          <w:sz w:val="21"/>
          <w:szCs w:val="21"/>
        </w:rPr>
        <w:tab/>
      </w:r>
      <w:r>
        <w:rPr>
          <w:rFonts w:hint="eastAsia"/>
          <w:color w:val="000000" w:themeColor="text1"/>
          <w:sz w:val="21"/>
          <w:szCs w:val="21"/>
        </w:rPr>
        <w:t>仅供研究使用</w:t>
      </w:r>
      <w:r>
        <w:rPr>
          <w:rFonts w:hint="eastAsia"/>
          <w:color w:val="000000" w:themeColor="text1"/>
          <w:sz w:val="21"/>
          <w:szCs w:val="21"/>
        </w:rPr>
        <w:t xml:space="preserve"> </w:t>
      </w:r>
      <w:r>
        <w:rPr>
          <w:color w:val="000000" w:themeColor="text1"/>
          <w:sz w:val="21"/>
          <w:szCs w:val="21"/>
        </w:rPr>
        <w:t>research</w:t>
      </w:r>
      <w:r>
        <w:rPr>
          <w:rFonts w:hint="eastAsia"/>
          <w:color w:val="000000" w:themeColor="text1"/>
          <w:sz w:val="21"/>
          <w:szCs w:val="21"/>
        </w:rPr>
        <w:t xml:space="preserve"> </w:t>
      </w:r>
      <w:r>
        <w:rPr>
          <w:color w:val="000000" w:themeColor="text1"/>
          <w:sz w:val="21"/>
          <w:szCs w:val="21"/>
        </w:rPr>
        <w:t>use</w:t>
      </w:r>
      <w:r>
        <w:rPr>
          <w:rFonts w:hint="eastAsia"/>
          <w:color w:val="000000" w:themeColor="text1"/>
          <w:sz w:val="21"/>
          <w:szCs w:val="21"/>
        </w:rPr>
        <w:t xml:space="preserve"> </w:t>
      </w:r>
      <w:r>
        <w:rPr>
          <w:color w:val="000000" w:themeColor="text1"/>
          <w:sz w:val="21"/>
          <w:szCs w:val="21"/>
        </w:rPr>
        <w:t>only</w:t>
      </w:r>
    </w:p>
    <w:p w:rsidR="002606BB" w:rsidRDefault="00841612">
      <w:pPr>
        <w:ind w:firstLineChars="200" w:firstLine="420"/>
        <w:rPr>
          <w:rFonts w:hint="default"/>
          <w:color w:val="000000" w:themeColor="text1"/>
        </w:rPr>
      </w:pPr>
      <w:r>
        <w:rPr>
          <w:color w:val="000000" w:themeColor="text1"/>
        </w:rPr>
        <w:t>SDS</w:t>
      </w:r>
      <w:r>
        <w:rPr>
          <w:color w:val="000000" w:themeColor="text1"/>
        </w:rPr>
        <w:t xml:space="preserve">　</w:t>
      </w:r>
      <w:r>
        <w:rPr>
          <w:color w:val="000000" w:themeColor="text1"/>
        </w:rPr>
        <w:tab/>
      </w:r>
      <w:r>
        <w:rPr>
          <w:color w:val="000000" w:themeColor="text1"/>
        </w:rPr>
        <w:t>安全信息单</w:t>
      </w:r>
      <w:r>
        <w:rPr>
          <w:color w:val="000000" w:themeColor="text1"/>
        </w:rPr>
        <w:t xml:space="preserve"> safety data sheet</w:t>
      </w:r>
    </w:p>
    <w:p w:rsidR="002606BB" w:rsidRDefault="00841612">
      <w:pPr>
        <w:pStyle w:val="Default"/>
        <w:spacing w:line="300" w:lineRule="auto"/>
        <w:ind w:firstLineChars="200" w:firstLine="420"/>
        <w:jc w:val="both"/>
        <w:rPr>
          <w:rFonts w:ascii="ºÚÌå" w:eastAsia="ºÚÌå" w:hAnsi="ºÚÌå"/>
          <w:color w:val="000000" w:themeColor="text1"/>
          <w:sz w:val="21"/>
          <w:szCs w:val="21"/>
        </w:rPr>
      </w:pPr>
      <w:r>
        <w:rPr>
          <w:color w:val="000000" w:themeColor="text1"/>
          <w:sz w:val="21"/>
          <w:szCs w:val="21"/>
        </w:rPr>
        <w:t>TSE</w:t>
      </w:r>
      <w:r>
        <w:rPr>
          <w:rFonts w:hint="eastAsia"/>
          <w:color w:val="000000" w:themeColor="text1"/>
          <w:sz w:val="21"/>
          <w:szCs w:val="21"/>
        </w:rPr>
        <w:tab/>
      </w:r>
      <w:r>
        <w:rPr>
          <w:rFonts w:hint="eastAsia"/>
          <w:color w:val="000000" w:themeColor="text1"/>
          <w:sz w:val="21"/>
          <w:szCs w:val="21"/>
        </w:rPr>
        <w:tab/>
      </w:r>
      <w:r>
        <w:rPr>
          <w:rFonts w:ascii="ºÚÌå" w:eastAsia="ºÚÌå" w:hAnsi="ºÚÌå" w:hint="eastAsia"/>
          <w:color w:val="000000" w:themeColor="text1"/>
          <w:sz w:val="21"/>
          <w:szCs w:val="21"/>
        </w:rPr>
        <w:t>传染性海绵状脑病</w:t>
      </w:r>
      <w:r>
        <w:rPr>
          <w:rFonts w:ascii="ºÚÌå" w:eastAsia="ºÚÌå" w:hAnsi="ºÚÌå" w:hint="eastAsia"/>
          <w:color w:val="000000" w:themeColor="text1"/>
          <w:sz w:val="21"/>
          <w:szCs w:val="21"/>
        </w:rPr>
        <w:t xml:space="preserve"> </w:t>
      </w:r>
      <w:r>
        <w:rPr>
          <w:color w:val="000000" w:themeColor="text1"/>
          <w:sz w:val="21"/>
          <w:szCs w:val="21"/>
        </w:rPr>
        <w:t>transmissible</w:t>
      </w:r>
      <w:r>
        <w:rPr>
          <w:rFonts w:hint="eastAsia"/>
          <w:color w:val="000000" w:themeColor="text1"/>
          <w:sz w:val="21"/>
          <w:szCs w:val="21"/>
        </w:rPr>
        <w:t xml:space="preserve"> </w:t>
      </w:r>
      <w:r>
        <w:rPr>
          <w:color w:val="000000" w:themeColor="text1"/>
          <w:sz w:val="21"/>
          <w:szCs w:val="21"/>
        </w:rPr>
        <w:t>spongifo</w:t>
      </w:r>
      <w:r>
        <w:rPr>
          <w:rFonts w:hint="eastAsia"/>
          <w:color w:val="000000" w:themeColor="text1"/>
          <w:sz w:val="21"/>
          <w:szCs w:val="21"/>
        </w:rPr>
        <w:t xml:space="preserve">rm </w:t>
      </w:r>
      <w:r>
        <w:rPr>
          <w:color w:val="000000" w:themeColor="text1"/>
          <w:sz w:val="21"/>
          <w:szCs w:val="21"/>
        </w:rPr>
        <w:t>encephalopathy</w:t>
      </w:r>
    </w:p>
    <w:p w:rsidR="002606BB" w:rsidRDefault="00841612" w:rsidP="00763FAE">
      <w:pPr>
        <w:pStyle w:val="a0"/>
        <w:spacing w:before="312" w:after="312"/>
        <w:rPr>
          <w:color w:val="000000" w:themeColor="text1"/>
        </w:rPr>
      </w:pPr>
      <w:bookmarkStart w:id="84" w:name="_Toc19518"/>
      <w:bookmarkStart w:id="85" w:name="_Toc13734"/>
      <w:bookmarkStart w:id="86" w:name="_Toc15127"/>
      <w:bookmarkStart w:id="87" w:name="_Toc7221"/>
      <w:bookmarkStart w:id="88" w:name="_Toc12026"/>
      <w:bookmarkStart w:id="89" w:name="_Toc24709"/>
      <w:bookmarkStart w:id="90" w:name="_Toc5246"/>
      <w:bookmarkStart w:id="91" w:name="_Toc26038"/>
      <w:bookmarkStart w:id="92" w:name="_Toc25743"/>
      <w:bookmarkStart w:id="93" w:name="_Toc9759"/>
      <w:r>
        <w:rPr>
          <w:rFonts w:hint="eastAsia"/>
          <w:color w:val="000000" w:themeColor="text1"/>
        </w:rPr>
        <w:t>基本原则</w:t>
      </w:r>
      <w:bookmarkEnd w:id="84"/>
    </w:p>
    <w:p w:rsidR="002606BB" w:rsidRDefault="00841612" w:rsidP="00763FAE">
      <w:pPr>
        <w:pStyle w:val="a1"/>
        <w:spacing w:before="156" w:after="156"/>
        <w:rPr>
          <w:color w:val="000000" w:themeColor="text1"/>
        </w:rPr>
      </w:pPr>
      <w:r>
        <w:rPr>
          <w:rFonts w:hint="eastAsia"/>
          <w:color w:val="000000" w:themeColor="text1"/>
        </w:rPr>
        <w:t>生产用原材料的基本概念</w:t>
      </w:r>
    </w:p>
    <w:p w:rsidR="002606BB" w:rsidRDefault="00841612">
      <w:pPr>
        <w:pStyle w:val="a2"/>
        <w:ind w:left="0"/>
        <w:rPr>
          <w:color w:val="000000" w:themeColor="text1"/>
        </w:rPr>
      </w:pPr>
      <w:r>
        <w:rPr>
          <w:rFonts w:hint="eastAsia"/>
          <w:color w:val="000000" w:themeColor="text1"/>
        </w:rPr>
        <w:t>生产用原材料指在生产过程中与细胞治疗产品直接接触，但不期望在细胞治疗产品中存在的材料。每种细胞治疗产品的生产用原材料由细胞治疗产品的制造工艺和最终形式确定。</w:t>
      </w:r>
    </w:p>
    <w:p w:rsidR="002606BB" w:rsidRDefault="00841612">
      <w:pPr>
        <w:pStyle w:val="a2"/>
        <w:ind w:left="0"/>
        <w:rPr>
          <w:color w:val="000000" w:themeColor="text1"/>
        </w:rPr>
      </w:pPr>
      <w:r>
        <w:rPr>
          <w:rFonts w:hint="eastAsia"/>
          <w:color w:val="000000" w:themeColor="text1"/>
        </w:rPr>
        <w:t>在细胞治疗产品生产工艺中，生产用原材料使用者应建立和实施能保证生产用原材料合格状态的措施，包括对各种生产用原材料所需的监管。对生产用原材料的管监管水平宜与该生产用原材料所构成的风险相适应，涉及其原产地、制造或供应链的完整性。</w:t>
      </w:r>
    </w:p>
    <w:p w:rsidR="002606BB" w:rsidRDefault="00841612">
      <w:pPr>
        <w:pStyle w:val="a2"/>
        <w:ind w:left="0"/>
        <w:rPr>
          <w:color w:val="000000" w:themeColor="text1"/>
        </w:rPr>
      </w:pPr>
      <w:r>
        <w:rPr>
          <w:rFonts w:hint="eastAsia"/>
          <w:color w:val="000000" w:themeColor="text1"/>
        </w:rPr>
        <w:t>有必要对生产用原材料采用基于风险的方法进行选择和质量评估。生产用原材料可能对细胞治疗产品的质量属性产生影响，包括：生产用原材料的质量和一致性会对细胞治疗产品的生产产生影响；生产用原材料的安全性和</w:t>
      </w:r>
      <w:proofErr w:type="gramStart"/>
      <w:r>
        <w:rPr>
          <w:rFonts w:hint="eastAsia"/>
          <w:color w:val="000000" w:themeColor="text1"/>
        </w:rPr>
        <w:t>监管链会对</w:t>
      </w:r>
      <w:proofErr w:type="gramEnd"/>
      <w:r>
        <w:rPr>
          <w:rFonts w:hint="eastAsia"/>
          <w:color w:val="000000" w:themeColor="text1"/>
        </w:rPr>
        <w:t>细胞治疗产品产生影响。</w:t>
      </w:r>
    </w:p>
    <w:p w:rsidR="002606BB" w:rsidRDefault="00841612">
      <w:pPr>
        <w:pStyle w:val="a2"/>
        <w:ind w:left="0"/>
        <w:rPr>
          <w:color w:val="000000" w:themeColor="text1"/>
        </w:rPr>
      </w:pPr>
      <w:r>
        <w:rPr>
          <w:rFonts w:hint="eastAsia"/>
          <w:color w:val="000000" w:themeColor="text1"/>
        </w:rPr>
        <w:t>生产用原材料使用者针对生产用原材料对细胞治疗产品质量属性影</w:t>
      </w:r>
      <w:r>
        <w:rPr>
          <w:rFonts w:hint="eastAsia"/>
          <w:color w:val="000000" w:themeColor="text1"/>
        </w:rPr>
        <w:t>响的评估和控制是基于：</w:t>
      </w:r>
    </w:p>
    <w:p w:rsidR="002606BB" w:rsidRDefault="00841612">
      <w:pPr>
        <w:pStyle w:val="af9"/>
        <w:numPr>
          <w:ilvl w:val="0"/>
          <w:numId w:val="21"/>
        </w:numPr>
        <w:rPr>
          <w:color w:val="000000" w:themeColor="text1"/>
        </w:rPr>
      </w:pPr>
      <w:r>
        <w:rPr>
          <w:rFonts w:hint="eastAsia"/>
          <w:color w:val="000000" w:themeColor="text1"/>
        </w:rPr>
        <w:t>生产用原材料供应者提供的信息；</w:t>
      </w:r>
    </w:p>
    <w:p w:rsidR="002606BB" w:rsidRDefault="00841612">
      <w:pPr>
        <w:pStyle w:val="af9"/>
        <w:numPr>
          <w:ilvl w:val="0"/>
          <w:numId w:val="21"/>
        </w:numPr>
        <w:rPr>
          <w:color w:val="000000" w:themeColor="text1"/>
        </w:rPr>
      </w:pPr>
      <w:r>
        <w:rPr>
          <w:rFonts w:hint="eastAsia"/>
          <w:color w:val="000000" w:themeColor="text1"/>
        </w:rPr>
        <w:t>生产用原材料使用者、生产用原材料供应者或两者从生产用原材料的特性和检测中或从细胞治疗产品的生产中获得的信息；</w:t>
      </w:r>
    </w:p>
    <w:p w:rsidR="002606BB" w:rsidRDefault="00841612">
      <w:pPr>
        <w:pStyle w:val="af9"/>
        <w:numPr>
          <w:ilvl w:val="0"/>
          <w:numId w:val="21"/>
        </w:numPr>
        <w:rPr>
          <w:color w:val="000000" w:themeColor="text1"/>
        </w:rPr>
      </w:pPr>
      <w:r>
        <w:rPr>
          <w:rFonts w:hint="eastAsia"/>
          <w:color w:val="000000" w:themeColor="text1"/>
        </w:rPr>
        <w:t>公布的标准。</w:t>
      </w:r>
    </w:p>
    <w:p w:rsidR="002606BB" w:rsidRDefault="00841612" w:rsidP="00763FAE">
      <w:pPr>
        <w:pStyle w:val="a1"/>
        <w:spacing w:before="156" w:after="156"/>
        <w:rPr>
          <w:color w:val="000000" w:themeColor="text1"/>
        </w:rPr>
      </w:pPr>
      <w:r>
        <w:rPr>
          <w:rFonts w:hint="eastAsia"/>
          <w:color w:val="000000" w:themeColor="text1"/>
        </w:rPr>
        <w:t>供应者和使用者的责任</w:t>
      </w:r>
    </w:p>
    <w:p w:rsidR="002606BB" w:rsidRDefault="00841612">
      <w:pPr>
        <w:pStyle w:val="a2"/>
        <w:numPr>
          <w:ilvl w:val="2"/>
          <w:numId w:val="0"/>
        </w:numPr>
        <w:ind w:firstLineChars="200" w:firstLine="420"/>
        <w:rPr>
          <w:color w:val="000000" w:themeColor="text1"/>
        </w:rPr>
      </w:pPr>
      <w:r>
        <w:rPr>
          <w:rFonts w:hint="eastAsia"/>
          <w:color w:val="000000" w:themeColor="text1"/>
        </w:rPr>
        <w:t>生产用原材料使用者和生产用原材料供应者就预期用于细胞治疗产品的生产用原材料的产品标准达成一致，并根据具体情况确定各自在工作流程各项活动中的责任。对工作流程中一些活动由谁来承担责任的建议见表</w:t>
      </w:r>
      <w:r>
        <w:rPr>
          <w:rFonts w:hint="eastAsia"/>
          <w:color w:val="000000" w:themeColor="text1"/>
        </w:rPr>
        <w:t>1</w:t>
      </w:r>
      <w:r>
        <w:rPr>
          <w:rFonts w:hint="eastAsia"/>
          <w:color w:val="000000" w:themeColor="text1"/>
        </w:rPr>
        <w:t>。</w:t>
      </w:r>
    </w:p>
    <w:p w:rsidR="002606BB" w:rsidRDefault="00841612">
      <w:pPr>
        <w:pStyle w:val="af7"/>
        <w:rPr>
          <w:color w:val="000000" w:themeColor="text1"/>
        </w:rPr>
      </w:pPr>
      <w:r>
        <w:rPr>
          <w:rFonts w:hint="eastAsia"/>
          <w:color w:val="000000" w:themeColor="text1"/>
        </w:rPr>
        <w:t>工作流程中许多活动的责任是由生产用原材料使用者和供应者共同确定的，所以生产用原材料使用者和供应者之间的关系是合作和透</w:t>
      </w:r>
      <w:r>
        <w:rPr>
          <w:rFonts w:hint="eastAsia"/>
          <w:color w:val="000000" w:themeColor="text1"/>
        </w:rPr>
        <w:t>明的。保持这种关系非常重要，否则可能会给生产用原材料使用者带来额外的风险，例如无法得到生产用原材料供应者的技术支持。表</w:t>
      </w:r>
      <w:r>
        <w:rPr>
          <w:rFonts w:hint="eastAsia"/>
          <w:color w:val="000000" w:themeColor="text1"/>
        </w:rPr>
        <w:t>1</w:t>
      </w:r>
      <w:r>
        <w:rPr>
          <w:rFonts w:hint="eastAsia"/>
          <w:color w:val="000000" w:themeColor="text1"/>
        </w:rPr>
        <w:t>提供了关于每项活动的责任方的建议信息，实际工作中这些活动的责任方是根据具体情况确定。</w:t>
      </w:r>
    </w:p>
    <w:p w:rsidR="002606BB" w:rsidRDefault="00841612">
      <w:pPr>
        <w:rPr>
          <w:rFonts w:hint="default"/>
          <w:color w:val="000000" w:themeColor="text1"/>
        </w:rPr>
      </w:pPr>
      <w:r>
        <w:rPr>
          <w:color w:val="000000" w:themeColor="text1"/>
        </w:rPr>
        <w:br w:type="page"/>
      </w:r>
    </w:p>
    <w:p w:rsidR="002606BB" w:rsidRDefault="00841612" w:rsidP="00763FAE">
      <w:pPr>
        <w:pStyle w:val="afe"/>
        <w:spacing w:before="156" w:after="156"/>
        <w:rPr>
          <w:color w:val="000000" w:themeColor="text1"/>
        </w:rPr>
      </w:pPr>
      <w:r>
        <w:rPr>
          <w:rFonts w:hint="eastAsia"/>
          <w:color w:val="000000" w:themeColor="text1"/>
        </w:rPr>
        <w:t>对工作流程中的活动及其责任方的建议</w:t>
      </w:r>
    </w:p>
    <w:tbl>
      <w:tblPr>
        <w:tblW w:w="8321" w:type="dxa"/>
        <w:tblInd w:w="272" w:type="dxa"/>
        <w:tblBorders>
          <w:top w:val="single" w:sz="12" w:space="0" w:color="000000"/>
          <w:left w:val="single" w:sz="12" w:space="0" w:color="000000"/>
          <w:bottom w:val="single" w:sz="12" w:space="0" w:color="000000"/>
          <w:right w:val="single" w:sz="12"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76"/>
        <w:gridCol w:w="2045"/>
      </w:tblGrid>
      <w:tr w:rsidR="002606BB">
        <w:trPr>
          <w:trHeight w:val="90"/>
        </w:trPr>
        <w:tc>
          <w:tcPr>
            <w:tcW w:w="6276" w:type="dxa"/>
            <w:tcBorders>
              <w:bottom w:val="single" w:sz="12" w:space="0" w:color="000000"/>
            </w:tcBorders>
          </w:tcPr>
          <w:p w:rsidR="002606BB" w:rsidRDefault="00841612">
            <w:pPr>
              <w:pStyle w:val="TableParagraph"/>
              <w:spacing w:before="60"/>
              <w:ind w:left="2289" w:right="2256"/>
              <w:jc w:val="left"/>
              <w:rPr>
                <w:rFonts w:ascii="宋体" w:eastAsia="宋体" w:hAnsi="宋体" w:cs="宋体" w:hint="default"/>
                <w:b/>
                <w:color w:val="000000" w:themeColor="text1"/>
                <w:lang w:eastAsia="zh-CN"/>
              </w:rPr>
            </w:pPr>
            <w:r>
              <w:rPr>
                <w:rFonts w:ascii="宋体" w:eastAsia="宋体" w:hAnsi="宋体" w:cs="宋体"/>
                <w:b/>
                <w:color w:val="000000" w:themeColor="text1"/>
                <w:lang w:eastAsia="zh-CN"/>
              </w:rPr>
              <w:t>活动内容</w:t>
            </w:r>
          </w:p>
        </w:tc>
        <w:tc>
          <w:tcPr>
            <w:tcW w:w="2045" w:type="dxa"/>
            <w:tcBorders>
              <w:bottom w:val="single" w:sz="12" w:space="0" w:color="000000"/>
            </w:tcBorders>
          </w:tcPr>
          <w:p w:rsidR="002606BB" w:rsidRDefault="00841612">
            <w:pPr>
              <w:pStyle w:val="TableParagraph"/>
              <w:spacing w:before="9"/>
              <w:ind w:left="237" w:right="187"/>
              <w:jc w:val="center"/>
              <w:rPr>
                <w:rFonts w:ascii="宋体" w:eastAsia="宋体" w:hAnsi="宋体" w:cs="宋体" w:hint="default"/>
                <w:b/>
                <w:color w:val="000000" w:themeColor="text1"/>
                <w:lang w:eastAsia="zh-CN"/>
              </w:rPr>
            </w:pPr>
            <w:r>
              <w:rPr>
                <w:rFonts w:ascii="宋体" w:eastAsia="宋体" w:hAnsi="宋体" w:cs="宋体"/>
                <w:b/>
                <w:color w:val="000000" w:themeColor="text1"/>
                <w:lang w:eastAsia="zh-CN"/>
              </w:rPr>
              <w:t>责任方</w:t>
            </w:r>
          </w:p>
        </w:tc>
      </w:tr>
      <w:tr w:rsidR="002606BB">
        <w:trPr>
          <w:trHeight w:val="332"/>
        </w:trPr>
        <w:tc>
          <w:tcPr>
            <w:tcW w:w="6276" w:type="dxa"/>
            <w:tcBorders>
              <w:top w:val="single" w:sz="12" w:space="0" w:color="000000"/>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提供文件证明生产用原材料及其成分在相关的动物来源疾病（如</w:t>
            </w:r>
            <w:r>
              <w:rPr>
                <w:rFonts w:hAnsi="宋体" w:cs="宋体" w:hint="eastAsia"/>
                <w:color w:val="000000" w:themeColor="text1"/>
                <w:kern w:val="2"/>
                <w:sz w:val="18"/>
                <w:szCs w:val="18"/>
              </w:rPr>
              <w:t>BSE/TSE</w:t>
            </w:r>
            <w:r>
              <w:rPr>
                <w:rFonts w:hAnsi="宋体" w:cs="宋体" w:hint="eastAsia"/>
                <w:color w:val="000000" w:themeColor="text1"/>
                <w:kern w:val="2"/>
                <w:sz w:val="18"/>
                <w:szCs w:val="18"/>
              </w:rPr>
              <w:t>）方面是安全的</w:t>
            </w:r>
          </w:p>
        </w:tc>
        <w:tc>
          <w:tcPr>
            <w:tcW w:w="2045" w:type="dxa"/>
            <w:tcBorders>
              <w:top w:val="single" w:sz="12" w:space="0" w:color="000000"/>
              <w:left w:val="single" w:sz="4" w:space="0" w:color="auto"/>
              <w:bottom w:val="single" w:sz="4" w:space="0" w:color="auto"/>
              <w:tl2br w:val="nil"/>
              <w:tr2bl w:val="nil"/>
            </w:tcBorders>
            <w:vAlign w:val="center"/>
          </w:tcPr>
          <w:p w:rsidR="002606BB" w:rsidRDefault="00841612">
            <w:pPr>
              <w:pStyle w:val="TableParagraph"/>
              <w:spacing w:before="61"/>
              <w:ind w:left="119"/>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生产用原材料供应者</w:t>
            </w:r>
          </w:p>
        </w:tc>
      </w:tr>
      <w:tr w:rsidR="002606BB">
        <w:trPr>
          <w:trHeight w:val="332"/>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起草并提交生产用原材料的主文件（如适用）</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61"/>
              <w:ind w:left="119"/>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生产用原材料供应者</w:t>
            </w:r>
          </w:p>
        </w:tc>
      </w:tr>
      <w:tr w:rsidR="002606BB">
        <w:trPr>
          <w:trHeight w:val="331"/>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评估生产用原材料的稳定性</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59"/>
              <w:ind w:left="121"/>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生产用原材料供应者</w:t>
            </w:r>
          </w:p>
        </w:tc>
      </w:tr>
      <w:tr w:rsidR="002606BB">
        <w:trPr>
          <w:trHeight w:val="329"/>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通知生产用原材料使用者的所有肯定或可能会影响生产用原材料的变更（例如，根据质量协议）</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60"/>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生产用原材料供应者</w:t>
            </w:r>
          </w:p>
        </w:tc>
      </w:tr>
      <w:tr w:rsidR="002606BB">
        <w:trPr>
          <w:trHeight w:val="329"/>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对生产用原材料的容器密闭系统进行评估</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60"/>
              <w:ind w:left="123"/>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生产用原材料供应者</w:t>
            </w:r>
          </w:p>
        </w:tc>
      </w:tr>
      <w:tr w:rsidR="002606BB">
        <w:trPr>
          <w:trHeight w:val="329"/>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提供生产用原材料的</w:t>
            </w:r>
            <w:r>
              <w:rPr>
                <w:rFonts w:hAnsi="宋体" w:cs="宋体" w:hint="eastAsia"/>
                <w:color w:val="000000" w:themeColor="text1"/>
                <w:kern w:val="2"/>
                <w:sz w:val="18"/>
                <w:szCs w:val="18"/>
              </w:rPr>
              <w:t>CoA</w:t>
            </w:r>
            <w:r>
              <w:rPr>
                <w:rFonts w:hAnsi="宋体" w:cs="宋体" w:hint="eastAsia"/>
                <w:color w:val="000000" w:themeColor="text1"/>
                <w:kern w:val="2"/>
                <w:sz w:val="18"/>
                <w:szCs w:val="18"/>
              </w:rPr>
              <w:t>、</w:t>
            </w:r>
            <w:proofErr w:type="spellStart"/>
            <w:r>
              <w:rPr>
                <w:rFonts w:hAnsi="宋体" w:cs="宋体" w:hint="eastAsia"/>
                <w:color w:val="000000" w:themeColor="text1"/>
                <w:kern w:val="2"/>
                <w:sz w:val="18"/>
                <w:szCs w:val="18"/>
              </w:rPr>
              <w:t>CoO</w:t>
            </w:r>
            <w:proofErr w:type="spellEnd"/>
            <w:r>
              <w:rPr>
                <w:rFonts w:hAnsi="宋体" w:cs="宋体" w:hint="eastAsia"/>
                <w:color w:val="000000" w:themeColor="text1"/>
                <w:kern w:val="2"/>
                <w:sz w:val="18"/>
                <w:szCs w:val="18"/>
              </w:rPr>
              <w:t>和</w:t>
            </w:r>
            <w:r>
              <w:rPr>
                <w:rFonts w:hAnsi="宋体" w:cs="宋体" w:hint="eastAsia"/>
                <w:color w:val="000000" w:themeColor="text1"/>
                <w:kern w:val="2"/>
                <w:sz w:val="18"/>
                <w:szCs w:val="18"/>
              </w:rPr>
              <w:t>SDS</w:t>
            </w:r>
            <w:r>
              <w:rPr>
                <w:rFonts w:hAnsi="宋体" w:cs="宋体" w:hint="eastAsia"/>
                <w:color w:val="000000" w:themeColor="text1"/>
                <w:kern w:val="2"/>
                <w:sz w:val="18"/>
                <w:szCs w:val="18"/>
              </w:rPr>
              <w:t>等文件</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60"/>
              <w:ind w:left="123"/>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生产用原材料供应者</w:t>
            </w:r>
          </w:p>
        </w:tc>
      </w:tr>
      <w:tr w:rsidR="002606BB">
        <w:trPr>
          <w:trHeight w:val="467"/>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根据生产用原材料供应者提供的信息，或与生产用原材料供应者合作，对生产用原材料的使用进行风险评估，例如，故障模式和影响分析</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50"/>
              <w:ind w:right="74"/>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生产用原材料供应者</w:t>
            </w:r>
            <w:r>
              <w:rPr>
                <w:rFonts w:ascii="宋体" w:eastAsia="宋体" w:hAnsi="宋体" w:cs="宋体"/>
                <w:color w:val="000000" w:themeColor="text1"/>
                <w:w w:val="105"/>
                <w:sz w:val="18"/>
                <w:szCs w:val="18"/>
                <w:lang w:eastAsia="zh-CN"/>
              </w:rPr>
              <w:t>和</w:t>
            </w:r>
            <w:r>
              <w:rPr>
                <w:rFonts w:ascii="宋体" w:eastAsia="宋体" w:hAnsi="宋体" w:cs="宋体"/>
                <w:color w:val="000000" w:themeColor="text1"/>
                <w:sz w:val="18"/>
                <w:szCs w:val="18"/>
                <w:lang w:eastAsia="zh-CN"/>
              </w:rPr>
              <w:t>生产用原材料使用者</w:t>
            </w:r>
          </w:p>
        </w:tc>
      </w:tr>
      <w:tr w:rsidR="002606BB">
        <w:trPr>
          <w:trHeight w:val="508"/>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对生产用原材料进行表征检测并确定产品标准（例如，鉴别、纯度、功能性、病毒污染、动物来源等）</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59"/>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生产用原材料供应者</w:t>
            </w:r>
            <w:r>
              <w:rPr>
                <w:rFonts w:ascii="宋体" w:eastAsia="宋体" w:hAnsi="宋体" w:cs="宋体"/>
                <w:color w:val="000000" w:themeColor="text1"/>
                <w:w w:val="105"/>
                <w:sz w:val="18"/>
                <w:szCs w:val="18"/>
                <w:lang w:eastAsia="zh-CN"/>
              </w:rPr>
              <w:t>和</w:t>
            </w:r>
            <w:r>
              <w:rPr>
                <w:rFonts w:ascii="宋体" w:eastAsia="宋体" w:hAnsi="宋体" w:cs="宋体"/>
                <w:color w:val="000000" w:themeColor="text1"/>
                <w:sz w:val="18"/>
                <w:szCs w:val="18"/>
                <w:lang w:eastAsia="zh-CN"/>
              </w:rPr>
              <w:t>生产用原材料使用者</w:t>
            </w:r>
          </w:p>
        </w:tc>
      </w:tr>
      <w:tr w:rsidR="002606BB">
        <w:trPr>
          <w:trHeight w:val="685"/>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w w:val="105"/>
                <w:kern w:val="2"/>
                <w:sz w:val="18"/>
                <w:szCs w:val="18"/>
              </w:rPr>
            </w:pPr>
            <w:r>
              <w:rPr>
                <w:rFonts w:hAnsi="宋体" w:cs="宋体" w:hint="eastAsia"/>
                <w:color w:val="000000" w:themeColor="text1"/>
                <w:kern w:val="2"/>
                <w:sz w:val="18"/>
                <w:szCs w:val="18"/>
              </w:rPr>
              <w:t>确认有关细胞产品的关键</w:t>
            </w:r>
            <w:r>
              <w:rPr>
                <w:rFonts w:hAnsi="宋体" w:cs="宋体" w:hint="eastAsia"/>
                <w:color w:val="000000" w:themeColor="text1"/>
                <w:kern w:val="2"/>
                <w:sz w:val="18"/>
                <w:szCs w:val="18"/>
              </w:rPr>
              <w:t>CoA</w:t>
            </w:r>
            <w:r>
              <w:rPr>
                <w:rFonts w:hAnsi="宋体" w:cs="宋体" w:hint="eastAsia"/>
                <w:color w:val="000000" w:themeColor="text1"/>
                <w:kern w:val="2"/>
                <w:sz w:val="18"/>
                <w:szCs w:val="18"/>
              </w:rPr>
              <w:t>检测结果（例如功能分析）</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64"/>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生产用原材料供应者</w:t>
            </w:r>
            <w:r>
              <w:rPr>
                <w:rFonts w:ascii="宋体" w:eastAsia="宋体" w:hAnsi="宋体" w:cs="宋体"/>
                <w:color w:val="000000" w:themeColor="text1"/>
                <w:w w:val="105"/>
                <w:sz w:val="18"/>
                <w:szCs w:val="18"/>
                <w:lang w:eastAsia="zh-CN"/>
              </w:rPr>
              <w:t>和</w:t>
            </w:r>
            <w:r>
              <w:rPr>
                <w:rFonts w:ascii="宋体" w:eastAsia="宋体" w:hAnsi="宋体" w:cs="宋体"/>
                <w:color w:val="000000" w:themeColor="text1"/>
                <w:sz w:val="18"/>
                <w:szCs w:val="18"/>
                <w:lang w:eastAsia="zh-CN"/>
              </w:rPr>
              <w:t>生产用原材料使用者</w:t>
            </w:r>
          </w:p>
        </w:tc>
      </w:tr>
      <w:tr w:rsidR="002606BB">
        <w:trPr>
          <w:trHeight w:val="642"/>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执行质量和供应协议</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生产用原材料供应者</w:t>
            </w:r>
            <w:r>
              <w:rPr>
                <w:rFonts w:ascii="宋体" w:eastAsia="宋体" w:hAnsi="宋体" w:cs="宋体"/>
                <w:color w:val="000000" w:themeColor="text1"/>
                <w:w w:val="105"/>
                <w:sz w:val="18"/>
                <w:szCs w:val="18"/>
                <w:lang w:eastAsia="zh-CN"/>
              </w:rPr>
              <w:t>和</w:t>
            </w:r>
            <w:r>
              <w:rPr>
                <w:rFonts w:ascii="宋体" w:eastAsia="宋体" w:hAnsi="宋体" w:cs="宋体"/>
                <w:color w:val="000000" w:themeColor="text1"/>
                <w:sz w:val="18"/>
                <w:szCs w:val="18"/>
                <w:lang w:eastAsia="zh-CN"/>
              </w:rPr>
              <w:t>生产用原材料使用者</w:t>
            </w:r>
          </w:p>
        </w:tc>
      </w:tr>
      <w:tr w:rsidR="002606BB">
        <w:trPr>
          <w:trHeight w:val="642"/>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执行基于风险的生产用原材料供应者资质评价流程，通常包括初始筛选、现场审核、正式批准、持续监控</w:t>
            </w:r>
            <w:r>
              <w:rPr>
                <w:rFonts w:hAnsi="宋体" w:cs="宋体" w:hint="eastAsia"/>
                <w:color w:val="000000" w:themeColor="text1"/>
                <w:kern w:val="2"/>
                <w:sz w:val="18"/>
                <w:szCs w:val="18"/>
              </w:rPr>
              <w:t>/</w:t>
            </w:r>
            <w:r>
              <w:rPr>
                <w:rFonts w:hAnsi="宋体" w:cs="宋体" w:hint="eastAsia"/>
                <w:color w:val="000000" w:themeColor="text1"/>
                <w:kern w:val="2"/>
                <w:sz w:val="18"/>
                <w:szCs w:val="18"/>
              </w:rPr>
              <w:t>监督</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64"/>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生产用原材料使用者</w:t>
            </w:r>
          </w:p>
        </w:tc>
      </w:tr>
      <w:tr w:rsidR="002606BB">
        <w:trPr>
          <w:trHeight w:val="642"/>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w w:val="105"/>
                <w:kern w:val="2"/>
                <w:sz w:val="18"/>
                <w:szCs w:val="18"/>
              </w:rPr>
            </w:pPr>
            <w:r>
              <w:rPr>
                <w:rFonts w:hAnsi="宋体" w:cs="宋体" w:hint="eastAsia"/>
                <w:color w:val="000000" w:themeColor="text1"/>
                <w:kern w:val="2"/>
                <w:sz w:val="18"/>
                <w:szCs w:val="18"/>
              </w:rPr>
              <w:t>决定是否需要进行生物相容性、生物分布、细胞毒性或外来物质检测，或者是否认可生产用原材料供应者提供的检测结果（如适用）</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60"/>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生产用原材料使用者</w:t>
            </w:r>
          </w:p>
        </w:tc>
      </w:tr>
      <w:tr w:rsidR="002606BB">
        <w:trPr>
          <w:trHeight w:val="392"/>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ascii="Cambria"/>
                <w:color w:val="000000" w:themeColor="text1"/>
                <w:w w:val="105"/>
                <w:kern w:val="2"/>
                <w:sz w:val="18"/>
                <w:szCs w:val="18"/>
              </w:rPr>
            </w:pPr>
            <w:r>
              <w:rPr>
                <w:rFonts w:hAnsi="宋体" w:cs="宋体" w:hint="eastAsia"/>
                <w:color w:val="000000" w:themeColor="text1"/>
                <w:kern w:val="2"/>
                <w:sz w:val="18"/>
                <w:szCs w:val="18"/>
              </w:rPr>
              <w:t>针对替代供应者制定类似的保证和计划</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生产用原材料使用者</w:t>
            </w:r>
          </w:p>
        </w:tc>
      </w:tr>
      <w:tr w:rsidR="002606BB">
        <w:trPr>
          <w:trHeight w:val="370"/>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leftChars="103" w:left="216" w:firstLineChars="0" w:firstLine="0"/>
              <w:rPr>
                <w:rFonts w:hAnsi="宋体" w:cs="宋体"/>
                <w:color w:val="000000" w:themeColor="text1"/>
                <w:kern w:val="2"/>
                <w:sz w:val="18"/>
                <w:szCs w:val="18"/>
              </w:rPr>
            </w:pPr>
            <w:r>
              <w:rPr>
                <w:rFonts w:hAnsi="宋体" w:cs="宋体" w:hint="eastAsia"/>
                <w:color w:val="000000" w:themeColor="text1"/>
                <w:kern w:val="2"/>
                <w:sz w:val="18"/>
                <w:szCs w:val="18"/>
              </w:rPr>
              <w:t>评估生产用原材料的性能是否满足预期用途</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61"/>
              <w:ind w:left="121"/>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生产用原材料使用者</w:t>
            </w:r>
          </w:p>
        </w:tc>
      </w:tr>
      <w:tr w:rsidR="002606BB">
        <w:trPr>
          <w:trHeight w:val="344"/>
        </w:trPr>
        <w:tc>
          <w:tcPr>
            <w:tcW w:w="6276" w:type="dxa"/>
            <w:tcBorders>
              <w:top w:val="single" w:sz="4" w:space="0" w:color="auto"/>
              <w:bottom w:val="single" w:sz="4" w:space="0" w:color="auto"/>
              <w:right w:val="single" w:sz="4" w:space="0" w:color="auto"/>
              <w:tl2br w:val="nil"/>
              <w:tr2bl w:val="nil"/>
            </w:tcBorders>
            <w:vAlign w:val="center"/>
          </w:tcPr>
          <w:p w:rsidR="002606BB" w:rsidRDefault="00841612">
            <w:pPr>
              <w:pStyle w:val="afff"/>
              <w:ind w:firstLineChars="104" w:firstLine="187"/>
              <w:rPr>
                <w:rFonts w:hAnsi="宋体" w:cs="宋体"/>
                <w:color w:val="000000" w:themeColor="text1"/>
                <w:kern w:val="2"/>
                <w:sz w:val="18"/>
                <w:szCs w:val="18"/>
              </w:rPr>
            </w:pPr>
            <w:r>
              <w:rPr>
                <w:rFonts w:hAnsi="宋体" w:cs="宋体" w:hint="eastAsia"/>
                <w:color w:val="000000" w:themeColor="text1"/>
                <w:kern w:val="2"/>
                <w:sz w:val="18"/>
                <w:szCs w:val="18"/>
              </w:rPr>
              <w:t>评估生产用原材料批次间变化对最终细胞产品的影响</w:t>
            </w:r>
          </w:p>
        </w:tc>
        <w:tc>
          <w:tcPr>
            <w:tcW w:w="2045" w:type="dxa"/>
            <w:tcBorders>
              <w:top w:val="single" w:sz="4" w:space="0" w:color="auto"/>
              <w:left w:val="single" w:sz="4" w:space="0" w:color="auto"/>
              <w:bottom w:val="single" w:sz="4" w:space="0" w:color="auto"/>
              <w:tl2br w:val="nil"/>
              <w:tr2bl w:val="nil"/>
            </w:tcBorders>
            <w:vAlign w:val="center"/>
          </w:tcPr>
          <w:p w:rsidR="002606BB" w:rsidRDefault="00841612">
            <w:pPr>
              <w:pStyle w:val="TableParagraph"/>
              <w:spacing w:before="62"/>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生产用原材料使用者</w:t>
            </w:r>
          </w:p>
        </w:tc>
      </w:tr>
      <w:tr w:rsidR="002606BB">
        <w:trPr>
          <w:trHeight w:val="386"/>
        </w:trPr>
        <w:tc>
          <w:tcPr>
            <w:tcW w:w="6276" w:type="dxa"/>
            <w:tcBorders>
              <w:top w:val="single" w:sz="4" w:space="0" w:color="auto"/>
              <w:right w:val="single" w:sz="4" w:space="0" w:color="auto"/>
              <w:tl2br w:val="nil"/>
              <w:tr2bl w:val="nil"/>
            </w:tcBorders>
            <w:vAlign w:val="center"/>
          </w:tcPr>
          <w:p w:rsidR="002606BB" w:rsidRDefault="00841612">
            <w:pPr>
              <w:pStyle w:val="afff"/>
              <w:ind w:firstLineChars="104" w:firstLine="187"/>
              <w:rPr>
                <w:rFonts w:hAnsi="宋体" w:cs="宋体"/>
                <w:color w:val="000000" w:themeColor="text1"/>
                <w:w w:val="105"/>
                <w:kern w:val="2"/>
                <w:sz w:val="18"/>
                <w:szCs w:val="18"/>
              </w:rPr>
            </w:pPr>
            <w:r>
              <w:rPr>
                <w:rFonts w:hAnsi="宋体" w:cs="宋体" w:hint="eastAsia"/>
                <w:color w:val="000000" w:themeColor="text1"/>
                <w:kern w:val="2"/>
                <w:sz w:val="18"/>
                <w:szCs w:val="18"/>
              </w:rPr>
              <w:t>为生产用原材料的使用制定并实施质量评价计划</w:t>
            </w:r>
          </w:p>
        </w:tc>
        <w:tc>
          <w:tcPr>
            <w:tcW w:w="2045" w:type="dxa"/>
            <w:tcBorders>
              <w:top w:val="single" w:sz="4" w:space="0" w:color="auto"/>
              <w:left w:val="single" w:sz="4" w:space="0" w:color="auto"/>
              <w:tl2br w:val="nil"/>
              <w:tr2bl w:val="nil"/>
            </w:tcBorders>
            <w:vAlign w:val="center"/>
          </w:tcPr>
          <w:p w:rsidR="002606BB" w:rsidRDefault="00841612">
            <w:pPr>
              <w:pStyle w:val="TableParagraph"/>
              <w:spacing w:before="62"/>
              <w:rPr>
                <w:rFonts w:ascii="宋体" w:eastAsia="宋体" w:hAnsi="宋体" w:cs="宋体" w:hint="default"/>
                <w:color w:val="000000" w:themeColor="text1"/>
                <w:sz w:val="18"/>
                <w:szCs w:val="18"/>
                <w:lang w:eastAsia="zh-CN"/>
              </w:rPr>
            </w:pPr>
            <w:r>
              <w:rPr>
                <w:rFonts w:ascii="宋体" w:eastAsia="宋体" w:hAnsi="宋体" w:cs="宋体"/>
                <w:color w:val="000000" w:themeColor="text1"/>
                <w:sz w:val="18"/>
                <w:szCs w:val="18"/>
                <w:lang w:eastAsia="zh-CN"/>
              </w:rPr>
              <w:t>生产用原材料使用者</w:t>
            </w:r>
          </w:p>
        </w:tc>
      </w:tr>
    </w:tbl>
    <w:p w:rsidR="002606BB" w:rsidRDefault="00841612" w:rsidP="00763FAE">
      <w:pPr>
        <w:pStyle w:val="a1"/>
        <w:spacing w:before="156" w:after="156"/>
        <w:rPr>
          <w:color w:val="000000" w:themeColor="text1"/>
        </w:rPr>
      </w:pPr>
      <w:r>
        <w:rPr>
          <w:rFonts w:hint="eastAsia"/>
          <w:color w:val="000000" w:themeColor="text1"/>
        </w:rPr>
        <w:t>生产用原材料合格评定的考虑因素</w:t>
      </w:r>
    </w:p>
    <w:p w:rsidR="002606BB" w:rsidRDefault="00841612">
      <w:pPr>
        <w:pStyle w:val="a2"/>
        <w:ind w:left="0"/>
        <w:rPr>
          <w:color w:val="000000" w:themeColor="text1"/>
        </w:rPr>
      </w:pPr>
      <w:r>
        <w:rPr>
          <w:rFonts w:hint="eastAsia"/>
          <w:color w:val="000000" w:themeColor="text1"/>
        </w:rPr>
        <w:t>生产用原材料的</w:t>
      </w:r>
      <w:r>
        <w:rPr>
          <w:color w:val="000000" w:themeColor="text1"/>
        </w:rPr>
        <w:t>合格评定</w:t>
      </w:r>
      <w:r>
        <w:rPr>
          <w:rFonts w:hint="eastAsia"/>
          <w:color w:val="000000" w:themeColor="text1"/>
        </w:rPr>
        <w:t>包括以下方面：</w:t>
      </w:r>
    </w:p>
    <w:p w:rsidR="002606BB" w:rsidRDefault="00841612">
      <w:pPr>
        <w:pStyle w:val="af9"/>
        <w:numPr>
          <w:ilvl w:val="0"/>
          <w:numId w:val="22"/>
        </w:numPr>
        <w:rPr>
          <w:color w:val="000000" w:themeColor="text1"/>
        </w:rPr>
      </w:pPr>
      <w:r>
        <w:rPr>
          <w:rFonts w:hint="eastAsia"/>
          <w:color w:val="000000" w:themeColor="text1"/>
        </w:rPr>
        <w:t>生产用原材料的信息，包括特性和材料属性（即鉴别、纯度、稳定性、功能性和性能）；</w:t>
      </w:r>
    </w:p>
    <w:p w:rsidR="002606BB" w:rsidRDefault="00841612">
      <w:pPr>
        <w:pStyle w:val="af9"/>
        <w:numPr>
          <w:ilvl w:val="0"/>
          <w:numId w:val="22"/>
        </w:numPr>
        <w:rPr>
          <w:color w:val="000000" w:themeColor="text1"/>
        </w:rPr>
      </w:pPr>
      <w:r>
        <w:rPr>
          <w:rFonts w:hint="eastAsia"/>
          <w:color w:val="000000" w:themeColor="text1"/>
        </w:rPr>
        <w:t>所有生产用原材料的文件，包括其成分、质量等级、每种成分的来源、浓度和纯度；</w:t>
      </w:r>
    </w:p>
    <w:p w:rsidR="002606BB" w:rsidRDefault="00841612">
      <w:pPr>
        <w:pStyle w:val="af9"/>
        <w:numPr>
          <w:ilvl w:val="0"/>
          <w:numId w:val="22"/>
        </w:numPr>
        <w:rPr>
          <w:color w:val="000000" w:themeColor="text1"/>
        </w:rPr>
      </w:pPr>
      <w:r>
        <w:rPr>
          <w:rFonts w:hint="eastAsia"/>
          <w:color w:val="000000" w:themeColor="text1"/>
        </w:rPr>
        <w:t>阐述生产用原材料生产步骤中的批次间一致性，特别是与生产用原材料的鉴别和性能相关的批次间一致性；</w:t>
      </w:r>
    </w:p>
    <w:p w:rsidR="002606BB" w:rsidRDefault="00841612">
      <w:pPr>
        <w:pStyle w:val="af9"/>
        <w:numPr>
          <w:ilvl w:val="0"/>
          <w:numId w:val="22"/>
        </w:numPr>
        <w:rPr>
          <w:color w:val="000000" w:themeColor="text1"/>
        </w:rPr>
      </w:pPr>
      <w:r>
        <w:rPr>
          <w:rFonts w:hint="eastAsia"/>
          <w:color w:val="000000" w:themeColor="text1"/>
        </w:rPr>
        <w:t>适当的生物安全水平，包括避免引入因治疗给患者带来直接或</w:t>
      </w:r>
      <w:proofErr w:type="gramStart"/>
      <w:r>
        <w:rPr>
          <w:rFonts w:hint="eastAsia"/>
          <w:color w:val="000000" w:themeColor="text1"/>
        </w:rPr>
        <w:t>间接危害</w:t>
      </w:r>
      <w:proofErr w:type="gramEnd"/>
      <w:r>
        <w:rPr>
          <w:rFonts w:hint="eastAsia"/>
          <w:color w:val="000000" w:themeColor="text1"/>
        </w:rPr>
        <w:t>的物质；</w:t>
      </w:r>
    </w:p>
    <w:p w:rsidR="002606BB" w:rsidRDefault="00841612">
      <w:pPr>
        <w:pStyle w:val="af9"/>
        <w:numPr>
          <w:ilvl w:val="0"/>
          <w:numId w:val="22"/>
        </w:numPr>
        <w:rPr>
          <w:color w:val="000000" w:themeColor="text1"/>
        </w:rPr>
      </w:pPr>
      <w:r>
        <w:rPr>
          <w:rFonts w:hint="eastAsia"/>
          <w:color w:val="000000" w:themeColor="text1"/>
        </w:rPr>
        <w:t>引入毒性或致病性污染物的风险，如可行，应对相关指标如检测限（</w:t>
      </w:r>
      <w:r>
        <w:rPr>
          <w:rFonts w:hint="eastAsia"/>
          <w:color w:val="000000" w:themeColor="text1"/>
        </w:rPr>
        <w:t>LOD</w:t>
      </w:r>
      <w:r>
        <w:rPr>
          <w:rFonts w:hint="eastAsia"/>
          <w:color w:val="000000" w:themeColor="text1"/>
        </w:rPr>
        <w:t>）或容许限（</w:t>
      </w:r>
      <w:r>
        <w:rPr>
          <w:rFonts w:hint="eastAsia"/>
          <w:color w:val="000000" w:themeColor="text1"/>
        </w:rPr>
        <w:t>LOT</w:t>
      </w:r>
      <w:r>
        <w:rPr>
          <w:rFonts w:hint="eastAsia"/>
          <w:color w:val="000000" w:themeColor="text1"/>
        </w:rPr>
        <w:t>）进行确定和验证；</w:t>
      </w:r>
    </w:p>
    <w:p w:rsidR="002606BB" w:rsidRDefault="00841612">
      <w:pPr>
        <w:pStyle w:val="af9"/>
        <w:numPr>
          <w:ilvl w:val="0"/>
          <w:numId w:val="22"/>
        </w:numPr>
        <w:rPr>
          <w:color w:val="000000" w:themeColor="text1"/>
        </w:rPr>
      </w:pPr>
      <w:r>
        <w:rPr>
          <w:rFonts w:hint="eastAsia"/>
          <w:color w:val="000000" w:themeColor="text1"/>
        </w:rPr>
        <w:t>生产用原材料具备持续稳健发挥目的功能的性能。生产用原材料供应者应根据生产用原材料预期用途选择能满足其预期功能的模式细胞生产工艺；</w:t>
      </w:r>
      <w:r>
        <w:rPr>
          <w:rFonts w:hint="eastAsia"/>
          <w:color w:val="000000" w:themeColor="text1"/>
        </w:rPr>
        <w:t xml:space="preserve"> </w:t>
      </w:r>
    </w:p>
    <w:p w:rsidR="002606BB" w:rsidRDefault="00841612">
      <w:pPr>
        <w:pStyle w:val="af9"/>
        <w:numPr>
          <w:ilvl w:val="0"/>
          <w:numId w:val="22"/>
        </w:numPr>
        <w:rPr>
          <w:color w:val="000000" w:themeColor="text1"/>
        </w:rPr>
      </w:pPr>
      <w:r>
        <w:rPr>
          <w:rFonts w:hint="eastAsia"/>
          <w:color w:val="000000" w:themeColor="text1"/>
        </w:rPr>
        <w:t>生产用原材料供应者应提供充足的随附文件向生产用原材料使用者传达生产用原材料的信息，帮助后者确保其细胞治疗产品</w:t>
      </w:r>
      <w:r>
        <w:rPr>
          <w:rFonts w:hint="eastAsia"/>
          <w:color w:val="000000" w:themeColor="text1"/>
        </w:rPr>
        <w:t>的质量；</w:t>
      </w:r>
    </w:p>
    <w:p w:rsidR="002606BB" w:rsidRDefault="00841612">
      <w:pPr>
        <w:pStyle w:val="af9"/>
        <w:numPr>
          <w:ilvl w:val="0"/>
          <w:numId w:val="22"/>
        </w:numPr>
        <w:rPr>
          <w:color w:val="000000" w:themeColor="text1"/>
        </w:rPr>
      </w:pPr>
      <w:r>
        <w:rPr>
          <w:rFonts w:hint="eastAsia"/>
          <w:color w:val="000000" w:themeColor="text1"/>
        </w:rPr>
        <w:t>用于细胞治疗产品生产的生物材料的质量声明；</w:t>
      </w:r>
    </w:p>
    <w:p w:rsidR="002606BB" w:rsidRDefault="00841612">
      <w:pPr>
        <w:pStyle w:val="af9"/>
        <w:numPr>
          <w:ilvl w:val="0"/>
          <w:numId w:val="22"/>
        </w:numPr>
        <w:rPr>
          <w:color w:val="000000" w:themeColor="text1"/>
        </w:rPr>
      </w:pPr>
      <w:r>
        <w:rPr>
          <w:rFonts w:hint="eastAsia"/>
          <w:color w:val="000000" w:themeColor="text1"/>
        </w:rPr>
        <w:t>生产用原材料使用时的风险评估、标准以及降低风险的措施；</w:t>
      </w:r>
    </w:p>
    <w:p w:rsidR="002606BB" w:rsidRDefault="00841612">
      <w:pPr>
        <w:pStyle w:val="af9"/>
        <w:numPr>
          <w:ilvl w:val="0"/>
          <w:numId w:val="22"/>
        </w:numPr>
        <w:rPr>
          <w:color w:val="000000" w:themeColor="text1"/>
        </w:rPr>
      </w:pPr>
      <w:r>
        <w:rPr>
          <w:rFonts w:hint="eastAsia"/>
          <w:color w:val="000000" w:themeColor="text1"/>
        </w:rPr>
        <w:t>生物材料的表征；</w:t>
      </w:r>
    </w:p>
    <w:p w:rsidR="002606BB" w:rsidRDefault="00841612">
      <w:pPr>
        <w:pStyle w:val="af9"/>
        <w:numPr>
          <w:ilvl w:val="0"/>
          <w:numId w:val="22"/>
        </w:numPr>
        <w:rPr>
          <w:color w:val="000000" w:themeColor="text1"/>
        </w:rPr>
      </w:pPr>
      <w:r>
        <w:rPr>
          <w:rFonts w:hint="eastAsia"/>
          <w:color w:val="000000" w:themeColor="text1"/>
        </w:rPr>
        <w:t>生产用原材料的变更管理。</w:t>
      </w:r>
    </w:p>
    <w:p w:rsidR="002606BB" w:rsidRDefault="00841612">
      <w:pPr>
        <w:pStyle w:val="a2"/>
        <w:ind w:left="0"/>
        <w:rPr>
          <w:color w:val="000000" w:themeColor="text1"/>
        </w:rPr>
      </w:pPr>
      <w:r>
        <w:rPr>
          <w:rFonts w:hint="eastAsia"/>
          <w:color w:val="000000" w:themeColor="text1"/>
        </w:rPr>
        <w:t>生产用原材料适用于其细胞治疗产品生产的</w:t>
      </w:r>
      <w:r>
        <w:rPr>
          <w:color w:val="000000" w:themeColor="text1"/>
        </w:rPr>
        <w:t>合格评</w:t>
      </w:r>
      <w:r>
        <w:rPr>
          <w:rFonts w:hint="eastAsia"/>
          <w:color w:val="000000" w:themeColor="text1"/>
        </w:rPr>
        <w:t>定由生产用原材料使用者负责。</w:t>
      </w:r>
    </w:p>
    <w:p w:rsidR="002606BB" w:rsidRDefault="00841612">
      <w:pPr>
        <w:pStyle w:val="a2"/>
        <w:ind w:left="0"/>
        <w:rPr>
          <w:color w:val="000000" w:themeColor="text1"/>
        </w:rPr>
      </w:pPr>
      <w:r>
        <w:rPr>
          <w:rFonts w:hint="eastAsia"/>
          <w:color w:val="000000" w:themeColor="text1"/>
        </w:rPr>
        <w:t>如适用，生产用原材料的鉴别检测（</w:t>
      </w:r>
      <w:r>
        <w:rPr>
          <w:rFonts w:hint="eastAsia"/>
          <w:color w:val="000000" w:themeColor="text1"/>
        </w:rPr>
        <w:t>ID</w:t>
      </w:r>
      <w:r>
        <w:rPr>
          <w:rFonts w:hint="eastAsia"/>
          <w:color w:val="000000" w:themeColor="text1"/>
        </w:rPr>
        <w:t>）或纯度检测宜由供应者提供。当生产用原材料供应者委托第三方（</w:t>
      </w:r>
      <w:r>
        <w:rPr>
          <w:rFonts w:hint="eastAsia"/>
          <w:color w:val="000000" w:themeColor="text1"/>
        </w:rPr>
        <w:t>sub-suppliers</w:t>
      </w:r>
      <w:r>
        <w:rPr>
          <w:rFonts w:hint="eastAsia"/>
          <w:color w:val="000000" w:themeColor="text1"/>
        </w:rPr>
        <w:t>）负责部分环节时，针对第三方不符合资质评价的情况</w:t>
      </w:r>
      <w:proofErr w:type="gramStart"/>
      <w:r>
        <w:rPr>
          <w:rFonts w:hint="eastAsia"/>
          <w:color w:val="000000" w:themeColor="text1"/>
        </w:rPr>
        <w:t>宜制定</w:t>
      </w:r>
      <w:proofErr w:type="gramEnd"/>
      <w:r>
        <w:rPr>
          <w:rFonts w:hint="eastAsia"/>
          <w:color w:val="000000" w:themeColor="text1"/>
        </w:rPr>
        <w:t>应对计划。</w:t>
      </w:r>
    </w:p>
    <w:p w:rsidR="002606BB" w:rsidRDefault="00841612">
      <w:pPr>
        <w:pStyle w:val="a2"/>
        <w:ind w:left="0"/>
        <w:rPr>
          <w:color w:val="000000" w:themeColor="text1"/>
        </w:rPr>
      </w:pPr>
      <w:r>
        <w:rPr>
          <w:rFonts w:hint="eastAsia"/>
          <w:color w:val="000000" w:themeColor="text1"/>
        </w:rPr>
        <w:t>生产用原材料使用者</w:t>
      </w:r>
      <w:proofErr w:type="gramStart"/>
      <w:r>
        <w:rPr>
          <w:rFonts w:hint="eastAsia"/>
          <w:color w:val="000000" w:themeColor="text1"/>
        </w:rPr>
        <w:t>宜负责</w:t>
      </w:r>
      <w:proofErr w:type="gramEnd"/>
      <w:r>
        <w:rPr>
          <w:rFonts w:hint="eastAsia"/>
          <w:color w:val="000000" w:themeColor="text1"/>
        </w:rPr>
        <w:t>评估最终细胞治疗产品中是否存在残留的生产用原材料。</w:t>
      </w:r>
    </w:p>
    <w:p w:rsidR="002606BB" w:rsidRDefault="00841612">
      <w:pPr>
        <w:pStyle w:val="a2"/>
        <w:ind w:left="0"/>
        <w:rPr>
          <w:color w:val="000000" w:themeColor="text1"/>
        </w:rPr>
      </w:pPr>
      <w:r>
        <w:rPr>
          <w:rFonts w:hint="eastAsia"/>
          <w:color w:val="000000" w:themeColor="text1"/>
        </w:rPr>
        <w:t>生产用原材料使用者宜对生产用原材料供应者进行审计以确认生产用原材料的质量符合性。</w:t>
      </w:r>
    </w:p>
    <w:p w:rsidR="002606BB" w:rsidRDefault="00841612">
      <w:pPr>
        <w:pStyle w:val="a2"/>
        <w:ind w:left="0"/>
        <w:rPr>
          <w:color w:val="000000" w:themeColor="text1"/>
        </w:rPr>
      </w:pPr>
      <w:r>
        <w:rPr>
          <w:rFonts w:hint="eastAsia"/>
          <w:color w:val="000000" w:themeColor="text1"/>
        </w:rPr>
        <w:t>生产用原材料供应者负责生产用原材料的一般性能的质量符合性评价，而生产用原材料使用者负责预期目的的质量符合性评价。</w:t>
      </w:r>
    </w:p>
    <w:p w:rsidR="002606BB" w:rsidRDefault="00841612" w:rsidP="00763FAE">
      <w:pPr>
        <w:pStyle w:val="a0"/>
        <w:spacing w:before="312" w:after="312"/>
        <w:rPr>
          <w:color w:val="000000" w:themeColor="text1"/>
        </w:rPr>
      </w:pPr>
      <w:bookmarkStart w:id="94" w:name="_Toc18677"/>
      <w:r>
        <w:rPr>
          <w:rFonts w:hint="eastAsia"/>
          <w:color w:val="000000" w:themeColor="text1"/>
        </w:rPr>
        <w:t>风险评估标准和</w:t>
      </w:r>
      <w:bookmarkEnd w:id="85"/>
      <w:bookmarkEnd w:id="86"/>
      <w:r>
        <w:rPr>
          <w:rFonts w:hint="eastAsia"/>
          <w:color w:val="000000" w:themeColor="text1"/>
        </w:rPr>
        <w:t>降低风险的措施</w:t>
      </w:r>
      <w:bookmarkEnd w:id="87"/>
      <w:bookmarkEnd w:id="88"/>
      <w:bookmarkEnd w:id="89"/>
      <w:bookmarkEnd w:id="90"/>
      <w:bookmarkEnd w:id="91"/>
      <w:bookmarkEnd w:id="92"/>
      <w:bookmarkEnd w:id="93"/>
      <w:bookmarkEnd w:id="94"/>
    </w:p>
    <w:p w:rsidR="002606BB" w:rsidRDefault="00841612" w:rsidP="00763FAE">
      <w:pPr>
        <w:pStyle w:val="a1"/>
        <w:spacing w:before="156" w:after="156"/>
        <w:rPr>
          <w:color w:val="000000" w:themeColor="text1"/>
        </w:rPr>
      </w:pPr>
      <w:r>
        <w:rPr>
          <w:rFonts w:hint="eastAsia"/>
          <w:color w:val="000000" w:themeColor="text1"/>
        </w:rPr>
        <w:t>风险评估</w:t>
      </w:r>
    </w:p>
    <w:p w:rsidR="002606BB" w:rsidRDefault="00841612">
      <w:pPr>
        <w:pStyle w:val="a2"/>
        <w:numPr>
          <w:ilvl w:val="2"/>
          <w:numId w:val="0"/>
        </w:numPr>
        <w:ind w:firstLineChars="200" w:firstLine="420"/>
        <w:rPr>
          <w:color w:val="000000" w:themeColor="text1"/>
        </w:rPr>
      </w:pPr>
      <w:r>
        <w:rPr>
          <w:rFonts w:hint="eastAsia"/>
          <w:color w:val="000000" w:themeColor="text1"/>
        </w:rPr>
        <w:t>生产用原材料使用者宜从多个方面来评估生产用原材料</w:t>
      </w:r>
      <w:r>
        <w:rPr>
          <w:rFonts w:asciiTheme="minorEastAsia" w:eastAsiaTheme="minorEastAsia" w:hAnsiTheme="minorEastAsia" w:cstheme="minorEastAsia" w:hint="eastAsia"/>
          <w:color w:val="000000" w:themeColor="text1"/>
        </w:rPr>
        <w:t>是否适用于细胞治疗产品的生产，</w:t>
      </w:r>
      <w:r>
        <w:rPr>
          <w:rFonts w:hint="eastAsia"/>
          <w:color w:val="000000" w:themeColor="text1"/>
        </w:rPr>
        <w:t>评估不应受到生产用原材料供应者声称的等级或质量标准的影响。评估生产用原材料</w:t>
      </w:r>
      <w:r>
        <w:rPr>
          <w:rFonts w:asciiTheme="minorEastAsia" w:eastAsiaTheme="minorEastAsia" w:hAnsiTheme="minorEastAsia" w:cstheme="minorEastAsia" w:hint="eastAsia"/>
          <w:color w:val="000000" w:themeColor="text1"/>
        </w:rPr>
        <w:t>是否适用于细胞治疗产品的生产的关键因素和</w:t>
      </w:r>
      <w:proofErr w:type="gramStart"/>
      <w:r>
        <w:rPr>
          <w:rFonts w:asciiTheme="minorEastAsia" w:eastAsiaTheme="minorEastAsia" w:hAnsiTheme="minorEastAsia" w:cstheme="minorEastAsia" w:hint="eastAsia"/>
          <w:color w:val="000000" w:themeColor="text1"/>
        </w:rPr>
        <w:t>考量</w:t>
      </w:r>
      <w:proofErr w:type="gramEnd"/>
      <w:r>
        <w:rPr>
          <w:rFonts w:hint="eastAsia"/>
          <w:color w:val="000000" w:themeColor="text1"/>
        </w:rPr>
        <w:t>见表</w:t>
      </w:r>
      <w:r>
        <w:rPr>
          <w:rFonts w:hint="eastAsia"/>
          <w:color w:val="000000" w:themeColor="text1"/>
        </w:rPr>
        <w:t>2</w:t>
      </w:r>
      <w:r>
        <w:rPr>
          <w:rFonts w:hint="eastAsia"/>
          <w:color w:val="000000" w:themeColor="text1"/>
        </w:rPr>
        <w:t>。</w:t>
      </w:r>
    </w:p>
    <w:p w:rsidR="002606BB" w:rsidRDefault="00841612">
      <w:pPr>
        <w:rPr>
          <w:rFonts w:hint="default"/>
          <w:color w:val="000000" w:themeColor="text1"/>
        </w:rPr>
      </w:pPr>
      <w:r>
        <w:rPr>
          <w:color w:val="000000" w:themeColor="text1"/>
        </w:rPr>
        <w:br w:type="page"/>
      </w:r>
    </w:p>
    <w:p w:rsidR="002606BB" w:rsidRDefault="00841612" w:rsidP="00763FAE">
      <w:pPr>
        <w:pStyle w:val="afe"/>
        <w:spacing w:before="156" w:after="156"/>
        <w:rPr>
          <w:color w:val="000000" w:themeColor="text1"/>
        </w:rPr>
      </w:pPr>
      <w:r>
        <w:rPr>
          <w:rFonts w:hint="eastAsia"/>
          <w:color w:val="000000" w:themeColor="text1"/>
        </w:rPr>
        <w:t>评估生产用原材料是否适用于细胞</w:t>
      </w:r>
    </w:p>
    <w:tbl>
      <w:tblPr>
        <w:tblW w:w="0" w:type="auto"/>
        <w:tblInd w:w="101" w:type="dxa"/>
        <w:tblBorders>
          <w:top w:val="single" w:sz="12" w:space="0" w:color="000000"/>
          <w:left w:val="single" w:sz="12" w:space="0" w:color="000000"/>
          <w:bottom w:val="single" w:sz="12" w:space="0" w:color="000000"/>
          <w:right w:val="single" w:sz="12"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9"/>
        <w:gridCol w:w="3348"/>
        <w:gridCol w:w="4246"/>
      </w:tblGrid>
      <w:tr w:rsidR="002606BB">
        <w:trPr>
          <w:trHeight w:hRule="exact" w:val="582"/>
        </w:trPr>
        <w:tc>
          <w:tcPr>
            <w:tcW w:w="1249" w:type="dxa"/>
            <w:tcBorders>
              <w:bottom w:val="single" w:sz="12" w:space="0" w:color="000000"/>
            </w:tcBorders>
            <w:vAlign w:val="center"/>
          </w:tcPr>
          <w:p w:rsidR="002606BB" w:rsidRDefault="00841612">
            <w:pPr>
              <w:pStyle w:val="TableParagraph"/>
              <w:spacing w:before="63"/>
              <w:ind w:left="0"/>
              <w:jc w:val="center"/>
              <w:rPr>
                <w:rFonts w:eastAsia="宋体" w:hint="default"/>
                <w:color w:val="000000" w:themeColor="text1"/>
                <w:sz w:val="18"/>
                <w:szCs w:val="18"/>
                <w:lang w:eastAsia="zh-CN"/>
              </w:rPr>
            </w:pPr>
            <w:r>
              <w:rPr>
                <w:rFonts w:eastAsia="宋体"/>
                <w:b/>
                <w:color w:val="000000" w:themeColor="text1"/>
                <w:w w:val="105"/>
                <w:sz w:val="18"/>
                <w:lang w:eastAsia="zh-CN"/>
              </w:rPr>
              <w:t>因素</w:t>
            </w:r>
          </w:p>
        </w:tc>
        <w:tc>
          <w:tcPr>
            <w:tcW w:w="3348" w:type="dxa"/>
            <w:tcBorders>
              <w:bottom w:val="single" w:sz="12" w:space="0" w:color="000000"/>
            </w:tcBorders>
            <w:vAlign w:val="center"/>
          </w:tcPr>
          <w:p w:rsidR="002606BB" w:rsidRDefault="00841612">
            <w:pPr>
              <w:pStyle w:val="TableParagraph"/>
              <w:spacing w:before="63"/>
              <w:ind w:left="0"/>
              <w:jc w:val="center"/>
              <w:rPr>
                <w:rFonts w:hint="default"/>
                <w:color w:val="000000" w:themeColor="text1"/>
                <w:sz w:val="18"/>
                <w:szCs w:val="18"/>
                <w:lang w:eastAsia="zh-CN"/>
              </w:rPr>
            </w:pPr>
            <w:r>
              <w:rPr>
                <w:rFonts w:eastAsia="宋体"/>
                <w:b/>
                <w:color w:val="000000" w:themeColor="text1"/>
                <w:sz w:val="18"/>
                <w:lang w:eastAsia="zh-CN"/>
              </w:rPr>
              <w:t>关键</w:t>
            </w:r>
            <w:proofErr w:type="gramStart"/>
            <w:r>
              <w:rPr>
                <w:rFonts w:eastAsia="宋体"/>
                <w:b/>
                <w:color w:val="000000" w:themeColor="text1"/>
                <w:sz w:val="18"/>
                <w:lang w:eastAsia="zh-CN"/>
              </w:rPr>
              <w:t>考量</w:t>
            </w:r>
            <w:proofErr w:type="gramEnd"/>
            <w:r>
              <w:rPr>
                <w:rFonts w:eastAsia="宋体"/>
                <w:b/>
                <w:color w:val="000000" w:themeColor="text1"/>
                <w:sz w:val="18"/>
                <w:lang w:eastAsia="zh-CN"/>
              </w:rPr>
              <w:t>，要求和指导</w:t>
            </w:r>
          </w:p>
        </w:tc>
        <w:tc>
          <w:tcPr>
            <w:tcW w:w="4246" w:type="dxa"/>
            <w:tcBorders>
              <w:bottom w:val="single" w:sz="12" w:space="0" w:color="000000"/>
            </w:tcBorders>
            <w:vAlign w:val="center"/>
          </w:tcPr>
          <w:p w:rsidR="002606BB" w:rsidRDefault="00841612">
            <w:pPr>
              <w:pStyle w:val="TableParagraph"/>
              <w:spacing w:before="63"/>
              <w:ind w:left="0"/>
              <w:jc w:val="center"/>
              <w:rPr>
                <w:rFonts w:eastAsia="宋体" w:hint="default"/>
                <w:color w:val="000000" w:themeColor="text1"/>
                <w:sz w:val="18"/>
                <w:szCs w:val="18"/>
                <w:lang w:eastAsia="zh-CN"/>
              </w:rPr>
            </w:pPr>
            <w:r>
              <w:rPr>
                <w:rFonts w:eastAsia="宋体"/>
                <w:b/>
                <w:color w:val="000000" w:themeColor="text1"/>
                <w:w w:val="105"/>
                <w:sz w:val="18"/>
                <w:lang w:eastAsia="zh-CN"/>
              </w:rPr>
              <w:t>关键问题</w:t>
            </w:r>
          </w:p>
        </w:tc>
      </w:tr>
      <w:tr w:rsidR="002606BB">
        <w:trPr>
          <w:trHeight w:hRule="exact" w:val="3355"/>
        </w:trPr>
        <w:tc>
          <w:tcPr>
            <w:tcW w:w="1249" w:type="dxa"/>
            <w:tcBorders>
              <w:top w:val="single" w:sz="12" w:space="0" w:color="000000"/>
              <w:bottom w:val="single" w:sz="4" w:space="0" w:color="auto"/>
              <w:right w:val="single" w:sz="4" w:space="0" w:color="auto"/>
              <w:tl2br w:val="nil"/>
              <w:tr2bl w:val="nil"/>
            </w:tcBorders>
            <w:vAlign w:val="center"/>
          </w:tcPr>
          <w:p w:rsidR="002606BB" w:rsidRDefault="00841612">
            <w:pPr>
              <w:pStyle w:val="TableParagraph"/>
              <w:spacing w:before="60"/>
              <w:ind w:left="99"/>
              <w:jc w:val="center"/>
              <w:rPr>
                <w:rFonts w:eastAsia="宋体" w:hint="default"/>
                <w:color w:val="000000" w:themeColor="text1"/>
                <w:sz w:val="18"/>
                <w:szCs w:val="18"/>
                <w:lang w:eastAsia="zh-CN"/>
              </w:rPr>
            </w:pPr>
            <w:r>
              <w:rPr>
                <w:rFonts w:eastAsia="宋体"/>
                <w:color w:val="000000" w:themeColor="text1"/>
                <w:w w:val="105"/>
                <w:sz w:val="18"/>
                <w:lang w:eastAsia="zh-CN"/>
              </w:rPr>
              <w:t>来源</w:t>
            </w:r>
          </w:p>
        </w:tc>
        <w:tc>
          <w:tcPr>
            <w:tcW w:w="3348" w:type="dxa"/>
            <w:tcBorders>
              <w:top w:val="single" w:sz="12" w:space="0" w:color="000000"/>
              <w:left w:val="single" w:sz="4" w:space="0" w:color="auto"/>
              <w:bottom w:val="single" w:sz="4" w:space="0" w:color="auto"/>
              <w:right w:val="single" w:sz="4" w:space="0" w:color="auto"/>
              <w:tl2br w:val="nil"/>
              <w:tr2bl w:val="nil"/>
            </w:tcBorders>
          </w:tcPr>
          <w:p w:rsidR="002606BB" w:rsidRDefault="00841612">
            <w:pPr>
              <w:pStyle w:val="TableParagraph"/>
              <w:spacing w:before="113" w:line="251" w:lineRule="auto"/>
              <w:ind w:left="107" w:right="84"/>
              <w:rPr>
                <w:rFonts w:eastAsia="宋体" w:hint="default"/>
                <w:color w:val="000000" w:themeColor="text1"/>
                <w:w w:val="105"/>
                <w:sz w:val="18"/>
                <w:lang w:eastAsia="zh-CN"/>
              </w:rPr>
            </w:pPr>
            <w:r>
              <w:rPr>
                <w:rFonts w:eastAsia="宋体"/>
                <w:color w:val="000000" w:themeColor="text1"/>
                <w:w w:val="105"/>
                <w:sz w:val="18"/>
                <w:lang w:eastAsia="zh-CN"/>
              </w:rPr>
              <w:t>生产用原材料使用者需要从来源或出处上评估生产用原材料的鉴别、活性、纯度和质量。生产用原材料存在的额外风险可包括传播外源因子或者引入生物杂质。生产用原材料使用者宜使用风险评估来选择必要的生产用原材料。</w:t>
            </w:r>
          </w:p>
          <w:p w:rsidR="002606BB" w:rsidRDefault="00841612">
            <w:pPr>
              <w:pStyle w:val="TableParagraph"/>
              <w:spacing w:before="113" w:line="251" w:lineRule="auto"/>
              <w:ind w:left="107" w:right="84"/>
              <w:rPr>
                <w:rFonts w:hint="default"/>
                <w:color w:val="000000" w:themeColor="text1"/>
                <w:w w:val="105"/>
                <w:sz w:val="18"/>
                <w:lang w:eastAsia="zh-CN"/>
              </w:rPr>
            </w:pPr>
            <w:r>
              <w:rPr>
                <w:rFonts w:eastAsia="宋体"/>
                <w:color w:val="000000" w:themeColor="text1"/>
                <w:w w:val="105"/>
                <w:sz w:val="18"/>
                <w:lang w:eastAsia="zh-CN"/>
              </w:rPr>
              <w:t>生产用原材料使用者宜关注最新信息，例如指导如何选择合适的生产用原材料生物来源的指南和监管文件。</w:t>
            </w:r>
          </w:p>
        </w:tc>
        <w:tc>
          <w:tcPr>
            <w:tcW w:w="4246" w:type="dxa"/>
            <w:tcBorders>
              <w:top w:val="single" w:sz="12" w:space="0" w:color="000000"/>
              <w:left w:val="single" w:sz="4" w:space="0" w:color="auto"/>
              <w:bottom w:val="single" w:sz="4" w:space="0" w:color="auto"/>
              <w:tl2br w:val="nil"/>
              <w:tr2bl w:val="nil"/>
            </w:tcBorders>
          </w:tcPr>
          <w:p w:rsidR="002606BB" w:rsidRDefault="00841612">
            <w:pPr>
              <w:pStyle w:val="TableParagraph"/>
              <w:spacing w:before="113" w:line="251" w:lineRule="auto"/>
              <w:ind w:left="107" w:right="84"/>
              <w:rPr>
                <w:rFonts w:eastAsia="宋体" w:hint="default"/>
                <w:color w:val="000000" w:themeColor="text1"/>
                <w:w w:val="105"/>
                <w:sz w:val="18"/>
                <w:lang w:eastAsia="zh-CN"/>
              </w:rPr>
            </w:pPr>
            <w:r>
              <w:rPr>
                <w:rFonts w:eastAsia="宋体"/>
                <w:color w:val="000000" w:themeColor="text1"/>
                <w:w w:val="105"/>
                <w:sz w:val="18"/>
                <w:lang w:eastAsia="zh-CN"/>
              </w:rPr>
              <w:t>生产用原材料的来源是否降低了外来因素的风险，例如牛源成分有来自非</w:t>
            </w:r>
            <w:r>
              <w:rPr>
                <w:rFonts w:eastAsia="宋体"/>
                <w:color w:val="000000" w:themeColor="text1"/>
                <w:w w:val="105"/>
                <w:sz w:val="18"/>
                <w:lang w:eastAsia="zh-CN"/>
              </w:rPr>
              <w:t>TSE</w:t>
            </w:r>
            <w:r>
              <w:rPr>
                <w:rFonts w:eastAsia="宋体"/>
                <w:color w:val="000000" w:themeColor="text1"/>
                <w:w w:val="105"/>
                <w:sz w:val="18"/>
                <w:lang w:eastAsia="zh-CN"/>
              </w:rPr>
              <w:t>地区的证明？</w:t>
            </w:r>
          </w:p>
          <w:p w:rsidR="002606BB" w:rsidRDefault="00841612">
            <w:pPr>
              <w:pStyle w:val="TableParagraph"/>
              <w:spacing w:before="113" w:line="251" w:lineRule="auto"/>
              <w:ind w:left="107" w:right="84"/>
              <w:rPr>
                <w:rFonts w:eastAsia="宋体" w:hint="default"/>
                <w:color w:val="000000" w:themeColor="text1"/>
                <w:w w:val="105"/>
                <w:sz w:val="18"/>
                <w:lang w:eastAsia="zh-CN"/>
              </w:rPr>
            </w:pPr>
            <w:r>
              <w:rPr>
                <w:rFonts w:eastAsia="宋体"/>
                <w:color w:val="000000" w:themeColor="text1"/>
                <w:w w:val="105"/>
                <w:sz w:val="18"/>
                <w:lang w:eastAsia="zh-CN"/>
              </w:rPr>
              <w:t>是否可替换为风险更低的生产用原材料，例如使用重组胰蛋白酶代替猪源性胰蛋白酶？</w:t>
            </w:r>
          </w:p>
          <w:p w:rsidR="002606BB" w:rsidRDefault="00841612">
            <w:pPr>
              <w:pStyle w:val="TableParagraph"/>
              <w:spacing w:before="113" w:line="251" w:lineRule="auto"/>
              <w:ind w:left="107" w:right="84"/>
              <w:rPr>
                <w:rFonts w:eastAsia="宋体" w:hint="default"/>
                <w:color w:val="000000" w:themeColor="text1"/>
                <w:w w:val="105"/>
                <w:sz w:val="18"/>
                <w:lang w:eastAsia="zh-CN"/>
              </w:rPr>
            </w:pPr>
            <w:r>
              <w:rPr>
                <w:rFonts w:eastAsia="宋体"/>
                <w:color w:val="000000" w:themeColor="text1"/>
                <w:w w:val="105"/>
                <w:sz w:val="18"/>
                <w:lang w:eastAsia="zh-CN"/>
              </w:rPr>
              <w:t>生产用原材料的记录中是否有病毒安全性文件？</w:t>
            </w:r>
          </w:p>
          <w:p w:rsidR="002606BB" w:rsidRDefault="002606BB">
            <w:pPr>
              <w:pStyle w:val="TableParagraph"/>
              <w:spacing w:before="110" w:line="251" w:lineRule="auto"/>
              <w:ind w:left="109" w:right="73"/>
              <w:rPr>
                <w:rFonts w:hint="default"/>
                <w:color w:val="000000" w:themeColor="text1"/>
                <w:sz w:val="18"/>
                <w:szCs w:val="18"/>
                <w:lang w:eastAsia="zh-CN"/>
              </w:rPr>
            </w:pPr>
          </w:p>
        </w:tc>
      </w:tr>
      <w:tr w:rsidR="002606BB">
        <w:trPr>
          <w:trHeight w:hRule="exact" w:val="5075"/>
        </w:trPr>
        <w:tc>
          <w:tcPr>
            <w:tcW w:w="1249" w:type="dxa"/>
            <w:tcBorders>
              <w:top w:val="single" w:sz="4" w:space="0" w:color="auto"/>
              <w:bottom w:val="single" w:sz="4" w:space="0" w:color="auto"/>
              <w:right w:val="single" w:sz="4" w:space="0" w:color="auto"/>
              <w:tl2br w:val="nil"/>
              <w:tr2bl w:val="nil"/>
            </w:tcBorders>
            <w:vAlign w:val="center"/>
          </w:tcPr>
          <w:p w:rsidR="002606BB" w:rsidRDefault="00841612">
            <w:pPr>
              <w:pStyle w:val="TableParagraph"/>
              <w:spacing w:before="58"/>
              <w:ind w:left="99"/>
              <w:jc w:val="center"/>
              <w:rPr>
                <w:rFonts w:eastAsia="宋体" w:hint="default"/>
                <w:color w:val="000000" w:themeColor="text1"/>
                <w:sz w:val="18"/>
                <w:szCs w:val="18"/>
                <w:lang w:eastAsia="zh-CN"/>
              </w:rPr>
            </w:pPr>
            <w:r>
              <w:rPr>
                <w:rFonts w:eastAsia="宋体"/>
                <w:color w:val="000000" w:themeColor="text1"/>
                <w:w w:val="105"/>
                <w:sz w:val="18"/>
                <w:lang w:eastAsia="zh-CN"/>
              </w:rPr>
              <w:t>生产</w:t>
            </w:r>
          </w:p>
        </w:tc>
        <w:tc>
          <w:tcPr>
            <w:tcW w:w="3348" w:type="dxa"/>
            <w:tcBorders>
              <w:top w:val="single" w:sz="4" w:space="0" w:color="auto"/>
              <w:left w:val="single" w:sz="4" w:space="0" w:color="auto"/>
              <w:bottom w:val="single" w:sz="4" w:space="0" w:color="auto"/>
              <w:right w:val="single" w:sz="4" w:space="0" w:color="auto"/>
              <w:tl2br w:val="nil"/>
              <w:tr2bl w:val="nil"/>
            </w:tcBorders>
          </w:tcPr>
          <w:p w:rsidR="002606BB" w:rsidRDefault="00841612">
            <w:pPr>
              <w:pStyle w:val="TableParagraph"/>
              <w:spacing w:before="110" w:line="251" w:lineRule="auto"/>
              <w:ind w:left="111" w:right="71"/>
              <w:rPr>
                <w:rFonts w:hint="default"/>
                <w:color w:val="000000" w:themeColor="text1"/>
                <w:w w:val="105"/>
                <w:sz w:val="18"/>
                <w:lang w:eastAsia="zh-CN"/>
              </w:rPr>
            </w:pPr>
            <w:r>
              <w:rPr>
                <w:rFonts w:eastAsia="宋体"/>
                <w:color w:val="000000" w:themeColor="text1"/>
                <w:w w:val="105"/>
                <w:sz w:val="18"/>
                <w:lang w:eastAsia="zh-CN"/>
              </w:rPr>
              <w:t>生产用原材料使用者宜寻求与生产用原材料生产工艺相关的最大级别的信息。例如，生产用原材料可能不是生物来源，但其制造过程仍然可能涉及使用生物来源的材料。</w:t>
            </w:r>
          </w:p>
        </w:tc>
        <w:tc>
          <w:tcPr>
            <w:tcW w:w="4246" w:type="dxa"/>
            <w:tcBorders>
              <w:top w:val="single" w:sz="4" w:space="0" w:color="auto"/>
              <w:left w:val="single" w:sz="4" w:space="0" w:color="auto"/>
              <w:bottom w:val="single" w:sz="4" w:space="0" w:color="auto"/>
              <w:tl2br w:val="nil"/>
              <w:tr2bl w:val="nil"/>
            </w:tcBorders>
          </w:tcPr>
          <w:p w:rsidR="002606BB" w:rsidRDefault="00841612">
            <w:pPr>
              <w:pStyle w:val="TableParagraph"/>
              <w:spacing w:before="113" w:line="251" w:lineRule="auto"/>
              <w:ind w:left="107" w:right="84"/>
              <w:rPr>
                <w:rFonts w:eastAsia="宋体" w:hint="default"/>
                <w:color w:val="000000" w:themeColor="text1"/>
                <w:w w:val="105"/>
                <w:sz w:val="18"/>
                <w:lang w:eastAsia="zh-CN"/>
              </w:rPr>
            </w:pPr>
            <w:r>
              <w:rPr>
                <w:rFonts w:eastAsia="宋体"/>
                <w:color w:val="000000" w:themeColor="text1"/>
                <w:w w:val="105"/>
                <w:sz w:val="18"/>
                <w:lang w:eastAsia="zh-CN"/>
              </w:rPr>
              <w:t>生产用原材料是否在专用设施中生产，以尽量减少可能的交叉污染？如果生产用原材料未在专用设施中生产，采取何种保护措施可避免该材料的交叉污染，例如，生产线的清理程序、设施的清洁程序，其他生产用原材料的保存程序？</w:t>
            </w:r>
          </w:p>
          <w:p w:rsidR="002606BB" w:rsidRDefault="00841612">
            <w:pPr>
              <w:pStyle w:val="TableParagraph"/>
              <w:spacing w:before="113" w:line="251" w:lineRule="auto"/>
              <w:ind w:left="107" w:right="84"/>
              <w:rPr>
                <w:rFonts w:eastAsia="宋体" w:hint="default"/>
                <w:color w:val="000000" w:themeColor="text1"/>
                <w:w w:val="105"/>
                <w:sz w:val="18"/>
                <w:lang w:eastAsia="zh-CN"/>
              </w:rPr>
            </w:pPr>
            <w:r>
              <w:rPr>
                <w:rFonts w:eastAsia="宋体"/>
                <w:color w:val="000000" w:themeColor="text1"/>
                <w:w w:val="105"/>
                <w:sz w:val="18"/>
                <w:lang w:eastAsia="zh-CN"/>
              </w:rPr>
              <w:t>如果生产用原材料未在专用设施中使用，采取了何种保护措施可避免该材料的交叉污染，例如，生产线的清理程序、清洁程序？</w:t>
            </w:r>
          </w:p>
          <w:p w:rsidR="002606BB" w:rsidRDefault="00841612">
            <w:pPr>
              <w:pStyle w:val="TableParagraph"/>
              <w:spacing w:before="113" w:line="251" w:lineRule="auto"/>
              <w:ind w:left="107" w:right="84"/>
              <w:rPr>
                <w:rFonts w:eastAsia="宋体" w:hint="default"/>
                <w:color w:val="000000" w:themeColor="text1"/>
                <w:w w:val="105"/>
                <w:sz w:val="18"/>
                <w:lang w:eastAsia="zh-CN"/>
              </w:rPr>
            </w:pPr>
            <w:r>
              <w:rPr>
                <w:rFonts w:eastAsia="宋体"/>
                <w:color w:val="000000" w:themeColor="text1"/>
                <w:w w:val="105"/>
                <w:sz w:val="18"/>
                <w:lang w:eastAsia="zh-CN"/>
              </w:rPr>
              <w:t>AM</w:t>
            </w:r>
            <w:r>
              <w:rPr>
                <w:rFonts w:eastAsia="宋体"/>
                <w:color w:val="000000" w:themeColor="text1"/>
                <w:w w:val="105"/>
                <w:sz w:val="18"/>
                <w:lang w:eastAsia="zh-CN"/>
              </w:rPr>
              <w:t>的生产过程中是否使用了生物材料？如果使用了重组蛋白，该重组蛋白是否使用哺乳动物细胞或细菌表达系统生产？</w:t>
            </w:r>
          </w:p>
          <w:p w:rsidR="002606BB" w:rsidRDefault="00841612">
            <w:pPr>
              <w:pStyle w:val="TableParagraph"/>
              <w:spacing w:before="113" w:line="251" w:lineRule="auto"/>
              <w:ind w:left="107" w:right="84"/>
              <w:rPr>
                <w:rFonts w:hint="default"/>
                <w:color w:val="000000" w:themeColor="text1"/>
                <w:sz w:val="18"/>
                <w:szCs w:val="18"/>
                <w:lang w:eastAsia="zh-CN"/>
              </w:rPr>
            </w:pPr>
            <w:r>
              <w:rPr>
                <w:rFonts w:eastAsia="宋体"/>
                <w:color w:val="000000" w:themeColor="text1"/>
                <w:w w:val="105"/>
                <w:sz w:val="18"/>
                <w:lang w:eastAsia="zh-CN"/>
              </w:rPr>
              <w:t>如果生产用原材料源于动物源性成分或在生产过程中使用了动物源性成分，是否采取减少病原体的步骤，这些步骤是否经过验证？</w:t>
            </w:r>
          </w:p>
        </w:tc>
      </w:tr>
      <w:tr w:rsidR="002606BB">
        <w:trPr>
          <w:trHeight w:hRule="exact" w:val="3878"/>
        </w:trPr>
        <w:tc>
          <w:tcPr>
            <w:tcW w:w="1249" w:type="dxa"/>
            <w:tcBorders>
              <w:top w:val="single" w:sz="4" w:space="0" w:color="auto"/>
              <w:right w:val="single" w:sz="4" w:space="0" w:color="auto"/>
              <w:tl2br w:val="nil"/>
              <w:tr2bl w:val="nil"/>
            </w:tcBorders>
            <w:vAlign w:val="center"/>
          </w:tcPr>
          <w:p w:rsidR="002606BB" w:rsidRDefault="00841612">
            <w:pPr>
              <w:pStyle w:val="TableParagraph"/>
              <w:spacing w:before="60"/>
              <w:ind w:left="99"/>
              <w:jc w:val="center"/>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检测</w:t>
            </w:r>
          </w:p>
        </w:tc>
        <w:tc>
          <w:tcPr>
            <w:tcW w:w="3348" w:type="dxa"/>
            <w:tcBorders>
              <w:top w:val="single" w:sz="4" w:space="0" w:color="auto"/>
              <w:left w:val="single" w:sz="4" w:space="0" w:color="auto"/>
              <w:right w:val="single" w:sz="4" w:space="0" w:color="auto"/>
              <w:tl2br w:val="nil"/>
              <w:tr2bl w:val="nil"/>
            </w:tcBorders>
          </w:tcPr>
          <w:p w:rsidR="002606BB" w:rsidRDefault="00841612">
            <w:pPr>
              <w:pStyle w:val="TableParagraph"/>
              <w:spacing w:before="113" w:line="251" w:lineRule="auto"/>
              <w:ind w:left="107" w:right="84"/>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宜用第</w:t>
            </w:r>
            <w:r>
              <w:rPr>
                <w:rFonts w:ascii="宋体" w:eastAsia="宋体" w:hAnsi="宋体" w:cs="宋体"/>
                <w:color w:val="000000" w:themeColor="text1"/>
                <w:w w:val="105"/>
                <w:sz w:val="18"/>
                <w:lang w:eastAsia="zh-CN"/>
              </w:rPr>
              <w:t>9</w:t>
            </w:r>
            <w:r>
              <w:rPr>
                <w:rFonts w:ascii="宋体" w:eastAsia="宋体" w:hAnsi="宋体" w:cs="宋体"/>
                <w:color w:val="000000" w:themeColor="text1"/>
                <w:w w:val="105"/>
                <w:sz w:val="18"/>
                <w:lang w:eastAsia="zh-CN"/>
              </w:rPr>
              <w:t>条款中概述的原则，例如对生产用原材料中病毒的检测、对生产工艺中病毒清除能力的检测以及对细胞治疗产品中病毒污染的检测。</w:t>
            </w:r>
          </w:p>
          <w:p w:rsidR="002606BB" w:rsidRDefault="00841612">
            <w:pPr>
              <w:pStyle w:val="TableParagraph"/>
              <w:spacing w:before="113" w:line="251" w:lineRule="auto"/>
              <w:ind w:left="107" w:right="84"/>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对生产用原材料如细胞培养基或血清的辐照或热失活是常用措施，但可能会受到批次差异的影响。</w:t>
            </w:r>
          </w:p>
          <w:p w:rsidR="002606BB" w:rsidRDefault="00841612">
            <w:pPr>
              <w:pStyle w:val="TableParagraph"/>
              <w:spacing w:before="113" w:line="251" w:lineRule="auto"/>
              <w:ind w:left="107" w:right="84"/>
              <w:rPr>
                <w:rFonts w:ascii="宋体" w:eastAsia="宋体" w:hAnsi="宋体" w:cs="宋体" w:hint="default"/>
                <w:color w:val="000000" w:themeColor="text1"/>
                <w:w w:val="105"/>
                <w:sz w:val="18"/>
                <w:lang w:eastAsia="zh-CN"/>
              </w:rPr>
            </w:pPr>
            <w:proofErr w:type="gramStart"/>
            <w:r>
              <w:rPr>
                <w:rFonts w:ascii="宋体" w:eastAsia="宋体" w:hAnsi="宋体" w:cs="宋体"/>
                <w:color w:val="000000" w:themeColor="text1"/>
                <w:w w:val="105"/>
                <w:sz w:val="18"/>
                <w:lang w:eastAsia="zh-CN"/>
              </w:rPr>
              <w:t>宜建立</w:t>
            </w:r>
            <w:proofErr w:type="gramEnd"/>
            <w:r>
              <w:rPr>
                <w:rFonts w:ascii="宋体" w:eastAsia="宋体" w:hAnsi="宋体" w:cs="宋体"/>
                <w:color w:val="000000" w:themeColor="text1"/>
                <w:w w:val="105"/>
                <w:sz w:val="18"/>
                <w:lang w:eastAsia="zh-CN"/>
              </w:rPr>
              <w:t>在分析</w:t>
            </w:r>
            <w:r>
              <w:rPr>
                <w:rFonts w:ascii="宋体" w:eastAsia="宋体" w:hAnsi="宋体" w:cs="宋体"/>
                <w:color w:val="000000" w:themeColor="text1"/>
                <w:w w:val="105"/>
                <w:sz w:val="18"/>
                <w:lang w:eastAsia="zh-CN"/>
              </w:rPr>
              <w:t>/</w:t>
            </w:r>
            <w:r>
              <w:rPr>
                <w:rFonts w:ascii="宋体" w:eastAsia="宋体" w:hAnsi="宋体" w:cs="宋体"/>
                <w:color w:val="000000" w:themeColor="text1"/>
                <w:w w:val="105"/>
                <w:sz w:val="18"/>
                <w:lang w:eastAsia="zh-CN"/>
              </w:rPr>
              <w:t>检测项目与供应者要求使用者必须遵守的使用者协议（</w:t>
            </w:r>
            <w:r>
              <w:rPr>
                <w:rFonts w:ascii="宋体" w:eastAsia="宋体" w:hAnsi="宋体" w:cs="宋体"/>
                <w:color w:val="000000" w:themeColor="text1"/>
                <w:w w:val="105"/>
                <w:sz w:val="18"/>
                <w:lang w:eastAsia="zh-CN"/>
              </w:rPr>
              <w:t>user protocol</w:t>
            </w:r>
            <w:r>
              <w:rPr>
                <w:rFonts w:ascii="宋体" w:eastAsia="宋体" w:hAnsi="宋体" w:cs="宋体"/>
                <w:color w:val="000000" w:themeColor="text1"/>
                <w:w w:val="105"/>
                <w:sz w:val="18"/>
                <w:lang w:eastAsia="zh-CN"/>
              </w:rPr>
              <w:t>）之间相关性。</w:t>
            </w:r>
          </w:p>
        </w:tc>
        <w:tc>
          <w:tcPr>
            <w:tcW w:w="4246" w:type="dxa"/>
            <w:tcBorders>
              <w:top w:val="single" w:sz="4" w:space="0" w:color="auto"/>
              <w:left w:val="single" w:sz="4" w:space="0" w:color="auto"/>
              <w:tl2br w:val="nil"/>
              <w:tr2bl w:val="nil"/>
            </w:tcBorders>
          </w:tcPr>
          <w:p w:rsidR="002606BB" w:rsidRDefault="00841612">
            <w:pPr>
              <w:pStyle w:val="TableParagraph"/>
              <w:spacing w:before="113" w:line="251" w:lineRule="auto"/>
              <w:ind w:left="107" w:right="84"/>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对生产用原材料中生物材料采用哪些表征以显示特性、纯度和性能水平？</w:t>
            </w:r>
          </w:p>
          <w:p w:rsidR="002606BB" w:rsidRDefault="00841612">
            <w:pPr>
              <w:pStyle w:val="TableParagraph"/>
              <w:spacing w:before="113" w:line="251" w:lineRule="auto"/>
              <w:ind w:left="107" w:right="84"/>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如适用，生产用原材料供应者在放行生产用原材料前是否采取了充分的病毒灭活措施</w:t>
            </w:r>
            <w:r>
              <w:rPr>
                <w:rFonts w:ascii="宋体" w:eastAsia="宋体" w:hAnsi="宋体" w:cs="宋体"/>
                <w:color w:val="000000" w:themeColor="text1"/>
                <w:w w:val="105"/>
                <w:sz w:val="18"/>
                <w:lang w:eastAsia="zh-CN"/>
              </w:rPr>
              <w:t>/</w:t>
            </w:r>
            <w:r>
              <w:rPr>
                <w:rFonts w:ascii="宋体" w:eastAsia="宋体" w:hAnsi="宋体" w:cs="宋体"/>
                <w:color w:val="000000" w:themeColor="text1"/>
                <w:w w:val="105"/>
                <w:sz w:val="18"/>
                <w:lang w:eastAsia="zh-CN"/>
              </w:rPr>
              <w:t>安全性检测</w:t>
            </w:r>
          </w:p>
          <w:p w:rsidR="002606BB" w:rsidRDefault="00841612">
            <w:pPr>
              <w:pStyle w:val="TableParagraph"/>
              <w:spacing w:before="113" w:line="251" w:lineRule="auto"/>
              <w:ind w:left="107" w:right="84"/>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生产用原材料是否有病毒安全性档案？</w:t>
            </w:r>
          </w:p>
          <w:p w:rsidR="002606BB" w:rsidRDefault="002606BB">
            <w:pPr>
              <w:pStyle w:val="TableParagraph"/>
              <w:spacing w:before="109" w:line="251" w:lineRule="auto"/>
              <w:ind w:left="109" w:right="74"/>
              <w:rPr>
                <w:rFonts w:ascii="宋体" w:eastAsia="宋体" w:hAnsi="宋体" w:cs="宋体" w:hint="default"/>
                <w:color w:val="000000" w:themeColor="text1"/>
                <w:sz w:val="18"/>
                <w:szCs w:val="18"/>
                <w:lang w:eastAsia="zh-CN"/>
              </w:rPr>
            </w:pPr>
          </w:p>
        </w:tc>
      </w:tr>
    </w:tbl>
    <w:p w:rsidR="002606BB" w:rsidRDefault="00841612">
      <w:pPr>
        <w:rPr>
          <w:rFonts w:ascii="Times New Roman" w:eastAsia="Times New Roman" w:hAnsi="Times New Roman" w:hint="default"/>
          <w:color w:val="000000" w:themeColor="text1"/>
          <w:sz w:val="19"/>
          <w:szCs w:val="19"/>
        </w:rPr>
      </w:pPr>
      <w:r>
        <w:rPr>
          <w:rFonts w:ascii="Times New Roman" w:eastAsia="Times New Roman" w:hAnsi="Times New Roman" w:hint="default"/>
          <w:color w:val="000000" w:themeColor="text1"/>
          <w:sz w:val="19"/>
          <w:szCs w:val="19"/>
        </w:rPr>
        <w:br w:type="page"/>
      </w:r>
    </w:p>
    <w:p w:rsidR="002606BB" w:rsidRDefault="002606BB">
      <w:pPr>
        <w:spacing w:before="5"/>
        <w:rPr>
          <w:rFonts w:ascii="Times New Roman" w:eastAsia="Times New Roman" w:hAnsi="Times New Roman" w:hint="default"/>
          <w:color w:val="000000" w:themeColor="text1"/>
          <w:sz w:val="19"/>
          <w:szCs w:val="19"/>
        </w:rPr>
      </w:pPr>
    </w:p>
    <w:tbl>
      <w:tblPr>
        <w:tblW w:w="0" w:type="auto"/>
        <w:tblInd w:w="101" w:type="dxa"/>
        <w:tblBorders>
          <w:top w:val="single" w:sz="12" w:space="0" w:color="000000"/>
          <w:left w:val="single" w:sz="12" w:space="0" w:color="000000"/>
          <w:bottom w:val="single" w:sz="12" w:space="0" w:color="000000"/>
          <w:right w:val="single" w:sz="12"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3"/>
        <w:gridCol w:w="3624"/>
        <w:gridCol w:w="3946"/>
      </w:tblGrid>
      <w:tr w:rsidR="002606BB">
        <w:trPr>
          <w:trHeight w:hRule="exact" w:val="330"/>
        </w:trPr>
        <w:tc>
          <w:tcPr>
            <w:tcW w:w="8843" w:type="dxa"/>
            <w:gridSpan w:val="3"/>
            <w:tcBorders>
              <w:top w:val="single" w:sz="4" w:space="0" w:color="auto"/>
              <w:bottom w:val="single" w:sz="12" w:space="0" w:color="000000"/>
            </w:tcBorders>
            <w:vAlign w:val="center"/>
          </w:tcPr>
          <w:p w:rsidR="002606BB" w:rsidRDefault="00841612">
            <w:pPr>
              <w:pStyle w:val="TableParagraph"/>
              <w:spacing w:before="63"/>
              <w:ind w:left="0"/>
              <w:jc w:val="center"/>
              <w:rPr>
                <w:rFonts w:eastAsia="宋体" w:hint="default"/>
                <w:b/>
                <w:color w:val="000000" w:themeColor="text1"/>
                <w:w w:val="105"/>
                <w:sz w:val="18"/>
                <w:lang w:eastAsia="zh-CN"/>
              </w:rPr>
            </w:pPr>
            <w:r>
              <w:rPr>
                <w:rFonts w:ascii="宋体" w:eastAsia="宋体" w:hAnsi="宋体" w:cs="宋体"/>
                <w:color w:val="000000" w:themeColor="text1"/>
                <w:lang w:eastAsia="zh-CN"/>
              </w:rPr>
              <w:t>表</w:t>
            </w:r>
            <w:r>
              <w:rPr>
                <w:rFonts w:ascii="宋体" w:eastAsia="宋体" w:hAnsi="宋体" w:cs="宋体"/>
                <w:color w:val="000000" w:themeColor="text1"/>
                <w:lang w:eastAsia="zh-CN"/>
              </w:rPr>
              <w:t xml:space="preserve">2 </w:t>
            </w:r>
            <w:r>
              <w:rPr>
                <w:rFonts w:ascii="宋体" w:eastAsia="宋体" w:hAnsi="宋体" w:cs="宋体"/>
                <w:color w:val="000000" w:themeColor="text1"/>
                <w:lang w:eastAsia="zh-CN"/>
              </w:rPr>
              <w:t>（续）</w:t>
            </w:r>
          </w:p>
        </w:tc>
      </w:tr>
      <w:tr w:rsidR="002606BB">
        <w:trPr>
          <w:trHeight w:hRule="exact" w:val="456"/>
        </w:trPr>
        <w:tc>
          <w:tcPr>
            <w:tcW w:w="1273" w:type="dxa"/>
            <w:tcBorders>
              <w:bottom w:val="single" w:sz="12" w:space="0" w:color="000000"/>
            </w:tcBorders>
            <w:vAlign w:val="center"/>
          </w:tcPr>
          <w:p w:rsidR="002606BB" w:rsidRDefault="00841612">
            <w:pPr>
              <w:pStyle w:val="TableParagraph"/>
              <w:spacing w:before="63"/>
              <w:ind w:left="0"/>
              <w:jc w:val="center"/>
              <w:rPr>
                <w:rFonts w:eastAsia="宋体" w:hint="default"/>
                <w:color w:val="000000" w:themeColor="text1"/>
                <w:sz w:val="18"/>
                <w:szCs w:val="18"/>
                <w:lang w:eastAsia="zh-CN"/>
              </w:rPr>
            </w:pPr>
            <w:r>
              <w:rPr>
                <w:rFonts w:eastAsia="宋体"/>
                <w:b/>
                <w:color w:val="000000" w:themeColor="text1"/>
                <w:w w:val="105"/>
                <w:sz w:val="18"/>
                <w:lang w:eastAsia="zh-CN"/>
              </w:rPr>
              <w:t>因素</w:t>
            </w:r>
          </w:p>
        </w:tc>
        <w:tc>
          <w:tcPr>
            <w:tcW w:w="3624" w:type="dxa"/>
            <w:tcBorders>
              <w:bottom w:val="single" w:sz="12" w:space="0" w:color="000000"/>
            </w:tcBorders>
            <w:vAlign w:val="center"/>
          </w:tcPr>
          <w:p w:rsidR="002606BB" w:rsidRDefault="00841612">
            <w:pPr>
              <w:pStyle w:val="TableParagraph"/>
              <w:spacing w:before="63"/>
              <w:ind w:left="0"/>
              <w:jc w:val="center"/>
              <w:rPr>
                <w:rFonts w:hint="default"/>
                <w:color w:val="000000" w:themeColor="text1"/>
                <w:sz w:val="18"/>
                <w:szCs w:val="18"/>
                <w:lang w:eastAsia="zh-CN"/>
              </w:rPr>
            </w:pPr>
            <w:r>
              <w:rPr>
                <w:rFonts w:eastAsia="宋体"/>
                <w:b/>
                <w:color w:val="000000" w:themeColor="text1"/>
                <w:sz w:val="18"/>
                <w:lang w:eastAsia="zh-CN"/>
              </w:rPr>
              <w:t>关键</w:t>
            </w:r>
            <w:proofErr w:type="gramStart"/>
            <w:r>
              <w:rPr>
                <w:rFonts w:eastAsia="宋体"/>
                <w:b/>
                <w:color w:val="000000" w:themeColor="text1"/>
                <w:sz w:val="18"/>
                <w:lang w:eastAsia="zh-CN"/>
              </w:rPr>
              <w:t>考量</w:t>
            </w:r>
            <w:proofErr w:type="gramEnd"/>
            <w:r>
              <w:rPr>
                <w:rFonts w:eastAsia="宋体"/>
                <w:b/>
                <w:color w:val="000000" w:themeColor="text1"/>
                <w:sz w:val="18"/>
                <w:lang w:eastAsia="zh-CN"/>
              </w:rPr>
              <w:t>，要求和指导</w:t>
            </w:r>
          </w:p>
        </w:tc>
        <w:tc>
          <w:tcPr>
            <w:tcW w:w="3946" w:type="dxa"/>
            <w:tcBorders>
              <w:bottom w:val="single" w:sz="12" w:space="0" w:color="000000"/>
            </w:tcBorders>
            <w:vAlign w:val="center"/>
          </w:tcPr>
          <w:p w:rsidR="002606BB" w:rsidRDefault="00841612">
            <w:pPr>
              <w:pStyle w:val="TableParagraph"/>
              <w:spacing w:before="63"/>
              <w:ind w:left="0"/>
              <w:jc w:val="center"/>
              <w:rPr>
                <w:rFonts w:eastAsia="宋体" w:hint="default"/>
                <w:color w:val="000000" w:themeColor="text1"/>
                <w:sz w:val="18"/>
                <w:szCs w:val="18"/>
                <w:lang w:eastAsia="zh-CN"/>
              </w:rPr>
            </w:pPr>
            <w:r>
              <w:rPr>
                <w:rFonts w:eastAsia="宋体"/>
                <w:b/>
                <w:color w:val="000000" w:themeColor="text1"/>
                <w:w w:val="105"/>
                <w:sz w:val="18"/>
                <w:lang w:eastAsia="zh-CN"/>
              </w:rPr>
              <w:t>关键问题</w:t>
            </w:r>
          </w:p>
        </w:tc>
      </w:tr>
      <w:tr w:rsidR="002606BB">
        <w:trPr>
          <w:trHeight w:hRule="exact" w:val="3079"/>
        </w:trPr>
        <w:tc>
          <w:tcPr>
            <w:tcW w:w="1273" w:type="dxa"/>
            <w:tcBorders>
              <w:bottom w:val="single" w:sz="4" w:space="0" w:color="auto"/>
              <w:right w:val="single" w:sz="4" w:space="0" w:color="auto"/>
              <w:tl2br w:val="nil"/>
              <w:tr2bl w:val="nil"/>
            </w:tcBorders>
            <w:vAlign w:val="center"/>
          </w:tcPr>
          <w:p w:rsidR="002606BB" w:rsidRDefault="00841612">
            <w:pPr>
              <w:pStyle w:val="TableParagraph"/>
              <w:spacing w:before="60"/>
              <w:ind w:left="99"/>
              <w:jc w:val="center"/>
              <w:rPr>
                <w:rFonts w:ascii="宋体" w:eastAsia="宋体" w:hAnsi="宋体" w:cs="宋体" w:hint="default"/>
                <w:color w:val="000000" w:themeColor="text1"/>
                <w:sz w:val="18"/>
                <w:szCs w:val="18"/>
                <w:lang w:eastAsia="zh-CN"/>
              </w:rPr>
            </w:pPr>
            <w:r>
              <w:rPr>
                <w:rFonts w:ascii="宋体" w:eastAsia="宋体" w:hAnsi="宋体" w:cs="宋体"/>
                <w:color w:val="000000" w:themeColor="text1"/>
                <w:w w:val="105"/>
                <w:sz w:val="18"/>
                <w:lang w:eastAsia="zh-CN"/>
              </w:rPr>
              <w:t>可追溯性</w:t>
            </w:r>
          </w:p>
        </w:tc>
        <w:tc>
          <w:tcPr>
            <w:tcW w:w="3624" w:type="dxa"/>
            <w:tcBorders>
              <w:left w:val="single" w:sz="4" w:space="0" w:color="auto"/>
              <w:bottom w:val="single" w:sz="4" w:space="0" w:color="auto"/>
              <w:right w:val="single" w:sz="4" w:space="0" w:color="auto"/>
              <w:tl2br w:val="nil"/>
              <w:tr2bl w:val="nil"/>
            </w:tcBorders>
          </w:tcPr>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生产用原材料的可追溯性信息（从来源到供应者）宜尽可能完整，以确保供应链的所有后续步骤不会对生产用原材料的安全性或质量带来进一步的风险，例如通过污染。</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有关生产用原材料组分的可追溯性信息应记录并经过审核，以确保生产用原材料在病毒方面的安全性。</w:t>
            </w:r>
          </w:p>
          <w:p w:rsidR="002606BB" w:rsidRDefault="002606BB">
            <w:pPr>
              <w:pStyle w:val="TableParagraph"/>
              <w:spacing w:before="63"/>
              <w:ind w:left="107" w:right="82"/>
              <w:rPr>
                <w:rFonts w:ascii="宋体" w:eastAsia="宋体" w:hAnsi="宋体" w:cs="宋体" w:hint="default"/>
                <w:color w:val="000000" w:themeColor="text1"/>
                <w:sz w:val="18"/>
                <w:szCs w:val="18"/>
                <w:lang w:eastAsia="zh-CN"/>
              </w:rPr>
            </w:pPr>
          </w:p>
        </w:tc>
        <w:tc>
          <w:tcPr>
            <w:tcW w:w="3946" w:type="dxa"/>
            <w:tcBorders>
              <w:left w:val="single" w:sz="4" w:space="0" w:color="auto"/>
              <w:bottom w:val="single" w:sz="4" w:space="0" w:color="auto"/>
              <w:tl2br w:val="nil"/>
              <w:tr2bl w:val="nil"/>
            </w:tcBorders>
          </w:tcPr>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生产用原材料供应者是否对生产用原材料及其所有成份进行记录，以确保对生产用原材料的风险控制？特别是这些生产用原材料、组分和子组分（</w:t>
            </w:r>
            <w:r>
              <w:rPr>
                <w:rFonts w:ascii="宋体" w:eastAsia="宋体" w:hAnsi="宋体" w:cs="宋体"/>
                <w:color w:val="000000" w:themeColor="text1"/>
                <w:w w:val="105"/>
                <w:sz w:val="18"/>
                <w:lang w:eastAsia="zh-CN"/>
              </w:rPr>
              <w:t>sub-components</w:t>
            </w:r>
            <w:r>
              <w:rPr>
                <w:rFonts w:ascii="宋体" w:eastAsia="宋体" w:hAnsi="宋体" w:cs="宋体"/>
                <w:color w:val="000000" w:themeColor="text1"/>
                <w:w w:val="105"/>
                <w:sz w:val="18"/>
                <w:lang w:eastAsia="zh-CN"/>
              </w:rPr>
              <w:t>）是否可以追溯到其来源？</w:t>
            </w:r>
          </w:p>
          <w:p w:rsidR="002606BB" w:rsidRDefault="00841612">
            <w:pPr>
              <w:pStyle w:val="TableParagraph"/>
              <w:spacing w:before="110"/>
              <w:ind w:left="107" w:right="75"/>
              <w:rPr>
                <w:rFonts w:ascii="宋体" w:eastAsia="宋体" w:hAnsi="宋体" w:cs="宋体" w:hint="default"/>
                <w:color w:val="000000" w:themeColor="text1"/>
                <w:sz w:val="18"/>
                <w:szCs w:val="18"/>
                <w:lang w:eastAsia="zh-CN"/>
              </w:rPr>
            </w:pPr>
            <w:r>
              <w:rPr>
                <w:rFonts w:ascii="宋体" w:eastAsia="宋体" w:hAnsi="宋体" w:cs="宋体"/>
                <w:color w:val="000000" w:themeColor="text1"/>
                <w:w w:val="105"/>
                <w:sz w:val="18"/>
                <w:lang w:eastAsia="zh-CN"/>
              </w:rPr>
              <w:t>生产用原材料是否在质量管理体系下生产？如果是，质量管理体系是否适合确保生产用原材料的安</w:t>
            </w:r>
            <w:r>
              <w:rPr>
                <w:rFonts w:ascii="宋体" w:eastAsia="宋体" w:hAnsi="宋体" w:cs="宋体"/>
                <w:color w:val="000000" w:themeColor="text1"/>
                <w:w w:val="105"/>
                <w:sz w:val="18"/>
                <w:lang w:eastAsia="zh-CN"/>
              </w:rPr>
              <w:t>全性和性能？</w:t>
            </w:r>
          </w:p>
        </w:tc>
      </w:tr>
      <w:tr w:rsidR="002606BB">
        <w:trPr>
          <w:trHeight w:hRule="exact" w:val="5738"/>
        </w:trPr>
        <w:tc>
          <w:tcPr>
            <w:tcW w:w="1273" w:type="dxa"/>
            <w:tcBorders>
              <w:top w:val="single" w:sz="4" w:space="0" w:color="auto"/>
              <w:right w:val="single" w:sz="4" w:space="0" w:color="auto"/>
              <w:tl2br w:val="nil"/>
              <w:tr2bl w:val="nil"/>
            </w:tcBorders>
            <w:vAlign w:val="center"/>
          </w:tcPr>
          <w:p w:rsidR="002606BB" w:rsidRDefault="00841612">
            <w:pPr>
              <w:pStyle w:val="TableParagraph"/>
              <w:spacing w:before="60" w:line="251" w:lineRule="auto"/>
              <w:ind w:left="99" w:right="34"/>
              <w:jc w:val="center"/>
              <w:rPr>
                <w:rFonts w:ascii="宋体" w:eastAsia="宋体" w:hAnsi="宋体" w:cs="宋体" w:hint="default"/>
                <w:color w:val="000000" w:themeColor="text1"/>
                <w:sz w:val="18"/>
                <w:szCs w:val="18"/>
                <w:lang w:eastAsia="zh-CN"/>
              </w:rPr>
            </w:pPr>
            <w:r>
              <w:rPr>
                <w:rFonts w:ascii="宋体" w:eastAsia="宋体" w:hAnsi="宋体" w:cs="宋体"/>
                <w:color w:val="000000" w:themeColor="text1"/>
                <w:w w:val="105"/>
                <w:sz w:val="18"/>
                <w:lang w:eastAsia="zh-CN"/>
              </w:rPr>
              <w:t>供应连续性</w:t>
            </w:r>
          </w:p>
        </w:tc>
        <w:tc>
          <w:tcPr>
            <w:tcW w:w="3624" w:type="dxa"/>
            <w:tcBorders>
              <w:top w:val="single" w:sz="4" w:space="0" w:color="auto"/>
              <w:left w:val="single" w:sz="4" w:space="0" w:color="auto"/>
              <w:right w:val="single" w:sz="4" w:space="0" w:color="auto"/>
              <w:tl2br w:val="nil"/>
              <w:tr2bl w:val="nil"/>
            </w:tcBorders>
          </w:tcPr>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当一种生产用原材料被认可后，应评估生产用原材料供应者能够持续可靠地供应该生产用原材料。如果供应者方面未能按要求的质量水平提供所需的生产用原材料，可能会对细胞治疗产品的生产产生负面影响。</w:t>
            </w:r>
            <w:r>
              <w:rPr>
                <w:rFonts w:ascii="宋体" w:eastAsia="宋体" w:hAnsi="宋体" w:cs="宋体"/>
                <w:color w:val="000000" w:themeColor="text1"/>
                <w:w w:val="105"/>
                <w:sz w:val="18"/>
                <w:lang w:eastAsia="zh-CN"/>
              </w:rPr>
              <w:t xml:space="preserve"> </w:t>
            </w:r>
            <w:r>
              <w:rPr>
                <w:rFonts w:ascii="宋体" w:eastAsia="宋体" w:hAnsi="宋体" w:cs="宋体"/>
                <w:color w:val="000000" w:themeColor="text1"/>
                <w:w w:val="105"/>
                <w:sz w:val="18"/>
                <w:lang w:eastAsia="zh-CN"/>
              </w:rPr>
              <w:t>生产用原材料使用者应评估生产用原材料的替代供应者成为等效供应者所需达到的程度。对此，</w:t>
            </w:r>
            <w:r>
              <w:rPr>
                <w:rFonts w:ascii="宋体" w:eastAsia="宋体" w:hAnsi="宋体" w:cs="宋体"/>
                <w:color w:val="000000" w:themeColor="text1"/>
                <w:w w:val="105"/>
                <w:sz w:val="18"/>
                <w:lang w:eastAsia="zh-CN"/>
              </w:rPr>
              <w:t xml:space="preserve"> </w:t>
            </w:r>
            <w:r>
              <w:rPr>
                <w:rFonts w:ascii="宋体" w:eastAsia="宋体" w:hAnsi="宋体" w:cs="宋体"/>
                <w:color w:val="000000" w:themeColor="text1"/>
                <w:w w:val="105"/>
                <w:sz w:val="18"/>
                <w:lang w:eastAsia="zh-CN"/>
              </w:rPr>
              <w:t>生产用原材料的生物功能性鉴定和质量鉴定都是必不可少的。</w:t>
            </w:r>
          </w:p>
          <w:p w:rsidR="002606BB" w:rsidRDefault="00841612">
            <w:pPr>
              <w:pStyle w:val="TableParagraph"/>
              <w:spacing w:before="110"/>
              <w:ind w:left="107" w:right="75"/>
              <w:rPr>
                <w:rFonts w:ascii="宋体" w:eastAsia="宋体" w:hAnsi="宋体" w:cs="宋体" w:hint="default"/>
                <w:color w:val="000000" w:themeColor="text1"/>
                <w:sz w:val="18"/>
                <w:szCs w:val="18"/>
                <w:lang w:eastAsia="zh-CN"/>
              </w:rPr>
            </w:pPr>
            <w:r>
              <w:rPr>
                <w:rFonts w:ascii="宋体" w:eastAsia="宋体" w:hAnsi="宋体" w:cs="宋体"/>
                <w:color w:val="000000" w:themeColor="text1"/>
                <w:w w:val="105"/>
                <w:sz w:val="18"/>
                <w:lang w:eastAsia="zh-CN"/>
              </w:rPr>
              <w:t>当质量合适的生产用原材料无法在市场上买到或者无法有效评价时，可在具有同等可追溯性的相关控制条件下，开展内部生产或通过合同订货。然而，生产用原材料使用者应在成本和时间方面进行权衡，是选择能保证供应一致性的内部生产或根据合同定制，还是选择向有能力提供完整质量控制的供应者采购。</w:t>
            </w:r>
          </w:p>
        </w:tc>
        <w:tc>
          <w:tcPr>
            <w:tcW w:w="3946" w:type="dxa"/>
            <w:tcBorders>
              <w:top w:val="single" w:sz="4" w:space="0" w:color="auto"/>
              <w:left w:val="single" w:sz="4" w:space="0" w:color="auto"/>
              <w:tl2br w:val="nil"/>
              <w:tr2bl w:val="nil"/>
            </w:tcBorders>
          </w:tcPr>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如果一种生产用原材料断供了，有哪些替代方案可用？</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为了确保替代生产用原材料可以被认可为等效生产用原材料，哪些表征是必须的？</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如果没有合适的替代品，该生产用原材料是否可以在内部生产？</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供应者是否愿意签署供货合同？供应者是否受到采购的约束？是</w:t>
            </w:r>
            <w:r>
              <w:rPr>
                <w:rFonts w:ascii="宋体" w:eastAsia="宋体" w:hAnsi="宋体" w:cs="宋体"/>
                <w:color w:val="000000" w:themeColor="text1"/>
                <w:w w:val="105"/>
                <w:sz w:val="18"/>
                <w:lang w:eastAsia="zh-CN"/>
              </w:rPr>
              <w:t>否规定了交付周期？</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所提供生产用原材料的质量等级？</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生产用原材料是否经过特殊处理以确保其功能？</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是否为确保无菌工艺设置控制要求？</w:t>
            </w:r>
          </w:p>
          <w:p w:rsidR="002606BB" w:rsidRDefault="00841612">
            <w:pPr>
              <w:pStyle w:val="TableParagraph"/>
              <w:spacing w:before="110"/>
              <w:ind w:left="107" w:right="75"/>
              <w:rPr>
                <w:rFonts w:ascii="宋体" w:eastAsia="宋体" w:hAnsi="宋体" w:cs="宋体" w:hint="default"/>
                <w:color w:val="000000" w:themeColor="text1"/>
                <w:sz w:val="18"/>
                <w:szCs w:val="18"/>
                <w:lang w:eastAsia="zh-CN"/>
              </w:rPr>
            </w:pPr>
            <w:r>
              <w:rPr>
                <w:rFonts w:ascii="宋体" w:eastAsia="宋体" w:hAnsi="宋体" w:cs="宋体"/>
                <w:color w:val="000000" w:themeColor="text1"/>
                <w:w w:val="105"/>
                <w:sz w:val="18"/>
                <w:lang w:eastAsia="zh-CN"/>
              </w:rPr>
              <w:t>工艺中添加生产用原材料时是否存在上游或下游的风险，例如容器、工艺的无菌性、生产用原材料的稳定性？</w:t>
            </w:r>
          </w:p>
        </w:tc>
      </w:tr>
    </w:tbl>
    <w:p w:rsidR="002606BB" w:rsidRDefault="002606BB">
      <w:pPr>
        <w:spacing w:before="5"/>
        <w:rPr>
          <w:rFonts w:ascii="Times New Roman" w:eastAsia="Times New Roman" w:hAnsi="Times New Roman" w:hint="default"/>
          <w:color w:val="000000" w:themeColor="text1"/>
          <w:sz w:val="19"/>
          <w:szCs w:val="19"/>
        </w:rPr>
      </w:pPr>
    </w:p>
    <w:p w:rsidR="002606BB" w:rsidRDefault="00841612" w:rsidP="00763FAE">
      <w:pPr>
        <w:pStyle w:val="a1"/>
        <w:spacing w:before="156" w:after="156"/>
        <w:rPr>
          <w:color w:val="000000" w:themeColor="text1"/>
        </w:rPr>
      </w:pPr>
      <w:r>
        <w:rPr>
          <w:rFonts w:hint="eastAsia"/>
          <w:color w:val="000000" w:themeColor="text1"/>
        </w:rPr>
        <w:t>降低风险的措施</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科学方法</w:t>
      </w:r>
    </w:p>
    <w:p w:rsidR="002606BB" w:rsidRDefault="00841612">
      <w:pPr>
        <w:pStyle w:val="a3"/>
        <w:numPr>
          <w:ilvl w:val="3"/>
          <w:numId w:val="0"/>
        </w:numPr>
        <w:ind w:firstLineChars="200" w:firstLine="420"/>
        <w:rPr>
          <w:rFonts w:asciiTheme="minorEastAsia" w:eastAsiaTheme="minorEastAsia" w:hAnsiTheme="minorEastAsia" w:cstheme="minorEastAsia"/>
          <w:color w:val="000000" w:themeColor="text1"/>
        </w:rPr>
      </w:pPr>
      <w:r>
        <w:rPr>
          <w:rFonts w:hint="eastAsia"/>
          <w:color w:val="000000" w:themeColor="text1"/>
        </w:rPr>
        <w:t>当一种生物起源的生产用原材料被用于细胞治疗产品的加工和生产时，使用者宜从多个方面采取措施降低该生物起源的生产用原材料的风险，采取的措施不受生产用原材料供应者声称的等级或质量标准的影响。可用于降低生产用原材料风险的</w:t>
      </w:r>
      <w:r>
        <w:rPr>
          <w:rFonts w:asciiTheme="minorEastAsia" w:eastAsiaTheme="minorEastAsia" w:hAnsiTheme="minorEastAsia" w:cstheme="minorEastAsia" w:hint="eastAsia"/>
          <w:color w:val="000000" w:themeColor="text1"/>
        </w:rPr>
        <w:t>关键因素和</w:t>
      </w:r>
      <w:proofErr w:type="gramStart"/>
      <w:r>
        <w:rPr>
          <w:rFonts w:asciiTheme="minorEastAsia" w:eastAsiaTheme="minorEastAsia" w:hAnsiTheme="minorEastAsia" w:cstheme="minorEastAsia" w:hint="eastAsia"/>
          <w:color w:val="000000" w:themeColor="text1"/>
        </w:rPr>
        <w:t>考量</w:t>
      </w:r>
      <w:proofErr w:type="gramEnd"/>
      <w:r>
        <w:rPr>
          <w:rFonts w:asciiTheme="minorEastAsia" w:eastAsiaTheme="minorEastAsia" w:hAnsiTheme="minorEastAsia" w:cstheme="minorEastAsia" w:hint="eastAsia"/>
          <w:color w:val="000000" w:themeColor="text1"/>
        </w:rPr>
        <w:t>见表</w:t>
      </w:r>
      <w:r>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hint="eastAsia"/>
          <w:color w:val="000000" w:themeColor="text1"/>
        </w:rPr>
        <w:t>。</w:t>
      </w:r>
    </w:p>
    <w:p w:rsidR="002606BB" w:rsidRDefault="00841612">
      <w:pPr>
        <w:rPr>
          <w:rFonts w:asciiTheme="minorEastAsia" w:eastAsiaTheme="minorEastAsia" w:hAnsiTheme="minorEastAsia" w:cstheme="minorEastAsia" w:hint="default"/>
          <w:color w:val="000000" w:themeColor="text1"/>
        </w:rPr>
      </w:pPr>
      <w:r>
        <w:rPr>
          <w:rFonts w:asciiTheme="minorEastAsia" w:eastAsiaTheme="minorEastAsia" w:hAnsiTheme="minorEastAsia" w:cstheme="minorEastAsia"/>
          <w:color w:val="000000" w:themeColor="text1"/>
        </w:rPr>
        <w:br w:type="page"/>
      </w:r>
    </w:p>
    <w:p w:rsidR="002606BB" w:rsidRDefault="002606BB" w:rsidP="00763FAE">
      <w:pPr>
        <w:pStyle w:val="afff"/>
        <w:ind w:firstLine="420"/>
        <w:rPr>
          <w:color w:val="000000" w:themeColor="text1"/>
        </w:rPr>
      </w:pPr>
    </w:p>
    <w:p w:rsidR="002606BB" w:rsidRDefault="00841612">
      <w:pPr>
        <w:pStyle w:val="afe"/>
        <w:spacing w:before="156" w:after="156"/>
        <w:rPr>
          <w:color w:val="000000" w:themeColor="text1"/>
        </w:rPr>
      </w:pPr>
      <w:r>
        <w:rPr>
          <w:rFonts w:hint="eastAsia"/>
          <w:color w:val="000000" w:themeColor="text1"/>
        </w:rPr>
        <w:t>降低生物来源生产用原材料风险的关键因素和</w:t>
      </w:r>
      <w:proofErr w:type="gramStart"/>
      <w:r>
        <w:rPr>
          <w:rFonts w:hint="eastAsia"/>
          <w:color w:val="000000" w:themeColor="text1"/>
        </w:rPr>
        <w:t>考量</w:t>
      </w:r>
      <w:proofErr w:type="gramEnd"/>
    </w:p>
    <w:tbl>
      <w:tblPr>
        <w:tblW w:w="0" w:type="auto"/>
        <w:tblInd w:w="101" w:type="dxa"/>
        <w:tblBorders>
          <w:top w:val="single" w:sz="12" w:space="0" w:color="000000"/>
          <w:left w:val="single" w:sz="12" w:space="0" w:color="000000"/>
          <w:bottom w:val="single" w:sz="0" w:space="0" w:color="000000"/>
          <w:right w:val="single" w:sz="12"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9"/>
        <w:gridCol w:w="3276"/>
        <w:gridCol w:w="4494"/>
      </w:tblGrid>
      <w:tr w:rsidR="002606BB">
        <w:trPr>
          <w:trHeight w:hRule="exact" w:val="582"/>
        </w:trPr>
        <w:tc>
          <w:tcPr>
            <w:tcW w:w="1369" w:type="dxa"/>
            <w:tcBorders>
              <w:bottom w:val="single" w:sz="12" w:space="0" w:color="000000"/>
            </w:tcBorders>
            <w:vAlign w:val="center"/>
          </w:tcPr>
          <w:p w:rsidR="002606BB" w:rsidRDefault="00841612">
            <w:pPr>
              <w:pStyle w:val="TableParagraph"/>
              <w:spacing w:before="63"/>
              <w:ind w:left="0"/>
              <w:jc w:val="center"/>
              <w:rPr>
                <w:rFonts w:eastAsia="宋体" w:hint="default"/>
                <w:color w:val="000000" w:themeColor="text1"/>
                <w:sz w:val="18"/>
                <w:szCs w:val="18"/>
                <w:lang w:eastAsia="zh-CN"/>
              </w:rPr>
            </w:pPr>
            <w:r>
              <w:rPr>
                <w:rFonts w:eastAsia="宋体"/>
                <w:b/>
                <w:color w:val="000000" w:themeColor="text1"/>
                <w:w w:val="105"/>
                <w:sz w:val="18"/>
                <w:lang w:eastAsia="zh-CN"/>
              </w:rPr>
              <w:t>因素</w:t>
            </w:r>
          </w:p>
        </w:tc>
        <w:tc>
          <w:tcPr>
            <w:tcW w:w="3276" w:type="dxa"/>
            <w:tcBorders>
              <w:bottom w:val="single" w:sz="12" w:space="0" w:color="000000"/>
            </w:tcBorders>
            <w:vAlign w:val="center"/>
          </w:tcPr>
          <w:p w:rsidR="002606BB" w:rsidRDefault="00841612">
            <w:pPr>
              <w:pStyle w:val="TableParagraph"/>
              <w:spacing w:before="63"/>
              <w:ind w:left="0"/>
              <w:jc w:val="center"/>
              <w:rPr>
                <w:rFonts w:hint="default"/>
                <w:color w:val="000000" w:themeColor="text1"/>
                <w:sz w:val="18"/>
                <w:szCs w:val="18"/>
              </w:rPr>
            </w:pPr>
            <w:r>
              <w:rPr>
                <w:rFonts w:eastAsia="宋体"/>
                <w:b/>
                <w:color w:val="000000" w:themeColor="text1"/>
                <w:sz w:val="18"/>
                <w:lang w:eastAsia="zh-CN"/>
              </w:rPr>
              <w:t>关键</w:t>
            </w:r>
            <w:proofErr w:type="gramStart"/>
            <w:r>
              <w:rPr>
                <w:rFonts w:eastAsia="宋体"/>
                <w:b/>
                <w:color w:val="000000" w:themeColor="text1"/>
                <w:sz w:val="18"/>
                <w:lang w:eastAsia="zh-CN"/>
              </w:rPr>
              <w:t>考量</w:t>
            </w:r>
            <w:proofErr w:type="gramEnd"/>
          </w:p>
        </w:tc>
        <w:tc>
          <w:tcPr>
            <w:tcW w:w="4494" w:type="dxa"/>
            <w:tcBorders>
              <w:bottom w:val="single" w:sz="12" w:space="0" w:color="000000"/>
            </w:tcBorders>
            <w:vAlign w:val="center"/>
          </w:tcPr>
          <w:p w:rsidR="002606BB" w:rsidRDefault="00841612">
            <w:pPr>
              <w:pStyle w:val="TableParagraph"/>
              <w:spacing w:before="63"/>
              <w:ind w:left="0"/>
              <w:jc w:val="center"/>
              <w:rPr>
                <w:rFonts w:eastAsia="宋体" w:hint="default"/>
                <w:color w:val="000000" w:themeColor="text1"/>
                <w:sz w:val="18"/>
                <w:szCs w:val="18"/>
                <w:lang w:eastAsia="zh-CN"/>
              </w:rPr>
            </w:pPr>
            <w:r>
              <w:rPr>
                <w:rFonts w:eastAsia="宋体"/>
                <w:b/>
                <w:color w:val="000000" w:themeColor="text1"/>
                <w:w w:val="105"/>
                <w:sz w:val="18"/>
                <w:lang w:eastAsia="zh-CN"/>
              </w:rPr>
              <w:t>关键问题</w:t>
            </w:r>
          </w:p>
        </w:tc>
      </w:tr>
      <w:tr w:rsidR="002606BB">
        <w:trPr>
          <w:trHeight w:hRule="exact" w:val="4199"/>
        </w:trPr>
        <w:tc>
          <w:tcPr>
            <w:tcW w:w="1369" w:type="dxa"/>
            <w:tcBorders>
              <w:top w:val="single" w:sz="12" w:space="0" w:color="000000"/>
              <w:bottom w:val="single" w:sz="4" w:space="0" w:color="auto"/>
              <w:right w:val="single" w:sz="4" w:space="0" w:color="auto"/>
              <w:tl2br w:val="nil"/>
              <w:tr2bl w:val="nil"/>
            </w:tcBorders>
            <w:vAlign w:val="center"/>
          </w:tcPr>
          <w:p w:rsidR="002606BB" w:rsidRDefault="00841612">
            <w:pPr>
              <w:pStyle w:val="TableParagraph"/>
              <w:spacing w:before="58"/>
              <w:ind w:left="97" w:right="307"/>
              <w:jc w:val="center"/>
              <w:rPr>
                <w:rFonts w:ascii="宋体" w:eastAsia="宋体" w:hAnsi="宋体" w:cs="宋体" w:hint="default"/>
                <w:color w:val="000000" w:themeColor="text1"/>
                <w:sz w:val="18"/>
                <w:szCs w:val="18"/>
                <w:lang w:eastAsia="zh-CN"/>
              </w:rPr>
            </w:pPr>
            <w:r>
              <w:rPr>
                <w:rFonts w:ascii="宋体" w:eastAsia="宋体" w:hAnsi="宋体" w:cs="宋体"/>
                <w:color w:val="000000" w:themeColor="text1"/>
                <w:spacing w:val="-1"/>
                <w:w w:val="105"/>
                <w:sz w:val="18"/>
                <w:lang w:eastAsia="zh-CN"/>
              </w:rPr>
              <w:t>相关特定应用</w:t>
            </w:r>
            <w:r>
              <w:rPr>
                <w:rFonts w:ascii="宋体" w:eastAsia="宋体" w:hAnsi="宋体" w:cs="宋体"/>
                <w:color w:val="000000" w:themeColor="text1"/>
                <w:spacing w:val="-1"/>
                <w:w w:val="105"/>
                <w:sz w:val="18"/>
                <w:lang w:eastAsia="zh-CN"/>
              </w:rPr>
              <w:t>/</w:t>
            </w:r>
            <w:r>
              <w:rPr>
                <w:rFonts w:ascii="宋体" w:eastAsia="宋体" w:hAnsi="宋体" w:cs="宋体"/>
                <w:color w:val="000000" w:themeColor="text1"/>
                <w:spacing w:val="-1"/>
                <w:w w:val="105"/>
                <w:sz w:val="18"/>
                <w:lang w:eastAsia="zh-CN"/>
              </w:rPr>
              <w:t>工艺的验证</w:t>
            </w:r>
          </w:p>
        </w:tc>
        <w:tc>
          <w:tcPr>
            <w:tcW w:w="3276" w:type="dxa"/>
            <w:tcBorders>
              <w:top w:val="single" w:sz="12" w:space="0" w:color="000000"/>
              <w:left w:val="single" w:sz="4" w:space="0" w:color="auto"/>
              <w:bottom w:val="single" w:sz="4" w:space="0" w:color="auto"/>
              <w:right w:val="single" w:sz="4" w:space="0" w:color="auto"/>
              <w:tl2br w:val="nil"/>
              <w:tr2bl w:val="nil"/>
            </w:tcBorders>
          </w:tcPr>
          <w:p w:rsidR="002606BB" w:rsidRDefault="00841612">
            <w:pPr>
              <w:pStyle w:val="TableParagraph"/>
              <w:spacing w:before="58"/>
              <w:ind w:left="106" w:right="80"/>
              <w:rPr>
                <w:rFonts w:ascii="宋体" w:eastAsia="宋体" w:hAnsi="宋体" w:cs="宋体" w:hint="default"/>
                <w:color w:val="000000" w:themeColor="text1"/>
                <w:sz w:val="18"/>
                <w:szCs w:val="18"/>
                <w:lang w:eastAsia="zh-CN"/>
              </w:rPr>
            </w:pPr>
            <w:r>
              <w:rPr>
                <w:rFonts w:ascii="宋体" w:eastAsia="宋体" w:hAnsi="宋体" w:cs="宋体"/>
                <w:color w:val="000000" w:themeColor="text1"/>
                <w:w w:val="105"/>
                <w:sz w:val="18"/>
                <w:lang w:eastAsia="zh-CN"/>
              </w:rPr>
              <w:t>当一种生产用原材料可被多种不同且复杂的工艺用于生产多种不同的细胞治疗产品的生产时，生产用原材料使用者宜通过验证研究来检测该生产用原材料在每个特定工艺中对细胞治疗</w:t>
            </w:r>
            <w:proofErr w:type="gramStart"/>
            <w:r>
              <w:rPr>
                <w:rFonts w:ascii="宋体" w:eastAsia="宋体" w:hAnsi="宋体" w:cs="宋体"/>
                <w:color w:val="000000" w:themeColor="text1"/>
                <w:w w:val="105"/>
                <w:sz w:val="18"/>
                <w:lang w:eastAsia="zh-CN"/>
              </w:rPr>
              <w:t>终产品</w:t>
            </w:r>
            <w:proofErr w:type="gramEnd"/>
            <w:r>
              <w:rPr>
                <w:rFonts w:ascii="宋体" w:eastAsia="宋体" w:hAnsi="宋体" w:cs="宋体"/>
                <w:color w:val="000000" w:themeColor="text1"/>
                <w:w w:val="105"/>
                <w:sz w:val="18"/>
                <w:lang w:eastAsia="zh-CN"/>
              </w:rPr>
              <w:t>的影响。不能因产用原材料可以用于其中一个产品的生产过程，就假设它适用于其他产品的生产工艺。</w:t>
            </w:r>
          </w:p>
        </w:tc>
        <w:tc>
          <w:tcPr>
            <w:tcW w:w="4494" w:type="dxa"/>
            <w:tcBorders>
              <w:top w:val="single" w:sz="12" w:space="0" w:color="000000"/>
              <w:left w:val="single" w:sz="4" w:space="0" w:color="auto"/>
              <w:bottom w:val="single" w:sz="4" w:space="0" w:color="auto"/>
              <w:tl2br w:val="nil"/>
              <w:tr2bl w:val="nil"/>
            </w:tcBorders>
          </w:tcPr>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如果生产用原材料不能满足预期目的，其对最终细胞治疗产品的质量会产生什么具体风险</w:t>
            </w:r>
            <w:r>
              <w:rPr>
                <w:rFonts w:ascii="宋体" w:eastAsia="宋体" w:hAnsi="宋体" w:cs="宋体"/>
                <w:color w:val="000000" w:themeColor="text1"/>
                <w:w w:val="105"/>
                <w:sz w:val="18"/>
                <w:lang w:eastAsia="zh-CN"/>
              </w:rPr>
              <w:t>/</w:t>
            </w:r>
            <w:r>
              <w:rPr>
                <w:rFonts w:ascii="宋体" w:eastAsia="宋体" w:hAnsi="宋体" w:cs="宋体"/>
                <w:color w:val="000000" w:themeColor="text1"/>
                <w:w w:val="105"/>
                <w:sz w:val="18"/>
                <w:lang w:eastAsia="zh-CN"/>
              </w:rPr>
              <w:t>影响？</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生产用原材料在生产工艺中的应用环节，以及其在生产过程中是否与其他组分隔离？</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采取了哪些灭菌或其他去污染措施？</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生产用原材料是否在特定的质量体系下生产，是否有特定的质量标准？</w:t>
            </w:r>
          </w:p>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人体材料的类型和组织来源是什么？</w:t>
            </w:r>
          </w:p>
          <w:p w:rsidR="002606BB" w:rsidRDefault="00841612">
            <w:pPr>
              <w:pStyle w:val="TableParagraph"/>
              <w:spacing w:before="110"/>
              <w:ind w:left="107" w:right="75"/>
              <w:rPr>
                <w:rFonts w:ascii="宋体" w:eastAsia="宋体" w:hAnsi="宋体" w:cs="宋体" w:hint="default"/>
                <w:color w:val="000000" w:themeColor="text1"/>
                <w:sz w:val="18"/>
                <w:szCs w:val="18"/>
                <w:lang w:eastAsia="zh-CN"/>
              </w:rPr>
            </w:pPr>
            <w:r>
              <w:rPr>
                <w:rFonts w:ascii="宋体" w:eastAsia="宋体" w:hAnsi="宋体" w:cs="宋体"/>
                <w:color w:val="000000" w:themeColor="text1"/>
                <w:w w:val="105"/>
                <w:sz w:val="18"/>
                <w:lang w:eastAsia="zh-CN"/>
              </w:rPr>
              <w:t>进行了何种程度的供者检测？供者居住在哪个国家？材料的捐赠和采购是否符合监管要求，例如供者知情同意书？</w:t>
            </w:r>
          </w:p>
        </w:tc>
      </w:tr>
      <w:tr w:rsidR="002606BB">
        <w:trPr>
          <w:trHeight w:hRule="exact" w:val="5352"/>
        </w:trPr>
        <w:tc>
          <w:tcPr>
            <w:tcW w:w="1369" w:type="dxa"/>
            <w:tcBorders>
              <w:top w:val="single" w:sz="4" w:space="0" w:color="auto"/>
              <w:bottom w:val="single" w:sz="12" w:space="0" w:color="000000"/>
              <w:right w:val="single" w:sz="4" w:space="0" w:color="auto"/>
            </w:tcBorders>
            <w:vAlign w:val="center"/>
          </w:tcPr>
          <w:p w:rsidR="002606BB" w:rsidRDefault="00841612">
            <w:pPr>
              <w:pStyle w:val="TableParagraph"/>
              <w:spacing w:before="10"/>
              <w:ind w:left="97"/>
              <w:jc w:val="center"/>
              <w:rPr>
                <w:rFonts w:ascii="宋体" w:eastAsia="宋体" w:hAnsi="宋体" w:cs="宋体" w:hint="default"/>
                <w:color w:val="000000" w:themeColor="text1"/>
                <w:sz w:val="18"/>
                <w:szCs w:val="18"/>
                <w:lang w:eastAsia="zh-CN"/>
              </w:rPr>
            </w:pPr>
            <w:r>
              <w:rPr>
                <w:rFonts w:ascii="宋体" w:eastAsia="宋体" w:hAnsi="宋体" w:cs="宋体"/>
                <w:color w:val="000000" w:themeColor="text1"/>
                <w:spacing w:val="-1"/>
                <w:w w:val="105"/>
                <w:sz w:val="18"/>
                <w:lang w:eastAsia="zh-CN"/>
              </w:rPr>
              <w:t>检测</w:t>
            </w:r>
            <w:r>
              <w:rPr>
                <w:rFonts w:ascii="宋体" w:eastAsia="宋体" w:hAnsi="宋体" w:cs="宋体"/>
                <w:color w:val="000000" w:themeColor="text1"/>
                <w:spacing w:val="-1"/>
                <w:w w:val="105"/>
                <w:sz w:val="18"/>
                <w:lang w:eastAsia="zh-CN"/>
              </w:rPr>
              <w:t>/</w:t>
            </w:r>
            <w:r>
              <w:rPr>
                <w:rFonts w:ascii="宋体" w:eastAsia="宋体" w:hAnsi="宋体" w:cs="宋体"/>
                <w:color w:val="000000" w:themeColor="text1"/>
                <w:spacing w:val="-1"/>
                <w:w w:val="105"/>
                <w:sz w:val="18"/>
                <w:lang w:eastAsia="zh-CN"/>
              </w:rPr>
              <w:t>表征</w:t>
            </w:r>
          </w:p>
        </w:tc>
        <w:tc>
          <w:tcPr>
            <w:tcW w:w="3276" w:type="dxa"/>
            <w:tcBorders>
              <w:top w:val="single" w:sz="4" w:space="0" w:color="auto"/>
              <w:left w:val="single" w:sz="4" w:space="0" w:color="auto"/>
              <w:bottom w:val="single" w:sz="12" w:space="0" w:color="000000"/>
              <w:right w:val="single" w:sz="4" w:space="0" w:color="auto"/>
            </w:tcBorders>
          </w:tcPr>
          <w:p w:rsidR="002606BB" w:rsidRDefault="00841612">
            <w:pPr>
              <w:pStyle w:val="TableParagraph"/>
              <w:spacing w:before="63"/>
              <w:ind w:left="106" w:right="80"/>
              <w:rPr>
                <w:rFonts w:ascii="宋体" w:eastAsia="宋体" w:hAnsi="宋体" w:cs="宋体" w:hint="default"/>
                <w:color w:val="000000" w:themeColor="text1"/>
                <w:sz w:val="18"/>
                <w:szCs w:val="18"/>
                <w:lang w:eastAsia="zh-CN"/>
              </w:rPr>
            </w:pPr>
            <w:r>
              <w:rPr>
                <w:rFonts w:ascii="宋体" w:eastAsia="宋体" w:hAnsi="宋体" w:cs="宋体"/>
                <w:color w:val="000000" w:themeColor="text1"/>
                <w:w w:val="105"/>
                <w:sz w:val="18"/>
                <w:lang w:eastAsia="zh-CN"/>
              </w:rPr>
              <w:t>当一种生物</w:t>
            </w:r>
            <w:proofErr w:type="gramStart"/>
            <w:r>
              <w:rPr>
                <w:rFonts w:ascii="宋体" w:eastAsia="宋体" w:hAnsi="宋体" w:cs="宋体"/>
                <w:color w:val="000000" w:themeColor="text1"/>
                <w:w w:val="105"/>
                <w:sz w:val="18"/>
                <w:lang w:eastAsia="zh-CN"/>
              </w:rPr>
              <w:t>源生产</w:t>
            </w:r>
            <w:proofErr w:type="gramEnd"/>
            <w:r>
              <w:rPr>
                <w:rFonts w:ascii="宋体" w:eastAsia="宋体" w:hAnsi="宋体" w:cs="宋体"/>
                <w:color w:val="000000" w:themeColor="text1"/>
                <w:w w:val="105"/>
                <w:sz w:val="18"/>
                <w:lang w:eastAsia="zh-CN"/>
              </w:rPr>
              <w:t>用原材料在持续供货中无法保持满足预期目的的生物学活性水平时，即使其</w:t>
            </w:r>
            <w:proofErr w:type="gramStart"/>
            <w:r>
              <w:rPr>
                <w:rFonts w:ascii="宋体" w:eastAsia="宋体" w:hAnsi="宋体" w:cs="宋体"/>
                <w:color w:val="000000" w:themeColor="text1"/>
                <w:w w:val="105"/>
                <w:sz w:val="18"/>
                <w:lang w:eastAsia="zh-CN"/>
              </w:rPr>
              <w:t>不</w:t>
            </w:r>
            <w:proofErr w:type="gramEnd"/>
            <w:r>
              <w:rPr>
                <w:rFonts w:ascii="宋体" w:eastAsia="宋体" w:hAnsi="宋体" w:cs="宋体"/>
                <w:color w:val="000000" w:themeColor="text1"/>
                <w:w w:val="105"/>
                <w:sz w:val="18"/>
                <w:lang w:eastAsia="zh-CN"/>
              </w:rPr>
              <w:t>含有直接的安全性风险，该生物</w:t>
            </w:r>
            <w:proofErr w:type="gramStart"/>
            <w:r>
              <w:rPr>
                <w:rFonts w:ascii="宋体" w:eastAsia="宋体" w:hAnsi="宋体" w:cs="宋体"/>
                <w:color w:val="000000" w:themeColor="text1"/>
                <w:w w:val="105"/>
                <w:sz w:val="18"/>
                <w:lang w:eastAsia="zh-CN"/>
              </w:rPr>
              <w:t>源生产</w:t>
            </w:r>
            <w:proofErr w:type="gramEnd"/>
            <w:r>
              <w:rPr>
                <w:rFonts w:ascii="宋体" w:eastAsia="宋体" w:hAnsi="宋体" w:cs="宋体"/>
                <w:color w:val="000000" w:themeColor="text1"/>
                <w:w w:val="105"/>
                <w:sz w:val="18"/>
                <w:lang w:eastAsia="zh-CN"/>
              </w:rPr>
              <w:t>用原材料仍然不适合使用。生产用原材料供应者为该生物</w:t>
            </w:r>
            <w:proofErr w:type="gramStart"/>
            <w:r>
              <w:rPr>
                <w:rFonts w:ascii="宋体" w:eastAsia="宋体" w:hAnsi="宋体" w:cs="宋体"/>
                <w:color w:val="000000" w:themeColor="text1"/>
                <w:w w:val="105"/>
                <w:sz w:val="18"/>
                <w:lang w:eastAsia="zh-CN"/>
              </w:rPr>
              <w:t>源材料</w:t>
            </w:r>
            <w:proofErr w:type="gramEnd"/>
            <w:r>
              <w:rPr>
                <w:rFonts w:ascii="宋体" w:eastAsia="宋体" w:hAnsi="宋体" w:cs="宋体"/>
                <w:color w:val="000000" w:themeColor="text1"/>
                <w:w w:val="105"/>
                <w:sz w:val="18"/>
                <w:lang w:eastAsia="zh-CN"/>
              </w:rPr>
              <w:t>提供的分析证明（</w:t>
            </w:r>
            <w:r>
              <w:rPr>
                <w:rFonts w:ascii="宋体" w:eastAsia="宋体" w:hAnsi="宋体" w:cs="宋体"/>
                <w:color w:val="000000" w:themeColor="text1"/>
                <w:w w:val="105"/>
                <w:sz w:val="18"/>
                <w:lang w:eastAsia="zh-CN"/>
              </w:rPr>
              <w:t>CoA</w:t>
            </w:r>
            <w:r>
              <w:rPr>
                <w:rFonts w:ascii="宋体" w:eastAsia="宋体" w:hAnsi="宋体" w:cs="宋体"/>
                <w:color w:val="000000" w:themeColor="text1"/>
                <w:w w:val="105"/>
                <w:sz w:val="18"/>
                <w:lang w:eastAsia="zh-CN"/>
              </w:rPr>
              <w:t>）中的产品标准可以作为确保质量的初始依据，但不宜作为确保质量的唯一依据，因为分析证明通常只包含无菌和纯度等基本信息。宜由生产用原材料使用者负责每批来料的表征。所有对最终产品的安全性和质量有直接影响的分析试验方法宜从一开始就进行验证，并证明都符合预期目的。</w:t>
            </w:r>
          </w:p>
        </w:tc>
        <w:tc>
          <w:tcPr>
            <w:tcW w:w="4494" w:type="dxa"/>
            <w:tcBorders>
              <w:top w:val="single" w:sz="4" w:space="0" w:color="auto"/>
              <w:left w:val="single" w:sz="4" w:space="0" w:color="auto"/>
              <w:bottom w:val="single" w:sz="12" w:space="0" w:color="000000"/>
            </w:tcBorders>
          </w:tcPr>
          <w:p w:rsidR="002606BB" w:rsidRDefault="00841612">
            <w:pPr>
              <w:pStyle w:val="TableParagraph"/>
              <w:spacing w:before="110"/>
              <w:ind w:left="107" w:right="75"/>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生产用原材料的哪些属性对最终产品质量最为关键？</w:t>
            </w:r>
          </w:p>
          <w:p w:rsidR="002606BB" w:rsidRDefault="00841612">
            <w:pPr>
              <w:pStyle w:val="TableParagraph"/>
              <w:spacing w:before="110"/>
              <w:ind w:left="107" w:right="75"/>
              <w:rPr>
                <w:rFonts w:ascii="宋体" w:eastAsia="宋体" w:hAnsi="宋体" w:cs="宋体" w:hint="default"/>
                <w:color w:val="000000" w:themeColor="text1"/>
                <w:sz w:val="18"/>
                <w:szCs w:val="18"/>
                <w:lang w:eastAsia="zh-CN"/>
              </w:rPr>
            </w:pPr>
            <w:r>
              <w:rPr>
                <w:rFonts w:ascii="宋体" w:eastAsia="宋体" w:hAnsi="宋体" w:cs="宋体"/>
                <w:color w:val="000000" w:themeColor="text1"/>
                <w:w w:val="105"/>
                <w:sz w:val="18"/>
                <w:lang w:eastAsia="zh-CN"/>
              </w:rPr>
              <w:t>生产用原材料</w:t>
            </w:r>
            <w:r>
              <w:rPr>
                <w:rFonts w:ascii="宋体" w:eastAsia="宋体" w:hAnsi="宋体" w:cs="宋体"/>
                <w:color w:val="000000" w:themeColor="text1"/>
                <w:w w:val="105"/>
                <w:sz w:val="18"/>
                <w:lang w:eastAsia="zh-CN"/>
              </w:rPr>
              <w:t>是如何检测的，检测方法</w:t>
            </w:r>
            <w:r>
              <w:rPr>
                <w:rFonts w:ascii="宋体" w:eastAsia="宋体" w:hAnsi="宋体" w:cs="宋体"/>
                <w:color w:val="000000" w:themeColor="text1"/>
                <w:w w:val="105"/>
                <w:sz w:val="18"/>
                <w:lang w:eastAsia="zh-CN"/>
              </w:rPr>
              <w:t>/</w:t>
            </w:r>
            <w:r>
              <w:rPr>
                <w:rFonts w:ascii="宋体" w:eastAsia="宋体" w:hAnsi="宋体" w:cs="宋体"/>
                <w:color w:val="000000" w:themeColor="text1"/>
                <w:w w:val="105"/>
                <w:sz w:val="18"/>
                <w:lang w:eastAsia="zh-CN"/>
              </w:rPr>
              <w:t>试剂是否适合预期用途？</w:t>
            </w:r>
          </w:p>
          <w:p w:rsidR="002606BB" w:rsidRDefault="00841612">
            <w:pPr>
              <w:pStyle w:val="TableParagraph"/>
              <w:spacing w:before="108"/>
              <w:ind w:left="107" w:right="73"/>
              <w:rPr>
                <w:rFonts w:ascii="宋体" w:eastAsia="宋体" w:hAnsi="宋体" w:cs="宋体" w:hint="default"/>
                <w:color w:val="000000" w:themeColor="text1"/>
                <w:sz w:val="18"/>
                <w:szCs w:val="18"/>
                <w:lang w:eastAsia="zh-CN"/>
              </w:rPr>
            </w:pPr>
            <w:r>
              <w:rPr>
                <w:rFonts w:ascii="宋体" w:eastAsia="宋体" w:hAnsi="宋体" w:cs="宋体"/>
                <w:color w:val="000000" w:themeColor="text1"/>
                <w:w w:val="105"/>
                <w:sz w:val="18"/>
                <w:lang w:eastAsia="zh-CN"/>
              </w:rPr>
              <w:t>当不能识别出并取得最适合制造细胞治疗产品的那个生产用原材料批次时，是否已考虑了生产用原材料批次间差异的可能性？在批次之间需要确保哪些性能指标？</w:t>
            </w:r>
          </w:p>
          <w:p w:rsidR="002606BB" w:rsidRDefault="00841612">
            <w:pPr>
              <w:pStyle w:val="TableParagraph"/>
              <w:spacing w:before="120"/>
              <w:ind w:left="109" w:right="204"/>
              <w:jc w:val="left"/>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产品的表征是什么，例如放行检测</w:t>
            </w:r>
            <w:r>
              <w:rPr>
                <w:rFonts w:ascii="宋体" w:eastAsia="宋体" w:hAnsi="宋体" w:cs="宋体"/>
                <w:color w:val="000000" w:themeColor="text1"/>
                <w:w w:val="105"/>
                <w:sz w:val="18"/>
                <w:lang w:eastAsia="zh-CN"/>
              </w:rPr>
              <w:t>/</w:t>
            </w:r>
            <w:r>
              <w:rPr>
                <w:rFonts w:ascii="宋体" w:eastAsia="宋体" w:hAnsi="宋体" w:cs="宋体"/>
                <w:color w:val="000000" w:themeColor="text1"/>
                <w:w w:val="105"/>
                <w:sz w:val="18"/>
                <w:lang w:eastAsia="zh-CN"/>
              </w:rPr>
              <w:t>质量标准？</w:t>
            </w:r>
          </w:p>
          <w:p w:rsidR="002606BB" w:rsidRDefault="00841612">
            <w:pPr>
              <w:pStyle w:val="TableParagraph"/>
              <w:spacing w:before="113"/>
              <w:ind w:left="107" w:right="167"/>
              <w:jc w:val="left"/>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生产用原材料中是否有动物成分，如果有，是什么类型？如果存在牛源的材料，是否已采取措施将</w:t>
            </w:r>
            <w:r>
              <w:rPr>
                <w:rFonts w:ascii="宋体" w:eastAsia="宋体" w:hAnsi="宋体" w:cs="宋体"/>
                <w:color w:val="000000" w:themeColor="text1"/>
                <w:w w:val="105"/>
                <w:sz w:val="18"/>
                <w:lang w:eastAsia="zh-CN"/>
              </w:rPr>
              <w:t>TSE</w:t>
            </w:r>
            <w:r>
              <w:rPr>
                <w:rFonts w:ascii="宋体" w:eastAsia="宋体" w:hAnsi="宋体" w:cs="宋体"/>
                <w:color w:val="000000" w:themeColor="text1"/>
                <w:w w:val="105"/>
                <w:sz w:val="18"/>
                <w:lang w:eastAsia="zh-CN"/>
              </w:rPr>
              <w:t>传播的风险降至最低？</w:t>
            </w:r>
          </w:p>
          <w:p w:rsidR="002606BB" w:rsidRDefault="00841612">
            <w:pPr>
              <w:pStyle w:val="TableParagraph"/>
              <w:tabs>
                <w:tab w:val="left" w:pos="1222"/>
                <w:tab w:val="left" w:pos="2066"/>
                <w:tab w:val="left" w:pos="2871"/>
              </w:tabs>
              <w:spacing w:before="113"/>
              <w:ind w:left="107" w:right="72"/>
              <w:rPr>
                <w:rFonts w:ascii="宋体" w:eastAsia="宋体" w:hAnsi="宋体" w:cs="宋体" w:hint="default"/>
                <w:color w:val="000000" w:themeColor="text1"/>
                <w:w w:val="105"/>
                <w:sz w:val="18"/>
                <w:lang w:eastAsia="zh-CN"/>
              </w:rPr>
            </w:pPr>
            <w:r>
              <w:rPr>
                <w:rFonts w:ascii="宋体" w:eastAsia="宋体" w:hAnsi="宋体" w:cs="宋体"/>
                <w:color w:val="000000" w:themeColor="text1"/>
                <w:w w:val="105"/>
                <w:sz w:val="18"/>
                <w:lang w:eastAsia="zh-CN"/>
              </w:rPr>
              <w:t>对生产用原材料进行了哪些病毒测试，是否进行了病毒清除步骤？</w:t>
            </w:r>
          </w:p>
          <w:p w:rsidR="002606BB" w:rsidRDefault="002606BB">
            <w:pPr>
              <w:pStyle w:val="TableParagraph"/>
              <w:tabs>
                <w:tab w:val="left" w:pos="1222"/>
                <w:tab w:val="left" w:pos="2066"/>
                <w:tab w:val="left" w:pos="2871"/>
              </w:tabs>
              <w:spacing w:before="113"/>
              <w:ind w:left="107" w:right="72"/>
              <w:rPr>
                <w:rFonts w:ascii="宋体" w:eastAsia="宋体" w:hAnsi="宋体" w:cs="宋体" w:hint="default"/>
                <w:color w:val="000000" w:themeColor="text1"/>
                <w:w w:val="105"/>
                <w:sz w:val="18"/>
                <w:lang w:eastAsia="zh-CN"/>
              </w:rPr>
            </w:pPr>
          </w:p>
        </w:tc>
      </w:tr>
    </w:tbl>
    <w:p w:rsidR="002606BB" w:rsidRDefault="00841612">
      <w:pPr>
        <w:pStyle w:val="a2"/>
        <w:ind w:left="0"/>
        <w:rPr>
          <w:rFonts w:ascii="宋体" w:hAnsi="宋体" w:cs="宋体"/>
          <w:color w:val="000000" w:themeColor="text1"/>
        </w:rPr>
      </w:pPr>
      <w:r>
        <w:rPr>
          <w:rFonts w:ascii="宋体" w:hAnsi="宋体" w:cs="宋体" w:hint="eastAsia"/>
          <w:color w:val="000000" w:themeColor="text1"/>
        </w:rPr>
        <w:t>供应商审计和调查问卷</w:t>
      </w:r>
    </w:p>
    <w:p w:rsidR="002606BB" w:rsidRDefault="00841612">
      <w:pPr>
        <w:pStyle w:val="a3"/>
        <w:ind w:left="0"/>
        <w:rPr>
          <w:color w:val="000000" w:themeColor="text1"/>
        </w:rPr>
      </w:pPr>
      <w:r>
        <w:rPr>
          <w:rFonts w:hint="eastAsia"/>
          <w:color w:val="000000" w:themeColor="text1"/>
        </w:rPr>
        <w:t>生产用原材料使用者可对生产用原材料供应者开展供应商审计，以确保存在足够的记录和文件化信息证明该生产用原材料从其原产地到最终分销的可追溯性。</w:t>
      </w:r>
    </w:p>
    <w:p w:rsidR="002606BB" w:rsidRDefault="00841612">
      <w:pPr>
        <w:pStyle w:val="a3"/>
        <w:ind w:left="0"/>
        <w:rPr>
          <w:color w:val="000000" w:themeColor="text1"/>
        </w:rPr>
      </w:pPr>
      <w:r>
        <w:rPr>
          <w:rFonts w:hint="eastAsia"/>
          <w:color w:val="000000" w:themeColor="text1"/>
        </w:rPr>
        <w:t>供应商审计用于评价生产用原材料的整个生产工艺，装运和分销程序，以及所有检测程序。例如，生产用原材料供应者进行的每项检测（</w:t>
      </w:r>
      <w:proofErr w:type="gramStart"/>
      <w:r>
        <w:rPr>
          <w:rFonts w:hint="eastAsia"/>
          <w:color w:val="000000" w:themeColor="text1"/>
        </w:rPr>
        <w:t>如过程</w:t>
      </w:r>
      <w:proofErr w:type="gramEnd"/>
      <w:r>
        <w:rPr>
          <w:rFonts w:hint="eastAsia"/>
          <w:color w:val="000000" w:themeColor="text1"/>
        </w:rPr>
        <w:t>中检测、最终质量控制检测）应制定标准操作程序，进行相关测试的每位员工应提供相关培训记录。</w:t>
      </w:r>
    </w:p>
    <w:p w:rsidR="002606BB" w:rsidRDefault="00841612">
      <w:pPr>
        <w:pStyle w:val="a3"/>
        <w:ind w:left="0"/>
        <w:rPr>
          <w:color w:val="000000" w:themeColor="text1"/>
        </w:rPr>
      </w:pPr>
      <w:r>
        <w:rPr>
          <w:rFonts w:hint="eastAsia"/>
          <w:color w:val="000000" w:themeColor="text1"/>
        </w:rPr>
        <w:t>生产用原材料使用者应在确定生产用原材料采购之前进行供应商审计，并在之后定期进行审计，以确保生产用原材料的质量水平和风险级别保持不变。</w:t>
      </w:r>
    </w:p>
    <w:p w:rsidR="002606BB" w:rsidRDefault="00841612">
      <w:pPr>
        <w:pStyle w:val="a3"/>
        <w:ind w:left="0"/>
        <w:rPr>
          <w:color w:val="000000" w:themeColor="text1"/>
        </w:rPr>
      </w:pPr>
      <w:r>
        <w:rPr>
          <w:rFonts w:hint="eastAsia"/>
          <w:color w:val="000000" w:themeColor="text1"/>
        </w:rPr>
        <w:t>在进行供应商审计之前，</w:t>
      </w:r>
      <w:r>
        <w:rPr>
          <w:rFonts w:hint="eastAsia"/>
          <w:color w:val="000000" w:themeColor="text1"/>
        </w:rPr>
        <w:t>生产用原材料使用者可向供应者提交调查问卷，调查问卷含有关键问题，便于生产用原材料使用者评估该原材料的适用性和质量。</w:t>
      </w:r>
    </w:p>
    <w:p w:rsidR="002606BB" w:rsidRDefault="00841612">
      <w:pPr>
        <w:pStyle w:val="a3"/>
        <w:ind w:left="0"/>
        <w:rPr>
          <w:color w:val="000000" w:themeColor="text1"/>
        </w:rPr>
      </w:pPr>
      <w:r>
        <w:rPr>
          <w:rFonts w:hint="eastAsia"/>
          <w:color w:val="000000" w:themeColor="text1"/>
        </w:rPr>
        <w:t>当开展生物</w:t>
      </w:r>
      <w:proofErr w:type="gramStart"/>
      <w:r>
        <w:rPr>
          <w:rFonts w:hint="eastAsia"/>
          <w:color w:val="000000" w:themeColor="text1"/>
        </w:rPr>
        <w:t>源生产</w:t>
      </w:r>
      <w:proofErr w:type="gramEnd"/>
      <w:r>
        <w:rPr>
          <w:rFonts w:hint="eastAsia"/>
          <w:color w:val="000000" w:themeColor="text1"/>
        </w:rPr>
        <w:t>用原材料的供应商审计时，生产用原材料使用者除了审核供应者就质量提出的所有声明之外，宜对该生物</w:t>
      </w:r>
      <w:proofErr w:type="gramStart"/>
      <w:r>
        <w:rPr>
          <w:rFonts w:hint="eastAsia"/>
          <w:color w:val="000000" w:themeColor="text1"/>
        </w:rPr>
        <w:t>源生产</w:t>
      </w:r>
      <w:proofErr w:type="gramEnd"/>
      <w:r>
        <w:rPr>
          <w:rFonts w:hint="eastAsia"/>
          <w:color w:val="000000" w:themeColor="text1"/>
        </w:rPr>
        <w:t>用原材料开展额外的审查。表</w:t>
      </w:r>
      <w:r>
        <w:rPr>
          <w:rFonts w:hint="eastAsia"/>
          <w:color w:val="000000" w:themeColor="text1"/>
        </w:rPr>
        <w:t>2</w:t>
      </w:r>
      <w:r>
        <w:rPr>
          <w:rFonts w:hint="eastAsia"/>
          <w:color w:val="000000" w:themeColor="text1"/>
        </w:rPr>
        <w:t>和表</w:t>
      </w:r>
      <w:r>
        <w:rPr>
          <w:rFonts w:hint="eastAsia"/>
          <w:color w:val="000000" w:themeColor="text1"/>
        </w:rPr>
        <w:t>3</w:t>
      </w:r>
      <w:r>
        <w:rPr>
          <w:rFonts w:hint="eastAsia"/>
          <w:color w:val="000000" w:themeColor="text1"/>
        </w:rPr>
        <w:t>给出了生产用原材料使用者可以在调查问卷中采用的示例问题。</w:t>
      </w:r>
    </w:p>
    <w:p w:rsidR="002606BB" w:rsidRDefault="00841612">
      <w:pPr>
        <w:pStyle w:val="a3"/>
        <w:ind w:left="0"/>
        <w:rPr>
          <w:color w:val="000000" w:themeColor="text1"/>
        </w:rPr>
      </w:pPr>
      <w:r>
        <w:rPr>
          <w:rFonts w:hint="eastAsia"/>
          <w:color w:val="000000" w:themeColor="text1"/>
        </w:rPr>
        <w:t>如适用，当开展供应商审计的生产用原材料涉及牛血清时，生产用原材料使用者同时应遵守我国关于牛血清使用的相关要求。</w:t>
      </w:r>
    </w:p>
    <w:p w:rsidR="002606BB" w:rsidRDefault="00841612">
      <w:pPr>
        <w:pStyle w:val="a3"/>
        <w:ind w:left="0"/>
        <w:rPr>
          <w:color w:val="000000" w:themeColor="text1"/>
        </w:rPr>
      </w:pPr>
      <w:r>
        <w:rPr>
          <w:rFonts w:hint="eastAsia"/>
          <w:color w:val="000000" w:themeColor="text1"/>
        </w:rPr>
        <w:t>在供应商审计中生产用原材料使用者宜要求供应者提供分析证明和原产地证明，以证明生</w:t>
      </w:r>
      <w:r>
        <w:rPr>
          <w:rFonts w:hint="eastAsia"/>
          <w:color w:val="000000" w:themeColor="text1"/>
        </w:rPr>
        <w:t>产用原材料的规格、组成和来源。</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风险评估</w:t>
      </w:r>
    </w:p>
    <w:p w:rsidR="002606BB" w:rsidRDefault="00841612">
      <w:pPr>
        <w:pStyle w:val="a3"/>
        <w:ind w:left="0"/>
        <w:rPr>
          <w:color w:val="000000" w:themeColor="text1"/>
        </w:rPr>
      </w:pPr>
      <w:r>
        <w:rPr>
          <w:rFonts w:hint="eastAsia"/>
          <w:color w:val="000000" w:themeColor="text1"/>
        </w:rPr>
        <w:t>生产用原材料使用者可以使用生物</w:t>
      </w:r>
      <w:proofErr w:type="gramStart"/>
      <w:r>
        <w:rPr>
          <w:rFonts w:hint="eastAsia"/>
          <w:color w:val="000000" w:themeColor="text1"/>
        </w:rPr>
        <w:t>源生产</w:t>
      </w:r>
      <w:proofErr w:type="gramEnd"/>
      <w:r>
        <w:rPr>
          <w:rFonts w:hint="eastAsia"/>
          <w:color w:val="000000" w:themeColor="text1"/>
        </w:rPr>
        <w:t>用原材料的供应者提供的信息作为风险评估的基础。在这种情况下，风险评估的目的是使用系统和一致的程序来评估特定的生产用原材料发生特定风险的可能性和后果的严重性。</w:t>
      </w:r>
    </w:p>
    <w:p w:rsidR="002606BB" w:rsidRDefault="00841612">
      <w:pPr>
        <w:pStyle w:val="a3"/>
        <w:ind w:left="0"/>
        <w:rPr>
          <w:color w:val="000000" w:themeColor="text1"/>
        </w:rPr>
      </w:pPr>
      <w:r>
        <w:rPr>
          <w:rFonts w:hint="eastAsia"/>
          <w:color w:val="000000" w:themeColor="text1"/>
        </w:rPr>
        <w:t>执行风险评估可以是一项风险源密集的活动，宜优先考虑最高风险。生产用原材料使用者宜使用适当的风险评估工具（如质量</w:t>
      </w:r>
      <w:r>
        <w:rPr>
          <w:rFonts w:hint="eastAsia"/>
          <w:color w:val="000000" w:themeColor="text1"/>
        </w:rPr>
        <w:t>/</w:t>
      </w:r>
      <w:r>
        <w:rPr>
          <w:rFonts w:hint="eastAsia"/>
          <w:color w:val="000000" w:themeColor="text1"/>
        </w:rPr>
        <w:t>功能组合）来开展风险评分。风险评估应作为更广泛的风险管理程序的一部分进行，包括识别、评估（例如发生的可能性）、控制和审查措施。</w:t>
      </w:r>
    </w:p>
    <w:p w:rsidR="002606BB" w:rsidRDefault="00841612">
      <w:pPr>
        <w:pStyle w:val="a3"/>
        <w:ind w:left="0"/>
        <w:rPr>
          <w:color w:val="000000" w:themeColor="text1"/>
        </w:rPr>
      </w:pPr>
      <w:r>
        <w:rPr>
          <w:rFonts w:hint="eastAsia"/>
          <w:color w:val="000000" w:themeColor="text1"/>
        </w:rPr>
        <w:t>生产用原材料使用者应制定可接受的风险</w:t>
      </w:r>
      <w:r>
        <w:rPr>
          <w:rFonts w:hint="eastAsia"/>
          <w:color w:val="000000" w:themeColor="text1"/>
        </w:rPr>
        <w:t>等级和降低风险措施的等级；</w:t>
      </w:r>
      <w:proofErr w:type="gramStart"/>
      <w:r>
        <w:rPr>
          <w:rFonts w:hint="eastAsia"/>
          <w:color w:val="000000" w:themeColor="text1"/>
        </w:rPr>
        <w:t>宜合理</w:t>
      </w:r>
      <w:proofErr w:type="gramEnd"/>
      <w:r>
        <w:rPr>
          <w:rFonts w:hint="eastAsia"/>
          <w:color w:val="000000" w:themeColor="text1"/>
        </w:rPr>
        <w:t>确定低、中或高风险生产用原材料的阈值，并采用加权方法进行衡量，以确保低风险状态比中风险或高风险状态更难实现。同样，应根据稳健的科学原理来确定降低风险措施的级别。</w:t>
      </w:r>
    </w:p>
    <w:p w:rsidR="002606BB" w:rsidRDefault="00841612">
      <w:pPr>
        <w:pStyle w:val="a3"/>
        <w:ind w:left="0"/>
        <w:rPr>
          <w:color w:val="000000" w:themeColor="text1"/>
        </w:rPr>
      </w:pPr>
      <w:r>
        <w:rPr>
          <w:rFonts w:hint="eastAsia"/>
          <w:color w:val="000000" w:themeColor="text1"/>
        </w:rPr>
        <w:t>在提交细胞治疗产品的监管文件中纳入对生产用原材料的风险评估是有益的。然而，宜注意风险评估是评价与生产用原材料相关的安全性和质量风险，而不是评价其生物学功能以及其对细胞治疗产品的质量和功效的最终影响。</w:t>
      </w:r>
    </w:p>
    <w:p w:rsidR="002606BB" w:rsidRDefault="00841612">
      <w:pPr>
        <w:pStyle w:val="a0"/>
        <w:spacing w:before="312" w:after="312"/>
        <w:rPr>
          <w:color w:val="000000" w:themeColor="text1"/>
        </w:rPr>
      </w:pPr>
      <w:bookmarkStart w:id="95" w:name="_Toc4678"/>
      <w:r>
        <w:rPr>
          <w:rFonts w:hint="eastAsia"/>
          <w:color w:val="000000" w:themeColor="text1"/>
        </w:rPr>
        <w:t>表征和质量属性</w:t>
      </w:r>
      <w:bookmarkEnd w:id="95"/>
    </w:p>
    <w:p w:rsidR="002606BB" w:rsidRDefault="00841612" w:rsidP="00763FAE">
      <w:pPr>
        <w:pStyle w:val="a1"/>
        <w:spacing w:before="156" w:after="156"/>
        <w:rPr>
          <w:color w:val="000000" w:themeColor="text1"/>
        </w:rPr>
      </w:pPr>
      <w:r>
        <w:rPr>
          <w:rFonts w:hint="eastAsia"/>
          <w:color w:val="000000" w:themeColor="text1"/>
        </w:rPr>
        <w:t>组分、鉴别和纯度</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基本要求</w:t>
      </w:r>
    </w:p>
    <w:p w:rsidR="002606BB" w:rsidRDefault="00841612">
      <w:pPr>
        <w:pStyle w:val="a3"/>
        <w:numPr>
          <w:ilvl w:val="3"/>
          <w:numId w:val="0"/>
        </w:numPr>
        <w:ind w:firstLineChars="200" w:firstLine="420"/>
        <w:rPr>
          <w:color w:val="000000" w:themeColor="text1"/>
        </w:rPr>
      </w:pPr>
      <w:r>
        <w:rPr>
          <w:rFonts w:hint="eastAsia"/>
          <w:color w:val="000000" w:themeColor="text1"/>
        </w:rPr>
        <w:t>生产用原材料供应者宜尽可能使生产用原材料与协定的质量要求一致。如适用，宜采用药典收录的分析方法。当采用非药典收录的分析方法时，宜由供应者进行验证。</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成分的种类和数量</w:t>
      </w:r>
    </w:p>
    <w:p w:rsidR="002606BB" w:rsidRDefault="00841612">
      <w:pPr>
        <w:pStyle w:val="a3"/>
        <w:ind w:left="0"/>
        <w:rPr>
          <w:color w:val="000000" w:themeColor="text1"/>
        </w:rPr>
      </w:pPr>
      <w:r>
        <w:rPr>
          <w:rFonts w:hint="eastAsia"/>
          <w:color w:val="000000" w:themeColor="text1"/>
        </w:rPr>
        <w:t>当生产用原材料由化学限定成分组成时，生产用原材料供应者应鉴定并记录其成分。</w:t>
      </w:r>
    </w:p>
    <w:p w:rsidR="002606BB" w:rsidRDefault="00841612">
      <w:pPr>
        <w:pStyle w:val="a3"/>
        <w:ind w:left="0"/>
        <w:rPr>
          <w:color w:val="000000" w:themeColor="text1"/>
        </w:rPr>
      </w:pPr>
      <w:r>
        <w:rPr>
          <w:rFonts w:hint="eastAsia"/>
          <w:color w:val="000000" w:themeColor="text1"/>
        </w:rPr>
        <w:t>当生产用原材料由多种成分组成时，生产用原材料供应者宜鉴定并记录所有已知分子组分及其相对浓度。</w:t>
      </w:r>
    </w:p>
    <w:p w:rsidR="002606BB" w:rsidRDefault="00841612">
      <w:pPr>
        <w:pStyle w:val="a3"/>
        <w:ind w:left="0"/>
        <w:rPr>
          <w:color w:val="000000" w:themeColor="text1"/>
        </w:rPr>
      </w:pPr>
      <w:r>
        <w:rPr>
          <w:rFonts w:hint="eastAsia"/>
          <w:color w:val="000000" w:themeColor="text1"/>
        </w:rPr>
        <w:t>应记录与生产用原材料成分浓度的批次间差异和</w:t>
      </w:r>
      <w:proofErr w:type="gramStart"/>
      <w:r>
        <w:rPr>
          <w:rFonts w:hint="eastAsia"/>
          <w:color w:val="000000" w:themeColor="text1"/>
        </w:rPr>
        <w:t>可</w:t>
      </w:r>
      <w:proofErr w:type="gramEnd"/>
      <w:r>
        <w:rPr>
          <w:rFonts w:hint="eastAsia"/>
          <w:color w:val="000000" w:themeColor="text1"/>
        </w:rPr>
        <w:t>接受范围相关的信息。</w:t>
      </w:r>
    </w:p>
    <w:p w:rsidR="002606BB" w:rsidRDefault="00841612">
      <w:pPr>
        <w:pStyle w:val="a3"/>
        <w:ind w:left="0"/>
        <w:rPr>
          <w:color w:val="000000" w:themeColor="text1"/>
        </w:rPr>
      </w:pPr>
      <w:r>
        <w:rPr>
          <w:rFonts w:hint="eastAsia"/>
          <w:color w:val="000000" w:themeColor="text1"/>
        </w:rPr>
        <w:t>生产用原材料的供应者和使用者需要选择合适的特定检测方法用于鉴别。当使用者认为供应者的检测方法无法满足自己的预定</w:t>
      </w:r>
      <w:r>
        <w:rPr>
          <w:rFonts w:hint="eastAsia"/>
          <w:color w:val="000000" w:themeColor="text1"/>
        </w:rPr>
        <w:t>用途时，使用者可开发不同的特异性检测方法。</w:t>
      </w:r>
    </w:p>
    <w:p w:rsidR="002606BB" w:rsidRDefault="00841612">
      <w:pPr>
        <w:pStyle w:val="a3"/>
        <w:ind w:left="0"/>
        <w:rPr>
          <w:color w:val="000000" w:themeColor="text1"/>
        </w:rPr>
      </w:pPr>
      <w:r>
        <w:rPr>
          <w:rFonts w:hint="eastAsia"/>
          <w:color w:val="000000" w:themeColor="text1"/>
        </w:rPr>
        <w:t>在可能的情况下，生产用原材料的所有化学成分</w:t>
      </w:r>
      <w:proofErr w:type="gramStart"/>
      <w:r>
        <w:rPr>
          <w:rFonts w:hint="eastAsia"/>
          <w:color w:val="000000" w:themeColor="text1"/>
        </w:rPr>
        <w:t>宜满足</w:t>
      </w:r>
      <w:proofErr w:type="gramEnd"/>
      <w:r>
        <w:rPr>
          <w:rFonts w:hint="eastAsia"/>
          <w:color w:val="000000" w:themeColor="text1"/>
        </w:rPr>
        <w:t>药典相关要求。</w:t>
      </w:r>
    </w:p>
    <w:p w:rsidR="002606BB" w:rsidRDefault="00841612">
      <w:pPr>
        <w:pStyle w:val="a3"/>
        <w:ind w:left="0"/>
        <w:rPr>
          <w:color w:val="000000" w:themeColor="text1"/>
        </w:rPr>
      </w:pPr>
      <w:r>
        <w:rPr>
          <w:rFonts w:hint="eastAsia"/>
          <w:color w:val="000000" w:themeColor="text1"/>
        </w:rPr>
        <w:t>当生产用原材料含有未知或</w:t>
      </w:r>
      <w:r>
        <w:rPr>
          <w:rFonts w:hint="eastAsia"/>
          <w:color w:val="000000" w:themeColor="text1"/>
        </w:rPr>
        <w:t>/</w:t>
      </w:r>
      <w:r>
        <w:rPr>
          <w:rFonts w:hint="eastAsia"/>
          <w:color w:val="000000" w:themeColor="text1"/>
        </w:rPr>
        <w:t>和需要保密的成分时，宜通过活性来评价该生产用原材料。</w:t>
      </w:r>
    </w:p>
    <w:p w:rsidR="002606BB" w:rsidRDefault="00841612">
      <w:pPr>
        <w:pStyle w:val="a3"/>
        <w:ind w:left="0"/>
        <w:rPr>
          <w:color w:val="000000" w:themeColor="text1"/>
        </w:rPr>
      </w:pPr>
      <w:r>
        <w:rPr>
          <w:rFonts w:hint="eastAsia"/>
          <w:color w:val="000000" w:themeColor="text1"/>
        </w:rPr>
        <w:t>当生产用原材料含有单独一种或多种混合的专有成分时，供应者宜标明该专有成分和相对浓度，并宜提供与其分子组成类型或用途有关的全部可共享信息。</w:t>
      </w:r>
    </w:p>
    <w:p w:rsidR="002606BB" w:rsidRDefault="00841612">
      <w:pPr>
        <w:pStyle w:val="a3"/>
        <w:ind w:left="0"/>
        <w:rPr>
          <w:color w:val="000000" w:themeColor="text1"/>
        </w:rPr>
      </w:pPr>
      <w:r>
        <w:rPr>
          <w:rFonts w:hint="eastAsia"/>
          <w:color w:val="000000" w:themeColor="text1"/>
        </w:rPr>
        <w:t>动物源性生产用原材料应有原产地证明（</w:t>
      </w:r>
      <w:proofErr w:type="spellStart"/>
      <w:r>
        <w:rPr>
          <w:rFonts w:hint="eastAsia"/>
          <w:color w:val="000000" w:themeColor="text1"/>
        </w:rPr>
        <w:t>CoO</w:t>
      </w:r>
      <w:proofErr w:type="spellEnd"/>
      <w:r>
        <w:rPr>
          <w:rFonts w:hint="eastAsia"/>
          <w:color w:val="000000" w:themeColor="text1"/>
        </w:rPr>
        <w:t>）文件。证明文件</w:t>
      </w:r>
      <w:proofErr w:type="gramStart"/>
      <w:r>
        <w:rPr>
          <w:rFonts w:hint="eastAsia"/>
          <w:color w:val="000000" w:themeColor="text1"/>
        </w:rPr>
        <w:t>宜包括</w:t>
      </w:r>
      <w:proofErr w:type="gramEnd"/>
      <w:r>
        <w:rPr>
          <w:rFonts w:hint="eastAsia"/>
          <w:color w:val="000000" w:themeColor="text1"/>
        </w:rPr>
        <w:t>该动物源性材料的原产国。证明文件也可包括该材料来源的动物、畜群或群体的健康声明，以及证明没有病原体的证据（例如病毒清除试验</w:t>
      </w:r>
      <w:r>
        <w:rPr>
          <w:rFonts w:hint="eastAsia"/>
          <w:color w:val="000000" w:themeColor="text1"/>
        </w:rPr>
        <w:t>、无菌试验）。</w:t>
      </w:r>
    </w:p>
    <w:p w:rsidR="002606BB" w:rsidRDefault="00841612">
      <w:pPr>
        <w:pStyle w:val="a3"/>
        <w:ind w:left="0"/>
        <w:rPr>
          <w:color w:val="000000" w:themeColor="text1"/>
        </w:rPr>
      </w:pPr>
      <w:r>
        <w:rPr>
          <w:rFonts w:hint="eastAsia"/>
          <w:color w:val="000000" w:themeColor="text1"/>
        </w:rPr>
        <w:t>人源性生产用原材料应按照国家的相关要求进行病毒检测。</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纯度和杂质</w:t>
      </w:r>
    </w:p>
    <w:p w:rsidR="002606BB" w:rsidRDefault="00841612">
      <w:pPr>
        <w:pStyle w:val="a3"/>
        <w:ind w:left="0"/>
        <w:rPr>
          <w:color w:val="000000" w:themeColor="text1"/>
        </w:rPr>
      </w:pPr>
      <w:r>
        <w:rPr>
          <w:rFonts w:hint="eastAsia"/>
          <w:color w:val="000000" w:themeColor="text1"/>
        </w:rPr>
        <w:t>当生产用原材料的成分是单独一种经过分离或</w:t>
      </w:r>
      <w:r>
        <w:rPr>
          <w:rFonts w:hint="eastAsia"/>
          <w:color w:val="000000" w:themeColor="text1"/>
        </w:rPr>
        <w:t>/</w:t>
      </w:r>
      <w:r>
        <w:rPr>
          <w:rFonts w:hint="eastAsia"/>
          <w:color w:val="000000" w:themeColor="text1"/>
        </w:rPr>
        <w:t>和纯化的分子物质时，宜规定、测量并提供该成分的纯度。</w:t>
      </w:r>
    </w:p>
    <w:p w:rsidR="002606BB" w:rsidRDefault="00841612">
      <w:pPr>
        <w:pStyle w:val="a3"/>
        <w:ind w:left="0"/>
        <w:rPr>
          <w:color w:val="000000" w:themeColor="text1"/>
        </w:rPr>
      </w:pPr>
      <w:r>
        <w:rPr>
          <w:rFonts w:hint="eastAsia"/>
          <w:color w:val="000000" w:themeColor="text1"/>
        </w:rPr>
        <w:t>当生产用原材料由多个组分组成时，宜规定、测量并记录其中活性成分的纯度。</w:t>
      </w:r>
    </w:p>
    <w:p w:rsidR="002606BB" w:rsidRDefault="00841612">
      <w:pPr>
        <w:pStyle w:val="a3"/>
        <w:ind w:left="0"/>
        <w:rPr>
          <w:color w:val="000000" w:themeColor="text1"/>
        </w:rPr>
      </w:pPr>
      <w:r>
        <w:rPr>
          <w:rFonts w:hint="eastAsia"/>
          <w:color w:val="000000" w:themeColor="text1"/>
        </w:rPr>
        <w:t>当生产用原材料来自成分不明确的生物材料（例如，含有胶原酶活性的培养上清液）时，</w:t>
      </w:r>
      <w:proofErr w:type="gramStart"/>
      <w:r>
        <w:rPr>
          <w:rFonts w:hint="eastAsia"/>
          <w:color w:val="000000" w:themeColor="text1"/>
        </w:rPr>
        <w:t>宜评价</w:t>
      </w:r>
      <w:proofErr w:type="gramEnd"/>
      <w:r>
        <w:rPr>
          <w:rFonts w:hint="eastAsia"/>
          <w:color w:val="000000" w:themeColor="text1"/>
        </w:rPr>
        <w:t>该原材料在细胞制造过程中可能影响效能的活性，同时应评估所有可能导致不良反应的物质（例如，内毒素）的影响。</w:t>
      </w:r>
    </w:p>
    <w:p w:rsidR="002606BB" w:rsidRDefault="00841612">
      <w:pPr>
        <w:pStyle w:val="a3"/>
        <w:ind w:left="0"/>
        <w:rPr>
          <w:color w:val="000000" w:themeColor="text1"/>
        </w:rPr>
      </w:pPr>
      <w:r>
        <w:rPr>
          <w:rFonts w:hint="eastAsia"/>
          <w:color w:val="000000" w:themeColor="text1"/>
        </w:rPr>
        <w:t>生产用原材料供应者应对生产用原材料进行纯度检测。当生产用原材料的纯度存在</w:t>
      </w:r>
      <w:r>
        <w:rPr>
          <w:rFonts w:hint="eastAsia"/>
          <w:color w:val="000000" w:themeColor="text1"/>
        </w:rPr>
        <w:t>批次间差异时，供应者宜向使用者提供纯度批次间差异的可接受范围，以及各批次纯度在可接受范围内的分布情况。</w:t>
      </w:r>
    </w:p>
    <w:p w:rsidR="002606BB" w:rsidRDefault="00841612">
      <w:pPr>
        <w:pStyle w:val="a3"/>
        <w:ind w:left="0"/>
        <w:rPr>
          <w:color w:val="000000" w:themeColor="text1"/>
        </w:rPr>
      </w:pPr>
      <w:r>
        <w:rPr>
          <w:rFonts w:hint="eastAsia"/>
          <w:color w:val="000000" w:themeColor="text1"/>
        </w:rPr>
        <w:t>如适用，生产用原材料供应者应对生产用原材料的杂质进行鉴别和记录。如适用，还应建立杂质的检测方法和</w:t>
      </w:r>
      <w:proofErr w:type="gramStart"/>
      <w:r>
        <w:rPr>
          <w:rFonts w:hint="eastAsia"/>
          <w:color w:val="000000" w:themeColor="text1"/>
        </w:rPr>
        <w:t>可</w:t>
      </w:r>
      <w:proofErr w:type="gramEnd"/>
      <w:r>
        <w:rPr>
          <w:rFonts w:hint="eastAsia"/>
          <w:color w:val="000000" w:themeColor="text1"/>
        </w:rPr>
        <w:t>接受的限度。</w:t>
      </w:r>
    </w:p>
    <w:p w:rsidR="002606BB" w:rsidRDefault="00841612">
      <w:pPr>
        <w:pStyle w:val="a3"/>
        <w:ind w:left="0"/>
        <w:rPr>
          <w:color w:val="000000" w:themeColor="text1"/>
        </w:rPr>
      </w:pPr>
      <w:r>
        <w:rPr>
          <w:rFonts w:hint="eastAsia"/>
          <w:color w:val="000000" w:themeColor="text1"/>
        </w:rPr>
        <w:t>如可能，生产用原材料供应者应向使用者提供适用的检测方法，供使用者用于检测细胞治疗产品中生产用原材料的残留。</w:t>
      </w:r>
    </w:p>
    <w:p w:rsidR="002606BB" w:rsidRDefault="00841612">
      <w:pPr>
        <w:pStyle w:val="a2"/>
        <w:ind w:left="0"/>
        <w:rPr>
          <w:color w:val="000000" w:themeColor="text1"/>
        </w:rPr>
      </w:pPr>
      <w:r>
        <w:rPr>
          <w:rFonts w:hint="eastAsia"/>
          <w:color w:val="000000" w:themeColor="text1"/>
        </w:rPr>
        <w:t>包含专有成分的生产用原材料的批次间一致性</w:t>
      </w:r>
    </w:p>
    <w:p w:rsidR="002606BB" w:rsidRDefault="00841612">
      <w:pPr>
        <w:pStyle w:val="a3"/>
        <w:ind w:left="0"/>
        <w:rPr>
          <w:color w:val="000000" w:themeColor="text1"/>
        </w:rPr>
      </w:pPr>
      <w:r>
        <w:rPr>
          <w:rFonts w:hint="eastAsia"/>
          <w:color w:val="000000" w:themeColor="text1"/>
        </w:rPr>
        <w:t>当生产用原材料的分子组分浓度需要保密时，供应者宜在不透露具体分子组分和浓度的情况下证明该生产用原材料</w:t>
      </w:r>
      <w:proofErr w:type="gramStart"/>
      <w:r>
        <w:rPr>
          <w:rFonts w:hint="eastAsia"/>
          <w:color w:val="000000" w:themeColor="text1"/>
        </w:rPr>
        <w:t>的批间一致性</w:t>
      </w:r>
      <w:proofErr w:type="gramEnd"/>
      <w:r>
        <w:rPr>
          <w:rFonts w:hint="eastAsia"/>
          <w:color w:val="000000" w:themeColor="text1"/>
        </w:rPr>
        <w:t>。例如，为每一个需要保密的名字组分</w:t>
      </w:r>
      <w:r>
        <w:rPr>
          <w:rFonts w:hint="eastAsia"/>
          <w:color w:val="000000" w:themeColor="text1"/>
        </w:rPr>
        <w:t>提供一份声明，</w:t>
      </w:r>
      <w:r>
        <w:rPr>
          <w:rFonts w:ascii="Calibri" w:hAnsi="Calibri" w:hint="eastAsia"/>
          <w:color w:val="000000" w:themeColor="text1"/>
          <w:sz w:val="22"/>
          <w:szCs w:val="22"/>
          <w:lang w:bidi="ar"/>
        </w:rPr>
        <w:t>说明其批次间差异占总混合物的特定百分比，或说明其批次间差异在预定浓度周围的特定误差范围内（如适用）。</w:t>
      </w:r>
    </w:p>
    <w:p w:rsidR="002606BB" w:rsidRDefault="00841612">
      <w:pPr>
        <w:pStyle w:val="a3"/>
        <w:ind w:left="0"/>
        <w:rPr>
          <w:color w:val="000000" w:themeColor="text1"/>
        </w:rPr>
      </w:pPr>
      <w:r>
        <w:rPr>
          <w:rFonts w:hint="eastAsia"/>
          <w:color w:val="000000" w:themeColor="text1"/>
        </w:rPr>
        <w:t>当生产用原材料含有未知或未披露成分且浓度未知或未披露时，宜考虑纳入一致性证据。</w:t>
      </w:r>
    </w:p>
    <w:p w:rsidR="002606BB" w:rsidRDefault="00841612">
      <w:pPr>
        <w:pStyle w:val="a3"/>
        <w:ind w:left="0"/>
        <w:rPr>
          <w:color w:val="000000" w:themeColor="text1"/>
        </w:rPr>
      </w:pPr>
      <w:r>
        <w:rPr>
          <w:rFonts w:hint="eastAsia"/>
          <w:color w:val="000000" w:themeColor="text1"/>
        </w:rPr>
        <w:t>专有信息可直接提交给监管机构（例如，通过主文件提交或作为特定查询的回复在监管支持文件中提交）。生产用原材料供应者和使用者之间宜通过协商决定专有组分的可共享信息。</w:t>
      </w:r>
    </w:p>
    <w:p w:rsidR="002606BB" w:rsidRDefault="00841612">
      <w:pPr>
        <w:pStyle w:val="a3"/>
        <w:ind w:left="0"/>
        <w:rPr>
          <w:color w:val="000000" w:themeColor="text1"/>
        </w:rPr>
      </w:pPr>
      <w:r>
        <w:rPr>
          <w:rFonts w:hint="eastAsia"/>
          <w:color w:val="000000" w:themeColor="text1"/>
        </w:rPr>
        <w:t>生产用原材料使用者负责确定该材料在一致性上是否合适，并宜进行研究确认。相关研究包括但不限于污染物、无菌性、内毒素、病毒、支原体、</w:t>
      </w:r>
      <w:r>
        <w:rPr>
          <w:rFonts w:hint="eastAsia"/>
          <w:color w:val="000000" w:themeColor="text1"/>
        </w:rPr>
        <w:t>pH</w:t>
      </w:r>
      <w:r>
        <w:rPr>
          <w:rFonts w:hint="eastAsia"/>
          <w:color w:val="000000" w:themeColor="text1"/>
        </w:rPr>
        <w:t>值、渗透压测试。</w:t>
      </w:r>
    </w:p>
    <w:p w:rsidR="002606BB" w:rsidRDefault="00841612">
      <w:pPr>
        <w:pStyle w:val="a3"/>
        <w:ind w:left="0"/>
        <w:rPr>
          <w:color w:val="000000" w:themeColor="text1"/>
        </w:rPr>
      </w:pPr>
      <w:r>
        <w:rPr>
          <w:rFonts w:hint="eastAsia"/>
          <w:color w:val="000000" w:themeColor="text1"/>
        </w:rPr>
        <w:t>当生产用原材料是无菌的，供应者</w:t>
      </w:r>
      <w:proofErr w:type="gramStart"/>
      <w:r>
        <w:rPr>
          <w:rFonts w:hint="eastAsia"/>
          <w:color w:val="000000" w:themeColor="text1"/>
        </w:rPr>
        <w:t>宜记录</w:t>
      </w:r>
      <w:proofErr w:type="gramEnd"/>
      <w:r>
        <w:rPr>
          <w:rFonts w:hint="eastAsia"/>
          <w:color w:val="000000" w:themeColor="text1"/>
        </w:rPr>
        <w:t>灭菌方法并提供给使用者。</w:t>
      </w:r>
    </w:p>
    <w:p w:rsidR="002606BB" w:rsidRDefault="00841612" w:rsidP="00763FAE">
      <w:pPr>
        <w:pStyle w:val="a1"/>
        <w:spacing w:before="156" w:after="156"/>
        <w:rPr>
          <w:color w:val="000000" w:themeColor="text1"/>
        </w:rPr>
      </w:pPr>
      <w:r>
        <w:rPr>
          <w:rFonts w:hint="eastAsia"/>
          <w:color w:val="000000" w:themeColor="text1"/>
        </w:rPr>
        <w:t>生产用原材料的储存和稳定性</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基本要求</w:t>
      </w:r>
    </w:p>
    <w:p w:rsidR="002606BB" w:rsidRDefault="00841612">
      <w:pPr>
        <w:pStyle w:val="a3"/>
        <w:ind w:left="0"/>
        <w:rPr>
          <w:color w:val="000000" w:themeColor="text1"/>
        </w:rPr>
      </w:pPr>
      <w:r>
        <w:rPr>
          <w:rFonts w:hint="eastAsia"/>
          <w:color w:val="000000" w:themeColor="text1"/>
        </w:rPr>
        <w:t>生产用原材料供应者应为生产用原材料的适当的储存条件提供充分信息，并说明为获取这些储存条件下的相关稳定性信息所使用的稳定性分析。</w:t>
      </w:r>
    </w:p>
    <w:p w:rsidR="002606BB" w:rsidRDefault="00841612">
      <w:pPr>
        <w:pStyle w:val="a3"/>
        <w:ind w:left="0"/>
        <w:rPr>
          <w:color w:val="000000" w:themeColor="text1"/>
        </w:rPr>
      </w:pPr>
      <w:r>
        <w:rPr>
          <w:rFonts w:hint="eastAsia"/>
          <w:color w:val="000000" w:themeColor="text1"/>
        </w:rPr>
        <w:t>建议报告所有稳定剂的添加情况。</w:t>
      </w:r>
    </w:p>
    <w:p w:rsidR="002606BB" w:rsidRDefault="00841612">
      <w:pPr>
        <w:pStyle w:val="a3"/>
        <w:ind w:left="0"/>
        <w:rPr>
          <w:color w:val="000000" w:themeColor="text1"/>
        </w:rPr>
      </w:pPr>
      <w:r>
        <w:rPr>
          <w:rFonts w:hint="eastAsia"/>
          <w:color w:val="000000" w:themeColor="text1"/>
        </w:rPr>
        <w:t>使用者应验证和检测生产用原材料在预期用途的储存条件下的性能。</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稳定性和储存条件</w:t>
      </w:r>
    </w:p>
    <w:p w:rsidR="002606BB" w:rsidRDefault="00841612">
      <w:pPr>
        <w:pStyle w:val="a3"/>
        <w:ind w:left="0"/>
        <w:rPr>
          <w:color w:val="000000" w:themeColor="text1"/>
        </w:rPr>
      </w:pPr>
      <w:r>
        <w:rPr>
          <w:rFonts w:hint="eastAsia"/>
          <w:color w:val="000000" w:themeColor="text1"/>
        </w:rPr>
        <w:t>应开展稳定性检测来确定生产用原材料在所有保存形态下的储存期限和建议的储存条件。可根据《中华人民共和国药典》中的生物制品稳定性试验指导原则以及</w:t>
      </w:r>
      <w:r>
        <w:rPr>
          <w:rFonts w:hint="eastAsia"/>
          <w:color w:val="000000" w:themeColor="text1"/>
        </w:rPr>
        <w:t>ICH Q1</w:t>
      </w:r>
      <w:r>
        <w:rPr>
          <w:rFonts w:hint="eastAsia"/>
          <w:color w:val="000000" w:themeColor="text1"/>
        </w:rPr>
        <w:t>，</w:t>
      </w:r>
      <w:r>
        <w:rPr>
          <w:rFonts w:hint="eastAsia"/>
          <w:color w:val="000000" w:themeColor="text1"/>
        </w:rPr>
        <w:t>ICH Q5C</w:t>
      </w:r>
      <w:r>
        <w:rPr>
          <w:rFonts w:hint="eastAsia"/>
          <w:color w:val="000000" w:themeColor="text1"/>
        </w:rPr>
        <w:t>的原</w:t>
      </w:r>
      <w:r>
        <w:rPr>
          <w:rFonts w:hint="eastAsia"/>
          <w:color w:val="000000" w:themeColor="text1"/>
        </w:rPr>
        <w:t>则来决定稳定性指示参数</w:t>
      </w:r>
      <w:r>
        <w:rPr>
          <w:rFonts w:hint="eastAsia"/>
          <w:color w:val="000000" w:themeColor="text1"/>
        </w:rPr>
        <w:t>和</w:t>
      </w:r>
      <w:r>
        <w:rPr>
          <w:rFonts w:hint="eastAsia"/>
          <w:color w:val="000000" w:themeColor="text1"/>
        </w:rPr>
        <w:t>决定适当的稳定性试验类型</w:t>
      </w:r>
      <w:r>
        <w:rPr>
          <w:rFonts w:hint="eastAsia"/>
          <w:color w:val="000000" w:themeColor="text1"/>
        </w:rPr>
        <w:t>及其</w:t>
      </w:r>
      <w:r>
        <w:rPr>
          <w:rFonts w:hint="eastAsia"/>
          <w:color w:val="000000" w:themeColor="text1"/>
        </w:rPr>
        <w:t>适用性。</w:t>
      </w:r>
    </w:p>
    <w:p w:rsidR="002606BB" w:rsidRDefault="00841612">
      <w:pPr>
        <w:pStyle w:val="a3"/>
        <w:ind w:left="0"/>
        <w:rPr>
          <w:color w:val="000000" w:themeColor="text1"/>
        </w:rPr>
      </w:pPr>
      <w:r>
        <w:rPr>
          <w:rFonts w:hint="eastAsia"/>
          <w:color w:val="000000" w:themeColor="text1"/>
        </w:rPr>
        <w:t>生产用原材料的稳定性</w:t>
      </w:r>
      <w:r>
        <w:rPr>
          <w:rFonts w:hint="eastAsia"/>
          <w:color w:val="000000" w:themeColor="text1"/>
        </w:rPr>
        <w:t>/</w:t>
      </w:r>
      <w:r>
        <w:rPr>
          <w:rFonts w:hint="eastAsia"/>
          <w:color w:val="000000" w:themeColor="text1"/>
        </w:rPr>
        <w:t>储存信息应包括：</w:t>
      </w:r>
    </w:p>
    <w:p w:rsidR="002606BB" w:rsidRDefault="00841612">
      <w:pPr>
        <w:pStyle w:val="af9"/>
        <w:numPr>
          <w:ilvl w:val="0"/>
          <w:numId w:val="23"/>
        </w:numPr>
        <w:rPr>
          <w:color w:val="000000" w:themeColor="text1"/>
          <w:szCs w:val="21"/>
        </w:rPr>
      </w:pPr>
      <w:r>
        <w:rPr>
          <w:rFonts w:hint="eastAsia"/>
          <w:color w:val="000000" w:themeColor="text1"/>
          <w:szCs w:val="21"/>
        </w:rPr>
        <w:t>生产日期；</w:t>
      </w:r>
    </w:p>
    <w:p w:rsidR="002606BB" w:rsidRDefault="00841612">
      <w:pPr>
        <w:pStyle w:val="af9"/>
        <w:numPr>
          <w:ilvl w:val="0"/>
          <w:numId w:val="23"/>
        </w:numPr>
        <w:rPr>
          <w:color w:val="000000" w:themeColor="text1"/>
          <w:szCs w:val="21"/>
        </w:rPr>
      </w:pPr>
      <w:r>
        <w:rPr>
          <w:rFonts w:hint="eastAsia"/>
          <w:color w:val="000000" w:themeColor="text1"/>
          <w:szCs w:val="21"/>
        </w:rPr>
        <w:t>失效期或保存期限；</w:t>
      </w:r>
    </w:p>
    <w:p w:rsidR="002606BB" w:rsidRDefault="00841612">
      <w:pPr>
        <w:pStyle w:val="af7"/>
        <w:numPr>
          <w:ilvl w:val="0"/>
          <w:numId w:val="23"/>
        </w:numPr>
        <w:rPr>
          <w:color w:val="000000" w:themeColor="text1"/>
          <w:sz w:val="21"/>
          <w:szCs w:val="21"/>
        </w:rPr>
      </w:pPr>
      <w:r>
        <w:rPr>
          <w:rFonts w:hint="eastAsia"/>
          <w:color w:val="000000" w:themeColor="text1"/>
          <w:sz w:val="21"/>
          <w:szCs w:val="21"/>
        </w:rPr>
        <w:t>如适用，可提供各个冷冻温度范围（实验室冷冻柜或深低温冷冻柜）的保质期和解冻后冷藏条件下的保质期。在单个或多个单独温度下的稳定性数据（如适用）；</w:t>
      </w:r>
      <w:r>
        <w:rPr>
          <w:rFonts w:hint="eastAsia"/>
          <w:color w:val="000000" w:themeColor="text1"/>
          <w:sz w:val="21"/>
          <w:szCs w:val="21"/>
        </w:rPr>
        <w:t xml:space="preserve"> </w:t>
      </w:r>
    </w:p>
    <w:p w:rsidR="002606BB" w:rsidRDefault="00841612">
      <w:pPr>
        <w:pStyle w:val="af7"/>
        <w:numPr>
          <w:ilvl w:val="0"/>
          <w:numId w:val="23"/>
        </w:numPr>
        <w:rPr>
          <w:color w:val="000000" w:themeColor="text1"/>
          <w:sz w:val="21"/>
          <w:szCs w:val="21"/>
        </w:rPr>
      </w:pPr>
      <w:r>
        <w:rPr>
          <w:rFonts w:hint="eastAsia"/>
          <w:color w:val="000000" w:themeColor="text1"/>
          <w:sz w:val="21"/>
          <w:szCs w:val="21"/>
        </w:rPr>
        <w:t>生产用原材料在每种可能保存形态下的稳定性；</w:t>
      </w:r>
      <w:r>
        <w:rPr>
          <w:rFonts w:hint="eastAsia"/>
          <w:color w:val="000000" w:themeColor="text1"/>
          <w:sz w:val="21"/>
          <w:szCs w:val="21"/>
        </w:rPr>
        <w:t xml:space="preserve"> </w:t>
      </w:r>
    </w:p>
    <w:p w:rsidR="002606BB" w:rsidRDefault="00841612">
      <w:pPr>
        <w:pStyle w:val="af7"/>
        <w:numPr>
          <w:ilvl w:val="0"/>
          <w:numId w:val="23"/>
        </w:numPr>
        <w:rPr>
          <w:color w:val="000000" w:themeColor="text1"/>
          <w:sz w:val="21"/>
          <w:szCs w:val="21"/>
        </w:rPr>
      </w:pPr>
      <w:r>
        <w:rPr>
          <w:rFonts w:hint="eastAsia"/>
          <w:color w:val="000000" w:themeColor="text1"/>
          <w:sz w:val="21"/>
          <w:szCs w:val="21"/>
        </w:rPr>
        <w:t>当暴露于强光或震动等其他相关有害环境时的建议措施。</w:t>
      </w:r>
    </w:p>
    <w:p w:rsidR="002606BB" w:rsidRDefault="00841612">
      <w:pPr>
        <w:pStyle w:val="a3"/>
        <w:ind w:left="0"/>
        <w:rPr>
          <w:color w:val="000000" w:themeColor="text1"/>
        </w:rPr>
      </w:pPr>
      <w:r>
        <w:rPr>
          <w:rFonts w:hint="eastAsia"/>
          <w:color w:val="000000" w:themeColor="text1"/>
        </w:rPr>
        <w:t>生产用原材料的</w:t>
      </w:r>
      <w:r>
        <w:rPr>
          <w:rFonts w:ascii="Calibri" w:hAnsi="Calibri" w:hint="eastAsia"/>
          <w:color w:val="000000" w:themeColor="text1"/>
          <w:sz w:val="22"/>
          <w:szCs w:val="22"/>
          <w:lang w:bidi="ar"/>
        </w:rPr>
        <w:t>稳定性信息和失效期宜通过供应者获得的测量数据确定，</w:t>
      </w:r>
      <w:proofErr w:type="gramStart"/>
      <w:r>
        <w:rPr>
          <w:rFonts w:hint="eastAsia"/>
          <w:color w:val="000000" w:themeColor="text1"/>
        </w:rPr>
        <w:t>宜能反映</w:t>
      </w:r>
      <w:proofErr w:type="gramEnd"/>
      <w:r>
        <w:rPr>
          <w:rFonts w:hint="eastAsia"/>
          <w:color w:val="000000" w:themeColor="text1"/>
        </w:rPr>
        <w:t>生产用原材料的关键活性水平或性能，并能反映生产用原材料的完整性如降解和杂质概况（如适用）。</w:t>
      </w:r>
    </w:p>
    <w:p w:rsidR="002606BB" w:rsidRDefault="00841612">
      <w:pPr>
        <w:pStyle w:val="a3"/>
        <w:ind w:left="0"/>
        <w:rPr>
          <w:color w:val="000000" w:themeColor="text1"/>
        </w:rPr>
      </w:pPr>
      <w:r>
        <w:rPr>
          <w:rFonts w:hint="eastAsia"/>
          <w:color w:val="000000" w:themeColor="text1"/>
        </w:rPr>
        <w:t>当储存在推荐的适宜储存条件时，生产用原材料的活性</w:t>
      </w:r>
      <w:r>
        <w:rPr>
          <w:rFonts w:hint="eastAsia"/>
          <w:color w:val="000000" w:themeColor="text1"/>
        </w:rPr>
        <w:t>/</w:t>
      </w:r>
      <w:r>
        <w:rPr>
          <w:rFonts w:hint="eastAsia"/>
          <w:color w:val="000000" w:themeColor="text1"/>
        </w:rPr>
        <w:t>性能应在整个保存期限中保持一致。</w:t>
      </w:r>
    </w:p>
    <w:p w:rsidR="002606BB" w:rsidRDefault="00841612">
      <w:pPr>
        <w:pStyle w:val="a3"/>
        <w:ind w:left="0"/>
        <w:rPr>
          <w:color w:val="000000" w:themeColor="text1"/>
        </w:rPr>
      </w:pPr>
      <w:r>
        <w:rPr>
          <w:rFonts w:hint="eastAsia"/>
          <w:color w:val="000000" w:themeColor="text1"/>
        </w:rPr>
        <w:t>生产用原材料供应者应对生产用原材料的储存条件给出建议，示例条件包括：</w:t>
      </w:r>
    </w:p>
    <w:p w:rsidR="002606BB" w:rsidRDefault="00841612">
      <w:pPr>
        <w:pStyle w:val="af9"/>
        <w:numPr>
          <w:ilvl w:val="0"/>
          <w:numId w:val="24"/>
        </w:numPr>
        <w:rPr>
          <w:color w:val="000000" w:themeColor="text1"/>
        </w:rPr>
      </w:pPr>
      <w:r>
        <w:rPr>
          <w:rFonts w:hint="eastAsia"/>
          <w:color w:val="000000" w:themeColor="text1"/>
        </w:rPr>
        <w:t>温度；</w:t>
      </w:r>
    </w:p>
    <w:p w:rsidR="002606BB" w:rsidRDefault="00841612">
      <w:pPr>
        <w:pStyle w:val="af9"/>
        <w:numPr>
          <w:ilvl w:val="0"/>
          <w:numId w:val="24"/>
        </w:numPr>
        <w:rPr>
          <w:color w:val="000000" w:themeColor="text1"/>
        </w:rPr>
      </w:pPr>
      <w:r>
        <w:rPr>
          <w:rFonts w:hint="eastAsia"/>
          <w:color w:val="000000" w:themeColor="text1"/>
        </w:rPr>
        <w:t>光照；</w:t>
      </w:r>
    </w:p>
    <w:p w:rsidR="002606BB" w:rsidRDefault="00841612">
      <w:pPr>
        <w:pStyle w:val="af9"/>
        <w:numPr>
          <w:ilvl w:val="0"/>
          <w:numId w:val="24"/>
        </w:numPr>
        <w:rPr>
          <w:color w:val="000000" w:themeColor="text1"/>
        </w:rPr>
      </w:pPr>
      <w:r>
        <w:rPr>
          <w:rFonts w:hint="eastAsia"/>
          <w:color w:val="000000" w:themeColor="text1"/>
        </w:rPr>
        <w:t>湿度；</w:t>
      </w:r>
    </w:p>
    <w:p w:rsidR="002606BB" w:rsidRDefault="00841612">
      <w:pPr>
        <w:pStyle w:val="af9"/>
        <w:numPr>
          <w:ilvl w:val="0"/>
          <w:numId w:val="24"/>
        </w:numPr>
        <w:rPr>
          <w:color w:val="000000" w:themeColor="text1"/>
        </w:rPr>
      </w:pPr>
      <w:r>
        <w:rPr>
          <w:rFonts w:hint="eastAsia"/>
          <w:color w:val="000000" w:themeColor="text1"/>
        </w:rPr>
        <w:t>pH</w:t>
      </w:r>
      <w:r>
        <w:rPr>
          <w:rFonts w:hint="eastAsia"/>
          <w:color w:val="000000" w:themeColor="text1"/>
        </w:rPr>
        <w:t>敏感性，</w:t>
      </w:r>
    </w:p>
    <w:p w:rsidR="002606BB" w:rsidRDefault="00841612">
      <w:pPr>
        <w:pStyle w:val="af9"/>
        <w:numPr>
          <w:ilvl w:val="0"/>
          <w:numId w:val="24"/>
        </w:numPr>
        <w:rPr>
          <w:color w:val="000000" w:themeColor="text1"/>
        </w:rPr>
      </w:pPr>
      <w:r>
        <w:rPr>
          <w:rFonts w:hint="eastAsia"/>
          <w:color w:val="000000" w:themeColor="text1"/>
        </w:rPr>
        <w:t>震动敏感性，</w:t>
      </w:r>
    </w:p>
    <w:p w:rsidR="002606BB" w:rsidRDefault="00841612">
      <w:pPr>
        <w:pStyle w:val="af9"/>
        <w:numPr>
          <w:ilvl w:val="0"/>
          <w:numId w:val="24"/>
        </w:numPr>
        <w:rPr>
          <w:color w:val="000000" w:themeColor="text1"/>
        </w:rPr>
      </w:pPr>
      <w:r>
        <w:rPr>
          <w:rFonts w:hint="eastAsia"/>
          <w:color w:val="000000" w:themeColor="text1"/>
        </w:rPr>
        <w:t>氧化</w:t>
      </w:r>
      <w:r>
        <w:rPr>
          <w:rFonts w:hint="eastAsia"/>
          <w:color w:val="000000" w:themeColor="text1"/>
        </w:rPr>
        <w:t>/</w:t>
      </w:r>
      <w:r>
        <w:rPr>
          <w:rFonts w:hint="eastAsia"/>
          <w:color w:val="000000" w:themeColor="text1"/>
        </w:rPr>
        <w:t>还原敏感性</w:t>
      </w:r>
      <w:r>
        <w:rPr>
          <w:rFonts w:hint="eastAsia"/>
          <w:color w:val="000000" w:themeColor="text1"/>
        </w:rPr>
        <w:t>。</w:t>
      </w:r>
    </w:p>
    <w:p w:rsidR="002606BB" w:rsidRDefault="00841612">
      <w:pPr>
        <w:pStyle w:val="a3"/>
        <w:ind w:left="0"/>
        <w:rPr>
          <w:color w:val="000000" w:themeColor="text1"/>
        </w:rPr>
      </w:pPr>
      <w:r>
        <w:rPr>
          <w:rFonts w:hint="eastAsia"/>
          <w:color w:val="000000" w:themeColor="text1"/>
        </w:rPr>
        <w:t>当生产用原材料在交付时的状态和使用时的状态不同时（如重构）、解冻、分装），供应者应给出生产用原材料在使用状态时的推荐储存条件及其稳定性数据（如适用）。供应者应向使用者提供重构的操作程序，以及重构给稳定性和其他属性带来的变化。</w:t>
      </w:r>
    </w:p>
    <w:p w:rsidR="002606BB" w:rsidRDefault="00841612">
      <w:pPr>
        <w:pStyle w:val="a3"/>
        <w:ind w:left="0"/>
        <w:rPr>
          <w:color w:val="000000" w:themeColor="text1"/>
        </w:rPr>
      </w:pPr>
      <w:r>
        <w:rPr>
          <w:rFonts w:hint="eastAsia"/>
          <w:color w:val="000000" w:themeColor="text1"/>
        </w:rPr>
        <w:t>当生产用原材料在运输和储存过程中都应持续保持冷冻时，供应者可提供以下信息：</w:t>
      </w:r>
    </w:p>
    <w:p w:rsidR="002606BB" w:rsidRDefault="00841612">
      <w:pPr>
        <w:pStyle w:val="af9"/>
        <w:numPr>
          <w:ilvl w:val="0"/>
          <w:numId w:val="25"/>
        </w:numPr>
        <w:rPr>
          <w:color w:val="000000" w:themeColor="text1"/>
        </w:rPr>
      </w:pPr>
      <w:r>
        <w:rPr>
          <w:rFonts w:hint="eastAsia"/>
          <w:color w:val="000000" w:themeColor="text1"/>
        </w:rPr>
        <w:t>冻融是否影响生产用原材料的稳定性和活性；</w:t>
      </w:r>
    </w:p>
    <w:p w:rsidR="002606BB" w:rsidRDefault="00841612">
      <w:pPr>
        <w:pStyle w:val="af9"/>
        <w:numPr>
          <w:ilvl w:val="0"/>
          <w:numId w:val="25"/>
        </w:numPr>
        <w:rPr>
          <w:color w:val="000000" w:themeColor="text1"/>
        </w:rPr>
      </w:pPr>
      <w:r>
        <w:rPr>
          <w:rFonts w:hint="eastAsia"/>
          <w:color w:val="000000" w:themeColor="text1"/>
        </w:rPr>
        <w:t>建议的最大冻融循环次数；</w:t>
      </w:r>
    </w:p>
    <w:p w:rsidR="002606BB" w:rsidRDefault="00841612">
      <w:pPr>
        <w:pStyle w:val="af9"/>
        <w:numPr>
          <w:ilvl w:val="0"/>
          <w:numId w:val="25"/>
        </w:numPr>
        <w:rPr>
          <w:color w:val="000000" w:themeColor="text1"/>
        </w:rPr>
      </w:pPr>
      <w:r>
        <w:rPr>
          <w:rFonts w:ascii="Calibri" w:hAnsi="Calibri" w:hint="eastAsia"/>
          <w:color w:val="000000" w:themeColor="text1"/>
          <w:sz w:val="22"/>
          <w:szCs w:val="22"/>
          <w:lang w:bidi="ar"/>
        </w:rPr>
        <w:t>如适用，每个冷冻温度范围内的保存期限（如实验室冷冻柜或深度冷冻柜）；</w:t>
      </w:r>
    </w:p>
    <w:p w:rsidR="002606BB" w:rsidRDefault="00841612">
      <w:pPr>
        <w:pStyle w:val="af9"/>
        <w:numPr>
          <w:ilvl w:val="0"/>
          <w:numId w:val="25"/>
        </w:numPr>
        <w:rPr>
          <w:color w:val="000000" w:themeColor="text1"/>
        </w:rPr>
      </w:pPr>
      <w:r>
        <w:rPr>
          <w:rFonts w:hint="eastAsia"/>
          <w:color w:val="000000" w:themeColor="text1"/>
        </w:rPr>
        <w:t>如果适用，解冻后在冷藏条件下的</w:t>
      </w:r>
      <w:r>
        <w:rPr>
          <w:rFonts w:ascii="Calibri" w:hAnsi="Calibri" w:hint="eastAsia"/>
          <w:color w:val="000000" w:themeColor="text1"/>
          <w:sz w:val="22"/>
          <w:szCs w:val="22"/>
          <w:lang w:bidi="ar"/>
        </w:rPr>
        <w:t>保存期限</w:t>
      </w:r>
      <w:r>
        <w:rPr>
          <w:rFonts w:hint="eastAsia"/>
          <w:color w:val="000000" w:themeColor="text1"/>
        </w:rPr>
        <w:t>。</w:t>
      </w:r>
    </w:p>
    <w:p w:rsidR="002606BB" w:rsidRDefault="00841612">
      <w:pPr>
        <w:pStyle w:val="a0"/>
        <w:spacing w:before="312" w:after="312"/>
        <w:rPr>
          <w:color w:val="000000" w:themeColor="text1"/>
        </w:rPr>
      </w:pPr>
      <w:bookmarkStart w:id="96" w:name="_Toc17767"/>
      <w:r>
        <w:rPr>
          <w:rFonts w:hint="eastAsia"/>
          <w:color w:val="000000" w:themeColor="text1"/>
        </w:rPr>
        <w:t>生产和生物安全性</w:t>
      </w:r>
      <w:bookmarkEnd w:id="96"/>
      <w:r>
        <w:rPr>
          <w:rFonts w:hint="eastAsia"/>
          <w:color w:val="000000" w:themeColor="text1"/>
        </w:rPr>
        <w:t xml:space="preserve"> </w:t>
      </w:r>
    </w:p>
    <w:p w:rsidR="002606BB" w:rsidRDefault="00841612" w:rsidP="00763FAE">
      <w:pPr>
        <w:pStyle w:val="a1"/>
        <w:spacing w:before="156" w:after="156"/>
        <w:rPr>
          <w:color w:val="000000" w:themeColor="text1"/>
        </w:rPr>
      </w:pPr>
      <w:r>
        <w:rPr>
          <w:rFonts w:hint="eastAsia"/>
          <w:color w:val="000000" w:themeColor="text1"/>
        </w:rPr>
        <w:t>质量管理体系</w:t>
      </w:r>
    </w:p>
    <w:p w:rsidR="002606BB" w:rsidRDefault="00841612">
      <w:pPr>
        <w:pStyle w:val="a2"/>
        <w:rPr>
          <w:color w:val="000000" w:themeColor="text1"/>
        </w:rPr>
      </w:pPr>
      <w:r>
        <w:rPr>
          <w:rFonts w:hint="eastAsia"/>
          <w:color w:val="000000" w:themeColor="text1"/>
        </w:rPr>
        <w:t>生产用原材料生产者应建立并实施质量管理体系（</w:t>
      </w:r>
      <w:r>
        <w:rPr>
          <w:rFonts w:hint="eastAsia"/>
          <w:color w:val="000000" w:themeColor="text1"/>
        </w:rPr>
        <w:t>QMS</w:t>
      </w:r>
      <w:r>
        <w:rPr>
          <w:rFonts w:hint="eastAsia"/>
          <w:color w:val="000000" w:themeColor="text1"/>
        </w:rPr>
        <w:t>），应</w:t>
      </w:r>
      <w:r>
        <w:rPr>
          <w:rFonts w:ascii="Calibri" w:hAnsi="Calibri" w:hint="eastAsia"/>
          <w:color w:val="000000" w:themeColor="text1"/>
          <w:szCs w:val="22"/>
          <w:lang w:bidi="ar"/>
        </w:rPr>
        <w:t>定期接受审计（见</w:t>
      </w:r>
      <w:r>
        <w:rPr>
          <w:rFonts w:ascii="Calibri" w:hAnsi="Calibri"/>
          <w:color w:val="000000" w:themeColor="text1"/>
          <w:szCs w:val="22"/>
          <w:lang w:bidi="ar"/>
        </w:rPr>
        <w:t>6.2.2</w:t>
      </w:r>
      <w:r>
        <w:rPr>
          <w:rFonts w:ascii="Calibri" w:hAnsi="Calibri" w:hint="eastAsia"/>
          <w:color w:val="000000" w:themeColor="text1"/>
          <w:szCs w:val="22"/>
          <w:lang w:bidi="ar"/>
        </w:rPr>
        <w:t>）。</w:t>
      </w:r>
    </w:p>
    <w:p w:rsidR="002606BB" w:rsidRDefault="00841612">
      <w:pPr>
        <w:pStyle w:val="a2"/>
        <w:rPr>
          <w:color w:val="000000" w:themeColor="text1"/>
        </w:rPr>
      </w:pPr>
      <w:r>
        <w:rPr>
          <w:rFonts w:hint="eastAsia"/>
          <w:color w:val="000000" w:themeColor="text1"/>
        </w:rPr>
        <w:t>生产用原材料供应者应建立和实施经过生产用原材料使用者审核的对不符合质量规定项目（</w:t>
      </w:r>
      <w:r>
        <w:rPr>
          <w:rFonts w:hint="eastAsia"/>
          <w:color w:val="000000" w:themeColor="text1"/>
        </w:rPr>
        <w:t>non-conformance</w:t>
      </w:r>
      <w:r>
        <w:rPr>
          <w:rFonts w:hint="eastAsia"/>
          <w:color w:val="000000" w:themeColor="text1"/>
        </w:rPr>
        <w:t>）的处理流程，包括制定计划以实施有效纠正措施如消除导致不符合项的原因并预防其再次发生的方法等，以及对已识别的关键问题进行及时补救。</w:t>
      </w:r>
    </w:p>
    <w:p w:rsidR="002606BB" w:rsidRDefault="00841612">
      <w:pPr>
        <w:pStyle w:val="a2"/>
        <w:rPr>
          <w:color w:val="000000" w:themeColor="text1"/>
        </w:rPr>
      </w:pPr>
      <w:r>
        <w:rPr>
          <w:rFonts w:hint="eastAsia"/>
          <w:color w:val="000000" w:themeColor="text1"/>
        </w:rPr>
        <w:t>质量管理体系的要素包括，但不限于：</w:t>
      </w:r>
    </w:p>
    <w:p w:rsidR="002606BB" w:rsidRDefault="00841612">
      <w:pPr>
        <w:pStyle w:val="af9"/>
        <w:numPr>
          <w:ilvl w:val="0"/>
          <w:numId w:val="26"/>
        </w:numPr>
        <w:rPr>
          <w:color w:val="000000" w:themeColor="text1"/>
        </w:rPr>
      </w:pPr>
      <w:r>
        <w:rPr>
          <w:rFonts w:hint="eastAsia"/>
          <w:color w:val="000000" w:themeColor="text1"/>
        </w:rPr>
        <w:t>一般原则；</w:t>
      </w:r>
    </w:p>
    <w:p w:rsidR="002606BB" w:rsidRDefault="00841612">
      <w:pPr>
        <w:pStyle w:val="af9"/>
        <w:numPr>
          <w:ilvl w:val="0"/>
          <w:numId w:val="26"/>
        </w:numPr>
        <w:rPr>
          <w:color w:val="000000" w:themeColor="text1"/>
        </w:rPr>
      </w:pPr>
      <w:r>
        <w:rPr>
          <w:rFonts w:hint="eastAsia"/>
          <w:color w:val="000000" w:themeColor="text1"/>
        </w:rPr>
        <w:t>生产设施、环境；</w:t>
      </w:r>
    </w:p>
    <w:p w:rsidR="002606BB" w:rsidRDefault="00841612">
      <w:pPr>
        <w:pStyle w:val="af9"/>
        <w:numPr>
          <w:ilvl w:val="0"/>
          <w:numId w:val="26"/>
        </w:numPr>
        <w:rPr>
          <w:color w:val="000000" w:themeColor="text1"/>
        </w:rPr>
      </w:pPr>
      <w:r>
        <w:rPr>
          <w:rFonts w:hint="eastAsia"/>
          <w:color w:val="000000" w:themeColor="text1"/>
        </w:rPr>
        <w:t>生产供应能力、交付、供应系统；</w:t>
      </w:r>
    </w:p>
    <w:p w:rsidR="002606BB" w:rsidRDefault="00841612">
      <w:pPr>
        <w:pStyle w:val="af9"/>
        <w:numPr>
          <w:ilvl w:val="0"/>
          <w:numId w:val="26"/>
        </w:numPr>
        <w:rPr>
          <w:color w:val="000000" w:themeColor="text1"/>
        </w:rPr>
      </w:pPr>
      <w:r>
        <w:rPr>
          <w:rFonts w:hint="eastAsia"/>
          <w:color w:val="000000" w:themeColor="text1"/>
        </w:rPr>
        <w:t>生产记录保存系统；</w:t>
      </w:r>
    </w:p>
    <w:p w:rsidR="002606BB" w:rsidRDefault="00841612">
      <w:pPr>
        <w:pStyle w:val="af9"/>
        <w:numPr>
          <w:ilvl w:val="0"/>
          <w:numId w:val="26"/>
        </w:numPr>
        <w:rPr>
          <w:color w:val="000000" w:themeColor="text1"/>
        </w:rPr>
      </w:pPr>
      <w:r>
        <w:rPr>
          <w:rFonts w:hint="eastAsia"/>
          <w:color w:val="000000" w:themeColor="text1"/>
        </w:rPr>
        <w:t>基于计划</w:t>
      </w:r>
      <w:r>
        <w:rPr>
          <w:rFonts w:hint="eastAsia"/>
          <w:color w:val="000000" w:themeColor="text1"/>
        </w:rPr>
        <w:t>-</w:t>
      </w:r>
      <w:r>
        <w:rPr>
          <w:rFonts w:hint="eastAsia"/>
          <w:color w:val="000000" w:themeColor="text1"/>
        </w:rPr>
        <w:t>执行</w:t>
      </w:r>
      <w:r>
        <w:rPr>
          <w:rFonts w:hint="eastAsia"/>
          <w:color w:val="000000" w:themeColor="text1"/>
        </w:rPr>
        <w:t>-</w:t>
      </w:r>
      <w:r>
        <w:rPr>
          <w:rFonts w:hint="eastAsia"/>
          <w:color w:val="000000" w:themeColor="text1"/>
        </w:rPr>
        <w:t>检查</w:t>
      </w:r>
      <w:r>
        <w:rPr>
          <w:rFonts w:hint="eastAsia"/>
          <w:color w:val="000000" w:themeColor="text1"/>
        </w:rPr>
        <w:t>-</w:t>
      </w:r>
      <w:r>
        <w:rPr>
          <w:rFonts w:hint="eastAsia"/>
          <w:color w:val="000000" w:themeColor="text1"/>
        </w:rPr>
        <w:t>行动（</w:t>
      </w:r>
      <w:r>
        <w:rPr>
          <w:rFonts w:hint="eastAsia"/>
          <w:color w:val="000000" w:themeColor="text1"/>
        </w:rPr>
        <w:t>PDCA</w:t>
      </w:r>
      <w:r>
        <w:rPr>
          <w:rFonts w:hint="eastAsia"/>
          <w:color w:val="000000" w:themeColor="text1"/>
        </w:rPr>
        <w:t>）循环的维护系</w:t>
      </w:r>
      <w:r>
        <w:rPr>
          <w:rFonts w:hint="eastAsia"/>
          <w:color w:val="000000" w:themeColor="text1"/>
        </w:rPr>
        <w:t>统；</w:t>
      </w:r>
    </w:p>
    <w:p w:rsidR="002606BB" w:rsidRDefault="00841612">
      <w:pPr>
        <w:pStyle w:val="af9"/>
        <w:numPr>
          <w:ilvl w:val="0"/>
          <w:numId w:val="26"/>
        </w:numPr>
        <w:rPr>
          <w:color w:val="000000" w:themeColor="text1"/>
        </w:rPr>
      </w:pPr>
      <w:r>
        <w:rPr>
          <w:rFonts w:hint="eastAsia"/>
          <w:color w:val="000000" w:themeColor="text1"/>
        </w:rPr>
        <w:t>教育和培训记录；</w:t>
      </w:r>
    </w:p>
    <w:p w:rsidR="002606BB" w:rsidRDefault="00841612">
      <w:pPr>
        <w:pStyle w:val="af9"/>
        <w:numPr>
          <w:ilvl w:val="0"/>
          <w:numId w:val="26"/>
        </w:numPr>
        <w:rPr>
          <w:color w:val="000000" w:themeColor="text1"/>
        </w:rPr>
      </w:pPr>
      <w:r>
        <w:rPr>
          <w:rFonts w:hint="eastAsia"/>
          <w:color w:val="000000" w:themeColor="text1"/>
        </w:rPr>
        <w:t>安全管理；</w:t>
      </w:r>
    </w:p>
    <w:p w:rsidR="002606BB" w:rsidRDefault="00841612">
      <w:pPr>
        <w:pStyle w:val="af9"/>
        <w:numPr>
          <w:ilvl w:val="0"/>
          <w:numId w:val="26"/>
        </w:numPr>
        <w:rPr>
          <w:color w:val="000000" w:themeColor="text1"/>
        </w:rPr>
      </w:pPr>
      <w:r>
        <w:rPr>
          <w:rFonts w:hint="eastAsia"/>
          <w:color w:val="000000" w:themeColor="text1"/>
        </w:rPr>
        <w:t>供应商管理；</w:t>
      </w:r>
    </w:p>
    <w:p w:rsidR="002606BB" w:rsidRDefault="00841612">
      <w:pPr>
        <w:pStyle w:val="af9"/>
        <w:numPr>
          <w:ilvl w:val="0"/>
          <w:numId w:val="26"/>
        </w:numPr>
        <w:rPr>
          <w:color w:val="000000" w:themeColor="text1"/>
        </w:rPr>
      </w:pPr>
      <w:r>
        <w:rPr>
          <w:rFonts w:hint="eastAsia"/>
          <w:color w:val="000000" w:themeColor="text1"/>
        </w:rPr>
        <w:t>设备管理；</w:t>
      </w:r>
    </w:p>
    <w:p w:rsidR="002606BB" w:rsidRDefault="00841612">
      <w:pPr>
        <w:pStyle w:val="af9"/>
        <w:numPr>
          <w:ilvl w:val="0"/>
          <w:numId w:val="26"/>
        </w:numPr>
        <w:rPr>
          <w:color w:val="000000" w:themeColor="text1"/>
        </w:rPr>
      </w:pPr>
      <w:r>
        <w:rPr>
          <w:rFonts w:hint="eastAsia"/>
          <w:color w:val="000000" w:themeColor="text1"/>
        </w:rPr>
        <w:t>对生产用原材料的原料的管理程序，包括对可追溯性记录的保管。</w:t>
      </w:r>
    </w:p>
    <w:p w:rsidR="002606BB" w:rsidRDefault="00841612" w:rsidP="00763FAE">
      <w:pPr>
        <w:pStyle w:val="a1"/>
        <w:spacing w:before="156" w:after="156"/>
        <w:rPr>
          <w:color w:val="000000" w:themeColor="text1"/>
        </w:rPr>
      </w:pPr>
      <w:r>
        <w:rPr>
          <w:rFonts w:hint="eastAsia"/>
          <w:color w:val="000000" w:themeColor="text1"/>
        </w:rPr>
        <w:t>变更和工艺控制</w:t>
      </w:r>
    </w:p>
    <w:p w:rsidR="002606BB" w:rsidRDefault="00841612">
      <w:pPr>
        <w:pStyle w:val="a2"/>
        <w:numPr>
          <w:ilvl w:val="0"/>
          <w:numId w:val="0"/>
        </w:numPr>
        <w:rPr>
          <w:rFonts w:ascii="宋体" w:hAnsi="宋体" w:cs="宋体"/>
          <w:color w:val="000000" w:themeColor="text1"/>
        </w:rPr>
      </w:pPr>
      <w:r>
        <w:rPr>
          <w:rFonts w:ascii="宋体" w:hAnsi="宋体" w:cs="宋体" w:hint="eastAsia"/>
          <w:color w:val="000000" w:themeColor="text1"/>
        </w:rPr>
        <w:t>8.2.1</w:t>
      </w:r>
      <w:r>
        <w:rPr>
          <w:rFonts w:ascii="宋体" w:hAnsi="宋体" w:cs="宋体" w:hint="eastAsia"/>
          <w:color w:val="000000" w:themeColor="text1"/>
        </w:rPr>
        <w:t>当生产用原材料发生变更，如发生生产工艺、组分、容器</w:t>
      </w:r>
      <w:r>
        <w:rPr>
          <w:rFonts w:ascii="宋体" w:hAnsi="宋体" w:cs="宋体" w:hint="eastAsia"/>
          <w:color w:val="000000" w:themeColor="text1"/>
        </w:rPr>
        <w:t>/</w:t>
      </w:r>
      <w:r>
        <w:rPr>
          <w:rFonts w:ascii="宋体" w:hAnsi="宋体" w:cs="宋体" w:hint="eastAsia"/>
          <w:color w:val="000000" w:themeColor="text1"/>
        </w:rPr>
        <w:t>密闭系统的变更时，生产用原材料供应者应在变更生效前足够的时间通知生产用原材料使用者。建议双方签订质量协议，以满足这一要求。</w:t>
      </w:r>
    </w:p>
    <w:p w:rsidR="002606BB" w:rsidRDefault="00841612">
      <w:pPr>
        <w:pStyle w:val="a2"/>
        <w:numPr>
          <w:ilvl w:val="0"/>
          <w:numId w:val="0"/>
        </w:numPr>
        <w:rPr>
          <w:rFonts w:ascii="宋体" w:hAnsi="宋体" w:cs="宋体"/>
          <w:color w:val="000000" w:themeColor="text1"/>
        </w:rPr>
      </w:pPr>
      <w:r>
        <w:rPr>
          <w:rFonts w:ascii="宋体" w:hAnsi="宋体" w:cs="宋体" w:hint="eastAsia"/>
          <w:color w:val="000000" w:themeColor="text1"/>
        </w:rPr>
        <w:t xml:space="preserve">8.2.2 </w:t>
      </w:r>
      <w:r>
        <w:rPr>
          <w:rFonts w:ascii="宋体" w:hAnsi="宋体" w:cs="宋体" w:hint="eastAsia"/>
          <w:color w:val="000000" w:themeColor="text1"/>
        </w:rPr>
        <w:t>生产用原材料供应者宜具有能满足使用者需求的能力和稳健的供应链。</w:t>
      </w:r>
    </w:p>
    <w:p w:rsidR="002606BB" w:rsidRDefault="00841612">
      <w:pPr>
        <w:pStyle w:val="a2"/>
        <w:numPr>
          <w:ilvl w:val="0"/>
          <w:numId w:val="0"/>
        </w:numPr>
        <w:spacing w:before="120" w:after="120"/>
        <w:rPr>
          <w:rFonts w:ascii="宋体" w:hAnsi="宋体" w:cs="宋体"/>
          <w:color w:val="000000" w:themeColor="text1"/>
        </w:rPr>
      </w:pPr>
      <w:r>
        <w:rPr>
          <w:rFonts w:ascii="宋体" w:hAnsi="宋体" w:cs="宋体" w:hint="eastAsia"/>
          <w:color w:val="000000" w:themeColor="text1"/>
        </w:rPr>
        <w:t xml:space="preserve">8.2.3 </w:t>
      </w:r>
      <w:r>
        <w:rPr>
          <w:rFonts w:ascii="宋体" w:hAnsi="宋体" w:cs="宋体" w:hint="eastAsia"/>
          <w:color w:val="000000" w:themeColor="text1"/>
        </w:rPr>
        <w:t>应对已知会影响生产用原材料产品质量和一致性的生产工艺进行控制、记录和沟通。</w:t>
      </w:r>
    </w:p>
    <w:p w:rsidR="002606BB" w:rsidRDefault="00841612">
      <w:pPr>
        <w:pStyle w:val="a2"/>
        <w:numPr>
          <w:ilvl w:val="0"/>
          <w:numId w:val="0"/>
        </w:numPr>
        <w:rPr>
          <w:rFonts w:ascii="宋体" w:hAnsi="宋体" w:cs="宋体"/>
          <w:color w:val="000000" w:themeColor="text1"/>
        </w:rPr>
      </w:pPr>
      <w:r>
        <w:rPr>
          <w:rFonts w:ascii="宋体" w:hAnsi="宋体" w:cs="宋体" w:hint="eastAsia"/>
          <w:color w:val="000000" w:themeColor="text1"/>
        </w:rPr>
        <w:t xml:space="preserve">8.2.4 </w:t>
      </w:r>
      <w:r>
        <w:rPr>
          <w:rFonts w:ascii="宋体" w:hAnsi="宋体" w:cs="宋体" w:hint="eastAsia"/>
          <w:color w:val="000000" w:themeColor="text1"/>
        </w:rPr>
        <w:t>应对已知会改变外源因子或内毒素污染风险的生产工艺进行控制和记录。</w:t>
      </w:r>
    </w:p>
    <w:p w:rsidR="002606BB" w:rsidRDefault="00841612">
      <w:pPr>
        <w:pStyle w:val="a2"/>
        <w:numPr>
          <w:ilvl w:val="0"/>
          <w:numId w:val="0"/>
        </w:numPr>
        <w:rPr>
          <w:rFonts w:ascii="宋体" w:hAnsi="宋体" w:cs="宋体"/>
          <w:color w:val="000000" w:themeColor="text1"/>
        </w:rPr>
      </w:pPr>
      <w:r>
        <w:rPr>
          <w:rFonts w:ascii="宋体" w:hAnsi="宋体" w:cs="宋体" w:hint="eastAsia"/>
          <w:color w:val="000000" w:themeColor="text1"/>
        </w:rPr>
        <w:t xml:space="preserve">8.2.5 </w:t>
      </w:r>
      <w:r>
        <w:rPr>
          <w:rFonts w:ascii="宋体" w:hAnsi="宋体" w:cs="宋体" w:hint="eastAsia"/>
          <w:color w:val="000000" w:themeColor="text1"/>
        </w:rPr>
        <w:t>应对已知使用动物源性成分的生产工艺进行沟通。除了提供动物源性成分来源国的记录之外，还宜提供降低外源因子污染风险的措施。</w:t>
      </w:r>
    </w:p>
    <w:p w:rsidR="002606BB" w:rsidRDefault="00841612">
      <w:pPr>
        <w:pStyle w:val="a2"/>
        <w:numPr>
          <w:ilvl w:val="0"/>
          <w:numId w:val="0"/>
        </w:numPr>
        <w:rPr>
          <w:rFonts w:ascii="宋体" w:hAnsi="宋体" w:cs="宋体"/>
          <w:color w:val="000000" w:themeColor="text1"/>
        </w:rPr>
      </w:pPr>
      <w:r>
        <w:rPr>
          <w:rFonts w:ascii="宋体" w:hAnsi="宋体" w:cs="宋体" w:hint="eastAsia"/>
          <w:color w:val="000000" w:themeColor="text1"/>
        </w:rPr>
        <w:t xml:space="preserve">8.2.6 </w:t>
      </w:r>
      <w:r>
        <w:rPr>
          <w:rFonts w:ascii="宋体" w:hAnsi="宋体" w:cs="宋体" w:hint="eastAsia"/>
          <w:color w:val="000000" w:themeColor="text1"/>
        </w:rPr>
        <w:t>如适用，宜提供在生产用原材料中的抗生素的种类和数量。使用β</w:t>
      </w:r>
      <w:r>
        <w:rPr>
          <w:rFonts w:ascii="宋体" w:hAnsi="宋体" w:cs="宋体" w:hint="eastAsia"/>
          <w:color w:val="000000" w:themeColor="text1"/>
        </w:rPr>
        <w:t>-</w:t>
      </w:r>
      <w:r>
        <w:rPr>
          <w:rFonts w:ascii="宋体" w:hAnsi="宋体" w:cs="宋体" w:hint="eastAsia"/>
          <w:color w:val="000000" w:themeColor="text1"/>
        </w:rPr>
        <w:t>内酰胺类抗生素可能导致免疫原性风险。严格控制抗生素在生产中的使用，以限制在环境中产生抗生素耐药性的影响。</w:t>
      </w:r>
    </w:p>
    <w:p w:rsidR="002606BB" w:rsidRDefault="00841612">
      <w:pPr>
        <w:pStyle w:val="a2"/>
        <w:numPr>
          <w:ilvl w:val="0"/>
          <w:numId w:val="0"/>
        </w:numPr>
        <w:jc w:val="both"/>
        <w:rPr>
          <w:rFonts w:ascii="宋体" w:hAnsi="宋体" w:cs="宋体"/>
          <w:color w:val="000000" w:themeColor="text1"/>
        </w:rPr>
      </w:pPr>
      <w:r>
        <w:rPr>
          <w:rFonts w:ascii="宋体" w:hAnsi="宋体" w:cs="宋体" w:hint="eastAsia"/>
          <w:color w:val="000000" w:themeColor="text1"/>
        </w:rPr>
        <w:t>8.2.7</w:t>
      </w:r>
      <w:r>
        <w:rPr>
          <w:rFonts w:ascii="宋体" w:hAnsi="宋体" w:cs="宋体" w:hint="eastAsia"/>
          <w:color w:val="000000" w:themeColor="text1"/>
        </w:rPr>
        <w:t>宜对导致产品降解的生产工艺进行记录，包括因加工和酶</w:t>
      </w:r>
      <w:proofErr w:type="gramStart"/>
      <w:r>
        <w:rPr>
          <w:rFonts w:ascii="宋体" w:hAnsi="宋体" w:cs="宋体" w:hint="eastAsia"/>
          <w:color w:val="000000" w:themeColor="text1"/>
        </w:rPr>
        <w:t>解导致</w:t>
      </w:r>
      <w:proofErr w:type="gramEnd"/>
      <w:r>
        <w:rPr>
          <w:rFonts w:ascii="宋体" w:hAnsi="宋体" w:cs="宋体" w:hint="eastAsia"/>
          <w:color w:val="000000" w:themeColor="text1"/>
        </w:rPr>
        <w:t>生物</w:t>
      </w:r>
      <w:r>
        <w:rPr>
          <w:rFonts w:ascii="宋体" w:hAnsi="宋体" w:cs="宋体" w:hint="eastAsia"/>
          <w:color w:val="000000" w:themeColor="text1"/>
          <w:w w:val="105"/>
        </w:rPr>
        <w:t>源性</w:t>
      </w:r>
      <w:r>
        <w:rPr>
          <w:rFonts w:ascii="宋体" w:hAnsi="宋体" w:cs="宋体" w:hint="eastAsia"/>
          <w:color w:val="000000" w:themeColor="text1"/>
        </w:rPr>
        <w:t>产品的降解。</w:t>
      </w:r>
    </w:p>
    <w:p w:rsidR="002606BB" w:rsidRDefault="00841612">
      <w:pPr>
        <w:pStyle w:val="a2"/>
        <w:numPr>
          <w:ilvl w:val="0"/>
          <w:numId w:val="0"/>
        </w:numPr>
        <w:rPr>
          <w:rFonts w:ascii="宋体" w:hAnsi="宋体" w:cs="宋体"/>
          <w:color w:val="000000" w:themeColor="text1"/>
        </w:rPr>
      </w:pPr>
      <w:r>
        <w:rPr>
          <w:rFonts w:ascii="宋体" w:hAnsi="宋体" w:cs="宋体" w:hint="eastAsia"/>
          <w:color w:val="000000" w:themeColor="text1"/>
        </w:rPr>
        <w:t xml:space="preserve">8.2.8 </w:t>
      </w:r>
      <w:r>
        <w:rPr>
          <w:rFonts w:ascii="宋体" w:hAnsi="宋体" w:cs="宋体" w:hint="eastAsia"/>
          <w:color w:val="000000" w:themeColor="text1"/>
        </w:rPr>
        <w:t>宜尽可能减少颗粒物的数量；在可能的情</w:t>
      </w:r>
      <w:r>
        <w:rPr>
          <w:rFonts w:ascii="宋体" w:hAnsi="宋体" w:cs="宋体" w:hint="eastAsia"/>
          <w:color w:val="000000" w:themeColor="text1"/>
        </w:rPr>
        <w:t>况下，宜采取去除颗粒的措施。如可行，宜对生产用原材料中的颗粒物进行测量和计数。</w:t>
      </w:r>
    </w:p>
    <w:p w:rsidR="002606BB" w:rsidRDefault="00841612">
      <w:pPr>
        <w:pStyle w:val="a2"/>
        <w:numPr>
          <w:ilvl w:val="0"/>
          <w:numId w:val="0"/>
        </w:numPr>
        <w:rPr>
          <w:rFonts w:ascii="宋体" w:hAnsi="宋体" w:cs="宋体"/>
          <w:color w:val="000000" w:themeColor="text1"/>
        </w:rPr>
      </w:pPr>
      <w:r>
        <w:rPr>
          <w:rFonts w:ascii="宋体" w:hAnsi="宋体" w:cs="宋体" w:hint="eastAsia"/>
          <w:color w:val="000000" w:themeColor="text1"/>
        </w:rPr>
        <w:t>8.2.9</w:t>
      </w:r>
      <w:r>
        <w:rPr>
          <w:rFonts w:ascii="宋体" w:hAnsi="宋体" w:cs="宋体" w:hint="eastAsia"/>
          <w:color w:val="000000" w:themeColor="text1"/>
        </w:rPr>
        <w:t>宜关注使用化学或物理方法减少或消除污染的生产工艺，并证明其有效性。</w:t>
      </w:r>
    </w:p>
    <w:p w:rsidR="002606BB" w:rsidRDefault="00841612">
      <w:pPr>
        <w:pStyle w:val="a2"/>
        <w:numPr>
          <w:ilvl w:val="0"/>
          <w:numId w:val="0"/>
        </w:numPr>
        <w:rPr>
          <w:rFonts w:ascii="宋体" w:hAnsi="宋体" w:cs="宋体"/>
          <w:color w:val="000000" w:themeColor="text1"/>
        </w:rPr>
      </w:pPr>
      <w:r>
        <w:rPr>
          <w:rFonts w:ascii="宋体" w:hAnsi="宋体" w:cs="宋体" w:hint="eastAsia"/>
          <w:color w:val="000000" w:themeColor="text1"/>
        </w:rPr>
        <w:t xml:space="preserve">8.2.10 </w:t>
      </w:r>
      <w:r>
        <w:rPr>
          <w:rFonts w:ascii="宋体" w:hAnsi="宋体" w:cs="宋体" w:hint="eastAsia"/>
          <w:color w:val="000000" w:themeColor="text1"/>
        </w:rPr>
        <w:t>宜关注使用辐照方法的生产工艺，验证辐照的剂量范围</w:t>
      </w:r>
      <w:r>
        <w:rPr>
          <w:rFonts w:ascii="宋体" w:hAnsi="宋体" w:cs="宋体" w:hint="eastAsia"/>
          <w:strike/>
          <w:color w:val="000000" w:themeColor="text1"/>
        </w:rPr>
        <w:t>确保辐照后不影响预期功能</w:t>
      </w:r>
      <w:r>
        <w:rPr>
          <w:rFonts w:ascii="宋体" w:hAnsi="宋体" w:cs="宋体" w:hint="eastAsia"/>
          <w:color w:val="000000" w:themeColor="text1"/>
        </w:rPr>
        <w:t>。</w:t>
      </w:r>
    </w:p>
    <w:p w:rsidR="002606BB" w:rsidRDefault="00841612">
      <w:pPr>
        <w:pStyle w:val="a2"/>
        <w:numPr>
          <w:ilvl w:val="0"/>
          <w:numId w:val="0"/>
        </w:numPr>
        <w:spacing w:before="120" w:after="120"/>
        <w:rPr>
          <w:rFonts w:ascii="宋体" w:hAnsi="宋体" w:cs="宋体"/>
          <w:color w:val="000000" w:themeColor="text1"/>
        </w:rPr>
      </w:pPr>
      <w:r>
        <w:rPr>
          <w:rFonts w:ascii="宋体" w:hAnsi="宋体" w:cs="宋体" w:hint="eastAsia"/>
          <w:color w:val="000000" w:themeColor="text1"/>
        </w:rPr>
        <w:t>8.2.11</w:t>
      </w:r>
      <w:r>
        <w:rPr>
          <w:rFonts w:ascii="宋体" w:hAnsi="宋体" w:cs="宋体" w:hint="eastAsia"/>
          <w:color w:val="000000" w:themeColor="text1"/>
        </w:rPr>
        <w:t>宜通过生产工艺、环境控制、隔离、工程控制、使用专用设备和清洁过程来控制污染。宜尽量减少内毒素的污染。</w:t>
      </w:r>
    </w:p>
    <w:p w:rsidR="002606BB" w:rsidRDefault="00841612" w:rsidP="00763FAE">
      <w:pPr>
        <w:pStyle w:val="a1"/>
        <w:spacing w:before="156" w:after="156"/>
        <w:rPr>
          <w:color w:val="000000" w:themeColor="text1"/>
        </w:rPr>
      </w:pPr>
      <w:r>
        <w:rPr>
          <w:rFonts w:hint="eastAsia"/>
          <w:color w:val="000000" w:themeColor="text1"/>
        </w:rPr>
        <w:t>容器和密闭系统</w:t>
      </w:r>
    </w:p>
    <w:p w:rsidR="002606BB" w:rsidRDefault="00841612">
      <w:pPr>
        <w:pStyle w:val="a2"/>
        <w:numPr>
          <w:ilvl w:val="0"/>
          <w:numId w:val="0"/>
        </w:numPr>
        <w:spacing w:before="0" w:after="0"/>
        <w:rPr>
          <w:rFonts w:ascii="宋体" w:hAnsi="宋体" w:cs="宋体"/>
          <w:color w:val="000000" w:themeColor="text1"/>
        </w:rPr>
      </w:pPr>
      <w:r>
        <w:rPr>
          <w:rFonts w:ascii="宋体" w:hAnsi="宋体" w:cs="宋体" w:hint="eastAsia"/>
          <w:color w:val="000000" w:themeColor="text1"/>
        </w:rPr>
        <w:t>8.3.1</w:t>
      </w:r>
      <w:r>
        <w:rPr>
          <w:rFonts w:ascii="宋体" w:hAnsi="宋体" w:cs="宋体" w:hint="eastAsia"/>
          <w:color w:val="000000" w:themeColor="text1"/>
        </w:rPr>
        <w:t>宜检查容器的密闭完整性，以确保装载的材料不会受到污染或毁损。</w:t>
      </w:r>
    </w:p>
    <w:p w:rsidR="002606BB" w:rsidRDefault="00841612">
      <w:pPr>
        <w:pStyle w:val="a2"/>
        <w:numPr>
          <w:ilvl w:val="0"/>
          <w:numId w:val="0"/>
        </w:numPr>
        <w:spacing w:before="0" w:after="0"/>
        <w:rPr>
          <w:rFonts w:ascii="宋体" w:hAnsi="宋体" w:cs="宋体"/>
          <w:color w:val="000000" w:themeColor="text1"/>
        </w:rPr>
      </w:pPr>
      <w:r>
        <w:rPr>
          <w:rFonts w:ascii="宋体" w:hAnsi="宋体" w:cs="宋体" w:hint="eastAsia"/>
          <w:color w:val="000000" w:themeColor="text1"/>
        </w:rPr>
        <w:t>8.3.2</w:t>
      </w:r>
      <w:r>
        <w:rPr>
          <w:rFonts w:ascii="宋体" w:hAnsi="宋体" w:cs="宋体" w:hint="eastAsia"/>
          <w:color w:val="000000" w:themeColor="text1"/>
        </w:rPr>
        <w:t>为应对极端温度环境或者可能的运输事故而采用的特定密闭系统</w:t>
      </w:r>
      <w:proofErr w:type="gramStart"/>
      <w:r>
        <w:rPr>
          <w:rFonts w:ascii="宋体" w:hAnsi="宋体" w:cs="宋体" w:hint="eastAsia"/>
          <w:color w:val="000000" w:themeColor="text1"/>
        </w:rPr>
        <w:t>宜经过</w:t>
      </w:r>
      <w:proofErr w:type="gramEnd"/>
      <w:r>
        <w:rPr>
          <w:rFonts w:ascii="宋体" w:hAnsi="宋体" w:cs="宋体" w:hint="eastAsia"/>
          <w:color w:val="000000" w:themeColor="text1"/>
        </w:rPr>
        <w:t>验证。</w:t>
      </w:r>
    </w:p>
    <w:p w:rsidR="002606BB" w:rsidRDefault="00841612">
      <w:pPr>
        <w:pStyle w:val="afff"/>
        <w:ind w:firstLineChars="0" w:firstLine="0"/>
        <w:rPr>
          <w:rFonts w:hAnsi="宋体" w:cs="宋体"/>
          <w:color w:val="000000" w:themeColor="text1"/>
          <w:szCs w:val="21"/>
        </w:rPr>
      </w:pPr>
      <w:r>
        <w:rPr>
          <w:rFonts w:hAnsi="宋体" w:cs="宋体" w:hint="eastAsia"/>
          <w:color w:val="000000" w:themeColor="text1"/>
          <w:szCs w:val="21"/>
        </w:rPr>
        <w:t xml:space="preserve">8.3.3 </w:t>
      </w:r>
      <w:r>
        <w:rPr>
          <w:rFonts w:hAnsi="宋体" w:cs="宋体" w:hint="eastAsia"/>
          <w:color w:val="000000" w:themeColor="text1"/>
          <w:szCs w:val="21"/>
        </w:rPr>
        <w:t>容器和密闭系统宜无菌。建议尽可能使用一次性容器。</w:t>
      </w:r>
    </w:p>
    <w:p w:rsidR="002606BB" w:rsidRDefault="00841612">
      <w:pPr>
        <w:pStyle w:val="a2"/>
        <w:numPr>
          <w:ilvl w:val="0"/>
          <w:numId w:val="0"/>
        </w:numPr>
        <w:spacing w:before="0" w:after="0"/>
        <w:rPr>
          <w:rFonts w:ascii="宋体" w:hAnsi="宋体" w:cs="宋体"/>
          <w:color w:val="000000" w:themeColor="text1"/>
        </w:rPr>
      </w:pPr>
      <w:r>
        <w:rPr>
          <w:rFonts w:ascii="宋体" w:hAnsi="宋体" w:cs="宋体" w:hint="eastAsia"/>
          <w:color w:val="000000" w:themeColor="text1"/>
        </w:rPr>
        <w:t xml:space="preserve">8.3.4 </w:t>
      </w:r>
      <w:r>
        <w:rPr>
          <w:rFonts w:ascii="宋体" w:hAnsi="宋体" w:cs="宋体" w:hint="eastAsia"/>
          <w:color w:val="000000" w:themeColor="text1"/>
        </w:rPr>
        <w:t>宜向生产用原材料使用者提供所用容器发生析出的可能性对细胞和人体的安全性</w:t>
      </w:r>
      <w:r>
        <w:rPr>
          <w:rFonts w:ascii="宋体" w:hAnsi="宋体" w:cs="宋体" w:hint="eastAsia"/>
          <w:color w:val="000000" w:themeColor="text1"/>
        </w:rPr>
        <w:t>.</w:t>
      </w:r>
    </w:p>
    <w:p w:rsidR="002606BB" w:rsidRDefault="00841612" w:rsidP="00763FAE">
      <w:pPr>
        <w:pStyle w:val="a1"/>
        <w:spacing w:before="156" w:after="156"/>
        <w:rPr>
          <w:color w:val="000000" w:themeColor="text1"/>
        </w:rPr>
      </w:pPr>
      <w:r>
        <w:rPr>
          <w:rFonts w:hint="eastAsia"/>
          <w:color w:val="000000" w:themeColor="text1"/>
        </w:rPr>
        <w:t>污染控制</w:t>
      </w:r>
    </w:p>
    <w:p w:rsidR="002606BB" w:rsidRDefault="00841612">
      <w:pPr>
        <w:pStyle w:val="a2"/>
        <w:numPr>
          <w:ilvl w:val="0"/>
          <w:numId w:val="0"/>
        </w:numPr>
        <w:rPr>
          <w:rFonts w:ascii="宋体" w:hAnsi="宋体" w:cs="宋体"/>
          <w:color w:val="000000" w:themeColor="text1"/>
        </w:rPr>
      </w:pPr>
      <w:r>
        <w:rPr>
          <w:rFonts w:ascii="宋体" w:hAnsi="宋体" w:cs="宋体" w:hint="eastAsia"/>
          <w:color w:val="000000" w:themeColor="text1"/>
        </w:rPr>
        <w:t xml:space="preserve">8.4.1 </w:t>
      </w:r>
      <w:r>
        <w:rPr>
          <w:rFonts w:ascii="宋体" w:hAnsi="宋体" w:cs="宋体" w:hint="eastAsia"/>
          <w:color w:val="000000" w:themeColor="text1"/>
        </w:rPr>
        <w:t>生产用原材料供应者宜遵守关于生产用原材料防止污染的质量要求，包括微生物和病毒污染，非生物学污染、来自其他产品的交叉污染等质量要求。</w:t>
      </w:r>
    </w:p>
    <w:p w:rsidR="002606BB" w:rsidRDefault="00841612">
      <w:pPr>
        <w:pStyle w:val="a2"/>
        <w:numPr>
          <w:ilvl w:val="0"/>
          <w:numId w:val="0"/>
        </w:numPr>
        <w:rPr>
          <w:rFonts w:ascii="宋体" w:hAnsi="宋体" w:cs="宋体"/>
          <w:color w:val="000000" w:themeColor="text1"/>
        </w:rPr>
      </w:pPr>
      <w:r>
        <w:rPr>
          <w:rFonts w:ascii="宋体" w:hAnsi="宋体" w:cs="宋体" w:hint="eastAsia"/>
          <w:color w:val="000000" w:themeColor="text1"/>
        </w:rPr>
        <w:t>8.4.2</w:t>
      </w:r>
      <w:r>
        <w:rPr>
          <w:rFonts w:ascii="宋体" w:hAnsi="宋体" w:cs="宋体" w:hint="eastAsia"/>
          <w:color w:val="000000" w:themeColor="text1"/>
        </w:rPr>
        <w:t>为了确保生产用原材料的安全性和无菌状态，生产用原材料的供应者应提供生产用原材料的灭菌工艺和无菌检测是如何进行或验证的，以</w:t>
      </w:r>
      <w:r>
        <w:rPr>
          <w:rFonts w:ascii="宋体" w:hAnsi="宋体" w:cs="宋体" w:hint="eastAsia"/>
          <w:color w:val="000000" w:themeColor="text1"/>
        </w:rPr>
        <w:t>及连续灭菌所使用的单元数量以及所提供的无菌保证等级。</w:t>
      </w:r>
    </w:p>
    <w:p w:rsidR="002606BB" w:rsidRDefault="00841612" w:rsidP="00763FAE">
      <w:pPr>
        <w:pStyle w:val="a1"/>
        <w:spacing w:before="156" w:after="156"/>
        <w:rPr>
          <w:color w:val="000000" w:themeColor="text1"/>
        </w:rPr>
      </w:pPr>
      <w:r>
        <w:rPr>
          <w:rFonts w:hint="eastAsia"/>
          <w:color w:val="000000" w:themeColor="text1"/>
        </w:rPr>
        <w:t>其他</w:t>
      </w:r>
      <w:r>
        <w:rPr>
          <w:rFonts w:hint="eastAsia"/>
          <w:color w:val="000000" w:themeColor="text1"/>
        </w:rPr>
        <w:t xml:space="preserve"> </w:t>
      </w:r>
    </w:p>
    <w:p w:rsidR="002606BB" w:rsidRDefault="00841612">
      <w:pPr>
        <w:pStyle w:val="a2"/>
        <w:numPr>
          <w:ilvl w:val="0"/>
          <w:numId w:val="0"/>
        </w:numPr>
        <w:ind w:firstLineChars="200" w:firstLine="420"/>
        <w:rPr>
          <w:color w:val="000000" w:themeColor="text1"/>
        </w:rPr>
      </w:pPr>
      <w:r>
        <w:rPr>
          <w:rFonts w:hint="eastAsia"/>
          <w:color w:val="000000" w:themeColor="text1"/>
        </w:rPr>
        <w:t>生产用原材料使用者宜进行其他的检测，以证明生产用原材料对细胞和人体的安全性。如需要，使用者还宜评估生产用原材料对细胞表型的影响。根据生产用原材料的风险，生产用原材料使用者宜进行的检测项目可包括，但不限于：</w:t>
      </w:r>
    </w:p>
    <w:p w:rsidR="002606BB" w:rsidRDefault="00841612">
      <w:pPr>
        <w:pStyle w:val="af9"/>
        <w:numPr>
          <w:ilvl w:val="0"/>
          <w:numId w:val="27"/>
        </w:numPr>
        <w:ind w:left="840" w:hanging="420"/>
        <w:rPr>
          <w:color w:val="000000" w:themeColor="text1"/>
        </w:rPr>
      </w:pPr>
      <w:r>
        <w:rPr>
          <w:rFonts w:hint="eastAsia"/>
          <w:color w:val="000000" w:themeColor="text1"/>
        </w:rPr>
        <w:t>细胞增殖（</w:t>
      </w:r>
      <w:r>
        <w:rPr>
          <w:rFonts w:hint="eastAsia"/>
          <w:color w:val="000000" w:themeColor="text1"/>
        </w:rPr>
        <w:t>cell proliferation</w:t>
      </w:r>
      <w:r>
        <w:rPr>
          <w:rFonts w:hint="eastAsia"/>
          <w:color w:val="000000" w:themeColor="text1"/>
        </w:rPr>
        <w:t>）</w:t>
      </w:r>
      <w:r>
        <w:rPr>
          <w:rFonts w:hint="eastAsia"/>
          <w:color w:val="000000" w:themeColor="text1"/>
        </w:rPr>
        <w:t>;</w:t>
      </w:r>
    </w:p>
    <w:p w:rsidR="002606BB" w:rsidRDefault="00841612">
      <w:pPr>
        <w:pStyle w:val="af9"/>
        <w:numPr>
          <w:ilvl w:val="0"/>
          <w:numId w:val="27"/>
        </w:numPr>
        <w:ind w:left="840" w:hanging="420"/>
        <w:rPr>
          <w:color w:val="000000" w:themeColor="text1"/>
        </w:rPr>
      </w:pPr>
      <w:r>
        <w:rPr>
          <w:rFonts w:hint="eastAsia"/>
          <w:color w:val="000000" w:themeColor="text1"/>
        </w:rPr>
        <w:t>遗传毒性</w:t>
      </w:r>
      <w:r>
        <w:rPr>
          <w:rFonts w:ascii="黑体" w:hAnsi="黑体" w:hint="eastAsia"/>
          <w:color w:val="000000" w:themeColor="text1"/>
          <w:szCs w:val="21"/>
        </w:rPr>
        <w:t>(</w:t>
      </w:r>
      <w:proofErr w:type="spellStart"/>
      <w:r>
        <w:rPr>
          <w:rFonts w:ascii="黑体" w:hAnsi="黑体" w:hint="eastAsia"/>
          <w:color w:val="000000" w:themeColor="text1"/>
          <w:szCs w:val="21"/>
        </w:rPr>
        <w:t>Genotoxicity</w:t>
      </w:r>
      <w:proofErr w:type="spellEnd"/>
      <w:r>
        <w:rPr>
          <w:rFonts w:ascii="黑体" w:hAnsi="黑体"/>
          <w:color w:val="000000" w:themeColor="text1"/>
          <w:szCs w:val="21"/>
        </w:rPr>
        <w:t>)</w:t>
      </w:r>
      <w:r>
        <w:rPr>
          <w:rFonts w:ascii="黑体" w:hAnsi="黑体" w:hint="eastAsia"/>
          <w:color w:val="000000" w:themeColor="text1"/>
          <w:szCs w:val="21"/>
        </w:rPr>
        <w:t>;</w:t>
      </w:r>
      <w:r>
        <w:rPr>
          <w:rFonts w:ascii="黑体" w:hAnsi="黑体" w:hint="eastAsia"/>
          <w:color w:val="000000" w:themeColor="text1"/>
          <w:szCs w:val="21"/>
        </w:rPr>
        <w:t xml:space="preserve">　</w:t>
      </w:r>
    </w:p>
    <w:p w:rsidR="002606BB" w:rsidRDefault="00841612">
      <w:pPr>
        <w:pStyle w:val="af9"/>
        <w:numPr>
          <w:ilvl w:val="0"/>
          <w:numId w:val="27"/>
        </w:numPr>
        <w:ind w:left="840" w:hanging="420"/>
        <w:rPr>
          <w:color w:val="000000" w:themeColor="text1"/>
        </w:rPr>
      </w:pPr>
      <w:r>
        <w:rPr>
          <w:rFonts w:hint="eastAsia"/>
          <w:color w:val="000000" w:themeColor="text1"/>
        </w:rPr>
        <w:t>细胞毒性</w:t>
      </w:r>
      <w:r>
        <w:rPr>
          <w:rFonts w:hint="eastAsia"/>
          <w:color w:val="000000" w:themeColor="text1"/>
        </w:rPr>
        <w:t>(</w:t>
      </w:r>
      <w:r>
        <w:rPr>
          <w:rFonts w:ascii="黑体" w:hAnsi="黑体" w:hint="eastAsia"/>
          <w:color w:val="000000" w:themeColor="text1"/>
          <w:szCs w:val="21"/>
        </w:rPr>
        <w:t>Cytotoxicity</w:t>
      </w:r>
      <w:r>
        <w:rPr>
          <w:rFonts w:ascii="黑体" w:hAnsi="黑体"/>
          <w:color w:val="000000" w:themeColor="text1"/>
          <w:szCs w:val="21"/>
        </w:rPr>
        <w:t>)</w:t>
      </w:r>
      <w:r>
        <w:rPr>
          <w:rFonts w:ascii="黑体" w:hAnsi="黑体" w:hint="eastAsia"/>
          <w:color w:val="000000" w:themeColor="text1"/>
          <w:szCs w:val="21"/>
        </w:rPr>
        <w:t>;</w:t>
      </w:r>
    </w:p>
    <w:p w:rsidR="002606BB" w:rsidRDefault="00841612">
      <w:pPr>
        <w:pStyle w:val="af9"/>
        <w:numPr>
          <w:ilvl w:val="0"/>
          <w:numId w:val="27"/>
        </w:numPr>
        <w:ind w:left="840" w:hanging="420"/>
        <w:rPr>
          <w:color w:val="000000" w:themeColor="text1"/>
        </w:rPr>
      </w:pPr>
      <w:r>
        <w:rPr>
          <w:rFonts w:hint="eastAsia"/>
          <w:color w:val="000000" w:themeColor="text1"/>
        </w:rPr>
        <w:t>细胞可塑性</w:t>
      </w:r>
      <w:r>
        <w:rPr>
          <w:rFonts w:ascii="黑体" w:hAnsi="黑体" w:hint="eastAsia"/>
          <w:color w:val="000000" w:themeColor="text1"/>
          <w:szCs w:val="21"/>
        </w:rPr>
        <w:t>(Cell plasticity</w:t>
      </w:r>
      <w:r>
        <w:rPr>
          <w:rFonts w:ascii="黑体" w:hAnsi="黑体"/>
          <w:color w:val="000000" w:themeColor="text1"/>
          <w:szCs w:val="21"/>
        </w:rPr>
        <w:t>)</w:t>
      </w:r>
      <w:r>
        <w:rPr>
          <w:rFonts w:ascii="黑体" w:hAnsi="黑体" w:hint="eastAsia"/>
          <w:color w:val="000000" w:themeColor="text1"/>
          <w:szCs w:val="21"/>
        </w:rPr>
        <w:t>;</w:t>
      </w:r>
    </w:p>
    <w:p w:rsidR="002606BB" w:rsidRDefault="00841612">
      <w:pPr>
        <w:pStyle w:val="af9"/>
        <w:numPr>
          <w:ilvl w:val="0"/>
          <w:numId w:val="27"/>
        </w:numPr>
        <w:ind w:left="840" w:hanging="420"/>
        <w:rPr>
          <w:color w:val="000000" w:themeColor="text1"/>
        </w:rPr>
      </w:pPr>
      <w:r>
        <w:rPr>
          <w:rFonts w:hint="eastAsia"/>
          <w:color w:val="000000" w:themeColor="text1"/>
        </w:rPr>
        <w:t>细胞迁移</w:t>
      </w:r>
      <w:r>
        <w:rPr>
          <w:rFonts w:hint="eastAsia"/>
          <w:color w:val="000000" w:themeColor="text1"/>
        </w:rPr>
        <w:t>(</w:t>
      </w:r>
      <w:r>
        <w:rPr>
          <w:rFonts w:ascii="黑体" w:hAnsi="黑体" w:hint="eastAsia"/>
          <w:color w:val="000000" w:themeColor="text1"/>
          <w:szCs w:val="21"/>
        </w:rPr>
        <w:t>Cell migration</w:t>
      </w:r>
      <w:r>
        <w:rPr>
          <w:rFonts w:ascii="黑体" w:hAnsi="黑体"/>
          <w:color w:val="000000" w:themeColor="text1"/>
          <w:szCs w:val="21"/>
        </w:rPr>
        <w:t>)</w:t>
      </w:r>
      <w:r>
        <w:rPr>
          <w:rFonts w:ascii="黑体" w:hAnsi="黑体" w:hint="eastAsia"/>
          <w:color w:val="000000" w:themeColor="text1"/>
          <w:szCs w:val="21"/>
        </w:rPr>
        <w:t>;</w:t>
      </w:r>
    </w:p>
    <w:p w:rsidR="002606BB" w:rsidRDefault="00841612">
      <w:pPr>
        <w:pStyle w:val="af9"/>
        <w:numPr>
          <w:ilvl w:val="0"/>
          <w:numId w:val="27"/>
        </w:numPr>
        <w:ind w:left="840" w:hanging="420"/>
        <w:rPr>
          <w:color w:val="000000" w:themeColor="text1"/>
        </w:rPr>
      </w:pPr>
      <w:r>
        <w:rPr>
          <w:rFonts w:hint="eastAsia"/>
          <w:color w:val="000000" w:themeColor="text1"/>
        </w:rPr>
        <w:t>细胞形态</w:t>
      </w:r>
      <w:r>
        <w:rPr>
          <w:rFonts w:ascii="黑体" w:hAnsi="黑体" w:hint="eastAsia"/>
          <w:color w:val="000000" w:themeColor="text1"/>
          <w:szCs w:val="21"/>
        </w:rPr>
        <w:t>(Cell</w:t>
      </w:r>
      <w:r>
        <w:rPr>
          <w:rFonts w:ascii="黑体" w:hAnsi="黑体" w:hint="eastAsia"/>
          <w:color w:val="000000" w:themeColor="text1"/>
          <w:szCs w:val="21"/>
        </w:rPr>
        <w:t xml:space="preserve"> morphology</w:t>
      </w:r>
      <w:r>
        <w:rPr>
          <w:rFonts w:ascii="黑体" w:hAnsi="黑体"/>
          <w:color w:val="000000" w:themeColor="text1"/>
          <w:szCs w:val="21"/>
        </w:rPr>
        <w:t>)</w:t>
      </w:r>
      <w:r>
        <w:rPr>
          <w:rFonts w:ascii="黑体" w:hAnsi="黑体" w:hint="eastAsia"/>
          <w:color w:val="000000" w:themeColor="text1"/>
          <w:szCs w:val="21"/>
        </w:rPr>
        <w:t>;</w:t>
      </w:r>
    </w:p>
    <w:p w:rsidR="002606BB" w:rsidRDefault="00841612">
      <w:pPr>
        <w:pStyle w:val="af9"/>
        <w:numPr>
          <w:ilvl w:val="0"/>
          <w:numId w:val="27"/>
        </w:numPr>
        <w:ind w:left="840" w:hanging="420"/>
        <w:rPr>
          <w:color w:val="000000" w:themeColor="text1"/>
        </w:rPr>
      </w:pPr>
      <w:r>
        <w:rPr>
          <w:rFonts w:hint="eastAsia"/>
          <w:color w:val="000000" w:themeColor="text1"/>
        </w:rPr>
        <w:t>基因表达</w:t>
      </w:r>
      <w:r>
        <w:rPr>
          <w:rFonts w:hint="eastAsia"/>
          <w:color w:val="000000" w:themeColor="text1"/>
        </w:rPr>
        <w:t>(</w:t>
      </w:r>
      <w:r>
        <w:rPr>
          <w:rFonts w:ascii="黑体" w:hAnsi="黑体" w:hint="eastAsia"/>
          <w:color w:val="000000" w:themeColor="text1"/>
          <w:szCs w:val="21"/>
        </w:rPr>
        <w:t>Gene expression</w:t>
      </w:r>
      <w:r>
        <w:rPr>
          <w:rFonts w:ascii="黑体" w:hAnsi="黑体"/>
          <w:color w:val="000000" w:themeColor="text1"/>
          <w:szCs w:val="21"/>
        </w:rPr>
        <w:t>)</w:t>
      </w:r>
      <w:r>
        <w:rPr>
          <w:rFonts w:ascii="黑体" w:hAnsi="黑体" w:hint="eastAsia"/>
          <w:color w:val="000000" w:themeColor="text1"/>
          <w:szCs w:val="21"/>
        </w:rPr>
        <w:t>;</w:t>
      </w:r>
    </w:p>
    <w:p w:rsidR="002606BB" w:rsidRDefault="00841612">
      <w:pPr>
        <w:pStyle w:val="af9"/>
        <w:numPr>
          <w:ilvl w:val="0"/>
          <w:numId w:val="27"/>
        </w:numPr>
        <w:ind w:left="840" w:hanging="420"/>
        <w:rPr>
          <w:color w:val="000000" w:themeColor="text1"/>
        </w:rPr>
      </w:pPr>
      <w:r>
        <w:rPr>
          <w:rFonts w:hint="eastAsia"/>
          <w:color w:val="000000" w:themeColor="text1"/>
        </w:rPr>
        <w:t>染色体稳定性</w:t>
      </w:r>
      <w:r>
        <w:rPr>
          <w:rFonts w:hint="eastAsia"/>
          <w:color w:val="000000" w:themeColor="text1"/>
        </w:rPr>
        <w:t>)(</w:t>
      </w:r>
      <w:r>
        <w:rPr>
          <w:rFonts w:ascii="黑体" w:hAnsi="黑体" w:hint="eastAsia"/>
          <w:color w:val="000000" w:themeColor="text1"/>
          <w:szCs w:val="21"/>
        </w:rPr>
        <w:t>Chromosomal</w:t>
      </w:r>
      <w:r>
        <w:rPr>
          <w:rFonts w:ascii="黑体" w:hAnsi="黑体" w:hint="eastAsia"/>
          <w:color w:val="000000" w:themeColor="text1"/>
          <w:szCs w:val="21"/>
        </w:rPr>
        <w:t xml:space="preserve">　</w:t>
      </w:r>
      <w:r>
        <w:rPr>
          <w:rFonts w:ascii="黑体" w:hAnsi="黑体" w:hint="eastAsia"/>
          <w:color w:val="000000" w:themeColor="text1"/>
          <w:szCs w:val="21"/>
        </w:rPr>
        <w:t>stability</w:t>
      </w:r>
      <w:r>
        <w:rPr>
          <w:rFonts w:ascii="黑体" w:hAnsi="黑体"/>
          <w:color w:val="000000" w:themeColor="text1"/>
          <w:szCs w:val="21"/>
        </w:rPr>
        <w:t>)</w:t>
      </w:r>
      <w:r>
        <w:rPr>
          <w:rFonts w:ascii="黑体" w:hAnsi="黑体" w:hint="eastAsia"/>
          <w:color w:val="000000" w:themeColor="text1"/>
          <w:szCs w:val="21"/>
        </w:rPr>
        <w:t>;</w:t>
      </w:r>
      <w:r>
        <w:rPr>
          <w:rFonts w:hint="eastAsia"/>
          <w:color w:val="000000" w:themeColor="text1"/>
        </w:rPr>
        <w:t xml:space="preserve">　</w:t>
      </w:r>
    </w:p>
    <w:p w:rsidR="002606BB" w:rsidRDefault="00841612">
      <w:pPr>
        <w:pStyle w:val="af9"/>
        <w:numPr>
          <w:ilvl w:val="0"/>
          <w:numId w:val="27"/>
        </w:numPr>
        <w:ind w:left="840" w:hanging="420"/>
        <w:rPr>
          <w:color w:val="000000" w:themeColor="text1"/>
        </w:rPr>
      </w:pPr>
      <w:r>
        <w:rPr>
          <w:rFonts w:hint="eastAsia"/>
          <w:color w:val="000000" w:themeColor="text1"/>
        </w:rPr>
        <w:t>其他适当的检测。</w:t>
      </w:r>
    </w:p>
    <w:p w:rsidR="002606BB" w:rsidRDefault="00841612">
      <w:pPr>
        <w:pStyle w:val="a0"/>
        <w:spacing w:before="312" w:after="312"/>
        <w:rPr>
          <w:color w:val="000000" w:themeColor="text1"/>
        </w:rPr>
      </w:pPr>
      <w:bookmarkStart w:id="97" w:name="_Toc22141"/>
      <w:r>
        <w:rPr>
          <w:rFonts w:hint="eastAsia"/>
          <w:color w:val="000000" w:themeColor="text1"/>
        </w:rPr>
        <w:t>性能</w:t>
      </w:r>
      <w:bookmarkEnd w:id="97"/>
    </w:p>
    <w:p w:rsidR="002606BB" w:rsidRDefault="00841612">
      <w:pPr>
        <w:pStyle w:val="a1"/>
        <w:numPr>
          <w:ilvl w:val="1"/>
          <w:numId w:val="28"/>
        </w:numPr>
        <w:spacing w:before="156" w:after="156"/>
        <w:rPr>
          <w:color w:val="000000" w:themeColor="text1"/>
        </w:rPr>
      </w:pPr>
      <w:r>
        <w:rPr>
          <w:rFonts w:hint="eastAsia"/>
          <w:color w:val="000000" w:themeColor="text1"/>
        </w:rPr>
        <w:t>基本要求</w:t>
      </w:r>
    </w:p>
    <w:p w:rsidR="002606BB" w:rsidRDefault="00841612">
      <w:pPr>
        <w:pStyle w:val="a2"/>
        <w:ind w:left="0"/>
        <w:rPr>
          <w:color w:val="000000" w:themeColor="text1"/>
        </w:rPr>
      </w:pPr>
      <w:r>
        <w:rPr>
          <w:rFonts w:hint="eastAsia"/>
          <w:color w:val="000000" w:themeColor="text1"/>
        </w:rPr>
        <w:t>当生产用原材料供应者就产品一致性，特别是性能的一致性提出声明时，应提供一种或多种性能检测的结果。</w:t>
      </w:r>
    </w:p>
    <w:p w:rsidR="002606BB" w:rsidRDefault="00841612">
      <w:pPr>
        <w:pStyle w:val="a2"/>
        <w:ind w:left="0"/>
        <w:rPr>
          <w:color w:val="000000" w:themeColor="text1"/>
        </w:rPr>
      </w:pPr>
      <w:r>
        <w:rPr>
          <w:rFonts w:hint="eastAsia"/>
          <w:color w:val="000000" w:themeColor="text1"/>
        </w:rPr>
        <w:t>当生产用原材料某个确切成分的特性和浓度未知或无法披露时，使用者的性能检测可作为证明产品一致性的替代方法。当生产用原材料组分之间的微小变化可能导致生产用原材料与细胞之间的相互作用发生可测量的变化时（例如复杂细胞培养基或血清组分变化对细胞产生可测量的影响），生产用原材料使用者的性能检测数据是证明产品一致性的重要证据。</w:t>
      </w:r>
    </w:p>
    <w:p w:rsidR="002606BB" w:rsidRDefault="00841612">
      <w:pPr>
        <w:pStyle w:val="a1"/>
        <w:numPr>
          <w:ilvl w:val="1"/>
          <w:numId w:val="28"/>
        </w:numPr>
        <w:spacing w:before="156" w:after="156"/>
        <w:rPr>
          <w:color w:val="000000" w:themeColor="text1"/>
        </w:rPr>
      </w:pPr>
      <w:r>
        <w:rPr>
          <w:rFonts w:hint="eastAsia"/>
          <w:color w:val="000000" w:themeColor="text1"/>
        </w:rPr>
        <w:t>质量和检测</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生产用原材料使用者宜在反映生产用原材料风险水平的资质评价框架内评估生产用原材料。</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生产用原材料使用者宜在细胞治疗产品研发的全过程中更全面地开展生产用原材料的合格评定。对生产用原材料产品的合格评定中</w:t>
      </w:r>
      <w:proofErr w:type="gramStart"/>
      <w:r>
        <w:rPr>
          <w:rFonts w:ascii="宋体" w:hAnsi="宋体" w:cs="宋体" w:hint="eastAsia"/>
          <w:color w:val="000000" w:themeColor="text1"/>
        </w:rPr>
        <w:t>宜包括</w:t>
      </w:r>
      <w:proofErr w:type="gramEnd"/>
      <w:r>
        <w:rPr>
          <w:rFonts w:ascii="宋体" w:hAnsi="宋体" w:cs="宋体" w:hint="eastAsia"/>
          <w:color w:val="000000" w:themeColor="text1"/>
        </w:rPr>
        <w:t>对其来源、鉴定、纯度、生物安全性、以及特定材料的整体适用性的评估。</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在适当评估后，生产用原材料使用者可以采用基于风险的方式减少适用性检测，例如，当该生产用原材料供应者有资质，并且对产品进行了充分评估和日常评价时。</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生产用原材料使用者</w:t>
      </w:r>
      <w:proofErr w:type="gramStart"/>
      <w:r>
        <w:rPr>
          <w:rFonts w:ascii="宋体" w:hAnsi="宋体" w:cs="宋体" w:hint="eastAsia"/>
          <w:color w:val="000000" w:themeColor="text1"/>
        </w:rPr>
        <w:t>应评价</w:t>
      </w:r>
      <w:proofErr w:type="gramEnd"/>
      <w:r>
        <w:rPr>
          <w:rFonts w:ascii="宋体" w:hAnsi="宋体" w:cs="宋体" w:hint="eastAsia"/>
          <w:color w:val="000000" w:themeColor="text1"/>
        </w:rPr>
        <w:t>生产用原材料供应者的资质，并应对其质量管理体系（</w:t>
      </w:r>
      <w:r>
        <w:rPr>
          <w:rFonts w:ascii="宋体" w:hAnsi="宋体" w:cs="宋体" w:hint="eastAsia"/>
          <w:color w:val="000000" w:themeColor="text1"/>
        </w:rPr>
        <w:t>QMS</w:t>
      </w:r>
      <w:r>
        <w:rPr>
          <w:rFonts w:ascii="宋体" w:hAnsi="宋体" w:cs="宋体" w:hint="eastAsia"/>
          <w:color w:val="000000" w:themeColor="text1"/>
        </w:rPr>
        <w:t>）和检测程序进行审计。中国人民共和国药典</w:t>
      </w:r>
      <w:r>
        <w:rPr>
          <w:rFonts w:ascii="宋体" w:hAnsi="宋体" w:cs="宋体" w:hint="eastAsia"/>
          <w:color w:val="000000" w:themeColor="text1"/>
        </w:rPr>
        <w:t>-</w:t>
      </w:r>
      <w:r>
        <w:rPr>
          <w:rFonts w:ascii="宋体" w:hAnsi="宋体" w:cs="宋体" w:hint="eastAsia"/>
          <w:color w:val="000000" w:themeColor="text1"/>
        </w:rPr>
        <w:t>生物制品生产用原材料及辅料的质量控制就开发基于风险的生产用</w:t>
      </w:r>
      <w:r>
        <w:rPr>
          <w:rFonts w:ascii="宋体" w:hAnsi="宋体" w:cs="宋体" w:hint="eastAsia"/>
          <w:color w:val="000000" w:themeColor="text1"/>
        </w:rPr>
        <w:t>原材料资质评价提供了建议。在可能的情况下，使用者宜采用具有可证明的质量标准的优质材料作为生产用原材料。</w:t>
      </w:r>
    </w:p>
    <w:p w:rsidR="002606BB" w:rsidRDefault="00841612">
      <w:pPr>
        <w:pStyle w:val="a1"/>
        <w:numPr>
          <w:ilvl w:val="1"/>
          <w:numId w:val="28"/>
        </w:numPr>
        <w:spacing w:before="156" w:after="156"/>
        <w:rPr>
          <w:color w:val="000000" w:themeColor="text1"/>
        </w:rPr>
      </w:pPr>
      <w:r>
        <w:rPr>
          <w:rFonts w:hint="eastAsia"/>
          <w:color w:val="000000" w:themeColor="text1"/>
        </w:rPr>
        <w:t>资质评价活动</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生产用原材料使用者选择合适的</w:t>
      </w:r>
      <w:proofErr w:type="gramStart"/>
      <w:r>
        <w:rPr>
          <w:rFonts w:ascii="宋体" w:hAnsi="宋体" w:cs="宋体" w:hint="eastAsia"/>
          <w:color w:val="000000" w:themeColor="text1"/>
        </w:rPr>
        <w:t>的</w:t>
      </w:r>
      <w:proofErr w:type="gramEnd"/>
      <w:r>
        <w:rPr>
          <w:rFonts w:ascii="宋体" w:hAnsi="宋体" w:cs="宋体" w:hint="eastAsia"/>
          <w:color w:val="000000" w:themeColor="text1"/>
        </w:rPr>
        <w:t>生产用原材料用于细胞治疗产品的生产工艺以及选择合适的生产用原材料供应者是重要的。</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生产用原材料使用者宜在细胞治疗产品研发的不同时期对生产用原材料进行分阶段的资质评价，从而在降低风险措施和货物成本控制之间达到平衡。</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生产用原材料供应者应为每个生产用原材料制定产品标准，以保证生产工艺的质量和一致性。</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如果生产用原材料使用者对生产用原材料的预期用法超出了其产品标准的规</w:t>
      </w:r>
      <w:r>
        <w:rPr>
          <w:rFonts w:ascii="宋体" w:hAnsi="宋体" w:cs="宋体" w:hint="eastAsia"/>
          <w:color w:val="000000" w:themeColor="text1"/>
        </w:rPr>
        <w:t>定范围，生产用原材料使用者应根据预期用法对生产用原材料的保存、产品标准和保存期限进行评价。</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如果生产用原材料或细胞治疗产品的工艺发生变更，生产用原材料供应者或使用者可根据风险评估程序要求重新评估新的工艺，并应和另一方进行沟通。</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生产用原材料使用者的质量控制程序规范（如</w:t>
      </w:r>
      <w:r>
        <w:rPr>
          <w:rFonts w:ascii="宋体" w:hAnsi="宋体" w:cs="宋体" w:hint="eastAsia"/>
          <w:color w:val="000000" w:themeColor="text1"/>
        </w:rPr>
        <w:t>GMP</w:t>
      </w:r>
      <w:r>
        <w:rPr>
          <w:rFonts w:ascii="宋体" w:hAnsi="宋体" w:cs="宋体" w:hint="eastAsia"/>
          <w:color w:val="000000" w:themeColor="text1"/>
        </w:rPr>
        <w:t>）应建立和实施合格评定计划来验证每种生产用原材料在其预期应用中的持续质量性能。典型的质量控制战略宜包括：</w:t>
      </w:r>
    </w:p>
    <w:p w:rsidR="002606BB" w:rsidRDefault="00841612">
      <w:pPr>
        <w:pStyle w:val="af9"/>
        <w:numPr>
          <w:ilvl w:val="0"/>
          <w:numId w:val="29"/>
        </w:numPr>
        <w:ind w:left="840" w:hanging="420"/>
        <w:rPr>
          <w:color w:val="000000" w:themeColor="text1"/>
        </w:rPr>
      </w:pPr>
      <w:r>
        <w:rPr>
          <w:rFonts w:hint="eastAsia"/>
          <w:color w:val="000000" w:themeColor="text1"/>
        </w:rPr>
        <w:t>通过接收、隔离、检查和（使用前）放行对收到的生产用原材料进行管理；</w:t>
      </w:r>
      <w:r>
        <w:rPr>
          <w:rFonts w:hint="eastAsia"/>
          <w:color w:val="000000" w:themeColor="text1"/>
        </w:rPr>
        <w:t xml:space="preserve"> </w:t>
      </w:r>
    </w:p>
    <w:p w:rsidR="002606BB" w:rsidRDefault="00841612">
      <w:pPr>
        <w:pStyle w:val="af9"/>
        <w:numPr>
          <w:ilvl w:val="0"/>
          <w:numId w:val="29"/>
        </w:numPr>
        <w:ind w:left="840" w:hanging="420"/>
        <w:rPr>
          <w:color w:val="000000" w:themeColor="text1"/>
        </w:rPr>
      </w:pPr>
      <w:r>
        <w:rPr>
          <w:rFonts w:hint="eastAsia"/>
          <w:color w:val="000000" w:themeColor="text1"/>
        </w:rPr>
        <w:t>生产用原材料供应者和使用者之间签订的质量和供应协议；</w:t>
      </w:r>
      <w:r>
        <w:rPr>
          <w:rFonts w:hint="eastAsia"/>
          <w:color w:val="000000" w:themeColor="text1"/>
        </w:rPr>
        <w:t xml:space="preserve"> </w:t>
      </w:r>
    </w:p>
    <w:p w:rsidR="002606BB" w:rsidRDefault="00841612">
      <w:pPr>
        <w:pStyle w:val="af9"/>
        <w:numPr>
          <w:ilvl w:val="0"/>
          <w:numId w:val="29"/>
        </w:numPr>
        <w:ind w:left="840" w:hanging="420"/>
        <w:rPr>
          <w:color w:val="000000" w:themeColor="text1"/>
        </w:rPr>
      </w:pPr>
      <w:r>
        <w:rPr>
          <w:rFonts w:hint="eastAsia"/>
          <w:color w:val="000000" w:themeColor="text1"/>
        </w:rPr>
        <w:t>持续评估批次间的可变性，并分析对最终产品的影响；</w:t>
      </w:r>
      <w:r>
        <w:rPr>
          <w:rFonts w:hint="eastAsia"/>
          <w:color w:val="000000" w:themeColor="text1"/>
        </w:rPr>
        <w:t xml:space="preserve"> </w:t>
      </w:r>
    </w:p>
    <w:p w:rsidR="002606BB" w:rsidRDefault="00841612">
      <w:pPr>
        <w:pStyle w:val="af9"/>
        <w:numPr>
          <w:ilvl w:val="0"/>
          <w:numId w:val="29"/>
        </w:numPr>
        <w:ind w:left="840" w:hanging="420"/>
        <w:rPr>
          <w:color w:val="000000" w:themeColor="text1"/>
        </w:rPr>
      </w:pPr>
      <w:r>
        <w:rPr>
          <w:rFonts w:hint="eastAsia"/>
          <w:color w:val="000000" w:themeColor="text1"/>
        </w:rPr>
        <w:t>供应商审计；</w:t>
      </w:r>
      <w:r>
        <w:rPr>
          <w:rFonts w:hint="eastAsia"/>
          <w:color w:val="000000" w:themeColor="text1"/>
        </w:rPr>
        <w:t xml:space="preserve"> </w:t>
      </w:r>
    </w:p>
    <w:p w:rsidR="002606BB" w:rsidRDefault="00841612">
      <w:pPr>
        <w:pStyle w:val="af9"/>
        <w:numPr>
          <w:ilvl w:val="0"/>
          <w:numId w:val="29"/>
        </w:numPr>
        <w:ind w:left="840" w:hanging="420"/>
        <w:rPr>
          <w:color w:val="000000" w:themeColor="text1"/>
        </w:rPr>
      </w:pPr>
      <w:r>
        <w:rPr>
          <w:rFonts w:hint="eastAsia"/>
          <w:color w:val="000000" w:themeColor="text1"/>
        </w:rPr>
        <w:t>分析证明（</w:t>
      </w:r>
      <w:r>
        <w:rPr>
          <w:rFonts w:hint="eastAsia"/>
          <w:color w:val="000000" w:themeColor="text1"/>
        </w:rPr>
        <w:t>CoA</w:t>
      </w:r>
      <w:r>
        <w:rPr>
          <w:rFonts w:hint="eastAsia"/>
          <w:color w:val="000000" w:themeColor="text1"/>
        </w:rPr>
        <w:t>）的验证检测；</w:t>
      </w:r>
      <w:r>
        <w:rPr>
          <w:rFonts w:hint="eastAsia"/>
          <w:color w:val="000000" w:themeColor="text1"/>
        </w:rPr>
        <w:t xml:space="preserve"> </w:t>
      </w:r>
    </w:p>
    <w:p w:rsidR="002606BB" w:rsidRDefault="00841612">
      <w:pPr>
        <w:pStyle w:val="af9"/>
        <w:numPr>
          <w:ilvl w:val="0"/>
          <w:numId w:val="29"/>
        </w:numPr>
        <w:ind w:left="840" w:hanging="420"/>
        <w:rPr>
          <w:color w:val="000000" w:themeColor="text1"/>
        </w:rPr>
      </w:pPr>
      <w:r>
        <w:rPr>
          <w:rFonts w:hint="eastAsia"/>
          <w:color w:val="000000" w:themeColor="text1"/>
        </w:rPr>
        <w:t>处理不合格材料的方针和规范；</w:t>
      </w:r>
      <w:r>
        <w:rPr>
          <w:rFonts w:hint="eastAsia"/>
          <w:color w:val="000000" w:themeColor="text1"/>
        </w:rPr>
        <w:t xml:space="preserve"> </w:t>
      </w:r>
    </w:p>
    <w:p w:rsidR="002606BB" w:rsidRDefault="00841612">
      <w:pPr>
        <w:pStyle w:val="af9"/>
        <w:numPr>
          <w:ilvl w:val="0"/>
          <w:numId w:val="29"/>
        </w:numPr>
        <w:ind w:left="840" w:hanging="420"/>
        <w:rPr>
          <w:color w:val="000000" w:themeColor="text1"/>
        </w:rPr>
      </w:pPr>
      <w:r>
        <w:rPr>
          <w:rFonts w:hint="eastAsia"/>
          <w:color w:val="000000" w:themeColor="text1"/>
        </w:rPr>
        <w:t>稳定性计划（检测结果可由生产用原材料供应者提供）；</w:t>
      </w:r>
      <w:r>
        <w:rPr>
          <w:rFonts w:hint="eastAsia"/>
          <w:color w:val="000000" w:themeColor="text1"/>
        </w:rPr>
        <w:t xml:space="preserve"> </w:t>
      </w:r>
    </w:p>
    <w:p w:rsidR="002606BB" w:rsidRDefault="00841612">
      <w:pPr>
        <w:pStyle w:val="af9"/>
        <w:numPr>
          <w:ilvl w:val="0"/>
          <w:numId w:val="29"/>
        </w:numPr>
        <w:ind w:left="840" w:hanging="420"/>
        <w:rPr>
          <w:color w:val="000000" w:themeColor="text1"/>
        </w:rPr>
      </w:pPr>
      <w:r>
        <w:rPr>
          <w:rFonts w:hint="eastAsia"/>
          <w:color w:val="000000" w:themeColor="text1"/>
        </w:rPr>
        <w:t>抽样注意事项（如需要调查时的备份抽样计划）；</w:t>
      </w:r>
      <w:r>
        <w:rPr>
          <w:rFonts w:hint="eastAsia"/>
          <w:color w:val="000000" w:themeColor="text1"/>
        </w:rPr>
        <w:t xml:space="preserve"> </w:t>
      </w:r>
    </w:p>
    <w:p w:rsidR="002606BB" w:rsidRDefault="00841612">
      <w:pPr>
        <w:pStyle w:val="af9"/>
        <w:numPr>
          <w:ilvl w:val="0"/>
          <w:numId w:val="29"/>
        </w:numPr>
        <w:ind w:left="840" w:hanging="420"/>
        <w:rPr>
          <w:color w:val="000000" w:themeColor="text1"/>
        </w:rPr>
      </w:pPr>
      <w:r>
        <w:rPr>
          <w:rFonts w:hint="eastAsia"/>
          <w:color w:val="000000" w:themeColor="text1"/>
        </w:rPr>
        <w:t>留存样品的保存；</w:t>
      </w:r>
      <w:r>
        <w:rPr>
          <w:rFonts w:hint="eastAsia"/>
          <w:color w:val="000000" w:themeColor="text1"/>
        </w:rPr>
        <w:t xml:space="preserve"> </w:t>
      </w:r>
    </w:p>
    <w:p w:rsidR="002606BB" w:rsidRDefault="00841612">
      <w:pPr>
        <w:pStyle w:val="af9"/>
        <w:numPr>
          <w:ilvl w:val="0"/>
          <w:numId w:val="29"/>
        </w:numPr>
        <w:ind w:left="840" w:hanging="420"/>
        <w:rPr>
          <w:color w:val="000000" w:themeColor="text1"/>
        </w:rPr>
      </w:pPr>
      <w:r>
        <w:rPr>
          <w:rFonts w:hint="eastAsia"/>
          <w:color w:val="000000" w:themeColor="text1"/>
        </w:rPr>
        <w:t>原产地证明（如适用）；</w:t>
      </w:r>
      <w:r>
        <w:rPr>
          <w:rFonts w:hint="eastAsia"/>
          <w:color w:val="000000" w:themeColor="text1"/>
        </w:rPr>
        <w:t xml:space="preserve"> </w:t>
      </w:r>
    </w:p>
    <w:p w:rsidR="002606BB" w:rsidRDefault="00841612">
      <w:pPr>
        <w:pStyle w:val="af9"/>
        <w:numPr>
          <w:ilvl w:val="0"/>
          <w:numId w:val="29"/>
        </w:numPr>
        <w:ind w:left="840" w:hanging="420"/>
        <w:rPr>
          <w:color w:val="000000" w:themeColor="text1"/>
        </w:rPr>
      </w:pPr>
      <w:r>
        <w:rPr>
          <w:rFonts w:hint="eastAsia"/>
          <w:color w:val="000000" w:themeColor="text1"/>
        </w:rPr>
        <w:t>运输</w:t>
      </w:r>
      <w:r>
        <w:rPr>
          <w:rFonts w:hint="eastAsia"/>
          <w:color w:val="000000" w:themeColor="text1"/>
        </w:rPr>
        <w:t>和储存条件（</w:t>
      </w:r>
      <w:r>
        <w:rPr>
          <w:rFonts w:hint="eastAsia"/>
          <w:color w:val="000000" w:themeColor="text1"/>
        </w:rPr>
        <w:t>运输</w:t>
      </w:r>
      <w:r>
        <w:rPr>
          <w:rFonts w:hint="eastAsia"/>
          <w:color w:val="000000" w:themeColor="text1"/>
        </w:rPr>
        <w:t>应</w:t>
      </w:r>
      <w:r>
        <w:rPr>
          <w:rFonts w:hint="eastAsia"/>
          <w:color w:val="000000" w:themeColor="text1"/>
        </w:rPr>
        <w:t>经过验证）。</w:t>
      </w:r>
    </w:p>
    <w:p w:rsidR="002606BB" w:rsidRDefault="00841612">
      <w:pPr>
        <w:pStyle w:val="a2"/>
        <w:numPr>
          <w:ilvl w:val="1"/>
          <w:numId w:val="28"/>
        </w:numPr>
        <w:spacing w:before="120" w:after="120"/>
        <w:rPr>
          <w:rFonts w:eastAsia="黑体" w:hAnsi="Times New Roman"/>
          <w:color w:val="000000" w:themeColor="text1"/>
        </w:rPr>
      </w:pPr>
      <w:r>
        <w:rPr>
          <w:rFonts w:eastAsia="黑体" w:hAnsi="Times New Roman" w:hint="eastAsia"/>
          <w:color w:val="000000" w:themeColor="text1"/>
        </w:rPr>
        <w:t>性能分析</w:t>
      </w:r>
    </w:p>
    <w:p w:rsidR="002606BB" w:rsidRDefault="00841612">
      <w:pPr>
        <w:pStyle w:val="a2"/>
        <w:ind w:left="0"/>
        <w:rPr>
          <w:color w:val="000000" w:themeColor="text1"/>
        </w:rPr>
      </w:pPr>
      <w:r>
        <w:rPr>
          <w:rFonts w:hint="eastAsia"/>
          <w:color w:val="000000" w:themeColor="text1"/>
        </w:rPr>
        <w:t>性能分析的设计和验证应能证明生产用原材料对细胞的影响，或证明批次间的一致性，或两者兼备。分析项目可包括普通细胞功能检测（如细胞存活、增殖）或特异性细胞功能检测（如特异性基因表达）。</w:t>
      </w:r>
    </w:p>
    <w:p w:rsidR="002606BB" w:rsidRDefault="00841612">
      <w:pPr>
        <w:pStyle w:val="a2"/>
        <w:ind w:left="0"/>
        <w:rPr>
          <w:color w:val="000000" w:themeColor="text1"/>
        </w:rPr>
      </w:pPr>
      <w:r>
        <w:rPr>
          <w:rFonts w:hint="eastAsia"/>
          <w:color w:val="000000" w:themeColor="text1"/>
        </w:rPr>
        <w:t>性能分析项目的选择宜基于生产用原材料的预期用途。生产用原材料供应者宜向生产用原材料使用者详细说明分析项目，并由生产用原材料使用者根据对检测结果的评估决定是否能采用该生产用原材料。</w:t>
      </w:r>
    </w:p>
    <w:p w:rsidR="002606BB" w:rsidRDefault="00841612">
      <w:pPr>
        <w:pStyle w:val="a2"/>
        <w:numPr>
          <w:ilvl w:val="1"/>
          <w:numId w:val="28"/>
        </w:numPr>
        <w:spacing w:before="120" w:after="120"/>
        <w:rPr>
          <w:color w:val="000000" w:themeColor="text1"/>
        </w:rPr>
      </w:pPr>
      <w:r>
        <w:rPr>
          <w:rFonts w:hint="eastAsia"/>
          <w:color w:val="000000" w:themeColor="text1"/>
        </w:rPr>
        <w:t>性能分析结果</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生产用原材料使用者应记录生产用原材料在预期用途上的性能分析结果。</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生产用原材料供应者可将生产用原材料在一般用途上的性能分析结果提供给生产用原材料使用者。如适用，供应者对生产用原材料性能分析结果的提供</w:t>
      </w:r>
      <w:proofErr w:type="gramStart"/>
      <w:r>
        <w:rPr>
          <w:rFonts w:ascii="宋体" w:hAnsi="宋体" w:cs="宋体" w:hint="eastAsia"/>
          <w:color w:val="000000" w:themeColor="text1"/>
        </w:rPr>
        <w:t>形式宜能满足</w:t>
      </w:r>
      <w:proofErr w:type="gramEnd"/>
      <w:r>
        <w:rPr>
          <w:rFonts w:ascii="宋体" w:hAnsi="宋体" w:cs="宋体" w:hint="eastAsia"/>
          <w:color w:val="000000" w:themeColor="text1"/>
        </w:rPr>
        <w:t>使用者为预期用途选择合适的生产用原材料，或为生产用原材料选择合适的用途，或两者兼备。</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当生产用原材料使用者要求时，生产用原材料供应者可提供证明生产用原材料批次间一致性的性能分析结果，该结果可包括：</w:t>
      </w:r>
    </w:p>
    <w:p w:rsidR="002606BB" w:rsidRDefault="00841612">
      <w:pPr>
        <w:pStyle w:val="af9"/>
        <w:numPr>
          <w:ilvl w:val="0"/>
          <w:numId w:val="30"/>
        </w:numPr>
        <w:ind w:left="840" w:hanging="420"/>
        <w:rPr>
          <w:rFonts w:hAnsi="宋体" w:cs="宋体"/>
          <w:color w:val="000000" w:themeColor="text1"/>
        </w:rPr>
      </w:pPr>
      <w:r>
        <w:rPr>
          <w:rFonts w:hAnsi="宋体" w:cs="宋体" w:hint="eastAsia"/>
          <w:color w:val="000000" w:themeColor="text1"/>
        </w:rPr>
        <w:t>量化的结果；</w:t>
      </w:r>
    </w:p>
    <w:p w:rsidR="002606BB" w:rsidRDefault="00841612">
      <w:pPr>
        <w:pStyle w:val="af9"/>
        <w:numPr>
          <w:ilvl w:val="0"/>
          <w:numId w:val="30"/>
        </w:numPr>
        <w:ind w:left="840" w:hanging="420"/>
        <w:rPr>
          <w:rFonts w:hAnsi="宋体" w:cs="宋体"/>
          <w:color w:val="000000" w:themeColor="text1"/>
        </w:rPr>
      </w:pPr>
      <w:r>
        <w:rPr>
          <w:rFonts w:hAnsi="宋体" w:cs="宋体" w:hint="eastAsia"/>
          <w:color w:val="000000" w:themeColor="text1"/>
        </w:rPr>
        <w:t>在可接受范围内的批次分布；</w:t>
      </w:r>
      <w:r>
        <w:rPr>
          <w:rFonts w:hAnsi="宋体" w:cs="宋体" w:hint="eastAsia"/>
          <w:color w:val="000000" w:themeColor="text1"/>
        </w:rPr>
        <w:t xml:space="preserve"> </w:t>
      </w:r>
    </w:p>
    <w:p w:rsidR="002606BB" w:rsidRDefault="00841612">
      <w:pPr>
        <w:pStyle w:val="af9"/>
        <w:numPr>
          <w:ilvl w:val="0"/>
          <w:numId w:val="30"/>
        </w:numPr>
        <w:ind w:left="840" w:hanging="420"/>
        <w:rPr>
          <w:rFonts w:hAnsi="宋体" w:cs="宋体"/>
          <w:color w:val="000000" w:themeColor="text1"/>
        </w:rPr>
      </w:pPr>
      <w:r>
        <w:rPr>
          <w:rFonts w:hAnsi="宋体" w:cs="宋体" w:hint="eastAsia"/>
          <w:color w:val="000000" w:themeColor="text1"/>
        </w:rPr>
        <w:t>当使用生物学检测方法时检测结果的不确定性。</w:t>
      </w:r>
    </w:p>
    <w:p w:rsidR="002606BB" w:rsidRDefault="00841612">
      <w:pPr>
        <w:pStyle w:val="a2"/>
        <w:ind w:left="0"/>
        <w:rPr>
          <w:rFonts w:ascii="宋体" w:hAnsi="宋体" w:cs="宋体"/>
          <w:color w:val="000000" w:themeColor="text1"/>
        </w:rPr>
      </w:pPr>
      <w:r>
        <w:rPr>
          <w:rFonts w:ascii="宋体" w:hAnsi="宋体" w:cs="宋体" w:hint="eastAsia"/>
          <w:color w:val="000000" w:themeColor="text1"/>
        </w:rPr>
        <w:t>宜由生产用原材料供应者和使用者共同决定性能分析数据的数量是否足够。当需要平衡性能分析的信息数量，以及决定性能分析的特异性的</w:t>
      </w:r>
      <w:proofErr w:type="gramStart"/>
      <w:r>
        <w:rPr>
          <w:rFonts w:ascii="宋体" w:hAnsi="宋体" w:cs="宋体" w:hint="eastAsia"/>
          <w:color w:val="000000" w:themeColor="text1"/>
        </w:rPr>
        <w:t>时侯</w:t>
      </w:r>
      <w:proofErr w:type="gramEnd"/>
      <w:r>
        <w:rPr>
          <w:rFonts w:ascii="宋体" w:hAnsi="宋体" w:cs="宋体" w:hint="eastAsia"/>
          <w:color w:val="000000" w:themeColor="text1"/>
        </w:rPr>
        <w:t>，宜重点关注所提供的信息数量是否能充分证明生产用原材料在其预期用途上的批次间一致性。</w:t>
      </w:r>
      <w:bookmarkStart w:id="98" w:name="_Toc6987"/>
      <w:bookmarkStart w:id="99" w:name="_Toc9774"/>
      <w:bookmarkStart w:id="100" w:name="_Toc1902"/>
      <w:bookmarkStart w:id="101" w:name="_Toc10849"/>
      <w:bookmarkStart w:id="102" w:name="_Toc11750"/>
      <w:bookmarkStart w:id="103" w:name="_Toc32065"/>
      <w:bookmarkStart w:id="104" w:name="_Toc8716"/>
      <w:bookmarkStart w:id="105" w:name="_Toc15517"/>
      <w:bookmarkStart w:id="106" w:name="_Toc3951"/>
    </w:p>
    <w:p w:rsidR="002606BB" w:rsidRDefault="00841612">
      <w:pPr>
        <w:pStyle w:val="a0"/>
        <w:numPr>
          <w:ilvl w:val="0"/>
          <w:numId w:val="28"/>
        </w:numPr>
        <w:spacing w:before="312" w:after="312"/>
        <w:rPr>
          <w:color w:val="000000" w:themeColor="text1"/>
        </w:rPr>
      </w:pPr>
      <w:bookmarkStart w:id="107" w:name="_Toc23741"/>
      <w:r>
        <w:rPr>
          <w:rFonts w:hint="eastAsia"/>
          <w:color w:val="000000" w:themeColor="text1"/>
        </w:rPr>
        <w:t>特殊类别及其质量要求</w:t>
      </w:r>
      <w:bookmarkEnd w:id="107"/>
    </w:p>
    <w:p w:rsidR="002606BB" w:rsidRDefault="00841612">
      <w:pPr>
        <w:pStyle w:val="a1"/>
        <w:numPr>
          <w:ilvl w:val="1"/>
          <w:numId w:val="28"/>
        </w:numPr>
        <w:spacing w:before="156" w:after="156"/>
        <w:rPr>
          <w:color w:val="000000" w:themeColor="text1"/>
        </w:rPr>
      </w:pPr>
      <w:r>
        <w:rPr>
          <w:rFonts w:hint="eastAsia"/>
          <w:color w:val="000000" w:themeColor="text1"/>
        </w:rPr>
        <w:t>动物源性成分的质量要求</w:t>
      </w:r>
      <w:bookmarkEnd w:id="98"/>
      <w:bookmarkEnd w:id="99"/>
      <w:bookmarkEnd w:id="100"/>
      <w:bookmarkEnd w:id="101"/>
      <w:bookmarkEnd w:id="102"/>
      <w:bookmarkEnd w:id="103"/>
      <w:bookmarkEnd w:id="104"/>
    </w:p>
    <w:p w:rsidR="002606BB" w:rsidRDefault="00841612">
      <w:pPr>
        <w:pStyle w:val="a2"/>
        <w:ind w:left="0"/>
        <w:rPr>
          <w:color w:val="000000" w:themeColor="text1"/>
        </w:rPr>
      </w:pPr>
      <w:proofErr w:type="gramStart"/>
      <w:r>
        <w:rPr>
          <w:rFonts w:hint="eastAsia"/>
          <w:color w:val="000000" w:themeColor="text1"/>
        </w:rPr>
        <w:t>非动物</w:t>
      </w:r>
      <w:proofErr w:type="gramEnd"/>
      <w:r>
        <w:rPr>
          <w:rFonts w:hint="eastAsia"/>
          <w:color w:val="000000" w:themeColor="text1"/>
        </w:rPr>
        <w:t>源性成分的定义包括：</w:t>
      </w:r>
    </w:p>
    <w:p w:rsidR="002606BB" w:rsidRDefault="00841612">
      <w:pPr>
        <w:pStyle w:val="af9"/>
        <w:numPr>
          <w:ilvl w:val="0"/>
          <w:numId w:val="31"/>
        </w:numPr>
        <w:rPr>
          <w:color w:val="000000" w:themeColor="text1"/>
        </w:rPr>
      </w:pPr>
      <w:r>
        <w:rPr>
          <w:rFonts w:hint="eastAsia"/>
          <w:color w:val="000000" w:themeColor="text1"/>
        </w:rPr>
        <w:t>产品成分：</w:t>
      </w:r>
      <w:r>
        <w:rPr>
          <w:rFonts w:hint="eastAsia"/>
          <w:color w:val="000000" w:themeColor="text1"/>
        </w:rPr>
        <w:t>在生产用原材料的</w:t>
      </w:r>
      <w:r>
        <w:rPr>
          <w:rFonts w:hint="eastAsia"/>
          <w:color w:val="000000" w:themeColor="text1"/>
        </w:rPr>
        <w:t>成分中</w:t>
      </w:r>
      <w:r>
        <w:rPr>
          <w:rFonts w:hint="eastAsia"/>
          <w:color w:val="000000" w:themeColor="text1"/>
        </w:rPr>
        <w:t>不包含任何动物</w:t>
      </w:r>
      <w:r>
        <w:rPr>
          <w:rFonts w:hint="eastAsia"/>
          <w:color w:val="000000" w:themeColor="text1"/>
        </w:rPr>
        <w:t>来</w:t>
      </w:r>
      <w:proofErr w:type="gramStart"/>
      <w:r>
        <w:rPr>
          <w:rFonts w:hint="eastAsia"/>
          <w:color w:val="000000" w:themeColor="text1"/>
        </w:rPr>
        <w:t>源材料</w:t>
      </w:r>
      <w:proofErr w:type="gramEnd"/>
      <w:r>
        <w:rPr>
          <w:rFonts w:hint="eastAsia"/>
          <w:color w:val="000000" w:themeColor="text1"/>
        </w:rPr>
        <w:t>，特别是</w:t>
      </w:r>
      <w:r>
        <w:rPr>
          <w:rFonts w:hint="eastAsia"/>
          <w:color w:val="000000" w:themeColor="text1"/>
        </w:rPr>
        <w:t>人类来</w:t>
      </w:r>
      <w:proofErr w:type="gramStart"/>
      <w:r>
        <w:rPr>
          <w:rFonts w:hint="eastAsia"/>
          <w:color w:val="000000" w:themeColor="text1"/>
        </w:rPr>
        <w:t>源材料</w:t>
      </w:r>
      <w:proofErr w:type="gramEnd"/>
      <w:r>
        <w:rPr>
          <w:rFonts w:hint="eastAsia"/>
          <w:color w:val="000000" w:themeColor="text1"/>
        </w:rPr>
        <w:t>。</w:t>
      </w:r>
    </w:p>
    <w:p w:rsidR="002606BB" w:rsidRDefault="00841612">
      <w:pPr>
        <w:pStyle w:val="af"/>
        <w:rPr>
          <w:color w:val="000000" w:themeColor="text1"/>
        </w:rPr>
      </w:pPr>
      <w:r>
        <w:rPr>
          <w:rFonts w:hint="eastAsia"/>
          <w:color w:val="000000" w:themeColor="text1"/>
        </w:rPr>
        <w:t>主要成分</w:t>
      </w:r>
      <w:proofErr w:type="gramStart"/>
      <w:r>
        <w:rPr>
          <w:rFonts w:hint="eastAsia"/>
          <w:color w:val="000000" w:themeColor="text1"/>
        </w:rPr>
        <w:t>不</w:t>
      </w:r>
      <w:proofErr w:type="gramEnd"/>
      <w:r>
        <w:rPr>
          <w:rFonts w:hint="eastAsia"/>
          <w:color w:val="000000" w:themeColor="text1"/>
        </w:rPr>
        <w:t>含有动物来源特别是人类来源成分，但使用了重组蛋白的细胞培养基。</w:t>
      </w:r>
    </w:p>
    <w:p w:rsidR="002606BB" w:rsidRDefault="00841612">
      <w:pPr>
        <w:pStyle w:val="af9"/>
        <w:numPr>
          <w:ilvl w:val="0"/>
          <w:numId w:val="31"/>
        </w:numPr>
        <w:rPr>
          <w:color w:val="000000" w:themeColor="text1"/>
        </w:rPr>
      </w:pPr>
      <w:r>
        <w:rPr>
          <w:rFonts w:hint="eastAsia"/>
          <w:color w:val="000000" w:themeColor="text1"/>
        </w:rPr>
        <w:t>生产历史：</w:t>
      </w:r>
      <w:r>
        <w:rPr>
          <w:rFonts w:hint="eastAsia"/>
          <w:color w:val="000000" w:themeColor="text1"/>
        </w:rPr>
        <w:t>在生产用原材料</w:t>
      </w:r>
      <w:r>
        <w:rPr>
          <w:rFonts w:hint="eastAsia"/>
          <w:color w:val="000000" w:themeColor="text1"/>
        </w:rPr>
        <w:t>的生产</w:t>
      </w:r>
      <w:r>
        <w:rPr>
          <w:rFonts w:hint="eastAsia"/>
          <w:color w:val="000000" w:themeColor="text1"/>
        </w:rPr>
        <w:t>过程中未</w:t>
      </w:r>
      <w:r>
        <w:rPr>
          <w:rFonts w:hint="eastAsia"/>
          <w:color w:val="000000" w:themeColor="text1"/>
        </w:rPr>
        <w:t>使用任何动物</w:t>
      </w:r>
      <w:r>
        <w:rPr>
          <w:rFonts w:hint="eastAsia"/>
          <w:color w:val="000000" w:themeColor="text1"/>
        </w:rPr>
        <w:t>来源特别是</w:t>
      </w:r>
      <w:r>
        <w:rPr>
          <w:rFonts w:hint="eastAsia"/>
          <w:color w:val="000000" w:themeColor="text1"/>
        </w:rPr>
        <w:t>人类来源的材料。</w:t>
      </w:r>
    </w:p>
    <w:p w:rsidR="002606BB" w:rsidRDefault="00841612">
      <w:pPr>
        <w:pStyle w:val="a2"/>
        <w:ind w:left="0"/>
        <w:rPr>
          <w:color w:val="000000" w:themeColor="text1"/>
        </w:rPr>
      </w:pPr>
      <w:r>
        <w:rPr>
          <w:rFonts w:hint="eastAsia"/>
          <w:color w:val="000000" w:themeColor="text1"/>
        </w:rPr>
        <w:t>含有生物来源成分的材料，尤其是含有动物源性成分，可能会带来特殊的风险，包括外来剂的传播或生物杂质的引入。建议使用基于预期用途的风险分析和评估的方法来选择和鉴定含有动物源性成分的生产用原材料，但这并不代表禁止将生物衍生成分用于生产用原材料以及下游细胞治疗产品的</w:t>
      </w:r>
      <w:proofErr w:type="gramStart"/>
      <w:r>
        <w:rPr>
          <w:rFonts w:hint="eastAsia"/>
          <w:color w:val="000000" w:themeColor="text1"/>
        </w:rPr>
        <w:t>的</w:t>
      </w:r>
      <w:proofErr w:type="gramEnd"/>
      <w:r>
        <w:rPr>
          <w:rFonts w:hint="eastAsia"/>
          <w:color w:val="000000" w:themeColor="text1"/>
        </w:rPr>
        <w:t>生产。</w:t>
      </w:r>
    </w:p>
    <w:p w:rsidR="002606BB" w:rsidRDefault="00841612">
      <w:pPr>
        <w:pStyle w:val="a2"/>
        <w:tabs>
          <w:tab w:val="clear" w:pos="993"/>
        </w:tabs>
        <w:ind w:left="0"/>
        <w:rPr>
          <w:color w:val="000000" w:themeColor="text1"/>
        </w:rPr>
      </w:pPr>
      <w:r>
        <w:rPr>
          <w:rFonts w:hint="eastAsia"/>
          <w:color w:val="000000" w:themeColor="text1"/>
        </w:rPr>
        <w:t>使用动物源性成分需要评估的关键问题包括：</w:t>
      </w:r>
    </w:p>
    <w:p w:rsidR="002606BB" w:rsidRDefault="00841612">
      <w:pPr>
        <w:pStyle w:val="af9"/>
        <w:numPr>
          <w:ilvl w:val="0"/>
          <w:numId w:val="32"/>
        </w:numPr>
        <w:rPr>
          <w:color w:val="000000" w:themeColor="text1"/>
        </w:rPr>
      </w:pPr>
      <w:r>
        <w:rPr>
          <w:rFonts w:hint="eastAsia"/>
          <w:color w:val="000000" w:themeColor="text1"/>
        </w:rPr>
        <w:t>该动物源性成分是否经过最终灭菌？</w:t>
      </w:r>
    </w:p>
    <w:p w:rsidR="002606BB" w:rsidRDefault="00841612">
      <w:pPr>
        <w:pStyle w:val="af9"/>
        <w:numPr>
          <w:ilvl w:val="0"/>
          <w:numId w:val="32"/>
        </w:numPr>
        <w:rPr>
          <w:color w:val="000000" w:themeColor="text1"/>
        </w:rPr>
      </w:pPr>
      <w:r>
        <w:rPr>
          <w:rFonts w:hint="eastAsia"/>
          <w:color w:val="000000" w:themeColor="text1"/>
        </w:rPr>
        <w:t>该动物源性成分的来源是什么？</w:t>
      </w:r>
    </w:p>
    <w:p w:rsidR="002606BB" w:rsidRDefault="00841612">
      <w:pPr>
        <w:pStyle w:val="af9"/>
        <w:numPr>
          <w:ilvl w:val="0"/>
          <w:numId w:val="32"/>
        </w:numPr>
        <w:rPr>
          <w:color w:val="000000" w:themeColor="text1"/>
        </w:rPr>
      </w:pPr>
      <w:r>
        <w:rPr>
          <w:rFonts w:hint="eastAsia"/>
          <w:color w:val="000000" w:themeColor="text1"/>
        </w:rPr>
        <w:t>该动物源性成分的来源是否可追溯？</w:t>
      </w:r>
    </w:p>
    <w:p w:rsidR="002606BB" w:rsidRDefault="00841612">
      <w:pPr>
        <w:pStyle w:val="af9"/>
        <w:numPr>
          <w:ilvl w:val="0"/>
          <w:numId w:val="32"/>
        </w:numPr>
        <w:rPr>
          <w:color w:val="000000" w:themeColor="text1"/>
        </w:rPr>
      </w:pPr>
      <w:r>
        <w:rPr>
          <w:rFonts w:hint="eastAsia"/>
          <w:color w:val="000000" w:themeColor="text1"/>
        </w:rPr>
        <w:t>除了</w:t>
      </w:r>
      <w:r>
        <w:rPr>
          <w:rFonts w:hint="eastAsia"/>
          <w:color w:val="000000" w:themeColor="text1"/>
        </w:rPr>
        <w:t>开展</w:t>
      </w:r>
      <w:r>
        <w:rPr>
          <w:rFonts w:hint="eastAsia"/>
          <w:color w:val="000000" w:themeColor="text1"/>
        </w:rPr>
        <w:t>生产用原材料</w:t>
      </w:r>
      <w:r>
        <w:rPr>
          <w:rFonts w:hint="eastAsia"/>
          <w:color w:val="000000" w:themeColor="text1"/>
        </w:rPr>
        <w:t>的供应商审计</w:t>
      </w:r>
      <w:r>
        <w:rPr>
          <w:rFonts w:hint="eastAsia"/>
          <w:color w:val="000000" w:themeColor="text1"/>
        </w:rPr>
        <w:t>外，</w:t>
      </w:r>
      <w:r>
        <w:rPr>
          <w:rFonts w:hint="eastAsia"/>
          <w:color w:val="000000" w:themeColor="text1"/>
        </w:rPr>
        <w:t>对</w:t>
      </w:r>
      <w:r>
        <w:rPr>
          <w:rFonts w:hint="eastAsia"/>
          <w:color w:val="000000" w:themeColor="text1"/>
        </w:rPr>
        <w:t>该动物源性成分</w:t>
      </w:r>
      <w:r>
        <w:rPr>
          <w:rFonts w:hint="eastAsia"/>
          <w:color w:val="000000" w:themeColor="text1"/>
        </w:rPr>
        <w:t>是否采取了其他</w:t>
      </w:r>
      <w:r>
        <w:rPr>
          <w:rFonts w:hint="eastAsia"/>
          <w:color w:val="000000" w:themeColor="text1"/>
        </w:rPr>
        <w:t>降低风险</w:t>
      </w:r>
      <w:r>
        <w:rPr>
          <w:rFonts w:hint="eastAsia"/>
          <w:color w:val="000000" w:themeColor="text1"/>
        </w:rPr>
        <w:t>措施？</w:t>
      </w:r>
    </w:p>
    <w:p w:rsidR="002606BB" w:rsidRDefault="00841612">
      <w:pPr>
        <w:pStyle w:val="af"/>
        <w:rPr>
          <w:color w:val="000000" w:themeColor="text1"/>
        </w:rPr>
      </w:pPr>
      <w:r>
        <w:rPr>
          <w:rFonts w:hint="eastAsia"/>
          <w:color w:val="000000" w:themeColor="text1"/>
        </w:rPr>
        <w:t>采购来自“</w:t>
      </w:r>
      <w:r>
        <w:rPr>
          <w:rFonts w:hint="eastAsia"/>
          <w:color w:val="000000" w:themeColor="text1"/>
        </w:rPr>
        <w:t>TSE</w:t>
      </w:r>
      <w:r>
        <w:rPr>
          <w:rFonts w:hint="eastAsia"/>
          <w:color w:val="000000" w:themeColor="text1"/>
        </w:rPr>
        <w:t>低风险来源”的牛血清、病毒去除或灭活措施、选用</w:t>
      </w:r>
      <w:proofErr w:type="gramStart"/>
      <w:r>
        <w:rPr>
          <w:rFonts w:hint="eastAsia"/>
          <w:color w:val="000000" w:themeColor="text1"/>
        </w:rPr>
        <w:t>药物级</w:t>
      </w:r>
      <w:proofErr w:type="gramEnd"/>
      <w:r>
        <w:rPr>
          <w:rFonts w:hint="eastAsia"/>
          <w:color w:val="000000" w:themeColor="text1"/>
        </w:rPr>
        <w:t>材料、开展</w:t>
      </w:r>
      <w:r>
        <w:rPr>
          <w:rFonts w:hint="eastAsia"/>
          <w:color w:val="000000" w:themeColor="text1"/>
        </w:rPr>
        <w:t>生产用原材料</w:t>
      </w:r>
      <w:r>
        <w:rPr>
          <w:rFonts w:hint="eastAsia"/>
          <w:color w:val="000000" w:themeColor="text1"/>
        </w:rPr>
        <w:t>/</w:t>
      </w:r>
      <w:r>
        <w:rPr>
          <w:rFonts w:hint="eastAsia"/>
          <w:color w:val="000000" w:themeColor="text1"/>
        </w:rPr>
        <w:t>成分</w:t>
      </w:r>
      <w:r>
        <w:rPr>
          <w:rFonts w:hint="eastAsia"/>
          <w:color w:val="000000" w:themeColor="text1"/>
        </w:rPr>
        <w:t>/</w:t>
      </w:r>
      <w:r>
        <w:rPr>
          <w:rFonts w:hint="eastAsia"/>
          <w:color w:val="000000" w:themeColor="text1"/>
        </w:rPr>
        <w:t>子成分病毒去除或外源因子检测等</w:t>
      </w:r>
      <w:r>
        <w:rPr>
          <w:rFonts w:hint="eastAsia"/>
          <w:color w:val="000000" w:themeColor="text1"/>
        </w:rPr>
        <w:t>。</w:t>
      </w:r>
      <w:r>
        <w:rPr>
          <w:rFonts w:hint="eastAsia"/>
          <w:color w:val="000000" w:themeColor="text1"/>
        </w:rPr>
        <w:t xml:space="preserve"> </w:t>
      </w:r>
    </w:p>
    <w:p w:rsidR="002606BB" w:rsidRDefault="00841612">
      <w:pPr>
        <w:pStyle w:val="af9"/>
        <w:numPr>
          <w:ilvl w:val="0"/>
          <w:numId w:val="32"/>
        </w:numPr>
        <w:rPr>
          <w:color w:val="000000" w:themeColor="text1"/>
        </w:rPr>
      </w:pPr>
      <w:r>
        <w:rPr>
          <w:rFonts w:hint="eastAsia"/>
          <w:color w:val="000000" w:themeColor="text1"/>
        </w:rPr>
        <w:t>使用该动物源性成分是否</w:t>
      </w:r>
      <w:r>
        <w:rPr>
          <w:rFonts w:hint="eastAsia"/>
          <w:color w:val="000000" w:themeColor="text1"/>
        </w:rPr>
        <w:t>仍</w:t>
      </w:r>
      <w:r>
        <w:rPr>
          <w:rFonts w:hint="eastAsia"/>
          <w:color w:val="000000" w:themeColor="text1"/>
        </w:rPr>
        <w:t>存在潜在风险因素？</w:t>
      </w:r>
    </w:p>
    <w:p w:rsidR="002606BB" w:rsidRDefault="00841612">
      <w:pPr>
        <w:pStyle w:val="af"/>
        <w:rPr>
          <w:color w:val="000000" w:themeColor="text1"/>
        </w:rPr>
      </w:pPr>
      <w:r>
        <w:rPr>
          <w:rFonts w:hint="eastAsia"/>
          <w:color w:val="000000" w:themeColor="text1"/>
        </w:rPr>
        <w:t>未充分验证病毒去除或灭活步骤，未进行外源因子检测，未进行充分的害虫防治</w:t>
      </w:r>
      <w:r>
        <w:rPr>
          <w:rFonts w:hint="eastAsia"/>
          <w:color w:val="000000" w:themeColor="text1"/>
        </w:rPr>
        <w:t>（</w:t>
      </w:r>
      <w:r>
        <w:rPr>
          <w:rFonts w:hint="eastAsia"/>
          <w:color w:val="000000" w:themeColor="text1"/>
        </w:rPr>
        <w:t>no adequate pest control</w:t>
      </w:r>
      <w:r>
        <w:rPr>
          <w:rFonts w:hint="eastAsia"/>
          <w:color w:val="000000" w:themeColor="text1"/>
        </w:rPr>
        <w:t>）</w:t>
      </w:r>
      <w:r>
        <w:rPr>
          <w:rFonts w:hint="eastAsia"/>
          <w:color w:val="000000" w:themeColor="text1"/>
        </w:rPr>
        <w:t>等。</w:t>
      </w:r>
    </w:p>
    <w:p w:rsidR="002606BB" w:rsidRDefault="00841612">
      <w:pPr>
        <w:pStyle w:val="af9"/>
        <w:numPr>
          <w:ilvl w:val="0"/>
          <w:numId w:val="32"/>
        </w:numPr>
        <w:rPr>
          <w:color w:val="000000" w:themeColor="text1"/>
        </w:rPr>
      </w:pPr>
      <w:r>
        <w:rPr>
          <w:rFonts w:hint="eastAsia"/>
          <w:color w:val="000000" w:themeColor="text1"/>
        </w:rPr>
        <w:t>在生产过程中，是否存在</w:t>
      </w:r>
      <w:r>
        <w:rPr>
          <w:rFonts w:hint="eastAsia"/>
          <w:color w:val="000000" w:themeColor="text1"/>
        </w:rPr>
        <w:t>通过接触</w:t>
      </w:r>
      <w:r>
        <w:rPr>
          <w:rFonts w:hint="eastAsia"/>
          <w:color w:val="000000" w:themeColor="text1"/>
        </w:rPr>
        <w:t>用于减少薄膜之间以及薄膜与设备之间摩擦的添加剂）接触导致污染</w:t>
      </w:r>
      <w:r>
        <w:rPr>
          <w:rFonts w:hint="eastAsia"/>
          <w:color w:val="000000" w:themeColor="text1"/>
        </w:rPr>
        <w:t>的</w:t>
      </w:r>
      <w:r>
        <w:rPr>
          <w:rFonts w:hint="eastAsia"/>
          <w:color w:val="000000" w:themeColor="text1"/>
        </w:rPr>
        <w:t>风险</w:t>
      </w:r>
      <w:r>
        <w:rPr>
          <w:rFonts w:hint="eastAsia"/>
          <w:color w:val="000000" w:themeColor="text1"/>
        </w:rPr>
        <w:t>？</w:t>
      </w:r>
    </w:p>
    <w:p w:rsidR="002606BB" w:rsidRDefault="00841612">
      <w:pPr>
        <w:pStyle w:val="a2"/>
        <w:tabs>
          <w:tab w:val="clear" w:pos="993"/>
        </w:tabs>
        <w:ind w:left="0"/>
        <w:rPr>
          <w:color w:val="000000" w:themeColor="text1"/>
        </w:rPr>
      </w:pPr>
      <w:r>
        <w:rPr>
          <w:rFonts w:hint="eastAsia"/>
          <w:color w:val="000000" w:themeColor="text1"/>
        </w:rPr>
        <w:t>对于含有动物源性成分</w:t>
      </w:r>
      <w:r>
        <w:rPr>
          <w:rFonts w:hint="eastAsia"/>
          <w:color w:val="000000" w:themeColor="text1"/>
        </w:rPr>
        <w:t>特别是</w:t>
      </w:r>
      <w:r>
        <w:rPr>
          <w:rFonts w:hint="eastAsia"/>
          <w:color w:val="000000" w:themeColor="text1"/>
        </w:rPr>
        <w:t>人源性成分的生产用原材料，</w:t>
      </w:r>
      <w:r>
        <w:rPr>
          <w:rFonts w:hint="eastAsia"/>
          <w:color w:val="000000" w:themeColor="text1"/>
        </w:rPr>
        <w:t>应</w:t>
      </w:r>
      <w:r>
        <w:rPr>
          <w:rFonts w:hint="eastAsia"/>
          <w:color w:val="000000" w:themeColor="text1"/>
        </w:rPr>
        <w:t>在生产用原材料的产品说明中对上述成分进行</w:t>
      </w:r>
      <w:r>
        <w:rPr>
          <w:rFonts w:hint="eastAsia"/>
          <w:color w:val="000000" w:themeColor="text1"/>
        </w:rPr>
        <w:t>鉴别</w:t>
      </w:r>
      <w:r>
        <w:rPr>
          <w:rFonts w:hint="eastAsia"/>
          <w:color w:val="000000" w:themeColor="text1"/>
        </w:rPr>
        <w:t>和记录。</w:t>
      </w:r>
      <w:r>
        <w:rPr>
          <w:rFonts w:hint="eastAsia"/>
          <w:color w:val="000000" w:themeColor="text1"/>
        </w:rPr>
        <w:t>当</w:t>
      </w:r>
      <w:r>
        <w:rPr>
          <w:rFonts w:hint="eastAsia"/>
          <w:color w:val="000000" w:themeColor="text1"/>
        </w:rPr>
        <w:t>某个</w:t>
      </w:r>
      <w:r>
        <w:rPr>
          <w:rFonts w:hint="eastAsia"/>
          <w:color w:val="000000" w:themeColor="text1"/>
        </w:rPr>
        <w:t>生产用原材料包含无法披露的</w:t>
      </w:r>
      <w:r>
        <w:rPr>
          <w:rFonts w:hint="eastAsia"/>
          <w:color w:val="000000" w:themeColor="text1"/>
        </w:rPr>
        <w:t>组分</w:t>
      </w:r>
      <w:r>
        <w:rPr>
          <w:rFonts w:hint="eastAsia"/>
          <w:color w:val="000000" w:themeColor="text1"/>
        </w:rPr>
        <w:t>时，</w:t>
      </w:r>
      <w:r>
        <w:rPr>
          <w:rFonts w:hint="eastAsia"/>
          <w:color w:val="000000" w:themeColor="text1"/>
        </w:rPr>
        <w:t>供应者</w:t>
      </w:r>
      <w:r>
        <w:rPr>
          <w:rFonts w:hint="eastAsia"/>
          <w:color w:val="000000" w:themeColor="text1"/>
        </w:rPr>
        <w:t>应</w:t>
      </w:r>
      <w:r>
        <w:rPr>
          <w:rFonts w:hint="eastAsia"/>
          <w:color w:val="000000" w:themeColor="text1"/>
        </w:rPr>
        <w:t>向使用者</w:t>
      </w:r>
      <w:r>
        <w:rPr>
          <w:rFonts w:hint="eastAsia"/>
          <w:color w:val="000000" w:themeColor="text1"/>
        </w:rPr>
        <w:t>提供</w:t>
      </w:r>
      <w:r>
        <w:rPr>
          <w:rFonts w:hint="eastAsia"/>
          <w:color w:val="000000" w:themeColor="text1"/>
        </w:rPr>
        <w:t>该</w:t>
      </w:r>
      <w:r>
        <w:rPr>
          <w:rFonts w:hint="eastAsia"/>
          <w:color w:val="000000" w:themeColor="text1"/>
        </w:rPr>
        <w:t>生产用原材料是否包含动物源性</w:t>
      </w:r>
      <w:r>
        <w:rPr>
          <w:rFonts w:hint="eastAsia"/>
          <w:color w:val="000000" w:themeColor="text1"/>
        </w:rPr>
        <w:t>特别是</w:t>
      </w:r>
      <w:r>
        <w:rPr>
          <w:rFonts w:hint="eastAsia"/>
          <w:color w:val="000000" w:themeColor="text1"/>
        </w:rPr>
        <w:t>人源性</w:t>
      </w:r>
      <w:r>
        <w:rPr>
          <w:rFonts w:hint="eastAsia"/>
          <w:color w:val="000000" w:themeColor="text1"/>
        </w:rPr>
        <w:t>成分</w:t>
      </w:r>
      <w:r>
        <w:rPr>
          <w:rFonts w:hint="eastAsia"/>
          <w:color w:val="000000" w:themeColor="text1"/>
        </w:rPr>
        <w:t>的声明。</w:t>
      </w:r>
    </w:p>
    <w:p w:rsidR="002606BB" w:rsidRDefault="00841612">
      <w:pPr>
        <w:pStyle w:val="a2"/>
        <w:tabs>
          <w:tab w:val="clear" w:pos="993"/>
        </w:tabs>
        <w:ind w:left="0"/>
        <w:rPr>
          <w:color w:val="000000" w:themeColor="text1"/>
        </w:rPr>
      </w:pPr>
      <w:r>
        <w:rPr>
          <w:rFonts w:hint="eastAsia"/>
          <w:color w:val="000000" w:themeColor="text1"/>
        </w:rPr>
        <w:t>动物</w:t>
      </w:r>
      <w:r>
        <w:rPr>
          <w:rFonts w:hint="eastAsia"/>
          <w:color w:val="000000" w:themeColor="text1"/>
        </w:rPr>
        <w:t>来源特别是</w:t>
      </w:r>
      <w:r>
        <w:rPr>
          <w:rFonts w:hint="eastAsia"/>
          <w:color w:val="000000" w:themeColor="text1"/>
        </w:rPr>
        <w:t>人类来源的生产用原材料</w:t>
      </w:r>
      <w:r>
        <w:rPr>
          <w:rFonts w:hint="eastAsia"/>
          <w:color w:val="000000" w:themeColor="text1"/>
        </w:rPr>
        <w:t>应</w:t>
      </w:r>
      <w:r>
        <w:rPr>
          <w:rFonts w:hint="eastAsia"/>
          <w:color w:val="000000" w:themeColor="text1"/>
        </w:rPr>
        <w:t>根据材料</w:t>
      </w:r>
      <w:r>
        <w:rPr>
          <w:rFonts w:hint="eastAsia"/>
          <w:color w:val="000000" w:themeColor="text1"/>
        </w:rPr>
        <w:t>的</w:t>
      </w:r>
      <w:r>
        <w:rPr>
          <w:rFonts w:hint="eastAsia"/>
          <w:color w:val="000000" w:themeColor="text1"/>
        </w:rPr>
        <w:t>来源对所有</w:t>
      </w:r>
      <w:r>
        <w:rPr>
          <w:rFonts w:hint="eastAsia"/>
          <w:color w:val="000000" w:themeColor="text1"/>
        </w:rPr>
        <w:t>成分</w:t>
      </w:r>
      <w:r>
        <w:rPr>
          <w:rFonts w:hint="eastAsia"/>
          <w:color w:val="000000" w:themeColor="text1"/>
        </w:rPr>
        <w:t>进行相关疾病筛查。</w:t>
      </w:r>
    </w:p>
    <w:p w:rsidR="002606BB" w:rsidRDefault="00841612">
      <w:pPr>
        <w:pStyle w:val="a2"/>
        <w:ind w:left="0"/>
        <w:rPr>
          <w:color w:val="000000" w:themeColor="text1"/>
        </w:rPr>
      </w:pPr>
      <w:r>
        <w:rPr>
          <w:rFonts w:hint="eastAsia"/>
          <w:color w:val="000000" w:themeColor="text1"/>
        </w:rPr>
        <w:t>含动物源性成分的生产用原材料的灭活病毒措施</w:t>
      </w:r>
    </w:p>
    <w:p w:rsidR="002606BB" w:rsidRDefault="00841612">
      <w:pPr>
        <w:pStyle w:val="a3"/>
        <w:ind w:left="0"/>
        <w:rPr>
          <w:color w:val="000000" w:themeColor="text1"/>
        </w:rPr>
      </w:pPr>
      <w:r>
        <w:rPr>
          <w:rFonts w:hint="eastAsia"/>
          <w:color w:val="000000" w:themeColor="text1"/>
        </w:rPr>
        <w:t>当生产用原材料的生产或配方中使用了动物源性生物材料，包括人源性生物材料时，应根据可能接触细胞治疗产品的风险进行评估后经过病毒去除和</w:t>
      </w:r>
      <w:r>
        <w:rPr>
          <w:rFonts w:hint="eastAsia"/>
          <w:color w:val="000000" w:themeColor="text1"/>
        </w:rPr>
        <w:t>/</w:t>
      </w:r>
      <w:r>
        <w:rPr>
          <w:rFonts w:hint="eastAsia"/>
          <w:color w:val="000000" w:themeColor="text1"/>
        </w:rPr>
        <w:t>或灭活，去除或灭活措施的对象可以是动物源性成分本身、或是生产用原材料、或者两者兼而有之。去除或灭活病毒的工艺需要经过验证，验证研究的文件宜向生产用原材料使用者提供。</w:t>
      </w:r>
    </w:p>
    <w:p w:rsidR="002606BB" w:rsidRDefault="00841612">
      <w:pPr>
        <w:pStyle w:val="a3"/>
        <w:ind w:left="0"/>
        <w:rPr>
          <w:color w:val="000000" w:themeColor="text1"/>
        </w:rPr>
      </w:pPr>
      <w:r>
        <w:rPr>
          <w:rFonts w:hint="eastAsia"/>
          <w:color w:val="000000" w:themeColor="text1"/>
        </w:rPr>
        <w:t>生产用原材料生产中使用的人类血液制品必须经过病毒清除和</w:t>
      </w:r>
      <w:r>
        <w:rPr>
          <w:rFonts w:hint="eastAsia"/>
          <w:color w:val="000000" w:themeColor="text1"/>
        </w:rPr>
        <w:t>/</w:t>
      </w:r>
      <w:r>
        <w:rPr>
          <w:rFonts w:hint="eastAsia"/>
          <w:color w:val="000000" w:themeColor="text1"/>
        </w:rPr>
        <w:t>或灭活</w:t>
      </w:r>
    </w:p>
    <w:p w:rsidR="002606BB" w:rsidRDefault="00841612">
      <w:pPr>
        <w:pStyle w:val="a3"/>
        <w:ind w:left="0"/>
        <w:rPr>
          <w:color w:val="000000" w:themeColor="text1"/>
        </w:rPr>
      </w:pPr>
      <w:r>
        <w:rPr>
          <w:rFonts w:hint="eastAsia"/>
          <w:color w:val="000000" w:themeColor="text1"/>
        </w:rPr>
        <w:t>当发现含动物源性成分的材料未经过病毒灭活处理时，生产用原材料供应者应采取检测外来因子或降低风险措施并记录证据。例如，当猪胰蛋白酶的第三</w:t>
      </w:r>
      <w:proofErr w:type="gramStart"/>
      <w:r>
        <w:rPr>
          <w:rFonts w:hint="eastAsia"/>
          <w:color w:val="000000" w:themeColor="text1"/>
        </w:rPr>
        <w:t>方供应</w:t>
      </w:r>
      <w:proofErr w:type="gramEnd"/>
      <w:r>
        <w:rPr>
          <w:rFonts w:hint="eastAsia"/>
          <w:color w:val="000000" w:themeColor="text1"/>
        </w:rPr>
        <w:t>者未开展病</w:t>
      </w:r>
      <w:r>
        <w:rPr>
          <w:rFonts w:hint="eastAsia"/>
          <w:color w:val="000000" w:themeColor="text1"/>
        </w:rPr>
        <w:t>毒去除工艺时，生产用原材料供应者应采取检测相关猪源病毒或降低病毒风险措施。</w:t>
      </w:r>
    </w:p>
    <w:p w:rsidR="002606BB" w:rsidRDefault="00841612">
      <w:pPr>
        <w:pStyle w:val="a2"/>
        <w:ind w:left="0"/>
        <w:rPr>
          <w:color w:val="000000" w:themeColor="text1"/>
        </w:rPr>
      </w:pPr>
      <w:r>
        <w:rPr>
          <w:rFonts w:hint="eastAsia"/>
          <w:color w:val="000000" w:themeColor="text1"/>
        </w:rPr>
        <w:t>应对动物源性或人源性生产用原材料的可追溯</w:t>
      </w:r>
      <w:proofErr w:type="gramStart"/>
      <w:r>
        <w:rPr>
          <w:rFonts w:hint="eastAsia"/>
          <w:color w:val="000000" w:themeColor="text1"/>
        </w:rPr>
        <w:t>性建立</w:t>
      </w:r>
      <w:proofErr w:type="gramEnd"/>
      <w:r>
        <w:rPr>
          <w:rFonts w:hint="eastAsia"/>
          <w:color w:val="000000" w:themeColor="text1"/>
        </w:rPr>
        <w:t>质量管理系统并严格执行和记录。建议使用数据库中可搜索和快速检索的信息，并以电子格式交换信息。</w:t>
      </w:r>
    </w:p>
    <w:p w:rsidR="002606BB" w:rsidRDefault="00841612">
      <w:pPr>
        <w:pStyle w:val="a2"/>
        <w:ind w:left="0"/>
        <w:rPr>
          <w:color w:val="000000" w:themeColor="text1"/>
        </w:rPr>
      </w:pPr>
      <w:r>
        <w:rPr>
          <w:rFonts w:hint="eastAsia"/>
          <w:color w:val="000000" w:themeColor="text1"/>
        </w:rPr>
        <w:t>生产用原材料的动物源性成分应提供原产地证明（</w:t>
      </w:r>
      <w:proofErr w:type="spellStart"/>
      <w:r>
        <w:rPr>
          <w:rFonts w:hint="eastAsia"/>
          <w:color w:val="000000" w:themeColor="text1"/>
        </w:rPr>
        <w:t>CoO</w:t>
      </w:r>
      <w:proofErr w:type="spellEnd"/>
      <w:r>
        <w:rPr>
          <w:rFonts w:hint="eastAsia"/>
          <w:color w:val="000000" w:themeColor="text1"/>
        </w:rPr>
        <w:t>），记录的信息应包括该成分的来源国，材料收集机构的注册信息，成分来源动物健康的相关声明，以及证明没有病原体的证据（例如病毒检测、无菌检测）。如适用，还应包括与来源地相关的特定病原体检测证据。</w:t>
      </w:r>
    </w:p>
    <w:p w:rsidR="002606BB" w:rsidRDefault="00841612">
      <w:pPr>
        <w:pStyle w:val="a2"/>
        <w:ind w:left="0"/>
        <w:rPr>
          <w:color w:val="000000" w:themeColor="text1"/>
        </w:rPr>
      </w:pPr>
      <w:r>
        <w:rPr>
          <w:rFonts w:hint="eastAsia"/>
          <w:color w:val="000000" w:themeColor="text1"/>
        </w:rPr>
        <w:t>原产地证明（</w:t>
      </w:r>
      <w:proofErr w:type="spellStart"/>
      <w:r>
        <w:rPr>
          <w:rFonts w:hint="eastAsia"/>
          <w:color w:val="000000" w:themeColor="text1"/>
        </w:rPr>
        <w:t>CoO</w:t>
      </w:r>
      <w:proofErr w:type="spellEnd"/>
      <w:r>
        <w:rPr>
          <w:rFonts w:hint="eastAsia"/>
          <w:color w:val="000000" w:themeColor="text1"/>
        </w:rPr>
        <w:t>）应由生产用原材料供应者保存，并在必</w:t>
      </w:r>
      <w:r>
        <w:rPr>
          <w:rFonts w:hint="eastAsia"/>
          <w:color w:val="000000" w:themeColor="text1"/>
        </w:rPr>
        <w:t>要时对外提供。</w:t>
      </w:r>
    </w:p>
    <w:p w:rsidR="002606BB" w:rsidRDefault="00841612">
      <w:pPr>
        <w:pStyle w:val="a2"/>
        <w:ind w:left="0"/>
        <w:rPr>
          <w:color w:val="000000" w:themeColor="text1"/>
        </w:rPr>
      </w:pPr>
      <w:r>
        <w:rPr>
          <w:rFonts w:hint="eastAsia"/>
          <w:color w:val="000000" w:themeColor="text1"/>
        </w:rPr>
        <w:t>生产用原材料的人源性成分应由有资质的机构采集，采集应符合伦理要求，应参考</w:t>
      </w:r>
      <w:r>
        <w:rPr>
          <w:rFonts w:hint="eastAsia"/>
          <w:color w:val="000000" w:themeColor="text1"/>
        </w:rPr>
        <w:t>GB/T 36988-2018</w:t>
      </w:r>
      <w:r>
        <w:rPr>
          <w:rFonts w:hint="eastAsia"/>
          <w:color w:val="000000" w:themeColor="text1"/>
        </w:rPr>
        <w:t>《组织工程用人源组织操作规范指南》建立评估和检测的标准。</w:t>
      </w:r>
      <w:bookmarkStart w:id="108" w:name="_Toc5364"/>
      <w:bookmarkStart w:id="109" w:name="_Toc11453"/>
      <w:bookmarkStart w:id="110" w:name="_Toc1592"/>
      <w:bookmarkStart w:id="111" w:name="_Toc18015"/>
      <w:bookmarkStart w:id="112" w:name="_Toc16577"/>
      <w:bookmarkStart w:id="113" w:name="_Toc15959"/>
      <w:bookmarkStart w:id="114" w:name="_Toc12013"/>
    </w:p>
    <w:p w:rsidR="002606BB" w:rsidRDefault="00841612">
      <w:pPr>
        <w:pStyle w:val="a1"/>
        <w:numPr>
          <w:ilvl w:val="1"/>
          <w:numId w:val="28"/>
        </w:numPr>
        <w:spacing w:before="156" w:after="156"/>
        <w:rPr>
          <w:color w:val="000000" w:themeColor="text1"/>
        </w:rPr>
      </w:pPr>
      <w:r>
        <w:rPr>
          <w:rFonts w:hint="eastAsia"/>
          <w:color w:val="000000" w:themeColor="text1"/>
        </w:rPr>
        <w:t>血清和血清替代物的质量要求</w:t>
      </w:r>
      <w:bookmarkEnd w:id="105"/>
      <w:bookmarkEnd w:id="106"/>
      <w:bookmarkEnd w:id="108"/>
      <w:bookmarkEnd w:id="109"/>
      <w:bookmarkEnd w:id="110"/>
      <w:bookmarkEnd w:id="111"/>
      <w:bookmarkEnd w:id="112"/>
      <w:bookmarkEnd w:id="113"/>
      <w:bookmarkEnd w:id="114"/>
    </w:p>
    <w:p w:rsidR="002606BB" w:rsidRDefault="00841612">
      <w:pPr>
        <w:pStyle w:val="a2"/>
        <w:ind w:left="0"/>
        <w:rPr>
          <w:color w:val="000000" w:themeColor="text1"/>
        </w:rPr>
      </w:pPr>
      <w:r>
        <w:rPr>
          <w:rFonts w:hint="eastAsia"/>
          <w:color w:val="000000" w:themeColor="text1"/>
        </w:rPr>
        <w:t>血清和血清替代物是指动物源血清或者其他与血清用途相似，含有无法准确定义的组分的类似物。根据其来源和类型可分为但不限于：</w:t>
      </w:r>
    </w:p>
    <w:p w:rsidR="002606BB" w:rsidRDefault="00841612">
      <w:pPr>
        <w:pStyle w:val="af9"/>
        <w:numPr>
          <w:ilvl w:val="0"/>
          <w:numId w:val="33"/>
        </w:numPr>
        <w:rPr>
          <w:color w:val="000000" w:themeColor="text1"/>
        </w:rPr>
      </w:pPr>
      <w:r>
        <w:rPr>
          <w:rFonts w:hint="eastAsia"/>
          <w:color w:val="000000" w:themeColor="text1"/>
        </w:rPr>
        <w:t>牛血清；</w:t>
      </w:r>
    </w:p>
    <w:p w:rsidR="002606BB" w:rsidRDefault="00841612">
      <w:pPr>
        <w:pStyle w:val="af9"/>
        <w:numPr>
          <w:ilvl w:val="0"/>
          <w:numId w:val="33"/>
        </w:numPr>
        <w:rPr>
          <w:color w:val="000000" w:themeColor="text1"/>
        </w:rPr>
      </w:pPr>
      <w:r>
        <w:rPr>
          <w:rFonts w:hint="eastAsia"/>
          <w:color w:val="000000" w:themeColor="text1"/>
        </w:rPr>
        <w:t>人血清、人血小板裂解液；</w:t>
      </w:r>
    </w:p>
    <w:p w:rsidR="002606BB" w:rsidRDefault="00841612">
      <w:pPr>
        <w:pStyle w:val="af9"/>
        <w:numPr>
          <w:ilvl w:val="0"/>
          <w:numId w:val="33"/>
        </w:numPr>
        <w:rPr>
          <w:color w:val="000000" w:themeColor="text1"/>
        </w:rPr>
      </w:pPr>
      <w:r>
        <w:rPr>
          <w:rFonts w:hint="eastAsia"/>
          <w:color w:val="000000" w:themeColor="text1"/>
        </w:rPr>
        <w:t>从组织、细胞培养液上清中分离得到的条件培养基（</w:t>
      </w:r>
      <w:r>
        <w:rPr>
          <w:rFonts w:hint="eastAsia"/>
          <w:color w:val="000000" w:themeColor="text1"/>
        </w:rPr>
        <w:t>conditioned media</w:t>
      </w:r>
      <w:r>
        <w:rPr>
          <w:rFonts w:hint="eastAsia"/>
          <w:color w:val="000000" w:themeColor="text1"/>
        </w:rPr>
        <w:t>）；</w:t>
      </w:r>
    </w:p>
    <w:p w:rsidR="002606BB" w:rsidRDefault="00841612">
      <w:pPr>
        <w:pStyle w:val="af9"/>
        <w:numPr>
          <w:ilvl w:val="0"/>
          <w:numId w:val="33"/>
        </w:numPr>
        <w:rPr>
          <w:color w:val="000000" w:themeColor="text1"/>
        </w:rPr>
      </w:pPr>
      <w:r>
        <w:rPr>
          <w:rFonts w:hint="eastAsia"/>
          <w:color w:val="000000" w:themeColor="text1"/>
        </w:rPr>
        <w:t>其他无法准确定义成分的生长添加物；</w:t>
      </w:r>
    </w:p>
    <w:p w:rsidR="002606BB" w:rsidRDefault="00841612">
      <w:pPr>
        <w:pStyle w:val="af9"/>
        <w:numPr>
          <w:ilvl w:val="0"/>
          <w:numId w:val="33"/>
        </w:numPr>
        <w:rPr>
          <w:color w:val="000000" w:themeColor="text1"/>
        </w:rPr>
      </w:pPr>
      <w:r>
        <w:rPr>
          <w:rFonts w:hint="eastAsia"/>
          <w:color w:val="000000" w:themeColor="text1"/>
        </w:rPr>
        <w:t>含有上述成分的合成培养基。</w:t>
      </w:r>
    </w:p>
    <w:p w:rsidR="002606BB" w:rsidRDefault="00841612">
      <w:pPr>
        <w:pStyle w:val="a2"/>
        <w:ind w:left="0"/>
        <w:rPr>
          <w:color w:val="000000" w:themeColor="text1"/>
        </w:rPr>
      </w:pPr>
      <w:r>
        <w:rPr>
          <w:rFonts w:hint="eastAsia"/>
          <w:color w:val="000000" w:themeColor="text1"/>
        </w:rPr>
        <w:t>不同批次的血清、组织或细胞裂解液应视为可能存在质量差异的生产用原材料。在用于细胞治疗产品生产前应检测其批次间一致性。</w:t>
      </w:r>
    </w:p>
    <w:p w:rsidR="002606BB" w:rsidRDefault="00841612">
      <w:pPr>
        <w:pStyle w:val="a2"/>
        <w:ind w:left="0"/>
        <w:rPr>
          <w:color w:val="000000" w:themeColor="text1"/>
        </w:rPr>
      </w:pPr>
      <w:r>
        <w:rPr>
          <w:rFonts w:hint="eastAsia"/>
          <w:color w:val="000000" w:themeColor="text1"/>
        </w:rPr>
        <w:t>当一批血清或血清替代物是来自同一种动物的多个供体的混合物时，应建立有效的病毒去除或失活工艺，否则应对供体数量的上限加以规定。</w:t>
      </w:r>
    </w:p>
    <w:p w:rsidR="002606BB" w:rsidRDefault="00841612">
      <w:pPr>
        <w:pStyle w:val="a2"/>
        <w:ind w:left="0"/>
        <w:rPr>
          <w:color w:val="000000" w:themeColor="text1"/>
        </w:rPr>
      </w:pPr>
      <w:r>
        <w:rPr>
          <w:rFonts w:hint="eastAsia"/>
          <w:color w:val="000000" w:themeColor="text1"/>
        </w:rPr>
        <w:t>条件培养基应对其来源细胞参照生物制品细胞库质量管理体系进行管理，生产过程中来源细胞的去除方法（如适用，来源细胞产生的内源性杂质的去除方法）应经过验证。</w:t>
      </w:r>
    </w:p>
    <w:p w:rsidR="002606BB" w:rsidRDefault="00841612">
      <w:pPr>
        <w:pStyle w:val="a2"/>
        <w:ind w:left="0"/>
        <w:rPr>
          <w:color w:val="000000" w:themeColor="text1"/>
        </w:rPr>
      </w:pPr>
      <w:r>
        <w:rPr>
          <w:rFonts w:hint="eastAsia"/>
          <w:color w:val="000000" w:themeColor="text1"/>
        </w:rPr>
        <w:t>可利用某一批次血清或血清替代物建立参比品，通过待测血清或血清替代物与</w:t>
      </w:r>
      <w:proofErr w:type="gramStart"/>
      <w:r>
        <w:rPr>
          <w:rFonts w:hint="eastAsia"/>
          <w:color w:val="000000" w:themeColor="text1"/>
        </w:rPr>
        <w:t>参比品的</w:t>
      </w:r>
      <w:proofErr w:type="gramEnd"/>
      <w:r>
        <w:rPr>
          <w:rFonts w:hint="eastAsia"/>
          <w:color w:val="000000" w:themeColor="text1"/>
        </w:rPr>
        <w:t>比较来评价待测品的质量。</w:t>
      </w:r>
    </w:p>
    <w:p w:rsidR="002606BB" w:rsidRDefault="00841612">
      <w:pPr>
        <w:pStyle w:val="a2"/>
        <w:ind w:left="0"/>
        <w:rPr>
          <w:color w:val="000000" w:themeColor="text1"/>
        </w:rPr>
      </w:pPr>
      <w:r>
        <w:rPr>
          <w:rFonts w:hint="eastAsia"/>
          <w:color w:val="000000" w:themeColor="text1"/>
        </w:rPr>
        <w:t>除生产用原材料</w:t>
      </w:r>
      <w:r>
        <w:rPr>
          <w:rFonts w:hint="eastAsia"/>
          <w:color w:val="000000" w:themeColor="text1"/>
        </w:rPr>
        <w:t>的基本质量要求以外，还应增加血清或血清替代物的质量检测项目，包括，但不限于：</w:t>
      </w:r>
    </w:p>
    <w:p w:rsidR="002606BB" w:rsidRDefault="00841612">
      <w:pPr>
        <w:pStyle w:val="af9"/>
        <w:numPr>
          <w:ilvl w:val="0"/>
          <w:numId w:val="34"/>
        </w:numPr>
        <w:rPr>
          <w:color w:val="000000" w:themeColor="text1"/>
        </w:rPr>
      </w:pPr>
      <w:r>
        <w:rPr>
          <w:rFonts w:hint="eastAsia"/>
          <w:color w:val="000000" w:themeColor="text1"/>
        </w:rPr>
        <w:t>总蛋白、白蛋白与血红蛋白含量；</w:t>
      </w:r>
    </w:p>
    <w:p w:rsidR="002606BB" w:rsidRDefault="00841612">
      <w:pPr>
        <w:pStyle w:val="af9"/>
        <w:numPr>
          <w:ilvl w:val="0"/>
          <w:numId w:val="34"/>
        </w:numPr>
        <w:rPr>
          <w:color w:val="000000" w:themeColor="text1"/>
        </w:rPr>
      </w:pPr>
      <w:r>
        <w:rPr>
          <w:rFonts w:hint="eastAsia"/>
          <w:color w:val="000000" w:themeColor="text1"/>
        </w:rPr>
        <w:t>种属特异的病毒污染：如牛血清产品可参考中国药典</w:t>
      </w:r>
      <w:r>
        <w:rPr>
          <w:rFonts w:hint="eastAsia"/>
          <w:color w:val="000000" w:themeColor="text1"/>
        </w:rPr>
        <w:t>2020</w:t>
      </w:r>
      <w:r>
        <w:rPr>
          <w:rFonts w:hint="eastAsia"/>
          <w:color w:val="000000" w:themeColor="text1"/>
        </w:rPr>
        <w:t>版通则</w:t>
      </w:r>
      <w:r>
        <w:rPr>
          <w:rFonts w:hint="eastAsia"/>
          <w:color w:val="000000" w:themeColor="text1"/>
        </w:rPr>
        <w:t>3604</w:t>
      </w:r>
      <w:r>
        <w:rPr>
          <w:rFonts w:hint="eastAsia"/>
          <w:color w:val="000000" w:themeColor="text1"/>
        </w:rPr>
        <w:t>的相关要求进行检测，人血浆产品可参考中国药典</w:t>
      </w:r>
      <w:r>
        <w:rPr>
          <w:rFonts w:hint="eastAsia"/>
          <w:color w:val="000000" w:themeColor="text1"/>
        </w:rPr>
        <w:t>2020</w:t>
      </w:r>
      <w:r>
        <w:rPr>
          <w:rFonts w:hint="eastAsia"/>
          <w:color w:val="000000" w:themeColor="text1"/>
        </w:rPr>
        <w:t>版第三部血液制品生产用人血浆的相关要求进行检测。</w:t>
      </w:r>
    </w:p>
    <w:p w:rsidR="002606BB" w:rsidRDefault="00841612">
      <w:pPr>
        <w:pStyle w:val="af9"/>
        <w:numPr>
          <w:ilvl w:val="0"/>
          <w:numId w:val="34"/>
        </w:numPr>
        <w:rPr>
          <w:color w:val="000000" w:themeColor="text1"/>
        </w:rPr>
      </w:pPr>
      <w:r>
        <w:rPr>
          <w:rFonts w:hint="eastAsia"/>
          <w:color w:val="000000" w:themeColor="text1"/>
        </w:rPr>
        <w:t>如适用，来源细胞和其产生的内源性杂质（参见</w:t>
      </w:r>
      <w:r>
        <w:rPr>
          <w:rFonts w:hint="eastAsia"/>
          <w:color w:val="000000" w:themeColor="text1"/>
        </w:rPr>
        <w:t>6.2.5.b</w:t>
      </w:r>
      <w:r>
        <w:rPr>
          <w:rFonts w:hint="eastAsia"/>
          <w:color w:val="000000" w:themeColor="text1"/>
        </w:rPr>
        <w:t>）</w:t>
      </w:r>
      <w:r>
        <w:rPr>
          <w:rFonts w:hint="eastAsia"/>
          <w:color w:val="000000" w:themeColor="text1"/>
        </w:rPr>
        <w:t>。</w:t>
      </w:r>
    </w:p>
    <w:p w:rsidR="002606BB" w:rsidRDefault="00841612">
      <w:pPr>
        <w:pStyle w:val="a2"/>
        <w:ind w:left="0"/>
        <w:rPr>
          <w:color w:val="000000" w:themeColor="text1"/>
        </w:rPr>
      </w:pPr>
      <w:r>
        <w:rPr>
          <w:rFonts w:hint="eastAsia"/>
          <w:color w:val="000000" w:themeColor="text1"/>
        </w:rPr>
        <w:t>血清和血清替代物的功能检测项目应包括促进细胞生长的功能检测。</w:t>
      </w:r>
    </w:p>
    <w:p w:rsidR="002606BB" w:rsidRDefault="00841612">
      <w:pPr>
        <w:pStyle w:val="a2"/>
        <w:ind w:left="0"/>
        <w:rPr>
          <w:color w:val="000000" w:themeColor="text1"/>
        </w:rPr>
      </w:pPr>
      <w:r>
        <w:rPr>
          <w:rFonts w:hint="eastAsia"/>
          <w:color w:val="000000" w:themeColor="text1"/>
        </w:rPr>
        <w:t>细胞培养过程中，应尽量避免使用动物或人来源的物质，比如应尽量避免血清的使用，若必须使用血清，需要提供相关的研</w:t>
      </w:r>
      <w:r>
        <w:rPr>
          <w:rFonts w:hint="eastAsia"/>
          <w:color w:val="000000" w:themeColor="text1"/>
        </w:rPr>
        <w:t>究资料说明使用的必要性和合理性；严禁使用疫病流行区来源的动物血清；不得使用未经过安全性验证的血清。</w:t>
      </w:r>
      <w:bookmarkStart w:id="115" w:name="_Toc22699"/>
      <w:bookmarkStart w:id="116" w:name="_Toc15911"/>
      <w:bookmarkStart w:id="117" w:name="_Toc18031"/>
      <w:bookmarkStart w:id="118" w:name="_Toc31682"/>
      <w:bookmarkStart w:id="119" w:name="_Toc3213"/>
      <w:bookmarkStart w:id="120" w:name="_Toc3924"/>
      <w:bookmarkStart w:id="121" w:name="_Toc7583"/>
      <w:bookmarkStart w:id="122" w:name="_Toc3649"/>
      <w:bookmarkStart w:id="123" w:name="_Toc2904"/>
    </w:p>
    <w:p w:rsidR="002606BB" w:rsidRDefault="00841612">
      <w:pPr>
        <w:pStyle w:val="a1"/>
        <w:numPr>
          <w:ilvl w:val="1"/>
          <w:numId w:val="28"/>
        </w:numPr>
        <w:spacing w:before="156" w:after="156"/>
        <w:rPr>
          <w:color w:val="000000" w:themeColor="text1"/>
        </w:rPr>
      </w:pPr>
      <w:r>
        <w:rPr>
          <w:rFonts w:hint="eastAsia"/>
          <w:color w:val="000000" w:themeColor="text1"/>
        </w:rPr>
        <w:t xml:space="preserve"> </w:t>
      </w:r>
      <w:r>
        <w:rPr>
          <w:rFonts w:hint="eastAsia"/>
          <w:color w:val="000000" w:themeColor="text1"/>
        </w:rPr>
        <w:t>重组蛋白的质量要求</w:t>
      </w:r>
      <w:bookmarkEnd w:id="115"/>
      <w:bookmarkEnd w:id="116"/>
      <w:bookmarkEnd w:id="117"/>
      <w:bookmarkEnd w:id="118"/>
      <w:bookmarkEnd w:id="119"/>
      <w:bookmarkEnd w:id="120"/>
      <w:bookmarkEnd w:id="121"/>
      <w:bookmarkEnd w:id="122"/>
      <w:bookmarkEnd w:id="123"/>
    </w:p>
    <w:p w:rsidR="002606BB" w:rsidRDefault="00841612">
      <w:pPr>
        <w:pStyle w:val="a2"/>
        <w:ind w:left="0"/>
        <w:rPr>
          <w:color w:val="000000" w:themeColor="text1"/>
        </w:rPr>
      </w:pPr>
      <w:r>
        <w:rPr>
          <w:rFonts w:hint="eastAsia"/>
          <w:color w:val="000000" w:themeColor="text1"/>
        </w:rPr>
        <w:t>重组蛋白是指利用重组</w:t>
      </w:r>
      <w:r>
        <w:rPr>
          <w:rFonts w:hint="eastAsia"/>
          <w:color w:val="000000" w:themeColor="text1"/>
        </w:rPr>
        <w:t>DNA</w:t>
      </w:r>
      <w:r>
        <w:rPr>
          <w:rFonts w:hint="eastAsia"/>
          <w:color w:val="000000" w:themeColor="text1"/>
        </w:rPr>
        <w:t>技术生产的蛋白和多肽，根据其类型和功能可分为但不限于：</w:t>
      </w:r>
    </w:p>
    <w:p w:rsidR="002606BB" w:rsidRDefault="00841612">
      <w:pPr>
        <w:pStyle w:val="af9"/>
        <w:numPr>
          <w:ilvl w:val="0"/>
          <w:numId w:val="35"/>
        </w:numPr>
        <w:rPr>
          <w:color w:val="000000" w:themeColor="text1"/>
        </w:rPr>
      </w:pPr>
      <w:r>
        <w:rPr>
          <w:rFonts w:hint="eastAsia"/>
          <w:color w:val="000000" w:themeColor="text1"/>
        </w:rPr>
        <w:t>生长因子、细胞因子和激素：一般用于细胞培养的添加物，帮助细胞生长、分化、激活或失活；</w:t>
      </w:r>
    </w:p>
    <w:p w:rsidR="002606BB" w:rsidRDefault="00841612">
      <w:pPr>
        <w:pStyle w:val="af9"/>
        <w:numPr>
          <w:ilvl w:val="0"/>
          <w:numId w:val="35"/>
        </w:numPr>
        <w:rPr>
          <w:color w:val="000000" w:themeColor="text1"/>
        </w:rPr>
      </w:pPr>
      <w:r>
        <w:rPr>
          <w:rFonts w:hint="eastAsia"/>
          <w:color w:val="000000" w:themeColor="text1"/>
        </w:rPr>
        <w:t>酶类和其他蛋白：如用于组织或体液中活性物质的分离（如胶原酶），或者帮助细胞黏附（如纤维连接蛋白）等；</w:t>
      </w:r>
    </w:p>
    <w:p w:rsidR="002606BB" w:rsidRDefault="00841612">
      <w:pPr>
        <w:pStyle w:val="af9"/>
        <w:numPr>
          <w:ilvl w:val="0"/>
          <w:numId w:val="35"/>
        </w:numPr>
        <w:rPr>
          <w:color w:val="000000" w:themeColor="text1"/>
        </w:rPr>
      </w:pPr>
      <w:r>
        <w:rPr>
          <w:rFonts w:hint="eastAsia"/>
          <w:color w:val="000000" w:themeColor="text1"/>
        </w:rPr>
        <w:t>单克隆抗体：包括经过或未经过化学修饰的单克隆抗体或抗体片段，一般用于特定成分的检测、筛选、分离、富集、刺激或活化。</w:t>
      </w:r>
    </w:p>
    <w:p w:rsidR="002606BB" w:rsidRDefault="00841612">
      <w:pPr>
        <w:pStyle w:val="a2"/>
        <w:ind w:left="0"/>
        <w:rPr>
          <w:color w:val="000000" w:themeColor="text1"/>
        </w:rPr>
      </w:pPr>
      <w:r>
        <w:rPr>
          <w:rFonts w:hint="eastAsia"/>
          <w:color w:val="000000" w:themeColor="text1"/>
        </w:rPr>
        <w:t>当生产用原材料是通过重组技术生产的蛋白时，所用到的宿主</w:t>
      </w:r>
      <w:r>
        <w:rPr>
          <w:rFonts w:hint="eastAsia"/>
          <w:color w:val="000000" w:themeColor="text1"/>
        </w:rPr>
        <w:t>-</w:t>
      </w:r>
      <w:r>
        <w:rPr>
          <w:rFonts w:hint="eastAsia"/>
          <w:color w:val="000000" w:themeColor="text1"/>
        </w:rPr>
        <w:t>载体体系应有标识和记录。</w:t>
      </w:r>
    </w:p>
    <w:p w:rsidR="002606BB" w:rsidRDefault="00841612">
      <w:pPr>
        <w:pStyle w:val="a2"/>
        <w:ind w:left="0"/>
        <w:rPr>
          <w:color w:val="000000" w:themeColor="text1"/>
        </w:rPr>
      </w:pPr>
      <w:r>
        <w:rPr>
          <w:rFonts w:hint="eastAsia"/>
          <w:color w:val="000000" w:themeColor="text1"/>
        </w:rPr>
        <w:t>重组蛋白生产使用的宿主</w:t>
      </w:r>
      <w:r>
        <w:rPr>
          <w:rFonts w:hint="eastAsia"/>
          <w:color w:val="000000" w:themeColor="text1"/>
        </w:rPr>
        <w:t>-</w:t>
      </w:r>
      <w:r>
        <w:rPr>
          <w:rFonts w:hint="eastAsia"/>
          <w:color w:val="000000" w:themeColor="text1"/>
        </w:rPr>
        <w:t>载体体系应参照</w:t>
      </w:r>
      <w:r>
        <w:rPr>
          <w:color w:val="000000" w:themeColor="text1"/>
        </w:rPr>
        <w:t>《中国药典》三部生物制品通则《生产用动物细胞基质制备及检定规程》中</w:t>
      </w:r>
      <w:r>
        <w:rPr>
          <w:rFonts w:hint="eastAsia"/>
          <w:color w:val="000000" w:themeColor="text1"/>
        </w:rPr>
        <w:t>相关要求进行管理。</w:t>
      </w:r>
    </w:p>
    <w:p w:rsidR="002606BB" w:rsidRDefault="00841612">
      <w:pPr>
        <w:pStyle w:val="a2"/>
        <w:ind w:left="0"/>
        <w:rPr>
          <w:color w:val="000000" w:themeColor="text1"/>
        </w:rPr>
      </w:pPr>
      <w:r>
        <w:rPr>
          <w:rFonts w:hint="eastAsia"/>
          <w:color w:val="000000" w:themeColor="text1"/>
        </w:rPr>
        <w:t>重组蛋白生产使用的材料如培养基、牛血清、添加因子、转染试剂（如</w:t>
      </w:r>
      <w:proofErr w:type="gramStart"/>
      <w:r>
        <w:rPr>
          <w:rFonts w:hint="eastAsia"/>
          <w:color w:val="000000" w:themeColor="text1"/>
        </w:rPr>
        <w:t>钙转试剂</w:t>
      </w:r>
      <w:proofErr w:type="gramEnd"/>
      <w:r>
        <w:rPr>
          <w:rFonts w:hint="eastAsia"/>
          <w:color w:val="000000" w:themeColor="text1"/>
        </w:rPr>
        <w:t>、</w:t>
      </w:r>
      <w:r>
        <w:rPr>
          <w:rFonts w:hint="eastAsia"/>
          <w:color w:val="000000" w:themeColor="text1"/>
        </w:rPr>
        <w:t>PEI</w:t>
      </w:r>
      <w:r>
        <w:rPr>
          <w:rFonts w:hint="eastAsia"/>
          <w:color w:val="000000" w:themeColor="text1"/>
        </w:rPr>
        <w:t>、</w:t>
      </w:r>
      <w:r>
        <w:rPr>
          <w:rFonts w:hint="eastAsia"/>
          <w:color w:val="000000" w:themeColor="text1"/>
        </w:rPr>
        <w:t>Lipo2000</w:t>
      </w:r>
      <w:r>
        <w:rPr>
          <w:rFonts w:hint="eastAsia"/>
          <w:color w:val="000000" w:themeColor="text1"/>
        </w:rPr>
        <w:t xml:space="preserve">　等）以及核酸酶等同样应满足本文件的质量要求。</w:t>
      </w:r>
    </w:p>
    <w:p w:rsidR="002606BB" w:rsidRDefault="00841612">
      <w:pPr>
        <w:pStyle w:val="a2"/>
        <w:ind w:left="0"/>
        <w:rPr>
          <w:color w:val="000000" w:themeColor="text1"/>
        </w:rPr>
      </w:pPr>
      <w:r>
        <w:rPr>
          <w:rFonts w:hint="eastAsia"/>
          <w:color w:val="000000" w:themeColor="text1"/>
        </w:rPr>
        <w:t>重组蛋白产品中与生产工艺相关的杂质的含量应严格控制，满足临床用途的质量要求。</w:t>
      </w:r>
    </w:p>
    <w:p w:rsidR="002606BB" w:rsidRDefault="00841612">
      <w:pPr>
        <w:pStyle w:val="a2"/>
        <w:ind w:left="0"/>
        <w:rPr>
          <w:color w:val="000000" w:themeColor="text1"/>
        </w:rPr>
      </w:pPr>
      <w:r>
        <w:rPr>
          <w:rFonts w:hint="eastAsia"/>
          <w:color w:val="000000" w:themeColor="text1"/>
        </w:rPr>
        <w:t>除生产用原材料的基本质量要求以外，还应增加重组蛋白的质量检测项目，包括，但不限于：</w:t>
      </w:r>
    </w:p>
    <w:p w:rsidR="002606BB" w:rsidRDefault="00841612">
      <w:pPr>
        <w:pStyle w:val="af9"/>
        <w:numPr>
          <w:ilvl w:val="0"/>
          <w:numId w:val="36"/>
        </w:numPr>
        <w:rPr>
          <w:color w:val="000000" w:themeColor="text1"/>
        </w:rPr>
      </w:pPr>
      <w:r>
        <w:rPr>
          <w:rFonts w:hint="eastAsia"/>
          <w:color w:val="000000" w:themeColor="text1"/>
        </w:rPr>
        <w:t>宿主细胞蛋白、残留的宿主细胞</w:t>
      </w:r>
      <w:r>
        <w:rPr>
          <w:rFonts w:hint="eastAsia"/>
          <w:color w:val="000000" w:themeColor="text1"/>
        </w:rPr>
        <w:t>DNA</w:t>
      </w:r>
      <w:r>
        <w:rPr>
          <w:rFonts w:hint="eastAsia"/>
          <w:color w:val="000000" w:themeColor="text1"/>
        </w:rPr>
        <w:t>和载体</w:t>
      </w:r>
      <w:r>
        <w:rPr>
          <w:rFonts w:hint="eastAsia"/>
          <w:color w:val="000000" w:themeColor="text1"/>
        </w:rPr>
        <w:t>DNA</w:t>
      </w:r>
      <w:r>
        <w:rPr>
          <w:rFonts w:hint="eastAsia"/>
          <w:color w:val="000000" w:themeColor="text1"/>
        </w:rPr>
        <w:t>；</w:t>
      </w:r>
    </w:p>
    <w:p w:rsidR="002606BB" w:rsidRDefault="00841612">
      <w:pPr>
        <w:pStyle w:val="af9"/>
        <w:numPr>
          <w:ilvl w:val="0"/>
          <w:numId w:val="36"/>
        </w:numPr>
        <w:rPr>
          <w:color w:val="000000" w:themeColor="text1"/>
        </w:rPr>
      </w:pPr>
      <w:r>
        <w:rPr>
          <w:rFonts w:hint="eastAsia"/>
          <w:color w:val="000000" w:themeColor="text1"/>
        </w:rPr>
        <w:t>与重组蛋白相关的其它检测项目：如重组蛋白的不同修饰（糖基化、甲基化、磷酸化基团修饰等）、聚合物（</w:t>
      </w:r>
      <w:r>
        <w:rPr>
          <w:rFonts w:hint="eastAsia"/>
          <w:color w:val="000000" w:themeColor="text1"/>
        </w:rPr>
        <w:t>oligomer</w:t>
      </w:r>
      <w:r>
        <w:rPr>
          <w:rFonts w:hint="eastAsia"/>
          <w:color w:val="000000" w:themeColor="text1"/>
        </w:rPr>
        <w:t>或</w:t>
      </w:r>
      <w:r>
        <w:rPr>
          <w:rFonts w:hint="eastAsia"/>
          <w:color w:val="000000" w:themeColor="text1"/>
        </w:rPr>
        <w:t>aggregates</w:t>
      </w:r>
      <w:r>
        <w:rPr>
          <w:rFonts w:hint="eastAsia"/>
          <w:color w:val="000000" w:themeColor="text1"/>
        </w:rPr>
        <w:t>）、氧化产物、降解产物等。</w:t>
      </w:r>
    </w:p>
    <w:p w:rsidR="002606BB" w:rsidRDefault="00841612">
      <w:pPr>
        <w:pStyle w:val="a2"/>
        <w:ind w:left="0"/>
        <w:rPr>
          <w:color w:val="000000" w:themeColor="text1"/>
        </w:rPr>
      </w:pPr>
      <w:r>
        <w:rPr>
          <w:rFonts w:hint="eastAsia"/>
          <w:color w:val="000000" w:themeColor="text1"/>
        </w:rPr>
        <w:t>重组蛋白的功能检测应包括其生物学活性检测，一般用每毫克总蛋白中检测活性的数值表示。</w:t>
      </w:r>
      <w:bookmarkStart w:id="124" w:name="_Toc22920"/>
      <w:bookmarkStart w:id="125" w:name="_Toc11348"/>
      <w:bookmarkStart w:id="126" w:name="_Toc19574"/>
      <w:bookmarkStart w:id="127" w:name="_Toc16652"/>
      <w:bookmarkStart w:id="128" w:name="_Toc28856"/>
      <w:bookmarkStart w:id="129" w:name="_Toc29595"/>
      <w:bookmarkStart w:id="130" w:name="_Toc16561"/>
      <w:bookmarkStart w:id="131" w:name="_Toc27651"/>
      <w:bookmarkStart w:id="132" w:name="_Toc19292"/>
    </w:p>
    <w:p w:rsidR="002606BB" w:rsidRDefault="00841612">
      <w:pPr>
        <w:pStyle w:val="a1"/>
        <w:numPr>
          <w:ilvl w:val="1"/>
          <w:numId w:val="28"/>
        </w:numPr>
        <w:spacing w:before="156" w:after="156"/>
        <w:rPr>
          <w:color w:val="000000" w:themeColor="text1"/>
        </w:rPr>
      </w:pPr>
      <w:r>
        <w:rPr>
          <w:rFonts w:hint="eastAsia"/>
          <w:color w:val="000000" w:themeColor="text1"/>
        </w:rPr>
        <w:t>组织提取蛋白的质量要求</w:t>
      </w:r>
      <w:bookmarkEnd w:id="124"/>
      <w:bookmarkEnd w:id="125"/>
      <w:bookmarkEnd w:id="126"/>
      <w:bookmarkEnd w:id="127"/>
      <w:bookmarkEnd w:id="128"/>
      <w:bookmarkEnd w:id="129"/>
      <w:bookmarkEnd w:id="130"/>
      <w:bookmarkEnd w:id="131"/>
      <w:bookmarkEnd w:id="132"/>
    </w:p>
    <w:p w:rsidR="002606BB" w:rsidRDefault="00841612">
      <w:pPr>
        <w:pStyle w:val="a2"/>
        <w:ind w:left="0"/>
        <w:rPr>
          <w:color w:val="000000" w:themeColor="text1"/>
        </w:rPr>
      </w:pPr>
      <w:r>
        <w:rPr>
          <w:rFonts w:hint="eastAsia"/>
          <w:color w:val="000000" w:themeColor="text1"/>
        </w:rPr>
        <w:t>组织提取蛋白是指从生物</w:t>
      </w:r>
      <w:proofErr w:type="gramStart"/>
      <w:r>
        <w:rPr>
          <w:rFonts w:hint="eastAsia"/>
          <w:color w:val="000000" w:themeColor="text1"/>
        </w:rPr>
        <w:t>源材料</w:t>
      </w:r>
      <w:proofErr w:type="gramEnd"/>
      <w:r>
        <w:rPr>
          <w:rFonts w:hint="eastAsia"/>
          <w:color w:val="000000" w:themeColor="text1"/>
        </w:rPr>
        <w:t>中分离得到的各类蛋白，可分为但不限于：</w:t>
      </w:r>
    </w:p>
    <w:p w:rsidR="002606BB" w:rsidRDefault="00841612">
      <w:pPr>
        <w:pStyle w:val="af9"/>
        <w:numPr>
          <w:ilvl w:val="0"/>
          <w:numId w:val="37"/>
        </w:numPr>
        <w:rPr>
          <w:color w:val="000000" w:themeColor="text1"/>
        </w:rPr>
      </w:pPr>
      <w:r>
        <w:rPr>
          <w:rFonts w:hint="eastAsia"/>
          <w:color w:val="000000" w:themeColor="text1"/>
        </w:rPr>
        <w:t>各种酶类，如猪源胰酶和猪源内切酶；</w:t>
      </w:r>
    </w:p>
    <w:p w:rsidR="002606BB" w:rsidRDefault="00841612">
      <w:pPr>
        <w:pStyle w:val="af9"/>
        <w:numPr>
          <w:ilvl w:val="0"/>
          <w:numId w:val="37"/>
        </w:numPr>
        <w:rPr>
          <w:color w:val="000000" w:themeColor="text1"/>
        </w:rPr>
      </w:pPr>
      <w:r>
        <w:rPr>
          <w:rFonts w:hint="eastAsia"/>
          <w:color w:val="000000" w:themeColor="text1"/>
        </w:rPr>
        <w:t>多克隆抗体；</w:t>
      </w:r>
    </w:p>
    <w:p w:rsidR="002606BB" w:rsidRDefault="00841612">
      <w:pPr>
        <w:pStyle w:val="af9"/>
        <w:numPr>
          <w:ilvl w:val="0"/>
          <w:numId w:val="37"/>
        </w:numPr>
        <w:rPr>
          <w:color w:val="000000" w:themeColor="text1"/>
        </w:rPr>
      </w:pPr>
      <w:r>
        <w:rPr>
          <w:rFonts w:hint="eastAsia"/>
          <w:color w:val="000000" w:themeColor="text1"/>
        </w:rPr>
        <w:t>其他生物来源的蛋白，如白蛋白和转铁蛋白。</w:t>
      </w:r>
    </w:p>
    <w:p w:rsidR="002606BB" w:rsidRDefault="00841612">
      <w:pPr>
        <w:pStyle w:val="a2"/>
        <w:ind w:left="0"/>
        <w:rPr>
          <w:color w:val="000000" w:themeColor="text1"/>
        </w:rPr>
      </w:pPr>
      <w:r>
        <w:rPr>
          <w:rFonts w:hint="eastAsia"/>
          <w:color w:val="000000" w:themeColor="text1"/>
        </w:rPr>
        <w:t>组织提取蛋白的来源包括了人、动物、植物或微生物等各种生物，提取工艺多种多样，在提取过程中应对工艺相关杂质的含量严格控制，以满足临床用途的质量要求。</w:t>
      </w:r>
    </w:p>
    <w:p w:rsidR="002606BB" w:rsidRDefault="00841612">
      <w:pPr>
        <w:pStyle w:val="a2"/>
        <w:ind w:left="0"/>
        <w:rPr>
          <w:color w:val="000000" w:themeColor="text1"/>
        </w:rPr>
      </w:pPr>
      <w:r>
        <w:rPr>
          <w:rFonts w:hint="eastAsia"/>
          <w:color w:val="000000" w:themeColor="text1"/>
        </w:rPr>
        <w:t>除生产用原材料的基本质量要求以外，还应增加组织提取蛋白的质量检测项目，包括，但</w:t>
      </w:r>
      <w:r>
        <w:rPr>
          <w:rFonts w:hint="eastAsia"/>
          <w:color w:val="000000" w:themeColor="text1"/>
        </w:rPr>
        <w:t>不限于：</w:t>
      </w:r>
    </w:p>
    <w:p w:rsidR="002606BB" w:rsidRDefault="00841612">
      <w:pPr>
        <w:pStyle w:val="af9"/>
        <w:numPr>
          <w:ilvl w:val="0"/>
          <w:numId w:val="38"/>
        </w:numPr>
        <w:rPr>
          <w:color w:val="000000" w:themeColor="text1"/>
        </w:rPr>
      </w:pPr>
      <w:r>
        <w:rPr>
          <w:rFonts w:hint="eastAsia"/>
          <w:color w:val="000000" w:themeColor="text1"/>
        </w:rPr>
        <w:t>工艺相关杂质的检测，如无关的血液组分、组织碎片或污染蛋白等；</w:t>
      </w:r>
    </w:p>
    <w:p w:rsidR="002606BB" w:rsidRDefault="00841612">
      <w:pPr>
        <w:pStyle w:val="af9"/>
        <w:numPr>
          <w:ilvl w:val="0"/>
          <w:numId w:val="38"/>
        </w:numPr>
        <w:rPr>
          <w:color w:val="000000" w:themeColor="text1"/>
        </w:rPr>
      </w:pPr>
      <w:r>
        <w:rPr>
          <w:rFonts w:hint="eastAsia"/>
          <w:color w:val="000000" w:themeColor="text1"/>
        </w:rPr>
        <w:t>与组织提取蛋白相关的其它类型：如组织提取蛋白的聚合物（</w:t>
      </w:r>
      <w:r>
        <w:rPr>
          <w:rFonts w:hint="eastAsia"/>
          <w:color w:val="000000" w:themeColor="text1"/>
        </w:rPr>
        <w:t>oligomer</w:t>
      </w:r>
      <w:r>
        <w:rPr>
          <w:rFonts w:hint="eastAsia"/>
          <w:color w:val="000000" w:themeColor="text1"/>
        </w:rPr>
        <w:t>或</w:t>
      </w:r>
      <w:r>
        <w:rPr>
          <w:rFonts w:hint="eastAsia"/>
          <w:color w:val="000000" w:themeColor="text1"/>
        </w:rPr>
        <w:t>aggregates</w:t>
      </w:r>
      <w:r>
        <w:rPr>
          <w:rFonts w:hint="eastAsia"/>
          <w:color w:val="000000" w:themeColor="text1"/>
        </w:rPr>
        <w:t>）、氧化产物、降解产物等。</w:t>
      </w:r>
    </w:p>
    <w:p w:rsidR="002606BB" w:rsidRDefault="00841612">
      <w:pPr>
        <w:pStyle w:val="a2"/>
        <w:ind w:left="0"/>
        <w:rPr>
          <w:color w:val="000000" w:themeColor="text1"/>
        </w:rPr>
      </w:pPr>
      <w:r>
        <w:rPr>
          <w:rFonts w:hint="eastAsia"/>
          <w:color w:val="000000" w:themeColor="text1"/>
        </w:rPr>
        <w:t>组织提取蛋白的功能检测应包括其生物学活性检测，例如胰蛋白酶的生物学活性检测可参考中国药典</w:t>
      </w:r>
      <w:r>
        <w:rPr>
          <w:rFonts w:hint="eastAsia"/>
          <w:color w:val="000000" w:themeColor="text1"/>
        </w:rPr>
        <w:t>202</w:t>
      </w:r>
      <w:r>
        <w:rPr>
          <w:rFonts w:hint="eastAsia"/>
          <w:color w:val="000000" w:themeColor="text1"/>
        </w:rPr>
        <w:t>0</w:t>
      </w:r>
      <w:r>
        <w:rPr>
          <w:rFonts w:hint="eastAsia"/>
          <w:color w:val="000000" w:themeColor="text1"/>
        </w:rPr>
        <w:t>版第二部胰蛋白酶的相关要求进行检测。</w:t>
      </w:r>
    </w:p>
    <w:p w:rsidR="002606BB" w:rsidRDefault="00841612">
      <w:pPr>
        <w:pStyle w:val="a1"/>
        <w:numPr>
          <w:ilvl w:val="1"/>
          <w:numId w:val="28"/>
        </w:numPr>
        <w:spacing w:before="156" w:afterLines="0" w:after="0"/>
        <w:rPr>
          <w:color w:val="000000" w:themeColor="text1"/>
        </w:rPr>
      </w:pPr>
      <w:bookmarkStart w:id="133" w:name="_Toc7790"/>
      <w:bookmarkStart w:id="134" w:name="_Toc15999"/>
      <w:bookmarkStart w:id="135" w:name="_Toc15421"/>
      <w:bookmarkStart w:id="136" w:name="_Toc13388"/>
      <w:bookmarkStart w:id="137" w:name="_Toc31799"/>
      <w:bookmarkStart w:id="138" w:name="_Toc8487"/>
      <w:bookmarkStart w:id="139" w:name="_Toc18395"/>
      <w:bookmarkStart w:id="140" w:name="_Toc15786"/>
      <w:bookmarkStart w:id="141" w:name="_Toc29212"/>
      <w:r>
        <w:rPr>
          <w:rFonts w:hint="eastAsia"/>
          <w:color w:val="000000" w:themeColor="text1"/>
        </w:rPr>
        <w:t>辅助载体的质量要求</w:t>
      </w:r>
      <w:bookmarkEnd w:id="133"/>
      <w:bookmarkEnd w:id="134"/>
      <w:bookmarkEnd w:id="135"/>
      <w:bookmarkEnd w:id="136"/>
      <w:bookmarkEnd w:id="137"/>
      <w:bookmarkEnd w:id="138"/>
      <w:bookmarkEnd w:id="139"/>
      <w:bookmarkEnd w:id="140"/>
      <w:bookmarkEnd w:id="141"/>
    </w:p>
    <w:p w:rsidR="002606BB" w:rsidRDefault="00841612">
      <w:pPr>
        <w:pStyle w:val="a2"/>
        <w:ind w:left="0"/>
        <w:rPr>
          <w:color w:val="000000" w:themeColor="text1"/>
        </w:rPr>
      </w:pPr>
      <w:r>
        <w:rPr>
          <w:rFonts w:hint="eastAsia"/>
          <w:color w:val="000000" w:themeColor="text1"/>
        </w:rPr>
        <w:t>辅助载体是指在重组</w:t>
      </w:r>
      <w:r>
        <w:rPr>
          <w:rFonts w:hint="eastAsia"/>
          <w:color w:val="000000" w:themeColor="text1"/>
        </w:rPr>
        <w:t>DNA</w:t>
      </w:r>
      <w:r>
        <w:rPr>
          <w:rFonts w:hint="eastAsia"/>
          <w:color w:val="000000" w:themeColor="text1"/>
        </w:rPr>
        <w:t>技术中</w:t>
      </w:r>
      <w:proofErr w:type="gramStart"/>
      <w:r>
        <w:rPr>
          <w:rFonts w:hint="eastAsia"/>
          <w:color w:val="000000" w:themeColor="text1"/>
        </w:rPr>
        <w:t>不</w:t>
      </w:r>
      <w:proofErr w:type="gramEnd"/>
      <w:r>
        <w:rPr>
          <w:rFonts w:hint="eastAsia"/>
          <w:color w:val="000000" w:themeColor="text1"/>
        </w:rPr>
        <w:t>含有表达目标的遗传信息，但是通过表达其他相关蛋白或核酸从而帮助获得表达目标的外源载体，包括，但不限于：</w:t>
      </w:r>
    </w:p>
    <w:p w:rsidR="002606BB" w:rsidRDefault="00841612">
      <w:pPr>
        <w:pStyle w:val="af9"/>
        <w:numPr>
          <w:ilvl w:val="0"/>
          <w:numId w:val="39"/>
        </w:numPr>
        <w:rPr>
          <w:color w:val="000000" w:themeColor="text1"/>
        </w:rPr>
      </w:pPr>
      <w:r>
        <w:rPr>
          <w:rFonts w:hint="eastAsia"/>
          <w:color w:val="000000" w:themeColor="text1"/>
        </w:rPr>
        <w:t>帮助目标病毒载体包装的辅助质粒，如慢病毒包装辅助质粒载体；</w:t>
      </w:r>
    </w:p>
    <w:p w:rsidR="002606BB" w:rsidRDefault="00841612">
      <w:pPr>
        <w:pStyle w:val="af9"/>
        <w:numPr>
          <w:ilvl w:val="0"/>
          <w:numId w:val="39"/>
        </w:numPr>
        <w:rPr>
          <w:color w:val="000000" w:themeColor="text1"/>
        </w:rPr>
      </w:pPr>
      <w:r>
        <w:rPr>
          <w:rFonts w:hint="eastAsia"/>
          <w:color w:val="000000" w:themeColor="text1"/>
        </w:rPr>
        <w:t>提高目标蛋白表达水平的辅助质粒，如在宿主细胞内表达稀有密码子</w:t>
      </w:r>
      <w:proofErr w:type="spellStart"/>
      <w:r>
        <w:rPr>
          <w:rFonts w:hint="eastAsia"/>
          <w:color w:val="000000" w:themeColor="text1"/>
        </w:rPr>
        <w:t>tRNA</w:t>
      </w:r>
      <w:proofErr w:type="spellEnd"/>
      <w:r>
        <w:rPr>
          <w:rFonts w:hint="eastAsia"/>
          <w:color w:val="000000" w:themeColor="text1"/>
        </w:rPr>
        <w:t>的辅助质粒载体。</w:t>
      </w:r>
    </w:p>
    <w:p w:rsidR="002606BB" w:rsidRDefault="00841612">
      <w:pPr>
        <w:pStyle w:val="a2"/>
        <w:ind w:left="0"/>
        <w:rPr>
          <w:color w:val="000000" w:themeColor="text1"/>
        </w:rPr>
      </w:pPr>
      <w:r>
        <w:rPr>
          <w:rFonts w:hint="eastAsia"/>
          <w:color w:val="000000" w:themeColor="text1"/>
        </w:rPr>
        <w:t>本文件涉及的辅助载体不包括那些含有目标遗传信息的质粒载体、病毒载体、转座子载体、感染用工程细菌载体（如用于感染植物细胞的农杆菌）等。</w:t>
      </w:r>
    </w:p>
    <w:p w:rsidR="002606BB" w:rsidRDefault="00841612">
      <w:pPr>
        <w:pStyle w:val="a2"/>
        <w:ind w:left="0"/>
        <w:rPr>
          <w:color w:val="000000" w:themeColor="text1"/>
        </w:rPr>
      </w:pPr>
      <w:r>
        <w:rPr>
          <w:rFonts w:hint="eastAsia"/>
          <w:color w:val="000000" w:themeColor="text1"/>
        </w:rPr>
        <w:t>当生产用原材料涉及辅助载体时，所用到</w:t>
      </w:r>
      <w:r>
        <w:rPr>
          <w:rFonts w:hint="eastAsia"/>
          <w:color w:val="000000" w:themeColor="text1"/>
        </w:rPr>
        <w:t>的载体和宿主信息应有标识和记录。</w:t>
      </w:r>
    </w:p>
    <w:p w:rsidR="002606BB" w:rsidRDefault="00841612">
      <w:pPr>
        <w:pStyle w:val="a2"/>
        <w:ind w:left="0"/>
        <w:rPr>
          <w:color w:val="000000" w:themeColor="text1"/>
        </w:rPr>
      </w:pPr>
      <w:r>
        <w:rPr>
          <w:rFonts w:hint="eastAsia"/>
          <w:color w:val="000000" w:themeColor="text1"/>
        </w:rPr>
        <w:t>辅助载体生产使用的宿主</w:t>
      </w:r>
      <w:r>
        <w:rPr>
          <w:rFonts w:hint="eastAsia"/>
          <w:color w:val="000000" w:themeColor="text1"/>
        </w:rPr>
        <w:t>-</w:t>
      </w:r>
      <w:r>
        <w:rPr>
          <w:rFonts w:hint="eastAsia"/>
          <w:color w:val="000000" w:themeColor="text1"/>
        </w:rPr>
        <w:t>载体体系应参照《中国药典》三部生物制品通则《生产用动物细胞基质制备及检定规程》中相关要求进行管理。</w:t>
      </w:r>
    </w:p>
    <w:p w:rsidR="002606BB" w:rsidRDefault="00841612">
      <w:pPr>
        <w:pStyle w:val="a2"/>
        <w:ind w:left="0"/>
        <w:rPr>
          <w:color w:val="000000" w:themeColor="text1"/>
        </w:rPr>
      </w:pPr>
      <w:r>
        <w:rPr>
          <w:rFonts w:hint="eastAsia"/>
          <w:color w:val="000000" w:themeColor="text1"/>
        </w:rPr>
        <w:t>辅助载体生产使用的材料如培养基、牛血清、添加因子、转染试剂（如</w:t>
      </w:r>
      <w:proofErr w:type="gramStart"/>
      <w:r>
        <w:rPr>
          <w:rFonts w:hint="eastAsia"/>
          <w:color w:val="000000" w:themeColor="text1"/>
        </w:rPr>
        <w:t>钙转试剂</w:t>
      </w:r>
      <w:proofErr w:type="gramEnd"/>
      <w:r>
        <w:rPr>
          <w:rFonts w:hint="eastAsia"/>
          <w:color w:val="000000" w:themeColor="text1"/>
        </w:rPr>
        <w:t>、</w:t>
      </w:r>
      <w:r>
        <w:rPr>
          <w:rFonts w:hint="eastAsia"/>
          <w:color w:val="000000" w:themeColor="text1"/>
        </w:rPr>
        <w:t>PEI</w:t>
      </w:r>
      <w:r>
        <w:rPr>
          <w:rFonts w:hint="eastAsia"/>
          <w:color w:val="000000" w:themeColor="text1"/>
        </w:rPr>
        <w:t>、</w:t>
      </w:r>
      <w:r>
        <w:rPr>
          <w:rFonts w:hint="eastAsia"/>
          <w:color w:val="000000" w:themeColor="text1"/>
        </w:rPr>
        <w:t>Lipo2000</w:t>
      </w:r>
      <w:r>
        <w:rPr>
          <w:rFonts w:hint="eastAsia"/>
          <w:color w:val="000000" w:themeColor="text1"/>
        </w:rPr>
        <w:t xml:space="preserve">　等）以及核酸酶等同样应满足本文件的质量要求。</w:t>
      </w:r>
    </w:p>
    <w:p w:rsidR="002606BB" w:rsidRDefault="00841612">
      <w:pPr>
        <w:pStyle w:val="a2"/>
        <w:ind w:left="0"/>
        <w:rPr>
          <w:color w:val="000000" w:themeColor="text1"/>
        </w:rPr>
      </w:pPr>
      <w:r>
        <w:rPr>
          <w:rFonts w:hint="eastAsia"/>
          <w:color w:val="000000" w:themeColor="text1"/>
        </w:rPr>
        <w:t>辅助载体与生产工艺相关的杂质的含量应严格控制，满足临床用途的质量要求。</w:t>
      </w:r>
    </w:p>
    <w:p w:rsidR="002606BB" w:rsidRDefault="00841612">
      <w:pPr>
        <w:pStyle w:val="a2"/>
        <w:ind w:left="0"/>
        <w:rPr>
          <w:color w:val="000000" w:themeColor="text1"/>
        </w:rPr>
      </w:pPr>
      <w:r>
        <w:rPr>
          <w:rFonts w:hint="eastAsia"/>
          <w:color w:val="000000" w:themeColor="text1"/>
        </w:rPr>
        <w:t>辅助载体的质量检测可参照中国食品药品检定研究院《</w:t>
      </w:r>
      <w:r>
        <w:rPr>
          <w:rFonts w:hint="eastAsia"/>
          <w:color w:val="000000" w:themeColor="text1"/>
        </w:rPr>
        <w:t>CAR-T</w:t>
      </w:r>
      <w:r>
        <w:rPr>
          <w:rFonts w:hint="eastAsia"/>
          <w:color w:val="000000" w:themeColor="text1"/>
        </w:rPr>
        <w:t>细胞治疗产品质量控制检测研究及非临床研究考虑要点》的相关要求进行。</w:t>
      </w:r>
    </w:p>
    <w:p w:rsidR="002606BB" w:rsidRDefault="00841612">
      <w:pPr>
        <w:pStyle w:val="a0"/>
        <w:numPr>
          <w:ilvl w:val="0"/>
          <w:numId w:val="28"/>
        </w:numPr>
        <w:spacing w:before="312" w:after="312"/>
        <w:rPr>
          <w:color w:val="000000" w:themeColor="text1"/>
        </w:rPr>
      </w:pPr>
      <w:bookmarkStart w:id="142" w:name="_Toc12963"/>
      <w:r>
        <w:rPr>
          <w:rFonts w:hint="eastAsia"/>
          <w:color w:val="000000" w:themeColor="text1"/>
        </w:rPr>
        <w:t>文件</w:t>
      </w:r>
      <w:bookmarkEnd w:id="142"/>
    </w:p>
    <w:p w:rsidR="002606BB" w:rsidRDefault="00841612">
      <w:pPr>
        <w:pStyle w:val="a1"/>
        <w:numPr>
          <w:ilvl w:val="1"/>
          <w:numId w:val="28"/>
        </w:numPr>
        <w:spacing w:before="156" w:after="156"/>
        <w:rPr>
          <w:color w:val="000000" w:themeColor="text1"/>
        </w:rPr>
      </w:pPr>
      <w:r>
        <w:rPr>
          <w:rFonts w:hint="eastAsia"/>
          <w:color w:val="000000" w:themeColor="text1"/>
        </w:rPr>
        <w:t>基本要求</w:t>
      </w:r>
    </w:p>
    <w:p w:rsidR="002606BB" w:rsidRDefault="00841612">
      <w:pPr>
        <w:pStyle w:val="a2"/>
        <w:numPr>
          <w:ilvl w:val="2"/>
          <w:numId w:val="0"/>
        </w:numPr>
        <w:ind w:firstLineChars="200" w:firstLine="420"/>
        <w:rPr>
          <w:rFonts w:ascii="Calibri" w:hAnsi="Calibri"/>
          <w:color w:val="000000" w:themeColor="text1"/>
          <w:szCs w:val="22"/>
          <w:lang w:bidi="ar"/>
        </w:rPr>
      </w:pPr>
      <w:r>
        <w:rPr>
          <w:rFonts w:hint="eastAsia"/>
          <w:color w:val="000000" w:themeColor="text1"/>
        </w:rPr>
        <w:t>当生产用原材料的预期用途是用于生产本文件范围内的细胞治疗产品时，生产用原材料的供应者应为其产品给出相应的标识。</w:t>
      </w:r>
      <w:r>
        <w:rPr>
          <w:rFonts w:ascii="Calibri" w:hAnsi="Calibri" w:hint="eastAsia"/>
          <w:color w:val="000000" w:themeColor="text1"/>
          <w:szCs w:val="22"/>
          <w:lang w:bidi="ar"/>
        </w:rPr>
        <w:t>例如“适用于生产细胞治疗产品”。</w:t>
      </w:r>
    </w:p>
    <w:p w:rsidR="002606BB" w:rsidRDefault="00841612">
      <w:pPr>
        <w:pStyle w:val="a1"/>
        <w:numPr>
          <w:ilvl w:val="1"/>
          <w:numId w:val="28"/>
        </w:numPr>
        <w:spacing w:before="156" w:after="156"/>
        <w:rPr>
          <w:color w:val="000000" w:themeColor="text1"/>
        </w:rPr>
      </w:pPr>
      <w:r>
        <w:rPr>
          <w:rFonts w:hint="eastAsia"/>
          <w:color w:val="000000" w:themeColor="text1"/>
        </w:rPr>
        <w:t>数据报告的要求</w:t>
      </w:r>
    </w:p>
    <w:p w:rsidR="002606BB" w:rsidRDefault="00841612">
      <w:pPr>
        <w:pStyle w:val="a2"/>
        <w:ind w:left="0"/>
        <w:rPr>
          <w:color w:val="000000" w:themeColor="text1"/>
        </w:rPr>
      </w:pPr>
      <w:r>
        <w:rPr>
          <w:rFonts w:hint="eastAsia"/>
          <w:color w:val="000000" w:themeColor="text1"/>
        </w:rPr>
        <w:t>质量评估的相关数据应提供详细报告，用于对数据进行理解和比较。信息可包括，但不限于：</w:t>
      </w:r>
    </w:p>
    <w:p w:rsidR="002606BB" w:rsidRDefault="00841612">
      <w:pPr>
        <w:pStyle w:val="a2"/>
        <w:numPr>
          <w:ilvl w:val="0"/>
          <w:numId w:val="40"/>
        </w:numPr>
        <w:rPr>
          <w:color w:val="000000" w:themeColor="text1"/>
        </w:rPr>
      </w:pPr>
      <w:r>
        <w:rPr>
          <w:rFonts w:hint="eastAsia"/>
          <w:color w:val="000000" w:themeColor="text1"/>
        </w:rPr>
        <w:t>原始数据；</w:t>
      </w:r>
      <w:r>
        <w:rPr>
          <w:rFonts w:hint="eastAsia"/>
          <w:color w:val="000000" w:themeColor="text1"/>
        </w:rPr>
        <w:t xml:space="preserve"> </w:t>
      </w:r>
    </w:p>
    <w:p w:rsidR="002606BB" w:rsidRDefault="00841612">
      <w:pPr>
        <w:pStyle w:val="a2"/>
        <w:numPr>
          <w:ilvl w:val="0"/>
          <w:numId w:val="40"/>
        </w:numPr>
        <w:rPr>
          <w:color w:val="000000" w:themeColor="text1"/>
        </w:rPr>
      </w:pPr>
      <w:r>
        <w:rPr>
          <w:rFonts w:hint="eastAsia"/>
          <w:color w:val="000000" w:themeColor="text1"/>
        </w:rPr>
        <w:t>处理后的数据；</w:t>
      </w:r>
      <w:r>
        <w:rPr>
          <w:rFonts w:hint="eastAsia"/>
          <w:color w:val="000000" w:themeColor="text1"/>
        </w:rPr>
        <w:t xml:space="preserve"> </w:t>
      </w:r>
    </w:p>
    <w:p w:rsidR="002606BB" w:rsidRDefault="00841612">
      <w:pPr>
        <w:pStyle w:val="a2"/>
        <w:numPr>
          <w:ilvl w:val="0"/>
          <w:numId w:val="40"/>
        </w:numPr>
        <w:rPr>
          <w:color w:val="000000" w:themeColor="text1"/>
        </w:rPr>
      </w:pPr>
      <w:r>
        <w:rPr>
          <w:rFonts w:hint="eastAsia"/>
          <w:color w:val="000000" w:themeColor="text1"/>
        </w:rPr>
        <w:t>定量或相对数据的尺度；</w:t>
      </w:r>
      <w:r>
        <w:rPr>
          <w:rFonts w:hint="eastAsia"/>
          <w:color w:val="000000" w:themeColor="text1"/>
        </w:rPr>
        <w:t xml:space="preserve"> </w:t>
      </w:r>
    </w:p>
    <w:p w:rsidR="002606BB" w:rsidRDefault="00841612">
      <w:pPr>
        <w:pStyle w:val="a2"/>
        <w:numPr>
          <w:ilvl w:val="0"/>
          <w:numId w:val="40"/>
        </w:numPr>
        <w:rPr>
          <w:color w:val="000000" w:themeColor="text1"/>
        </w:rPr>
      </w:pPr>
      <w:r>
        <w:rPr>
          <w:rFonts w:hint="eastAsia"/>
          <w:color w:val="000000" w:themeColor="text1"/>
        </w:rPr>
        <w:t>已知</w:t>
      </w:r>
      <w:r>
        <w:rPr>
          <w:rFonts w:hint="eastAsia"/>
          <w:color w:val="000000" w:themeColor="text1"/>
        </w:rPr>
        <w:t>/</w:t>
      </w:r>
      <w:r>
        <w:rPr>
          <w:rFonts w:hint="eastAsia"/>
          <w:color w:val="000000" w:themeColor="text1"/>
        </w:rPr>
        <w:t>参考值的基准；</w:t>
      </w:r>
      <w:r>
        <w:rPr>
          <w:rFonts w:hint="eastAsia"/>
          <w:color w:val="000000" w:themeColor="text1"/>
        </w:rPr>
        <w:t xml:space="preserve"> </w:t>
      </w:r>
    </w:p>
    <w:p w:rsidR="002606BB" w:rsidRDefault="00841612">
      <w:pPr>
        <w:pStyle w:val="a2"/>
        <w:numPr>
          <w:ilvl w:val="0"/>
          <w:numId w:val="40"/>
        </w:numPr>
        <w:rPr>
          <w:color w:val="000000" w:themeColor="text1"/>
        </w:rPr>
      </w:pPr>
      <w:r>
        <w:rPr>
          <w:rFonts w:hint="eastAsia"/>
          <w:color w:val="000000" w:themeColor="text1"/>
        </w:rPr>
        <w:t>元数据（样本、步骤、条件等的详细说明）；</w:t>
      </w:r>
      <w:r>
        <w:rPr>
          <w:rFonts w:hint="eastAsia"/>
          <w:color w:val="000000" w:themeColor="text1"/>
        </w:rPr>
        <w:t xml:space="preserve"> </w:t>
      </w:r>
    </w:p>
    <w:p w:rsidR="002606BB" w:rsidRDefault="00841612">
      <w:pPr>
        <w:pStyle w:val="a2"/>
        <w:numPr>
          <w:ilvl w:val="0"/>
          <w:numId w:val="40"/>
        </w:numPr>
        <w:rPr>
          <w:color w:val="000000" w:themeColor="text1"/>
        </w:rPr>
      </w:pPr>
      <w:r>
        <w:rPr>
          <w:rFonts w:hint="eastAsia"/>
          <w:color w:val="000000" w:themeColor="text1"/>
        </w:rPr>
        <w:t>控制策略的结果（为检测的性能提供信心）；</w:t>
      </w:r>
      <w:r>
        <w:rPr>
          <w:rFonts w:hint="eastAsia"/>
          <w:color w:val="000000" w:themeColor="text1"/>
        </w:rPr>
        <w:t xml:space="preserve"> </w:t>
      </w:r>
    </w:p>
    <w:p w:rsidR="002606BB" w:rsidRDefault="00841612">
      <w:pPr>
        <w:pStyle w:val="a2"/>
        <w:numPr>
          <w:ilvl w:val="0"/>
          <w:numId w:val="40"/>
        </w:numPr>
        <w:rPr>
          <w:color w:val="000000" w:themeColor="text1"/>
        </w:rPr>
      </w:pPr>
      <w:r>
        <w:rPr>
          <w:rFonts w:hint="eastAsia"/>
          <w:color w:val="000000" w:themeColor="text1"/>
        </w:rPr>
        <w:t>产品性能；</w:t>
      </w:r>
      <w:r>
        <w:rPr>
          <w:rFonts w:hint="eastAsia"/>
          <w:color w:val="000000" w:themeColor="text1"/>
        </w:rPr>
        <w:t xml:space="preserve"> </w:t>
      </w:r>
    </w:p>
    <w:p w:rsidR="002606BB" w:rsidRDefault="00841612">
      <w:pPr>
        <w:pStyle w:val="a2"/>
        <w:numPr>
          <w:ilvl w:val="0"/>
          <w:numId w:val="40"/>
        </w:numPr>
        <w:rPr>
          <w:color w:val="000000" w:themeColor="text1"/>
        </w:rPr>
      </w:pPr>
      <w:r>
        <w:rPr>
          <w:rFonts w:hint="eastAsia"/>
          <w:color w:val="000000" w:themeColor="text1"/>
        </w:rPr>
        <w:t>稳定性；</w:t>
      </w:r>
      <w:r>
        <w:rPr>
          <w:rFonts w:hint="eastAsia"/>
          <w:color w:val="000000" w:themeColor="text1"/>
        </w:rPr>
        <w:t xml:space="preserve"> </w:t>
      </w:r>
    </w:p>
    <w:p w:rsidR="002606BB" w:rsidRDefault="00841612">
      <w:pPr>
        <w:pStyle w:val="a2"/>
        <w:numPr>
          <w:ilvl w:val="0"/>
          <w:numId w:val="40"/>
        </w:numPr>
        <w:rPr>
          <w:color w:val="000000" w:themeColor="text1"/>
        </w:rPr>
      </w:pPr>
      <w:r>
        <w:rPr>
          <w:rFonts w:hint="eastAsia"/>
          <w:color w:val="000000" w:themeColor="text1"/>
        </w:rPr>
        <w:t>质量控制；</w:t>
      </w:r>
      <w:r>
        <w:rPr>
          <w:rFonts w:hint="eastAsia"/>
          <w:color w:val="000000" w:themeColor="text1"/>
        </w:rPr>
        <w:t xml:space="preserve"> </w:t>
      </w:r>
    </w:p>
    <w:p w:rsidR="002606BB" w:rsidRDefault="00841612">
      <w:pPr>
        <w:pStyle w:val="a2"/>
        <w:numPr>
          <w:ilvl w:val="0"/>
          <w:numId w:val="40"/>
        </w:numPr>
        <w:rPr>
          <w:color w:val="000000" w:themeColor="text1"/>
        </w:rPr>
      </w:pPr>
      <w:r>
        <w:rPr>
          <w:rFonts w:hint="eastAsia"/>
          <w:color w:val="000000" w:themeColor="text1"/>
        </w:rPr>
        <w:t>分析检测的方法</w:t>
      </w:r>
      <w:r>
        <w:rPr>
          <w:rFonts w:hint="eastAsia"/>
          <w:color w:val="000000" w:themeColor="text1"/>
        </w:rPr>
        <w:t>。</w:t>
      </w:r>
    </w:p>
    <w:p w:rsidR="002606BB" w:rsidRDefault="00841612">
      <w:pPr>
        <w:pStyle w:val="a2"/>
        <w:ind w:left="0"/>
        <w:rPr>
          <w:color w:val="000000" w:themeColor="text1"/>
        </w:rPr>
      </w:pPr>
      <w:r>
        <w:rPr>
          <w:rFonts w:hint="eastAsia"/>
          <w:color w:val="000000" w:themeColor="text1"/>
        </w:rPr>
        <w:t>生产用原材料供应者负责提供分析证明、原产地证明和合</w:t>
      </w:r>
      <w:proofErr w:type="gramStart"/>
      <w:r>
        <w:rPr>
          <w:rFonts w:hint="eastAsia"/>
          <w:color w:val="000000" w:themeColor="text1"/>
        </w:rPr>
        <w:t>规</w:t>
      </w:r>
      <w:proofErr w:type="gramEnd"/>
      <w:r>
        <w:rPr>
          <w:rFonts w:hint="eastAsia"/>
          <w:color w:val="000000" w:themeColor="text1"/>
        </w:rPr>
        <w:t>证明中的所有信息，应允</w:t>
      </w:r>
      <w:proofErr w:type="gramStart"/>
      <w:r>
        <w:rPr>
          <w:rFonts w:hint="eastAsia"/>
          <w:color w:val="000000" w:themeColor="text1"/>
        </w:rPr>
        <w:t>许生产</w:t>
      </w:r>
      <w:proofErr w:type="gramEnd"/>
      <w:r>
        <w:rPr>
          <w:rFonts w:hint="eastAsia"/>
          <w:color w:val="000000" w:themeColor="text1"/>
        </w:rPr>
        <w:t>用原材料使用者对这些信息进行评估，在某些情况下为配合生产用原材料使用者的审计需提供进一步的详细信息。</w:t>
      </w:r>
    </w:p>
    <w:p w:rsidR="002606BB" w:rsidRDefault="00841612">
      <w:pPr>
        <w:pStyle w:val="a2"/>
        <w:ind w:left="0"/>
        <w:rPr>
          <w:color w:val="000000" w:themeColor="text1"/>
        </w:rPr>
      </w:pPr>
      <w:r>
        <w:rPr>
          <w:rFonts w:hint="eastAsia"/>
          <w:color w:val="000000" w:themeColor="text1"/>
        </w:rPr>
        <w:t>生产用原材料使用者也可通过订阅的方式来使用供应者提供的数据报告，当信息更新时，生产用原材料使用者可以主动向供应者索取。</w:t>
      </w:r>
    </w:p>
    <w:p w:rsidR="002606BB" w:rsidRDefault="00841612">
      <w:pPr>
        <w:pStyle w:val="a2"/>
        <w:ind w:left="0"/>
        <w:rPr>
          <w:color w:val="000000" w:themeColor="text1"/>
        </w:rPr>
      </w:pPr>
      <w:r>
        <w:rPr>
          <w:rFonts w:hint="eastAsia"/>
          <w:color w:val="000000" w:themeColor="text1"/>
        </w:rPr>
        <w:t>建议生产用原材料供应者和使用者宜通过讨论就需要共享的数据达成一致，宜进一步将其纳入质量协议中。</w:t>
      </w:r>
    </w:p>
    <w:p w:rsidR="002606BB" w:rsidRDefault="00841612">
      <w:pPr>
        <w:pStyle w:val="a2"/>
        <w:ind w:left="0"/>
        <w:rPr>
          <w:color w:val="000000" w:themeColor="text1"/>
        </w:rPr>
      </w:pPr>
      <w:r>
        <w:rPr>
          <w:rFonts w:hint="eastAsia"/>
          <w:color w:val="000000" w:themeColor="text1"/>
        </w:rPr>
        <w:t>生产用原材料伴随商业化阶段时应遵循良好生产规范（</w:t>
      </w:r>
      <w:r>
        <w:rPr>
          <w:rFonts w:hint="eastAsia"/>
          <w:color w:val="000000" w:themeColor="text1"/>
        </w:rPr>
        <w:t>GMP</w:t>
      </w:r>
      <w:r>
        <w:rPr>
          <w:rFonts w:hint="eastAsia"/>
          <w:color w:val="000000" w:themeColor="text1"/>
        </w:rPr>
        <w:t>）的规定。</w:t>
      </w:r>
      <w:r>
        <w:rPr>
          <w:rFonts w:hint="eastAsia"/>
          <w:color w:val="000000" w:themeColor="text1"/>
        </w:rPr>
        <w:t>GMP</w:t>
      </w:r>
      <w:r>
        <w:rPr>
          <w:rFonts w:hint="eastAsia"/>
          <w:color w:val="000000" w:themeColor="text1"/>
        </w:rPr>
        <w:t>框架有助于加强生产用原材料供应者和使用者之间</w:t>
      </w:r>
      <w:r>
        <w:rPr>
          <w:rFonts w:hint="eastAsia"/>
          <w:color w:val="000000" w:themeColor="text1"/>
        </w:rPr>
        <w:t>的合作关系。</w:t>
      </w:r>
    </w:p>
    <w:p w:rsidR="002606BB" w:rsidRDefault="00841612">
      <w:pPr>
        <w:pStyle w:val="a2"/>
        <w:ind w:left="0"/>
        <w:rPr>
          <w:color w:val="000000" w:themeColor="text1"/>
        </w:rPr>
      </w:pPr>
      <w:r>
        <w:rPr>
          <w:rFonts w:hint="eastAsia"/>
          <w:color w:val="000000" w:themeColor="text1"/>
        </w:rPr>
        <w:t>对于具有危险性的物质和混合物应编制安全信息表（</w:t>
      </w:r>
      <w:r>
        <w:rPr>
          <w:rFonts w:hint="eastAsia"/>
          <w:color w:val="000000" w:themeColor="text1"/>
        </w:rPr>
        <w:t>SDS</w:t>
      </w:r>
      <w:r>
        <w:rPr>
          <w:rFonts w:hint="eastAsia"/>
          <w:color w:val="000000" w:themeColor="text1"/>
        </w:rPr>
        <w:t>），例如相关法规所规定的具有物理危害、健康危害或环境危害的物质和混合物；含有致癌性、生殖毒性或靶器官毒性成分且所含浓度超过相关文件规定限值的混合物等。安全信息表信息</w:t>
      </w:r>
      <w:proofErr w:type="gramStart"/>
      <w:r>
        <w:rPr>
          <w:rFonts w:hint="eastAsia"/>
          <w:color w:val="000000" w:themeColor="text1"/>
        </w:rPr>
        <w:t>宜包括</w:t>
      </w:r>
      <w:proofErr w:type="gramEnd"/>
      <w:r>
        <w:rPr>
          <w:rFonts w:hint="eastAsia"/>
          <w:color w:val="000000" w:themeColor="text1"/>
        </w:rPr>
        <w:t>供应该生产用原材料的国家的相关禁止和限制。</w:t>
      </w:r>
    </w:p>
    <w:p w:rsidR="002606BB" w:rsidRDefault="00841612">
      <w:pPr>
        <w:pStyle w:val="a2"/>
        <w:ind w:left="0"/>
        <w:rPr>
          <w:color w:val="000000" w:themeColor="text1"/>
        </w:rPr>
      </w:pPr>
      <w:r>
        <w:rPr>
          <w:rFonts w:hint="eastAsia"/>
          <w:color w:val="000000" w:themeColor="text1"/>
        </w:rPr>
        <w:t>生产用原材料的数据报告的要素可包括：</w:t>
      </w:r>
      <w:r>
        <w:rPr>
          <w:rFonts w:hint="eastAsia"/>
          <w:color w:val="000000" w:themeColor="text1"/>
        </w:rPr>
        <w:t xml:space="preserve"> </w:t>
      </w:r>
    </w:p>
    <w:p w:rsidR="002606BB" w:rsidRDefault="00841612">
      <w:pPr>
        <w:pStyle w:val="af9"/>
        <w:numPr>
          <w:ilvl w:val="0"/>
          <w:numId w:val="41"/>
        </w:numPr>
        <w:ind w:left="840" w:hanging="420"/>
        <w:rPr>
          <w:color w:val="000000" w:themeColor="text1"/>
        </w:rPr>
      </w:pPr>
      <w:r>
        <w:rPr>
          <w:rFonts w:hint="eastAsia"/>
          <w:color w:val="000000" w:themeColor="text1"/>
        </w:rPr>
        <w:t>标题（如“质量报告”或“材料证明书”）；</w:t>
      </w:r>
    </w:p>
    <w:p w:rsidR="002606BB" w:rsidRDefault="00841612">
      <w:pPr>
        <w:pStyle w:val="af9"/>
        <w:numPr>
          <w:ilvl w:val="0"/>
          <w:numId w:val="41"/>
        </w:numPr>
        <w:ind w:left="840" w:hanging="420"/>
        <w:rPr>
          <w:color w:val="000000" w:themeColor="text1"/>
        </w:rPr>
      </w:pPr>
      <w:r>
        <w:rPr>
          <w:rFonts w:hint="eastAsia"/>
          <w:color w:val="000000" w:themeColor="text1"/>
        </w:rPr>
        <w:t>生产用原材料的身份标识号、细胞描述符（例如：细胞类型、批号或标识符、生产日期、来源）；</w:t>
      </w:r>
      <w:r>
        <w:rPr>
          <w:rFonts w:hint="eastAsia"/>
          <w:color w:val="000000" w:themeColor="text1"/>
        </w:rPr>
        <w:t xml:space="preserve"> </w:t>
      </w:r>
    </w:p>
    <w:p w:rsidR="002606BB" w:rsidRDefault="00841612">
      <w:pPr>
        <w:pStyle w:val="af9"/>
        <w:numPr>
          <w:ilvl w:val="0"/>
          <w:numId w:val="41"/>
        </w:numPr>
        <w:ind w:left="840" w:hanging="420"/>
        <w:rPr>
          <w:color w:val="000000" w:themeColor="text1"/>
        </w:rPr>
      </w:pPr>
      <w:r>
        <w:rPr>
          <w:rFonts w:hint="eastAsia"/>
          <w:color w:val="000000" w:themeColor="text1"/>
        </w:rPr>
        <w:t>生产设施的名称和地址，以及报告中所提及活动的地点（如果与生产设施的地址不同）；</w:t>
      </w:r>
      <w:r>
        <w:rPr>
          <w:rFonts w:hint="eastAsia"/>
          <w:color w:val="000000" w:themeColor="text1"/>
        </w:rPr>
        <w:t xml:space="preserve"> </w:t>
      </w:r>
    </w:p>
    <w:p w:rsidR="002606BB" w:rsidRDefault="00841612">
      <w:pPr>
        <w:pStyle w:val="af9"/>
        <w:numPr>
          <w:ilvl w:val="0"/>
          <w:numId w:val="41"/>
        </w:numPr>
        <w:ind w:left="840" w:hanging="420"/>
        <w:rPr>
          <w:color w:val="000000" w:themeColor="text1"/>
        </w:rPr>
      </w:pPr>
      <w:r>
        <w:rPr>
          <w:rFonts w:hint="eastAsia"/>
          <w:color w:val="000000" w:themeColor="text1"/>
        </w:rPr>
        <w:t>报告的发布日期；</w:t>
      </w:r>
      <w:r>
        <w:rPr>
          <w:rFonts w:hint="eastAsia"/>
          <w:color w:val="000000" w:themeColor="text1"/>
        </w:rPr>
        <w:t xml:space="preserve"> </w:t>
      </w:r>
    </w:p>
    <w:p w:rsidR="002606BB" w:rsidRDefault="00841612">
      <w:pPr>
        <w:pStyle w:val="af9"/>
        <w:numPr>
          <w:ilvl w:val="0"/>
          <w:numId w:val="41"/>
        </w:numPr>
        <w:ind w:left="840" w:hanging="420"/>
        <w:rPr>
          <w:color w:val="000000" w:themeColor="text1"/>
        </w:rPr>
      </w:pPr>
      <w:r>
        <w:rPr>
          <w:rFonts w:hint="eastAsia"/>
          <w:color w:val="000000" w:themeColor="text1"/>
        </w:rPr>
        <w:t>报告的唯一标识（如序列号），在报告的每一页上都添加标识以确认该页是报告的一部分，在报告的结尾加注报告结束的标识；</w:t>
      </w:r>
      <w:r>
        <w:rPr>
          <w:rFonts w:hint="eastAsia"/>
          <w:color w:val="000000" w:themeColor="text1"/>
        </w:rPr>
        <w:t xml:space="preserve"> </w:t>
      </w:r>
    </w:p>
    <w:p w:rsidR="002606BB" w:rsidRDefault="00841612">
      <w:pPr>
        <w:pStyle w:val="af9"/>
        <w:numPr>
          <w:ilvl w:val="0"/>
          <w:numId w:val="41"/>
        </w:numPr>
        <w:ind w:left="840" w:hanging="420"/>
        <w:rPr>
          <w:color w:val="000000" w:themeColor="text1"/>
        </w:rPr>
      </w:pPr>
      <w:r>
        <w:rPr>
          <w:rFonts w:hint="eastAsia"/>
          <w:color w:val="000000" w:themeColor="text1"/>
        </w:rPr>
        <w:t>生物</w:t>
      </w:r>
      <w:proofErr w:type="gramStart"/>
      <w:r>
        <w:rPr>
          <w:rFonts w:hint="eastAsia"/>
          <w:color w:val="000000" w:themeColor="text1"/>
        </w:rPr>
        <w:t>源材料</w:t>
      </w:r>
      <w:proofErr w:type="gramEnd"/>
      <w:r>
        <w:rPr>
          <w:rFonts w:hint="eastAsia"/>
          <w:color w:val="000000" w:themeColor="text1"/>
        </w:rPr>
        <w:t>的标识或特性（当生产用原材料为生物源性时）；</w:t>
      </w:r>
      <w:r>
        <w:rPr>
          <w:rFonts w:hint="eastAsia"/>
          <w:color w:val="000000" w:themeColor="text1"/>
        </w:rPr>
        <w:t xml:space="preserve"> </w:t>
      </w:r>
    </w:p>
    <w:p w:rsidR="002606BB" w:rsidRDefault="00841612">
      <w:pPr>
        <w:pStyle w:val="af9"/>
        <w:numPr>
          <w:ilvl w:val="0"/>
          <w:numId w:val="41"/>
        </w:numPr>
        <w:ind w:left="840" w:hanging="420"/>
        <w:rPr>
          <w:color w:val="000000" w:themeColor="text1"/>
        </w:rPr>
      </w:pPr>
      <w:r>
        <w:rPr>
          <w:rFonts w:hint="eastAsia"/>
          <w:color w:val="000000" w:themeColor="text1"/>
        </w:rPr>
        <w:t>生产用原材料的相关质量信息及关联数据；</w:t>
      </w:r>
      <w:r>
        <w:rPr>
          <w:rFonts w:hint="eastAsia"/>
          <w:color w:val="000000" w:themeColor="text1"/>
        </w:rPr>
        <w:t xml:space="preserve"> </w:t>
      </w:r>
    </w:p>
    <w:p w:rsidR="002606BB" w:rsidRDefault="00841612">
      <w:pPr>
        <w:pStyle w:val="af9"/>
        <w:numPr>
          <w:ilvl w:val="0"/>
          <w:numId w:val="41"/>
        </w:numPr>
        <w:ind w:left="840" w:hanging="420"/>
        <w:rPr>
          <w:color w:val="000000" w:themeColor="text1"/>
        </w:rPr>
      </w:pPr>
      <w:r>
        <w:rPr>
          <w:rFonts w:hint="eastAsia"/>
          <w:color w:val="000000" w:themeColor="text1"/>
        </w:rPr>
        <w:t>检测方法的说明，包括检测方法的敏感性、特异性以及放行的标准；</w:t>
      </w:r>
      <w:r>
        <w:rPr>
          <w:rFonts w:hint="eastAsia"/>
          <w:color w:val="000000" w:themeColor="text1"/>
        </w:rPr>
        <w:t xml:space="preserve"> </w:t>
      </w:r>
    </w:p>
    <w:p w:rsidR="002606BB" w:rsidRDefault="00841612">
      <w:pPr>
        <w:pStyle w:val="af9"/>
        <w:numPr>
          <w:ilvl w:val="0"/>
          <w:numId w:val="41"/>
        </w:numPr>
        <w:ind w:left="840" w:hanging="420"/>
        <w:rPr>
          <w:color w:val="000000" w:themeColor="text1"/>
        </w:rPr>
      </w:pPr>
      <w:r>
        <w:rPr>
          <w:rFonts w:hint="eastAsia"/>
          <w:color w:val="000000" w:themeColor="text1"/>
        </w:rPr>
        <w:t>检测结果，</w:t>
      </w:r>
      <w:r>
        <w:rPr>
          <w:rFonts w:hint="eastAsia"/>
          <w:color w:val="000000" w:themeColor="text1"/>
        </w:rPr>
        <w:t>如适当，</w:t>
      </w:r>
      <w:r>
        <w:rPr>
          <w:rFonts w:hint="eastAsia"/>
          <w:color w:val="000000" w:themeColor="text1"/>
        </w:rPr>
        <w:t>包括测量的单位；</w:t>
      </w:r>
    </w:p>
    <w:p w:rsidR="002606BB" w:rsidRDefault="00841612">
      <w:pPr>
        <w:pStyle w:val="af7"/>
        <w:rPr>
          <w:color w:val="000000" w:themeColor="text1"/>
        </w:rPr>
      </w:pPr>
      <w:r>
        <w:rPr>
          <w:rFonts w:hint="eastAsia"/>
          <w:color w:val="000000" w:themeColor="text1"/>
        </w:rPr>
        <w:t>测量单位可以是国际单位制或为根据报告目的而定义的其他单位</w:t>
      </w:r>
    </w:p>
    <w:p w:rsidR="002606BB" w:rsidRDefault="00841612">
      <w:pPr>
        <w:pStyle w:val="af9"/>
        <w:numPr>
          <w:ilvl w:val="0"/>
          <w:numId w:val="41"/>
        </w:numPr>
        <w:ind w:left="840" w:hanging="420"/>
        <w:rPr>
          <w:color w:val="000000" w:themeColor="text1"/>
        </w:rPr>
      </w:pPr>
      <w:r>
        <w:rPr>
          <w:rFonts w:hint="eastAsia"/>
          <w:color w:val="000000" w:themeColor="text1"/>
        </w:rPr>
        <w:t>储存和运输条件；</w:t>
      </w:r>
      <w:r>
        <w:rPr>
          <w:rFonts w:hint="eastAsia"/>
          <w:color w:val="000000" w:themeColor="text1"/>
        </w:rPr>
        <w:t xml:space="preserve"> </w:t>
      </w:r>
    </w:p>
    <w:p w:rsidR="002606BB" w:rsidRDefault="00841612">
      <w:pPr>
        <w:pStyle w:val="af9"/>
        <w:numPr>
          <w:ilvl w:val="0"/>
          <w:numId w:val="41"/>
        </w:numPr>
        <w:ind w:left="840" w:hanging="420"/>
        <w:rPr>
          <w:color w:val="000000" w:themeColor="text1"/>
        </w:rPr>
      </w:pPr>
      <w:r>
        <w:rPr>
          <w:rFonts w:hint="eastAsia"/>
          <w:color w:val="000000" w:themeColor="text1"/>
        </w:rPr>
        <w:t>失效期；</w:t>
      </w:r>
      <w:r>
        <w:rPr>
          <w:rFonts w:hint="eastAsia"/>
          <w:color w:val="000000" w:themeColor="text1"/>
        </w:rPr>
        <w:t xml:space="preserve"> </w:t>
      </w:r>
    </w:p>
    <w:p w:rsidR="002606BB" w:rsidRDefault="00841612">
      <w:pPr>
        <w:pStyle w:val="af9"/>
        <w:numPr>
          <w:ilvl w:val="0"/>
          <w:numId w:val="41"/>
        </w:numPr>
        <w:ind w:left="840" w:hanging="420"/>
        <w:rPr>
          <w:color w:val="000000" w:themeColor="text1"/>
        </w:rPr>
      </w:pPr>
      <w:r>
        <w:rPr>
          <w:rFonts w:hint="eastAsia"/>
          <w:color w:val="000000" w:themeColor="text1"/>
        </w:rPr>
        <w:t>非预</w:t>
      </w:r>
      <w:r>
        <w:rPr>
          <w:rFonts w:hint="eastAsia"/>
          <w:color w:val="000000" w:themeColor="text1"/>
        </w:rPr>
        <w:t>期的观察。</w:t>
      </w:r>
    </w:p>
    <w:p w:rsidR="002606BB" w:rsidRDefault="00841612">
      <w:pPr>
        <w:pStyle w:val="a1"/>
        <w:numPr>
          <w:ilvl w:val="1"/>
          <w:numId w:val="28"/>
        </w:numPr>
        <w:spacing w:before="156" w:after="156"/>
        <w:rPr>
          <w:color w:val="000000" w:themeColor="text1"/>
        </w:rPr>
      </w:pPr>
      <w:r>
        <w:rPr>
          <w:rFonts w:hint="eastAsia"/>
          <w:color w:val="000000" w:themeColor="text1"/>
        </w:rPr>
        <w:t>分析证明（</w:t>
      </w:r>
      <w:r>
        <w:rPr>
          <w:rFonts w:hint="eastAsia"/>
          <w:color w:val="000000" w:themeColor="text1"/>
        </w:rPr>
        <w:t>CoA</w:t>
      </w:r>
      <w:r>
        <w:rPr>
          <w:rFonts w:hint="eastAsia"/>
          <w:color w:val="000000" w:themeColor="text1"/>
        </w:rPr>
        <w:t>）</w:t>
      </w:r>
    </w:p>
    <w:p w:rsidR="002606BB" w:rsidRDefault="00841612">
      <w:pPr>
        <w:pStyle w:val="a2"/>
        <w:ind w:left="0"/>
        <w:rPr>
          <w:color w:val="000000" w:themeColor="text1"/>
        </w:rPr>
      </w:pPr>
      <w:r>
        <w:rPr>
          <w:rFonts w:hint="eastAsia"/>
          <w:color w:val="000000" w:themeColor="text1"/>
        </w:rPr>
        <w:t>分析证明是生产用原材料已通过指定测试并获得指定结果的证明文件。通常分析证明代表所提供的生产用原材料与生产用原材料使用者要求一致。</w:t>
      </w:r>
    </w:p>
    <w:p w:rsidR="002606BB" w:rsidRDefault="00841612">
      <w:pPr>
        <w:pStyle w:val="a2"/>
        <w:ind w:left="0"/>
        <w:rPr>
          <w:color w:val="000000" w:themeColor="text1"/>
        </w:rPr>
      </w:pPr>
      <w:r>
        <w:rPr>
          <w:rFonts w:hint="eastAsia"/>
          <w:color w:val="000000" w:themeColor="text1"/>
        </w:rPr>
        <w:t>分析证明由生产用原材料供应者签发，通常包含某个产品的一个独立批次在质量控制的检测中获得的实际结果。</w:t>
      </w:r>
    </w:p>
    <w:p w:rsidR="002606BB" w:rsidRDefault="00841612">
      <w:pPr>
        <w:pStyle w:val="a2"/>
        <w:ind w:left="0"/>
        <w:rPr>
          <w:color w:val="000000" w:themeColor="text1"/>
        </w:rPr>
      </w:pPr>
      <w:r>
        <w:rPr>
          <w:rFonts w:hint="eastAsia"/>
          <w:color w:val="000000" w:themeColor="text1"/>
        </w:rPr>
        <w:t>分析证明需要稳健地描述生产用原材料的表征，从而实现对多个生产用原材料的比较。当生产用原材料使用者在细胞治疗产品研发阶段需要替换生产用原材料时，宜借助分析证明明智地选择一种从科学和监管角度上具备等效性的替代生产用原材料。</w:t>
      </w:r>
    </w:p>
    <w:p w:rsidR="002606BB" w:rsidRDefault="00841612">
      <w:pPr>
        <w:pStyle w:val="a2"/>
        <w:ind w:left="0"/>
        <w:rPr>
          <w:color w:val="000000" w:themeColor="text1"/>
        </w:rPr>
      </w:pPr>
      <w:r>
        <w:rPr>
          <w:rFonts w:hint="eastAsia"/>
          <w:color w:val="000000" w:themeColor="text1"/>
        </w:rPr>
        <w:t>生产用原材料使用者</w:t>
      </w:r>
      <w:r>
        <w:rPr>
          <w:rFonts w:ascii="Calibri" w:hAnsi="Calibri" w:hint="eastAsia"/>
          <w:color w:val="000000" w:themeColor="text1"/>
          <w:szCs w:val="22"/>
          <w:lang w:bidi="ar"/>
        </w:rPr>
        <w:t>或</w:t>
      </w:r>
      <w:r>
        <w:rPr>
          <w:rFonts w:hint="eastAsia"/>
          <w:color w:val="000000" w:themeColor="text1"/>
        </w:rPr>
        <w:t>生产用原材料供应者</w:t>
      </w:r>
      <w:r>
        <w:rPr>
          <w:rFonts w:ascii="Calibri" w:hAnsi="Calibri" w:hint="eastAsia"/>
          <w:color w:val="000000" w:themeColor="text1"/>
          <w:szCs w:val="22"/>
          <w:lang w:bidi="ar"/>
        </w:rPr>
        <w:t>或两者均可完成</w:t>
      </w:r>
      <w:r>
        <w:rPr>
          <w:rFonts w:hint="eastAsia"/>
          <w:color w:val="000000" w:themeColor="text1"/>
        </w:rPr>
        <w:t>生产用原材料的</w:t>
      </w:r>
      <w:r>
        <w:rPr>
          <w:rFonts w:ascii="Calibri" w:hAnsi="Calibri" w:hint="eastAsia"/>
          <w:color w:val="000000" w:themeColor="text1"/>
          <w:szCs w:val="22"/>
          <w:lang w:bidi="ar"/>
        </w:rPr>
        <w:t>测试</w:t>
      </w:r>
      <w:r>
        <w:rPr>
          <w:rFonts w:ascii="Calibri" w:hAnsi="Calibri"/>
          <w:color w:val="000000" w:themeColor="text1"/>
          <w:szCs w:val="22"/>
          <w:lang w:bidi="ar"/>
        </w:rPr>
        <w:t>/</w:t>
      </w:r>
      <w:r>
        <w:rPr>
          <w:rFonts w:ascii="Calibri" w:hAnsi="Calibri" w:hint="eastAsia"/>
          <w:color w:val="000000" w:themeColor="text1"/>
          <w:szCs w:val="22"/>
          <w:lang w:bidi="ar"/>
        </w:rPr>
        <w:t>表征，以确保</w:t>
      </w:r>
      <w:r>
        <w:rPr>
          <w:rFonts w:ascii="Calibri" w:hAnsi="Calibri"/>
          <w:color w:val="000000" w:themeColor="text1"/>
          <w:szCs w:val="22"/>
          <w:lang w:bidi="ar"/>
        </w:rPr>
        <w:t>AM</w:t>
      </w:r>
      <w:r>
        <w:rPr>
          <w:rFonts w:ascii="Calibri" w:hAnsi="Calibri" w:hint="eastAsia"/>
          <w:color w:val="000000" w:themeColor="text1"/>
          <w:szCs w:val="22"/>
          <w:lang w:bidi="ar"/>
        </w:rPr>
        <w:t>的质量符合其标准。</w:t>
      </w:r>
      <w:r>
        <w:rPr>
          <w:rFonts w:hint="eastAsia"/>
          <w:color w:val="000000" w:themeColor="text1"/>
        </w:rPr>
        <w:t>当生产用原材料使用者接收了生产用原材料后，该材料的质量控制以及所有关联文件由生产用原材料使用者负责。</w:t>
      </w:r>
    </w:p>
    <w:p w:rsidR="002606BB" w:rsidRDefault="00841612">
      <w:pPr>
        <w:pStyle w:val="a2"/>
        <w:ind w:left="0"/>
        <w:rPr>
          <w:color w:val="000000" w:themeColor="text1"/>
        </w:rPr>
      </w:pPr>
      <w:r>
        <w:rPr>
          <w:rFonts w:hint="eastAsia"/>
          <w:color w:val="000000" w:themeColor="text1"/>
        </w:rPr>
        <w:t>通常可通过检测来获得生产用原材料各项表征的进一步信息，这些检测的程度取决于供应者开展检测的水平及其提供</w:t>
      </w:r>
      <w:proofErr w:type="gramStart"/>
      <w:r>
        <w:rPr>
          <w:rFonts w:hint="eastAsia"/>
          <w:color w:val="000000" w:themeColor="text1"/>
        </w:rPr>
        <w:t>所数据</w:t>
      </w:r>
      <w:proofErr w:type="gramEnd"/>
      <w:r>
        <w:rPr>
          <w:rFonts w:hint="eastAsia"/>
          <w:color w:val="000000" w:themeColor="text1"/>
        </w:rPr>
        <w:t>的可靠性。生产用原材料的相关各项表征简要总结如下：</w:t>
      </w:r>
      <w:r>
        <w:rPr>
          <w:rFonts w:hint="eastAsia"/>
          <w:color w:val="000000" w:themeColor="text1"/>
        </w:rPr>
        <w:t xml:space="preserve"> </w:t>
      </w:r>
    </w:p>
    <w:p w:rsidR="002606BB" w:rsidRDefault="00841612">
      <w:pPr>
        <w:pStyle w:val="af9"/>
        <w:numPr>
          <w:ilvl w:val="0"/>
          <w:numId w:val="42"/>
        </w:numPr>
        <w:ind w:left="840" w:hanging="420"/>
        <w:rPr>
          <w:color w:val="000000" w:themeColor="text1"/>
        </w:rPr>
      </w:pPr>
      <w:r>
        <w:rPr>
          <w:rFonts w:hint="eastAsia"/>
          <w:color w:val="000000" w:themeColor="text1"/>
        </w:rPr>
        <w:t>外观（</w:t>
      </w:r>
      <w:r>
        <w:rPr>
          <w:rFonts w:hint="eastAsia"/>
          <w:color w:val="000000" w:themeColor="text1"/>
        </w:rPr>
        <w:t>aspect</w:t>
      </w:r>
      <w:r>
        <w:rPr>
          <w:rFonts w:hint="eastAsia"/>
          <w:color w:val="000000" w:themeColor="text1"/>
        </w:rPr>
        <w:t>）–对生产用原材料外表的简短描述；鉴别–确认期望物质存在的检测；</w:t>
      </w:r>
      <w:r>
        <w:rPr>
          <w:rFonts w:hint="eastAsia"/>
          <w:color w:val="000000" w:themeColor="text1"/>
        </w:rPr>
        <w:t xml:space="preserve"> </w:t>
      </w:r>
    </w:p>
    <w:p w:rsidR="002606BB" w:rsidRDefault="00841612">
      <w:pPr>
        <w:pStyle w:val="af9"/>
        <w:numPr>
          <w:ilvl w:val="0"/>
          <w:numId w:val="42"/>
        </w:numPr>
        <w:ind w:left="840" w:hanging="420"/>
        <w:rPr>
          <w:color w:val="000000" w:themeColor="text1"/>
        </w:rPr>
      </w:pPr>
      <w:r>
        <w:rPr>
          <w:rFonts w:hint="eastAsia"/>
          <w:color w:val="000000" w:themeColor="text1"/>
        </w:rPr>
        <w:t>纯度–衡量目的物质纯净程度的指标；</w:t>
      </w:r>
      <w:r>
        <w:rPr>
          <w:rFonts w:hint="eastAsia"/>
          <w:color w:val="000000" w:themeColor="text1"/>
        </w:rPr>
        <w:t xml:space="preserve"> </w:t>
      </w:r>
    </w:p>
    <w:p w:rsidR="002606BB" w:rsidRDefault="00841612">
      <w:pPr>
        <w:pStyle w:val="af9"/>
        <w:numPr>
          <w:ilvl w:val="0"/>
          <w:numId w:val="42"/>
        </w:numPr>
        <w:ind w:left="840" w:hanging="420"/>
        <w:rPr>
          <w:color w:val="000000" w:themeColor="text1"/>
        </w:rPr>
      </w:pPr>
      <w:r>
        <w:rPr>
          <w:rFonts w:hint="eastAsia"/>
          <w:color w:val="000000" w:themeColor="text1"/>
        </w:rPr>
        <w:t>杂质–杂质可分为：</w:t>
      </w:r>
    </w:p>
    <w:p w:rsidR="002606BB" w:rsidRDefault="00841612">
      <w:pPr>
        <w:pStyle w:val="afb"/>
        <w:rPr>
          <w:color w:val="000000" w:themeColor="text1"/>
        </w:rPr>
      </w:pPr>
      <w:r>
        <w:rPr>
          <w:rFonts w:hint="eastAsia"/>
          <w:color w:val="000000" w:themeColor="text1"/>
        </w:rPr>
        <w:t>生产用原材料杂质–</w:t>
      </w:r>
      <w:r>
        <w:rPr>
          <w:rFonts w:hint="eastAsia"/>
          <w:color w:val="000000" w:themeColor="text1"/>
        </w:rPr>
        <w:t>生产用原材料的典型分解产物，但对于生物</w:t>
      </w:r>
      <w:proofErr w:type="gramStart"/>
      <w:r>
        <w:rPr>
          <w:rFonts w:hint="eastAsia"/>
          <w:color w:val="000000" w:themeColor="text1"/>
        </w:rPr>
        <w:t>源材料</w:t>
      </w:r>
      <w:proofErr w:type="gramEnd"/>
      <w:r>
        <w:rPr>
          <w:rFonts w:hint="eastAsia"/>
          <w:color w:val="000000" w:themeColor="text1"/>
        </w:rPr>
        <w:t>，生产用原材料杂质可能包括原始材料中的其他不需要的物质。值得注意的是这种情况适用于可利用已有技术来有效评估生物制剂的情况；</w:t>
      </w:r>
    </w:p>
    <w:p w:rsidR="002606BB" w:rsidRDefault="00841612">
      <w:pPr>
        <w:pStyle w:val="afb"/>
        <w:rPr>
          <w:color w:val="000000" w:themeColor="text1"/>
        </w:rPr>
      </w:pPr>
      <w:r>
        <w:rPr>
          <w:rFonts w:hint="eastAsia"/>
          <w:color w:val="000000" w:themeColor="text1"/>
        </w:rPr>
        <w:t>工艺相关杂质–制造过程中的残留物；</w:t>
      </w:r>
    </w:p>
    <w:p w:rsidR="002606BB" w:rsidRDefault="00841612">
      <w:pPr>
        <w:pStyle w:val="afb"/>
        <w:rPr>
          <w:color w:val="000000" w:themeColor="text1"/>
        </w:rPr>
      </w:pPr>
      <w:r>
        <w:rPr>
          <w:rFonts w:hint="eastAsia"/>
          <w:color w:val="000000" w:themeColor="text1"/>
        </w:rPr>
        <w:t>污染物–由起始材料引入制造过程的所有致病原，通常为细菌（无菌、内毒素）和外来因子，但也可包括工艺相关的杂质（溶剂、浸出液等）；</w:t>
      </w:r>
      <w:r>
        <w:rPr>
          <w:rFonts w:hint="eastAsia"/>
          <w:color w:val="000000" w:themeColor="text1"/>
        </w:rPr>
        <w:t xml:space="preserve"> </w:t>
      </w:r>
    </w:p>
    <w:p w:rsidR="002606BB" w:rsidRDefault="00841612">
      <w:pPr>
        <w:pStyle w:val="af9"/>
        <w:numPr>
          <w:ilvl w:val="0"/>
          <w:numId w:val="42"/>
        </w:numPr>
        <w:ind w:left="840" w:hanging="420"/>
        <w:rPr>
          <w:color w:val="000000" w:themeColor="text1"/>
        </w:rPr>
      </w:pPr>
      <w:r>
        <w:rPr>
          <w:rFonts w:hint="eastAsia"/>
          <w:color w:val="000000" w:themeColor="text1"/>
        </w:rPr>
        <w:t>内容物（数量）</w:t>
      </w:r>
      <w:r>
        <w:rPr>
          <w:rFonts w:hint="eastAsia"/>
          <w:color w:val="000000" w:themeColor="text1"/>
        </w:rPr>
        <w:t>-</w:t>
      </w:r>
      <w:r>
        <w:rPr>
          <w:rFonts w:hint="eastAsia"/>
          <w:color w:val="000000" w:themeColor="text1"/>
        </w:rPr>
        <w:t>期望物质在容器中的数量</w:t>
      </w:r>
      <w:r>
        <w:rPr>
          <w:rFonts w:hint="eastAsia"/>
          <w:color w:val="000000" w:themeColor="text1"/>
        </w:rPr>
        <w:t>/</w:t>
      </w:r>
      <w:r>
        <w:rPr>
          <w:rFonts w:hint="eastAsia"/>
          <w:color w:val="000000" w:themeColor="text1"/>
        </w:rPr>
        <w:t>浓度；</w:t>
      </w:r>
      <w:r>
        <w:rPr>
          <w:rFonts w:hint="eastAsia"/>
          <w:color w:val="000000" w:themeColor="text1"/>
        </w:rPr>
        <w:t xml:space="preserve"> </w:t>
      </w:r>
    </w:p>
    <w:p w:rsidR="002606BB" w:rsidRDefault="00841612">
      <w:pPr>
        <w:pStyle w:val="af9"/>
        <w:numPr>
          <w:ilvl w:val="0"/>
          <w:numId w:val="42"/>
        </w:numPr>
        <w:ind w:left="840" w:hanging="420"/>
        <w:rPr>
          <w:color w:val="000000" w:themeColor="text1"/>
        </w:rPr>
      </w:pPr>
      <w:r>
        <w:rPr>
          <w:rFonts w:hint="eastAsia"/>
          <w:color w:val="000000" w:themeColor="text1"/>
        </w:rPr>
        <w:t>生物活性——生产用原材料具有生物活性，例如酶活性和细胞因子活性</w:t>
      </w:r>
      <w:r>
        <w:rPr>
          <w:rFonts w:hint="eastAsia"/>
          <w:color w:val="000000" w:themeColor="text1"/>
        </w:rPr>
        <w:t>(</w:t>
      </w:r>
      <w:r>
        <w:rPr>
          <w:rFonts w:hint="eastAsia"/>
          <w:color w:val="000000" w:themeColor="text1"/>
        </w:rPr>
        <w:t>需要使用参比品，当参比品</w:t>
      </w:r>
      <w:proofErr w:type="gramStart"/>
      <w:r>
        <w:rPr>
          <w:rFonts w:hint="eastAsia"/>
          <w:color w:val="000000" w:themeColor="text1"/>
        </w:rPr>
        <w:t>不</w:t>
      </w:r>
      <w:proofErr w:type="gramEnd"/>
      <w:r>
        <w:rPr>
          <w:rFonts w:hint="eastAsia"/>
          <w:color w:val="000000" w:themeColor="text1"/>
        </w:rPr>
        <w:t>可用时，可使用内部参考标准）以及</w:t>
      </w:r>
    </w:p>
    <w:p w:rsidR="002606BB" w:rsidRDefault="00841612">
      <w:pPr>
        <w:pStyle w:val="af9"/>
        <w:numPr>
          <w:ilvl w:val="0"/>
          <w:numId w:val="42"/>
        </w:numPr>
        <w:ind w:left="840" w:hanging="420"/>
        <w:rPr>
          <w:color w:val="000000" w:themeColor="text1"/>
        </w:rPr>
      </w:pPr>
      <w:r>
        <w:rPr>
          <w:rFonts w:hint="eastAsia"/>
          <w:color w:val="000000" w:themeColor="text1"/>
        </w:rPr>
        <w:t>其他相关特性–如</w:t>
      </w:r>
      <w:r>
        <w:rPr>
          <w:rFonts w:hint="eastAsia"/>
          <w:color w:val="000000" w:themeColor="text1"/>
        </w:rPr>
        <w:t>pH</w:t>
      </w:r>
      <w:r>
        <w:rPr>
          <w:rFonts w:hint="eastAsia"/>
          <w:color w:val="000000" w:themeColor="text1"/>
        </w:rPr>
        <w:t>值、渗透压、电导率、体积、质量（物理学术语）、密度、含水量、可见</w:t>
      </w:r>
      <w:r>
        <w:rPr>
          <w:rFonts w:hint="eastAsia"/>
          <w:color w:val="000000" w:themeColor="text1"/>
        </w:rPr>
        <w:t>/</w:t>
      </w:r>
      <w:r>
        <w:rPr>
          <w:rFonts w:hint="eastAsia"/>
          <w:color w:val="000000" w:themeColor="text1"/>
        </w:rPr>
        <w:t>亚可见颗粒和夹杂物。</w:t>
      </w:r>
    </w:p>
    <w:p w:rsidR="002606BB" w:rsidRDefault="00841612">
      <w:pPr>
        <w:pStyle w:val="a2"/>
        <w:ind w:left="0"/>
        <w:rPr>
          <w:color w:val="000000" w:themeColor="text1"/>
        </w:rPr>
      </w:pPr>
      <w:r>
        <w:rPr>
          <w:rFonts w:hint="eastAsia"/>
          <w:color w:val="000000" w:themeColor="text1"/>
        </w:rPr>
        <w:t>如适用，所有生产用原材料都宜随附分析证明</w:t>
      </w:r>
      <w:r>
        <w:rPr>
          <w:rFonts w:hint="eastAsia"/>
          <w:color w:val="000000" w:themeColor="text1"/>
        </w:rPr>
        <w:t>,</w:t>
      </w:r>
      <w:r>
        <w:rPr>
          <w:rFonts w:hint="eastAsia"/>
          <w:color w:val="000000" w:themeColor="text1"/>
        </w:rPr>
        <w:t>分析证明应包含数量、批号、特定批次的检测结果和失效期。分析证明的检测项目可包括如下类别（有时每个类别不止一个检测项目）：</w:t>
      </w:r>
      <w:r>
        <w:rPr>
          <w:rFonts w:hint="eastAsia"/>
          <w:color w:val="000000" w:themeColor="text1"/>
        </w:rPr>
        <w:t xml:space="preserve"> </w:t>
      </w:r>
    </w:p>
    <w:p w:rsidR="002606BB" w:rsidRDefault="00841612">
      <w:pPr>
        <w:pStyle w:val="af9"/>
        <w:numPr>
          <w:ilvl w:val="0"/>
          <w:numId w:val="43"/>
        </w:numPr>
        <w:ind w:left="840" w:hanging="420"/>
        <w:rPr>
          <w:color w:val="000000" w:themeColor="text1"/>
        </w:rPr>
      </w:pPr>
      <w:r>
        <w:rPr>
          <w:rFonts w:hint="eastAsia"/>
          <w:color w:val="000000" w:themeColor="text1"/>
        </w:rPr>
        <w:t>鉴别：</w:t>
      </w:r>
    </w:p>
    <w:p w:rsidR="002606BB" w:rsidRDefault="00841612">
      <w:pPr>
        <w:pStyle w:val="afb"/>
        <w:numPr>
          <w:ilvl w:val="2"/>
          <w:numId w:val="44"/>
        </w:numPr>
        <w:rPr>
          <w:color w:val="000000" w:themeColor="text1"/>
        </w:rPr>
      </w:pPr>
      <w:r>
        <w:rPr>
          <w:rFonts w:hint="eastAsia"/>
          <w:color w:val="000000" w:themeColor="text1"/>
        </w:rPr>
        <w:t>鉴别的方法宜尽可能具体（例如，</w:t>
      </w:r>
      <w:r>
        <w:rPr>
          <w:rFonts w:hint="eastAsia"/>
          <w:color w:val="000000" w:themeColor="text1"/>
        </w:rPr>
        <w:t>N</w:t>
      </w:r>
      <w:r>
        <w:rPr>
          <w:rFonts w:hint="eastAsia"/>
          <w:color w:val="000000" w:themeColor="text1"/>
        </w:rPr>
        <w:t>端蛋白质序列鉴定，或</w:t>
      </w:r>
      <w:r>
        <w:rPr>
          <w:rFonts w:hint="eastAsia"/>
          <w:color w:val="000000" w:themeColor="text1"/>
        </w:rPr>
        <w:t>IP</w:t>
      </w:r>
      <w:r>
        <w:rPr>
          <w:rFonts w:hint="eastAsia"/>
          <w:color w:val="000000" w:themeColor="text1"/>
        </w:rPr>
        <w:t>保护材料（如细胞培养基）的适当鉴别检测）。</w:t>
      </w:r>
    </w:p>
    <w:p w:rsidR="002606BB" w:rsidRDefault="00841612">
      <w:pPr>
        <w:pStyle w:val="af9"/>
        <w:numPr>
          <w:ilvl w:val="0"/>
          <w:numId w:val="43"/>
        </w:numPr>
        <w:ind w:left="840" w:hanging="420"/>
        <w:rPr>
          <w:color w:val="000000" w:themeColor="text1"/>
        </w:rPr>
      </w:pPr>
      <w:r>
        <w:rPr>
          <w:rFonts w:hint="eastAsia"/>
          <w:color w:val="000000" w:themeColor="text1"/>
        </w:rPr>
        <w:t>数量：</w:t>
      </w:r>
    </w:p>
    <w:p w:rsidR="002606BB" w:rsidRDefault="00841612">
      <w:pPr>
        <w:pStyle w:val="afb"/>
        <w:numPr>
          <w:ilvl w:val="2"/>
          <w:numId w:val="45"/>
        </w:numPr>
        <w:rPr>
          <w:color w:val="000000" w:themeColor="text1"/>
        </w:rPr>
      </w:pPr>
      <w:r>
        <w:rPr>
          <w:rFonts w:hint="eastAsia"/>
          <w:color w:val="000000" w:themeColor="text1"/>
        </w:rPr>
        <w:t>定量方法宜尽可能具体（例如蛋白质的吸收系数）。</w:t>
      </w:r>
    </w:p>
    <w:p w:rsidR="002606BB" w:rsidRDefault="00841612">
      <w:pPr>
        <w:pStyle w:val="afb"/>
        <w:numPr>
          <w:ilvl w:val="2"/>
          <w:numId w:val="45"/>
        </w:numPr>
        <w:rPr>
          <w:color w:val="000000" w:themeColor="text1"/>
        </w:rPr>
      </w:pPr>
      <w:r>
        <w:rPr>
          <w:rFonts w:hint="eastAsia"/>
          <w:color w:val="000000" w:themeColor="text1"/>
        </w:rPr>
        <w:t>某些液体的比重，允许通过测量称重和体积来检测数量。</w:t>
      </w:r>
    </w:p>
    <w:p w:rsidR="002606BB" w:rsidRDefault="00841612">
      <w:pPr>
        <w:pStyle w:val="af9"/>
        <w:numPr>
          <w:ilvl w:val="0"/>
          <w:numId w:val="43"/>
        </w:numPr>
        <w:ind w:left="840" w:hanging="420"/>
        <w:rPr>
          <w:color w:val="000000" w:themeColor="text1"/>
          <w:w w:val="105"/>
          <w:sz w:val="20"/>
        </w:rPr>
      </w:pPr>
      <w:r>
        <w:rPr>
          <w:rFonts w:hint="eastAsia"/>
          <w:color w:val="000000" w:themeColor="text1"/>
          <w:w w:val="105"/>
          <w:sz w:val="20"/>
        </w:rPr>
        <w:t>纯度和杂质：</w:t>
      </w:r>
    </w:p>
    <w:p w:rsidR="002606BB" w:rsidRDefault="00841612">
      <w:pPr>
        <w:pStyle w:val="afb"/>
        <w:numPr>
          <w:ilvl w:val="2"/>
          <w:numId w:val="46"/>
        </w:numPr>
        <w:rPr>
          <w:color w:val="000000" w:themeColor="text1"/>
        </w:rPr>
      </w:pPr>
      <w:r>
        <w:rPr>
          <w:rFonts w:hint="eastAsia"/>
          <w:color w:val="000000" w:themeColor="text1"/>
        </w:rPr>
        <w:t>检测目标成分和潜在污染物数量的试验（例如十二烷基硫酸钠</w:t>
      </w:r>
      <w:r>
        <w:rPr>
          <w:rFonts w:hint="eastAsia"/>
          <w:color w:val="000000" w:themeColor="text1"/>
        </w:rPr>
        <w:t>-</w:t>
      </w:r>
      <w:r>
        <w:rPr>
          <w:rFonts w:hint="eastAsia"/>
          <w:color w:val="000000" w:themeColor="text1"/>
        </w:rPr>
        <w:t>聚丙烯酰胺凝胶电泳法、反相高效液相色谱法）。</w:t>
      </w:r>
    </w:p>
    <w:p w:rsidR="002606BB" w:rsidRDefault="00841612">
      <w:pPr>
        <w:pStyle w:val="af9"/>
        <w:numPr>
          <w:ilvl w:val="0"/>
          <w:numId w:val="43"/>
        </w:numPr>
        <w:ind w:left="840" w:hanging="420"/>
        <w:rPr>
          <w:color w:val="000000" w:themeColor="text1"/>
        </w:rPr>
      </w:pPr>
      <w:r>
        <w:rPr>
          <w:rFonts w:hint="eastAsia"/>
          <w:color w:val="000000" w:themeColor="text1"/>
        </w:rPr>
        <w:t>安全</w:t>
      </w:r>
      <w:r>
        <w:rPr>
          <w:rFonts w:hint="eastAsia"/>
          <w:color w:val="000000" w:themeColor="text1"/>
        </w:rPr>
        <w:t>性</w:t>
      </w:r>
      <w:r>
        <w:rPr>
          <w:rFonts w:hint="eastAsia"/>
          <w:color w:val="000000" w:themeColor="text1"/>
        </w:rPr>
        <w:t>：</w:t>
      </w:r>
    </w:p>
    <w:p w:rsidR="002606BB" w:rsidRDefault="00841612">
      <w:pPr>
        <w:pStyle w:val="afb"/>
        <w:numPr>
          <w:ilvl w:val="2"/>
          <w:numId w:val="47"/>
        </w:numPr>
        <w:rPr>
          <w:color w:val="000000" w:themeColor="text1"/>
        </w:rPr>
      </w:pPr>
      <w:r>
        <w:rPr>
          <w:rFonts w:hint="eastAsia"/>
          <w:color w:val="000000" w:themeColor="text1"/>
        </w:rPr>
        <w:t xml:space="preserve"> </w:t>
      </w:r>
      <w:r>
        <w:rPr>
          <w:rFonts w:hint="eastAsia"/>
          <w:color w:val="000000" w:themeColor="text1"/>
        </w:rPr>
        <w:t>安全性检测宜使用药典检测方法、已验证的检测方法（验证数量足以满足要求）、或两者兼而有之。根据检测的材料及其潜在的安全性，检测可包括无菌、内毒素、支原体和外源性病毒。</w:t>
      </w:r>
    </w:p>
    <w:p w:rsidR="002606BB" w:rsidRDefault="00841612">
      <w:pPr>
        <w:pStyle w:val="af9"/>
        <w:numPr>
          <w:ilvl w:val="0"/>
          <w:numId w:val="43"/>
        </w:numPr>
        <w:ind w:left="840" w:hanging="420"/>
        <w:rPr>
          <w:color w:val="000000" w:themeColor="text1"/>
        </w:rPr>
      </w:pPr>
      <w:r>
        <w:rPr>
          <w:rFonts w:hint="eastAsia"/>
          <w:color w:val="000000" w:themeColor="text1"/>
        </w:rPr>
        <w:t>性能</w:t>
      </w:r>
      <w:r>
        <w:rPr>
          <w:rFonts w:hint="eastAsia"/>
          <w:color w:val="000000" w:themeColor="text1"/>
        </w:rPr>
        <w:t>/</w:t>
      </w:r>
      <w:r>
        <w:rPr>
          <w:rFonts w:hint="eastAsia"/>
          <w:color w:val="000000" w:themeColor="text1"/>
        </w:rPr>
        <w:t>生物学活性：</w:t>
      </w:r>
    </w:p>
    <w:p w:rsidR="002606BB" w:rsidRDefault="00841612">
      <w:pPr>
        <w:pStyle w:val="afb"/>
        <w:numPr>
          <w:ilvl w:val="2"/>
          <w:numId w:val="48"/>
        </w:numPr>
        <w:rPr>
          <w:color w:val="000000" w:themeColor="text1"/>
        </w:rPr>
      </w:pPr>
      <w:r>
        <w:rPr>
          <w:rFonts w:hint="eastAsia"/>
          <w:color w:val="000000" w:themeColor="text1"/>
        </w:rPr>
        <w:t>当生产用原材料通常执行生物学功能时，宜通过功能分析测量其生物学活性。生物学活性可以用某种特定活性来表示。在可行的情况下，生物学活性检测方法宜根据公认的国际标准（如</w:t>
      </w:r>
      <w:r>
        <w:rPr>
          <w:rFonts w:hint="eastAsia"/>
          <w:color w:val="000000" w:themeColor="text1"/>
        </w:rPr>
        <w:t>WHO</w:t>
      </w:r>
      <w:r>
        <w:rPr>
          <w:rFonts w:hint="eastAsia"/>
          <w:color w:val="000000" w:themeColor="text1"/>
        </w:rPr>
        <w:t>）进行校准，并规定有意义的可接受范围。在不可</w:t>
      </w:r>
      <w:r>
        <w:rPr>
          <w:rFonts w:hint="eastAsia"/>
          <w:color w:val="000000" w:themeColor="text1"/>
        </w:rPr>
        <w:t>行的情况下，生物学活性的测量宜使用相关和可靠的检测方法，并充分了解所用方法的局限性。</w:t>
      </w:r>
    </w:p>
    <w:p w:rsidR="002606BB" w:rsidRDefault="00841612">
      <w:pPr>
        <w:pStyle w:val="af9"/>
        <w:numPr>
          <w:ilvl w:val="0"/>
          <w:numId w:val="43"/>
        </w:numPr>
        <w:ind w:left="840" w:hanging="420"/>
        <w:rPr>
          <w:color w:val="000000" w:themeColor="text1"/>
        </w:rPr>
      </w:pPr>
      <w:r>
        <w:rPr>
          <w:rFonts w:hint="eastAsia"/>
          <w:color w:val="000000" w:themeColor="text1"/>
        </w:rPr>
        <w:t>生化特性；</w:t>
      </w:r>
      <w:r>
        <w:rPr>
          <w:rFonts w:hint="eastAsia"/>
          <w:color w:val="000000" w:themeColor="text1"/>
        </w:rPr>
        <w:t xml:space="preserve"> </w:t>
      </w:r>
    </w:p>
    <w:p w:rsidR="002606BB" w:rsidRDefault="00841612">
      <w:pPr>
        <w:pStyle w:val="af9"/>
        <w:numPr>
          <w:ilvl w:val="0"/>
          <w:numId w:val="43"/>
        </w:numPr>
        <w:ind w:left="840" w:hanging="420"/>
        <w:rPr>
          <w:color w:val="000000" w:themeColor="text1"/>
        </w:rPr>
      </w:pPr>
      <w:r>
        <w:rPr>
          <w:rFonts w:hint="eastAsia"/>
          <w:color w:val="000000" w:themeColor="text1"/>
        </w:rPr>
        <w:t>渗透压；</w:t>
      </w:r>
      <w:r>
        <w:rPr>
          <w:rFonts w:hint="eastAsia"/>
          <w:color w:val="000000" w:themeColor="text1"/>
        </w:rPr>
        <w:t xml:space="preserve"> </w:t>
      </w:r>
    </w:p>
    <w:p w:rsidR="002606BB" w:rsidRDefault="00841612">
      <w:pPr>
        <w:pStyle w:val="af9"/>
        <w:numPr>
          <w:ilvl w:val="0"/>
          <w:numId w:val="43"/>
        </w:numPr>
        <w:ind w:left="840" w:hanging="420"/>
        <w:rPr>
          <w:color w:val="000000" w:themeColor="text1"/>
        </w:rPr>
      </w:pPr>
      <w:r>
        <w:rPr>
          <w:rFonts w:hint="eastAsia"/>
          <w:color w:val="000000" w:themeColor="text1"/>
        </w:rPr>
        <w:t>pH</w:t>
      </w:r>
      <w:r>
        <w:rPr>
          <w:rFonts w:hint="eastAsia"/>
          <w:color w:val="000000" w:themeColor="text1"/>
        </w:rPr>
        <w:t>值。</w:t>
      </w:r>
    </w:p>
    <w:p w:rsidR="002606BB" w:rsidRDefault="00841612">
      <w:pPr>
        <w:pStyle w:val="a1"/>
        <w:numPr>
          <w:ilvl w:val="1"/>
          <w:numId w:val="28"/>
        </w:numPr>
        <w:spacing w:before="156" w:after="156"/>
        <w:rPr>
          <w:color w:val="000000" w:themeColor="text1"/>
        </w:rPr>
      </w:pPr>
      <w:r>
        <w:rPr>
          <w:rFonts w:hint="eastAsia"/>
          <w:color w:val="000000" w:themeColor="text1"/>
        </w:rPr>
        <w:t>其他证书</w:t>
      </w:r>
    </w:p>
    <w:p w:rsidR="002606BB" w:rsidRDefault="00841612">
      <w:pPr>
        <w:pStyle w:val="a2"/>
        <w:ind w:left="0"/>
        <w:rPr>
          <w:color w:val="000000" w:themeColor="text1"/>
        </w:rPr>
      </w:pPr>
      <w:r>
        <w:rPr>
          <w:rFonts w:hint="eastAsia"/>
          <w:color w:val="000000" w:themeColor="text1"/>
        </w:rPr>
        <w:t>原产地证明</w:t>
      </w:r>
    </w:p>
    <w:p w:rsidR="002606BB" w:rsidRDefault="00841612">
      <w:pPr>
        <w:pStyle w:val="a3"/>
        <w:numPr>
          <w:ilvl w:val="3"/>
          <w:numId w:val="0"/>
        </w:numPr>
        <w:ind w:firstLineChars="200" w:firstLine="420"/>
        <w:rPr>
          <w:color w:val="000000" w:themeColor="text1"/>
        </w:rPr>
      </w:pPr>
      <w:r>
        <w:rPr>
          <w:rFonts w:hint="eastAsia"/>
          <w:color w:val="000000" w:themeColor="text1"/>
        </w:rPr>
        <w:t>生产用原材料供应者应对所有生产用原材料，尤其是来源于动物或人的材料，包括血清、胰蛋白酶、牛奶、其他生物液体或衍生物的供应链（</w:t>
      </w:r>
      <w:r>
        <w:rPr>
          <w:rFonts w:hint="eastAsia"/>
          <w:color w:val="000000" w:themeColor="text1"/>
        </w:rPr>
        <w:t>supply chain</w:t>
      </w:r>
      <w:r>
        <w:rPr>
          <w:rFonts w:hint="eastAsia"/>
          <w:color w:val="000000" w:themeColor="text1"/>
        </w:rPr>
        <w:t>）进行管理并提供原产地证明（</w:t>
      </w:r>
      <w:proofErr w:type="spellStart"/>
      <w:r>
        <w:rPr>
          <w:rFonts w:hint="eastAsia"/>
          <w:color w:val="000000" w:themeColor="text1"/>
        </w:rPr>
        <w:t>CoO</w:t>
      </w:r>
      <w:proofErr w:type="spellEnd"/>
      <w:r>
        <w:rPr>
          <w:rFonts w:hint="eastAsia"/>
          <w:color w:val="000000" w:themeColor="text1"/>
        </w:rPr>
        <w:t>）。原产地证明应包括的具体信息参见第</w:t>
      </w:r>
      <w:r>
        <w:rPr>
          <w:rFonts w:hint="eastAsia"/>
          <w:color w:val="000000" w:themeColor="text1"/>
        </w:rPr>
        <w:t>10.1</w:t>
      </w:r>
      <w:r>
        <w:rPr>
          <w:rFonts w:hint="eastAsia"/>
          <w:color w:val="000000" w:themeColor="text1"/>
        </w:rPr>
        <w:t>条。</w:t>
      </w:r>
    </w:p>
    <w:p w:rsidR="002606BB" w:rsidRDefault="00841612">
      <w:pPr>
        <w:pStyle w:val="a2"/>
        <w:ind w:left="0"/>
        <w:rPr>
          <w:color w:val="000000" w:themeColor="text1"/>
        </w:rPr>
      </w:pPr>
      <w:r>
        <w:rPr>
          <w:rFonts w:hint="eastAsia"/>
          <w:color w:val="000000" w:themeColor="text1"/>
        </w:rPr>
        <w:t>合</w:t>
      </w:r>
      <w:proofErr w:type="gramStart"/>
      <w:r>
        <w:rPr>
          <w:rFonts w:hint="eastAsia"/>
          <w:color w:val="000000" w:themeColor="text1"/>
        </w:rPr>
        <w:t>规</w:t>
      </w:r>
      <w:proofErr w:type="gramEnd"/>
      <w:r>
        <w:rPr>
          <w:rFonts w:hint="eastAsia"/>
          <w:color w:val="000000" w:themeColor="text1"/>
        </w:rPr>
        <w:t>证明</w:t>
      </w:r>
    </w:p>
    <w:p w:rsidR="002606BB" w:rsidRDefault="00841612">
      <w:pPr>
        <w:pStyle w:val="a3"/>
        <w:numPr>
          <w:ilvl w:val="3"/>
          <w:numId w:val="0"/>
        </w:numPr>
        <w:ind w:firstLineChars="200" w:firstLine="420"/>
        <w:rPr>
          <w:color w:val="000000" w:themeColor="text1"/>
        </w:rPr>
      </w:pPr>
      <w:r>
        <w:rPr>
          <w:rFonts w:hint="eastAsia"/>
          <w:color w:val="000000" w:themeColor="text1"/>
        </w:rPr>
        <w:t>如可用，生产用原材料供应者可提供合</w:t>
      </w:r>
      <w:proofErr w:type="gramStart"/>
      <w:r>
        <w:rPr>
          <w:rFonts w:hint="eastAsia"/>
          <w:color w:val="000000" w:themeColor="text1"/>
        </w:rPr>
        <w:t>规</w:t>
      </w:r>
      <w:proofErr w:type="gramEnd"/>
      <w:r>
        <w:rPr>
          <w:rFonts w:hint="eastAsia"/>
          <w:color w:val="000000" w:themeColor="text1"/>
        </w:rPr>
        <w:t>证明（</w:t>
      </w:r>
      <w:proofErr w:type="spellStart"/>
      <w:r>
        <w:rPr>
          <w:rFonts w:hint="eastAsia"/>
          <w:color w:val="000000" w:themeColor="text1"/>
        </w:rPr>
        <w:t>CoC</w:t>
      </w:r>
      <w:proofErr w:type="spellEnd"/>
      <w:r>
        <w:rPr>
          <w:rFonts w:hint="eastAsia"/>
          <w:color w:val="000000" w:themeColor="text1"/>
        </w:rPr>
        <w:t>），以声明该材料符合质量管理系统或标准。</w:t>
      </w:r>
    </w:p>
    <w:p w:rsidR="002606BB" w:rsidRDefault="00841612">
      <w:pPr>
        <w:pStyle w:val="a2"/>
        <w:ind w:left="0"/>
        <w:rPr>
          <w:color w:val="000000" w:themeColor="text1"/>
        </w:rPr>
      </w:pPr>
      <w:r>
        <w:rPr>
          <w:rFonts w:hint="eastAsia"/>
          <w:color w:val="000000" w:themeColor="text1"/>
        </w:rPr>
        <w:t>辐照证明</w:t>
      </w:r>
    </w:p>
    <w:p w:rsidR="002606BB" w:rsidRDefault="00841612">
      <w:pPr>
        <w:pStyle w:val="a3"/>
        <w:numPr>
          <w:ilvl w:val="3"/>
          <w:numId w:val="0"/>
        </w:numPr>
        <w:ind w:firstLineChars="200" w:firstLine="420"/>
        <w:rPr>
          <w:color w:val="000000" w:themeColor="text1"/>
        </w:rPr>
      </w:pPr>
      <w:r>
        <w:rPr>
          <w:rFonts w:hint="eastAsia"/>
          <w:color w:val="000000" w:themeColor="text1"/>
        </w:rPr>
        <w:t>如适用，生产用原材料供应者可为经过辐照的材料或者其他病毒消减步骤提供辐照证明（</w:t>
      </w:r>
      <w:proofErr w:type="spellStart"/>
      <w:r>
        <w:rPr>
          <w:rFonts w:hint="eastAsia"/>
          <w:color w:val="000000" w:themeColor="text1"/>
        </w:rPr>
        <w:t>CoI</w:t>
      </w:r>
      <w:proofErr w:type="spellEnd"/>
      <w:r>
        <w:rPr>
          <w:rFonts w:hint="eastAsia"/>
          <w:color w:val="000000" w:themeColor="text1"/>
        </w:rPr>
        <w:t>），例如胎牛血清。</w:t>
      </w:r>
    </w:p>
    <w:p w:rsidR="002606BB" w:rsidRDefault="00841612">
      <w:pPr>
        <w:pStyle w:val="a1"/>
        <w:numPr>
          <w:ilvl w:val="1"/>
          <w:numId w:val="28"/>
        </w:numPr>
        <w:spacing w:before="156" w:after="156"/>
        <w:rPr>
          <w:color w:val="000000" w:themeColor="text1"/>
        </w:rPr>
      </w:pPr>
      <w:r>
        <w:rPr>
          <w:rFonts w:hint="eastAsia"/>
          <w:color w:val="000000" w:themeColor="text1"/>
        </w:rPr>
        <w:t>适用于细胞治疗产品生产的生物</w:t>
      </w:r>
      <w:proofErr w:type="gramStart"/>
      <w:r>
        <w:rPr>
          <w:rFonts w:hint="eastAsia"/>
          <w:color w:val="000000" w:themeColor="text1"/>
        </w:rPr>
        <w:t>源材料</w:t>
      </w:r>
      <w:proofErr w:type="gramEnd"/>
      <w:r>
        <w:rPr>
          <w:rFonts w:hint="eastAsia"/>
          <w:color w:val="000000" w:themeColor="text1"/>
        </w:rPr>
        <w:t>产品的质量声明</w:t>
      </w:r>
    </w:p>
    <w:p w:rsidR="002606BB" w:rsidRDefault="00841612">
      <w:pPr>
        <w:pStyle w:val="a2"/>
        <w:ind w:left="0"/>
        <w:rPr>
          <w:color w:val="000000" w:themeColor="text1"/>
        </w:rPr>
      </w:pPr>
      <w:r>
        <w:rPr>
          <w:rFonts w:hint="eastAsia"/>
          <w:color w:val="000000" w:themeColor="text1"/>
        </w:rPr>
        <w:t>生产用原材料供应者可为其销售的生物材料标注各种不同的质量声明。表</w:t>
      </w:r>
      <w:r>
        <w:rPr>
          <w:rFonts w:hint="eastAsia"/>
          <w:color w:val="000000" w:themeColor="text1"/>
        </w:rPr>
        <w:t>4</w:t>
      </w:r>
      <w:r>
        <w:rPr>
          <w:rFonts w:hint="eastAsia"/>
          <w:color w:val="000000" w:themeColor="text1"/>
        </w:rPr>
        <w:t>提供了生产用原材料供应者的质量声明列表，这些声明确认了该生产用原材料已获得监管机构的批准，或符合公认的质量等级，或两者兼而有之。然而，遵守某个等级</w:t>
      </w:r>
      <w:r>
        <w:rPr>
          <w:rFonts w:hint="eastAsia"/>
          <w:color w:val="000000" w:themeColor="text1"/>
        </w:rPr>
        <w:t>/</w:t>
      </w:r>
      <w:r>
        <w:rPr>
          <w:rFonts w:hint="eastAsia"/>
          <w:color w:val="000000" w:themeColor="text1"/>
        </w:rPr>
        <w:t>标准只是证明了该生产用原材料的质量，并不代表该生产用原材料一定能满足某个特定的生产工艺。使用者仍应确认该生产用原材料具有必要的属性，例如，通过文</w:t>
      </w:r>
      <w:r>
        <w:rPr>
          <w:rFonts w:hint="eastAsia"/>
          <w:color w:val="000000" w:themeColor="text1"/>
        </w:rPr>
        <w:t>件化的合格评定过程证明该生产用原材料的功能性和安全性。</w:t>
      </w:r>
    </w:p>
    <w:p w:rsidR="002606BB" w:rsidRDefault="00841612">
      <w:pPr>
        <w:rPr>
          <w:rFonts w:hint="default"/>
          <w:color w:val="000000" w:themeColor="text1"/>
        </w:rPr>
      </w:pPr>
      <w:r>
        <w:rPr>
          <w:color w:val="000000" w:themeColor="text1"/>
        </w:rPr>
        <w:br w:type="page"/>
      </w:r>
    </w:p>
    <w:p w:rsidR="002606BB" w:rsidRDefault="00841612" w:rsidP="00763FAE">
      <w:pPr>
        <w:pStyle w:val="afe"/>
        <w:spacing w:before="156" w:after="156"/>
        <w:rPr>
          <w:color w:val="000000" w:themeColor="text1"/>
        </w:rPr>
      </w:pPr>
      <w:r>
        <w:rPr>
          <w:rFonts w:hint="eastAsia"/>
          <w:color w:val="000000" w:themeColor="text1"/>
        </w:rPr>
        <w:t>用于制造细胞治疗产品的</w:t>
      </w:r>
      <w:r>
        <w:rPr>
          <w:color w:val="000000" w:themeColor="text1"/>
        </w:rPr>
        <w:t>AM</w:t>
      </w:r>
      <w:r>
        <w:rPr>
          <w:rFonts w:hint="eastAsia"/>
          <w:color w:val="000000" w:themeColor="text1"/>
        </w:rPr>
        <w:t>供应者使用的公认质量声明示例</w:t>
      </w:r>
    </w:p>
    <w:tbl>
      <w:tblPr>
        <w:tblW w:w="0" w:type="auto"/>
        <w:jc w:val="center"/>
        <w:tblLayout w:type="fixed"/>
        <w:tblCellMar>
          <w:left w:w="28" w:type="dxa"/>
          <w:right w:w="28" w:type="dxa"/>
        </w:tblCellMar>
        <w:tblLook w:val="04A0" w:firstRow="1" w:lastRow="0" w:firstColumn="1" w:lastColumn="0" w:noHBand="0" w:noVBand="1"/>
      </w:tblPr>
      <w:tblGrid>
        <w:gridCol w:w="2307"/>
        <w:gridCol w:w="6535"/>
        <w:gridCol w:w="17"/>
      </w:tblGrid>
      <w:tr w:rsidR="002606BB">
        <w:trPr>
          <w:gridAfter w:val="1"/>
          <w:wAfter w:w="17" w:type="dxa"/>
          <w:trHeight w:hRule="exact" w:val="360"/>
          <w:jc w:val="center"/>
        </w:trPr>
        <w:tc>
          <w:tcPr>
            <w:tcW w:w="2307"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2606BB" w:rsidRDefault="00841612">
            <w:pPr>
              <w:pStyle w:val="TableParagraph"/>
              <w:spacing w:before="60"/>
              <w:ind w:left="-200"/>
              <w:jc w:val="center"/>
              <w:rPr>
                <w:rFonts w:eastAsia="宋体" w:hint="default"/>
                <w:color w:val="000000" w:themeColor="text1"/>
                <w:sz w:val="18"/>
                <w:szCs w:val="18"/>
                <w:lang w:eastAsia="zh-CN"/>
              </w:rPr>
            </w:pPr>
            <w:r>
              <w:rPr>
                <w:rFonts w:eastAsia="宋体"/>
                <w:b/>
                <w:color w:val="000000" w:themeColor="text1"/>
                <w:sz w:val="18"/>
                <w:lang w:eastAsia="zh-CN"/>
              </w:rPr>
              <w:t>质量声明</w:t>
            </w:r>
          </w:p>
        </w:tc>
        <w:tc>
          <w:tcPr>
            <w:tcW w:w="6535" w:type="dxa"/>
            <w:tcBorders>
              <w:top w:val="single" w:sz="12" w:space="0" w:color="000000"/>
              <w:left w:val="single" w:sz="4" w:space="0" w:color="000000"/>
              <w:bottom w:val="single" w:sz="12" w:space="0" w:color="000000"/>
              <w:right w:val="single" w:sz="10" w:space="0" w:color="000000"/>
            </w:tcBorders>
            <w:tcMar>
              <w:top w:w="0" w:type="dxa"/>
              <w:left w:w="0" w:type="dxa"/>
              <w:bottom w:w="0" w:type="dxa"/>
              <w:right w:w="0" w:type="dxa"/>
            </w:tcMar>
            <w:vAlign w:val="center"/>
          </w:tcPr>
          <w:p w:rsidR="002606BB" w:rsidRDefault="00841612">
            <w:pPr>
              <w:pStyle w:val="TableParagraph"/>
              <w:spacing w:before="60"/>
              <w:ind w:left="0"/>
              <w:jc w:val="center"/>
              <w:rPr>
                <w:rFonts w:hint="default"/>
                <w:color w:val="000000" w:themeColor="text1"/>
                <w:sz w:val="18"/>
                <w:szCs w:val="18"/>
              </w:rPr>
            </w:pPr>
            <w:r>
              <w:rPr>
                <w:rFonts w:eastAsia="宋体"/>
                <w:b/>
                <w:color w:val="000000" w:themeColor="text1"/>
                <w:sz w:val="18"/>
                <w:lang w:eastAsia="zh-CN"/>
              </w:rPr>
              <w:t>技术和法规说明</w:t>
            </w:r>
          </w:p>
        </w:tc>
      </w:tr>
      <w:tr w:rsidR="002606BB">
        <w:trPr>
          <w:trHeight w:hRule="exact" w:val="824"/>
          <w:jc w:val="center"/>
        </w:trPr>
        <w:tc>
          <w:tcPr>
            <w:tcW w:w="2307"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2606BB" w:rsidRDefault="00841612">
            <w:pPr>
              <w:jc w:val="center"/>
              <w:rPr>
                <w:rFonts w:hint="default"/>
                <w:color w:val="000000" w:themeColor="text1"/>
                <w:sz w:val="18"/>
                <w:szCs w:val="18"/>
              </w:rPr>
            </w:pPr>
            <w:r>
              <w:rPr>
                <w:rFonts w:ascii="Cambria" w:hAnsi="Cambria" w:cs="Cambria"/>
                <w:color w:val="000000" w:themeColor="text1"/>
                <w:spacing w:val="-1"/>
                <w:w w:val="105"/>
                <w:sz w:val="18"/>
                <w:szCs w:val="24"/>
                <w:lang w:bidi="en-US"/>
              </w:rPr>
              <w:t>许可治疗产品</w:t>
            </w:r>
            <w:r>
              <w:rPr>
                <w:rFonts w:ascii="Cambria" w:hAnsi="Cambria" w:cs="Cambria"/>
                <w:color w:val="000000" w:themeColor="text1"/>
                <w:spacing w:val="-1"/>
                <w:w w:val="105"/>
                <w:sz w:val="18"/>
                <w:szCs w:val="24"/>
                <w:lang w:bidi="en-US"/>
              </w:rPr>
              <w:t>/</w:t>
            </w:r>
            <w:r>
              <w:rPr>
                <w:rFonts w:ascii="Cambria" w:hAnsi="Cambria" w:cs="Cambria"/>
                <w:color w:val="000000" w:themeColor="text1"/>
                <w:spacing w:val="-1"/>
                <w:w w:val="105"/>
                <w:sz w:val="18"/>
                <w:szCs w:val="24"/>
                <w:lang w:bidi="en-US"/>
              </w:rPr>
              <w:t>药物</w:t>
            </w:r>
          </w:p>
        </w:tc>
        <w:tc>
          <w:tcPr>
            <w:tcW w:w="6552" w:type="dxa"/>
            <w:gridSpan w:val="2"/>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rsidR="002606BB" w:rsidRDefault="00841612">
            <w:pPr>
              <w:pStyle w:val="TableParagraph"/>
              <w:spacing w:before="58" w:line="251" w:lineRule="auto"/>
              <w:ind w:left="109" w:right="74"/>
              <w:jc w:val="left"/>
              <w:rPr>
                <w:rFonts w:eastAsia="宋体" w:hint="default"/>
                <w:color w:val="000000" w:themeColor="text1"/>
                <w:sz w:val="18"/>
                <w:szCs w:val="18"/>
                <w:lang w:eastAsia="zh-CN"/>
              </w:rPr>
            </w:pPr>
            <w:r>
              <w:rPr>
                <w:rFonts w:ascii="宋体" w:eastAsia="宋体" w:hAnsi="宋体" w:cs="宋体"/>
                <w:color w:val="000000" w:themeColor="text1"/>
                <w:w w:val="105"/>
                <w:sz w:val="18"/>
                <w:lang w:eastAsia="zh-CN"/>
              </w:rPr>
              <w:t>根据定义，许可治疗产品</w:t>
            </w:r>
            <w:r>
              <w:rPr>
                <w:color w:val="000000" w:themeColor="text1"/>
                <w:w w:val="105"/>
                <w:sz w:val="18"/>
                <w:lang w:eastAsia="zh-CN"/>
              </w:rPr>
              <w:t>/</w:t>
            </w:r>
            <w:r>
              <w:rPr>
                <w:rFonts w:ascii="宋体" w:eastAsia="宋体" w:hAnsi="宋体" w:cs="宋体"/>
                <w:color w:val="000000" w:themeColor="text1"/>
                <w:w w:val="105"/>
                <w:sz w:val="18"/>
                <w:lang w:eastAsia="zh-CN"/>
              </w:rPr>
              <w:t>药物已证明其预期用途的质量、安全性和有效性，可以被视为质量方面的最高标准。</w:t>
            </w:r>
          </w:p>
        </w:tc>
      </w:tr>
      <w:tr w:rsidR="002606BB">
        <w:trPr>
          <w:trHeight w:hRule="exact" w:val="824"/>
          <w:jc w:val="center"/>
        </w:trPr>
        <w:tc>
          <w:tcPr>
            <w:tcW w:w="2307" w:type="dxa"/>
            <w:tcBorders>
              <w:top w:val="single" w:sz="4"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2606BB" w:rsidRDefault="00841612">
            <w:pPr>
              <w:jc w:val="center"/>
              <w:rPr>
                <w:rFonts w:hint="default"/>
                <w:color w:val="000000" w:themeColor="text1"/>
                <w:sz w:val="18"/>
                <w:szCs w:val="18"/>
              </w:rPr>
            </w:pPr>
            <w:r>
              <w:rPr>
                <w:rFonts w:ascii="Cambria" w:eastAsia="Cambria" w:hAnsi="Cambria" w:cs="Cambria"/>
                <w:color w:val="000000" w:themeColor="text1"/>
                <w:spacing w:val="-1"/>
                <w:w w:val="105"/>
                <w:sz w:val="18"/>
                <w:szCs w:val="24"/>
                <w:lang w:bidi="en-US"/>
              </w:rPr>
              <w:t>药典等级</w:t>
            </w:r>
          </w:p>
        </w:tc>
        <w:tc>
          <w:tcPr>
            <w:tcW w:w="6552" w:type="dxa"/>
            <w:gridSpan w:val="2"/>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2606BB" w:rsidRDefault="00841612">
            <w:pPr>
              <w:pStyle w:val="TableParagraph"/>
              <w:spacing w:before="58" w:line="251" w:lineRule="auto"/>
              <w:ind w:left="109" w:right="74"/>
              <w:jc w:val="left"/>
              <w:rPr>
                <w:rFonts w:eastAsia="宋体" w:hint="default"/>
                <w:color w:val="000000" w:themeColor="text1"/>
                <w:sz w:val="18"/>
                <w:szCs w:val="18"/>
                <w:lang w:eastAsia="zh-CN"/>
              </w:rPr>
            </w:pPr>
            <w:r>
              <w:rPr>
                <w:rFonts w:ascii="宋体" w:eastAsia="宋体" w:hAnsi="宋体" w:cs="宋体"/>
                <w:color w:val="000000" w:themeColor="text1"/>
                <w:w w:val="105"/>
                <w:sz w:val="18"/>
                <w:lang w:eastAsia="zh-CN"/>
              </w:rPr>
              <w:t>如果细胞治疗产品的</w:t>
            </w:r>
            <w:r>
              <w:rPr>
                <w:rFonts w:eastAsia="宋体"/>
                <w:color w:val="000000" w:themeColor="text1"/>
                <w:w w:val="105"/>
                <w:sz w:val="18"/>
                <w:lang w:eastAsia="zh-CN"/>
              </w:rPr>
              <w:t>生产用原材料</w:t>
            </w:r>
            <w:r>
              <w:rPr>
                <w:rFonts w:ascii="宋体" w:eastAsia="宋体" w:hAnsi="宋体" w:cs="宋体"/>
                <w:color w:val="000000" w:themeColor="text1"/>
                <w:w w:val="105"/>
                <w:sz w:val="18"/>
                <w:lang w:eastAsia="zh-CN"/>
              </w:rPr>
              <w:t>在</w:t>
            </w:r>
            <w:r>
              <w:rPr>
                <w:rFonts w:eastAsia="宋体"/>
                <w:color w:val="000000" w:themeColor="text1"/>
                <w:w w:val="105"/>
                <w:sz w:val="18"/>
                <w:lang w:eastAsia="zh-CN"/>
              </w:rPr>
              <w:t>国家</w:t>
            </w:r>
            <w:r>
              <w:rPr>
                <w:rFonts w:ascii="宋体" w:eastAsia="宋体" w:hAnsi="宋体" w:cs="宋体"/>
                <w:color w:val="000000" w:themeColor="text1"/>
                <w:w w:val="105"/>
                <w:sz w:val="18"/>
                <w:lang w:eastAsia="zh-CN"/>
              </w:rPr>
              <w:t>药典中有专论，</w:t>
            </w:r>
            <w:r>
              <w:rPr>
                <w:rFonts w:eastAsia="宋体"/>
                <w:color w:val="000000" w:themeColor="text1"/>
                <w:w w:val="105"/>
                <w:sz w:val="18"/>
                <w:lang w:eastAsia="zh-CN"/>
              </w:rPr>
              <w:t>生产用原材料使用者</w:t>
            </w:r>
            <w:r>
              <w:rPr>
                <w:rFonts w:ascii="宋体" w:eastAsia="宋体" w:hAnsi="宋体" w:cs="宋体"/>
                <w:color w:val="000000" w:themeColor="text1"/>
                <w:w w:val="105"/>
                <w:sz w:val="18"/>
                <w:lang w:eastAsia="zh-CN"/>
              </w:rPr>
              <w:t>可以</w:t>
            </w:r>
            <w:r>
              <w:rPr>
                <w:rFonts w:eastAsia="宋体"/>
                <w:color w:val="000000" w:themeColor="text1"/>
                <w:w w:val="105"/>
                <w:sz w:val="18"/>
                <w:lang w:eastAsia="zh-CN"/>
              </w:rPr>
              <w:t>通过</w:t>
            </w:r>
            <w:r>
              <w:rPr>
                <w:rFonts w:ascii="宋体" w:eastAsia="宋体" w:hAnsi="宋体" w:cs="宋体"/>
                <w:color w:val="000000" w:themeColor="text1"/>
                <w:w w:val="105"/>
                <w:sz w:val="18"/>
                <w:lang w:eastAsia="zh-CN"/>
              </w:rPr>
              <w:t>引用</w:t>
            </w:r>
            <w:r>
              <w:rPr>
                <w:rFonts w:eastAsia="宋体"/>
                <w:color w:val="000000" w:themeColor="text1"/>
                <w:w w:val="105"/>
                <w:sz w:val="18"/>
                <w:lang w:eastAsia="zh-CN"/>
              </w:rPr>
              <w:t>药典专论来</w:t>
            </w:r>
            <w:r>
              <w:rPr>
                <w:rFonts w:ascii="宋体" w:eastAsia="宋体" w:hAnsi="宋体" w:cs="宋体"/>
                <w:color w:val="000000" w:themeColor="text1"/>
                <w:w w:val="105"/>
                <w:sz w:val="18"/>
                <w:lang w:eastAsia="zh-CN"/>
              </w:rPr>
              <w:t>证明其</w:t>
            </w:r>
            <w:r>
              <w:rPr>
                <w:rFonts w:eastAsia="宋体"/>
                <w:color w:val="000000" w:themeColor="text1"/>
                <w:w w:val="105"/>
                <w:sz w:val="18"/>
                <w:lang w:eastAsia="zh-CN"/>
              </w:rPr>
              <w:t>具有适用于</w:t>
            </w:r>
            <w:r>
              <w:rPr>
                <w:rFonts w:ascii="宋体" w:eastAsia="宋体" w:hAnsi="宋体" w:cs="宋体"/>
                <w:color w:val="000000" w:themeColor="text1"/>
                <w:w w:val="105"/>
                <w:sz w:val="18"/>
                <w:lang w:eastAsia="zh-CN"/>
              </w:rPr>
              <w:t>细胞治疗产品</w:t>
            </w:r>
            <w:r>
              <w:rPr>
                <w:rFonts w:eastAsia="宋体"/>
                <w:color w:val="000000" w:themeColor="text1"/>
                <w:w w:val="105"/>
                <w:sz w:val="18"/>
                <w:lang w:eastAsia="zh-CN"/>
              </w:rPr>
              <w:t>生产</w:t>
            </w:r>
            <w:r>
              <w:rPr>
                <w:rFonts w:ascii="宋体" w:eastAsia="宋体" w:hAnsi="宋体" w:cs="宋体"/>
                <w:color w:val="000000" w:themeColor="text1"/>
                <w:w w:val="105"/>
                <w:sz w:val="18"/>
                <w:lang w:eastAsia="zh-CN"/>
              </w:rPr>
              <w:t>的质量水平。</w:t>
            </w:r>
          </w:p>
        </w:tc>
      </w:tr>
    </w:tbl>
    <w:p w:rsidR="002606BB" w:rsidRDefault="002606BB">
      <w:pPr>
        <w:pStyle w:val="afff"/>
        <w:ind w:firstLine="420"/>
        <w:rPr>
          <w:color w:val="000000" w:themeColor="text1"/>
        </w:rPr>
      </w:pPr>
    </w:p>
    <w:p w:rsidR="002606BB" w:rsidRDefault="00841612">
      <w:pPr>
        <w:pStyle w:val="a2"/>
        <w:ind w:left="0"/>
        <w:rPr>
          <w:color w:val="000000" w:themeColor="text1"/>
        </w:rPr>
      </w:pPr>
      <w:r>
        <w:rPr>
          <w:rFonts w:hint="eastAsia"/>
          <w:color w:val="000000" w:themeColor="text1"/>
        </w:rPr>
        <w:t>生产用原材料供应者在生产细胞治疗产品时可能使用其他一些常见的质量声明，但这类质量声明的术语含义尚未达成共识。生产用原材料使用者对附有这些质量声明的生产用原材料仍应进行全面的合格评估。特别是关于无动物源性成分（</w:t>
      </w:r>
      <w:r>
        <w:rPr>
          <w:color w:val="000000" w:themeColor="text1"/>
        </w:rPr>
        <w:t>ADCF</w:t>
      </w:r>
      <w:r>
        <w:rPr>
          <w:rFonts w:hint="eastAsia"/>
          <w:color w:val="000000" w:themeColor="text1"/>
        </w:rPr>
        <w:t>）或</w:t>
      </w:r>
      <w:proofErr w:type="gramStart"/>
      <w:r>
        <w:rPr>
          <w:rFonts w:hint="eastAsia"/>
          <w:color w:val="000000" w:themeColor="text1"/>
        </w:rPr>
        <w:t>非动物</w:t>
      </w:r>
      <w:proofErr w:type="gramEnd"/>
      <w:r>
        <w:rPr>
          <w:rFonts w:hint="eastAsia"/>
          <w:color w:val="000000" w:themeColor="text1"/>
        </w:rPr>
        <w:t>来源（</w:t>
      </w:r>
      <w:r>
        <w:rPr>
          <w:color w:val="000000" w:themeColor="text1"/>
        </w:rPr>
        <w:t>AOF</w:t>
      </w:r>
      <w:r>
        <w:rPr>
          <w:rFonts w:hint="eastAsia"/>
          <w:color w:val="000000" w:themeColor="text1"/>
        </w:rPr>
        <w:t>）或无异种成分的质量声明，生产用原材料使用者宜从质量、安全性和适用性等方面进行合格评定，考虑是否存在或使用动物源性或人源性成分作为生产用原材料的一部分或作为生产材料的情况。</w:t>
      </w:r>
    </w:p>
    <w:p w:rsidR="002606BB" w:rsidRDefault="00841612">
      <w:pPr>
        <w:pStyle w:val="a0"/>
        <w:numPr>
          <w:ilvl w:val="0"/>
          <w:numId w:val="28"/>
        </w:numPr>
        <w:spacing w:before="312" w:after="312"/>
        <w:rPr>
          <w:color w:val="000000" w:themeColor="text1"/>
        </w:rPr>
      </w:pPr>
      <w:bookmarkStart w:id="143" w:name="_Toc1088"/>
      <w:bookmarkStart w:id="144" w:name="_Toc24205"/>
      <w:bookmarkStart w:id="145" w:name="_Toc18251"/>
      <w:bookmarkStart w:id="146" w:name="_Toc9280"/>
      <w:bookmarkStart w:id="147" w:name="_Toc7528"/>
      <w:bookmarkStart w:id="148" w:name="_Toc10340"/>
      <w:bookmarkStart w:id="149" w:name="_Toc19850"/>
      <w:bookmarkStart w:id="150" w:name="_Toc30577"/>
      <w:bookmarkStart w:id="151" w:name="_Toc5712"/>
      <w:bookmarkStart w:id="152" w:name="_Toc14890"/>
      <w:r>
        <w:rPr>
          <w:rFonts w:hint="eastAsia"/>
          <w:color w:val="000000" w:themeColor="text1"/>
        </w:rPr>
        <w:t>组分变更管理</w:t>
      </w:r>
      <w:bookmarkEnd w:id="143"/>
      <w:bookmarkEnd w:id="144"/>
      <w:bookmarkEnd w:id="145"/>
      <w:bookmarkEnd w:id="146"/>
      <w:bookmarkEnd w:id="147"/>
      <w:bookmarkEnd w:id="148"/>
      <w:bookmarkEnd w:id="149"/>
      <w:bookmarkEnd w:id="150"/>
      <w:bookmarkEnd w:id="151"/>
      <w:bookmarkEnd w:id="152"/>
    </w:p>
    <w:p w:rsidR="002606BB" w:rsidRDefault="00841612">
      <w:pPr>
        <w:pStyle w:val="a1"/>
        <w:numPr>
          <w:ilvl w:val="1"/>
          <w:numId w:val="28"/>
        </w:numPr>
        <w:spacing w:before="156" w:after="156"/>
        <w:rPr>
          <w:color w:val="000000" w:themeColor="text1"/>
        </w:rPr>
      </w:pPr>
      <w:r>
        <w:rPr>
          <w:rFonts w:hint="eastAsia"/>
          <w:color w:val="000000" w:themeColor="text1"/>
        </w:rPr>
        <w:t>组分变更的影响</w:t>
      </w:r>
    </w:p>
    <w:p w:rsidR="002606BB" w:rsidRDefault="00841612">
      <w:pPr>
        <w:pStyle w:val="a2"/>
        <w:ind w:left="0"/>
        <w:rPr>
          <w:color w:val="000000" w:themeColor="text1"/>
        </w:rPr>
      </w:pPr>
      <w:r>
        <w:rPr>
          <w:rFonts w:hint="eastAsia"/>
          <w:color w:val="000000" w:themeColor="text1"/>
        </w:rPr>
        <w:t>为了保证细胞治疗产品的质量，生产用原材料供应者在某些情况下可能需要对生产用原材料进行变更。可能影响生产用原材料质量一致性的变更包括以下任一项：</w:t>
      </w:r>
    </w:p>
    <w:p w:rsidR="002606BB" w:rsidRDefault="00841612">
      <w:pPr>
        <w:pStyle w:val="af9"/>
        <w:numPr>
          <w:ilvl w:val="0"/>
          <w:numId w:val="49"/>
        </w:numPr>
        <w:ind w:left="840" w:hanging="420"/>
        <w:rPr>
          <w:color w:val="000000" w:themeColor="text1"/>
        </w:rPr>
      </w:pPr>
      <w:r>
        <w:rPr>
          <w:rFonts w:hint="eastAsia"/>
          <w:color w:val="000000" w:themeColor="text1"/>
        </w:rPr>
        <w:t>生产用原材料的生产工艺或生物源性成分发生变更；</w:t>
      </w:r>
    </w:p>
    <w:p w:rsidR="002606BB" w:rsidRDefault="00841612">
      <w:pPr>
        <w:pStyle w:val="af9"/>
        <w:numPr>
          <w:ilvl w:val="0"/>
          <w:numId w:val="49"/>
        </w:numPr>
        <w:ind w:left="840" w:hanging="420"/>
        <w:rPr>
          <w:color w:val="000000" w:themeColor="text1"/>
        </w:rPr>
      </w:pPr>
      <w:r>
        <w:rPr>
          <w:rFonts w:hint="eastAsia"/>
          <w:color w:val="000000" w:themeColor="text1"/>
        </w:rPr>
        <w:t>生产用原材料的生产停止；</w:t>
      </w:r>
      <w:r>
        <w:rPr>
          <w:rFonts w:hint="eastAsia"/>
          <w:color w:val="000000" w:themeColor="text1"/>
        </w:rPr>
        <w:t xml:space="preserve"> </w:t>
      </w:r>
    </w:p>
    <w:p w:rsidR="002606BB" w:rsidRDefault="00841612">
      <w:pPr>
        <w:pStyle w:val="af9"/>
        <w:numPr>
          <w:ilvl w:val="0"/>
          <w:numId w:val="49"/>
        </w:numPr>
        <w:ind w:left="840" w:hanging="420"/>
        <w:rPr>
          <w:color w:val="000000" w:themeColor="text1"/>
        </w:rPr>
      </w:pPr>
      <w:r>
        <w:rPr>
          <w:rFonts w:hint="eastAsia"/>
          <w:color w:val="000000" w:themeColor="text1"/>
        </w:rPr>
        <w:t>生产用原材料的生产场所变更。</w:t>
      </w:r>
      <w:r>
        <w:rPr>
          <w:rFonts w:hint="eastAsia"/>
          <w:color w:val="000000" w:themeColor="text1"/>
        </w:rPr>
        <w:t xml:space="preserve">. </w:t>
      </w:r>
    </w:p>
    <w:p w:rsidR="002606BB" w:rsidRDefault="00841612">
      <w:pPr>
        <w:pStyle w:val="a2"/>
        <w:ind w:left="0"/>
        <w:rPr>
          <w:color w:val="000000" w:themeColor="text1"/>
        </w:rPr>
      </w:pPr>
      <w:r>
        <w:rPr>
          <w:rFonts w:hint="eastAsia"/>
          <w:color w:val="000000" w:themeColor="text1"/>
        </w:rPr>
        <w:t>在细胞治疗产品开发过程中的所有阶段，需注意当生物</w:t>
      </w:r>
      <w:proofErr w:type="gramStart"/>
      <w:r>
        <w:rPr>
          <w:rFonts w:hint="eastAsia"/>
          <w:color w:val="000000" w:themeColor="text1"/>
        </w:rPr>
        <w:t>源生产</w:t>
      </w:r>
      <w:proofErr w:type="gramEnd"/>
      <w:r>
        <w:rPr>
          <w:rFonts w:hint="eastAsia"/>
          <w:color w:val="000000" w:themeColor="text1"/>
        </w:rPr>
        <w:t>用原材料的生产发生变更时可能会影响细胞治疗产品的质量，并可能影响在变更发生前已进行的研究的有效性。</w:t>
      </w:r>
    </w:p>
    <w:p w:rsidR="002606BB" w:rsidRDefault="00841612">
      <w:pPr>
        <w:pStyle w:val="a2"/>
        <w:ind w:left="0"/>
        <w:rPr>
          <w:color w:val="000000" w:themeColor="text1"/>
        </w:rPr>
      </w:pPr>
      <w:r>
        <w:rPr>
          <w:rFonts w:hint="eastAsia"/>
          <w:color w:val="000000" w:themeColor="text1"/>
        </w:rPr>
        <w:t>无论是否需要通知生产用原材料的使用者，供应者都应对生产用原材料的每次变更的重要性进行分类。生产用原材料常见变更类别及技术要求应遵守《已上市生物制品药学变更研究技术指导原则（试行）》等相关法规的规定。</w:t>
      </w:r>
    </w:p>
    <w:p w:rsidR="002606BB" w:rsidRDefault="00841612">
      <w:pPr>
        <w:pStyle w:val="a1"/>
        <w:numPr>
          <w:ilvl w:val="1"/>
          <w:numId w:val="28"/>
        </w:numPr>
        <w:spacing w:before="156" w:after="156"/>
        <w:rPr>
          <w:color w:val="000000" w:themeColor="text1"/>
        </w:rPr>
      </w:pPr>
      <w:r>
        <w:rPr>
          <w:rFonts w:hint="eastAsia"/>
          <w:color w:val="000000" w:themeColor="text1"/>
        </w:rPr>
        <w:t>供应</w:t>
      </w:r>
      <w:proofErr w:type="gramStart"/>
      <w:r>
        <w:rPr>
          <w:rFonts w:hint="eastAsia"/>
          <w:color w:val="000000" w:themeColor="text1"/>
        </w:rPr>
        <w:t>者协议</w:t>
      </w:r>
      <w:proofErr w:type="gramEnd"/>
      <w:r>
        <w:rPr>
          <w:rFonts w:hint="eastAsia"/>
          <w:color w:val="000000" w:themeColor="text1"/>
        </w:rPr>
        <w:t>的注意事项</w:t>
      </w:r>
    </w:p>
    <w:p w:rsidR="002606BB" w:rsidRDefault="00841612">
      <w:pPr>
        <w:pStyle w:val="a2"/>
        <w:numPr>
          <w:ilvl w:val="0"/>
          <w:numId w:val="0"/>
        </w:numPr>
        <w:rPr>
          <w:color w:val="000000" w:themeColor="text1"/>
        </w:rPr>
      </w:pPr>
      <w:r>
        <w:rPr>
          <w:rFonts w:eastAsia="黑体" w:hAnsi="Times New Roman" w:hint="eastAsia"/>
          <w:color w:val="000000" w:themeColor="text1"/>
        </w:rPr>
        <w:t>1</w:t>
      </w:r>
      <w:r>
        <w:rPr>
          <w:rFonts w:eastAsia="黑体" w:hAnsi="Times New Roman"/>
          <w:color w:val="000000" w:themeColor="text1"/>
        </w:rPr>
        <w:t>1.2</w:t>
      </w:r>
      <w:r>
        <w:rPr>
          <w:rFonts w:eastAsia="黑体" w:hAnsi="Times New Roman" w:hint="eastAsia"/>
          <w:color w:val="000000" w:themeColor="text1"/>
        </w:rPr>
        <w:t>.1</w:t>
      </w:r>
      <w:r>
        <w:rPr>
          <w:rFonts w:hint="eastAsia"/>
          <w:color w:val="000000" w:themeColor="text1"/>
        </w:rPr>
        <w:t>当生产用原材料供应者对生物</w:t>
      </w:r>
      <w:proofErr w:type="gramStart"/>
      <w:r>
        <w:rPr>
          <w:rFonts w:hint="eastAsia"/>
          <w:color w:val="000000" w:themeColor="text1"/>
        </w:rPr>
        <w:t>源生产</w:t>
      </w:r>
      <w:proofErr w:type="gramEnd"/>
      <w:r>
        <w:rPr>
          <w:rFonts w:hint="eastAsia"/>
          <w:color w:val="000000" w:themeColor="text1"/>
        </w:rPr>
        <w:t>用原材料的制造工艺或成分进行更改时，让生产用原材料的使用者在受到影响之前就先了解这些变更是重要的。</w:t>
      </w:r>
    </w:p>
    <w:p w:rsidR="002606BB" w:rsidRDefault="00841612">
      <w:pPr>
        <w:pStyle w:val="a2"/>
        <w:numPr>
          <w:ilvl w:val="0"/>
          <w:numId w:val="0"/>
        </w:numPr>
        <w:rPr>
          <w:color w:val="000000" w:themeColor="text1"/>
        </w:rPr>
      </w:pPr>
      <w:r>
        <w:rPr>
          <w:rFonts w:eastAsia="黑体" w:hAnsi="Times New Roman" w:hint="eastAsia"/>
          <w:color w:val="000000" w:themeColor="text1"/>
        </w:rPr>
        <w:t>1</w:t>
      </w:r>
      <w:r>
        <w:rPr>
          <w:rFonts w:eastAsia="黑体" w:hAnsi="Times New Roman"/>
          <w:color w:val="000000" w:themeColor="text1"/>
        </w:rPr>
        <w:t>1.2</w:t>
      </w:r>
      <w:r>
        <w:rPr>
          <w:rFonts w:eastAsia="黑体" w:hAnsi="Times New Roman" w:hint="eastAsia"/>
          <w:color w:val="000000" w:themeColor="text1"/>
        </w:rPr>
        <w:t>.</w:t>
      </w:r>
      <w:r>
        <w:rPr>
          <w:rFonts w:eastAsia="黑体" w:hAnsi="Times New Roman"/>
          <w:color w:val="000000" w:themeColor="text1"/>
        </w:rPr>
        <w:t>2</w:t>
      </w:r>
      <w:r>
        <w:rPr>
          <w:rFonts w:hint="eastAsia"/>
          <w:color w:val="000000" w:themeColor="text1"/>
        </w:rPr>
        <w:t>考虑到首选供应者可能停止生产，生物</w:t>
      </w:r>
      <w:proofErr w:type="gramStart"/>
      <w:r>
        <w:rPr>
          <w:rFonts w:hint="eastAsia"/>
          <w:color w:val="000000" w:themeColor="text1"/>
        </w:rPr>
        <w:t>源生产</w:t>
      </w:r>
      <w:proofErr w:type="gramEnd"/>
      <w:r>
        <w:rPr>
          <w:rFonts w:hint="eastAsia"/>
          <w:color w:val="000000" w:themeColor="text1"/>
        </w:rPr>
        <w:t>用原材料的使用者应确定替代供应者并完成合格评估。同理，生产用原材料使用者应在质量协议中加入保证供应连续性的条款。</w:t>
      </w:r>
    </w:p>
    <w:p w:rsidR="002606BB" w:rsidRDefault="00841612">
      <w:pPr>
        <w:pStyle w:val="a2"/>
        <w:numPr>
          <w:ilvl w:val="0"/>
          <w:numId w:val="0"/>
        </w:numPr>
        <w:rPr>
          <w:color w:val="000000" w:themeColor="text1"/>
        </w:rPr>
      </w:pPr>
      <w:r>
        <w:rPr>
          <w:rFonts w:eastAsia="黑体" w:hAnsi="Times New Roman" w:hint="eastAsia"/>
          <w:color w:val="000000" w:themeColor="text1"/>
        </w:rPr>
        <w:t>1</w:t>
      </w:r>
      <w:r>
        <w:rPr>
          <w:rFonts w:eastAsia="黑体" w:hAnsi="Times New Roman"/>
          <w:color w:val="000000" w:themeColor="text1"/>
        </w:rPr>
        <w:t>1.2</w:t>
      </w:r>
      <w:r>
        <w:rPr>
          <w:rFonts w:eastAsia="黑体" w:hAnsi="Times New Roman" w:hint="eastAsia"/>
          <w:color w:val="000000" w:themeColor="text1"/>
        </w:rPr>
        <w:t>.</w:t>
      </w:r>
      <w:r>
        <w:rPr>
          <w:rFonts w:eastAsia="黑体" w:hAnsi="Times New Roman"/>
          <w:color w:val="000000" w:themeColor="text1"/>
        </w:rPr>
        <w:t xml:space="preserve">3 </w:t>
      </w:r>
      <w:r>
        <w:rPr>
          <w:rFonts w:hint="eastAsia"/>
          <w:color w:val="000000" w:themeColor="text1"/>
        </w:rPr>
        <w:t>生产用原材料使用者宜在与供应</w:t>
      </w:r>
      <w:proofErr w:type="gramStart"/>
      <w:r>
        <w:rPr>
          <w:rFonts w:hint="eastAsia"/>
          <w:color w:val="000000" w:themeColor="text1"/>
        </w:rPr>
        <w:t>者签署</w:t>
      </w:r>
      <w:proofErr w:type="gramEnd"/>
      <w:r>
        <w:rPr>
          <w:rFonts w:hint="eastAsia"/>
          <w:color w:val="000000" w:themeColor="text1"/>
        </w:rPr>
        <w:t>的原始协议中加入条款，允许针对生产用原材料的替代产品或改进产品开展可比性研究，并</w:t>
      </w:r>
      <w:proofErr w:type="gramStart"/>
      <w:r>
        <w:rPr>
          <w:rFonts w:hint="eastAsia"/>
          <w:color w:val="000000" w:themeColor="text1"/>
        </w:rPr>
        <w:t>宜加入</w:t>
      </w:r>
      <w:proofErr w:type="gramEnd"/>
      <w:r>
        <w:rPr>
          <w:rFonts w:hint="eastAsia"/>
          <w:color w:val="000000" w:themeColor="text1"/>
        </w:rPr>
        <w:t>强制要求变更通知的条款，当生产用生物原材料的生产工艺发生变更时，供应者应在约定通知期限内通知使用者。</w:t>
      </w:r>
    </w:p>
    <w:p w:rsidR="002606BB" w:rsidRDefault="00841612">
      <w:pPr>
        <w:widowControl/>
        <w:jc w:val="left"/>
        <w:rPr>
          <w:rFonts w:ascii="黑体" w:hAnsi="黑体" w:hint="default"/>
          <w:color w:val="000000" w:themeColor="text1"/>
          <w:kern w:val="0"/>
        </w:rPr>
      </w:pPr>
      <w:r>
        <w:rPr>
          <w:color w:val="000000" w:themeColor="text1"/>
        </w:rPr>
        <w:br w:type="page"/>
      </w:r>
    </w:p>
    <w:p w:rsidR="002606BB" w:rsidRDefault="00841612">
      <w:pPr>
        <w:pStyle w:val="affff"/>
        <w:rPr>
          <w:rFonts w:hint="default"/>
          <w:color w:val="000000" w:themeColor="text1"/>
        </w:rPr>
      </w:pPr>
      <w:bookmarkStart w:id="153" w:name="_Toc9202"/>
      <w:bookmarkStart w:id="154" w:name="_Toc6663"/>
      <w:bookmarkStart w:id="155" w:name="_Toc29550"/>
      <w:bookmarkStart w:id="156" w:name="_Toc7481"/>
      <w:bookmarkStart w:id="157" w:name="_Toc5175"/>
      <w:bookmarkStart w:id="158" w:name="_Toc13319"/>
      <w:bookmarkStart w:id="159" w:name="_Toc29194"/>
      <w:bookmarkStart w:id="160" w:name="_Toc19945"/>
      <w:bookmarkStart w:id="161" w:name="BKCKWX"/>
      <w:bookmarkStart w:id="162" w:name="_Toc22456"/>
      <w:bookmarkStart w:id="163" w:name="_Toc10298"/>
      <w:r>
        <w:rPr>
          <w:color w:val="000000" w:themeColor="text1"/>
        </w:rPr>
        <w:t>参 考 文 献</w:t>
      </w:r>
      <w:bookmarkEnd w:id="153"/>
      <w:bookmarkEnd w:id="154"/>
      <w:bookmarkEnd w:id="155"/>
      <w:bookmarkEnd w:id="156"/>
      <w:bookmarkEnd w:id="157"/>
      <w:bookmarkEnd w:id="158"/>
      <w:bookmarkEnd w:id="159"/>
      <w:bookmarkEnd w:id="160"/>
      <w:bookmarkEnd w:id="161"/>
      <w:bookmarkEnd w:id="162"/>
      <w:bookmarkEnd w:id="163"/>
    </w:p>
    <w:p w:rsidR="002606BB" w:rsidRDefault="00841612">
      <w:pPr>
        <w:numPr>
          <w:ilvl w:val="0"/>
          <w:numId w:val="50"/>
        </w:numPr>
        <w:rPr>
          <w:rFonts w:cs="宋体" w:hint="default"/>
          <w:color w:val="000000" w:themeColor="text1"/>
        </w:rPr>
      </w:pPr>
      <w:r>
        <w:rPr>
          <w:rFonts w:cs="宋体"/>
          <w:color w:val="000000" w:themeColor="text1"/>
        </w:rPr>
        <w:t>《药品生产质量管理规范》，国家食品药品监督管理局</w:t>
      </w:r>
    </w:p>
    <w:p w:rsidR="002606BB" w:rsidRDefault="00841612">
      <w:pPr>
        <w:numPr>
          <w:ilvl w:val="0"/>
          <w:numId w:val="50"/>
        </w:numPr>
        <w:rPr>
          <w:rFonts w:cs="宋体" w:hint="default"/>
          <w:color w:val="000000" w:themeColor="text1"/>
        </w:rPr>
      </w:pPr>
      <w:r>
        <w:rPr>
          <w:rFonts w:cs="宋体"/>
          <w:color w:val="000000" w:themeColor="text1"/>
        </w:rPr>
        <w:t>《细胞</w:t>
      </w:r>
      <w:r>
        <w:rPr>
          <w:rFonts w:cs="宋体"/>
          <w:color w:val="000000" w:themeColor="text1"/>
        </w:rPr>
        <w:t>治疗产品</w:t>
      </w:r>
      <w:r>
        <w:rPr>
          <w:rFonts w:cs="宋体"/>
          <w:color w:val="000000" w:themeColor="text1"/>
        </w:rPr>
        <w:t>研究与评价技术指导原则（试行）》，国家食品药品监督管理局</w:t>
      </w:r>
    </w:p>
    <w:p w:rsidR="002606BB" w:rsidRDefault="00841612">
      <w:pPr>
        <w:numPr>
          <w:ilvl w:val="0"/>
          <w:numId w:val="50"/>
        </w:numPr>
        <w:rPr>
          <w:rFonts w:cs="宋体" w:hint="default"/>
          <w:color w:val="000000" w:themeColor="text1"/>
        </w:rPr>
      </w:pPr>
      <w:r>
        <w:rPr>
          <w:rFonts w:cs="宋体"/>
          <w:color w:val="000000" w:themeColor="text1"/>
        </w:rPr>
        <w:t>《免疫细胞治疗产品药学研究与评价技术指导原则</w:t>
      </w:r>
      <w:r>
        <w:rPr>
          <w:rFonts w:cs="宋体"/>
          <w:color w:val="000000" w:themeColor="text1"/>
        </w:rPr>
        <w:t>（</w:t>
      </w:r>
      <w:r>
        <w:rPr>
          <w:rFonts w:cs="宋体"/>
          <w:color w:val="000000" w:themeColor="text1"/>
        </w:rPr>
        <w:t>试行</w:t>
      </w:r>
      <w:r>
        <w:rPr>
          <w:rFonts w:cs="宋体"/>
          <w:color w:val="000000" w:themeColor="text1"/>
        </w:rPr>
        <w:t>）</w:t>
      </w:r>
      <w:r>
        <w:rPr>
          <w:rFonts w:cs="宋体"/>
          <w:color w:val="000000" w:themeColor="text1"/>
        </w:rPr>
        <w:t>》，</w:t>
      </w:r>
      <w:r>
        <w:rPr>
          <w:rFonts w:cs="宋体"/>
          <w:color w:val="000000" w:themeColor="text1"/>
        </w:rPr>
        <w:t>国家药品监督管理局药品审评中心</w:t>
      </w:r>
    </w:p>
    <w:p w:rsidR="002606BB" w:rsidRDefault="00841612">
      <w:pPr>
        <w:numPr>
          <w:ilvl w:val="0"/>
          <w:numId w:val="50"/>
        </w:numPr>
        <w:rPr>
          <w:rFonts w:cs="宋体" w:hint="default"/>
          <w:color w:val="000000" w:themeColor="text1"/>
        </w:rPr>
      </w:pPr>
      <w:r>
        <w:rPr>
          <w:rFonts w:cs="宋体"/>
          <w:color w:val="000000" w:themeColor="text1"/>
        </w:rPr>
        <w:t>《</w:t>
      </w:r>
      <w:r>
        <w:rPr>
          <w:rFonts w:cs="宋体"/>
          <w:color w:val="000000" w:themeColor="text1"/>
        </w:rPr>
        <w:t>CAR-T</w:t>
      </w:r>
      <w:r>
        <w:rPr>
          <w:rFonts w:cs="宋体"/>
          <w:color w:val="000000" w:themeColor="text1"/>
        </w:rPr>
        <w:t>细胞治疗产品质量控制检测研究及非临床研究考虑要点》</w:t>
      </w:r>
      <w:r>
        <w:rPr>
          <w:rFonts w:cs="宋体"/>
          <w:color w:val="000000" w:themeColor="text1"/>
        </w:rPr>
        <w:t>,</w:t>
      </w:r>
      <w:r>
        <w:rPr>
          <w:rFonts w:cs="宋体"/>
          <w:color w:val="000000" w:themeColor="text1"/>
        </w:rPr>
        <w:t xml:space="preserve">　中国食品药品检定研究院</w:t>
      </w:r>
    </w:p>
    <w:p w:rsidR="002606BB" w:rsidRDefault="00841612">
      <w:pPr>
        <w:numPr>
          <w:ilvl w:val="0"/>
          <w:numId w:val="50"/>
        </w:numPr>
        <w:rPr>
          <w:rFonts w:cs="宋体" w:hint="default"/>
          <w:color w:val="000000" w:themeColor="text1"/>
        </w:rPr>
      </w:pPr>
      <w:r>
        <w:rPr>
          <w:rFonts w:cs="宋体"/>
          <w:color w:val="000000" w:themeColor="text1"/>
        </w:rPr>
        <w:t>《</w:t>
      </w:r>
      <w:r>
        <w:rPr>
          <w:rFonts w:cs="宋体"/>
          <w:color w:val="000000" w:themeColor="text1"/>
        </w:rPr>
        <w:t>GB/T 36988-2018</w:t>
      </w:r>
      <w:r>
        <w:rPr>
          <w:rFonts w:cs="宋体"/>
          <w:color w:val="000000" w:themeColor="text1"/>
        </w:rPr>
        <w:t>组织工程用人源组织操作规范指南》</w:t>
      </w:r>
      <w:r>
        <w:rPr>
          <w:rFonts w:cs="宋体"/>
          <w:color w:val="000000" w:themeColor="text1"/>
        </w:rPr>
        <w:t>，中国食品药品检定研究院</w:t>
      </w:r>
    </w:p>
    <w:p w:rsidR="002606BB" w:rsidRDefault="00841612">
      <w:pPr>
        <w:numPr>
          <w:ilvl w:val="0"/>
          <w:numId w:val="50"/>
        </w:numPr>
        <w:rPr>
          <w:rFonts w:cs="宋体" w:hint="default"/>
          <w:color w:val="000000" w:themeColor="text1"/>
        </w:rPr>
      </w:pPr>
      <w:r>
        <w:rPr>
          <w:rFonts w:cs="宋体"/>
          <w:color w:val="000000" w:themeColor="text1"/>
        </w:rPr>
        <w:t>《已上市生物制品药学变更研究技术指导原则（试行）》，国家</w:t>
      </w:r>
      <w:r>
        <w:rPr>
          <w:rFonts w:cs="宋体"/>
          <w:color w:val="000000" w:themeColor="text1"/>
        </w:rPr>
        <w:t>食品</w:t>
      </w:r>
      <w:r>
        <w:rPr>
          <w:rFonts w:cs="宋体"/>
          <w:color w:val="000000" w:themeColor="text1"/>
        </w:rPr>
        <w:t>药品监督管理局</w:t>
      </w:r>
    </w:p>
    <w:p w:rsidR="002606BB" w:rsidRDefault="00841612">
      <w:pPr>
        <w:numPr>
          <w:ilvl w:val="0"/>
          <w:numId w:val="50"/>
        </w:numPr>
        <w:rPr>
          <w:rFonts w:cs="宋体" w:hint="default"/>
          <w:color w:val="000000" w:themeColor="text1"/>
        </w:rPr>
      </w:pPr>
      <w:r>
        <w:rPr>
          <w:rFonts w:cs="宋体"/>
          <w:color w:val="000000" w:themeColor="text1"/>
        </w:rPr>
        <w:t>《干细胞制剂制备质量管理自律规范》，中国医药生物技术协会</w:t>
      </w:r>
    </w:p>
    <w:p w:rsidR="002606BB" w:rsidRDefault="00841612">
      <w:pPr>
        <w:numPr>
          <w:ilvl w:val="0"/>
          <w:numId w:val="50"/>
        </w:numPr>
        <w:rPr>
          <w:rFonts w:cs="宋体" w:hint="default"/>
          <w:color w:val="000000" w:themeColor="text1"/>
        </w:rPr>
      </w:pPr>
      <w:r>
        <w:rPr>
          <w:rFonts w:cs="宋体"/>
          <w:color w:val="000000" w:themeColor="text1"/>
        </w:rPr>
        <w:t>《细胞库质量管理规范》，中国医药生物技术协会</w:t>
      </w:r>
    </w:p>
    <w:p w:rsidR="002606BB" w:rsidRDefault="00841612">
      <w:pPr>
        <w:numPr>
          <w:ilvl w:val="0"/>
          <w:numId w:val="50"/>
        </w:numPr>
        <w:rPr>
          <w:rFonts w:cs="宋体" w:hint="default"/>
          <w:color w:val="000000" w:themeColor="text1"/>
        </w:rPr>
      </w:pPr>
      <w:r>
        <w:rPr>
          <w:rFonts w:cs="宋体"/>
          <w:color w:val="000000" w:themeColor="text1"/>
        </w:rPr>
        <w:t>ICH</w:t>
      </w:r>
      <w:r>
        <w:rPr>
          <w:rFonts w:cs="宋体"/>
          <w:color w:val="000000" w:themeColor="text1"/>
        </w:rPr>
        <w:t>三方协调指导原则</w:t>
      </w:r>
      <w:r>
        <w:rPr>
          <w:rFonts w:cs="宋体"/>
          <w:color w:val="000000" w:themeColor="text1"/>
        </w:rPr>
        <w:t xml:space="preserve"> Q1 </w:t>
      </w:r>
      <w:r>
        <w:rPr>
          <w:rFonts w:cs="宋体"/>
          <w:color w:val="000000" w:themeColor="text1"/>
        </w:rPr>
        <w:t>稳定性研究</w:t>
      </w:r>
    </w:p>
    <w:p w:rsidR="002606BB" w:rsidRDefault="00841612">
      <w:pPr>
        <w:numPr>
          <w:ilvl w:val="0"/>
          <w:numId w:val="50"/>
        </w:numPr>
        <w:rPr>
          <w:rFonts w:cs="宋体" w:hint="default"/>
          <w:color w:val="000000" w:themeColor="text1"/>
        </w:rPr>
      </w:pPr>
      <w:r>
        <w:rPr>
          <w:rFonts w:cs="宋体"/>
          <w:color w:val="000000" w:themeColor="text1"/>
        </w:rPr>
        <w:t>ICH</w:t>
      </w:r>
      <w:r>
        <w:rPr>
          <w:rFonts w:cs="宋体"/>
          <w:color w:val="000000" w:themeColor="text1"/>
        </w:rPr>
        <w:t>三方协调指导原则</w:t>
      </w:r>
      <w:r>
        <w:rPr>
          <w:rFonts w:cs="宋体"/>
          <w:color w:val="000000" w:themeColor="text1"/>
        </w:rPr>
        <w:t xml:space="preserve"> Q5 </w:t>
      </w:r>
      <w:r>
        <w:rPr>
          <w:rFonts w:cs="宋体"/>
          <w:color w:val="000000" w:themeColor="text1"/>
        </w:rPr>
        <w:t>生物技术产品的质量</w:t>
      </w:r>
    </w:p>
    <w:p w:rsidR="002606BB" w:rsidRDefault="00841612">
      <w:pPr>
        <w:numPr>
          <w:ilvl w:val="0"/>
          <w:numId w:val="50"/>
        </w:numPr>
        <w:rPr>
          <w:rFonts w:cs="宋体" w:hint="default"/>
          <w:color w:val="000000" w:themeColor="text1"/>
        </w:rPr>
      </w:pPr>
      <w:r>
        <w:rPr>
          <w:rFonts w:cs="宋体"/>
          <w:color w:val="000000" w:themeColor="text1"/>
        </w:rPr>
        <w:t>U.S.</w:t>
      </w:r>
      <w:r>
        <w:rPr>
          <w:rFonts w:cs="宋体"/>
          <w:color w:val="000000" w:themeColor="text1"/>
        </w:rPr>
        <w:t xml:space="preserve">　</w:t>
      </w:r>
      <w:r>
        <w:rPr>
          <w:rFonts w:cs="宋体"/>
          <w:color w:val="000000" w:themeColor="text1"/>
        </w:rPr>
        <w:t>Pharmacopeia</w:t>
      </w:r>
      <w:r>
        <w:rPr>
          <w:rFonts w:cs="宋体"/>
          <w:color w:val="000000" w:themeColor="text1"/>
        </w:rPr>
        <w:t xml:space="preserve">　</w:t>
      </w:r>
      <w:r>
        <w:rPr>
          <w:rFonts w:cs="宋体"/>
          <w:color w:val="000000" w:themeColor="text1"/>
        </w:rPr>
        <w:t>43</w:t>
      </w:r>
      <w:r>
        <w:rPr>
          <w:rFonts w:cs="宋体"/>
          <w:color w:val="000000" w:themeColor="text1"/>
        </w:rPr>
        <w:t xml:space="preserve">　</w:t>
      </w:r>
      <w:r>
        <w:rPr>
          <w:rFonts w:cs="宋体"/>
          <w:color w:val="000000" w:themeColor="text1"/>
        </w:rPr>
        <w:t>&lt;92&gt;,</w:t>
      </w:r>
      <w:r>
        <w:rPr>
          <w:rFonts w:cs="宋体"/>
          <w:color w:val="000000" w:themeColor="text1"/>
        </w:rPr>
        <w:t xml:space="preserve">　</w:t>
      </w:r>
      <w:r>
        <w:rPr>
          <w:rFonts w:cs="宋体"/>
          <w:color w:val="000000" w:themeColor="text1"/>
        </w:rPr>
        <w:t>Growth</w:t>
      </w:r>
      <w:r>
        <w:rPr>
          <w:rFonts w:cs="宋体"/>
          <w:color w:val="000000" w:themeColor="text1"/>
        </w:rPr>
        <w:t xml:space="preserve">　</w:t>
      </w:r>
      <w:r>
        <w:rPr>
          <w:rFonts w:cs="宋体"/>
          <w:color w:val="000000" w:themeColor="text1"/>
        </w:rPr>
        <w:t>Factors</w:t>
      </w:r>
      <w:r>
        <w:rPr>
          <w:rFonts w:cs="宋体"/>
          <w:color w:val="000000" w:themeColor="text1"/>
        </w:rPr>
        <w:t xml:space="preserve">　</w:t>
      </w:r>
      <w:r>
        <w:rPr>
          <w:rFonts w:cs="宋体"/>
          <w:color w:val="000000" w:themeColor="text1"/>
        </w:rPr>
        <w:t>and</w:t>
      </w:r>
      <w:r>
        <w:rPr>
          <w:rFonts w:cs="宋体"/>
          <w:color w:val="000000" w:themeColor="text1"/>
        </w:rPr>
        <w:t xml:space="preserve">　</w:t>
      </w:r>
      <w:r>
        <w:rPr>
          <w:rFonts w:cs="宋体"/>
          <w:color w:val="000000" w:themeColor="text1"/>
        </w:rPr>
        <w:t>Cytokines</w:t>
      </w:r>
      <w:r>
        <w:rPr>
          <w:rFonts w:cs="宋体"/>
          <w:color w:val="000000" w:themeColor="text1"/>
        </w:rPr>
        <w:t xml:space="preserve">　</w:t>
      </w:r>
      <w:r>
        <w:rPr>
          <w:rFonts w:cs="宋体"/>
          <w:color w:val="000000" w:themeColor="text1"/>
        </w:rPr>
        <w:t>Used</w:t>
      </w:r>
      <w:r>
        <w:rPr>
          <w:rFonts w:cs="宋体"/>
          <w:color w:val="000000" w:themeColor="text1"/>
        </w:rPr>
        <w:t xml:space="preserve">　</w:t>
      </w:r>
      <w:r>
        <w:rPr>
          <w:rFonts w:cs="宋体"/>
          <w:color w:val="000000" w:themeColor="text1"/>
        </w:rPr>
        <w:t>in</w:t>
      </w:r>
      <w:r>
        <w:rPr>
          <w:rFonts w:cs="宋体"/>
          <w:color w:val="000000" w:themeColor="text1"/>
        </w:rPr>
        <w:t xml:space="preserve">　</w:t>
      </w:r>
      <w:r>
        <w:rPr>
          <w:rFonts w:cs="宋体"/>
          <w:color w:val="000000" w:themeColor="text1"/>
        </w:rPr>
        <w:t>Cell</w:t>
      </w:r>
      <w:r>
        <w:rPr>
          <w:rFonts w:cs="宋体"/>
          <w:color w:val="000000" w:themeColor="text1"/>
        </w:rPr>
        <w:t xml:space="preserve">　</w:t>
      </w:r>
      <w:r>
        <w:rPr>
          <w:rFonts w:cs="宋体"/>
          <w:color w:val="000000" w:themeColor="text1"/>
        </w:rPr>
        <w:t>Therapy</w:t>
      </w:r>
      <w:r>
        <w:rPr>
          <w:rFonts w:cs="宋体"/>
          <w:color w:val="000000" w:themeColor="text1"/>
        </w:rPr>
        <w:t xml:space="preserve">　</w:t>
      </w:r>
      <w:r>
        <w:rPr>
          <w:rFonts w:cs="宋体"/>
          <w:color w:val="000000" w:themeColor="text1"/>
        </w:rPr>
        <w:t>Manufacturing</w:t>
      </w:r>
      <w:r>
        <w:rPr>
          <w:rFonts w:cs="宋体"/>
          <w:color w:val="000000" w:themeColor="text1"/>
        </w:rPr>
        <w:t>，</w:t>
      </w:r>
      <w:r>
        <w:rPr>
          <w:rFonts w:cs="宋体"/>
          <w:color w:val="000000" w:themeColor="text1"/>
        </w:rPr>
        <w:t>2017</w:t>
      </w:r>
    </w:p>
    <w:p w:rsidR="002606BB" w:rsidRDefault="00841612">
      <w:pPr>
        <w:numPr>
          <w:ilvl w:val="0"/>
          <w:numId w:val="50"/>
        </w:numPr>
        <w:rPr>
          <w:rFonts w:cs="宋体" w:hint="default"/>
          <w:color w:val="000000" w:themeColor="text1"/>
        </w:rPr>
      </w:pPr>
      <w:r>
        <w:rPr>
          <w:rFonts w:cs="宋体"/>
          <w:color w:val="000000" w:themeColor="text1"/>
        </w:rPr>
        <w:t>U.S.</w:t>
      </w:r>
      <w:r>
        <w:rPr>
          <w:rFonts w:cs="宋体"/>
          <w:color w:val="000000" w:themeColor="text1"/>
        </w:rPr>
        <w:t xml:space="preserve">　</w:t>
      </w:r>
      <w:r>
        <w:rPr>
          <w:rFonts w:cs="宋体"/>
          <w:color w:val="000000" w:themeColor="text1"/>
        </w:rPr>
        <w:t>Pharmacopeia</w:t>
      </w:r>
      <w:r>
        <w:rPr>
          <w:rFonts w:cs="宋体"/>
          <w:color w:val="000000" w:themeColor="text1"/>
        </w:rPr>
        <w:t xml:space="preserve">　</w:t>
      </w:r>
      <w:r>
        <w:rPr>
          <w:rFonts w:cs="宋体"/>
          <w:color w:val="000000" w:themeColor="text1"/>
        </w:rPr>
        <w:t>43</w:t>
      </w:r>
      <w:r>
        <w:rPr>
          <w:rFonts w:cs="宋体"/>
          <w:color w:val="000000" w:themeColor="text1"/>
        </w:rPr>
        <w:t xml:space="preserve">　</w:t>
      </w:r>
      <w:r>
        <w:rPr>
          <w:rFonts w:cs="宋体"/>
          <w:color w:val="000000" w:themeColor="text1"/>
        </w:rPr>
        <w:t>&lt;1024&gt;,</w:t>
      </w:r>
      <w:r>
        <w:rPr>
          <w:rFonts w:cs="宋体"/>
          <w:color w:val="000000" w:themeColor="text1"/>
        </w:rPr>
        <w:t xml:space="preserve">　</w:t>
      </w:r>
      <w:r>
        <w:rPr>
          <w:rFonts w:cs="宋体"/>
          <w:color w:val="000000" w:themeColor="text1"/>
        </w:rPr>
        <w:t>Bovine</w:t>
      </w:r>
      <w:r>
        <w:rPr>
          <w:rFonts w:cs="宋体"/>
          <w:color w:val="000000" w:themeColor="text1"/>
        </w:rPr>
        <w:t xml:space="preserve">　</w:t>
      </w:r>
      <w:r>
        <w:rPr>
          <w:rFonts w:cs="宋体"/>
          <w:color w:val="000000" w:themeColor="text1"/>
        </w:rPr>
        <w:t>Serum</w:t>
      </w:r>
      <w:r>
        <w:rPr>
          <w:rFonts w:cs="宋体"/>
          <w:color w:val="000000" w:themeColor="text1"/>
        </w:rPr>
        <w:t>，</w:t>
      </w:r>
      <w:r>
        <w:rPr>
          <w:rFonts w:cs="宋体"/>
          <w:color w:val="000000" w:themeColor="text1"/>
        </w:rPr>
        <w:t>2017</w:t>
      </w:r>
    </w:p>
    <w:p w:rsidR="002606BB" w:rsidRDefault="00841612">
      <w:pPr>
        <w:numPr>
          <w:ilvl w:val="0"/>
          <w:numId w:val="50"/>
        </w:numPr>
        <w:rPr>
          <w:rFonts w:cs="宋体" w:hint="default"/>
          <w:color w:val="000000" w:themeColor="text1"/>
        </w:rPr>
      </w:pPr>
      <w:r>
        <w:rPr>
          <w:rFonts w:cs="宋体"/>
          <w:color w:val="000000" w:themeColor="text1"/>
        </w:rPr>
        <w:t>U.S.</w:t>
      </w:r>
      <w:r>
        <w:rPr>
          <w:rFonts w:cs="宋体"/>
          <w:color w:val="000000" w:themeColor="text1"/>
        </w:rPr>
        <w:t xml:space="preserve">　</w:t>
      </w:r>
      <w:r>
        <w:rPr>
          <w:rFonts w:cs="宋体"/>
          <w:color w:val="000000" w:themeColor="text1"/>
        </w:rPr>
        <w:t>Pharmacopeia</w:t>
      </w:r>
      <w:r>
        <w:rPr>
          <w:rFonts w:cs="宋体"/>
          <w:color w:val="000000" w:themeColor="text1"/>
        </w:rPr>
        <w:t xml:space="preserve">　</w:t>
      </w:r>
      <w:r>
        <w:rPr>
          <w:rFonts w:cs="宋体"/>
          <w:color w:val="000000" w:themeColor="text1"/>
        </w:rPr>
        <w:t>43</w:t>
      </w:r>
      <w:r>
        <w:rPr>
          <w:rFonts w:cs="宋体"/>
          <w:color w:val="000000" w:themeColor="text1"/>
        </w:rPr>
        <w:t xml:space="preserve">　</w:t>
      </w:r>
      <w:r>
        <w:rPr>
          <w:rFonts w:cs="宋体"/>
          <w:color w:val="000000" w:themeColor="text1"/>
        </w:rPr>
        <w:t>&lt;1043&gt;</w:t>
      </w:r>
      <w:r>
        <w:rPr>
          <w:rFonts w:cs="宋体"/>
          <w:color w:val="000000" w:themeColor="text1"/>
        </w:rPr>
        <w:t>,</w:t>
      </w:r>
      <w:r>
        <w:rPr>
          <w:rFonts w:cs="宋体"/>
          <w:color w:val="000000" w:themeColor="text1"/>
        </w:rPr>
        <w:t xml:space="preserve">　</w:t>
      </w:r>
      <w:r>
        <w:rPr>
          <w:rFonts w:cs="宋体"/>
          <w:color w:val="000000" w:themeColor="text1"/>
        </w:rPr>
        <w:t>Ancillary</w:t>
      </w:r>
      <w:r>
        <w:rPr>
          <w:rFonts w:cs="宋体"/>
          <w:color w:val="000000" w:themeColor="text1"/>
        </w:rPr>
        <w:t xml:space="preserve">　</w:t>
      </w:r>
      <w:r>
        <w:rPr>
          <w:rFonts w:cs="宋体"/>
          <w:color w:val="000000" w:themeColor="text1"/>
        </w:rPr>
        <w:t>Materials</w:t>
      </w:r>
      <w:r>
        <w:rPr>
          <w:rFonts w:cs="宋体"/>
          <w:color w:val="000000" w:themeColor="text1"/>
        </w:rPr>
        <w:t xml:space="preserve">　</w:t>
      </w:r>
      <w:r>
        <w:rPr>
          <w:rFonts w:cs="宋体"/>
          <w:color w:val="000000" w:themeColor="text1"/>
        </w:rPr>
        <w:t>for</w:t>
      </w:r>
      <w:r>
        <w:rPr>
          <w:rFonts w:cs="宋体"/>
          <w:color w:val="000000" w:themeColor="text1"/>
        </w:rPr>
        <w:t xml:space="preserve">　</w:t>
      </w:r>
      <w:r>
        <w:rPr>
          <w:rFonts w:cs="宋体"/>
          <w:color w:val="000000" w:themeColor="text1"/>
        </w:rPr>
        <w:t>Cell,</w:t>
      </w:r>
      <w:r>
        <w:rPr>
          <w:rFonts w:cs="宋体"/>
          <w:color w:val="000000" w:themeColor="text1"/>
        </w:rPr>
        <w:t xml:space="preserve">　</w:t>
      </w:r>
      <w:r>
        <w:rPr>
          <w:rFonts w:cs="宋体"/>
          <w:color w:val="000000" w:themeColor="text1"/>
        </w:rPr>
        <w:t>Gene,</w:t>
      </w:r>
      <w:r>
        <w:rPr>
          <w:rFonts w:cs="宋体"/>
          <w:color w:val="000000" w:themeColor="text1"/>
        </w:rPr>
        <w:t xml:space="preserve">　</w:t>
      </w:r>
      <w:r>
        <w:rPr>
          <w:rFonts w:cs="宋体"/>
          <w:color w:val="000000" w:themeColor="text1"/>
        </w:rPr>
        <w:t>and</w:t>
      </w:r>
      <w:r>
        <w:rPr>
          <w:rFonts w:cs="宋体"/>
          <w:color w:val="000000" w:themeColor="text1"/>
        </w:rPr>
        <w:t xml:space="preserve">　</w:t>
      </w:r>
      <w:r>
        <w:rPr>
          <w:rFonts w:cs="宋体"/>
          <w:color w:val="000000" w:themeColor="text1"/>
        </w:rPr>
        <w:t>Tissue-Engineered</w:t>
      </w:r>
      <w:r>
        <w:rPr>
          <w:rFonts w:cs="宋体"/>
          <w:color w:val="000000" w:themeColor="text1"/>
        </w:rPr>
        <w:t xml:space="preserve">　</w:t>
      </w:r>
      <w:r>
        <w:rPr>
          <w:rFonts w:cs="宋体"/>
          <w:color w:val="000000" w:themeColor="text1"/>
        </w:rPr>
        <w:t>Products</w:t>
      </w:r>
      <w:r>
        <w:rPr>
          <w:rFonts w:cs="宋体"/>
          <w:color w:val="000000" w:themeColor="text1"/>
        </w:rPr>
        <w:t>，</w:t>
      </w:r>
      <w:r>
        <w:rPr>
          <w:rFonts w:cs="宋体"/>
          <w:color w:val="000000" w:themeColor="text1"/>
        </w:rPr>
        <w:t>2017</w:t>
      </w:r>
    </w:p>
    <w:p w:rsidR="002606BB" w:rsidRDefault="00841612">
      <w:pPr>
        <w:numPr>
          <w:ilvl w:val="0"/>
          <w:numId w:val="50"/>
        </w:numPr>
        <w:rPr>
          <w:rFonts w:cs="宋体" w:hint="default"/>
          <w:color w:val="000000" w:themeColor="text1"/>
        </w:rPr>
      </w:pPr>
      <w:r>
        <w:rPr>
          <w:rFonts w:cs="宋体"/>
          <w:color w:val="000000" w:themeColor="text1"/>
        </w:rPr>
        <w:t>U.S.</w:t>
      </w:r>
      <w:r>
        <w:rPr>
          <w:rFonts w:cs="宋体"/>
          <w:color w:val="000000" w:themeColor="text1"/>
        </w:rPr>
        <w:t xml:space="preserve">　</w:t>
      </w:r>
      <w:r>
        <w:rPr>
          <w:rFonts w:cs="宋体"/>
          <w:color w:val="000000" w:themeColor="text1"/>
        </w:rPr>
        <w:t>Pharmacopeia</w:t>
      </w:r>
      <w:r>
        <w:rPr>
          <w:rFonts w:cs="宋体"/>
          <w:color w:val="000000" w:themeColor="text1"/>
        </w:rPr>
        <w:t xml:space="preserve">　</w:t>
      </w:r>
      <w:r>
        <w:rPr>
          <w:rFonts w:cs="宋体"/>
          <w:color w:val="000000" w:themeColor="text1"/>
        </w:rPr>
        <w:t>43</w:t>
      </w:r>
      <w:r>
        <w:rPr>
          <w:rFonts w:cs="宋体"/>
          <w:color w:val="000000" w:themeColor="text1"/>
        </w:rPr>
        <w:t xml:space="preserve">　</w:t>
      </w:r>
      <w:r>
        <w:rPr>
          <w:rFonts w:cs="宋体"/>
          <w:color w:val="000000" w:themeColor="text1"/>
        </w:rPr>
        <w:t>&lt;1240&gt;,</w:t>
      </w:r>
      <w:r>
        <w:rPr>
          <w:rFonts w:cs="宋体"/>
          <w:color w:val="000000" w:themeColor="text1"/>
        </w:rPr>
        <w:t xml:space="preserve">　</w:t>
      </w:r>
      <w:r>
        <w:rPr>
          <w:rFonts w:cs="宋体"/>
          <w:color w:val="000000" w:themeColor="text1"/>
        </w:rPr>
        <w:t>Virus</w:t>
      </w:r>
      <w:r>
        <w:rPr>
          <w:rFonts w:cs="宋体"/>
          <w:color w:val="000000" w:themeColor="text1"/>
        </w:rPr>
        <w:t xml:space="preserve">　</w:t>
      </w:r>
      <w:r>
        <w:rPr>
          <w:rFonts w:cs="宋体"/>
          <w:color w:val="000000" w:themeColor="text1"/>
        </w:rPr>
        <w:t>Testing</w:t>
      </w:r>
      <w:r>
        <w:rPr>
          <w:rFonts w:cs="宋体"/>
          <w:color w:val="000000" w:themeColor="text1"/>
        </w:rPr>
        <w:t xml:space="preserve">　</w:t>
      </w:r>
      <w:r>
        <w:rPr>
          <w:rFonts w:cs="宋体"/>
          <w:color w:val="000000" w:themeColor="text1"/>
        </w:rPr>
        <w:t>of</w:t>
      </w:r>
      <w:r>
        <w:rPr>
          <w:rFonts w:cs="宋体"/>
          <w:color w:val="000000" w:themeColor="text1"/>
        </w:rPr>
        <w:t xml:space="preserve">　</w:t>
      </w:r>
      <w:r>
        <w:rPr>
          <w:rFonts w:cs="宋体"/>
          <w:color w:val="000000" w:themeColor="text1"/>
        </w:rPr>
        <w:t>Human</w:t>
      </w:r>
      <w:r>
        <w:rPr>
          <w:rFonts w:cs="宋体"/>
          <w:color w:val="000000" w:themeColor="text1"/>
        </w:rPr>
        <w:t xml:space="preserve">　</w:t>
      </w:r>
      <w:r>
        <w:rPr>
          <w:rFonts w:cs="宋体"/>
          <w:color w:val="000000" w:themeColor="text1"/>
        </w:rPr>
        <w:t>Plasma</w:t>
      </w:r>
      <w:r>
        <w:rPr>
          <w:rFonts w:cs="宋体"/>
          <w:color w:val="000000" w:themeColor="text1"/>
        </w:rPr>
        <w:t xml:space="preserve">　</w:t>
      </w:r>
      <w:r>
        <w:rPr>
          <w:rFonts w:cs="宋体"/>
          <w:color w:val="000000" w:themeColor="text1"/>
        </w:rPr>
        <w:t>for</w:t>
      </w:r>
      <w:r>
        <w:rPr>
          <w:rFonts w:cs="宋体"/>
          <w:color w:val="000000" w:themeColor="text1"/>
        </w:rPr>
        <w:t xml:space="preserve">　</w:t>
      </w:r>
      <w:r>
        <w:rPr>
          <w:rFonts w:cs="宋体"/>
          <w:color w:val="000000" w:themeColor="text1"/>
        </w:rPr>
        <w:t>Further</w:t>
      </w:r>
      <w:r>
        <w:rPr>
          <w:rFonts w:cs="宋体"/>
          <w:color w:val="000000" w:themeColor="text1"/>
        </w:rPr>
        <w:t xml:space="preserve">　</w:t>
      </w:r>
      <w:r>
        <w:rPr>
          <w:rFonts w:cs="宋体"/>
          <w:color w:val="000000" w:themeColor="text1"/>
        </w:rPr>
        <w:t>Manufacture</w:t>
      </w:r>
      <w:r>
        <w:rPr>
          <w:rFonts w:cs="宋体"/>
          <w:color w:val="000000" w:themeColor="text1"/>
        </w:rPr>
        <w:t>，</w:t>
      </w:r>
      <w:r>
        <w:rPr>
          <w:rFonts w:cs="宋体"/>
          <w:color w:val="000000" w:themeColor="text1"/>
        </w:rPr>
        <w:t>2017</w:t>
      </w:r>
    </w:p>
    <w:p w:rsidR="002606BB" w:rsidRDefault="00841612">
      <w:pPr>
        <w:numPr>
          <w:ilvl w:val="0"/>
          <w:numId w:val="50"/>
        </w:numPr>
        <w:rPr>
          <w:rFonts w:cs="宋体" w:hint="default"/>
          <w:color w:val="000000" w:themeColor="text1"/>
        </w:rPr>
      </w:pPr>
      <w:r>
        <w:rPr>
          <w:rFonts w:cs="宋体"/>
          <w:color w:val="000000" w:themeColor="text1"/>
        </w:rPr>
        <w:t>European</w:t>
      </w:r>
      <w:r>
        <w:rPr>
          <w:rFonts w:cs="宋体"/>
          <w:color w:val="000000" w:themeColor="text1"/>
        </w:rPr>
        <w:t xml:space="preserve">　</w:t>
      </w:r>
      <w:r>
        <w:rPr>
          <w:rFonts w:cs="宋体"/>
          <w:color w:val="000000" w:themeColor="text1"/>
        </w:rPr>
        <w:t>Pharmacopoeia</w:t>
      </w:r>
      <w:r>
        <w:rPr>
          <w:rFonts w:cs="宋体"/>
          <w:color w:val="000000" w:themeColor="text1"/>
        </w:rPr>
        <w:t xml:space="preserve">　</w:t>
      </w:r>
      <w:r>
        <w:rPr>
          <w:rFonts w:cs="宋体"/>
          <w:color w:val="000000" w:themeColor="text1"/>
        </w:rPr>
        <w:t>&lt;5.2.12&gt;,</w:t>
      </w:r>
      <w:r>
        <w:rPr>
          <w:rFonts w:cs="宋体"/>
          <w:color w:val="000000" w:themeColor="text1"/>
        </w:rPr>
        <w:t xml:space="preserve">　</w:t>
      </w:r>
      <w:r>
        <w:rPr>
          <w:rFonts w:cs="宋体"/>
          <w:color w:val="000000" w:themeColor="text1"/>
        </w:rPr>
        <w:t>Raw</w:t>
      </w:r>
      <w:r>
        <w:rPr>
          <w:rFonts w:cs="宋体"/>
          <w:color w:val="000000" w:themeColor="text1"/>
        </w:rPr>
        <w:t xml:space="preserve">　</w:t>
      </w:r>
      <w:r>
        <w:rPr>
          <w:rFonts w:cs="宋体"/>
          <w:color w:val="000000" w:themeColor="text1"/>
        </w:rPr>
        <w:t>materials</w:t>
      </w:r>
      <w:r>
        <w:rPr>
          <w:rFonts w:cs="宋体"/>
          <w:color w:val="000000" w:themeColor="text1"/>
        </w:rPr>
        <w:t xml:space="preserve">　</w:t>
      </w:r>
      <w:r>
        <w:rPr>
          <w:rFonts w:cs="宋体"/>
          <w:color w:val="000000" w:themeColor="text1"/>
        </w:rPr>
        <w:t>of</w:t>
      </w:r>
      <w:r>
        <w:rPr>
          <w:rFonts w:cs="宋体"/>
          <w:color w:val="000000" w:themeColor="text1"/>
        </w:rPr>
        <w:t xml:space="preserve">　</w:t>
      </w:r>
      <w:r>
        <w:rPr>
          <w:rFonts w:cs="宋体"/>
          <w:color w:val="000000" w:themeColor="text1"/>
        </w:rPr>
        <w:t>biological</w:t>
      </w:r>
      <w:r>
        <w:rPr>
          <w:rFonts w:cs="宋体"/>
          <w:color w:val="000000" w:themeColor="text1"/>
        </w:rPr>
        <w:t xml:space="preserve">　</w:t>
      </w:r>
      <w:r>
        <w:rPr>
          <w:rFonts w:cs="宋体"/>
          <w:color w:val="000000" w:themeColor="text1"/>
        </w:rPr>
        <w:t>origin</w:t>
      </w:r>
      <w:r>
        <w:rPr>
          <w:rFonts w:cs="宋体"/>
          <w:color w:val="000000" w:themeColor="text1"/>
        </w:rPr>
        <w:t xml:space="preserve">　</w:t>
      </w:r>
      <w:r>
        <w:rPr>
          <w:rFonts w:cs="宋体"/>
          <w:color w:val="000000" w:themeColor="text1"/>
        </w:rPr>
        <w:t>for</w:t>
      </w:r>
      <w:r>
        <w:rPr>
          <w:rFonts w:cs="宋体"/>
          <w:color w:val="000000" w:themeColor="text1"/>
        </w:rPr>
        <w:t xml:space="preserve">　</w:t>
      </w:r>
      <w:r>
        <w:rPr>
          <w:rFonts w:cs="宋体"/>
          <w:color w:val="000000" w:themeColor="text1"/>
        </w:rPr>
        <w:t>the</w:t>
      </w:r>
      <w:r>
        <w:rPr>
          <w:rFonts w:cs="宋体"/>
          <w:color w:val="000000" w:themeColor="text1"/>
        </w:rPr>
        <w:t xml:space="preserve">　</w:t>
      </w:r>
      <w:r>
        <w:rPr>
          <w:rFonts w:cs="宋体"/>
          <w:color w:val="000000" w:themeColor="text1"/>
        </w:rPr>
        <w:t>production</w:t>
      </w:r>
      <w:r>
        <w:rPr>
          <w:rFonts w:cs="宋体"/>
          <w:color w:val="000000" w:themeColor="text1"/>
        </w:rPr>
        <w:t xml:space="preserve">　</w:t>
      </w:r>
      <w:r>
        <w:rPr>
          <w:rFonts w:cs="宋体"/>
          <w:color w:val="000000" w:themeColor="text1"/>
        </w:rPr>
        <w:t>of</w:t>
      </w:r>
      <w:r>
        <w:rPr>
          <w:rFonts w:cs="宋体"/>
          <w:color w:val="000000" w:themeColor="text1"/>
        </w:rPr>
        <w:t xml:space="preserve">　</w:t>
      </w:r>
      <w:r>
        <w:rPr>
          <w:rFonts w:cs="宋体"/>
          <w:color w:val="000000" w:themeColor="text1"/>
        </w:rPr>
        <w:t>cell</w:t>
      </w:r>
      <w:r>
        <w:rPr>
          <w:rFonts w:cs="宋体"/>
          <w:color w:val="000000" w:themeColor="text1"/>
        </w:rPr>
        <w:t>-based</w:t>
      </w:r>
      <w:r>
        <w:rPr>
          <w:rFonts w:cs="宋体"/>
          <w:color w:val="000000" w:themeColor="text1"/>
        </w:rPr>
        <w:t xml:space="preserve">　</w:t>
      </w:r>
      <w:r>
        <w:rPr>
          <w:rFonts w:cs="宋体"/>
          <w:color w:val="000000" w:themeColor="text1"/>
        </w:rPr>
        <w:t>and</w:t>
      </w:r>
      <w:r>
        <w:rPr>
          <w:rFonts w:cs="宋体"/>
          <w:color w:val="000000" w:themeColor="text1"/>
        </w:rPr>
        <w:t xml:space="preserve">　</w:t>
      </w:r>
      <w:r>
        <w:rPr>
          <w:rFonts w:cs="宋体"/>
          <w:color w:val="000000" w:themeColor="text1"/>
        </w:rPr>
        <w:t>gene</w:t>
      </w:r>
      <w:r>
        <w:rPr>
          <w:rFonts w:cs="宋体"/>
          <w:color w:val="000000" w:themeColor="text1"/>
        </w:rPr>
        <w:t xml:space="preserve">　</w:t>
      </w:r>
      <w:r>
        <w:rPr>
          <w:rFonts w:cs="宋体"/>
          <w:color w:val="000000" w:themeColor="text1"/>
        </w:rPr>
        <w:t>therapy</w:t>
      </w:r>
      <w:r>
        <w:rPr>
          <w:rFonts w:cs="宋体"/>
          <w:color w:val="000000" w:themeColor="text1"/>
        </w:rPr>
        <w:t xml:space="preserve">　</w:t>
      </w:r>
      <w:r>
        <w:rPr>
          <w:rFonts w:cs="宋体"/>
          <w:color w:val="000000" w:themeColor="text1"/>
        </w:rPr>
        <w:t>medicinal</w:t>
      </w:r>
      <w:r>
        <w:rPr>
          <w:rFonts w:cs="宋体"/>
          <w:color w:val="000000" w:themeColor="text1"/>
        </w:rPr>
        <w:t xml:space="preserve">　</w:t>
      </w:r>
      <w:r>
        <w:rPr>
          <w:rFonts w:cs="宋体"/>
          <w:color w:val="000000" w:themeColor="text1"/>
        </w:rPr>
        <w:t>products</w:t>
      </w:r>
      <w:r>
        <w:rPr>
          <w:rFonts w:cs="宋体"/>
          <w:color w:val="000000" w:themeColor="text1"/>
        </w:rPr>
        <w:t>，</w:t>
      </w:r>
      <w:r>
        <w:rPr>
          <w:rFonts w:cs="宋体"/>
          <w:color w:val="000000" w:themeColor="text1"/>
        </w:rPr>
        <w:t>2017</w:t>
      </w:r>
      <w:r>
        <w:rPr>
          <w:rFonts w:cs="宋体"/>
          <w:color w:val="000000" w:themeColor="text1"/>
        </w:rPr>
        <w:t xml:space="preserve">　</w:t>
      </w:r>
    </w:p>
    <w:p w:rsidR="002606BB" w:rsidRDefault="00841612">
      <w:pPr>
        <w:numPr>
          <w:ilvl w:val="0"/>
          <w:numId w:val="50"/>
        </w:numPr>
        <w:rPr>
          <w:rFonts w:cs="宋体" w:hint="default"/>
          <w:color w:val="000000" w:themeColor="text1"/>
        </w:rPr>
      </w:pPr>
      <w:r>
        <w:rPr>
          <w:rFonts w:cs="宋体"/>
          <w:color w:val="000000" w:themeColor="text1"/>
        </w:rPr>
        <w:t>European</w:t>
      </w:r>
      <w:r>
        <w:rPr>
          <w:rFonts w:cs="宋体"/>
          <w:color w:val="000000" w:themeColor="text1"/>
        </w:rPr>
        <w:t xml:space="preserve">　</w:t>
      </w:r>
      <w:r>
        <w:rPr>
          <w:rFonts w:cs="宋体"/>
          <w:color w:val="000000" w:themeColor="text1"/>
        </w:rPr>
        <w:t>Pharmacopoeia</w:t>
      </w:r>
      <w:r>
        <w:rPr>
          <w:rFonts w:cs="宋体"/>
          <w:color w:val="000000" w:themeColor="text1"/>
        </w:rPr>
        <w:t xml:space="preserve">　</w:t>
      </w:r>
      <w:r>
        <w:rPr>
          <w:rFonts w:cs="宋体"/>
          <w:color w:val="000000" w:themeColor="text1"/>
        </w:rPr>
        <w:t>&lt;2262&gt;,</w:t>
      </w:r>
      <w:r>
        <w:rPr>
          <w:rFonts w:cs="宋体"/>
          <w:color w:val="000000" w:themeColor="text1"/>
        </w:rPr>
        <w:t xml:space="preserve">　</w:t>
      </w:r>
      <w:r>
        <w:rPr>
          <w:rFonts w:cs="宋体"/>
          <w:color w:val="000000" w:themeColor="text1"/>
        </w:rPr>
        <w:t>Bovine</w:t>
      </w:r>
      <w:r>
        <w:rPr>
          <w:rFonts w:cs="宋体"/>
          <w:color w:val="000000" w:themeColor="text1"/>
        </w:rPr>
        <w:t xml:space="preserve">　</w:t>
      </w:r>
      <w:r>
        <w:rPr>
          <w:rFonts w:cs="宋体"/>
          <w:color w:val="000000" w:themeColor="text1"/>
        </w:rPr>
        <w:t>Serum</w:t>
      </w:r>
      <w:r>
        <w:rPr>
          <w:rFonts w:cs="宋体"/>
          <w:color w:val="000000" w:themeColor="text1"/>
        </w:rPr>
        <w:t>，</w:t>
      </w:r>
      <w:r>
        <w:rPr>
          <w:rFonts w:cs="宋体"/>
          <w:color w:val="000000" w:themeColor="text1"/>
        </w:rPr>
        <w:t>2017</w:t>
      </w:r>
    </w:p>
    <w:p w:rsidR="002606BB" w:rsidRDefault="00841612">
      <w:pPr>
        <w:numPr>
          <w:ilvl w:val="0"/>
          <w:numId w:val="50"/>
        </w:numPr>
        <w:rPr>
          <w:rFonts w:cs="宋体" w:hint="default"/>
          <w:color w:val="000000" w:themeColor="text1"/>
        </w:rPr>
      </w:pPr>
      <w:r>
        <w:rPr>
          <w:rFonts w:cs="宋体"/>
          <w:color w:val="000000" w:themeColor="text1"/>
        </w:rPr>
        <w:t>Standards</w:t>
      </w:r>
      <w:r>
        <w:rPr>
          <w:rFonts w:cs="宋体"/>
          <w:color w:val="000000" w:themeColor="text1"/>
        </w:rPr>
        <w:t xml:space="preserve">　</w:t>
      </w:r>
      <w:r>
        <w:rPr>
          <w:rFonts w:cs="宋体"/>
          <w:color w:val="000000" w:themeColor="text1"/>
        </w:rPr>
        <w:t>for</w:t>
      </w:r>
      <w:r>
        <w:rPr>
          <w:rFonts w:cs="宋体"/>
          <w:color w:val="000000" w:themeColor="text1"/>
        </w:rPr>
        <w:t xml:space="preserve">　</w:t>
      </w:r>
      <w:r>
        <w:rPr>
          <w:rFonts w:cs="宋体"/>
          <w:color w:val="000000" w:themeColor="text1"/>
        </w:rPr>
        <w:t>biological</w:t>
      </w:r>
      <w:r>
        <w:rPr>
          <w:rFonts w:cs="宋体"/>
          <w:color w:val="000000" w:themeColor="text1"/>
        </w:rPr>
        <w:t xml:space="preserve">　</w:t>
      </w:r>
      <w:r>
        <w:rPr>
          <w:rFonts w:cs="宋体"/>
          <w:color w:val="000000" w:themeColor="text1"/>
        </w:rPr>
        <w:t>materials</w:t>
      </w:r>
      <w:r>
        <w:rPr>
          <w:rFonts w:cs="宋体"/>
          <w:color w:val="000000" w:themeColor="text1"/>
        </w:rPr>
        <w:t xml:space="preserve">　</w:t>
      </w:r>
      <w:r>
        <w:rPr>
          <w:rFonts w:cs="宋体"/>
          <w:color w:val="000000" w:themeColor="text1"/>
        </w:rPr>
        <w:t>Notification</w:t>
      </w:r>
      <w:r>
        <w:rPr>
          <w:rFonts w:cs="宋体"/>
          <w:color w:val="000000" w:themeColor="text1"/>
        </w:rPr>
        <w:t xml:space="preserve">　</w:t>
      </w:r>
      <w:r>
        <w:rPr>
          <w:rFonts w:cs="宋体"/>
          <w:color w:val="000000" w:themeColor="text1"/>
        </w:rPr>
        <w:t>No.</w:t>
      </w:r>
      <w:r>
        <w:rPr>
          <w:rFonts w:cs="宋体"/>
          <w:color w:val="000000" w:themeColor="text1"/>
        </w:rPr>
        <w:t xml:space="preserve">　</w:t>
      </w:r>
      <w:r>
        <w:rPr>
          <w:rFonts w:cs="宋体"/>
          <w:color w:val="000000" w:themeColor="text1"/>
        </w:rPr>
        <w:t>375</w:t>
      </w:r>
      <w:r>
        <w:rPr>
          <w:rFonts w:cs="宋体"/>
          <w:color w:val="000000" w:themeColor="text1"/>
        </w:rPr>
        <w:t>，</w:t>
      </w:r>
      <w:r>
        <w:rPr>
          <w:rFonts w:cs="宋体"/>
          <w:color w:val="000000" w:themeColor="text1"/>
        </w:rPr>
        <w:t>MHLW</w:t>
      </w:r>
      <w:r>
        <w:rPr>
          <w:rFonts w:cs="宋体"/>
          <w:color w:val="000000" w:themeColor="text1"/>
        </w:rPr>
        <w:t>，</w:t>
      </w:r>
      <w:r>
        <w:rPr>
          <w:rFonts w:cs="宋体"/>
          <w:color w:val="000000" w:themeColor="text1"/>
        </w:rPr>
        <w:t>2014</w:t>
      </w:r>
    </w:p>
    <w:p w:rsidR="002606BB" w:rsidRDefault="00841612">
      <w:pPr>
        <w:numPr>
          <w:ilvl w:val="0"/>
          <w:numId w:val="50"/>
        </w:numPr>
        <w:rPr>
          <w:rFonts w:cs="宋体" w:hint="default"/>
          <w:color w:val="000000" w:themeColor="text1"/>
        </w:rPr>
      </w:pPr>
      <w:r>
        <w:rPr>
          <w:rFonts w:cs="宋体"/>
          <w:color w:val="000000" w:themeColor="text1"/>
        </w:rPr>
        <w:t>PFSB/ELD</w:t>
      </w:r>
      <w:r>
        <w:rPr>
          <w:rFonts w:cs="宋体"/>
          <w:color w:val="000000" w:themeColor="text1"/>
        </w:rPr>
        <w:t xml:space="preserve">　</w:t>
      </w:r>
      <w:r>
        <w:rPr>
          <w:rFonts w:cs="宋体"/>
          <w:color w:val="000000" w:themeColor="text1"/>
        </w:rPr>
        <w:t>No.</w:t>
      </w:r>
      <w:r>
        <w:rPr>
          <w:rFonts w:cs="宋体"/>
          <w:color w:val="000000" w:themeColor="text1"/>
        </w:rPr>
        <w:t xml:space="preserve">　</w:t>
      </w:r>
      <w:r>
        <w:rPr>
          <w:rFonts w:cs="宋体"/>
          <w:color w:val="000000" w:themeColor="text1"/>
        </w:rPr>
        <w:t>1002-1,</w:t>
      </w:r>
      <w:r>
        <w:rPr>
          <w:rFonts w:cs="宋体"/>
          <w:color w:val="000000" w:themeColor="text1"/>
        </w:rPr>
        <w:t xml:space="preserve">　</w:t>
      </w:r>
      <w:r>
        <w:rPr>
          <w:rFonts w:cs="宋体"/>
          <w:color w:val="000000" w:themeColor="text1"/>
        </w:rPr>
        <w:t>PFSB/DC</w:t>
      </w:r>
      <w:r>
        <w:rPr>
          <w:rFonts w:cs="宋体"/>
          <w:color w:val="000000" w:themeColor="text1"/>
        </w:rPr>
        <w:t xml:space="preserve">　</w:t>
      </w:r>
      <w:r>
        <w:rPr>
          <w:rFonts w:cs="宋体"/>
          <w:color w:val="000000" w:themeColor="text1"/>
        </w:rPr>
        <w:t>No.</w:t>
      </w:r>
      <w:r>
        <w:rPr>
          <w:rFonts w:cs="宋体"/>
          <w:color w:val="000000" w:themeColor="text1"/>
        </w:rPr>
        <w:t xml:space="preserve">　</w:t>
      </w:r>
      <w:r>
        <w:rPr>
          <w:rFonts w:cs="宋体"/>
          <w:color w:val="000000" w:themeColor="text1"/>
        </w:rPr>
        <w:t>1002-5,</w:t>
      </w:r>
      <w:r>
        <w:rPr>
          <w:rFonts w:cs="宋体"/>
          <w:color w:val="000000" w:themeColor="text1"/>
        </w:rPr>
        <w:t xml:space="preserve">　</w:t>
      </w:r>
      <w:r>
        <w:rPr>
          <w:rFonts w:cs="宋体"/>
          <w:color w:val="000000" w:themeColor="text1"/>
        </w:rPr>
        <w:t>Implementation</w:t>
      </w:r>
      <w:r>
        <w:rPr>
          <w:rFonts w:cs="宋体"/>
          <w:color w:val="000000" w:themeColor="text1"/>
        </w:rPr>
        <w:t xml:space="preserve">　</w:t>
      </w:r>
      <w:r>
        <w:rPr>
          <w:rFonts w:cs="宋体"/>
          <w:color w:val="000000" w:themeColor="text1"/>
        </w:rPr>
        <w:t>of</w:t>
      </w:r>
      <w:r>
        <w:rPr>
          <w:rFonts w:cs="宋体"/>
          <w:color w:val="000000" w:themeColor="text1"/>
        </w:rPr>
        <w:t xml:space="preserve">　</w:t>
      </w:r>
      <w:r>
        <w:rPr>
          <w:rFonts w:cs="宋体"/>
          <w:color w:val="000000" w:themeColor="text1"/>
        </w:rPr>
        <w:t>the</w:t>
      </w:r>
      <w:r>
        <w:rPr>
          <w:rFonts w:cs="宋体"/>
          <w:color w:val="000000" w:themeColor="text1"/>
        </w:rPr>
        <w:t xml:space="preserve">　</w:t>
      </w:r>
      <w:r>
        <w:rPr>
          <w:rFonts w:cs="宋体"/>
          <w:color w:val="000000" w:themeColor="text1"/>
        </w:rPr>
        <w:t>Standards</w:t>
      </w:r>
      <w:r>
        <w:rPr>
          <w:rFonts w:cs="宋体"/>
          <w:color w:val="000000" w:themeColor="text1"/>
        </w:rPr>
        <w:t xml:space="preserve">　</w:t>
      </w:r>
      <w:r>
        <w:rPr>
          <w:rFonts w:cs="宋体"/>
          <w:color w:val="000000" w:themeColor="text1"/>
        </w:rPr>
        <w:t>for</w:t>
      </w:r>
      <w:r>
        <w:rPr>
          <w:rFonts w:cs="宋体"/>
          <w:color w:val="000000" w:themeColor="text1"/>
        </w:rPr>
        <w:t xml:space="preserve">　</w:t>
      </w:r>
      <w:r>
        <w:rPr>
          <w:rFonts w:cs="宋体"/>
          <w:color w:val="000000" w:themeColor="text1"/>
        </w:rPr>
        <w:t>Biological</w:t>
      </w:r>
      <w:r>
        <w:rPr>
          <w:rFonts w:cs="宋体"/>
          <w:color w:val="000000" w:themeColor="text1"/>
        </w:rPr>
        <w:t xml:space="preserve">　</w:t>
      </w:r>
      <w:r>
        <w:rPr>
          <w:rFonts w:cs="宋体"/>
          <w:color w:val="000000" w:themeColor="text1"/>
        </w:rPr>
        <w:t>Ingredients</w:t>
      </w:r>
      <w:r>
        <w:rPr>
          <w:rFonts w:cs="宋体"/>
          <w:color w:val="000000" w:themeColor="text1"/>
        </w:rPr>
        <w:t>，</w:t>
      </w:r>
      <w:r>
        <w:rPr>
          <w:rFonts w:cs="宋体"/>
          <w:color w:val="000000" w:themeColor="text1"/>
        </w:rPr>
        <w:t>MHLW</w:t>
      </w:r>
      <w:r>
        <w:rPr>
          <w:rFonts w:cs="宋体"/>
          <w:color w:val="000000" w:themeColor="text1"/>
        </w:rPr>
        <w:t>，</w:t>
      </w:r>
      <w:r>
        <w:rPr>
          <w:rFonts w:cs="宋体"/>
          <w:color w:val="000000" w:themeColor="text1"/>
        </w:rPr>
        <w:t>2014</w:t>
      </w:r>
      <w:r>
        <w:rPr>
          <w:rFonts w:cs="宋体"/>
          <w:color w:val="000000" w:themeColor="text1"/>
        </w:rPr>
        <w:t xml:space="preserve">　</w:t>
      </w:r>
    </w:p>
    <w:p w:rsidR="002606BB" w:rsidRDefault="00841612">
      <w:pPr>
        <w:numPr>
          <w:ilvl w:val="0"/>
          <w:numId w:val="50"/>
        </w:numPr>
        <w:rPr>
          <w:rFonts w:cs="宋体" w:hint="default"/>
          <w:color w:val="000000" w:themeColor="text1"/>
        </w:rPr>
      </w:pPr>
      <w:r>
        <w:rPr>
          <w:rFonts w:cs="宋体"/>
          <w:color w:val="000000" w:themeColor="text1"/>
        </w:rPr>
        <w:t>Symposium</w:t>
      </w:r>
      <w:r>
        <w:rPr>
          <w:rFonts w:cs="宋体"/>
          <w:color w:val="000000" w:themeColor="text1"/>
        </w:rPr>
        <w:t xml:space="preserve">　</w:t>
      </w:r>
      <w:r>
        <w:rPr>
          <w:rFonts w:cs="宋体"/>
          <w:color w:val="000000" w:themeColor="text1"/>
        </w:rPr>
        <w:t>report</w:t>
      </w:r>
      <w:r>
        <w:rPr>
          <w:rFonts w:cs="宋体"/>
          <w:color w:val="000000" w:themeColor="text1"/>
        </w:rPr>
        <w:t>，</w:t>
      </w:r>
      <w:r>
        <w:rPr>
          <w:rFonts w:cs="宋体"/>
          <w:color w:val="000000" w:themeColor="text1"/>
        </w:rPr>
        <w:t>Raw</w:t>
      </w:r>
      <w:r>
        <w:rPr>
          <w:rFonts w:cs="宋体"/>
          <w:color w:val="000000" w:themeColor="text1"/>
        </w:rPr>
        <w:t xml:space="preserve">　</w:t>
      </w:r>
      <w:r>
        <w:rPr>
          <w:rFonts w:cs="宋体"/>
          <w:color w:val="000000" w:themeColor="text1"/>
        </w:rPr>
        <w:t>materials</w:t>
      </w:r>
      <w:r>
        <w:rPr>
          <w:rFonts w:cs="宋体"/>
          <w:color w:val="000000" w:themeColor="text1"/>
        </w:rPr>
        <w:t xml:space="preserve">　</w:t>
      </w:r>
      <w:r>
        <w:rPr>
          <w:rFonts w:cs="宋体"/>
          <w:color w:val="000000" w:themeColor="text1"/>
        </w:rPr>
        <w:t>for</w:t>
      </w:r>
      <w:r>
        <w:rPr>
          <w:rFonts w:cs="宋体"/>
          <w:color w:val="000000" w:themeColor="text1"/>
        </w:rPr>
        <w:t xml:space="preserve">　</w:t>
      </w:r>
      <w:r>
        <w:rPr>
          <w:rFonts w:cs="宋体"/>
          <w:color w:val="000000" w:themeColor="text1"/>
        </w:rPr>
        <w:t>the</w:t>
      </w:r>
      <w:r>
        <w:rPr>
          <w:rFonts w:cs="宋体"/>
          <w:color w:val="000000" w:themeColor="text1"/>
        </w:rPr>
        <w:t xml:space="preserve">　</w:t>
      </w:r>
      <w:proofErr w:type="spellStart"/>
      <w:r>
        <w:rPr>
          <w:rFonts w:cs="宋体"/>
          <w:color w:val="000000" w:themeColor="text1"/>
        </w:rPr>
        <w:t>produciton</w:t>
      </w:r>
      <w:proofErr w:type="spellEnd"/>
      <w:r>
        <w:rPr>
          <w:rFonts w:cs="宋体"/>
          <w:color w:val="000000" w:themeColor="text1"/>
        </w:rPr>
        <w:t xml:space="preserve">　</w:t>
      </w:r>
      <w:r>
        <w:rPr>
          <w:rFonts w:cs="宋体"/>
          <w:color w:val="000000" w:themeColor="text1"/>
        </w:rPr>
        <w:t>of</w:t>
      </w:r>
      <w:r>
        <w:rPr>
          <w:rFonts w:cs="宋体"/>
          <w:color w:val="000000" w:themeColor="text1"/>
        </w:rPr>
        <w:t xml:space="preserve">　</w:t>
      </w:r>
      <w:r>
        <w:rPr>
          <w:rFonts w:cs="宋体"/>
          <w:color w:val="000000" w:themeColor="text1"/>
        </w:rPr>
        <w:t>cell-based</w:t>
      </w:r>
      <w:r>
        <w:rPr>
          <w:rFonts w:cs="宋体"/>
          <w:color w:val="000000" w:themeColor="text1"/>
        </w:rPr>
        <w:t xml:space="preserve">　</w:t>
      </w:r>
      <w:r>
        <w:rPr>
          <w:rFonts w:cs="宋体"/>
          <w:color w:val="000000" w:themeColor="text1"/>
        </w:rPr>
        <w:t>and</w:t>
      </w:r>
      <w:r>
        <w:rPr>
          <w:rFonts w:cs="宋体"/>
          <w:color w:val="000000" w:themeColor="text1"/>
        </w:rPr>
        <w:t xml:space="preserve">　</w:t>
      </w:r>
      <w:r>
        <w:rPr>
          <w:rFonts w:cs="宋体"/>
          <w:color w:val="000000" w:themeColor="text1"/>
        </w:rPr>
        <w:t>gene</w:t>
      </w:r>
      <w:r>
        <w:rPr>
          <w:rFonts w:cs="宋体"/>
          <w:color w:val="000000" w:themeColor="text1"/>
        </w:rPr>
        <w:t xml:space="preserve">　</w:t>
      </w:r>
      <w:r>
        <w:rPr>
          <w:rFonts w:cs="宋体"/>
          <w:color w:val="000000" w:themeColor="text1"/>
        </w:rPr>
        <w:t>therapy</w:t>
      </w:r>
      <w:r>
        <w:rPr>
          <w:rFonts w:cs="宋体"/>
          <w:color w:val="000000" w:themeColor="text1"/>
        </w:rPr>
        <w:t xml:space="preserve">　</w:t>
      </w:r>
      <w:r>
        <w:rPr>
          <w:rFonts w:cs="宋体"/>
          <w:color w:val="000000" w:themeColor="text1"/>
        </w:rPr>
        <w:t>products</w:t>
      </w:r>
      <w:r>
        <w:rPr>
          <w:rFonts w:cs="宋体"/>
          <w:color w:val="000000" w:themeColor="text1"/>
        </w:rPr>
        <w:t>，</w:t>
      </w:r>
      <w:r>
        <w:rPr>
          <w:rFonts w:cs="宋体"/>
          <w:color w:val="000000" w:themeColor="text1"/>
        </w:rPr>
        <w:t>EDOQ</w:t>
      </w:r>
      <w:r>
        <w:rPr>
          <w:rFonts w:cs="宋体"/>
          <w:color w:val="000000" w:themeColor="text1"/>
        </w:rPr>
        <w:t>，</w:t>
      </w:r>
      <w:r>
        <w:rPr>
          <w:rFonts w:cs="宋体"/>
          <w:color w:val="000000" w:themeColor="text1"/>
        </w:rPr>
        <w:t>2013</w:t>
      </w:r>
    </w:p>
    <w:p w:rsidR="002606BB" w:rsidRDefault="00841612">
      <w:pPr>
        <w:numPr>
          <w:ilvl w:val="0"/>
          <w:numId w:val="50"/>
        </w:numPr>
        <w:rPr>
          <w:rFonts w:cs="宋体" w:hint="default"/>
          <w:color w:val="000000" w:themeColor="text1"/>
        </w:rPr>
      </w:pPr>
      <w:r>
        <w:rPr>
          <w:rFonts w:cs="宋体"/>
          <w:color w:val="000000" w:themeColor="text1"/>
        </w:rPr>
        <w:t>Content</w:t>
      </w:r>
      <w:r>
        <w:rPr>
          <w:rFonts w:cs="宋体"/>
          <w:color w:val="000000" w:themeColor="text1"/>
        </w:rPr>
        <w:t xml:space="preserve">　</w:t>
      </w:r>
      <w:r>
        <w:rPr>
          <w:rFonts w:cs="宋体"/>
          <w:color w:val="000000" w:themeColor="text1"/>
        </w:rPr>
        <w:t>and</w:t>
      </w:r>
      <w:r>
        <w:rPr>
          <w:rFonts w:cs="宋体"/>
          <w:color w:val="000000" w:themeColor="text1"/>
        </w:rPr>
        <w:t xml:space="preserve">　</w:t>
      </w:r>
      <w:r>
        <w:rPr>
          <w:rFonts w:cs="宋体"/>
          <w:color w:val="000000" w:themeColor="text1"/>
        </w:rPr>
        <w:t>Review</w:t>
      </w:r>
      <w:r>
        <w:rPr>
          <w:rFonts w:cs="宋体"/>
          <w:color w:val="000000" w:themeColor="text1"/>
        </w:rPr>
        <w:t xml:space="preserve">　</w:t>
      </w:r>
      <w:r>
        <w:rPr>
          <w:rFonts w:cs="宋体"/>
          <w:color w:val="000000" w:themeColor="text1"/>
        </w:rPr>
        <w:t>of</w:t>
      </w:r>
      <w:r>
        <w:rPr>
          <w:rFonts w:cs="宋体"/>
          <w:color w:val="000000" w:themeColor="text1"/>
        </w:rPr>
        <w:t xml:space="preserve">　</w:t>
      </w:r>
      <w:r>
        <w:rPr>
          <w:rFonts w:cs="宋体"/>
          <w:color w:val="000000" w:themeColor="text1"/>
        </w:rPr>
        <w:t>Chemistry,</w:t>
      </w:r>
      <w:r>
        <w:rPr>
          <w:rFonts w:cs="宋体"/>
          <w:color w:val="000000" w:themeColor="text1"/>
        </w:rPr>
        <w:t xml:space="preserve">　</w:t>
      </w:r>
      <w:r>
        <w:rPr>
          <w:rFonts w:cs="宋体"/>
          <w:color w:val="000000" w:themeColor="text1"/>
        </w:rPr>
        <w:t>Manufacturin</w:t>
      </w:r>
      <w:r>
        <w:rPr>
          <w:rFonts w:cs="宋体"/>
          <w:color w:val="000000" w:themeColor="text1"/>
        </w:rPr>
        <w:t>g,</w:t>
      </w:r>
      <w:r>
        <w:rPr>
          <w:rFonts w:cs="宋体"/>
          <w:color w:val="000000" w:themeColor="text1"/>
        </w:rPr>
        <w:t xml:space="preserve">　</w:t>
      </w:r>
      <w:r>
        <w:rPr>
          <w:rFonts w:cs="宋体"/>
          <w:color w:val="000000" w:themeColor="text1"/>
        </w:rPr>
        <w:t>and</w:t>
      </w:r>
      <w:r>
        <w:rPr>
          <w:rFonts w:cs="宋体"/>
          <w:color w:val="000000" w:themeColor="text1"/>
        </w:rPr>
        <w:t xml:space="preserve">　</w:t>
      </w:r>
      <w:r>
        <w:rPr>
          <w:rFonts w:cs="宋体"/>
          <w:color w:val="000000" w:themeColor="text1"/>
        </w:rPr>
        <w:t>Control</w:t>
      </w:r>
      <w:r>
        <w:rPr>
          <w:rFonts w:cs="宋体"/>
          <w:color w:val="000000" w:themeColor="text1"/>
        </w:rPr>
        <w:t xml:space="preserve">　</w:t>
      </w:r>
      <w:r>
        <w:rPr>
          <w:rFonts w:cs="宋体"/>
          <w:color w:val="000000" w:themeColor="text1"/>
        </w:rPr>
        <w:t>(CMC)</w:t>
      </w:r>
      <w:r>
        <w:rPr>
          <w:rFonts w:cs="宋体"/>
          <w:color w:val="000000" w:themeColor="text1"/>
        </w:rPr>
        <w:t xml:space="preserve">　</w:t>
      </w:r>
      <w:proofErr w:type="spellStart"/>
      <w:r>
        <w:rPr>
          <w:rFonts w:cs="宋体"/>
          <w:color w:val="000000" w:themeColor="text1"/>
        </w:rPr>
        <w:t>InfoAMation</w:t>
      </w:r>
      <w:proofErr w:type="spellEnd"/>
      <w:r>
        <w:rPr>
          <w:rFonts w:cs="宋体"/>
          <w:color w:val="000000" w:themeColor="text1"/>
        </w:rPr>
        <w:t xml:space="preserve">　</w:t>
      </w:r>
      <w:r>
        <w:rPr>
          <w:rFonts w:cs="宋体"/>
          <w:color w:val="000000" w:themeColor="text1"/>
        </w:rPr>
        <w:t>for</w:t>
      </w:r>
      <w:r>
        <w:rPr>
          <w:rFonts w:cs="宋体"/>
          <w:color w:val="000000" w:themeColor="text1"/>
        </w:rPr>
        <w:t xml:space="preserve">　</w:t>
      </w:r>
      <w:r>
        <w:rPr>
          <w:rFonts w:cs="宋体"/>
          <w:color w:val="000000" w:themeColor="text1"/>
        </w:rPr>
        <w:t>Human</w:t>
      </w:r>
      <w:r>
        <w:rPr>
          <w:rFonts w:cs="宋体"/>
          <w:color w:val="000000" w:themeColor="text1"/>
        </w:rPr>
        <w:t xml:space="preserve">　</w:t>
      </w:r>
      <w:r>
        <w:rPr>
          <w:rFonts w:cs="宋体"/>
          <w:color w:val="000000" w:themeColor="text1"/>
        </w:rPr>
        <w:t>Somatic</w:t>
      </w:r>
      <w:r>
        <w:rPr>
          <w:rFonts w:cs="宋体"/>
          <w:color w:val="000000" w:themeColor="text1"/>
        </w:rPr>
        <w:t xml:space="preserve">　</w:t>
      </w:r>
      <w:r>
        <w:rPr>
          <w:rFonts w:cs="宋体"/>
          <w:color w:val="000000" w:themeColor="text1"/>
        </w:rPr>
        <w:t>Cell</w:t>
      </w:r>
      <w:r>
        <w:rPr>
          <w:rFonts w:cs="宋体"/>
          <w:color w:val="000000" w:themeColor="text1"/>
        </w:rPr>
        <w:t xml:space="preserve">　</w:t>
      </w:r>
      <w:r>
        <w:rPr>
          <w:rFonts w:cs="宋体"/>
          <w:color w:val="000000" w:themeColor="text1"/>
        </w:rPr>
        <w:t>Therapy</w:t>
      </w:r>
      <w:r>
        <w:rPr>
          <w:rFonts w:cs="宋体"/>
          <w:color w:val="000000" w:themeColor="text1"/>
        </w:rPr>
        <w:t xml:space="preserve">　</w:t>
      </w:r>
      <w:r>
        <w:rPr>
          <w:rFonts w:cs="宋体"/>
          <w:color w:val="000000" w:themeColor="text1"/>
        </w:rPr>
        <w:t>Investigational</w:t>
      </w:r>
      <w:r>
        <w:rPr>
          <w:rFonts w:cs="宋体"/>
          <w:color w:val="000000" w:themeColor="text1"/>
        </w:rPr>
        <w:t xml:space="preserve">　</w:t>
      </w:r>
      <w:r>
        <w:rPr>
          <w:rFonts w:cs="宋体"/>
          <w:color w:val="000000" w:themeColor="text1"/>
        </w:rPr>
        <w:t>New</w:t>
      </w:r>
      <w:r>
        <w:rPr>
          <w:rFonts w:cs="宋体"/>
          <w:color w:val="000000" w:themeColor="text1"/>
        </w:rPr>
        <w:t xml:space="preserve">　</w:t>
      </w:r>
      <w:r>
        <w:rPr>
          <w:rFonts w:cs="宋体"/>
          <w:color w:val="000000" w:themeColor="text1"/>
        </w:rPr>
        <w:t>Drug</w:t>
      </w:r>
      <w:r>
        <w:rPr>
          <w:rFonts w:cs="宋体"/>
          <w:color w:val="000000" w:themeColor="text1"/>
        </w:rPr>
        <w:t xml:space="preserve">　</w:t>
      </w:r>
      <w:r>
        <w:rPr>
          <w:rFonts w:cs="宋体"/>
          <w:color w:val="000000" w:themeColor="text1"/>
        </w:rPr>
        <w:t>Applications</w:t>
      </w:r>
      <w:r>
        <w:rPr>
          <w:rFonts w:cs="宋体"/>
          <w:color w:val="000000" w:themeColor="text1"/>
        </w:rPr>
        <w:t xml:space="preserve">　</w:t>
      </w:r>
      <w:r>
        <w:rPr>
          <w:rFonts w:cs="宋体"/>
          <w:color w:val="000000" w:themeColor="text1"/>
        </w:rPr>
        <w:t>(INDs)</w:t>
      </w:r>
      <w:r>
        <w:rPr>
          <w:rFonts w:cs="宋体"/>
          <w:color w:val="000000" w:themeColor="text1"/>
        </w:rPr>
        <w:t>—</w:t>
      </w:r>
      <w:r>
        <w:rPr>
          <w:rFonts w:cs="宋体"/>
          <w:color w:val="000000" w:themeColor="text1"/>
        </w:rPr>
        <w:t>Guidance</w:t>
      </w:r>
      <w:r>
        <w:rPr>
          <w:rFonts w:cs="宋体"/>
          <w:color w:val="000000" w:themeColor="text1"/>
        </w:rPr>
        <w:t xml:space="preserve">　</w:t>
      </w:r>
      <w:r>
        <w:rPr>
          <w:rFonts w:cs="宋体"/>
          <w:color w:val="000000" w:themeColor="text1"/>
        </w:rPr>
        <w:t>for</w:t>
      </w:r>
      <w:r>
        <w:rPr>
          <w:rFonts w:cs="宋体"/>
          <w:color w:val="000000" w:themeColor="text1"/>
        </w:rPr>
        <w:t xml:space="preserve">　</w:t>
      </w:r>
      <w:r>
        <w:rPr>
          <w:rFonts w:cs="宋体"/>
          <w:color w:val="000000" w:themeColor="text1"/>
        </w:rPr>
        <w:t>FDA</w:t>
      </w:r>
      <w:r>
        <w:rPr>
          <w:rFonts w:cs="宋体"/>
          <w:color w:val="000000" w:themeColor="text1"/>
        </w:rPr>
        <w:t xml:space="preserve">　</w:t>
      </w:r>
      <w:r>
        <w:rPr>
          <w:rFonts w:cs="宋体"/>
          <w:color w:val="000000" w:themeColor="text1"/>
        </w:rPr>
        <w:t>Reviewers</w:t>
      </w:r>
      <w:r>
        <w:rPr>
          <w:rFonts w:cs="宋体"/>
          <w:color w:val="000000" w:themeColor="text1"/>
        </w:rPr>
        <w:t xml:space="preserve">　</w:t>
      </w:r>
      <w:r>
        <w:rPr>
          <w:rFonts w:cs="宋体"/>
          <w:color w:val="000000" w:themeColor="text1"/>
        </w:rPr>
        <w:t>and</w:t>
      </w:r>
      <w:r>
        <w:rPr>
          <w:rFonts w:cs="宋体"/>
          <w:color w:val="000000" w:themeColor="text1"/>
        </w:rPr>
        <w:t xml:space="preserve">　</w:t>
      </w:r>
      <w:r>
        <w:rPr>
          <w:rFonts w:cs="宋体"/>
          <w:color w:val="000000" w:themeColor="text1"/>
        </w:rPr>
        <w:t>Sponsors</w:t>
      </w:r>
      <w:r>
        <w:rPr>
          <w:rFonts w:cs="宋体"/>
          <w:color w:val="000000" w:themeColor="text1"/>
        </w:rPr>
        <w:t>，</w:t>
      </w:r>
      <w:r>
        <w:rPr>
          <w:rFonts w:cs="宋体"/>
          <w:color w:val="000000" w:themeColor="text1"/>
        </w:rPr>
        <w:t>FDA</w:t>
      </w:r>
      <w:r>
        <w:rPr>
          <w:rFonts w:cs="宋体"/>
          <w:color w:val="000000" w:themeColor="text1"/>
        </w:rPr>
        <w:t>，</w:t>
      </w:r>
      <w:r>
        <w:rPr>
          <w:rFonts w:cs="宋体"/>
          <w:color w:val="000000" w:themeColor="text1"/>
        </w:rPr>
        <w:t>2008</w:t>
      </w:r>
    </w:p>
    <w:sectPr w:rsidR="002606BB">
      <w:footerReference w:type="default" r:id="rId15"/>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12" w:rsidRDefault="00841612">
      <w:pPr>
        <w:rPr>
          <w:rFonts w:hint="default"/>
        </w:rPr>
      </w:pPr>
      <w:r>
        <w:separator/>
      </w:r>
    </w:p>
  </w:endnote>
  <w:endnote w:type="continuationSeparator" w:id="0">
    <w:p w:rsidR="00841612" w:rsidRDefault="0084161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ºÚÌå">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BB" w:rsidRDefault="00841612">
    <w:pPr>
      <w:pStyle w:val="affc"/>
      <w:framePr w:wrap="around" w:vAnchor="text" w:hAnchor="page" w:x="1654" w:y="-21"/>
      <w:tabs>
        <w:tab w:val="center" w:pos="4153"/>
        <w:tab w:val="right" w:pos="8306"/>
      </w:tabs>
      <w:ind w:right="210"/>
      <w:rPr>
        <w:rStyle w:val="afff4"/>
        <w:rFonts w:hint="default"/>
      </w:rPr>
    </w:pPr>
    <w:r>
      <w:rPr>
        <w:rStyle w:val="afff4"/>
      </w:rPr>
      <w:fldChar w:fldCharType="begin"/>
    </w:r>
    <w:r>
      <w:rPr>
        <w:rStyle w:val="afff4"/>
      </w:rPr>
      <w:instrText xml:space="preserve">PAGE  </w:instrText>
    </w:r>
    <w:r>
      <w:fldChar w:fldCharType="separate"/>
    </w:r>
    <w:r>
      <w:rPr>
        <w:rStyle w:val="afff4"/>
      </w:rPr>
      <w:t>2</w:t>
    </w:r>
    <w:r>
      <w:fldChar w:fldCharType="end"/>
    </w:r>
  </w:p>
  <w:p w:rsidR="002606BB" w:rsidRDefault="002606BB">
    <w:pPr>
      <w:pStyle w:val="affc"/>
      <w:tabs>
        <w:tab w:val="center" w:pos="4153"/>
        <w:tab w:val="right" w:pos="8306"/>
      </w:tabs>
      <w:ind w:right="21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BB" w:rsidRDefault="002606BB">
    <w:pPr>
      <w:pStyle w:val="affff7"/>
      <w:rPr>
        <w:rStyle w:val="afff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BB" w:rsidRDefault="002606BB">
    <w:pPr>
      <w:pStyle w:val="affff7"/>
      <w:rPr>
        <w:rStyle w:val="afff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BB" w:rsidRDefault="00841612">
    <w:pPr>
      <w:pStyle w:val="affff7"/>
      <w:rPr>
        <w:rStyle w:val="afff4"/>
      </w:rPr>
    </w:pPr>
    <w:r>
      <w:rPr>
        <w:noProof/>
      </w:rPr>
      <mc:AlternateContent>
        <mc:Choice Requires="wps">
          <w:drawing>
            <wp:anchor distT="0" distB="0" distL="113665" distR="113665" simplePos="0" relativeHeight="251668480" behindDoc="0" locked="0" layoutInCell="1" allowOverlap="1">
              <wp:simplePos x="0" y="0"/>
              <wp:positionH relativeFrom="margin">
                <wp:align>inside</wp:align>
              </wp:positionH>
              <wp:positionV relativeFrom="paragraph">
                <wp:posOffset>-12065</wp:posOffset>
              </wp:positionV>
              <wp:extent cx="133350" cy="153670"/>
              <wp:effectExtent l="0" t="0" r="0" b="0"/>
              <wp:wrapNone/>
              <wp:docPr id="3" name="文本框 11"/>
              <wp:cNvGraphicFramePr/>
              <a:graphic xmlns:a="http://schemas.openxmlformats.org/drawingml/2006/main">
                <a:graphicData uri="http://schemas.microsoft.com/office/word/2010/wordprocessingShape">
                  <wps:wsp>
                    <wps:cNvSpPr/>
                    <wps:spPr>
                      <a:xfrm>
                        <a:off x="0" y="0"/>
                        <a:ext cx="133216" cy="153485"/>
                      </a:xfrm>
                      <a:prstGeom prst="rect">
                        <a:avLst/>
                      </a:prstGeom>
                      <a:noFill/>
                      <a:ln w="9525" cap="flat" cmpd="sng">
                        <a:noFill/>
                        <a:prstDash val="solid"/>
                        <a:miter/>
                      </a:ln>
                    </wps:spPr>
                    <wps:txbx>
                      <w:txbxContent>
                        <w:p w:rsidR="002606BB" w:rsidRDefault="00841612">
                          <w:pPr>
                            <w:snapToGrid w:val="0"/>
                            <w:rPr>
                              <w:rFonts w:hint="default"/>
                              <w:sz w:val="18"/>
                            </w:rPr>
                          </w:pPr>
                          <w:r>
                            <w:rPr>
                              <w:sz w:val="18"/>
                            </w:rPr>
                            <w:fldChar w:fldCharType="begin"/>
                          </w:r>
                          <w:r>
                            <w:rPr>
                              <w:sz w:val="18"/>
                            </w:rPr>
                            <w:instrText xml:space="preserve"> PAGE  \* MERGEFORMAT </w:instrText>
                          </w:r>
                          <w:r>
                            <w:rPr>
                              <w:sz w:val="18"/>
                            </w:rPr>
                            <w:fldChar w:fldCharType="separate"/>
                          </w:r>
                          <w:r w:rsidR="00763FAE" w:rsidRPr="00763FAE">
                            <w:rPr>
                              <w:rFonts w:hint="default"/>
                              <w:noProof/>
                            </w:rPr>
                            <w:t>I</w:t>
                          </w:r>
                          <w:r>
                            <w:rPr>
                              <w:sz w:val="18"/>
                            </w:rPr>
                            <w:fldChar w:fldCharType="end"/>
                          </w:r>
                        </w:p>
                      </w:txbxContent>
                    </wps:txbx>
                    <wps:bodyPr vert="horz" wrap="none" lIns="0" tIns="0" rIns="0" bIns="0" anchor="t" anchorCtr="0">
                      <a:spAutoFit/>
                    </wps:bodyPr>
                  </wps:wsp>
                </a:graphicData>
              </a:graphic>
            </wp:anchor>
          </w:drawing>
        </mc:Choice>
        <mc:Fallback>
          <w:pict>
            <v:rect id="文本框 11" o:spid="_x0000_s1034" style="position:absolute;left:0;text-align:left;margin-left:0;margin-top:-.95pt;width:10.5pt;height:12.1pt;z-index:251668480;visibility:visible;mso-wrap-style:none;mso-wrap-distance-left:8.95pt;mso-wrap-distance-top:0;mso-wrap-distance-right:8.95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" filled="f" stroked="f">
              <v:textbox style="mso-fit-shape-to-text:t" inset="0,0,0,0">
                <w:txbxContent>
                  <w:p w:rsidR="002606BB" w:rsidRDefault="00841612">
                    <w:pPr>
                      <w:snapToGrid w:val="0"/>
                      <w:rPr>
                        <w:rFonts w:hint="default"/>
                        <w:sz w:val="18"/>
                      </w:rPr>
                    </w:pPr>
                    <w:r>
                      <w:rPr>
                        <w:sz w:val="18"/>
                      </w:rPr>
                      <w:fldChar w:fldCharType="begin"/>
                    </w:r>
                    <w:r>
                      <w:rPr>
                        <w:sz w:val="18"/>
                      </w:rPr>
                      <w:instrText xml:space="preserve"> PAGE  \* MERGEFORMAT </w:instrText>
                    </w:r>
                    <w:r>
                      <w:rPr>
                        <w:sz w:val="18"/>
                      </w:rPr>
                      <w:fldChar w:fldCharType="separate"/>
                    </w:r>
                    <w:r w:rsidR="00763FAE" w:rsidRPr="00763FAE">
                      <w:rPr>
                        <w:rFonts w:hint="default"/>
                        <w:noProof/>
                      </w:rPr>
                      <w:t>I</w:t>
                    </w:r>
                    <w:r>
                      <w:rPr>
                        <w:sz w:val="18"/>
                      </w:rPr>
                      <w:fldChar w:fldCharType="end"/>
                    </w: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BB" w:rsidRDefault="00841612">
    <w:pPr>
      <w:pStyle w:val="affff7"/>
      <w:rPr>
        <w:rStyle w:val="afff4"/>
      </w:rPr>
    </w:pPr>
    <w:r>
      <w:rPr>
        <w:noProof/>
      </w:rPr>
      <mc:AlternateContent>
        <mc:Choice Requires="wps">
          <w:drawing>
            <wp:anchor distT="0" distB="0" distL="113665" distR="113665" simplePos="0" relativeHeight="251665408" behindDoc="0" locked="0" layoutInCell="1" allowOverlap="1">
              <wp:simplePos x="0" y="0"/>
              <wp:positionH relativeFrom="margin">
                <wp:align>inside</wp:align>
              </wp:positionH>
              <wp:positionV relativeFrom="paragraph">
                <wp:posOffset>-12065</wp:posOffset>
              </wp:positionV>
              <wp:extent cx="66675" cy="153670"/>
              <wp:effectExtent l="0" t="0" r="0" b="0"/>
              <wp:wrapNone/>
              <wp:docPr id="32" name="文本框 12"/>
              <wp:cNvGraphicFramePr/>
              <a:graphic xmlns:a="http://schemas.openxmlformats.org/drawingml/2006/main">
                <a:graphicData uri="http://schemas.microsoft.com/office/word/2010/wordprocessingShape">
                  <wps:wsp>
                    <wps:cNvSpPr/>
                    <wps:spPr>
                      <a:xfrm>
                        <a:off x="0" y="0"/>
                        <a:ext cx="66675" cy="153485"/>
                      </a:xfrm>
                      <a:prstGeom prst="rect">
                        <a:avLst/>
                      </a:prstGeom>
                      <a:noFill/>
                      <a:ln w="9525" cap="flat" cmpd="sng">
                        <a:noFill/>
                        <a:prstDash val="solid"/>
                        <a:miter/>
                      </a:ln>
                    </wps:spPr>
                    <wps:txbx>
                      <w:txbxContent>
                        <w:p w:rsidR="002606BB" w:rsidRDefault="00841612">
                          <w:pPr>
                            <w:snapToGrid w:val="0"/>
                            <w:rPr>
                              <w:rFonts w:hint="default"/>
                              <w:sz w:val="18"/>
                            </w:rPr>
                          </w:pPr>
                          <w:r>
                            <w:rPr>
                              <w:sz w:val="18"/>
                            </w:rPr>
                            <w:fldChar w:fldCharType="begin"/>
                          </w:r>
                          <w:r>
                            <w:rPr>
                              <w:sz w:val="18"/>
                            </w:rPr>
                            <w:instrText xml:space="preserve"> PAGE  \* MERGEFORMAT </w:instrText>
                          </w:r>
                          <w:r>
                            <w:rPr>
                              <w:sz w:val="18"/>
                            </w:rPr>
                            <w:fldChar w:fldCharType="separate"/>
                          </w:r>
                          <w:r w:rsidR="00763FAE" w:rsidRPr="00763FAE">
                            <w:rPr>
                              <w:rFonts w:hint="default"/>
                              <w:noProof/>
                            </w:rPr>
                            <w:t>24</w:t>
                          </w:r>
                          <w:r>
                            <w:rPr>
                              <w:sz w:val="18"/>
                            </w:rPr>
                            <w:fldChar w:fldCharType="end"/>
                          </w:r>
                        </w:p>
                      </w:txbxContent>
                    </wps:txbx>
                    <wps:bodyPr vert="horz" wrap="none" lIns="0" tIns="0" rIns="0" bIns="0" anchor="t" anchorCtr="0">
                      <a:spAutoFit/>
                    </wps:bodyPr>
                  </wps:wsp>
                </a:graphicData>
              </a:graphic>
            </wp:anchor>
          </w:drawing>
        </mc:Choice>
        <mc:Fallback>
          <w:pict>
            <v:rect id="文本框 12" o:spid="_x0000_s1035" style="position:absolute;left:0;text-align:left;margin-left:0;margin-top:-.95pt;width:5.25pt;height:12.1pt;z-index:251665408;visibility:visible;mso-wrap-style:none;mso-wrap-distance-left:8.95pt;mso-wrap-distance-top:0;mso-wrap-distance-right:8.95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" filled="f" stroked="f">
              <v:textbox style="mso-fit-shape-to-text:t" inset="0,0,0,0">
                <w:txbxContent>
                  <w:p w:rsidR="002606BB" w:rsidRDefault="00841612">
                    <w:pPr>
                      <w:snapToGrid w:val="0"/>
                      <w:rPr>
                        <w:rFonts w:hint="default"/>
                        <w:sz w:val="18"/>
                      </w:rPr>
                    </w:pPr>
                    <w:r>
                      <w:rPr>
                        <w:sz w:val="18"/>
                      </w:rPr>
                      <w:fldChar w:fldCharType="begin"/>
                    </w:r>
                    <w:r>
                      <w:rPr>
                        <w:sz w:val="18"/>
                      </w:rPr>
                      <w:instrText xml:space="preserve"> PAGE  \* MERGEFORMAT </w:instrText>
                    </w:r>
                    <w:r>
                      <w:rPr>
                        <w:sz w:val="18"/>
                      </w:rPr>
                      <w:fldChar w:fldCharType="separate"/>
                    </w:r>
                    <w:r w:rsidR="00763FAE" w:rsidRPr="00763FAE">
                      <w:rPr>
                        <w:rFonts w:hint="default"/>
                        <w:noProof/>
                      </w:rPr>
                      <w:t>24</w:t>
                    </w:r>
                    <w:r>
                      <w:rPr>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12" w:rsidRDefault="00841612">
      <w:pPr>
        <w:rPr>
          <w:rFonts w:hint="default"/>
        </w:rPr>
      </w:pPr>
      <w:r>
        <w:separator/>
      </w:r>
    </w:p>
  </w:footnote>
  <w:footnote w:type="continuationSeparator" w:id="0">
    <w:p w:rsidR="00841612" w:rsidRDefault="0084161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BB" w:rsidRDefault="00841612">
    <w:pPr>
      <w:pStyle w:val="affff0"/>
    </w:pPr>
    <w:r>
      <w:t>T</w:t>
    </w:r>
    <w:r>
      <w:rPr>
        <w:rFonts w:hint="eastAsia"/>
      </w:rPr>
      <w:t>/CMBA</w:t>
    </w:r>
    <w:r>
      <w:t xml:space="preserve"> </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633FA"/>
    <w:multiLevelType w:val="multilevel"/>
    <w:tmpl w:val="81E633FA"/>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1">
    <w:nsid w:val="9F17D21D"/>
    <w:multiLevelType w:val="multilevel"/>
    <w:tmpl w:val="9F17D21D"/>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2">
    <w:nsid w:val="A0ABC7DC"/>
    <w:multiLevelType w:val="multilevel"/>
    <w:tmpl w:val="A0ABC7DC"/>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3">
    <w:nsid w:val="A5DBD631"/>
    <w:multiLevelType w:val="multilevel"/>
    <w:tmpl w:val="A5DBD631"/>
    <w:lvl w:ilvl="0">
      <w:start w:val="1"/>
      <w:numFmt w:val="decimal"/>
      <w:pStyle w:val="a"/>
      <w:suff w:val="nothing"/>
      <w:lvlText w:val="注%1："/>
      <w:lvlJc w:val="left"/>
      <w:pPr>
        <w:tabs>
          <w:tab w:val="left" w:pos="0"/>
        </w:tabs>
        <w:ind w:left="811" w:hanging="448"/>
      </w:pPr>
      <w:rPr>
        <w:rFonts w:ascii="黑体" w:eastAsia="黑体" w:hAnsi="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B29B1115"/>
    <w:multiLevelType w:val="multilevel"/>
    <w:tmpl w:val="B29B1115"/>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5">
    <w:nsid w:val="B7A6A78F"/>
    <w:multiLevelType w:val="multilevel"/>
    <w:tmpl w:val="B7A6A78F"/>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6">
    <w:nsid w:val="CA54C661"/>
    <w:multiLevelType w:val="multilevel"/>
    <w:tmpl w:val="CA54C661"/>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7">
    <w:nsid w:val="CAC521C5"/>
    <w:multiLevelType w:val="multilevel"/>
    <w:tmpl w:val="CAC521C5"/>
    <w:lvl w:ilvl="0">
      <w:start w:val="1"/>
      <w:numFmt w:val="decimal"/>
      <w:pStyle w:val="a0"/>
      <w:suff w:val="nothing"/>
      <w:lvlText w:val="%1　"/>
      <w:lvlJc w:val="left"/>
      <w:pPr>
        <w:tabs>
          <w:tab w:val="left" w:pos="0"/>
        </w:tabs>
        <w:ind w:left="0" w:firstLine="0"/>
      </w:pPr>
      <w:rPr>
        <w:rFonts w:ascii="黑体" w:eastAsia="黑体" w:hAnsi="黑体" w:hint="eastAsia"/>
        <w:b w:val="0"/>
        <w:i w:val="0"/>
        <w:sz w:val="21"/>
        <w:szCs w:val="21"/>
      </w:rPr>
    </w:lvl>
    <w:lvl w:ilvl="1">
      <w:start w:val="1"/>
      <w:numFmt w:val="decimal"/>
      <w:pStyle w:val="a1"/>
      <w:suff w:val="nothing"/>
      <w:lvlText w:val="%1.%2　"/>
      <w:lvlJc w:val="left"/>
      <w:pPr>
        <w:tabs>
          <w:tab w:val="left" w:pos="0"/>
        </w:tabs>
        <w:ind w:left="0" w:firstLine="0"/>
      </w:pPr>
      <w:rPr>
        <w:rFonts w:ascii="黑体" w:eastAsia="黑体" w:hAnsi="黑体" w:cs="Times New Roman" w:hint="eastAsia"/>
        <w:b w:val="0"/>
        <w:bCs w:val="0"/>
        <w:i w:val="0"/>
        <w:iCs w:val="0"/>
        <w:caps w:val="0"/>
        <w:small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tabs>
          <w:tab w:val="left" w:pos="284"/>
        </w:tabs>
        <w:ind w:left="284" w:firstLine="0"/>
      </w:pPr>
      <w:rPr>
        <w:rFonts w:ascii="黑体" w:eastAsia="黑体" w:hAnsi="黑体" w:hint="eastAsia"/>
        <w:b w:val="0"/>
        <w:i w:val="0"/>
        <w:sz w:val="21"/>
      </w:rPr>
    </w:lvl>
    <w:lvl w:ilvl="3">
      <w:start w:val="1"/>
      <w:numFmt w:val="decimal"/>
      <w:pStyle w:val="a3"/>
      <w:suff w:val="nothing"/>
      <w:lvlText w:val="%1.%2.%3.%4　"/>
      <w:lvlJc w:val="left"/>
      <w:pPr>
        <w:tabs>
          <w:tab w:val="left" w:pos="2268"/>
        </w:tabs>
        <w:ind w:left="2268" w:firstLine="0"/>
      </w:pPr>
      <w:rPr>
        <w:rFonts w:ascii="黑体" w:eastAsia="黑体" w:hAnsi="黑体" w:hint="eastAsia"/>
        <w:b w:val="0"/>
        <w:i w:val="0"/>
        <w:sz w:val="21"/>
      </w:rPr>
    </w:lvl>
    <w:lvl w:ilvl="4">
      <w:start w:val="1"/>
      <w:numFmt w:val="decimal"/>
      <w:pStyle w:val="a4"/>
      <w:suff w:val="nothing"/>
      <w:lvlText w:val="%1.%2.%3.%4.%5　"/>
      <w:lvlJc w:val="left"/>
      <w:pPr>
        <w:tabs>
          <w:tab w:val="left" w:pos="0"/>
        </w:tabs>
        <w:ind w:left="0" w:firstLine="0"/>
      </w:pPr>
      <w:rPr>
        <w:rFonts w:ascii="黑体" w:eastAsia="黑体" w:hAnsi="黑体" w:hint="eastAsia"/>
        <w:b w:val="0"/>
        <w:i w:val="0"/>
        <w:sz w:val="21"/>
      </w:rPr>
    </w:lvl>
    <w:lvl w:ilvl="5">
      <w:start w:val="1"/>
      <w:numFmt w:val="decimal"/>
      <w:pStyle w:val="a5"/>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0"/>
        </w:tabs>
        <w:ind w:left="3969" w:hanging="1418"/>
      </w:pPr>
      <w:rPr>
        <w:rFonts w:hint="eastAsia"/>
      </w:rPr>
    </w:lvl>
    <w:lvl w:ilvl="8">
      <w:start w:val="1"/>
      <w:numFmt w:val="decimal"/>
      <w:lvlText w:val="%1.%2.%3.%4.%5.%6.%7.%8.%9"/>
      <w:lvlJc w:val="left"/>
      <w:pPr>
        <w:tabs>
          <w:tab w:val="left" w:pos="0"/>
        </w:tabs>
        <w:ind w:left="4677" w:hanging="1700"/>
      </w:pPr>
      <w:rPr>
        <w:rFonts w:hint="eastAsia"/>
      </w:rPr>
    </w:lvl>
  </w:abstractNum>
  <w:abstractNum w:abstractNumId="8">
    <w:nsid w:val="CE09DD0E"/>
    <w:multiLevelType w:val="multilevel"/>
    <w:tmpl w:val="CE09DD0E"/>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9">
    <w:nsid w:val="CF429593"/>
    <w:multiLevelType w:val="multilevel"/>
    <w:tmpl w:val="CF429593"/>
    <w:lvl w:ilvl="0">
      <w:start w:val="1"/>
      <w:numFmt w:val="upperLetter"/>
      <w:pStyle w:val="a6"/>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pStyle w:val="a7"/>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pStyle w:val="a8"/>
      <w:suff w:val="nothing"/>
      <w:lvlText w:val="%1.%2.%3　"/>
      <w:lvlJc w:val="left"/>
      <w:pPr>
        <w:tabs>
          <w:tab w:val="left" w:pos="0"/>
        </w:tabs>
        <w:ind w:left="0" w:firstLine="0"/>
      </w:pPr>
      <w:rPr>
        <w:rFonts w:ascii="黑体" w:eastAsia="黑体" w:hAnsi="黑体" w:hint="eastAsia"/>
        <w:b w:val="0"/>
        <w:i w:val="0"/>
        <w:sz w:val="21"/>
      </w:rPr>
    </w:lvl>
    <w:lvl w:ilvl="3">
      <w:start w:val="1"/>
      <w:numFmt w:val="decimal"/>
      <w:pStyle w:val="a9"/>
      <w:suff w:val="nothing"/>
      <w:lvlText w:val="%1.%2.%3.%4　"/>
      <w:lvlJc w:val="left"/>
      <w:pPr>
        <w:tabs>
          <w:tab w:val="left" w:pos="0"/>
        </w:tabs>
        <w:ind w:left="0" w:firstLine="0"/>
      </w:pPr>
      <w:rPr>
        <w:rFonts w:ascii="黑体" w:eastAsia="黑体" w:hAnsi="黑体" w:hint="eastAsia"/>
        <w:b w:val="0"/>
        <w:i w:val="0"/>
        <w:sz w:val="21"/>
      </w:rPr>
    </w:lvl>
    <w:lvl w:ilvl="4">
      <w:start w:val="1"/>
      <w:numFmt w:val="decimal"/>
      <w:pStyle w:val="aa"/>
      <w:suff w:val="nothing"/>
      <w:lvlText w:val="%1.%2.%3.%4.%5　"/>
      <w:lvlJc w:val="left"/>
      <w:pPr>
        <w:tabs>
          <w:tab w:val="left" w:pos="0"/>
        </w:tabs>
        <w:ind w:left="0" w:firstLine="0"/>
      </w:pPr>
      <w:rPr>
        <w:rFonts w:ascii="黑体" w:eastAsia="黑体" w:hAnsi="黑体" w:hint="eastAsia"/>
        <w:b w:val="0"/>
        <w:i w:val="0"/>
        <w:sz w:val="21"/>
      </w:rPr>
    </w:lvl>
    <w:lvl w:ilvl="5">
      <w:start w:val="1"/>
      <w:numFmt w:val="decimal"/>
      <w:pStyle w:val="ab"/>
      <w:suff w:val="nothing"/>
      <w:lvlText w:val="%1.%2.%3.%4.%5.%6　"/>
      <w:lvlJc w:val="left"/>
      <w:pPr>
        <w:tabs>
          <w:tab w:val="left" w:pos="0"/>
        </w:tabs>
        <w:ind w:left="0" w:firstLine="0"/>
      </w:pPr>
      <w:rPr>
        <w:rFonts w:ascii="黑体" w:eastAsia="黑体" w:hAnsi="黑体" w:hint="eastAsia"/>
        <w:b w:val="0"/>
        <w:i w:val="0"/>
        <w:sz w:val="21"/>
      </w:rPr>
    </w:lvl>
    <w:lvl w:ilvl="6">
      <w:start w:val="1"/>
      <w:numFmt w:val="decimal"/>
      <w:pStyle w:val="ac"/>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10">
    <w:nsid w:val="D9BF1A0C"/>
    <w:multiLevelType w:val="multilevel"/>
    <w:tmpl w:val="D9BF1A0C"/>
    <w:lvl w:ilvl="0">
      <w:start w:val="1"/>
      <w:numFmt w:val="decimal"/>
      <w:pStyle w:val="ad"/>
      <w:suff w:val="nothing"/>
      <w:lvlText w:val="注%1："/>
      <w:lvlJc w:val="left"/>
      <w:pPr>
        <w:tabs>
          <w:tab w:val="left" w:pos="0"/>
        </w:tabs>
        <w:ind w:left="811" w:hanging="448"/>
      </w:pPr>
      <w:rPr>
        <w:rFonts w:ascii="黑体" w:eastAsia="黑体" w:hAnsi="黑体" w:hint="eastAsia"/>
        <w:b w:val="0"/>
        <w:i w:val="0"/>
        <w:sz w:val="18"/>
        <w:szCs w:val="18"/>
        <w:vertAlign w:val="baseline"/>
      </w:rPr>
    </w:lvl>
    <w:lvl w:ilvl="1">
      <w:start w:val="1"/>
      <w:numFmt w:val="lowerLetter"/>
      <w:lvlText w:val="%2)"/>
      <w:lvlJc w:val="left"/>
      <w:pPr>
        <w:tabs>
          <w:tab w:val="left" w:pos="0"/>
        </w:tabs>
        <w:ind w:left="1172" w:hanging="629"/>
      </w:pPr>
      <w:rPr>
        <w:rFonts w:hint="eastAsia"/>
        <w:vertAlign w:val="baseline"/>
      </w:rPr>
    </w:lvl>
    <w:lvl w:ilvl="2">
      <w:start w:val="1"/>
      <w:numFmt w:val="lowerRoman"/>
      <w:lvlText w:val="%3."/>
      <w:lvlJc w:val="right"/>
      <w:pPr>
        <w:tabs>
          <w:tab w:val="left" w:pos="0"/>
        </w:tabs>
        <w:ind w:left="1172" w:hanging="629"/>
      </w:pPr>
      <w:rPr>
        <w:rFonts w:hint="eastAsia"/>
        <w:vertAlign w:val="baseline"/>
      </w:rPr>
    </w:lvl>
    <w:lvl w:ilvl="3">
      <w:start w:val="1"/>
      <w:numFmt w:val="decimal"/>
      <w:lvlText w:val="%4."/>
      <w:lvlJc w:val="left"/>
      <w:pPr>
        <w:tabs>
          <w:tab w:val="left" w:pos="0"/>
        </w:tabs>
        <w:ind w:left="1172" w:hanging="629"/>
      </w:pPr>
      <w:rPr>
        <w:rFonts w:hint="eastAsia"/>
        <w:vertAlign w:val="baseline"/>
      </w:rPr>
    </w:lvl>
    <w:lvl w:ilvl="4">
      <w:start w:val="1"/>
      <w:numFmt w:val="lowerLetter"/>
      <w:lvlText w:val="%5)"/>
      <w:lvlJc w:val="left"/>
      <w:pPr>
        <w:tabs>
          <w:tab w:val="left" w:pos="0"/>
        </w:tabs>
        <w:ind w:left="1172" w:hanging="629"/>
      </w:pPr>
      <w:rPr>
        <w:rFonts w:hint="eastAsia"/>
        <w:vertAlign w:val="baseline"/>
      </w:rPr>
    </w:lvl>
    <w:lvl w:ilvl="5">
      <w:start w:val="1"/>
      <w:numFmt w:val="lowerRoman"/>
      <w:lvlText w:val="%6."/>
      <w:lvlJc w:val="right"/>
      <w:pPr>
        <w:tabs>
          <w:tab w:val="left" w:pos="0"/>
        </w:tabs>
        <w:ind w:left="1172" w:hanging="629"/>
      </w:pPr>
      <w:rPr>
        <w:rFonts w:hint="eastAsia"/>
        <w:vertAlign w:val="baseline"/>
      </w:rPr>
    </w:lvl>
    <w:lvl w:ilvl="6">
      <w:start w:val="1"/>
      <w:numFmt w:val="decimal"/>
      <w:lvlText w:val="%7."/>
      <w:lvlJc w:val="left"/>
      <w:pPr>
        <w:tabs>
          <w:tab w:val="left" w:pos="0"/>
        </w:tabs>
        <w:ind w:left="1172" w:hanging="629"/>
      </w:pPr>
      <w:rPr>
        <w:rFonts w:hint="eastAsia"/>
        <w:vertAlign w:val="baseline"/>
      </w:rPr>
    </w:lvl>
    <w:lvl w:ilvl="7">
      <w:start w:val="1"/>
      <w:numFmt w:val="lowerLetter"/>
      <w:lvlText w:val="%8)"/>
      <w:lvlJc w:val="left"/>
      <w:pPr>
        <w:tabs>
          <w:tab w:val="left" w:pos="0"/>
        </w:tabs>
        <w:ind w:left="1172" w:hanging="629"/>
      </w:pPr>
      <w:rPr>
        <w:rFonts w:hint="eastAsia"/>
        <w:vertAlign w:val="baseline"/>
      </w:rPr>
    </w:lvl>
    <w:lvl w:ilvl="8">
      <w:start w:val="1"/>
      <w:numFmt w:val="lowerRoman"/>
      <w:lvlText w:val="%9."/>
      <w:lvlJc w:val="right"/>
      <w:pPr>
        <w:tabs>
          <w:tab w:val="left" w:pos="0"/>
        </w:tabs>
        <w:ind w:left="1172" w:hanging="629"/>
      </w:pPr>
      <w:rPr>
        <w:rFonts w:hint="eastAsia"/>
        <w:vertAlign w:val="baseline"/>
      </w:rPr>
    </w:lvl>
  </w:abstractNum>
  <w:abstractNum w:abstractNumId="11">
    <w:nsid w:val="F4D9E66A"/>
    <w:multiLevelType w:val="multilevel"/>
    <w:tmpl w:val="F4D9E66A"/>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12">
    <w:nsid w:val="0000000A"/>
    <w:multiLevelType w:val="multilevel"/>
    <w:tmpl w:val="0000000A"/>
    <w:lvl w:ilvl="0">
      <w:start w:val="1"/>
      <w:numFmt w:val="decimal"/>
      <w:suff w:val="nothing"/>
      <w:lvlText w:val="（%1）"/>
      <w:lvlJc w:val="left"/>
      <w:pPr>
        <w:tabs>
          <w:tab w:val="left" w:pos="0"/>
        </w:tabs>
        <w:ind w:left="0" w:firstLine="420"/>
      </w:pPr>
      <w:rPr>
        <w:rFonts w:hint="default"/>
      </w:rPr>
    </w:lvl>
    <w:lvl w:ilvl="1">
      <w:start w:val="1"/>
      <w:numFmt w:val="lowerLetter"/>
      <w:lvlText w:val="%2)"/>
      <w:lvlJc w:val="left"/>
      <w:pPr>
        <w:tabs>
          <w:tab w:val="left" w:pos="0"/>
        </w:tabs>
        <w:ind w:left="840" w:hanging="420"/>
      </w:pPr>
      <w:rPr>
        <w:rFonts w:hint="default"/>
      </w:rPr>
    </w:lvl>
    <w:lvl w:ilvl="2">
      <w:start w:val="1"/>
      <w:numFmt w:val="lowerRoman"/>
      <w:lvlText w:val="%3."/>
      <w:lvlJc w:val="left"/>
      <w:pPr>
        <w:tabs>
          <w:tab w:val="left" w:pos="0"/>
        </w:tabs>
        <w:ind w:left="1260" w:hanging="420"/>
      </w:pPr>
      <w:rPr>
        <w:rFonts w:hint="default"/>
      </w:rPr>
    </w:lvl>
    <w:lvl w:ilvl="3">
      <w:start w:val="1"/>
      <w:numFmt w:val="decimal"/>
      <w:pStyle w:val="4"/>
      <w:lvlText w:val="%4."/>
      <w:lvlJc w:val="left"/>
      <w:pPr>
        <w:tabs>
          <w:tab w:val="left" w:pos="0"/>
        </w:tabs>
        <w:ind w:left="1680" w:hanging="420"/>
      </w:pPr>
      <w:rPr>
        <w:rFonts w:hint="default"/>
      </w:rPr>
    </w:lvl>
    <w:lvl w:ilvl="4">
      <w:start w:val="1"/>
      <w:numFmt w:val="lowerLetter"/>
      <w:lvlText w:val="%5)"/>
      <w:lvlJc w:val="left"/>
      <w:pPr>
        <w:tabs>
          <w:tab w:val="left" w:pos="0"/>
        </w:tabs>
        <w:ind w:left="2100" w:hanging="420"/>
      </w:pPr>
      <w:rPr>
        <w:rFonts w:hint="default"/>
      </w:rPr>
    </w:lvl>
    <w:lvl w:ilvl="5">
      <w:start w:val="1"/>
      <w:numFmt w:val="lowerRoman"/>
      <w:lvlText w:val="%6."/>
      <w:lvlJc w:val="left"/>
      <w:pPr>
        <w:tabs>
          <w:tab w:val="left" w:pos="0"/>
        </w:tabs>
        <w:ind w:left="2520" w:hanging="420"/>
      </w:pPr>
      <w:rPr>
        <w:rFonts w:hint="default"/>
      </w:rPr>
    </w:lvl>
    <w:lvl w:ilvl="6">
      <w:start w:val="1"/>
      <w:numFmt w:val="decimal"/>
      <w:lvlText w:val="%7."/>
      <w:lvlJc w:val="left"/>
      <w:pPr>
        <w:tabs>
          <w:tab w:val="left" w:pos="0"/>
        </w:tabs>
        <w:ind w:left="2940" w:hanging="420"/>
      </w:pPr>
      <w:rPr>
        <w:rFonts w:hint="default"/>
      </w:rPr>
    </w:lvl>
    <w:lvl w:ilvl="7">
      <w:start w:val="1"/>
      <w:numFmt w:val="lowerLetter"/>
      <w:lvlText w:val="%8)"/>
      <w:lvlJc w:val="left"/>
      <w:pPr>
        <w:tabs>
          <w:tab w:val="left" w:pos="0"/>
        </w:tabs>
        <w:ind w:left="3360" w:hanging="420"/>
      </w:pPr>
      <w:rPr>
        <w:rFonts w:hint="default"/>
      </w:rPr>
    </w:lvl>
    <w:lvl w:ilvl="8">
      <w:start w:val="1"/>
      <w:numFmt w:val="lowerRoman"/>
      <w:lvlText w:val="%9."/>
      <w:lvlJc w:val="left"/>
      <w:pPr>
        <w:tabs>
          <w:tab w:val="left" w:pos="0"/>
        </w:tabs>
        <w:ind w:left="3780" w:hanging="420"/>
      </w:pPr>
      <w:rPr>
        <w:rFonts w:hint="default"/>
      </w:rPr>
    </w:lvl>
  </w:abstractNum>
  <w:abstractNum w:abstractNumId="13">
    <w:nsid w:val="0000000C"/>
    <w:multiLevelType w:val="multilevel"/>
    <w:tmpl w:val="0000000C"/>
    <w:lvl w:ilvl="0">
      <w:start w:val="1"/>
      <w:numFmt w:val="decimal"/>
      <w:pStyle w:val="1"/>
      <w:lvlText w:val="%1."/>
      <w:lvlJc w:val="left"/>
      <w:pPr>
        <w:tabs>
          <w:tab w:val="left" w:pos="0"/>
        </w:tabs>
        <w:ind w:left="425" w:hanging="425"/>
      </w:pPr>
      <w:rPr>
        <w:rFonts w:hint="default"/>
      </w:rPr>
    </w:lvl>
    <w:lvl w:ilvl="1">
      <w:start w:val="1"/>
      <w:numFmt w:val="decimal"/>
      <w:lvlText w:val="%1.%2."/>
      <w:lvlJc w:val="left"/>
      <w:pPr>
        <w:tabs>
          <w:tab w:val="left" w:pos="0"/>
        </w:tabs>
        <w:ind w:left="567" w:hanging="567"/>
      </w:pPr>
      <w:rPr>
        <w:rFonts w:hint="default"/>
      </w:rPr>
    </w:lvl>
    <w:lvl w:ilvl="2">
      <w:start w:val="1"/>
      <w:numFmt w:val="decimal"/>
      <w:lvlText w:val="%1.%2.%3."/>
      <w:lvlJc w:val="left"/>
      <w:pPr>
        <w:tabs>
          <w:tab w:val="left" w:pos="0"/>
        </w:tabs>
        <w:ind w:left="709" w:hanging="709"/>
      </w:pPr>
      <w:rPr>
        <w:rFonts w:hint="default"/>
      </w:rPr>
    </w:lvl>
    <w:lvl w:ilvl="3">
      <w:start w:val="1"/>
      <w:numFmt w:val="decimal"/>
      <w:lvlText w:val="%1.%2.%3.%4."/>
      <w:lvlJc w:val="left"/>
      <w:pPr>
        <w:tabs>
          <w:tab w:val="left" w:pos="0"/>
        </w:tabs>
        <w:ind w:left="850" w:hanging="850"/>
      </w:pPr>
      <w:rPr>
        <w:rFonts w:hint="default"/>
      </w:rPr>
    </w:lvl>
    <w:lvl w:ilvl="4">
      <w:start w:val="1"/>
      <w:numFmt w:val="decimal"/>
      <w:lvlText w:val="%1.%2.%3.%4.%5."/>
      <w:lvlJc w:val="left"/>
      <w:pPr>
        <w:tabs>
          <w:tab w:val="left" w:pos="0"/>
        </w:tabs>
        <w:ind w:left="991" w:hanging="991"/>
      </w:pPr>
      <w:rPr>
        <w:rFonts w:hint="default"/>
      </w:rPr>
    </w:lvl>
    <w:lvl w:ilvl="5">
      <w:start w:val="1"/>
      <w:numFmt w:val="decimal"/>
      <w:lvlText w:val="%1.%2.%3.%4.%5.%6."/>
      <w:lvlJc w:val="left"/>
      <w:pPr>
        <w:tabs>
          <w:tab w:val="left" w:pos="0"/>
        </w:tabs>
        <w:ind w:left="1134" w:hanging="1134"/>
      </w:pPr>
      <w:rPr>
        <w:rFonts w:hint="default"/>
      </w:rPr>
    </w:lvl>
    <w:lvl w:ilvl="6">
      <w:start w:val="1"/>
      <w:numFmt w:val="decimal"/>
      <w:lvlText w:val="%1.%2.%3.%4.%5.%6.%7."/>
      <w:lvlJc w:val="left"/>
      <w:pPr>
        <w:tabs>
          <w:tab w:val="left" w:pos="0"/>
        </w:tabs>
        <w:ind w:left="1275" w:hanging="1275"/>
      </w:pPr>
      <w:rPr>
        <w:rFonts w:hint="default"/>
      </w:rPr>
    </w:lvl>
    <w:lvl w:ilvl="7">
      <w:start w:val="1"/>
      <w:numFmt w:val="decimal"/>
      <w:lvlText w:val="%1.%2.%3.%4.%5.%6.%7.%8."/>
      <w:lvlJc w:val="left"/>
      <w:pPr>
        <w:tabs>
          <w:tab w:val="left" w:pos="0"/>
        </w:tabs>
        <w:ind w:left="1418" w:hanging="1418"/>
      </w:pPr>
      <w:rPr>
        <w:rFonts w:hint="default"/>
      </w:rPr>
    </w:lvl>
    <w:lvl w:ilvl="8">
      <w:start w:val="1"/>
      <w:numFmt w:val="decimal"/>
      <w:lvlText w:val="%1.%2.%3.%4.%5.%6.%7.%8.%9."/>
      <w:lvlJc w:val="left"/>
      <w:pPr>
        <w:tabs>
          <w:tab w:val="left" w:pos="0"/>
        </w:tabs>
        <w:ind w:left="1558" w:hanging="1558"/>
      </w:pPr>
      <w:rPr>
        <w:rFonts w:hint="default"/>
      </w:rPr>
    </w:lvl>
  </w:abstractNum>
  <w:abstractNum w:abstractNumId="14">
    <w:nsid w:val="0000000E"/>
    <w:multiLevelType w:val="multilevel"/>
    <w:tmpl w:val="0000000E"/>
    <w:lvl w:ilvl="0">
      <w:start w:val="1"/>
      <w:numFmt w:val="decimal"/>
      <w:pStyle w:val="3"/>
      <w:lvlText w:val="%1."/>
      <w:lvlJc w:val="left"/>
      <w:pPr>
        <w:tabs>
          <w:tab w:val="left" w:pos="0"/>
        </w:tabs>
        <w:ind w:left="425" w:hanging="425"/>
      </w:pPr>
      <w:rPr>
        <w:rFonts w:hint="default"/>
      </w:rPr>
    </w:lvl>
    <w:lvl w:ilvl="1">
      <w:start w:val="1"/>
      <w:numFmt w:val="decimal"/>
      <w:lvlText w:val="%1.%2."/>
      <w:lvlJc w:val="left"/>
      <w:pPr>
        <w:tabs>
          <w:tab w:val="left" w:pos="0"/>
        </w:tabs>
        <w:ind w:left="567" w:hanging="567"/>
      </w:pPr>
      <w:rPr>
        <w:rFonts w:hint="default"/>
      </w:rPr>
    </w:lvl>
    <w:lvl w:ilvl="2">
      <w:start w:val="1"/>
      <w:numFmt w:val="decimal"/>
      <w:lvlText w:val="%1.%2.%3."/>
      <w:lvlJc w:val="left"/>
      <w:pPr>
        <w:tabs>
          <w:tab w:val="left" w:pos="0"/>
        </w:tabs>
        <w:ind w:left="709" w:hanging="709"/>
      </w:pPr>
      <w:rPr>
        <w:rFonts w:hint="default"/>
      </w:rPr>
    </w:lvl>
    <w:lvl w:ilvl="3">
      <w:start w:val="1"/>
      <w:numFmt w:val="decimal"/>
      <w:lvlText w:val="%1.%2.%3.%4."/>
      <w:lvlJc w:val="left"/>
      <w:pPr>
        <w:tabs>
          <w:tab w:val="left" w:pos="0"/>
        </w:tabs>
        <w:ind w:left="850" w:hanging="850"/>
      </w:pPr>
      <w:rPr>
        <w:rFonts w:hint="default"/>
      </w:rPr>
    </w:lvl>
    <w:lvl w:ilvl="4">
      <w:start w:val="1"/>
      <w:numFmt w:val="decimal"/>
      <w:lvlText w:val="%1.%2.%3.%4.%5."/>
      <w:lvlJc w:val="left"/>
      <w:pPr>
        <w:tabs>
          <w:tab w:val="left" w:pos="0"/>
        </w:tabs>
        <w:ind w:left="991" w:hanging="991"/>
      </w:pPr>
      <w:rPr>
        <w:rFonts w:hint="default"/>
      </w:rPr>
    </w:lvl>
    <w:lvl w:ilvl="5">
      <w:start w:val="1"/>
      <w:numFmt w:val="decimal"/>
      <w:lvlText w:val="%1.%2.%3.%4.%5.%6."/>
      <w:lvlJc w:val="left"/>
      <w:pPr>
        <w:tabs>
          <w:tab w:val="left" w:pos="0"/>
        </w:tabs>
        <w:ind w:left="1134" w:hanging="1134"/>
      </w:pPr>
      <w:rPr>
        <w:rFonts w:hint="default"/>
      </w:rPr>
    </w:lvl>
    <w:lvl w:ilvl="6">
      <w:start w:val="1"/>
      <w:numFmt w:val="decimal"/>
      <w:lvlText w:val="%1.%2.%3.%4.%5.%6.%7."/>
      <w:lvlJc w:val="left"/>
      <w:pPr>
        <w:tabs>
          <w:tab w:val="left" w:pos="0"/>
        </w:tabs>
        <w:ind w:left="1275" w:hanging="1275"/>
      </w:pPr>
      <w:rPr>
        <w:rFonts w:hint="default"/>
      </w:rPr>
    </w:lvl>
    <w:lvl w:ilvl="7">
      <w:start w:val="1"/>
      <w:numFmt w:val="decimal"/>
      <w:lvlText w:val="%1.%2.%3.%4.%5.%6.%7.%8."/>
      <w:lvlJc w:val="left"/>
      <w:pPr>
        <w:tabs>
          <w:tab w:val="left" w:pos="0"/>
        </w:tabs>
        <w:ind w:left="1418" w:hanging="1418"/>
      </w:pPr>
      <w:rPr>
        <w:rFonts w:hint="default"/>
      </w:rPr>
    </w:lvl>
    <w:lvl w:ilvl="8">
      <w:start w:val="1"/>
      <w:numFmt w:val="decimal"/>
      <w:lvlText w:val="%1.%2.%3.%4.%5.%6.%7.%8.%9."/>
      <w:lvlJc w:val="left"/>
      <w:pPr>
        <w:tabs>
          <w:tab w:val="left" w:pos="0"/>
        </w:tabs>
        <w:ind w:left="1558" w:hanging="1558"/>
      </w:pPr>
      <w:rPr>
        <w:rFonts w:hint="default"/>
      </w:rPr>
    </w:lvl>
  </w:abstractNum>
  <w:abstractNum w:abstractNumId="15">
    <w:nsid w:val="093C6778"/>
    <w:multiLevelType w:val="multilevel"/>
    <w:tmpl w:val="093C6778"/>
    <w:lvl w:ilvl="0">
      <w:start w:val="1"/>
      <w:numFmt w:val="decimal"/>
      <w:pStyle w:val="ae"/>
      <w:suff w:val="nothing"/>
      <w:lvlText w:val="示例%1："/>
      <w:lvlJc w:val="left"/>
      <w:pPr>
        <w:tabs>
          <w:tab w:val="left" w:pos="0"/>
        </w:tabs>
        <w:ind w:left="0" w:firstLine="397"/>
      </w:pPr>
      <w:rPr>
        <w:rFonts w:ascii="黑体" w:eastAsia="黑体" w:hAnsi="黑体" w:hint="eastAsia"/>
        <w:sz w:val="18"/>
      </w:rPr>
    </w:lvl>
    <w:lvl w:ilvl="1">
      <w:start w:val="1"/>
      <w:numFmt w:val="lowerLetter"/>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6">
    <w:nsid w:val="0AE367E9"/>
    <w:multiLevelType w:val="multilevel"/>
    <w:tmpl w:val="0AE367E9"/>
    <w:lvl w:ilvl="0">
      <w:start w:val="1"/>
      <w:numFmt w:val="none"/>
      <w:pStyle w:val="af"/>
      <w:suff w:val="nothing"/>
      <w:lvlText w:val="%1示例："/>
      <w:lvlJc w:val="left"/>
      <w:pPr>
        <w:tabs>
          <w:tab w:val="left" w:pos="0"/>
        </w:tabs>
        <w:ind w:left="0" w:firstLine="363"/>
      </w:pPr>
      <w:rPr>
        <w:rFonts w:ascii="黑体" w:eastAsia="黑体" w:hAnsi="黑体" w:hint="eastAsia"/>
        <w:b w:val="0"/>
        <w:i w:val="0"/>
        <w:sz w:val="18"/>
        <w:szCs w:val="18"/>
      </w:rPr>
    </w:lvl>
    <w:lvl w:ilvl="1">
      <w:start w:val="1"/>
      <w:numFmt w:val="lowerLetter"/>
      <w:lvlText w:val="%2)"/>
      <w:lvlJc w:val="left"/>
      <w:pPr>
        <w:tabs>
          <w:tab w:val="left" w:pos="0"/>
        </w:tabs>
        <w:ind w:left="0" w:firstLine="363"/>
      </w:pPr>
      <w:rPr>
        <w:rFonts w:hint="eastAsia"/>
      </w:rPr>
    </w:lvl>
    <w:lvl w:ilvl="2">
      <w:start w:val="1"/>
      <w:numFmt w:val="lowerRoman"/>
      <w:lvlText w:val="%3."/>
      <w:lvlJc w:val="right"/>
      <w:pPr>
        <w:tabs>
          <w:tab w:val="left" w:pos="0"/>
        </w:tabs>
        <w:ind w:left="0" w:firstLine="363"/>
      </w:pPr>
      <w:rPr>
        <w:rFonts w:hint="eastAsia"/>
      </w:rPr>
    </w:lvl>
    <w:lvl w:ilvl="3">
      <w:start w:val="1"/>
      <w:numFmt w:val="decimal"/>
      <w:lvlText w:val="%4."/>
      <w:lvlJc w:val="left"/>
      <w:pPr>
        <w:tabs>
          <w:tab w:val="left" w:pos="0"/>
        </w:tabs>
        <w:ind w:left="0" w:firstLine="363"/>
      </w:pPr>
      <w:rPr>
        <w:rFonts w:hint="eastAsia"/>
      </w:rPr>
    </w:lvl>
    <w:lvl w:ilvl="4">
      <w:start w:val="1"/>
      <w:numFmt w:val="lowerLetter"/>
      <w:lvlText w:val="%5)"/>
      <w:lvlJc w:val="left"/>
      <w:pPr>
        <w:tabs>
          <w:tab w:val="left" w:pos="0"/>
        </w:tabs>
        <w:ind w:left="0" w:firstLine="363"/>
      </w:pPr>
      <w:rPr>
        <w:rFonts w:hint="eastAsia"/>
      </w:rPr>
    </w:lvl>
    <w:lvl w:ilvl="5">
      <w:start w:val="1"/>
      <w:numFmt w:val="lowerRoman"/>
      <w:lvlText w:val="%6."/>
      <w:lvlJc w:val="right"/>
      <w:pPr>
        <w:tabs>
          <w:tab w:val="left" w:pos="0"/>
        </w:tabs>
        <w:ind w:left="0" w:firstLine="363"/>
      </w:pPr>
      <w:rPr>
        <w:rFonts w:hint="eastAsia"/>
      </w:rPr>
    </w:lvl>
    <w:lvl w:ilvl="6">
      <w:start w:val="1"/>
      <w:numFmt w:val="decimal"/>
      <w:lvlText w:val="%7."/>
      <w:lvlJc w:val="left"/>
      <w:pPr>
        <w:tabs>
          <w:tab w:val="left" w:pos="0"/>
        </w:tabs>
        <w:ind w:left="0" w:firstLine="363"/>
      </w:pPr>
      <w:rPr>
        <w:rFonts w:hint="eastAsia"/>
      </w:rPr>
    </w:lvl>
    <w:lvl w:ilvl="7">
      <w:start w:val="1"/>
      <w:numFmt w:val="lowerLetter"/>
      <w:lvlText w:val="%8)"/>
      <w:lvlJc w:val="left"/>
      <w:pPr>
        <w:tabs>
          <w:tab w:val="left" w:pos="0"/>
        </w:tabs>
        <w:ind w:left="0" w:firstLine="363"/>
      </w:pPr>
      <w:rPr>
        <w:rFonts w:hint="eastAsia"/>
      </w:rPr>
    </w:lvl>
    <w:lvl w:ilvl="8">
      <w:start w:val="1"/>
      <w:numFmt w:val="lowerRoman"/>
      <w:lvlText w:val="%9."/>
      <w:lvlJc w:val="right"/>
      <w:pPr>
        <w:tabs>
          <w:tab w:val="left" w:pos="0"/>
        </w:tabs>
        <w:ind w:left="0" w:firstLine="363"/>
      </w:pPr>
      <w:rPr>
        <w:rFonts w:hint="eastAsia"/>
      </w:rPr>
    </w:lvl>
  </w:abstractNum>
  <w:abstractNum w:abstractNumId="17">
    <w:nsid w:val="0DDE2B46"/>
    <w:multiLevelType w:val="multilevel"/>
    <w:tmpl w:val="0DDE2B46"/>
    <w:lvl w:ilvl="0">
      <w:start w:val="1"/>
      <w:numFmt w:val="lowerLetter"/>
      <w:pStyle w:val="af0"/>
      <w:suff w:val="nothing"/>
      <w:lvlText w:val="%1   "/>
      <w:lvlJc w:val="left"/>
      <w:pPr>
        <w:tabs>
          <w:tab w:val="left" w:pos="0"/>
        </w:tabs>
        <w:ind w:left="544" w:hanging="181"/>
      </w:pPr>
      <w:rPr>
        <w:rFonts w:ascii="宋体" w:eastAsia="宋体" w:hAnsi="宋体" w:hint="eastAsia"/>
        <w:b w:val="0"/>
        <w:i w:val="0"/>
        <w:sz w:val="18"/>
        <w:vertAlign w:val="superscript"/>
      </w:rPr>
    </w:lvl>
    <w:lvl w:ilvl="1">
      <w:start w:val="1"/>
      <w:numFmt w:val="lowerLetter"/>
      <w:lvlText w:val="%2"/>
      <w:lvlJc w:val="left"/>
      <w:pPr>
        <w:tabs>
          <w:tab w:val="left" w:pos="0"/>
        </w:tabs>
        <w:ind w:left="363" w:hanging="363"/>
      </w:pPr>
      <w:rPr>
        <w:rFonts w:hint="eastAsia"/>
      </w:rPr>
    </w:lvl>
    <w:lvl w:ilvl="2">
      <w:start w:val="1"/>
      <w:numFmt w:val="lowerRoman"/>
      <w:lvlText w:val="%3."/>
      <w:lvlJc w:val="right"/>
      <w:pPr>
        <w:tabs>
          <w:tab w:val="left" w:pos="0"/>
        </w:tabs>
        <w:ind w:left="363" w:hanging="363"/>
      </w:pPr>
      <w:rPr>
        <w:rFonts w:hint="eastAsia"/>
      </w:rPr>
    </w:lvl>
    <w:lvl w:ilvl="3">
      <w:start w:val="1"/>
      <w:numFmt w:val="decimal"/>
      <w:lvlText w:val="%4."/>
      <w:lvlJc w:val="left"/>
      <w:pPr>
        <w:tabs>
          <w:tab w:val="left" w:pos="0"/>
        </w:tabs>
        <w:ind w:left="363" w:hanging="363"/>
      </w:pPr>
      <w:rPr>
        <w:rFonts w:hint="eastAsia"/>
      </w:rPr>
    </w:lvl>
    <w:lvl w:ilvl="4">
      <w:start w:val="1"/>
      <w:numFmt w:val="lowerLetter"/>
      <w:lvlText w:val="%5)"/>
      <w:lvlJc w:val="left"/>
      <w:pPr>
        <w:tabs>
          <w:tab w:val="left" w:pos="0"/>
        </w:tabs>
        <w:ind w:left="363" w:hanging="363"/>
      </w:pPr>
      <w:rPr>
        <w:rFonts w:hint="eastAsia"/>
      </w:rPr>
    </w:lvl>
    <w:lvl w:ilvl="5">
      <w:start w:val="1"/>
      <w:numFmt w:val="lowerRoman"/>
      <w:lvlText w:val="%6."/>
      <w:lvlJc w:val="right"/>
      <w:pPr>
        <w:tabs>
          <w:tab w:val="left" w:pos="0"/>
        </w:tabs>
        <w:ind w:left="363" w:hanging="363"/>
      </w:pPr>
      <w:rPr>
        <w:rFonts w:hint="eastAsia"/>
      </w:rPr>
    </w:lvl>
    <w:lvl w:ilvl="6">
      <w:start w:val="1"/>
      <w:numFmt w:val="decimal"/>
      <w:lvlText w:val="%7."/>
      <w:lvlJc w:val="left"/>
      <w:pPr>
        <w:tabs>
          <w:tab w:val="left" w:pos="0"/>
        </w:tabs>
        <w:ind w:left="363" w:hanging="363"/>
      </w:pPr>
      <w:rPr>
        <w:rFonts w:hint="eastAsia"/>
      </w:rPr>
    </w:lvl>
    <w:lvl w:ilvl="7">
      <w:start w:val="1"/>
      <w:numFmt w:val="lowerLetter"/>
      <w:lvlText w:val="%8)"/>
      <w:lvlJc w:val="left"/>
      <w:pPr>
        <w:tabs>
          <w:tab w:val="left" w:pos="0"/>
        </w:tabs>
        <w:ind w:left="363" w:hanging="363"/>
      </w:pPr>
      <w:rPr>
        <w:rFonts w:hint="eastAsia"/>
      </w:rPr>
    </w:lvl>
    <w:lvl w:ilvl="8">
      <w:start w:val="1"/>
      <w:numFmt w:val="lowerRoman"/>
      <w:lvlText w:val="%9."/>
      <w:lvlJc w:val="right"/>
      <w:pPr>
        <w:tabs>
          <w:tab w:val="left" w:pos="0"/>
        </w:tabs>
        <w:ind w:left="363" w:hanging="363"/>
      </w:pPr>
      <w:rPr>
        <w:rFonts w:hint="eastAsia"/>
      </w:rPr>
    </w:lvl>
  </w:abstractNum>
  <w:abstractNum w:abstractNumId="18">
    <w:nsid w:val="19A8FD48"/>
    <w:multiLevelType w:val="multilevel"/>
    <w:tmpl w:val="19A8FD4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0"/>
        </w:tabs>
        <w:ind w:left="544" w:hanging="544"/>
      </w:pPr>
      <w:rPr>
        <w:rFonts w:hint="eastAsia"/>
      </w:rPr>
    </w:lvl>
    <w:lvl w:ilvl="2">
      <w:start w:val="1"/>
      <w:numFmt w:val="lowerRoman"/>
      <w:lvlText w:val="%3."/>
      <w:lvlJc w:val="right"/>
      <w:pPr>
        <w:tabs>
          <w:tab w:val="left" w:pos="0"/>
        </w:tabs>
        <w:ind w:left="544" w:hanging="544"/>
      </w:pPr>
      <w:rPr>
        <w:rFonts w:hint="eastAsia"/>
      </w:rPr>
    </w:lvl>
    <w:lvl w:ilvl="3">
      <w:start w:val="1"/>
      <w:numFmt w:val="decimal"/>
      <w:lvlText w:val="%4."/>
      <w:lvlJc w:val="left"/>
      <w:pPr>
        <w:tabs>
          <w:tab w:val="left" w:pos="0"/>
        </w:tabs>
        <w:ind w:left="544" w:hanging="544"/>
      </w:pPr>
      <w:rPr>
        <w:rFonts w:hint="eastAsia"/>
      </w:rPr>
    </w:lvl>
    <w:lvl w:ilvl="4">
      <w:start w:val="1"/>
      <w:numFmt w:val="lowerLetter"/>
      <w:lvlText w:val="%5)"/>
      <w:lvlJc w:val="left"/>
      <w:pPr>
        <w:tabs>
          <w:tab w:val="left" w:pos="0"/>
        </w:tabs>
        <w:ind w:left="544" w:hanging="544"/>
      </w:pPr>
      <w:rPr>
        <w:rFonts w:hint="eastAsia"/>
      </w:rPr>
    </w:lvl>
    <w:lvl w:ilvl="5">
      <w:start w:val="1"/>
      <w:numFmt w:val="lowerRoman"/>
      <w:lvlText w:val="%6."/>
      <w:lvlJc w:val="right"/>
      <w:pPr>
        <w:tabs>
          <w:tab w:val="left" w:pos="0"/>
        </w:tabs>
        <w:ind w:left="544" w:hanging="544"/>
      </w:pPr>
      <w:rPr>
        <w:rFonts w:hint="eastAsia"/>
      </w:rPr>
    </w:lvl>
    <w:lvl w:ilvl="6">
      <w:start w:val="1"/>
      <w:numFmt w:val="decimal"/>
      <w:lvlText w:val="%7."/>
      <w:lvlJc w:val="left"/>
      <w:pPr>
        <w:tabs>
          <w:tab w:val="left" w:pos="0"/>
        </w:tabs>
        <w:ind w:left="544" w:hanging="544"/>
      </w:pPr>
      <w:rPr>
        <w:rFonts w:hint="eastAsia"/>
      </w:rPr>
    </w:lvl>
    <w:lvl w:ilvl="7">
      <w:start w:val="1"/>
      <w:numFmt w:val="lowerLetter"/>
      <w:lvlText w:val="%8)"/>
      <w:lvlJc w:val="left"/>
      <w:pPr>
        <w:tabs>
          <w:tab w:val="left" w:pos="0"/>
        </w:tabs>
        <w:ind w:left="544" w:hanging="544"/>
      </w:pPr>
      <w:rPr>
        <w:rFonts w:hint="eastAsia"/>
      </w:rPr>
    </w:lvl>
    <w:lvl w:ilvl="8">
      <w:start w:val="1"/>
      <w:numFmt w:val="lowerRoman"/>
      <w:lvlText w:val="%9."/>
      <w:lvlJc w:val="right"/>
      <w:pPr>
        <w:tabs>
          <w:tab w:val="left" w:pos="0"/>
        </w:tabs>
        <w:ind w:left="544" w:hanging="544"/>
      </w:pPr>
      <w:rPr>
        <w:rFonts w:hint="eastAsia"/>
      </w:rPr>
    </w:lvl>
  </w:abstractNum>
  <w:abstractNum w:abstractNumId="19">
    <w:nsid w:val="23E20DE1"/>
    <w:multiLevelType w:val="multilevel"/>
    <w:tmpl w:val="23E20DE1"/>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20">
    <w:nsid w:val="2A8F7113"/>
    <w:multiLevelType w:val="multilevel"/>
    <w:tmpl w:val="2A8F7113"/>
    <w:lvl w:ilvl="0">
      <w:start w:val="1"/>
      <w:numFmt w:val="upperLetter"/>
      <w:pStyle w:val="af2"/>
      <w:suff w:val="space"/>
      <w:lvlText w:val="%1"/>
      <w:lvlJc w:val="left"/>
      <w:pPr>
        <w:tabs>
          <w:tab w:val="left" w:pos="0"/>
        </w:tabs>
        <w:ind w:left="623" w:hanging="425"/>
      </w:pPr>
      <w:rPr>
        <w:rFonts w:hint="eastAsia"/>
      </w:rPr>
    </w:lvl>
    <w:lvl w:ilvl="1">
      <w:start w:val="1"/>
      <w:numFmt w:val="decimal"/>
      <w:pStyle w:val="af3"/>
      <w:suff w:val="nothing"/>
      <w:lvlText w:val="图%1.%2　"/>
      <w:lvlJc w:val="left"/>
      <w:pPr>
        <w:tabs>
          <w:tab w:val="left" w:pos="0"/>
        </w:tabs>
        <w:ind w:left="1190" w:hanging="567"/>
      </w:pPr>
      <w:rPr>
        <w:rFonts w:hint="eastAsia"/>
      </w:rPr>
    </w:lvl>
    <w:lvl w:ilvl="2">
      <w:start w:val="1"/>
      <w:numFmt w:val="decimal"/>
      <w:lvlText w:val="%1.%2.%3"/>
      <w:lvlJc w:val="left"/>
      <w:pPr>
        <w:tabs>
          <w:tab w:val="left" w:pos="0"/>
        </w:tabs>
        <w:ind w:left="1616" w:hanging="567"/>
      </w:pPr>
      <w:rPr>
        <w:rFonts w:hint="eastAsia"/>
      </w:rPr>
    </w:lvl>
    <w:lvl w:ilvl="3">
      <w:start w:val="1"/>
      <w:numFmt w:val="decimal"/>
      <w:lvlText w:val="%1.%2.%3.%4"/>
      <w:lvlJc w:val="left"/>
      <w:pPr>
        <w:tabs>
          <w:tab w:val="left" w:pos="0"/>
        </w:tabs>
        <w:ind w:left="2182" w:hanging="708"/>
      </w:pPr>
      <w:rPr>
        <w:rFonts w:hint="eastAsia"/>
      </w:rPr>
    </w:lvl>
    <w:lvl w:ilvl="4">
      <w:start w:val="1"/>
      <w:numFmt w:val="decimal"/>
      <w:lvlText w:val="%1.%2.%3.%4.%5"/>
      <w:lvlJc w:val="left"/>
      <w:pPr>
        <w:tabs>
          <w:tab w:val="left" w:pos="0"/>
        </w:tabs>
        <w:ind w:left="2749" w:hanging="850"/>
      </w:pPr>
      <w:rPr>
        <w:rFonts w:hint="eastAsia"/>
      </w:rPr>
    </w:lvl>
    <w:lvl w:ilvl="5">
      <w:start w:val="1"/>
      <w:numFmt w:val="decimal"/>
      <w:lvlText w:val="%1.%2.%3.%4.%5.%6"/>
      <w:lvlJc w:val="left"/>
      <w:pPr>
        <w:tabs>
          <w:tab w:val="left" w:pos="0"/>
        </w:tabs>
        <w:ind w:left="3458" w:hanging="1134"/>
      </w:pPr>
      <w:rPr>
        <w:rFonts w:hint="eastAsia"/>
      </w:rPr>
    </w:lvl>
    <w:lvl w:ilvl="6">
      <w:start w:val="1"/>
      <w:numFmt w:val="decimal"/>
      <w:lvlText w:val="%1.%2.%3.%4.%5.%6.%7"/>
      <w:lvlJc w:val="left"/>
      <w:pPr>
        <w:tabs>
          <w:tab w:val="left" w:pos="0"/>
        </w:tabs>
        <w:ind w:left="4025" w:hanging="1276"/>
      </w:pPr>
      <w:rPr>
        <w:rFonts w:hint="eastAsia"/>
      </w:rPr>
    </w:lvl>
    <w:lvl w:ilvl="7">
      <w:start w:val="1"/>
      <w:numFmt w:val="decimal"/>
      <w:lvlText w:val="%1.%2.%3.%4.%5.%6.%7.%8"/>
      <w:lvlJc w:val="left"/>
      <w:pPr>
        <w:tabs>
          <w:tab w:val="left" w:pos="0"/>
        </w:tabs>
        <w:ind w:left="4592" w:hanging="1418"/>
      </w:pPr>
      <w:rPr>
        <w:rFonts w:hint="eastAsia"/>
      </w:rPr>
    </w:lvl>
    <w:lvl w:ilvl="8">
      <w:start w:val="1"/>
      <w:numFmt w:val="decimal"/>
      <w:lvlText w:val="%1.%2.%3.%4.%5.%6.%7.%8.%9"/>
      <w:lvlJc w:val="left"/>
      <w:pPr>
        <w:tabs>
          <w:tab w:val="left" w:pos="0"/>
        </w:tabs>
        <w:ind w:left="5300" w:hanging="1700"/>
      </w:pPr>
      <w:rPr>
        <w:rFonts w:hint="eastAsia"/>
      </w:rPr>
    </w:lvl>
  </w:abstractNum>
  <w:abstractNum w:abstractNumId="21">
    <w:nsid w:val="2B9075D9"/>
    <w:multiLevelType w:val="singleLevel"/>
    <w:tmpl w:val="2B9075D9"/>
    <w:lvl w:ilvl="0">
      <w:start w:val="1"/>
      <w:numFmt w:val="decimal"/>
      <w:suff w:val="nothing"/>
      <w:lvlText w:val="[%1]　"/>
      <w:lvlJc w:val="left"/>
    </w:lvl>
  </w:abstractNum>
  <w:abstractNum w:abstractNumId="22">
    <w:nsid w:val="2C5917C3"/>
    <w:multiLevelType w:val="multilevel"/>
    <w:tmpl w:val="2C5917C3"/>
    <w:lvl w:ilvl="0">
      <w:start w:val="1"/>
      <w:numFmt w:val="none"/>
      <w:pStyle w:val="af4"/>
      <w:suff w:val="nothing"/>
      <w:lvlText w:val="%1——"/>
      <w:lvlJc w:val="left"/>
      <w:pPr>
        <w:tabs>
          <w:tab w:val="left" w:pos="0"/>
        </w:tabs>
        <w:ind w:left="833" w:hanging="408"/>
      </w:pPr>
      <w:rPr>
        <w:rFonts w:hint="eastAsia"/>
      </w:rPr>
    </w:lvl>
    <w:lvl w:ilvl="1">
      <w:start w:val="1"/>
      <w:numFmt w:val="bullet"/>
      <w:pStyle w:val="af5"/>
      <w:lvlText w:val=""/>
      <w:lvlJc w:val="left"/>
      <w:pPr>
        <w:tabs>
          <w:tab w:val="left" w:pos="0"/>
        </w:tabs>
        <w:ind w:left="1264" w:hanging="413"/>
      </w:pPr>
      <w:rPr>
        <w:rFonts w:ascii="Symbol" w:hAnsi="Symbol" w:hint="default"/>
        <w:color w:val="auto"/>
      </w:rPr>
    </w:lvl>
    <w:lvl w:ilvl="2">
      <w:start w:val="1"/>
      <w:numFmt w:val="bullet"/>
      <w:pStyle w:val="af6"/>
      <w:lvlText w:val=""/>
      <w:lvlJc w:val="left"/>
      <w:pPr>
        <w:tabs>
          <w:tab w:val="left" w:pos="0"/>
        </w:tabs>
        <w:ind w:left="1678" w:hanging="414"/>
      </w:pPr>
      <w:rPr>
        <w:rFonts w:ascii="Symbol" w:hAnsi="Symbol" w:hint="default"/>
        <w:color w:val="auto"/>
      </w:rPr>
    </w:lvl>
    <w:lvl w:ilvl="3">
      <w:start w:val="1"/>
      <w:numFmt w:val="decimal"/>
      <w:lvlText w:val="%4."/>
      <w:lvlJc w:val="left"/>
      <w:pPr>
        <w:tabs>
          <w:tab w:val="left" w:pos="0"/>
        </w:tabs>
        <w:ind w:left="1884" w:hanging="528"/>
      </w:pPr>
      <w:rPr>
        <w:rFonts w:hint="eastAsia"/>
      </w:rPr>
    </w:lvl>
    <w:lvl w:ilvl="4">
      <w:start w:val="1"/>
      <w:numFmt w:val="lowerLetter"/>
      <w:lvlText w:val="%5)"/>
      <w:lvlJc w:val="left"/>
      <w:pPr>
        <w:tabs>
          <w:tab w:val="left" w:pos="0"/>
        </w:tabs>
        <w:ind w:left="2196" w:hanging="528"/>
      </w:pPr>
      <w:rPr>
        <w:rFonts w:hint="eastAsia"/>
      </w:rPr>
    </w:lvl>
    <w:lvl w:ilvl="5">
      <w:start w:val="1"/>
      <w:numFmt w:val="lowerRoman"/>
      <w:lvlText w:val="%6."/>
      <w:lvlJc w:val="right"/>
      <w:pPr>
        <w:tabs>
          <w:tab w:val="left" w:pos="0"/>
        </w:tabs>
        <w:ind w:left="2508" w:hanging="528"/>
      </w:pPr>
      <w:rPr>
        <w:rFonts w:hint="eastAsia"/>
      </w:rPr>
    </w:lvl>
    <w:lvl w:ilvl="6">
      <w:start w:val="1"/>
      <w:numFmt w:val="decimal"/>
      <w:lvlText w:val="%7."/>
      <w:lvlJc w:val="left"/>
      <w:pPr>
        <w:tabs>
          <w:tab w:val="left" w:pos="0"/>
        </w:tabs>
        <w:ind w:left="2820" w:hanging="528"/>
      </w:pPr>
      <w:rPr>
        <w:rFonts w:hint="eastAsia"/>
      </w:rPr>
    </w:lvl>
    <w:lvl w:ilvl="7">
      <w:start w:val="1"/>
      <w:numFmt w:val="lowerLetter"/>
      <w:lvlText w:val="%8)"/>
      <w:lvlJc w:val="left"/>
      <w:pPr>
        <w:tabs>
          <w:tab w:val="left" w:pos="0"/>
        </w:tabs>
        <w:ind w:left="3132" w:hanging="528"/>
      </w:pPr>
      <w:rPr>
        <w:rFonts w:hint="eastAsia"/>
      </w:rPr>
    </w:lvl>
    <w:lvl w:ilvl="8">
      <w:start w:val="1"/>
      <w:numFmt w:val="lowerRoman"/>
      <w:lvlText w:val="%9."/>
      <w:lvlJc w:val="right"/>
      <w:pPr>
        <w:tabs>
          <w:tab w:val="left" w:pos="0"/>
        </w:tabs>
        <w:ind w:left="3444" w:hanging="528"/>
      </w:pPr>
      <w:rPr>
        <w:rFonts w:hint="eastAsia"/>
      </w:rPr>
    </w:lvl>
  </w:abstractNum>
  <w:abstractNum w:abstractNumId="23">
    <w:nsid w:val="44BEBE66"/>
    <w:multiLevelType w:val="multilevel"/>
    <w:tmpl w:val="44BEBE66"/>
    <w:lvl w:ilvl="0">
      <w:start w:val="1"/>
      <w:numFmt w:val="none"/>
      <w:pStyle w:val="af7"/>
      <w:suff w:val="nothing"/>
      <w:lvlText w:val="%1注："/>
      <w:lvlJc w:val="left"/>
      <w:pPr>
        <w:tabs>
          <w:tab w:val="left" w:pos="62"/>
        </w:tabs>
        <w:ind w:left="788" w:hanging="363"/>
      </w:pPr>
      <w:rPr>
        <w:rFonts w:ascii="黑体" w:eastAsia="黑体" w:hAnsi="黑体" w:hint="eastAsia"/>
        <w:b w:val="0"/>
        <w:i w:val="0"/>
        <w:sz w:val="18"/>
        <w:lang w:val="en-US"/>
      </w:rPr>
    </w:lvl>
    <w:lvl w:ilvl="1">
      <w:start w:val="1"/>
      <w:numFmt w:val="lowerLetter"/>
      <w:lvlText w:val="%2)"/>
      <w:lvlJc w:val="left"/>
      <w:pPr>
        <w:tabs>
          <w:tab w:val="left" w:pos="62"/>
        </w:tabs>
        <w:ind w:left="788" w:hanging="363"/>
      </w:pPr>
      <w:rPr>
        <w:rFonts w:hint="eastAsia"/>
      </w:rPr>
    </w:lvl>
    <w:lvl w:ilvl="2">
      <w:start w:val="1"/>
      <w:numFmt w:val="lowerRoman"/>
      <w:lvlText w:val="%3."/>
      <w:lvlJc w:val="right"/>
      <w:pPr>
        <w:tabs>
          <w:tab w:val="left" w:pos="62"/>
        </w:tabs>
        <w:ind w:left="788" w:hanging="363"/>
      </w:pPr>
      <w:rPr>
        <w:rFonts w:hint="eastAsia"/>
      </w:rPr>
    </w:lvl>
    <w:lvl w:ilvl="3">
      <w:start w:val="1"/>
      <w:numFmt w:val="decimal"/>
      <w:lvlText w:val="%4."/>
      <w:lvlJc w:val="left"/>
      <w:pPr>
        <w:tabs>
          <w:tab w:val="left" w:pos="62"/>
        </w:tabs>
        <w:ind w:left="788" w:hanging="363"/>
      </w:pPr>
      <w:rPr>
        <w:rFonts w:hint="eastAsia"/>
      </w:rPr>
    </w:lvl>
    <w:lvl w:ilvl="4">
      <w:start w:val="1"/>
      <w:numFmt w:val="lowerLetter"/>
      <w:lvlText w:val="%5)"/>
      <w:lvlJc w:val="left"/>
      <w:pPr>
        <w:tabs>
          <w:tab w:val="left" w:pos="62"/>
        </w:tabs>
        <w:ind w:left="788" w:hanging="363"/>
      </w:pPr>
      <w:rPr>
        <w:rFonts w:hint="eastAsia"/>
      </w:rPr>
    </w:lvl>
    <w:lvl w:ilvl="5">
      <w:start w:val="1"/>
      <w:numFmt w:val="lowerRoman"/>
      <w:lvlText w:val="%6."/>
      <w:lvlJc w:val="right"/>
      <w:pPr>
        <w:tabs>
          <w:tab w:val="left" w:pos="62"/>
        </w:tabs>
        <w:ind w:left="788" w:hanging="363"/>
      </w:pPr>
      <w:rPr>
        <w:rFonts w:hint="eastAsia"/>
      </w:rPr>
    </w:lvl>
    <w:lvl w:ilvl="6">
      <w:start w:val="1"/>
      <w:numFmt w:val="decimal"/>
      <w:lvlText w:val="%7."/>
      <w:lvlJc w:val="left"/>
      <w:pPr>
        <w:tabs>
          <w:tab w:val="left" w:pos="62"/>
        </w:tabs>
        <w:ind w:left="788" w:hanging="363"/>
      </w:pPr>
      <w:rPr>
        <w:rFonts w:hint="eastAsia"/>
      </w:rPr>
    </w:lvl>
    <w:lvl w:ilvl="7">
      <w:start w:val="1"/>
      <w:numFmt w:val="lowerLetter"/>
      <w:lvlText w:val="%8)"/>
      <w:lvlJc w:val="left"/>
      <w:pPr>
        <w:tabs>
          <w:tab w:val="left" w:pos="62"/>
        </w:tabs>
        <w:ind w:left="788" w:hanging="363"/>
      </w:pPr>
      <w:rPr>
        <w:rFonts w:hint="eastAsia"/>
      </w:rPr>
    </w:lvl>
    <w:lvl w:ilvl="8">
      <w:start w:val="1"/>
      <w:numFmt w:val="lowerRoman"/>
      <w:lvlText w:val="%9."/>
      <w:lvlJc w:val="right"/>
      <w:pPr>
        <w:tabs>
          <w:tab w:val="left" w:pos="62"/>
        </w:tabs>
        <w:ind w:left="788" w:hanging="363"/>
      </w:pPr>
      <w:rPr>
        <w:rFonts w:hint="eastAsia"/>
      </w:rPr>
    </w:lvl>
  </w:abstractNum>
  <w:abstractNum w:abstractNumId="24">
    <w:nsid w:val="4B733A5F"/>
    <w:multiLevelType w:val="multilevel"/>
    <w:tmpl w:val="4B733A5F"/>
    <w:lvl w:ilvl="0">
      <w:start w:val="1"/>
      <w:numFmt w:val="decimal"/>
      <w:pStyle w:val="af8"/>
      <w:suff w:val="nothing"/>
      <w:lvlText w:val="示例%1："/>
      <w:lvlJc w:val="left"/>
      <w:pPr>
        <w:tabs>
          <w:tab w:val="left" w:pos="0"/>
        </w:tabs>
        <w:ind w:left="0" w:firstLine="363"/>
      </w:pPr>
      <w:rPr>
        <w:rFonts w:ascii="黑体" w:eastAsia="黑体" w:hAnsi="黑体" w:hint="eastAsia"/>
        <w:b w:val="0"/>
        <w:i w:val="0"/>
        <w:sz w:val="18"/>
        <w:szCs w:val="18"/>
        <w:vertAlign w:val="baseline"/>
      </w:rPr>
    </w:lvl>
    <w:lvl w:ilvl="1">
      <w:start w:val="1"/>
      <w:numFmt w:val="none"/>
      <w:suff w:val="space"/>
      <w:lvlText w:val=""/>
      <w:lvlJc w:val="left"/>
      <w:pPr>
        <w:tabs>
          <w:tab w:val="left" w:pos="0"/>
        </w:tabs>
        <w:ind w:left="0" w:firstLine="0"/>
      </w:pPr>
      <w:rPr>
        <w:rFonts w:hint="eastAsia"/>
        <w:vertAlign w:val="baseline"/>
      </w:rPr>
    </w:lvl>
    <w:lvl w:ilvl="2">
      <w:start w:val="1"/>
      <w:numFmt w:val="decimal"/>
      <w:suff w:val="space"/>
      <w:lvlText w:val="2.2.%3"/>
      <w:lvlJc w:val="left"/>
      <w:pPr>
        <w:tabs>
          <w:tab w:val="left" w:pos="0"/>
        </w:tabs>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5">
    <w:nsid w:val="4F4963BA"/>
    <w:multiLevelType w:val="multilevel"/>
    <w:tmpl w:val="4F4963BA"/>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26">
    <w:nsid w:val="60A8EEB0"/>
    <w:multiLevelType w:val="multilevel"/>
    <w:tmpl w:val="60A8EEB0"/>
    <w:lvl w:ilvl="0">
      <w:start w:val="1"/>
      <w:numFmt w:val="lowerLetter"/>
      <w:pStyle w:val="af9"/>
      <w:lvlText w:val="%1)"/>
      <w:lvlJc w:val="left"/>
      <w:pPr>
        <w:tabs>
          <w:tab w:val="left" w:pos="0"/>
        </w:tabs>
        <w:ind w:left="839" w:hanging="419"/>
      </w:pPr>
      <w:rPr>
        <w:rFonts w:ascii="宋体" w:eastAsia="宋体" w:hAnsi="宋体" w:hint="eastAsia"/>
        <w:b w:val="0"/>
        <w:i w:val="0"/>
        <w:sz w:val="21"/>
        <w:szCs w:val="21"/>
      </w:rPr>
    </w:lvl>
    <w:lvl w:ilvl="1">
      <w:start w:val="1"/>
      <w:numFmt w:val="decimal"/>
      <w:pStyle w:val="afa"/>
      <w:lvlText w:val="%2)"/>
      <w:lvlJc w:val="left"/>
      <w:pPr>
        <w:tabs>
          <w:tab w:val="left" w:pos="0"/>
        </w:tabs>
        <w:ind w:left="1259" w:hanging="419"/>
      </w:pPr>
      <w:rPr>
        <w:rFonts w:hint="eastAsia"/>
      </w:rPr>
    </w:lvl>
    <w:lvl w:ilvl="2">
      <w:start w:val="1"/>
      <w:numFmt w:val="decimal"/>
      <w:pStyle w:val="afb"/>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27">
    <w:nsid w:val="60AB34D4"/>
    <w:multiLevelType w:val="multilevel"/>
    <w:tmpl w:val="60AB34D4"/>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28">
    <w:nsid w:val="60AB34FF"/>
    <w:multiLevelType w:val="multilevel"/>
    <w:tmpl w:val="60AB34FF"/>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29">
    <w:nsid w:val="60AB350F"/>
    <w:multiLevelType w:val="multilevel"/>
    <w:tmpl w:val="60AB350F"/>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30">
    <w:nsid w:val="60AB351E"/>
    <w:multiLevelType w:val="multilevel"/>
    <w:tmpl w:val="60AB351E"/>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31">
    <w:nsid w:val="60AB352D"/>
    <w:multiLevelType w:val="multilevel"/>
    <w:tmpl w:val="60AB352D"/>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32">
    <w:nsid w:val="60AB353C"/>
    <w:multiLevelType w:val="multilevel"/>
    <w:tmpl w:val="60AB353C"/>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33">
    <w:nsid w:val="60AB3549"/>
    <w:multiLevelType w:val="multilevel"/>
    <w:tmpl w:val="60AB3549"/>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34">
    <w:nsid w:val="60AB3558"/>
    <w:multiLevelType w:val="multilevel"/>
    <w:tmpl w:val="60AB3558"/>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35">
    <w:nsid w:val="60AB3566"/>
    <w:multiLevelType w:val="multilevel"/>
    <w:tmpl w:val="60AB3566"/>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36">
    <w:nsid w:val="60B55DC2"/>
    <w:multiLevelType w:val="multilevel"/>
    <w:tmpl w:val="60B55DC2"/>
    <w:lvl w:ilvl="0">
      <w:start w:val="1"/>
      <w:numFmt w:val="upperLetter"/>
      <w:pStyle w:val="afc"/>
      <w:lvlText w:val="%1"/>
      <w:lvlJc w:val="left"/>
      <w:pPr>
        <w:tabs>
          <w:tab w:val="left" w:pos="0"/>
        </w:tabs>
        <w:ind w:left="0" w:hanging="425"/>
      </w:pPr>
      <w:rPr>
        <w:rFonts w:hint="eastAsia"/>
      </w:rPr>
    </w:lvl>
    <w:lvl w:ilvl="1">
      <w:start w:val="1"/>
      <w:numFmt w:val="decimal"/>
      <w:pStyle w:val="afd"/>
      <w:suff w:val="nothing"/>
      <w:lvlText w:val="表%1.%2　"/>
      <w:lvlJc w:val="left"/>
      <w:pPr>
        <w:tabs>
          <w:tab w:val="left" w:pos="0"/>
        </w:tabs>
        <w:ind w:left="567" w:hanging="567"/>
      </w:pPr>
      <w:rPr>
        <w:rFonts w:hint="eastAsia"/>
      </w:rPr>
    </w:lvl>
    <w:lvl w:ilvl="2">
      <w:start w:val="1"/>
      <w:numFmt w:val="decimal"/>
      <w:lvlText w:val="%1.%2.%3"/>
      <w:lvlJc w:val="left"/>
      <w:pPr>
        <w:tabs>
          <w:tab w:val="left" w:pos="0"/>
        </w:tabs>
        <w:ind w:left="993" w:hanging="567"/>
      </w:pPr>
      <w:rPr>
        <w:rFonts w:hint="eastAsia"/>
      </w:rPr>
    </w:lvl>
    <w:lvl w:ilvl="3">
      <w:start w:val="1"/>
      <w:numFmt w:val="decimal"/>
      <w:lvlText w:val="%1.%2.%3.%4"/>
      <w:lvlJc w:val="left"/>
      <w:pPr>
        <w:tabs>
          <w:tab w:val="left" w:pos="0"/>
        </w:tabs>
        <w:ind w:left="1559" w:hanging="708"/>
      </w:pPr>
      <w:rPr>
        <w:rFonts w:hint="eastAsia"/>
      </w:rPr>
    </w:lvl>
    <w:lvl w:ilvl="4">
      <w:start w:val="1"/>
      <w:numFmt w:val="decimal"/>
      <w:lvlText w:val="%1.%2.%3.%4.%5"/>
      <w:lvlJc w:val="left"/>
      <w:pPr>
        <w:tabs>
          <w:tab w:val="left" w:pos="0"/>
        </w:tabs>
        <w:ind w:left="2126" w:hanging="850"/>
      </w:pPr>
      <w:rPr>
        <w:rFonts w:hint="eastAsia"/>
      </w:rPr>
    </w:lvl>
    <w:lvl w:ilvl="5">
      <w:start w:val="1"/>
      <w:numFmt w:val="decimal"/>
      <w:lvlText w:val="%1.%2.%3.%4.%5.%6"/>
      <w:lvlJc w:val="left"/>
      <w:pPr>
        <w:tabs>
          <w:tab w:val="left" w:pos="0"/>
        </w:tabs>
        <w:ind w:left="2835" w:hanging="1134"/>
      </w:pPr>
      <w:rPr>
        <w:rFonts w:hint="eastAsia"/>
      </w:rPr>
    </w:lvl>
    <w:lvl w:ilvl="6">
      <w:start w:val="1"/>
      <w:numFmt w:val="decimal"/>
      <w:lvlText w:val="%1.%2.%3.%4.%5.%6.%7"/>
      <w:lvlJc w:val="left"/>
      <w:pPr>
        <w:tabs>
          <w:tab w:val="left" w:pos="0"/>
        </w:tabs>
        <w:ind w:left="3402" w:hanging="1276"/>
      </w:pPr>
      <w:rPr>
        <w:rFonts w:hint="eastAsia"/>
      </w:rPr>
    </w:lvl>
    <w:lvl w:ilvl="7">
      <w:start w:val="1"/>
      <w:numFmt w:val="decimal"/>
      <w:lvlText w:val="%1.%2.%3.%4.%5.%6.%7.%8"/>
      <w:lvlJc w:val="left"/>
      <w:pPr>
        <w:tabs>
          <w:tab w:val="left" w:pos="0"/>
        </w:tabs>
        <w:ind w:left="3969" w:hanging="1418"/>
      </w:pPr>
      <w:rPr>
        <w:rFonts w:hint="eastAsia"/>
      </w:rPr>
    </w:lvl>
    <w:lvl w:ilvl="8">
      <w:start w:val="1"/>
      <w:numFmt w:val="decimal"/>
      <w:lvlText w:val="%1.%2.%3.%4.%5.%6.%7.%8.%9"/>
      <w:lvlJc w:val="left"/>
      <w:pPr>
        <w:tabs>
          <w:tab w:val="left" w:pos="0"/>
        </w:tabs>
        <w:ind w:left="4677" w:hanging="1700"/>
      </w:pPr>
      <w:rPr>
        <w:rFonts w:hint="eastAsia"/>
      </w:rPr>
    </w:lvl>
  </w:abstractNum>
  <w:abstractNum w:abstractNumId="37">
    <w:nsid w:val="646260FA"/>
    <w:multiLevelType w:val="multilevel"/>
    <w:tmpl w:val="646260FA"/>
    <w:lvl w:ilvl="0">
      <w:start w:val="1"/>
      <w:numFmt w:val="decimal"/>
      <w:pStyle w:val="afe"/>
      <w:suff w:val="nothing"/>
      <w:lvlText w:val="表%1　"/>
      <w:lvlJc w:val="left"/>
      <w:pPr>
        <w:tabs>
          <w:tab w:val="left" w:pos="0"/>
        </w:tabs>
        <w:ind w:left="0" w:firstLine="0"/>
      </w:pPr>
      <w:rPr>
        <w:rFonts w:ascii="黑体" w:eastAsia="黑体" w:hAnsi="黑体" w:hint="eastAsia"/>
        <w:b w:val="0"/>
        <w:i w:val="0"/>
        <w:sz w:val="21"/>
      </w:rPr>
    </w:lvl>
    <w:lvl w:ilvl="1">
      <w:start w:val="1"/>
      <w:numFmt w:val="decimal"/>
      <w:lvlText w:val="%1.%2"/>
      <w:lvlJc w:val="left"/>
      <w:pPr>
        <w:tabs>
          <w:tab w:val="left" w:pos="0"/>
        </w:tabs>
        <w:ind w:left="992" w:hanging="567"/>
      </w:pPr>
      <w:rPr>
        <w:rFonts w:hint="eastAsia"/>
      </w:rPr>
    </w:lvl>
    <w:lvl w:ilvl="2">
      <w:start w:val="1"/>
      <w:numFmt w:val="decimal"/>
      <w:lvlText w:val="%1.%2.%3"/>
      <w:lvlJc w:val="left"/>
      <w:pPr>
        <w:tabs>
          <w:tab w:val="left" w:pos="0"/>
        </w:tabs>
        <w:ind w:left="1418" w:hanging="567"/>
      </w:pPr>
      <w:rPr>
        <w:rFonts w:hint="eastAsia"/>
      </w:rPr>
    </w:lvl>
    <w:lvl w:ilvl="3">
      <w:start w:val="1"/>
      <w:numFmt w:val="decimal"/>
      <w:lvlText w:val="%1.%2.%3.%4"/>
      <w:lvlJc w:val="left"/>
      <w:pPr>
        <w:tabs>
          <w:tab w:val="left" w:pos="0"/>
        </w:tabs>
        <w:ind w:left="1984" w:hanging="708"/>
      </w:pPr>
      <w:rPr>
        <w:rFonts w:hint="eastAsia"/>
      </w:rPr>
    </w:lvl>
    <w:lvl w:ilvl="4">
      <w:start w:val="1"/>
      <w:numFmt w:val="decimal"/>
      <w:lvlText w:val="%1.%2.%3.%4.%5"/>
      <w:lvlJc w:val="left"/>
      <w:pPr>
        <w:tabs>
          <w:tab w:val="left" w:pos="0"/>
        </w:tabs>
        <w:ind w:left="2551" w:hanging="850"/>
      </w:pPr>
      <w:rPr>
        <w:rFonts w:hint="eastAsia"/>
      </w:rPr>
    </w:lvl>
    <w:lvl w:ilvl="5">
      <w:start w:val="1"/>
      <w:numFmt w:val="decimal"/>
      <w:lvlText w:val="%1.%2.%3.%4.%5.%6"/>
      <w:lvlJc w:val="left"/>
      <w:pPr>
        <w:tabs>
          <w:tab w:val="left" w:pos="0"/>
        </w:tabs>
        <w:ind w:left="3260" w:hanging="1134"/>
      </w:pPr>
      <w:rPr>
        <w:rFonts w:hint="eastAsia"/>
      </w:rPr>
    </w:lvl>
    <w:lvl w:ilvl="6">
      <w:start w:val="1"/>
      <w:numFmt w:val="decimal"/>
      <w:lvlText w:val="%1.%2.%3.%4.%5.%6.%7"/>
      <w:lvlJc w:val="left"/>
      <w:pPr>
        <w:tabs>
          <w:tab w:val="left" w:pos="0"/>
        </w:tabs>
        <w:ind w:left="3827" w:hanging="1276"/>
      </w:pPr>
      <w:rPr>
        <w:rFonts w:hint="eastAsia"/>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38">
    <w:nsid w:val="6C4BAB70"/>
    <w:multiLevelType w:val="multilevel"/>
    <w:tmpl w:val="6C4BAB70"/>
    <w:lvl w:ilvl="0">
      <w:start w:val="1"/>
      <w:numFmt w:val="lowerLetter"/>
      <w:lvlText w:val="%1)"/>
      <w:lvlJc w:val="left"/>
      <w:pPr>
        <w:tabs>
          <w:tab w:val="left" w:pos="0"/>
        </w:tabs>
        <w:ind w:left="839" w:hanging="419"/>
      </w:pPr>
      <w:rPr>
        <w:rFonts w:ascii="宋体" w:eastAsia="宋体" w:hAnsi="宋体" w:hint="eastAsia"/>
        <w:b w:val="0"/>
        <w:i w:val="0"/>
        <w:sz w:val="21"/>
        <w:szCs w:val="21"/>
      </w:rPr>
    </w:lvl>
    <w:lvl w:ilvl="1">
      <w:start w:val="1"/>
      <w:numFmt w:val="decimal"/>
      <w:lvlText w:val="%2)"/>
      <w:lvlJc w:val="left"/>
      <w:pPr>
        <w:tabs>
          <w:tab w:val="left" w:pos="0"/>
        </w:tabs>
        <w:ind w:left="1259" w:hanging="419"/>
      </w:pPr>
      <w:rPr>
        <w:rFonts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0"/>
        </w:tabs>
        <w:ind w:left="2099" w:hanging="419"/>
      </w:pPr>
      <w:rPr>
        <w:rFonts w:hint="eastAsia"/>
      </w:rPr>
    </w:lvl>
    <w:lvl w:ilvl="4">
      <w:start w:val="1"/>
      <w:numFmt w:val="lowerLetter"/>
      <w:lvlText w:val="%5)"/>
      <w:lvlJc w:val="left"/>
      <w:pPr>
        <w:tabs>
          <w:tab w:val="left" w:pos="0"/>
        </w:tabs>
        <w:ind w:left="2519" w:hanging="419"/>
      </w:pPr>
      <w:rPr>
        <w:rFonts w:hint="eastAsia"/>
      </w:rPr>
    </w:lvl>
    <w:lvl w:ilvl="5">
      <w:start w:val="1"/>
      <w:numFmt w:val="lowerRoman"/>
      <w:lvlText w:val="%6."/>
      <w:lvlJc w:val="right"/>
      <w:pPr>
        <w:tabs>
          <w:tab w:val="left" w:pos="0"/>
        </w:tabs>
        <w:ind w:left="2939" w:hanging="419"/>
      </w:pPr>
      <w:rPr>
        <w:rFonts w:hint="eastAsia"/>
      </w:rPr>
    </w:lvl>
    <w:lvl w:ilvl="6">
      <w:start w:val="1"/>
      <w:numFmt w:val="decimal"/>
      <w:lvlText w:val="%7."/>
      <w:lvlJc w:val="left"/>
      <w:pPr>
        <w:tabs>
          <w:tab w:val="left" w:pos="0"/>
        </w:tabs>
        <w:ind w:left="3359" w:hanging="419"/>
      </w:pPr>
      <w:rPr>
        <w:rFonts w:hint="eastAsia"/>
      </w:rPr>
    </w:lvl>
    <w:lvl w:ilvl="7">
      <w:start w:val="1"/>
      <w:numFmt w:val="lowerLetter"/>
      <w:lvlText w:val="%8)"/>
      <w:lvlJc w:val="left"/>
      <w:pPr>
        <w:tabs>
          <w:tab w:val="left" w:pos="0"/>
        </w:tabs>
        <w:ind w:left="3779" w:hanging="419"/>
      </w:pPr>
      <w:rPr>
        <w:rFonts w:hint="eastAsia"/>
      </w:rPr>
    </w:lvl>
    <w:lvl w:ilvl="8">
      <w:start w:val="1"/>
      <w:numFmt w:val="lowerRoman"/>
      <w:lvlText w:val="%9."/>
      <w:lvlJc w:val="right"/>
      <w:pPr>
        <w:tabs>
          <w:tab w:val="left" w:pos="0"/>
        </w:tabs>
        <w:ind w:left="4199" w:hanging="419"/>
      </w:pPr>
      <w:rPr>
        <w:rFonts w:hint="eastAsia"/>
      </w:rPr>
    </w:lvl>
  </w:abstractNum>
  <w:abstractNum w:abstractNumId="39">
    <w:nsid w:val="6D6C07CD"/>
    <w:multiLevelType w:val="multilevel"/>
    <w:tmpl w:val="6D6C07CD"/>
    <w:lvl w:ilvl="0">
      <w:start w:val="1"/>
      <w:numFmt w:val="lowerLetter"/>
      <w:pStyle w:val="aff"/>
      <w:lvlText w:val="%1)"/>
      <w:lvlJc w:val="left"/>
      <w:pPr>
        <w:tabs>
          <w:tab w:val="left" w:pos="0"/>
        </w:tabs>
        <w:ind w:left="839" w:hanging="419"/>
      </w:pPr>
      <w:rPr>
        <w:rFonts w:ascii="宋体" w:eastAsia="宋体" w:hAnsi="宋体" w:hint="eastAsia"/>
        <w:b w:val="0"/>
        <w:i w:val="0"/>
        <w:sz w:val="21"/>
      </w:rPr>
    </w:lvl>
    <w:lvl w:ilvl="1">
      <w:start w:val="1"/>
      <w:numFmt w:val="decimal"/>
      <w:pStyle w:val="aff0"/>
      <w:lvlText w:val="%2)"/>
      <w:lvlJc w:val="left"/>
      <w:pPr>
        <w:tabs>
          <w:tab w:val="left" w:pos="0"/>
        </w:tabs>
        <w:ind w:left="839" w:hanging="419"/>
      </w:pPr>
      <w:rPr>
        <w:rFonts w:ascii="宋体" w:eastAsia="宋体" w:hAnsi="宋体" w:hint="eastAsia"/>
        <w:b w:val="0"/>
        <w:i w:val="0"/>
        <w:sz w:val="21"/>
      </w:rPr>
    </w:lvl>
    <w:lvl w:ilvl="2">
      <w:start w:val="1"/>
      <w:numFmt w:val="lowerRoman"/>
      <w:lvlText w:val="%3."/>
      <w:lvlJc w:val="right"/>
      <w:pPr>
        <w:tabs>
          <w:tab w:val="left" w:pos="0"/>
        </w:tabs>
        <w:ind w:left="1259" w:hanging="419"/>
      </w:pPr>
      <w:rPr>
        <w:rFonts w:hint="eastAsia"/>
      </w:rPr>
    </w:lvl>
    <w:lvl w:ilvl="3">
      <w:start w:val="1"/>
      <w:numFmt w:val="decimal"/>
      <w:lvlText w:val="%4."/>
      <w:lvlJc w:val="left"/>
      <w:pPr>
        <w:tabs>
          <w:tab w:val="left" w:pos="0"/>
        </w:tabs>
        <w:ind w:left="1679" w:hanging="419"/>
      </w:pPr>
      <w:rPr>
        <w:rFonts w:hint="eastAsia"/>
      </w:rPr>
    </w:lvl>
    <w:lvl w:ilvl="4">
      <w:start w:val="1"/>
      <w:numFmt w:val="lowerLetter"/>
      <w:lvlText w:val="%5)"/>
      <w:lvlJc w:val="left"/>
      <w:pPr>
        <w:tabs>
          <w:tab w:val="left" w:pos="0"/>
        </w:tabs>
        <w:ind w:left="2099" w:hanging="419"/>
      </w:pPr>
      <w:rPr>
        <w:rFonts w:hint="eastAsia"/>
      </w:rPr>
    </w:lvl>
    <w:lvl w:ilvl="5">
      <w:start w:val="1"/>
      <w:numFmt w:val="lowerRoman"/>
      <w:lvlText w:val="%6."/>
      <w:lvlJc w:val="right"/>
      <w:pPr>
        <w:tabs>
          <w:tab w:val="left" w:pos="0"/>
        </w:tabs>
        <w:ind w:left="2519" w:hanging="419"/>
      </w:pPr>
      <w:rPr>
        <w:rFonts w:hint="eastAsia"/>
      </w:rPr>
    </w:lvl>
    <w:lvl w:ilvl="6">
      <w:start w:val="1"/>
      <w:numFmt w:val="decimal"/>
      <w:lvlText w:val="%7."/>
      <w:lvlJc w:val="left"/>
      <w:pPr>
        <w:tabs>
          <w:tab w:val="left" w:pos="0"/>
        </w:tabs>
        <w:ind w:left="2939" w:hanging="419"/>
      </w:pPr>
      <w:rPr>
        <w:rFonts w:hint="eastAsia"/>
      </w:rPr>
    </w:lvl>
    <w:lvl w:ilvl="7">
      <w:start w:val="1"/>
      <w:numFmt w:val="lowerLetter"/>
      <w:lvlText w:val="%8)"/>
      <w:lvlJc w:val="left"/>
      <w:pPr>
        <w:tabs>
          <w:tab w:val="left" w:pos="0"/>
        </w:tabs>
        <w:ind w:left="3359" w:hanging="419"/>
      </w:pPr>
      <w:rPr>
        <w:rFonts w:hint="eastAsia"/>
      </w:rPr>
    </w:lvl>
    <w:lvl w:ilvl="8">
      <w:start w:val="1"/>
      <w:numFmt w:val="lowerRoman"/>
      <w:lvlText w:val="%9."/>
      <w:lvlJc w:val="right"/>
      <w:pPr>
        <w:tabs>
          <w:tab w:val="left" w:pos="0"/>
        </w:tabs>
        <w:ind w:left="3779" w:hanging="419"/>
      </w:pPr>
      <w:rPr>
        <w:rFonts w:hint="eastAsia"/>
      </w:rPr>
    </w:lvl>
  </w:abstractNum>
  <w:abstractNum w:abstractNumId="40">
    <w:nsid w:val="7A2EF981"/>
    <w:multiLevelType w:val="multilevel"/>
    <w:tmpl w:val="7A2EF981"/>
    <w:lvl w:ilvl="0">
      <w:start w:val="1"/>
      <w:numFmt w:val="decimal"/>
      <w:pStyle w:val="aff1"/>
      <w:suff w:val="nothing"/>
      <w:lvlText w:val="图%1　"/>
      <w:lvlJc w:val="left"/>
      <w:pPr>
        <w:tabs>
          <w:tab w:val="left" w:pos="0"/>
        </w:tabs>
        <w:ind w:left="0" w:firstLine="0"/>
      </w:pPr>
      <w:rPr>
        <w:rFonts w:ascii="黑体" w:eastAsia="黑体" w:hAnsi="黑体" w:hint="eastAsia"/>
        <w:b w:val="0"/>
        <w:i w:val="0"/>
        <w:sz w:val="21"/>
      </w:rPr>
    </w:lvl>
    <w:lvl w:ilvl="1">
      <w:start w:val="1"/>
      <w:numFmt w:val="decimal"/>
      <w:suff w:val="nothing"/>
      <w:lvlText w:val="%1%2　"/>
      <w:lvlJc w:val="left"/>
      <w:pPr>
        <w:tabs>
          <w:tab w:val="left" w:pos="0"/>
        </w:tabs>
        <w:ind w:left="0" w:firstLine="0"/>
      </w:pPr>
      <w:rPr>
        <w:rFonts w:ascii="Times New Roman" w:eastAsia="黑体" w:hAnsi="Times New Roman" w:hint="default"/>
        <w:b w:val="0"/>
        <w:i w:val="0"/>
        <w:sz w:val="21"/>
      </w:rPr>
    </w:lvl>
    <w:lvl w:ilvl="2">
      <w:start w:val="1"/>
      <w:numFmt w:val="decimal"/>
      <w:suff w:val="nothing"/>
      <w:lvlText w:val="%1%2.%3　"/>
      <w:lvlJc w:val="left"/>
      <w:pPr>
        <w:tabs>
          <w:tab w:val="left" w:pos="0"/>
        </w:tabs>
        <w:ind w:left="0" w:firstLine="0"/>
      </w:pPr>
      <w:rPr>
        <w:rFonts w:ascii="Times New Roman" w:eastAsia="黑体" w:hAnsi="Times New Roman" w:hint="default"/>
        <w:b w:val="0"/>
        <w:i w:val="0"/>
        <w:sz w:val="21"/>
      </w:rPr>
    </w:lvl>
    <w:lvl w:ilvl="3">
      <w:start w:val="1"/>
      <w:numFmt w:val="decimal"/>
      <w:suff w:val="nothing"/>
      <w:lvlText w:val="%1%2.%3.%4　"/>
      <w:lvlJc w:val="left"/>
      <w:pPr>
        <w:tabs>
          <w:tab w:val="left" w:pos="0"/>
        </w:tabs>
        <w:ind w:left="0" w:firstLine="0"/>
      </w:pPr>
      <w:rPr>
        <w:rFonts w:ascii="Times New Roman" w:eastAsia="黑体" w:hAnsi="Times New Roman" w:hint="default"/>
        <w:b w:val="0"/>
        <w:i w:val="0"/>
        <w:sz w:val="21"/>
      </w:rPr>
    </w:lvl>
    <w:lvl w:ilvl="4">
      <w:start w:val="1"/>
      <w:numFmt w:val="decimal"/>
      <w:suff w:val="nothing"/>
      <w:lvlText w:val="%1%2.%3.%4.%5　"/>
      <w:lvlJc w:val="left"/>
      <w:pPr>
        <w:tabs>
          <w:tab w:val="left" w:pos="0"/>
        </w:tabs>
        <w:ind w:left="0" w:firstLine="0"/>
      </w:pPr>
      <w:rPr>
        <w:rFonts w:ascii="Times New Roman" w:eastAsia="黑体" w:hAnsi="Times New Roman" w:hint="default"/>
        <w:b w:val="0"/>
        <w:i w:val="0"/>
        <w:sz w:val="21"/>
      </w:rPr>
    </w:lvl>
    <w:lvl w:ilvl="5">
      <w:start w:val="1"/>
      <w:numFmt w:val="decimal"/>
      <w:suff w:val="nothing"/>
      <w:lvlText w:val="%1%2.%3.%4.%5.%6　"/>
      <w:lvlJc w:val="left"/>
      <w:pPr>
        <w:tabs>
          <w:tab w:val="left" w:pos="0"/>
        </w:tabs>
        <w:ind w:left="0" w:firstLine="0"/>
      </w:pPr>
      <w:rPr>
        <w:rFonts w:ascii="Times New Roman" w:eastAsia="黑体" w:hAnsi="Times New Roman" w:hint="default"/>
        <w:b w:val="0"/>
        <w:i w:val="0"/>
        <w:sz w:val="21"/>
      </w:rPr>
    </w:lvl>
    <w:lvl w:ilvl="6">
      <w:start w:val="1"/>
      <w:numFmt w:val="decimal"/>
      <w:suff w:val="nothing"/>
      <w:lvlText w:val="%1%2.%3.%4.%5.%6.%7　"/>
      <w:lvlJc w:val="left"/>
      <w:pPr>
        <w:tabs>
          <w:tab w:val="left" w:pos="0"/>
        </w:tabs>
        <w:ind w:left="0" w:firstLine="0"/>
      </w:pPr>
      <w:rPr>
        <w:rFonts w:ascii="Times New Roman" w:eastAsia="黑体" w:hAnsi="Times New Roman" w:hint="default"/>
        <w:b w:val="0"/>
        <w:i w:val="0"/>
        <w:sz w:val="21"/>
      </w:rPr>
    </w:lvl>
    <w:lvl w:ilvl="7">
      <w:start w:val="1"/>
      <w:numFmt w:val="decimal"/>
      <w:lvlText w:val="%1.%2.%3.%4.%5.%6.%7.%8"/>
      <w:lvlJc w:val="left"/>
      <w:pPr>
        <w:tabs>
          <w:tab w:val="left" w:pos="0"/>
        </w:tabs>
        <w:ind w:left="3969" w:hanging="1418"/>
      </w:pPr>
      <w:rPr>
        <w:rFonts w:hint="eastAsia"/>
      </w:rPr>
    </w:lvl>
    <w:lvl w:ilvl="8">
      <w:start w:val="1"/>
      <w:numFmt w:val="decimal"/>
      <w:lvlText w:val="%1.%2.%3.%4.%5.%6.%7.%8.%9"/>
      <w:lvlJc w:val="left"/>
      <w:pPr>
        <w:tabs>
          <w:tab w:val="left" w:pos="0"/>
        </w:tabs>
        <w:ind w:left="4677" w:hanging="1700"/>
      </w:pPr>
      <w:rPr>
        <w:rFonts w:hint="eastAsia"/>
      </w:rPr>
    </w:lvl>
  </w:abstractNum>
  <w:num w:numId="1">
    <w:abstractNumId w:val="13"/>
  </w:num>
  <w:num w:numId="2">
    <w:abstractNumId w:val="14"/>
  </w:num>
  <w:num w:numId="3">
    <w:abstractNumId w:val="12"/>
  </w:num>
  <w:num w:numId="4">
    <w:abstractNumId w:val="18"/>
  </w:num>
  <w:num w:numId="5">
    <w:abstractNumId w:val="7"/>
  </w:num>
  <w:num w:numId="6">
    <w:abstractNumId w:val="26"/>
  </w:num>
  <w:num w:numId="7">
    <w:abstractNumId w:val="39"/>
  </w:num>
  <w:num w:numId="8">
    <w:abstractNumId w:val="23"/>
  </w:num>
  <w:num w:numId="9">
    <w:abstractNumId w:val="9"/>
  </w:num>
  <w:num w:numId="10">
    <w:abstractNumId w:val="22"/>
  </w:num>
  <w:num w:numId="11">
    <w:abstractNumId w:val="37"/>
  </w:num>
  <w:num w:numId="12">
    <w:abstractNumId w:val="16"/>
  </w:num>
  <w:num w:numId="13">
    <w:abstractNumId w:val="36"/>
  </w:num>
  <w:num w:numId="14">
    <w:abstractNumId w:val="40"/>
  </w:num>
  <w:num w:numId="15">
    <w:abstractNumId w:val="24"/>
  </w:num>
  <w:num w:numId="16">
    <w:abstractNumId w:val="20"/>
  </w:num>
  <w:num w:numId="17">
    <w:abstractNumId w:val="10"/>
  </w:num>
  <w:num w:numId="18">
    <w:abstractNumId w:val="17"/>
  </w:num>
  <w:num w:numId="19">
    <w:abstractNumId w:val="15"/>
  </w:num>
  <w:num w:numId="20">
    <w:abstractNumId w:val="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num>
  <w:num w:numId="23">
    <w:abstractNumId w:val="28"/>
  </w:num>
  <w:num w:numId="24">
    <w:abstractNumId w:val="5"/>
  </w:num>
  <w:num w:numId="25">
    <w:abstractNumId w:val="1"/>
  </w:num>
  <w:num w:numId="26">
    <w:abstractNumId w:val="26"/>
    <w:lvlOverride w:ilvl="0">
      <w:startOverride w:val="1"/>
    </w:lvlOverride>
  </w:num>
  <w:num w:numId="27">
    <w:abstractNumId w:val="2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9"/>
  </w:num>
  <w:num w:numId="31">
    <w:abstractNumId w:val="29"/>
  </w:num>
  <w:num w:numId="32">
    <w:abstractNumId w:val="11"/>
  </w:num>
  <w:num w:numId="33">
    <w:abstractNumId w:val="0"/>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8"/>
  </w:num>
  <w:num w:numId="41">
    <w:abstractNumId w:val="4"/>
  </w:num>
  <w:num w:numId="42">
    <w:abstractNumId w:val="2"/>
  </w:num>
  <w:num w:numId="43">
    <w:abstractNumId w:val="6"/>
  </w:num>
  <w:num w:numId="44">
    <w:abstractNumId w:val="26"/>
    <w:lvlOverride w:ilvl="2">
      <w:startOverride w:val="1"/>
    </w:lvlOverride>
  </w:num>
  <w:num w:numId="45">
    <w:abstractNumId w:val="26"/>
    <w:lvlOverride w:ilvl="2">
      <w:startOverride w:val="1"/>
    </w:lvlOverride>
  </w:num>
  <w:num w:numId="46">
    <w:abstractNumId w:val="26"/>
    <w:lvlOverride w:ilvl="2">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0"/>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TBhY2Q1MDY4ZDU5ZjQyYjU4NjhhMjA3YmViYWE2MGEifQ=="/>
  </w:docVars>
  <w:rsids>
    <w:rsidRoot w:val="00172A27"/>
    <w:rsid w:val="0002319E"/>
    <w:rsid w:val="00031290"/>
    <w:rsid w:val="000362DA"/>
    <w:rsid w:val="00051289"/>
    <w:rsid w:val="00063B61"/>
    <w:rsid w:val="000B63A3"/>
    <w:rsid w:val="000C486E"/>
    <w:rsid w:val="000D24F5"/>
    <w:rsid w:val="000E2FFA"/>
    <w:rsid w:val="000E5C91"/>
    <w:rsid w:val="001075C8"/>
    <w:rsid w:val="00123089"/>
    <w:rsid w:val="00141478"/>
    <w:rsid w:val="001439AD"/>
    <w:rsid w:val="0014485A"/>
    <w:rsid w:val="00145A6F"/>
    <w:rsid w:val="00172A27"/>
    <w:rsid w:val="00196F63"/>
    <w:rsid w:val="00197B9C"/>
    <w:rsid w:val="001D77B4"/>
    <w:rsid w:val="002447F0"/>
    <w:rsid w:val="0025401F"/>
    <w:rsid w:val="002606BB"/>
    <w:rsid w:val="0028333E"/>
    <w:rsid w:val="002A3259"/>
    <w:rsid w:val="002A7564"/>
    <w:rsid w:val="002B53B2"/>
    <w:rsid w:val="002C1EA0"/>
    <w:rsid w:val="002D2E39"/>
    <w:rsid w:val="002D6C10"/>
    <w:rsid w:val="002F600C"/>
    <w:rsid w:val="00305EF4"/>
    <w:rsid w:val="00316500"/>
    <w:rsid w:val="00322136"/>
    <w:rsid w:val="00334BC4"/>
    <w:rsid w:val="003A4544"/>
    <w:rsid w:val="003A55F9"/>
    <w:rsid w:val="003A705D"/>
    <w:rsid w:val="003C4435"/>
    <w:rsid w:val="003C7530"/>
    <w:rsid w:val="003E60B5"/>
    <w:rsid w:val="003E7B51"/>
    <w:rsid w:val="004039A0"/>
    <w:rsid w:val="004339CA"/>
    <w:rsid w:val="00452BF8"/>
    <w:rsid w:val="0049276B"/>
    <w:rsid w:val="004A008A"/>
    <w:rsid w:val="004B2341"/>
    <w:rsid w:val="004B3BDC"/>
    <w:rsid w:val="004C00A0"/>
    <w:rsid w:val="004C329A"/>
    <w:rsid w:val="004D0ABC"/>
    <w:rsid w:val="004D189D"/>
    <w:rsid w:val="004E32BE"/>
    <w:rsid w:val="004E57E2"/>
    <w:rsid w:val="005060F2"/>
    <w:rsid w:val="00512CCD"/>
    <w:rsid w:val="005173CA"/>
    <w:rsid w:val="0054483B"/>
    <w:rsid w:val="00544C3D"/>
    <w:rsid w:val="00557B54"/>
    <w:rsid w:val="005647F2"/>
    <w:rsid w:val="0057491F"/>
    <w:rsid w:val="00575BA0"/>
    <w:rsid w:val="005765F2"/>
    <w:rsid w:val="0058675D"/>
    <w:rsid w:val="005B4781"/>
    <w:rsid w:val="005C05FB"/>
    <w:rsid w:val="005C6B85"/>
    <w:rsid w:val="005D38DB"/>
    <w:rsid w:val="005E79AD"/>
    <w:rsid w:val="005E7A33"/>
    <w:rsid w:val="00605F83"/>
    <w:rsid w:val="006203AB"/>
    <w:rsid w:val="00623FFC"/>
    <w:rsid w:val="00645C31"/>
    <w:rsid w:val="00665BAE"/>
    <w:rsid w:val="006716B2"/>
    <w:rsid w:val="006C02A4"/>
    <w:rsid w:val="006C29EC"/>
    <w:rsid w:val="006E3956"/>
    <w:rsid w:val="006E3DEC"/>
    <w:rsid w:val="006E55EE"/>
    <w:rsid w:val="00712815"/>
    <w:rsid w:val="0072764E"/>
    <w:rsid w:val="00732A73"/>
    <w:rsid w:val="0076382D"/>
    <w:rsid w:val="00763FAE"/>
    <w:rsid w:val="00776422"/>
    <w:rsid w:val="00780C2C"/>
    <w:rsid w:val="007A2B20"/>
    <w:rsid w:val="007A49D6"/>
    <w:rsid w:val="007C41C0"/>
    <w:rsid w:val="007D1411"/>
    <w:rsid w:val="007E73DB"/>
    <w:rsid w:val="0080548B"/>
    <w:rsid w:val="00836A6F"/>
    <w:rsid w:val="00837D74"/>
    <w:rsid w:val="00841612"/>
    <w:rsid w:val="00866F98"/>
    <w:rsid w:val="00873B8B"/>
    <w:rsid w:val="008832FC"/>
    <w:rsid w:val="00886D19"/>
    <w:rsid w:val="008C3F3B"/>
    <w:rsid w:val="008E7FC6"/>
    <w:rsid w:val="00901AEC"/>
    <w:rsid w:val="00904850"/>
    <w:rsid w:val="009072EB"/>
    <w:rsid w:val="009521B5"/>
    <w:rsid w:val="009721D6"/>
    <w:rsid w:val="00980E1C"/>
    <w:rsid w:val="00984040"/>
    <w:rsid w:val="009A680C"/>
    <w:rsid w:val="009D3F33"/>
    <w:rsid w:val="00A37585"/>
    <w:rsid w:val="00A46323"/>
    <w:rsid w:val="00A533E1"/>
    <w:rsid w:val="00A71FA3"/>
    <w:rsid w:val="00A74C6D"/>
    <w:rsid w:val="00A90344"/>
    <w:rsid w:val="00AA6223"/>
    <w:rsid w:val="00AB1C9D"/>
    <w:rsid w:val="00AB2F3F"/>
    <w:rsid w:val="00AB6733"/>
    <w:rsid w:val="00AB706A"/>
    <w:rsid w:val="00AC1D3B"/>
    <w:rsid w:val="00AD0E8E"/>
    <w:rsid w:val="00AD39FA"/>
    <w:rsid w:val="00AF7D6F"/>
    <w:rsid w:val="00B11BF4"/>
    <w:rsid w:val="00B12C62"/>
    <w:rsid w:val="00B37F0E"/>
    <w:rsid w:val="00B40D53"/>
    <w:rsid w:val="00B574B5"/>
    <w:rsid w:val="00B60FF8"/>
    <w:rsid w:val="00B624BC"/>
    <w:rsid w:val="00B65B9C"/>
    <w:rsid w:val="00B74A33"/>
    <w:rsid w:val="00B769D1"/>
    <w:rsid w:val="00B76E23"/>
    <w:rsid w:val="00BA1705"/>
    <w:rsid w:val="00BE1F6F"/>
    <w:rsid w:val="00C04042"/>
    <w:rsid w:val="00C06036"/>
    <w:rsid w:val="00C06E5B"/>
    <w:rsid w:val="00C27B89"/>
    <w:rsid w:val="00C50386"/>
    <w:rsid w:val="00C57B61"/>
    <w:rsid w:val="00C922C1"/>
    <w:rsid w:val="00CB27F5"/>
    <w:rsid w:val="00D16CDC"/>
    <w:rsid w:val="00D17F3B"/>
    <w:rsid w:val="00D219D3"/>
    <w:rsid w:val="00D25FDB"/>
    <w:rsid w:val="00D410C8"/>
    <w:rsid w:val="00D5155A"/>
    <w:rsid w:val="00D53CB0"/>
    <w:rsid w:val="00D70953"/>
    <w:rsid w:val="00D876BD"/>
    <w:rsid w:val="00D91DAB"/>
    <w:rsid w:val="00DA2451"/>
    <w:rsid w:val="00DD5840"/>
    <w:rsid w:val="00DE28EC"/>
    <w:rsid w:val="00DF5E70"/>
    <w:rsid w:val="00E148B0"/>
    <w:rsid w:val="00E4514E"/>
    <w:rsid w:val="00E554F3"/>
    <w:rsid w:val="00E6365C"/>
    <w:rsid w:val="00E854CA"/>
    <w:rsid w:val="00E86A8E"/>
    <w:rsid w:val="00EB18E3"/>
    <w:rsid w:val="00EB37CF"/>
    <w:rsid w:val="00EF1AC0"/>
    <w:rsid w:val="00F01738"/>
    <w:rsid w:val="00F023F3"/>
    <w:rsid w:val="00F32E55"/>
    <w:rsid w:val="00F448F7"/>
    <w:rsid w:val="00F52ECF"/>
    <w:rsid w:val="00F73AA9"/>
    <w:rsid w:val="00F853C8"/>
    <w:rsid w:val="00FB1361"/>
    <w:rsid w:val="00FD7FA9"/>
    <w:rsid w:val="015E20B9"/>
    <w:rsid w:val="01AD2A03"/>
    <w:rsid w:val="036761A6"/>
    <w:rsid w:val="0378680B"/>
    <w:rsid w:val="03914DE2"/>
    <w:rsid w:val="03C738D7"/>
    <w:rsid w:val="04787DF4"/>
    <w:rsid w:val="04A06E22"/>
    <w:rsid w:val="04AB1DE0"/>
    <w:rsid w:val="05EA7957"/>
    <w:rsid w:val="06212CAB"/>
    <w:rsid w:val="068B33D0"/>
    <w:rsid w:val="08172AEC"/>
    <w:rsid w:val="0835276F"/>
    <w:rsid w:val="099D1EDE"/>
    <w:rsid w:val="0AF547C6"/>
    <w:rsid w:val="0B1B04CB"/>
    <w:rsid w:val="0B672B42"/>
    <w:rsid w:val="0B854468"/>
    <w:rsid w:val="0B9B6656"/>
    <w:rsid w:val="0BE77114"/>
    <w:rsid w:val="0C062F04"/>
    <w:rsid w:val="0C761A96"/>
    <w:rsid w:val="0C9C0616"/>
    <w:rsid w:val="0DA32C6D"/>
    <w:rsid w:val="0E0C0979"/>
    <w:rsid w:val="0E704651"/>
    <w:rsid w:val="0ECB7568"/>
    <w:rsid w:val="10800423"/>
    <w:rsid w:val="10B0706C"/>
    <w:rsid w:val="12170C5B"/>
    <w:rsid w:val="12316E5D"/>
    <w:rsid w:val="13224FB7"/>
    <w:rsid w:val="132A226C"/>
    <w:rsid w:val="139A32B7"/>
    <w:rsid w:val="144E09DA"/>
    <w:rsid w:val="14AE1BD5"/>
    <w:rsid w:val="14BB2217"/>
    <w:rsid w:val="14DA74C7"/>
    <w:rsid w:val="1515111C"/>
    <w:rsid w:val="151F161F"/>
    <w:rsid w:val="160E7F4B"/>
    <w:rsid w:val="16701D22"/>
    <w:rsid w:val="16AF4A7E"/>
    <w:rsid w:val="16C2339B"/>
    <w:rsid w:val="175233D3"/>
    <w:rsid w:val="18322A41"/>
    <w:rsid w:val="18EB4402"/>
    <w:rsid w:val="18F53B21"/>
    <w:rsid w:val="191236D6"/>
    <w:rsid w:val="19441A6D"/>
    <w:rsid w:val="19D27EBC"/>
    <w:rsid w:val="1A5B15D5"/>
    <w:rsid w:val="1A81240C"/>
    <w:rsid w:val="1B587D17"/>
    <w:rsid w:val="1CC06073"/>
    <w:rsid w:val="1CD06A24"/>
    <w:rsid w:val="1CDB6794"/>
    <w:rsid w:val="1D4E6BA1"/>
    <w:rsid w:val="1D734BCC"/>
    <w:rsid w:val="1DEC6A8C"/>
    <w:rsid w:val="1E1B62F5"/>
    <w:rsid w:val="1E4A1A84"/>
    <w:rsid w:val="1E5C1E2D"/>
    <w:rsid w:val="1ED90AFB"/>
    <w:rsid w:val="217D1DBD"/>
    <w:rsid w:val="221B654F"/>
    <w:rsid w:val="250D4F02"/>
    <w:rsid w:val="264F4369"/>
    <w:rsid w:val="273C6DC8"/>
    <w:rsid w:val="27DF1C1D"/>
    <w:rsid w:val="280C30E4"/>
    <w:rsid w:val="28575375"/>
    <w:rsid w:val="28E4408B"/>
    <w:rsid w:val="28E85D27"/>
    <w:rsid w:val="29677980"/>
    <w:rsid w:val="29C46D28"/>
    <w:rsid w:val="29CA4D29"/>
    <w:rsid w:val="29D66A8F"/>
    <w:rsid w:val="29FB4DC3"/>
    <w:rsid w:val="2A2875BA"/>
    <w:rsid w:val="2A415DDF"/>
    <w:rsid w:val="2AF336C8"/>
    <w:rsid w:val="2B221A87"/>
    <w:rsid w:val="2B58726F"/>
    <w:rsid w:val="2C692DB7"/>
    <w:rsid w:val="2DA43C91"/>
    <w:rsid w:val="2F007B7E"/>
    <w:rsid w:val="2F02672D"/>
    <w:rsid w:val="2F6D787A"/>
    <w:rsid w:val="2FE7422F"/>
    <w:rsid w:val="30AB5AAF"/>
    <w:rsid w:val="312F3A0E"/>
    <w:rsid w:val="328F509D"/>
    <w:rsid w:val="32B55510"/>
    <w:rsid w:val="32FE0237"/>
    <w:rsid w:val="333026CD"/>
    <w:rsid w:val="33D709D5"/>
    <w:rsid w:val="348B7B93"/>
    <w:rsid w:val="34B44DDE"/>
    <w:rsid w:val="34B97D51"/>
    <w:rsid w:val="350B742F"/>
    <w:rsid w:val="35587619"/>
    <w:rsid w:val="358D413F"/>
    <w:rsid w:val="375E3FE1"/>
    <w:rsid w:val="379D2F5B"/>
    <w:rsid w:val="37E7479F"/>
    <w:rsid w:val="383E18D9"/>
    <w:rsid w:val="38643511"/>
    <w:rsid w:val="38A92B70"/>
    <w:rsid w:val="398D2195"/>
    <w:rsid w:val="39A03D29"/>
    <w:rsid w:val="39F80923"/>
    <w:rsid w:val="3A415521"/>
    <w:rsid w:val="3ABA5CFF"/>
    <w:rsid w:val="3BBD5812"/>
    <w:rsid w:val="3C9B22CA"/>
    <w:rsid w:val="3D07744E"/>
    <w:rsid w:val="3E2D7164"/>
    <w:rsid w:val="410C4232"/>
    <w:rsid w:val="41397283"/>
    <w:rsid w:val="42176663"/>
    <w:rsid w:val="42D01B72"/>
    <w:rsid w:val="432002FB"/>
    <w:rsid w:val="43C92044"/>
    <w:rsid w:val="43D544E2"/>
    <w:rsid w:val="456035C3"/>
    <w:rsid w:val="458313BF"/>
    <w:rsid w:val="459A2DBA"/>
    <w:rsid w:val="45C060D2"/>
    <w:rsid w:val="46314CA8"/>
    <w:rsid w:val="4771005B"/>
    <w:rsid w:val="47EE5A8C"/>
    <w:rsid w:val="48561443"/>
    <w:rsid w:val="49AD1724"/>
    <w:rsid w:val="4A010161"/>
    <w:rsid w:val="4B186FF8"/>
    <w:rsid w:val="4B4D3B18"/>
    <w:rsid w:val="4B650584"/>
    <w:rsid w:val="4BFF7F9E"/>
    <w:rsid w:val="4C651E42"/>
    <w:rsid w:val="4C8B246A"/>
    <w:rsid w:val="4DA86574"/>
    <w:rsid w:val="4E1368CA"/>
    <w:rsid w:val="4EDA725C"/>
    <w:rsid w:val="4F6529CA"/>
    <w:rsid w:val="4F8E6612"/>
    <w:rsid w:val="4FFC254D"/>
    <w:rsid w:val="51A96C75"/>
    <w:rsid w:val="52AE00B6"/>
    <w:rsid w:val="53D64A13"/>
    <w:rsid w:val="54614F1D"/>
    <w:rsid w:val="552A59D6"/>
    <w:rsid w:val="55595BB2"/>
    <w:rsid w:val="557D2754"/>
    <w:rsid w:val="55A671AE"/>
    <w:rsid w:val="55B16AE7"/>
    <w:rsid w:val="5608544B"/>
    <w:rsid w:val="56B85220"/>
    <w:rsid w:val="579860F3"/>
    <w:rsid w:val="57DD62F1"/>
    <w:rsid w:val="58BB0C0B"/>
    <w:rsid w:val="59456704"/>
    <w:rsid w:val="5A156C12"/>
    <w:rsid w:val="5A777D7A"/>
    <w:rsid w:val="5A9E6392"/>
    <w:rsid w:val="5BDB7AE4"/>
    <w:rsid w:val="5D255D13"/>
    <w:rsid w:val="5D717AE3"/>
    <w:rsid w:val="5DAC403A"/>
    <w:rsid w:val="5E0F3530"/>
    <w:rsid w:val="5EA95766"/>
    <w:rsid w:val="5EAE0846"/>
    <w:rsid w:val="5F804137"/>
    <w:rsid w:val="61664F70"/>
    <w:rsid w:val="61AF1228"/>
    <w:rsid w:val="621635E7"/>
    <w:rsid w:val="621D41B6"/>
    <w:rsid w:val="628A16C1"/>
    <w:rsid w:val="63F309AE"/>
    <w:rsid w:val="64012005"/>
    <w:rsid w:val="649C1ECF"/>
    <w:rsid w:val="64E13704"/>
    <w:rsid w:val="6505489B"/>
    <w:rsid w:val="65801643"/>
    <w:rsid w:val="670C2D73"/>
    <w:rsid w:val="6763065A"/>
    <w:rsid w:val="676453F8"/>
    <w:rsid w:val="6764762E"/>
    <w:rsid w:val="67AC661C"/>
    <w:rsid w:val="67FD7051"/>
    <w:rsid w:val="69571A3E"/>
    <w:rsid w:val="69707E81"/>
    <w:rsid w:val="69C97595"/>
    <w:rsid w:val="6A9E5F94"/>
    <w:rsid w:val="6B6844EE"/>
    <w:rsid w:val="6BB57A58"/>
    <w:rsid w:val="6CC24FBA"/>
    <w:rsid w:val="6CCA2293"/>
    <w:rsid w:val="6D074CED"/>
    <w:rsid w:val="6D7F348C"/>
    <w:rsid w:val="6EB62F4B"/>
    <w:rsid w:val="6F200403"/>
    <w:rsid w:val="6F4C59A7"/>
    <w:rsid w:val="6FF30BB6"/>
    <w:rsid w:val="719C0F72"/>
    <w:rsid w:val="72CD3A3C"/>
    <w:rsid w:val="73016674"/>
    <w:rsid w:val="74240D16"/>
    <w:rsid w:val="74926042"/>
    <w:rsid w:val="754D69C1"/>
    <w:rsid w:val="75CC41D0"/>
    <w:rsid w:val="768E3394"/>
    <w:rsid w:val="76B84BC5"/>
    <w:rsid w:val="76C543E8"/>
    <w:rsid w:val="776E1C43"/>
    <w:rsid w:val="77C16E82"/>
    <w:rsid w:val="78A91184"/>
    <w:rsid w:val="78C94F5E"/>
    <w:rsid w:val="78E410FA"/>
    <w:rsid w:val="791B1E36"/>
    <w:rsid w:val="795766F4"/>
    <w:rsid w:val="7A763F3A"/>
    <w:rsid w:val="7AF86AA8"/>
    <w:rsid w:val="7C0179EE"/>
    <w:rsid w:val="7C4B4E4D"/>
    <w:rsid w:val="7DC5757F"/>
    <w:rsid w:val="7DC65828"/>
    <w:rsid w:val="7E277888"/>
    <w:rsid w:val="7E44714F"/>
    <w:rsid w:val="7EBC1F79"/>
    <w:rsid w:val="7ED918AA"/>
    <w:rsid w:val="7EE74239"/>
    <w:rsid w:val="7F300595"/>
    <w:rsid w:val="7FF9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uiPriority="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rFonts w:ascii="宋体" w:hAnsi="宋体" w:hint="eastAsia"/>
      <w:kern w:val="2"/>
      <w:sz w:val="21"/>
      <w:szCs w:val="21"/>
    </w:rPr>
  </w:style>
  <w:style w:type="paragraph" w:styleId="1">
    <w:name w:val="heading 1"/>
    <w:basedOn w:val="aff2"/>
    <w:next w:val="aff2"/>
    <w:qFormat/>
    <w:pPr>
      <w:keepNext/>
      <w:numPr>
        <w:numId w:val="1"/>
      </w:numPr>
      <w:tabs>
        <w:tab w:val="left" w:pos="425"/>
        <w:tab w:val="left" w:pos="4875"/>
      </w:tabs>
      <w:jc w:val="left"/>
      <w:outlineLvl w:val="0"/>
    </w:pPr>
    <w:rPr>
      <w:b/>
      <w:sz w:val="28"/>
    </w:rPr>
  </w:style>
  <w:style w:type="paragraph" w:styleId="2">
    <w:name w:val="heading 2"/>
    <w:basedOn w:val="aff2"/>
    <w:next w:val="aff2"/>
    <w:qFormat/>
    <w:pPr>
      <w:keepNext/>
      <w:keepLines/>
      <w:tabs>
        <w:tab w:val="left" w:pos="0"/>
        <w:tab w:val="left" w:pos="308"/>
      </w:tabs>
      <w:adjustRightInd w:val="0"/>
      <w:jc w:val="left"/>
      <w:outlineLvl w:val="1"/>
    </w:pPr>
    <w:rPr>
      <w:rFonts w:ascii="Arial" w:hAnsi="Arial"/>
      <w:sz w:val="24"/>
    </w:rPr>
  </w:style>
  <w:style w:type="paragraph" w:styleId="3">
    <w:name w:val="heading 3"/>
    <w:basedOn w:val="aff2"/>
    <w:next w:val="aff2"/>
    <w:qFormat/>
    <w:pPr>
      <w:keepNext/>
      <w:keepLines/>
      <w:numPr>
        <w:numId w:val="2"/>
      </w:numPr>
      <w:tabs>
        <w:tab w:val="left" w:pos="1300"/>
      </w:tabs>
      <w:outlineLvl w:val="2"/>
    </w:pPr>
  </w:style>
  <w:style w:type="paragraph" w:styleId="4">
    <w:name w:val="heading 4"/>
    <w:basedOn w:val="aff2"/>
    <w:next w:val="aff2"/>
    <w:qFormat/>
    <w:pPr>
      <w:keepNext/>
      <w:keepLines/>
      <w:numPr>
        <w:ilvl w:val="3"/>
        <w:numId w:val="3"/>
      </w:numPr>
      <w:tabs>
        <w:tab w:val="left" w:pos="864"/>
        <w:tab w:val="left" w:pos="1680"/>
      </w:tabs>
      <w:outlineLvl w:val="3"/>
    </w:pPr>
    <w:rPr>
      <w:rFonts w:ascii="Arial" w:hAnsi="Arial"/>
    </w:rPr>
  </w:style>
  <w:style w:type="paragraph" w:styleId="6">
    <w:name w:val="heading 6"/>
    <w:basedOn w:val="aff2"/>
    <w:next w:val="aff2"/>
    <w:uiPriority w:val="1"/>
    <w:qFormat/>
    <w:pPr>
      <w:ind w:left="328"/>
      <w:outlineLvl w:val="5"/>
    </w:pPr>
    <w:rPr>
      <w:rFonts w:ascii="Cambria" w:eastAsia="Cambria" w:hAnsi="Cambria" w:cs="Cambria"/>
      <w:b/>
      <w:bCs/>
      <w:sz w:val="20"/>
      <w:szCs w:val="20"/>
      <w:lang w:eastAsia="en-US" w:bidi="en-US"/>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qFormat/>
    <w:pPr>
      <w:tabs>
        <w:tab w:val="right" w:leader="dot" w:pos="9242"/>
      </w:tabs>
      <w:ind w:firstLineChars="500" w:firstLine="1600"/>
      <w:jc w:val="left"/>
    </w:p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qFormat/>
    <w:pPr>
      <w:shd w:val="clear" w:color="auto" w:fill="000080"/>
    </w:pPr>
  </w:style>
  <w:style w:type="paragraph" w:styleId="aff8">
    <w:name w:val="annotation text"/>
    <w:basedOn w:val="aff2"/>
    <w:link w:val="Char"/>
    <w:qFormat/>
    <w:pPr>
      <w:jc w:val="left"/>
    </w:pPr>
  </w:style>
  <w:style w:type="paragraph" w:styleId="60">
    <w:name w:val="index 6"/>
    <w:basedOn w:val="aff2"/>
    <w:next w:val="aff2"/>
    <w:qFormat/>
    <w:pPr>
      <w:ind w:left="1260" w:hanging="210"/>
      <w:jc w:val="left"/>
    </w:pPr>
    <w:rPr>
      <w:rFonts w:ascii="Calibri" w:hAnsi="Calibri"/>
      <w:sz w:val="20"/>
      <w:szCs w:val="20"/>
    </w:rPr>
  </w:style>
  <w:style w:type="paragraph" w:styleId="aff9">
    <w:name w:val="Body Text"/>
    <w:basedOn w:val="aff2"/>
    <w:uiPriority w:val="1"/>
    <w:qFormat/>
    <w:rPr>
      <w:rFonts w:ascii="Cambria" w:eastAsia="Cambria" w:hAnsi="Cambria" w:cs="Cambria"/>
      <w:sz w:val="20"/>
      <w:szCs w:val="20"/>
      <w:lang w:eastAsia="en-US" w:bidi="en-US"/>
    </w:rPr>
  </w:style>
  <w:style w:type="paragraph" w:styleId="40">
    <w:name w:val="index 4"/>
    <w:basedOn w:val="aff2"/>
    <w:next w:val="aff2"/>
    <w:qFormat/>
    <w:pPr>
      <w:ind w:left="840" w:hanging="210"/>
      <w:jc w:val="left"/>
    </w:pPr>
    <w:rPr>
      <w:rFonts w:ascii="Calibri" w:hAnsi="Calibri"/>
      <w:sz w:val="20"/>
      <w:szCs w:val="20"/>
    </w:rPr>
  </w:style>
  <w:style w:type="paragraph" w:styleId="50">
    <w:name w:val="toc 5"/>
    <w:basedOn w:val="aff2"/>
    <w:next w:val="aff2"/>
    <w:qFormat/>
    <w:pPr>
      <w:tabs>
        <w:tab w:val="right" w:leader="dot" w:pos="9242"/>
      </w:tabs>
      <w:ind w:firstLineChars="300" w:firstLine="960"/>
      <w:jc w:val="left"/>
    </w:pPr>
  </w:style>
  <w:style w:type="paragraph" w:styleId="30">
    <w:name w:val="toc 3"/>
    <w:basedOn w:val="aff2"/>
    <w:next w:val="aff2"/>
    <w:qFormat/>
    <w:pPr>
      <w:tabs>
        <w:tab w:val="right" w:leader="dot" w:pos="9242"/>
      </w:tabs>
      <w:ind w:firstLineChars="100" w:firstLine="320"/>
      <w:jc w:val="left"/>
    </w:pPr>
  </w:style>
  <w:style w:type="paragraph" w:styleId="80">
    <w:name w:val="toc 8"/>
    <w:basedOn w:val="aff2"/>
    <w:next w:val="aff2"/>
    <w:qFormat/>
    <w:pPr>
      <w:tabs>
        <w:tab w:val="right" w:leader="dot" w:pos="9242"/>
      </w:tabs>
      <w:ind w:firstLineChars="600" w:firstLine="1920"/>
      <w:jc w:val="left"/>
    </w:pPr>
  </w:style>
  <w:style w:type="paragraph" w:styleId="31">
    <w:name w:val="index 3"/>
    <w:basedOn w:val="aff2"/>
    <w:next w:val="aff2"/>
    <w:qFormat/>
    <w:pPr>
      <w:ind w:left="630" w:hanging="210"/>
      <w:jc w:val="left"/>
    </w:pPr>
    <w:rPr>
      <w:rFonts w:ascii="Calibri" w:hAnsi="Calibri"/>
      <w:sz w:val="20"/>
      <w:szCs w:val="20"/>
    </w:rPr>
  </w:style>
  <w:style w:type="paragraph" w:styleId="affa">
    <w:name w:val="endnote text"/>
    <w:basedOn w:val="aff2"/>
    <w:qFormat/>
    <w:pPr>
      <w:snapToGrid w:val="0"/>
      <w:jc w:val="left"/>
    </w:pPr>
  </w:style>
  <w:style w:type="paragraph" w:styleId="affb">
    <w:name w:val="Balloon Text"/>
    <w:basedOn w:val="aff2"/>
    <w:link w:val="Char0"/>
    <w:qFormat/>
    <w:rPr>
      <w:sz w:val="18"/>
      <w:szCs w:val="18"/>
    </w:rPr>
  </w:style>
  <w:style w:type="paragraph" w:styleId="affc">
    <w:name w:val="footer"/>
    <w:basedOn w:val="aff2"/>
    <w:qFormat/>
    <w:pPr>
      <w:snapToGrid w:val="0"/>
      <w:ind w:rightChars="100" w:right="100"/>
      <w:jc w:val="right"/>
    </w:pPr>
    <w:rPr>
      <w:sz w:val="18"/>
      <w:szCs w:val="18"/>
    </w:rPr>
  </w:style>
  <w:style w:type="paragraph" w:styleId="affd">
    <w:name w:val="header"/>
    <w:basedOn w:val="aff2"/>
    <w:qFormat/>
    <w:pPr>
      <w:snapToGrid w:val="0"/>
      <w:jc w:val="left"/>
    </w:pPr>
    <w:rPr>
      <w:sz w:val="18"/>
      <w:szCs w:val="18"/>
    </w:rPr>
  </w:style>
  <w:style w:type="paragraph" w:styleId="10">
    <w:name w:val="toc 1"/>
    <w:basedOn w:val="aff2"/>
    <w:next w:val="aff2"/>
    <w:qFormat/>
    <w:pPr>
      <w:tabs>
        <w:tab w:val="right" w:leader="dot" w:pos="9242"/>
      </w:tabs>
      <w:spacing w:beforeLines="25" w:before="79" w:afterLines="25" w:after="79"/>
      <w:jc w:val="left"/>
    </w:pPr>
  </w:style>
  <w:style w:type="paragraph" w:styleId="41">
    <w:name w:val="toc 4"/>
    <w:basedOn w:val="aff2"/>
    <w:next w:val="aff2"/>
    <w:qFormat/>
    <w:pPr>
      <w:tabs>
        <w:tab w:val="right" w:leader="dot" w:pos="9242"/>
      </w:tabs>
      <w:ind w:firstLineChars="200" w:firstLine="640"/>
      <w:jc w:val="left"/>
    </w:pPr>
  </w:style>
  <w:style w:type="paragraph" w:styleId="affe">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f"/>
    <w:qFormat/>
    <w:pPr>
      <w:tabs>
        <w:tab w:val="right" w:leader="dot" w:pos="9299"/>
      </w:tabs>
      <w:jc w:val="left"/>
    </w:pPr>
  </w:style>
  <w:style w:type="paragraph" w:customStyle="1" w:styleId="afff">
    <w:name w:val="段"/>
    <w:qFormat/>
    <w:pPr>
      <w:tabs>
        <w:tab w:val="center" w:pos="4201"/>
        <w:tab w:val="right" w:leader="dot" w:pos="9298"/>
      </w:tabs>
      <w:autoSpaceDE w:val="0"/>
      <w:autoSpaceDN w:val="0"/>
      <w:ind w:firstLineChars="200" w:firstLine="200"/>
      <w:jc w:val="both"/>
    </w:pPr>
    <w:rPr>
      <w:rFonts w:ascii="宋体"/>
      <w:sz w:val="21"/>
    </w:rPr>
  </w:style>
  <w:style w:type="paragraph" w:styleId="af1">
    <w:name w:val="footnote text"/>
    <w:basedOn w:val="aff2"/>
    <w:qFormat/>
    <w:pPr>
      <w:numPr>
        <w:numId w:val="4"/>
      </w:numPr>
      <w:snapToGrid w:val="0"/>
      <w:jc w:val="left"/>
    </w:pPr>
    <w:rPr>
      <w:sz w:val="18"/>
      <w:szCs w:val="18"/>
    </w:rPr>
  </w:style>
  <w:style w:type="paragraph" w:styleId="61">
    <w:name w:val="toc 6"/>
    <w:basedOn w:val="aff2"/>
    <w:next w:val="aff2"/>
    <w:qFormat/>
    <w:pPr>
      <w:tabs>
        <w:tab w:val="right" w:leader="dot" w:pos="9242"/>
      </w:tabs>
      <w:ind w:firstLineChars="400" w:firstLine="1280"/>
      <w:jc w:val="left"/>
    </w:p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0">
    <w:name w:val="toc 2"/>
    <w:basedOn w:val="aff2"/>
    <w:next w:val="aff2"/>
    <w:qFormat/>
    <w:pPr>
      <w:tabs>
        <w:tab w:val="right" w:leader="dot" w:pos="9242"/>
      </w:tabs>
    </w:pPr>
  </w:style>
  <w:style w:type="paragraph" w:styleId="90">
    <w:name w:val="toc 9"/>
    <w:basedOn w:val="aff2"/>
    <w:next w:val="aff2"/>
    <w:qFormat/>
    <w:pPr>
      <w:ind w:left="1470"/>
      <w:jc w:val="left"/>
    </w:pPr>
    <w:rPr>
      <w:sz w:val="20"/>
      <w:szCs w:val="20"/>
    </w:rPr>
  </w:style>
  <w:style w:type="paragraph" w:styleId="HTML">
    <w:name w:val="HTML Preformatted"/>
    <w:basedOn w:val="aff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szCs w:val="24"/>
    </w:rPr>
  </w:style>
  <w:style w:type="paragraph" w:styleId="afff0">
    <w:name w:val="Normal (Web)"/>
    <w:basedOn w:val="aff2"/>
    <w:qFormat/>
    <w:pPr>
      <w:spacing w:beforeAutospacing="1" w:afterAutospacing="1"/>
      <w:jc w:val="left"/>
    </w:pPr>
    <w:rPr>
      <w:kern w:val="0"/>
      <w:sz w:val="24"/>
    </w:rPr>
  </w:style>
  <w:style w:type="paragraph" w:styleId="21">
    <w:name w:val="index 2"/>
    <w:basedOn w:val="aff2"/>
    <w:next w:val="aff2"/>
    <w:qFormat/>
    <w:pPr>
      <w:ind w:left="420" w:hanging="210"/>
      <w:jc w:val="left"/>
    </w:pPr>
    <w:rPr>
      <w:rFonts w:ascii="Calibri" w:hAnsi="Calibri"/>
      <w:sz w:val="20"/>
      <w:szCs w:val="20"/>
    </w:rPr>
  </w:style>
  <w:style w:type="paragraph" w:styleId="afff1">
    <w:name w:val="annotation subject"/>
    <w:basedOn w:val="aff8"/>
    <w:next w:val="aff8"/>
    <w:link w:val="Char1"/>
    <w:qFormat/>
    <w:rPr>
      <w:b/>
      <w:bCs/>
    </w:rPr>
  </w:style>
  <w:style w:type="character" w:styleId="afff2">
    <w:name w:val="Strong"/>
    <w:basedOn w:val="aff3"/>
    <w:qFormat/>
    <w:rPr>
      <w:b/>
    </w:rPr>
  </w:style>
  <w:style w:type="character" w:styleId="afff3">
    <w:name w:val="endnote reference"/>
    <w:basedOn w:val="aff3"/>
    <w:qFormat/>
    <w:rPr>
      <w:vertAlign w:val="superscript"/>
    </w:rPr>
  </w:style>
  <w:style w:type="character" w:styleId="afff4">
    <w:name w:val="page number"/>
    <w:basedOn w:val="aff3"/>
    <w:qFormat/>
    <w:rPr>
      <w:rFonts w:ascii="Times New Roman" w:eastAsia="宋体" w:hAnsi="Times New Roman"/>
      <w:sz w:val="18"/>
    </w:rPr>
  </w:style>
  <w:style w:type="character" w:styleId="afff5">
    <w:name w:val="FollowedHyperlink"/>
    <w:basedOn w:val="aff3"/>
    <w:qFormat/>
    <w:rPr>
      <w:color w:val="800080"/>
      <w:u w:val="single"/>
    </w:rPr>
  </w:style>
  <w:style w:type="character" w:styleId="afff6">
    <w:name w:val="Hyperlink"/>
    <w:basedOn w:val="aff3"/>
    <w:qFormat/>
    <w:rPr>
      <w:color w:val="0000FF"/>
      <w:spacing w:val="0"/>
      <w:w w:val="100"/>
      <w:szCs w:val="21"/>
      <w:u w:val="single"/>
      <w:lang w:val="zh-CN" w:eastAsia="zh-CN"/>
    </w:rPr>
  </w:style>
  <w:style w:type="character" w:styleId="afff7">
    <w:name w:val="annotation reference"/>
    <w:basedOn w:val="aff3"/>
    <w:qFormat/>
    <w:rPr>
      <w:sz w:val="21"/>
      <w:szCs w:val="21"/>
    </w:rPr>
  </w:style>
  <w:style w:type="character" w:styleId="afff8">
    <w:name w:val="footnote reference"/>
    <w:basedOn w:val="aff3"/>
    <w:qFormat/>
    <w:rPr>
      <w:vertAlign w:val="superscript"/>
    </w:rPr>
  </w:style>
  <w:style w:type="paragraph" w:customStyle="1" w:styleId="a2">
    <w:name w:val="二级条标题（宋体）"/>
    <w:basedOn w:val="a1"/>
    <w:next w:val="afff"/>
    <w:qFormat/>
    <w:pPr>
      <w:numPr>
        <w:ilvl w:val="2"/>
      </w:numPr>
      <w:tabs>
        <w:tab w:val="left" w:pos="993"/>
      </w:tabs>
      <w:spacing w:beforeLines="0" w:afterLines="0"/>
      <w:outlineLvl w:val="3"/>
    </w:pPr>
    <w:rPr>
      <w:rFonts w:eastAsia="宋体" w:hAnsi="黑体"/>
    </w:rPr>
  </w:style>
  <w:style w:type="paragraph" w:customStyle="1" w:styleId="a1">
    <w:name w:val="一级条标题"/>
    <w:next w:val="afff"/>
    <w:qFormat/>
    <w:pPr>
      <w:numPr>
        <w:ilvl w:val="1"/>
        <w:numId w:val="5"/>
      </w:numPr>
      <w:spacing w:beforeLines="50" w:before="50" w:afterLines="50" w:after="50"/>
      <w:outlineLvl w:val="2"/>
    </w:pPr>
    <w:rPr>
      <w:rFonts w:ascii="黑体" w:eastAsia="黑体"/>
      <w:sz w:val="21"/>
      <w:szCs w:val="21"/>
    </w:rPr>
  </w:style>
  <w:style w:type="paragraph" w:customStyle="1" w:styleId="a0">
    <w:name w:val="章标题"/>
    <w:next w:val="afff"/>
    <w:qFormat/>
    <w:pPr>
      <w:numPr>
        <w:numId w:val="5"/>
      </w:numPr>
      <w:spacing w:beforeLines="100" w:before="100" w:afterLines="100" w:after="100"/>
      <w:jc w:val="both"/>
      <w:outlineLvl w:val="1"/>
    </w:pPr>
    <w:rPr>
      <w:rFonts w:ascii="黑体" w:eastAsia="黑体"/>
      <w:sz w:val="21"/>
    </w:rPr>
  </w:style>
  <w:style w:type="paragraph" w:customStyle="1" w:styleId="a3">
    <w:name w:val="三级条标题"/>
    <w:basedOn w:val="a2"/>
    <w:next w:val="afff"/>
    <w:qFormat/>
    <w:pPr>
      <w:numPr>
        <w:ilvl w:val="3"/>
      </w:numPr>
      <w:outlineLvl w:val="4"/>
    </w:pPr>
  </w:style>
  <w:style w:type="paragraph" w:customStyle="1" w:styleId="a4">
    <w:name w:val="四级条标题"/>
    <w:basedOn w:val="a3"/>
    <w:next w:val="afff"/>
    <w:qFormat/>
    <w:pPr>
      <w:numPr>
        <w:ilvl w:val="4"/>
      </w:numPr>
      <w:outlineLvl w:val="5"/>
    </w:pPr>
  </w:style>
  <w:style w:type="paragraph" w:customStyle="1" w:styleId="a5">
    <w:name w:val="五级条标题"/>
    <w:basedOn w:val="a4"/>
    <w:next w:val="afff"/>
    <w:qFormat/>
    <w:pPr>
      <w:numPr>
        <w:ilvl w:val="5"/>
      </w:numPr>
      <w:outlineLvl w:val="6"/>
    </w:pPr>
  </w:style>
  <w:style w:type="paragraph" w:customStyle="1" w:styleId="afff9">
    <w:name w:val="图标脚注说明"/>
    <w:basedOn w:val="afff"/>
    <w:qFormat/>
    <w:pPr>
      <w:ind w:left="840" w:firstLineChars="0" w:hanging="420"/>
    </w:pPr>
    <w:rPr>
      <w:sz w:val="18"/>
      <w:szCs w:val="18"/>
    </w:rPr>
  </w:style>
  <w:style w:type="paragraph" w:customStyle="1" w:styleId="afb">
    <w:name w:val="编号列项（三级）"/>
    <w:link w:val="Char2"/>
    <w:qFormat/>
    <w:pPr>
      <w:numPr>
        <w:ilvl w:val="2"/>
        <w:numId w:val="6"/>
      </w:numPr>
    </w:pPr>
    <w:rPr>
      <w:rFonts w:ascii="宋体"/>
      <w:sz w:val="21"/>
    </w:rPr>
  </w:style>
  <w:style w:type="paragraph" w:customStyle="1" w:styleId="afffa">
    <w:name w:val="发布日期"/>
    <w:qFormat/>
    <w:pPr>
      <w:framePr w:w="3997" w:h="471" w:hRule="exact" w:vSpace="181" w:wrap="around" w:hAnchor="page" w:x="7089" w:y="14097" w:anchorLock="1"/>
    </w:pPr>
    <w:rPr>
      <w:rFonts w:eastAsia="黑体"/>
      <w:sz w:val="28"/>
    </w:rPr>
  </w:style>
  <w:style w:type="paragraph" w:customStyle="1" w:styleId="af9">
    <w:name w:val="字母编号列项（一级）"/>
    <w:qFormat/>
    <w:pPr>
      <w:numPr>
        <w:numId w:val="6"/>
      </w:numPr>
      <w:tabs>
        <w:tab w:val="left" w:pos="840"/>
      </w:tabs>
      <w:jc w:val="both"/>
    </w:pPr>
    <w:rPr>
      <w:rFonts w:ascii="宋体"/>
      <w:sz w:val="21"/>
    </w:rPr>
  </w:style>
  <w:style w:type="paragraph" w:customStyle="1" w:styleId="afffb">
    <w:name w:val="示例内容"/>
    <w:qFormat/>
    <w:pPr>
      <w:ind w:firstLineChars="200" w:firstLine="200"/>
    </w:pPr>
    <w:rPr>
      <w:rFonts w:ascii="宋体"/>
      <w:sz w:val="18"/>
      <w:szCs w:val="18"/>
    </w:rPr>
  </w:style>
  <w:style w:type="paragraph" w:customStyle="1" w:styleId="afffc">
    <w:name w:val="发布部门"/>
    <w:next w:val="aff2"/>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d">
    <w:name w:val="其他发布部门"/>
    <w:basedOn w:val="afffc"/>
    <w:qFormat/>
    <w:pPr>
      <w:framePr w:wrap="around" w:y="15310"/>
      <w:spacing w:line="0" w:lineRule="atLeast"/>
    </w:pPr>
    <w:rPr>
      <w:rFonts w:ascii="黑体" w:eastAsia="黑体"/>
      <w:b w:val="0"/>
    </w:rPr>
  </w:style>
  <w:style w:type="paragraph" w:customStyle="1" w:styleId="afffe">
    <w:name w:val="前言、引言标题"/>
    <w:next w:val="afff"/>
    <w:qFormat/>
    <w:pPr>
      <w:keepNext/>
      <w:pageBreakBefore/>
      <w:shd w:val="clear" w:color="FFFFFF" w:fill="FFFFFF"/>
      <w:spacing w:before="640" w:after="560"/>
      <w:jc w:val="center"/>
      <w:outlineLvl w:val="0"/>
    </w:pPr>
    <w:rPr>
      <w:rFonts w:ascii="黑体" w:eastAsia="黑体"/>
      <w:sz w:val="32"/>
    </w:rPr>
  </w:style>
  <w:style w:type="paragraph" w:customStyle="1" w:styleId="affff">
    <w:name w:val="参考文献、索引标题"/>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
    <w:name w:val="附录字母编号列项（一级）"/>
    <w:qFormat/>
    <w:pPr>
      <w:numPr>
        <w:numId w:val="7"/>
      </w:numPr>
      <w:tabs>
        <w:tab w:val="left" w:pos="839"/>
      </w:tabs>
    </w:pPr>
    <w:rPr>
      <w:rFonts w:ascii="宋体"/>
      <w:sz w:val="21"/>
    </w:rPr>
  </w:style>
  <w:style w:type="paragraph" w:customStyle="1" w:styleId="affff0">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7">
    <w:name w:val="注："/>
    <w:next w:val="afff"/>
    <w:qFormat/>
    <w:pPr>
      <w:widowControl w:val="0"/>
      <w:numPr>
        <w:numId w:val="8"/>
      </w:numPr>
      <w:autoSpaceDE w:val="0"/>
      <w:autoSpaceDN w:val="0"/>
      <w:jc w:val="both"/>
    </w:pPr>
    <w:rPr>
      <w:rFonts w:ascii="宋体"/>
      <w:sz w:val="18"/>
      <w:szCs w:val="18"/>
    </w:rPr>
  </w:style>
  <w:style w:type="paragraph" w:customStyle="1" w:styleId="affff1">
    <w:name w:val="注：（正文）"/>
    <w:basedOn w:val="af7"/>
    <w:next w:val="afff"/>
    <w:qFormat/>
  </w:style>
  <w:style w:type="paragraph" w:customStyle="1" w:styleId="affff2">
    <w:name w:val="列项说明"/>
    <w:basedOn w:val="aff2"/>
    <w:qFormat/>
    <w:pPr>
      <w:adjustRightInd w:val="0"/>
      <w:spacing w:line="320" w:lineRule="exact"/>
      <w:ind w:leftChars="200" w:left="400" w:hangingChars="200" w:hanging="200"/>
      <w:jc w:val="left"/>
      <w:textAlignment w:val="baseline"/>
    </w:pPr>
    <w:rPr>
      <w:kern w:val="0"/>
      <w:szCs w:val="20"/>
    </w:rPr>
  </w:style>
  <w:style w:type="paragraph" w:customStyle="1" w:styleId="affff3">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9">
    <w:name w:val="附录二级条标题"/>
    <w:basedOn w:val="aff2"/>
    <w:next w:val="afff"/>
    <w:qFormat/>
    <w:pPr>
      <w:widowControl/>
      <w:numPr>
        <w:ilvl w:val="3"/>
        <w:numId w:val="9"/>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a">
    <w:name w:val="附录三级条标题"/>
    <w:basedOn w:val="a9"/>
    <w:next w:val="afff"/>
    <w:qFormat/>
    <w:pPr>
      <w:numPr>
        <w:ilvl w:val="4"/>
      </w:numPr>
      <w:outlineLvl w:val="4"/>
    </w:pPr>
  </w:style>
  <w:style w:type="paragraph" w:customStyle="1" w:styleId="ab">
    <w:name w:val="附录四级条标题"/>
    <w:basedOn w:val="aa"/>
    <w:next w:val="afff"/>
    <w:qFormat/>
    <w:pPr>
      <w:numPr>
        <w:ilvl w:val="5"/>
      </w:numPr>
      <w:outlineLvl w:val="5"/>
    </w:pPr>
  </w:style>
  <w:style w:type="paragraph" w:customStyle="1" w:styleId="affff5">
    <w:name w:val="标准书脚_偶数页"/>
    <w:qFormat/>
    <w:pPr>
      <w:spacing w:before="120"/>
      <w:ind w:left="221"/>
    </w:pPr>
    <w:rPr>
      <w:rFonts w:ascii="宋体"/>
      <w:sz w:val="18"/>
      <w:szCs w:val="18"/>
    </w:rPr>
  </w:style>
  <w:style w:type="paragraph" w:customStyle="1" w:styleId="af4">
    <w:name w:val="列项——（一级）"/>
    <w:qFormat/>
    <w:pPr>
      <w:widowControl w:val="0"/>
      <w:numPr>
        <w:numId w:val="10"/>
      </w:numPr>
      <w:jc w:val="both"/>
    </w:pPr>
    <w:rPr>
      <w:rFonts w:ascii="宋体"/>
      <w:sz w:val="21"/>
    </w:rPr>
  </w:style>
  <w:style w:type="paragraph" w:customStyle="1" w:styleId="afe">
    <w:name w:val="正文表标题"/>
    <w:next w:val="afff"/>
    <w:qFormat/>
    <w:pPr>
      <w:numPr>
        <w:numId w:val="11"/>
      </w:numPr>
      <w:tabs>
        <w:tab w:val="left" w:pos="360"/>
      </w:tabs>
      <w:spacing w:beforeLines="50" w:before="50" w:afterLines="50" w:after="50"/>
      <w:jc w:val="center"/>
    </w:pPr>
    <w:rPr>
      <w:rFonts w:ascii="黑体" w:eastAsia="黑体"/>
      <w:sz w:val="21"/>
    </w:rPr>
  </w:style>
  <w:style w:type="paragraph" w:customStyle="1" w:styleId="affff6">
    <w:name w:val="五级无"/>
    <w:basedOn w:val="a5"/>
    <w:qFormat/>
    <w:pPr>
      <w:spacing w:before="0" w:after="0"/>
    </w:pPr>
    <w:rPr>
      <w:rFonts w:ascii="宋体"/>
    </w:rPr>
  </w:style>
  <w:style w:type="paragraph" w:customStyle="1" w:styleId="af">
    <w:name w:val="示例"/>
    <w:next w:val="afffb"/>
    <w:qFormat/>
    <w:pPr>
      <w:widowControl w:val="0"/>
      <w:numPr>
        <w:numId w:val="12"/>
      </w:numPr>
      <w:jc w:val="both"/>
    </w:pPr>
    <w:rPr>
      <w:rFonts w:ascii="宋体"/>
      <w:sz w:val="18"/>
      <w:szCs w:val="18"/>
    </w:rPr>
  </w:style>
  <w:style w:type="paragraph" w:customStyle="1" w:styleId="affff7">
    <w:name w:val="标准书脚_奇数页"/>
    <w:qFormat/>
    <w:pPr>
      <w:spacing w:before="120"/>
      <w:ind w:right="198"/>
      <w:jc w:val="right"/>
    </w:pPr>
    <w:rPr>
      <w:rFonts w:ascii="宋体"/>
      <w:sz w:val="18"/>
      <w:szCs w:val="18"/>
    </w:rPr>
  </w:style>
  <w:style w:type="paragraph" w:customStyle="1" w:styleId="affff8">
    <w:name w:val="附录三级无"/>
    <w:basedOn w:val="aa"/>
    <w:qFormat/>
    <w:pPr>
      <w:tabs>
        <w:tab w:val="clear" w:pos="360"/>
      </w:tabs>
      <w:spacing w:beforeLines="0" w:before="0" w:afterLines="0" w:after="0"/>
    </w:pPr>
    <w:rPr>
      <w:rFonts w:ascii="宋体" w:eastAsia="宋体"/>
      <w:szCs w:val="21"/>
    </w:rPr>
  </w:style>
  <w:style w:type="paragraph" w:customStyle="1" w:styleId="affff9">
    <w:name w:val="封面标准英文名称"/>
    <w:basedOn w:val="affff4"/>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22">
    <w:name w:val="封面一致性程度标识2"/>
    <w:basedOn w:val="affffa"/>
    <w:qFormat/>
    <w:pPr>
      <w:framePr w:wrap="around" w:y="4469"/>
    </w:pPr>
  </w:style>
  <w:style w:type="paragraph" w:customStyle="1" w:styleId="afd">
    <w:name w:val="附录表标题"/>
    <w:basedOn w:val="aff2"/>
    <w:next w:val="afff"/>
    <w:qFormat/>
    <w:pPr>
      <w:numPr>
        <w:ilvl w:val="1"/>
        <w:numId w:val="13"/>
      </w:numPr>
      <w:tabs>
        <w:tab w:val="left" w:pos="180"/>
      </w:tabs>
      <w:spacing w:beforeLines="50" w:before="50" w:afterLines="50" w:after="50"/>
      <w:ind w:left="0" w:firstLine="0"/>
      <w:jc w:val="center"/>
    </w:pPr>
    <w:rPr>
      <w:rFonts w:ascii="黑体" w:eastAsia="黑体"/>
    </w:rPr>
  </w:style>
  <w:style w:type="paragraph" w:customStyle="1" w:styleId="a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c">
    <w:name w:val="实施日期"/>
    <w:basedOn w:val="afffa"/>
    <w:qFormat/>
    <w:pPr>
      <w:framePr w:wrap="around" w:vAnchor="page" w:hAnchor="text"/>
      <w:jc w:val="right"/>
    </w:pPr>
  </w:style>
  <w:style w:type="paragraph" w:customStyle="1" w:styleId="aff1">
    <w:name w:val="正文图标题"/>
    <w:next w:val="afff"/>
    <w:qFormat/>
    <w:pPr>
      <w:numPr>
        <w:numId w:val="14"/>
      </w:numPr>
      <w:tabs>
        <w:tab w:val="left" w:pos="360"/>
      </w:tabs>
      <w:spacing w:beforeLines="50" w:before="50" w:afterLines="50" w:after="50"/>
      <w:jc w:val="center"/>
    </w:pPr>
    <w:rPr>
      <w:rFonts w:ascii="黑体" w:eastAsia="黑体"/>
      <w:sz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c">
    <w:name w:val="附录五级条标题"/>
    <w:basedOn w:val="ab"/>
    <w:next w:val="afff"/>
    <w:qFormat/>
    <w:pPr>
      <w:numPr>
        <w:ilvl w:val="6"/>
      </w:numPr>
      <w:outlineLvl w:val="6"/>
    </w:pPr>
  </w:style>
  <w:style w:type="paragraph" w:customStyle="1" w:styleId="affffd">
    <w:name w:val="附录五级无"/>
    <w:basedOn w:val="ac"/>
    <w:qFormat/>
    <w:pPr>
      <w:spacing w:beforeLines="0" w:before="0" w:afterLines="0" w:after="0"/>
    </w:pPr>
    <w:rPr>
      <w:rFonts w:ascii="宋体" w:eastAsia="宋体"/>
      <w:szCs w:val="21"/>
    </w:rPr>
  </w:style>
  <w:style w:type="paragraph" w:customStyle="1" w:styleId="affffe">
    <w:name w:val="附录标题"/>
    <w:basedOn w:val="afff"/>
    <w:next w:val="afff"/>
    <w:qFormat/>
    <w:pPr>
      <w:ind w:firstLineChars="0" w:firstLine="0"/>
      <w:jc w:val="center"/>
    </w:pPr>
    <w:rPr>
      <w:rFonts w:ascii="黑体" w:eastAsia="黑体"/>
    </w:rPr>
  </w:style>
  <w:style w:type="paragraph" w:customStyle="1" w:styleId="a7">
    <w:name w:val="附录章标题"/>
    <w:next w:val="afff"/>
    <w:qFormat/>
    <w:pPr>
      <w:numPr>
        <w:ilvl w:val="1"/>
        <w:numId w:val="9"/>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8">
    <w:name w:val="附录一级条标题"/>
    <w:basedOn w:val="a7"/>
    <w:next w:val="afff"/>
    <w:qFormat/>
    <w:pPr>
      <w:numPr>
        <w:ilvl w:val="2"/>
      </w:numPr>
      <w:autoSpaceDN w:val="0"/>
      <w:spacing w:beforeLines="50" w:before="50" w:afterLines="50" w:after="50"/>
      <w:outlineLvl w:val="2"/>
    </w:pPr>
  </w:style>
  <w:style w:type="paragraph" w:customStyle="1" w:styleId="afffff">
    <w:name w:val="附录一级无"/>
    <w:basedOn w:val="a8"/>
    <w:qFormat/>
    <w:pPr>
      <w:spacing w:beforeLines="0" w:before="0" w:afterLines="0" w:after="0"/>
    </w:pPr>
    <w:rPr>
      <w:rFonts w:ascii="宋体" w:eastAsia="宋体"/>
      <w:szCs w:val="21"/>
    </w:rPr>
  </w:style>
  <w:style w:type="paragraph" w:customStyle="1" w:styleId="afffff0">
    <w:name w:val="终结线"/>
    <w:basedOn w:val="aff2"/>
    <w:qFormat/>
    <w:pPr>
      <w:framePr w:hSpace="181" w:vSpace="181" w:wrap="around" w:vAnchor="text" w:hAnchor="margin" w:xAlign="center" w:y="285"/>
    </w:pPr>
  </w:style>
  <w:style w:type="paragraph" w:customStyle="1" w:styleId="afc">
    <w:name w:val="附录表标号"/>
    <w:basedOn w:val="aff2"/>
    <w:next w:val="afff"/>
    <w:qFormat/>
    <w:pPr>
      <w:numPr>
        <w:numId w:val="13"/>
      </w:numPr>
      <w:spacing w:line="14" w:lineRule="exact"/>
      <w:ind w:left="811" w:hanging="448"/>
      <w:jc w:val="center"/>
      <w:outlineLvl w:val="0"/>
    </w:pPr>
    <w:rPr>
      <w:color w:val="FFFFFF"/>
    </w:rPr>
  </w:style>
  <w:style w:type="paragraph" w:customStyle="1" w:styleId="afffff1">
    <w:name w:val="目次、标准名称标题"/>
    <w:basedOn w:val="aff2"/>
    <w:next w:val="a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2">
    <w:name w:val="四级无"/>
    <w:basedOn w:val="a4"/>
    <w:qFormat/>
    <w:pPr>
      <w:spacing w:before="0" w:after="0"/>
    </w:pPr>
    <w:rPr>
      <w:rFonts w:ascii="宋体"/>
    </w:rPr>
  </w:style>
  <w:style w:type="paragraph" w:customStyle="1" w:styleId="afffff3">
    <w:name w:val="目次、索引正文"/>
    <w:qFormat/>
    <w:pPr>
      <w:spacing w:line="320" w:lineRule="exact"/>
      <w:jc w:val="both"/>
    </w:pPr>
    <w:rPr>
      <w:rFonts w:ascii="宋体"/>
      <w:sz w:val="21"/>
    </w:rPr>
  </w:style>
  <w:style w:type="paragraph" w:customStyle="1" w:styleId="a6">
    <w:name w:val="附录标识"/>
    <w:basedOn w:val="aff2"/>
    <w:next w:val="afff"/>
    <w:qFormat/>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4">
    <w:name w:val="附录公式"/>
    <w:basedOn w:val="afff"/>
    <w:next w:val="afff"/>
    <w:qFormat/>
  </w:style>
  <w:style w:type="paragraph" w:customStyle="1" w:styleId="afffff5">
    <w:name w:val="封面标准文稿类别"/>
    <w:basedOn w:val="affffa"/>
    <w:qFormat/>
    <w:pPr>
      <w:framePr w:wrap="around"/>
      <w:spacing w:after="160" w:line="240" w:lineRule="auto"/>
    </w:pPr>
    <w:rPr>
      <w:sz w:val="24"/>
    </w:rPr>
  </w:style>
  <w:style w:type="paragraph" w:customStyle="1" w:styleId="afffff6">
    <w:name w:val="封面标准文稿编辑信息"/>
    <w:basedOn w:val="afffff5"/>
    <w:qFormat/>
    <w:pPr>
      <w:framePr w:wrap="around"/>
      <w:spacing w:before="180" w:line="180" w:lineRule="exact"/>
    </w:pPr>
    <w:rPr>
      <w:sz w:val="21"/>
    </w:rPr>
  </w:style>
  <w:style w:type="paragraph" w:customStyle="1" w:styleId="af6">
    <w:name w:val="列项◆（三级）"/>
    <w:basedOn w:val="aff2"/>
    <w:qFormat/>
    <w:pPr>
      <w:numPr>
        <w:ilvl w:val="2"/>
        <w:numId w:val="10"/>
      </w:numPr>
      <w:tabs>
        <w:tab w:val="left" w:pos="1678"/>
      </w:tabs>
    </w:pPr>
  </w:style>
  <w:style w:type="paragraph" w:customStyle="1" w:styleId="af5">
    <w:name w:val="列项●（二级）"/>
    <w:qFormat/>
    <w:pPr>
      <w:numPr>
        <w:ilvl w:val="1"/>
        <w:numId w:val="10"/>
      </w:numPr>
      <w:tabs>
        <w:tab w:val="left" w:pos="840"/>
      </w:tabs>
      <w:jc w:val="both"/>
    </w:pPr>
    <w:rPr>
      <w:rFonts w:ascii="宋体"/>
      <w:sz w:val="21"/>
    </w:rPr>
  </w:style>
  <w:style w:type="paragraph" w:customStyle="1" w:styleId="afffff7">
    <w:name w:val="标准书眉一"/>
    <w:qFormat/>
    <w:pPr>
      <w:jc w:val="both"/>
    </w:pPr>
  </w:style>
  <w:style w:type="paragraph" w:customStyle="1" w:styleId="24">
    <w:name w:val="封面标准文稿编辑信息2"/>
    <w:basedOn w:val="afffff6"/>
    <w:qFormat/>
    <w:pPr>
      <w:framePr w:wrap="around" w:y="4469"/>
    </w:pPr>
  </w:style>
  <w:style w:type="paragraph" w:customStyle="1" w:styleId="af8">
    <w:name w:val="示例×："/>
    <w:basedOn w:val="a0"/>
    <w:qFormat/>
    <w:pPr>
      <w:numPr>
        <w:numId w:val="15"/>
      </w:numPr>
      <w:spacing w:beforeLines="0" w:before="0" w:afterLines="0" w:after="0"/>
      <w:outlineLvl w:val="9"/>
    </w:pPr>
    <w:rPr>
      <w:rFonts w:ascii="宋体" w:eastAsia="宋体"/>
      <w:sz w:val="18"/>
      <w:szCs w:val="18"/>
    </w:rPr>
  </w:style>
  <w:style w:type="paragraph" w:customStyle="1" w:styleId="afffff8">
    <w:name w:val="条文脚注"/>
    <w:basedOn w:val="af1"/>
    <w:qFormat/>
    <w:pPr>
      <w:numPr>
        <w:numId w:val="0"/>
      </w:numPr>
      <w:jc w:val="both"/>
    </w:pPr>
  </w:style>
  <w:style w:type="paragraph" w:customStyle="1" w:styleId="afffff9">
    <w:name w:val="其他标准称谓"/>
    <w:next w:val="aff2"/>
    <w:qFormat/>
    <w:pPr>
      <w:framePr w:hSpace="181" w:vSpace="181" w:wrap="around" w:vAnchor="page" w:hAnchor="page" w:x="1419" w:y="2286" w:anchorLock="1"/>
      <w:spacing w:line="0" w:lineRule="atLeast"/>
      <w:jc w:val="distribute"/>
    </w:pPr>
    <w:rPr>
      <w:rFonts w:ascii="黑体" w:eastAsia="黑体"/>
      <w:spacing w:val="-40"/>
      <w:sz w:val="48"/>
      <w:szCs w:val="52"/>
    </w:rPr>
  </w:style>
  <w:style w:type="paragraph" w:customStyle="1" w:styleId="afffffa">
    <w:name w:val="其他实施日期"/>
    <w:basedOn w:val="affffc"/>
    <w:qFormat/>
    <w:pPr>
      <w:framePr w:wrap="around"/>
    </w:pPr>
  </w:style>
  <w:style w:type="paragraph" w:customStyle="1" w:styleId="afffffb">
    <w:name w:val="三级无"/>
    <w:basedOn w:val="a3"/>
    <w:qFormat/>
    <w:pPr>
      <w:spacing w:before="0" w:after="0"/>
    </w:pPr>
    <w:rPr>
      <w:rFonts w:ascii="宋体"/>
    </w:rPr>
  </w:style>
  <w:style w:type="paragraph" w:customStyle="1" w:styleId="afffffc">
    <w:name w:val="参考文献"/>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公式编号制表符"/>
    <w:basedOn w:val="afff"/>
    <w:next w:val="afff"/>
    <w:qFormat/>
    <w:pPr>
      <w:ind w:firstLineChars="0" w:firstLine="0"/>
    </w:pPr>
  </w:style>
  <w:style w:type="paragraph" w:customStyle="1" w:styleId="25">
    <w:name w:val="封面标准文稿类别2"/>
    <w:basedOn w:val="afffff5"/>
    <w:qFormat/>
    <w:pPr>
      <w:framePr w:wrap="around" w:y="4469"/>
    </w:pPr>
  </w:style>
  <w:style w:type="paragraph" w:customStyle="1" w:styleId="af3">
    <w:name w:val="附录图标题"/>
    <w:basedOn w:val="aff2"/>
    <w:next w:val="afff"/>
    <w:qFormat/>
    <w:pPr>
      <w:numPr>
        <w:ilvl w:val="1"/>
        <w:numId w:val="16"/>
      </w:numPr>
      <w:tabs>
        <w:tab w:val="left" w:pos="363"/>
      </w:tabs>
      <w:spacing w:beforeLines="50" w:before="50" w:afterLines="50" w:after="50"/>
      <w:ind w:left="0" w:firstLine="0"/>
      <w:jc w:val="center"/>
    </w:pPr>
    <w:rPr>
      <w:rFonts w:ascii="黑体" w:eastAsia="黑体"/>
    </w:rPr>
  </w:style>
  <w:style w:type="paragraph" w:customStyle="1" w:styleId="afffffe">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
    <w:name w:val="二级无"/>
    <w:basedOn w:val="a2"/>
    <w:qFormat/>
    <w:pPr>
      <w:spacing w:before="0" w:after="0"/>
    </w:pPr>
    <w:rPr>
      <w:rFonts w:ascii="宋体"/>
    </w:rPr>
  </w:style>
  <w:style w:type="paragraph" w:customStyle="1" w:styleId="ad">
    <w:name w:val="注×：（正文）"/>
    <w:qFormat/>
    <w:pPr>
      <w:numPr>
        <w:numId w:val="17"/>
      </w:numPr>
      <w:jc w:val="both"/>
    </w:pPr>
    <w:rPr>
      <w:rFonts w:ascii="宋体"/>
      <w:sz w:val="18"/>
      <w:szCs w:val="18"/>
    </w:rPr>
  </w:style>
  <w:style w:type="paragraph" w:customStyle="1" w:styleId="affffff0">
    <w:name w:val="列项说明数字编号"/>
    <w:qFormat/>
    <w:pPr>
      <w:ind w:leftChars="400" w:left="600" w:hangingChars="200" w:hanging="200"/>
    </w:pPr>
    <w:rPr>
      <w:rFonts w:ascii="宋体"/>
      <w:sz w:val="21"/>
    </w:rPr>
  </w:style>
  <w:style w:type="paragraph" w:customStyle="1" w:styleId="af2">
    <w:name w:val="附录图标号"/>
    <w:basedOn w:val="aff2"/>
    <w:qFormat/>
    <w:pPr>
      <w:keepNext/>
      <w:pageBreakBefore/>
      <w:widowControl/>
      <w:numPr>
        <w:numId w:val="16"/>
      </w:numPr>
      <w:spacing w:line="14" w:lineRule="exact"/>
      <w:ind w:left="0" w:firstLine="363"/>
      <w:jc w:val="center"/>
      <w:outlineLvl w:val="0"/>
    </w:pPr>
    <w:rPr>
      <w:color w:val="FFFFFF"/>
    </w:rPr>
  </w:style>
  <w:style w:type="paragraph" w:customStyle="1" w:styleId="affffff1">
    <w:name w:val="其他标准标志"/>
    <w:basedOn w:val="affff3"/>
    <w:qFormat/>
    <w:pPr>
      <w:framePr w:w="6101" w:wrap="around" w:vAnchor="page" w:hAnchor="page" w:x="4673" w:y="942"/>
    </w:pPr>
    <w:rPr>
      <w:w w:val="130"/>
    </w:rPr>
  </w:style>
  <w:style w:type="paragraph" w:customStyle="1" w:styleId="affffff2">
    <w:name w:val="其他发布日期"/>
    <w:basedOn w:val="afffa"/>
    <w:qFormat/>
    <w:pPr>
      <w:framePr w:wrap="around" w:vAnchor="page" w:hAnchor="text" w:x="1419"/>
    </w:pPr>
  </w:style>
  <w:style w:type="paragraph" w:customStyle="1" w:styleId="affffff3">
    <w:name w:val="附录二级无"/>
    <w:basedOn w:val="a9"/>
    <w:qFormat/>
    <w:pPr>
      <w:tabs>
        <w:tab w:val="clear" w:pos="360"/>
      </w:tabs>
      <w:spacing w:beforeLines="0" w:before="0" w:afterLines="0" w:after="0"/>
    </w:pPr>
    <w:rPr>
      <w:rFonts w:ascii="宋体" w:eastAsia="宋体"/>
      <w:szCs w:val="21"/>
    </w:rPr>
  </w:style>
  <w:style w:type="paragraph" w:customStyle="1" w:styleId="affffff4">
    <w:name w:val="图的脚注"/>
    <w:next w:val="afff"/>
    <w:qFormat/>
    <w:pPr>
      <w:widowControl w:val="0"/>
      <w:ind w:leftChars="200" w:left="400" w:hangingChars="200" w:hanging="200"/>
      <w:jc w:val="both"/>
    </w:pPr>
    <w:rPr>
      <w:rFonts w:ascii="宋体"/>
      <w:sz w:val="18"/>
    </w:rPr>
  </w:style>
  <w:style w:type="paragraph" w:customStyle="1" w:styleId="affffff5">
    <w:name w:val="标准书眉_偶数页"/>
    <w:basedOn w:val="affff0"/>
    <w:next w:val="aff2"/>
    <w:qFormat/>
    <w:pPr>
      <w:jc w:val="left"/>
    </w:pPr>
  </w:style>
  <w:style w:type="paragraph" w:customStyle="1" w:styleId="afa">
    <w:name w:val="数字编号列项（二级）"/>
    <w:qFormat/>
    <w:pPr>
      <w:numPr>
        <w:ilvl w:val="1"/>
        <w:numId w:val="6"/>
      </w:numPr>
      <w:tabs>
        <w:tab w:val="left" w:pos="1260"/>
      </w:tabs>
      <w:jc w:val="both"/>
    </w:pPr>
    <w:rPr>
      <w:rFonts w:ascii="宋体"/>
      <w:sz w:val="21"/>
    </w:rPr>
  </w:style>
  <w:style w:type="paragraph" w:customStyle="1" w:styleId="affffff6">
    <w:name w:val="示例后文字"/>
    <w:basedOn w:val="afff"/>
    <w:next w:val="afff"/>
    <w:qFormat/>
    <w:rPr>
      <w:sz w:val="18"/>
    </w:rPr>
  </w:style>
  <w:style w:type="paragraph" w:customStyle="1" w:styleId="affffff7">
    <w:name w:val="一级无"/>
    <w:basedOn w:val="a1"/>
    <w:qFormat/>
    <w:pPr>
      <w:spacing w:beforeLines="0" w:before="0" w:afterLines="0" w:after="0"/>
    </w:pPr>
    <w:rPr>
      <w:rFonts w:ascii="宋体" w:eastAsia="宋体"/>
    </w:rPr>
  </w:style>
  <w:style w:type="paragraph" w:customStyle="1" w:styleId="affffff8">
    <w:name w:val="附录四级无"/>
    <w:basedOn w:val="ab"/>
    <w:qFormat/>
    <w:pPr>
      <w:tabs>
        <w:tab w:val="clear" w:pos="360"/>
      </w:tabs>
      <w:spacing w:beforeLines="0" w:before="0" w:afterLines="0" w:after="0"/>
    </w:pPr>
    <w:rPr>
      <w:rFonts w:ascii="宋体" w:eastAsia="宋体"/>
      <w:szCs w:val="21"/>
    </w:rPr>
  </w:style>
  <w:style w:type="paragraph" w:customStyle="1" w:styleId="26">
    <w:name w:val="封面标准英文名称2"/>
    <w:basedOn w:val="affff9"/>
    <w:qFormat/>
    <w:pPr>
      <w:framePr w:wrap="around" w:y="4469"/>
    </w:pPr>
  </w:style>
  <w:style w:type="paragraph" w:customStyle="1" w:styleId="af0">
    <w:name w:val="图表脚注说明"/>
    <w:basedOn w:val="aff2"/>
    <w:qFormat/>
    <w:pPr>
      <w:numPr>
        <w:numId w:val="18"/>
      </w:numPr>
    </w:pPr>
    <w:rPr>
      <w:sz w:val="18"/>
      <w:szCs w:val="18"/>
    </w:rPr>
  </w:style>
  <w:style w:type="paragraph" w:customStyle="1" w:styleId="affffff9">
    <w:name w:val="附录公式编号制表符"/>
    <w:basedOn w:val="aff2"/>
    <w:next w:val="afff"/>
    <w:qFormat/>
    <w:pPr>
      <w:widowControl/>
      <w:tabs>
        <w:tab w:val="center" w:pos="4201"/>
        <w:tab w:val="right" w:leader="dot" w:pos="9298"/>
      </w:tabs>
      <w:autoSpaceDE w:val="0"/>
      <w:autoSpaceDN w:val="0"/>
    </w:pPr>
    <w:rPr>
      <w:kern w:val="0"/>
      <w:szCs w:val="20"/>
      <w:lang w:val="zh-CN"/>
    </w:rPr>
  </w:style>
  <w:style w:type="paragraph" w:customStyle="1" w:styleId="Default">
    <w:name w:val="Default"/>
    <w:qFormat/>
    <w:pPr>
      <w:widowControl w:val="0"/>
      <w:autoSpaceDE w:val="0"/>
      <w:autoSpaceDN w:val="0"/>
      <w:adjustRightInd w:val="0"/>
    </w:pPr>
    <w:rPr>
      <w:rFonts w:ascii="Cambria" w:hAnsi="Cambria" w:cs="Cambria"/>
      <w:color w:val="000000"/>
      <w:sz w:val="24"/>
      <w:szCs w:val="24"/>
    </w:rPr>
  </w:style>
  <w:style w:type="paragraph" w:customStyle="1" w:styleId="ae">
    <w:name w:val="首示例"/>
    <w:next w:val="afff"/>
    <w:qFormat/>
    <w:pPr>
      <w:numPr>
        <w:numId w:val="19"/>
      </w:numPr>
      <w:tabs>
        <w:tab w:val="left" w:pos="360"/>
      </w:tabs>
      <w:ind w:firstLine="0"/>
    </w:pPr>
    <w:rPr>
      <w:rFonts w:ascii="宋体"/>
      <w:kern w:val="2"/>
      <w:sz w:val="18"/>
      <w:szCs w:val="18"/>
    </w:rPr>
  </w:style>
  <w:style w:type="paragraph" w:customStyle="1" w:styleId="affffffa">
    <w:name w:val="封面正文"/>
    <w:qFormat/>
    <w:pPr>
      <w:jc w:val="both"/>
    </w:pPr>
  </w:style>
  <w:style w:type="paragraph" w:customStyle="1" w:styleId="a">
    <w:name w:val="注×："/>
    <w:qFormat/>
    <w:pPr>
      <w:widowControl w:val="0"/>
      <w:numPr>
        <w:numId w:val="20"/>
      </w:numPr>
      <w:autoSpaceDE w:val="0"/>
      <w:autoSpaceDN w:val="0"/>
      <w:jc w:val="both"/>
    </w:pPr>
    <w:rPr>
      <w:rFonts w:ascii="宋体"/>
      <w:sz w:val="18"/>
      <w:szCs w:val="18"/>
    </w:rPr>
  </w:style>
  <w:style w:type="paragraph" w:customStyle="1" w:styleId="aff0">
    <w:name w:val="附录数字编号列项（二级）"/>
    <w:qFormat/>
    <w:pPr>
      <w:numPr>
        <w:ilvl w:val="1"/>
        <w:numId w:val="7"/>
      </w:numPr>
      <w:tabs>
        <w:tab w:val="left" w:pos="840"/>
      </w:tabs>
    </w:pPr>
    <w:rPr>
      <w:rFonts w:ascii="宋体"/>
      <w:sz w:val="21"/>
    </w:rPr>
  </w:style>
  <w:style w:type="paragraph" w:customStyle="1" w:styleId="27">
    <w:name w:val="封面标准名称2"/>
    <w:basedOn w:val="affff4"/>
    <w:qFormat/>
    <w:pPr>
      <w:framePr w:wrap="around" w:y="4469"/>
      <w:spacing w:beforeLines="630" w:before="630"/>
    </w:pPr>
  </w:style>
  <w:style w:type="paragraph" w:customStyle="1" w:styleId="affffffb">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character" w:customStyle="1" w:styleId="affffffc">
    <w:name w:val="发布"/>
    <w:basedOn w:val="aff3"/>
    <w:qFormat/>
    <w:rPr>
      <w:rFonts w:ascii="黑体" w:eastAsia="黑体"/>
      <w:spacing w:val="85"/>
      <w:w w:val="100"/>
      <w:position w:val="3"/>
      <w:sz w:val="28"/>
      <w:szCs w:val="28"/>
    </w:rPr>
  </w:style>
  <w:style w:type="paragraph" w:customStyle="1" w:styleId="13">
    <w:name w:val="列出段落1"/>
    <w:basedOn w:val="aff2"/>
    <w:uiPriority w:val="1"/>
    <w:qFormat/>
    <w:pPr>
      <w:ind w:left="724" w:hanging="399"/>
    </w:pPr>
    <w:rPr>
      <w:rFonts w:ascii="Cambria" w:eastAsia="Cambria" w:hAnsi="Cambria" w:cs="Cambria"/>
      <w:lang w:eastAsia="en-US" w:bidi="en-US"/>
    </w:rPr>
  </w:style>
  <w:style w:type="character" w:customStyle="1" w:styleId="Char2">
    <w:name w:val="编号列项（三级） Char"/>
    <w:link w:val="afb"/>
    <w:qFormat/>
    <w:rPr>
      <w:rFonts w:ascii="宋体"/>
      <w:sz w:val="21"/>
    </w:rPr>
  </w:style>
  <w:style w:type="character" w:customStyle="1" w:styleId="Char0">
    <w:name w:val="批注框文本 Char"/>
    <w:basedOn w:val="aff3"/>
    <w:link w:val="affb"/>
    <w:qFormat/>
    <w:rPr>
      <w:kern w:val="2"/>
      <w:sz w:val="18"/>
      <w:szCs w:val="18"/>
    </w:rPr>
  </w:style>
  <w:style w:type="character" w:customStyle="1" w:styleId="Char">
    <w:name w:val="批注文字 Char"/>
    <w:basedOn w:val="aff3"/>
    <w:link w:val="aff8"/>
    <w:rPr>
      <w:kern w:val="2"/>
      <w:sz w:val="21"/>
      <w:szCs w:val="24"/>
    </w:rPr>
  </w:style>
  <w:style w:type="character" w:customStyle="1" w:styleId="Char1">
    <w:name w:val="批注主题 Char"/>
    <w:basedOn w:val="Char"/>
    <w:link w:val="afff1"/>
    <w:qFormat/>
    <w:rPr>
      <w:b/>
      <w:bCs/>
      <w:kern w:val="2"/>
      <w:sz w:val="21"/>
      <w:szCs w:val="24"/>
    </w:rPr>
  </w:style>
  <w:style w:type="paragraph" w:customStyle="1" w:styleId="TableParagraph">
    <w:name w:val="Table Paragraph"/>
    <w:basedOn w:val="aff2"/>
    <w:uiPriority w:val="1"/>
    <w:qFormat/>
    <w:pPr>
      <w:ind w:left="124"/>
    </w:pPr>
    <w:rPr>
      <w:rFonts w:ascii="Cambria" w:eastAsia="Cambria" w:hAnsi="Cambria" w:cs="Cambria"/>
      <w:lang w:eastAsia="en-US" w:bidi="en-US"/>
    </w:rPr>
  </w:style>
  <w:style w:type="paragraph" w:customStyle="1" w:styleId="14">
    <w:name w:val="正文1"/>
    <w:basedOn w:val="aff2"/>
    <w:qFormat/>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uiPriority="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rFonts w:ascii="宋体" w:hAnsi="宋体" w:hint="eastAsia"/>
      <w:kern w:val="2"/>
      <w:sz w:val="21"/>
      <w:szCs w:val="21"/>
    </w:rPr>
  </w:style>
  <w:style w:type="paragraph" w:styleId="1">
    <w:name w:val="heading 1"/>
    <w:basedOn w:val="aff2"/>
    <w:next w:val="aff2"/>
    <w:qFormat/>
    <w:pPr>
      <w:keepNext/>
      <w:numPr>
        <w:numId w:val="1"/>
      </w:numPr>
      <w:tabs>
        <w:tab w:val="left" w:pos="425"/>
        <w:tab w:val="left" w:pos="4875"/>
      </w:tabs>
      <w:jc w:val="left"/>
      <w:outlineLvl w:val="0"/>
    </w:pPr>
    <w:rPr>
      <w:b/>
      <w:sz w:val="28"/>
    </w:rPr>
  </w:style>
  <w:style w:type="paragraph" w:styleId="2">
    <w:name w:val="heading 2"/>
    <w:basedOn w:val="aff2"/>
    <w:next w:val="aff2"/>
    <w:qFormat/>
    <w:pPr>
      <w:keepNext/>
      <w:keepLines/>
      <w:tabs>
        <w:tab w:val="left" w:pos="0"/>
        <w:tab w:val="left" w:pos="308"/>
      </w:tabs>
      <w:adjustRightInd w:val="0"/>
      <w:jc w:val="left"/>
      <w:outlineLvl w:val="1"/>
    </w:pPr>
    <w:rPr>
      <w:rFonts w:ascii="Arial" w:hAnsi="Arial"/>
      <w:sz w:val="24"/>
    </w:rPr>
  </w:style>
  <w:style w:type="paragraph" w:styleId="3">
    <w:name w:val="heading 3"/>
    <w:basedOn w:val="aff2"/>
    <w:next w:val="aff2"/>
    <w:qFormat/>
    <w:pPr>
      <w:keepNext/>
      <w:keepLines/>
      <w:numPr>
        <w:numId w:val="2"/>
      </w:numPr>
      <w:tabs>
        <w:tab w:val="left" w:pos="1300"/>
      </w:tabs>
      <w:outlineLvl w:val="2"/>
    </w:pPr>
  </w:style>
  <w:style w:type="paragraph" w:styleId="4">
    <w:name w:val="heading 4"/>
    <w:basedOn w:val="aff2"/>
    <w:next w:val="aff2"/>
    <w:qFormat/>
    <w:pPr>
      <w:keepNext/>
      <w:keepLines/>
      <w:numPr>
        <w:ilvl w:val="3"/>
        <w:numId w:val="3"/>
      </w:numPr>
      <w:tabs>
        <w:tab w:val="left" w:pos="864"/>
        <w:tab w:val="left" w:pos="1680"/>
      </w:tabs>
      <w:outlineLvl w:val="3"/>
    </w:pPr>
    <w:rPr>
      <w:rFonts w:ascii="Arial" w:hAnsi="Arial"/>
    </w:rPr>
  </w:style>
  <w:style w:type="paragraph" w:styleId="6">
    <w:name w:val="heading 6"/>
    <w:basedOn w:val="aff2"/>
    <w:next w:val="aff2"/>
    <w:uiPriority w:val="1"/>
    <w:qFormat/>
    <w:pPr>
      <w:ind w:left="328"/>
      <w:outlineLvl w:val="5"/>
    </w:pPr>
    <w:rPr>
      <w:rFonts w:ascii="Cambria" w:eastAsia="Cambria" w:hAnsi="Cambria" w:cs="Cambria"/>
      <w:b/>
      <w:bCs/>
      <w:sz w:val="20"/>
      <w:szCs w:val="20"/>
      <w:lang w:eastAsia="en-US" w:bidi="en-US"/>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qFormat/>
    <w:pPr>
      <w:tabs>
        <w:tab w:val="right" w:leader="dot" w:pos="9242"/>
      </w:tabs>
      <w:ind w:firstLineChars="500" w:firstLine="1600"/>
      <w:jc w:val="left"/>
    </w:p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qFormat/>
    <w:pPr>
      <w:shd w:val="clear" w:color="auto" w:fill="000080"/>
    </w:pPr>
  </w:style>
  <w:style w:type="paragraph" w:styleId="aff8">
    <w:name w:val="annotation text"/>
    <w:basedOn w:val="aff2"/>
    <w:link w:val="Char"/>
    <w:qFormat/>
    <w:pPr>
      <w:jc w:val="left"/>
    </w:pPr>
  </w:style>
  <w:style w:type="paragraph" w:styleId="60">
    <w:name w:val="index 6"/>
    <w:basedOn w:val="aff2"/>
    <w:next w:val="aff2"/>
    <w:qFormat/>
    <w:pPr>
      <w:ind w:left="1260" w:hanging="210"/>
      <w:jc w:val="left"/>
    </w:pPr>
    <w:rPr>
      <w:rFonts w:ascii="Calibri" w:hAnsi="Calibri"/>
      <w:sz w:val="20"/>
      <w:szCs w:val="20"/>
    </w:rPr>
  </w:style>
  <w:style w:type="paragraph" w:styleId="aff9">
    <w:name w:val="Body Text"/>
    <w:basedOn w:val="aff2"/>
    <w:uiPriority w:val="1"/>
    <w:qFormat/>
    <w:rPr>
      <w:rFonts w:ascii="Cambria" w:eastAsia="Cambria" w:hAnsi="Cambria" w:cs="Cambria"/>
      <w:sz w:val="20"/>
      <w:szCs w:val="20"/>
      <w:lang w:eastAsia="en-US" w:bidi="en-US"/>
    </w:rPr>
  </w:style>
  <w:style w:type="paragraph" w:styleId="40">
    <w:name w:val="index 4"/>
    <w:basedOn w:val="aff2"/>
    <w:next w:val="aff2"/>
    <w:qFormat/>
    <w:pPr>
      <w:ind w:left="840" w:hanging="210"/>
      <w:jc w:val="left"/>
    </w:pPr>
    <w:rPr>
      <w:rFonts w:ascii="Calibri" w:hAnsi="Calibri"/>
      <w:sz w:val="20"/>
      <w:szCs w:val="20"/>
    </w:rPr>
  </w:style>
  <w:style w:type="paragraph" w:styleId="50">
    <w:name w:val="toc 5"/>
    <w:basedOn w:val="aff2"/>
    <w:next w:val="aff2"/>
    <w:qFormat/>
    <w:pPr>
      <w:tabs>
        <w:tab w:val="right" w:leader="dot" w:pos="9242"/>
      </w:tabs>
      <w:ind w:firstLineChars="300" w:firstLine="960"/>
      <w:jc w:val="left"/>
    </w:pPr>
  </w:style>
  <w:style w:type="paragraph" w:styleId="30">
    <w:name w:val="toc 3"/>
    <w:basedOn w:val="aff2"/>
    <w:next w:val="aff2"/>
    <w:qFormat/>
    <w:pPr>
      <w:tabs>
        <w:tab w:val="right" w:leader="dot" w:pos="9242"/>
      </w:tabs>
      <w:ind w:firstLineChars="100" w:firstLine="320"/>
      <w:jc w:val="left"/>
    </w:pPr>
  </w:style>
  <w:style w:type="paragraph" w:styleId="80">
    <w:name w:val="toc 8"/>
    <w:basedOn w:val="aff2"/>
    <w:next w:val="aff2"/>
    <w:qFormat/>
    <w:pPr>
      <w:tabs>
        <w:tab w:val="right" w:leader="dot" w:pos="9242"/>
      </w:tabs>
      <w:ind w:firstLineChars="600" w:firstLine="1920"/>
      <w:jc w:val="left"/>
    </w:pPr>
  </w:style>
  <w:style w:type="paragraph" w:styleId="31">
    <w:name w:val="index 3"/>
    <w:basedOn w:val="aff2"/>
    <w:next w:val="aff2"/>
    <w:qFormat/>
    <w:pPr>
      <w:ind w:left="630" w:hanging="210"/>
      <w:jc w:val="left"/>
    </w:pPr>
    <w:rPr>
      <w:rFonts w:ascii="Calibri" w:hAnsi="Calibri"/>
      <w:sz w:val="20"/>
      <w:szCs w:val="20"/>
    </w:rPr>
  </w:style>
  <w:style w:type="paragraph" w:styleId="affa">
    <w:name w:val="endnote text"/>
    <w:basedOn w:val="aff2"/>
    <w:qFormat/>
    <w:pPr>
      <w:snapToGrid w:val="0"/>
      <w:jc w:val="left"/>
    </w:pPr>
  </w:style>
  <w:style w:type="paragraph" w:styleId="affb">
    <w:name w:val="Balloon Text"/>
    <w:basedOn w:val="aff2"/>
    <w:link w:val="Char0"/>
    <w:qFormat/>
    <w:rPr>
      <w:sz w:val="18"/>
      <w:szCs w:val="18"/>
    </w:rPr>
  </w:style>
  <w:style w:type="paragraph" w:styleId="affc">
    <w:name w:val="footer"/>
    <w:basedOn w:val="aff2"/>
    <w:qFormat/>
    <w:pPr>
      <w:snapToGrid w:val="0"/>
      <w:ind w:rightChars="100" w:right="100"/>
      <w:jc w:val="right"/>
    </w:pPr>
    <w:rPr>
      <w:sz w:val="18"/>
      <w:szCs w:val="18"/>
    </w:rPr>
  </w:style>
  <w:style w:type="paragraph" w:styleId="affd">
    <w:name w:val="header"/>
    <w:basedOn w:val="aff2"/>
    <w:qFormat/>
    <w:pPr>
      <w:snapToGrid w:val="0"/>
      <w:jc w:val="left"/>
    </w:pPr>
    <w:rPr>
      <w:sz w:val="18"/>
      <w:szCs w:val="18"/>
    </w:rPr>
  </w:style>
  <w:style w:type="paragraph" w:styleId="10">
    <w:name w:val="toc 1"/>
    <w:basedOn w:val="aff2"/>
    <w:next w:val="aff2"/>
    <w:qFormat/>
    <w:pPr>
      <w:tabs>
        <w:tab w:val="right" w:leader="dot" w:pos="9242"/>
      </w:tabs>
      <w:spacing w:beforeLines="25" w:before="79" w:afterLines="25" w:after="79"/>
      <w:jc w:val="left"/>
    </w:pPr>
  </w:style>
  <w:style w:type="paragraph" w:styleId="41">
    <w:name w:val="toc 4"/>
    <w:basedOn w:val="aff2"/>
    <w:next w:val="aff2"/>
    <w:qFormat/>
    <w:pPr>
      <w:tabs>
        <w:tab w:val="right" w:leader="dot" w:pos="9242"/>
      </w:tabs>
      <w:ind w:firstLineChars="200" w:firstLine="640"/>
      <w:jc w:val="left"/>
    </w:pPr>
  </w:style>
  <w:style w:type="paragraph" w:styleId="affe">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f"/>
    <w:qFormat/>
    <w:pPr>
      <w:tabs>
        <w:tab w:val="right" w:leader="dot" w:pos="9299"/>
      </w:tabs>
      <w:jc w:val="left"/>
    </w:pPr>
  </w:style>
  <w:style w:type="paragraph" w:customStyle="1" w:styleId="afff">
    <w:name w:val="段"/>
    <w:qFormat/>
    <w:pPr>
      <w:tabs>
        <w:tab w:val="center" w:pos="4201"/>
        <w:tab w:val="right" w:leader="dot" w:pos="9298"/>
      </w:tabs>
      <w:autoSpaceDE w:val="0"/>
      <w:autoSpaceDN w:val="0"/>
      <w:ind w:firstLineChars="200" w:firstLine="200"/>
      <w:jc w:val="both"/>
    </w:pPr>
    <w:rPr>
      <w:rFonts w:ascii="宋体"/>
      <w:sz w:val="21"/>
    </w:rPr>
  </w:style>
  <w:style w:type="paragraph" w:styleId="af1">
    <w:name w:val="footnote text"/>
    <w:basedOn w:val="aff2"/>
    <w:qFormat/>
    <w:pPr>
      <w:numPr>
        <w:numId w:val="4"/>
      </w:numPr>
      <w:snapToGrid w:val="0"/>
      <w:jc w:val="left"/>
    </w:pPr>
    <w:rPr>
      <w:sz w:val="18"/>
      <w:szCs w:val="18"/>
    </w:rPr>
  </w:style>
  <w:style w:type="paragraph" w:styleId="61">
    <w:name w:val="toc 6"/>
    <w:basedOn w:val="aff2"/>
    <w:next w:val="aff2"/>
    <w:qFormat/>
    <w:pPr>
      <w:tabs>
        <w:tab w:val="right" w:leader="dot" w:pos="9242"/>
      </w:tabs>
      <w:ind w:firstLineChars="400" w:firstLine="1280"/>
      <w:jc w:val="left"/>
    </w:p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0">
    <w:name w:val="toc 2"/>
    <w:basedOn w:val="aff2"/>
    <w:next w:val="aff2"/>
    <w:qFormat/>
    <w:pPr>
      <w:tabs>
        <w:tab w:val="right" w:leader="dot" w:pos="9242"/>
      </w:tabs>
    </w:pPr>
  </w:style>
  <w:style w:type="paragraph" w:styleId="90">
    <w:name w:val="toc 9"/>
    <w:basedOn w:val="aff2"/>
    <w:next w:val="aff2"/>
    <w:qFormat/>
    <w:pPr>
      <w:ind w:left="1470"/>
      <w:jc w:val="left"/>
    </w:pPr>
    <w:rPr>
      <w:sz w:val="20"/>
      <w:szCs w:val="20"/>
    </w:rPr>
  </w:style>
  <w:style w:type="paragraph" w:styleId="HTML">
    <w:name w:val="HTML Preformatted"/>
    <w:basedOn w:val="aff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szCs w:val="24"/>
    </w:rPr>
  </w:style>
  <w:style w:type="paragraph" w:styleId="afff0">
    <w:name w:val="Normal (Web)"/>
    <w:basedOn w:val="aff2"/>
    <w:qFormat/>
    <w:pPr>
      <w:spacing w:beforeAutospacing="1" w:afterAutospacing="1"/>
      <w:jc w:val="left"/>
    </w:pPr>
    <w:rPr>
      <w:kern w:val="0"/>
      <w:sz w:val="24"/>
    </w:rPr>
  </w:style>
  <w:style w:type="paragraph" w:styleId="21">
    <w:name w:val="index 2"/>
    <w:basedOn w:val="aff2"/>
    <w:next w:val="aff2"/>
    <w:qFormat/>
    <w:pPr>
      <w:ind w:left="420" w:hanging="210"/>
      <w:jc w:val="left"/>
    </w:pPr>
    <w:rPr>
      <w:rFonts w:ascii="Calibri" w:hAnsi="Calibri"/>
      <w:sz w:val="20"/>
      <w:szCs w:val="20"/>
    </w:rPr>
  </w:style>
  <w:style w:type="paragraph" w:styleId="afff1">
    <w:name w:val="annotation subject"/>
    <w:basedOn w:val="aff8"/>
    <w:next w:val="aff8"/>
    <w:link w:val="Char1"/>
    <w:qFormat/>
    <w:rPr>
      <w:b/>
      <w:bCs/>
    </w:rPr>
  </w:style>
  <w:style w:type="character" w:styleId="afff2">
    <w:name w:val="Strong"/>
    <w:basedOn w:val="aff3"/>
    <w:qFormat/>
    <w:rPr>
      <w:b/>
    </w:rPr>
  </w:style>
  <w:style w:type="character" w:styleId="afff3">
    <w:name w:val="endnote reference"/>
    <w:basedOn w:val="aff3"/>
    <w:qFormat/>
    <w:rPr>
      <w:vertAlign w:val="superscript"/>
    </w:rPr>
  </w:style>
  <w:style w:type="character" w:styleId="afff4">
    <w:name w:val="page number"/>
    <w:basedOn w:val="aff3"/>
    <w:qFormat/>
    <w:rPr>
      <w:rFonts w:ascii="Times New Roman" w:eastAsia="宋体" w:hAnsi="Times New Roman"/>
      <w:sz w:val="18"/>
    </w:rPr>
  </w:style>
  <w:style w:type="character" w:styleId="afff5">
    <w:name w:val="FollowedHyperlink"/>
    <w:basedOn w:val="aff3"/>
    <w:qFormat/>
    <w:rPr>
      <w:color w:val="800080"/>
      <w:u w:val="single"/>
    </w:rPr>
  </w:style>
  <w:style w:type="character" w:styleId="afff6">
    <w:name w:val="Hyperlink"/>
    <w:basedOn w:val="aff3"/>
    <w:qFormat/>
    <w:rPr>
      <w:color w:val="0000FF"/>
      <w:spacing w:val="0"/>
      <w:w w:val="100"/>
      <w:szCs w:val="21"/>
      <w:u w:val="single"/>
      <w:lang w:val="zh-CN" w:eastAsia="zh-CN"/>
    </w:rPr>
  </w:style>
  <w:style w:type="character" w:styleId="afff7">
    <w:name w:val="annotation reference"/>
    <w:basedOn w:val="aff3"/>
    <w:qFormat/>
    <w:rPr>
      <w:sz w:val="21"/>
      <w:szCs w:val="21"/>
    </w:rPr>
  </w:style>
  <w:style w:type="character" w:styleId="afff8">
    <w:name w:val="footnote reference"/>
    <w:basedOn w:val="aff3"/>
    <w:qFormat/>
    <w:rPr>
      <w:vertAlign w:val="superscript"/>
    </w:rPr>
  </w:style>
  <w:style w:type="paragraph" w:customStyle="1" w:styleId="a2">
    <w:name w:val="二级条标题（宋体）"/>
    <w:basedOn w:val="a1"/>
    <w:next w:val="afff"/>
    <w:qFormat/>
    <w:pPr>
      <w:numPr>
        <w:ilvl w:val="2"/>
      </w:numPr>
      <w:tabs>
        <w:tab w:val="left" w:pos="993"/>
      </w:tabs>
      <w:spacing w:beforeLines="0" w:afterLines="0"/>
      <w:outlineLvl w:val="3"/>
    </w:pPr>
    <w:rPr>
      <w:rFonts w:eastAsia="宋体" w:hAnsi="黑体"/>
    </w:rPr>
  </w:style>
  <w:style w:type="paragraph" w:customStyle="1" w:styleId="a1">
    <w:name w:val="一级条标题"/>
    <w:next w:val="afff"/>
    <w:qFormat/>
    <w:pPr>
      <w:numPr>
        <w:ilvl w:val="1"/>
        <w:numId w:val="5"/>
      </w:numPr>
      <w:spacing w:beforeLines="50" w:before="50" w:afterLines="50" w:after="50"/>
      <w:outlineLvl w:val="2"/>
    </w:pPr>
    <w:rPr>
      <w:rFonts w:ascii="黑体" w:eastAsia="黑体"/>
      <w:sz w:val="21"/>
      <w:szCs w:val="21"/>
    </w:rPr>
  </w:style>
  <w:style w:type="paragraph" w:customStyle="1" w:styleId="a0">
    <w:name w:val="章标题"/>
    <w:next w:val="afff"/>
    <w:qFormat/>
    <w:pPr>
      <w:numPr>
        <w:numId w:val="5"/>
      </w:numPr>
      <w:spacing w:beforeLines="100" w:before="100" w:afterLines="100" w:after="100"/>
      <w:jc w:val="both"/>
      <w:outlineLvl w:val="1"/>
    </w:pPr>
    <w:rPr>
      <w:rFonts w:ascii="黑体" w:eastAsia="黑体"/>
      <w:sz w:val="21"/>
    </w:rPr>
  </w:style>
  <w:style w:type="paragraph" w:customStyle="1" w:styleId="a3">
    <w:name w:val="三级条标题"/>
    <w:basedOn w:val="a2"/>
    <w:next w:val="afff"/>
    <w:qFormat/>
    <w:pPr>
      <w:numPr>
        <w:ilvl w:val="3"/>
      </w:numPr>
      <w:outlineLvl w:val="4"/>
    </w:pPr>
  </w:style>
  <w:style w:type="paragraph" w:customStyle="1" w:styleId="a4">
    <w:name w:val="四级条标题"/>
    <w:basedOn w:val="a3"/>
    <w:next w:val="afff"/>
    <w:qFormat/>
    <w:pPr>
      <w:numPr>
        <w:ilvl w:val="4"/>
      </w:numPr>
      <w:outlineLvl w:val="5"/>
    </w:pPr>
  </w:style>
  <w:style w:type="paragraph" w:customStyle="1" w:styleId="a5">
    <w:name w:val="五级条标题"/>
    <w:basedOn w:val="a4"/>
    <w:next w:val="afff"/>
    <w:qFormat/>
    <w:pPr>
      <w:numPr>
        <w:ilvl w:val="5"/>
      </w:numPr>
      <w:outlineLvl w:val="6"/>
    </w:pPr>
  </w:style>
  <w:style w:type="paragraph" w:customStyle="1" w:styleId="afff9">
    <w:name w:val="图标脚注说明"/>
    <w:basedOn w:val="afff"/>
    <w:qFormat/>
    <w:pPr>
      <w:ind w:left="840" w:firstLineChars="0" w:hanging="420"/>
    </w:pPr>
    <w:rPr>
      <w:sz w:val="18"/>
      <w:szCs w:val="18"/>
    </w:rPr>
  </w:style>
  <w:style w:type="paragraph" w:customStyle="1" w:styleId="afb">
    <w:name w:val="编号列项（三级）"/>
    <w:link w:val="Char2"/>
    <w:qFormat/>
    <w:pPr>
      <w:numPr>
        <w:ilvl w:val="2"/>
        <w:numId w:val="6"/>
      </w:numPr>
    </w:pPr>
    <w:rPr>
      <w:rFonts w:ascii="宋体"/>
      <w:sz w:val="21"/>
    </w:rPr>
  </w:style>
  <w:style w:type="paragraph" w:customStyle="1" w:styleId="afffa">
    <w:name w:val="发布日期"/>
    <w:qFormat/>
    <w:pPr>
      <w:framePr w:w="3997" w:h="471" w:hRule="exact" w:vSpace="181" w:wrap="around" w:hAnchor="page" w:x="7089" w:y="14097" w:anchorLock="1"/>
    </w:pPr>
    <w:rPr>
      <w:rFonts w:eastAsia="黑体"/>
      <w:sz w:val="28"/>
    </w:rPr>
  </w:style>
  <w:style w:type="paragraph" w:customStyle="1" w:styleId="af9">
    <w:name w:val="字母编号列项（一级）"/>
    <w:qFormat/>
    <w:pPr>
      <w:numPr>
        <w:numId w:val="6"/>
      </w:numPr>
      <w:tabs>
        <w:tab w:val="left" w:pos="840"/>
      </w:tabs>
      <w:jc w:val="both"/>
    </w:pPr>
    <w:rPr>
      <w:rFonts w:ascii="宋体"/>
      <w:sz w:val="21"/>
    </w:rPr>
  </w:style>
  <w:style w:type="paragraph" w:customStyle="1" w:styleId="afffb">
    <w:name w:val="示例内容"/>
    <w:qFormat/>
    <w:pPr>
      <w:ind w:firstLineChars="200" w:firstLine="200"/>
    </w:pPr>
    <w:rPr>
      <w:rFonts w:ascii="宋体"/>
      <w:sz w:val="18"/>
      <w:szCs w:val="18"/>
    </w:rPr>
  </w:style>
  <w:style w:type="paragraph" w:customStyle="1" w:styleId="afffc">
    <w:name w:val="发布部门"/>
    <w:next w:val="aff2"/>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d">
    <w:name w:val="其他发布部门"/>
    <w:basedOn w:val="afffc"/>
    <w:qFormat/>
    <w:pPr>
      <w:framePr w:wrap="around" w:y="15310"/>
      <w:spacing w:line="0" w:lineRule="atLeast"/>
    </w:pPr>
    <w:rPr>
      <w:rFonts w:ascii="黑体" w:eastAsia="黑体"/>
      <w:b w:val="0"/>
    </w:rPr>
  </w:style>
  <w:style w:type="paragraph" w:customStyle="1" w:styleId="afffe">
    <w:name w:val="前言、引言标题"/>
    <w:next w:val="afff"/>
    <w:qFormat/>
    <w:pPr>
      <w:keepNext/>
      <w:pageBreakBefore/>
      <w:shd w:val="clear" w:color="FFFFFF" w:fill="FFFFFF"/>
      <w:spacing w:before="640" w:after="560"/>
      <w:jc w:val="center"/>
      <w:outlineLvl w:val="0"/>
    </w:pPr>
    <w:rPr>
      <w:rFonts w:ascii="黑体" w:eastAsia="黑体"/>
      <w:sz w:val="32"/>
    </w:rPr>
  </w:style>
  <w:style w:type="paragraph" w:customStyle="1" w:styleId="affff">
    <w:name w:val="参考文献、索引标题"/>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
    <w:name w:val="附录字母编号列项（一级）"/>
    <w:qFormat/>
    <w:pPr>
      <w:numPr>
        <w:numId w:val="7"/>
      </w:numPr>
      <w:tabs>
        <w:tab w:val="left" w:pos="839"/>
      </w:tabs>
    </w:pPr>
    <w:rPr>
      <w:rFonts w:ascii="宋体"/>
      <w:sz w:val="21"/>
    </w:rPr>
  </w:style>
  <w:style w:type="paragraph" w:customStyle="1" w:styleId="affff0">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7">
    <w:name w:val="注："/>
    <w:next w:val="afff"/>
    <w:qFormat/>
    <w:pPr>
      <w:widowControl w:val="0"/>
      <w:numPr>
        <w:numId w:val="8"/>
      </w:numPr>
      <w:autoSpaceDE w:val="0"/>
      <w:autoSpaceDN w:val="0"/>
      <w:jc w:val="both"/>
    </w:pPr>
    <w:rPr>
      <w:rFonts w:ascii="宋体"/>
      <w:sz w:val="18"/>
      <w:szCs w:val="18"/>
    </w:rPr>
  </w:style>
  <w:style w:type="paragraph" w:customStyle="1" w:styleId="affff1">
    <w:name w:val="注：（正文）"/>
    <w:basedOn w:val="af7"/>
    <w:next w:val="afff"/>
    <w:qFormat/>
  </w:style>
  <w:style w:type="paragraph" w:customStyle="1" w:styleId="affff2">
    <w:name w:val="列项说明"/>
    <w:basedOn w:val="aff2"/>
    <w:qFormat/>
    <w:pPr>
      <w:adjustRightInd w:val="0"/>
      <w:spacing w:line="320" w:lineRule="exact"/>
      <w:ind w:leftChars="200" w:left="400" w:hangingChars="200" w:hanging="200"/>
      <w:jc w:val="left"/>
      <w:textAlignment w:val="baseline"/>
    </w:pPr>
    <w:rPr>
      <w:kern w:val="0"/>
      <w:szCs w:val="20"/>
    </w:rPr>
  </w:style>
  <w:style w:type="paragraph" w:customStyle="1" w:styleId="affff3">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9">
    <w:name w:val="附录二级条标题"/>
    <w:basedOn w:val="aff2"/>
    <w:next w:val="afff"/>
    <w:qFormat/>
    <w:pPr>
      <w:widowControl/>
      <w:numPr>
        <w:ilvl w:val="3"/>
        <w:numId w:val="9"/>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a">
    <w:name w:val="附录三级条标题"/>
    <w:basedOn w:val="a9"/>
    <w:next w:val="afff"/>
    <w:qFormat/>
    <w:pPr>
      <w:numPr>
        <w:ilvl w:val="4"/>
      </w:numPr>
      <w:outlineLvl w:val="4"/>
    </w:pPr>
  </w:style>
  <w:style w:type="paragraph" w:customStyle="1" w:styleId="ab">
    <w:name w:val="附录四级条标题"/>
    <w:basedOn w:val="aa"/>
    <w:next w:val="afff"/>
    <w:qFormat/>
    <w:pPr>
      <w:numPr>
        <w:ilvl w:val="5"/>
      </w:numPr>
      <w:outlineLvl w:val="5"/>
    </w:pPr>
  </w:style>
  <w:style w:type="paragraph" w:customStyle="1" w:styleId="affff5">
    <w:name w:val="标准书脚_偶数页"/>
    <w:qFormat/>
    <w:pPr>
      <w:spacing w:before="120"/>
      <w:ind w:left="221"/>
    </w:pPr>
    <w:rPr>
      <w:rFonts w:ascii="宋体"/>
      <w:sz w:val="18"/>
      <w:szCs w:val="18"/>
    </w:rPr>
  </w:style>
  <w:style w:type="paragraph" w:customStyle="1" w:styleId="af4">
    <w:name w:val="列项——（一级）"/>
    <w:qFormat/>
    <w:pPr>
      <w:widowControl w:val="0"/>
      <w:numPr>
        <w:numId w:val="10"/>
      </w:numPr>
      <w:jc w:val="both"/>
    </w:pPr>
    <w:rPr>
      <w:rFonts w:ascii="宋体"/>
      <w:sz w:val="21"/>
    </w:rPr>
  </w:style>
  <w:style w:type="paragraph" w:customStyle="1" w:styleId="afe">
    <w:name w:val="正文表标题"/>
    <w:next w:val="afff"/>
    <w:qFormat/>
    <w:pPr>
      <w:numPr>
        <w:numId w:val="11"/>
      </w:numPr>
      <w:tabs>
        <w:tab w:val="left" w:pos="360"/>
      </w:tabs>
      <w:spacing w:beforeLines="50" w:before="50" w:afterLines="50" w:after="50"/>
      <w:jc w:val="center"/>
    </w:pPr>
    <w:rPr>
      <w:rFonts w:ascii="黑体" w:eastAsia="黑体"/>
      <w:sz w:val="21"/>
    </w:rPr>
  </w:style>
  <w:style w:type="paragraph" w:customStyle="1" w:styleId="affff6">
    <w:name w:val="五级无"/>
    <w:basedOn w:val="a5"/>
    <w:qFormat/>
    <w:pPr>
      <w:spacing w:before="0" w:after="0"/>
    </w:pPr>
    <w:rPr>
      <w:rFonts w:ascii="宋体"/>
    </w:rPr>
  </w:style>
  <w:style w:type="paragraph" w:customStyle="1" w:styleId="af">
    <w:name w:val="示例"/>
    <w:next w:val="afffb"/>
    <w:qFormat/>
    <w:pPr>
      <w:widowControl w:val="0"/>
      <w:numPr>
        <w:numId w:val="12"/>
      </w:numPr>
      <w:jc w:val="both"/>
    </w:pPr>
    <w:rPr>
      <w:rFonts w:ascii="宋体"/>
      <w:sz w:val="18"/>
      <w:szCs w:val="18"/>
    </w:rPr>
  </w:style>
  <w:style w:type="paragraph" w:customStyle="1" w:styleId="affff7">
    <w:name w:val="标准书脚_奇数页"/>
    <w:qFormat/>
    <w:pPr>
      <w:spacing w:before="120"/>
      <w:ind w:right="198"/>
      <w:jc w:val="right"/>
    </w:pPr>
    <w:rPr>
      <w:rFonts w:ascii="宋体"/>
      <w:sz w:val="18"/>
      <w:szCs w:val="18"/>
    </w:rPr>
  </w:style>
  <w:style w:type="paragraph" w:customStyle="1" w:styleId="affff8">
    <w:name w:val="附录三级无"/>
    <w:basedOn w:val="aa"/>
    <w:qFormat/>
    <w:pPr>
      <w:tabs>
        <w:tab w:val="clear" w:pos="360"/>
      </w:tabs>
      <w:spacing w:beforeLines="0" w:before="0" w:afterLines="0" w:after="0"/>
    </w:pPr>
    <w:rPr>
      <w:rFonts w:ascii="宋体" w:eastAsia="宋体"/>
      <w:szCs w:val="21"/>
    </w:rPr>
  </w:style>
  <w:style w:type="paragraph" w:customStyle="1" w:styleId="affff9">
    <w:name w:val="封面标准英文名称"/>
    <w:basedOn w:val="affff4"/>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22">
    <w:name w:val="封面一致性程度标识2"/>
    <w:basedOn w:val="affffa"/>
    <w:qFormat/>
    <w:pPr>
      <w:framePr w:wrap="around" w:y="4469"/>
    </w:pPr>
  </w:style>
  <w:style w:type="paragraph" w:customStyle="1" w:styleId="afd">
    <w:name w:val="附录表标题"/>
    <w:basedOn w:val="aff2"/>
    <w:next w:val="afff"/>
    <w:qFormat/>
    <w:pPr>
      <w:numPr>
        <w:ilvl w:val="1"/>
        <w:numId w:val="13"/>
      </w:numPr>
      <w:tabs>
        <w:tab w:val="left" w:pos="180"/>
      </w:tabs>
      <w:spacing w:beforeLines="50" w:before="50" w:afterLines="50" w:after="50"/>
      <w:ind w:left="0" w:firstLine="0"/>
      <w:jc w:val="center"/>
    </w:pPr>
    <w:rPr>
      <w:rFonts w:ascii="黑体" w:eastAsia="黑体"/>
    </w:rPr>
  </w:style>
  <w:style w:type="paragraph" w:customStyle="1" w:styleId="a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c">
    <w:name w:val="实施日期"/>
    <w:basedOn w:val="afffa"/>
    <w:qFormat/>
    <w:pPr>
      <w:framePr w:wrap="around" w:vAnchor="page" w:hAnchor="text"/>
      <w:jc w:val="right"/>
    </w:pPr>
  </w:style>
  <w:style w:type="paragraph" w:customStyle="1" w:styleId="aff1">
    <w:name w:val="正文图标题"/>
    <w:next w:val="afff"/>
    <w:qFormat/>
    <w:pPr>
      <w:numPr>
        <w:numId w:val="14"/>
      </w:numPr>
      <w:tabs>
        <w:tab w:val="left" w:pos="360"/>
      </w:tabs>
      <w:spacing w:beforeLines="50" w:before="50" w:afterLines="50" w:after="50"/>
      <w:jc w:val="center"/>
    </w:pPr>
    <w:rPr>
      <w:rFonts w:ascii="黑体" w:eastAsia="黑体"/>
      <w:sz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c">
    <w:name w:val="附录五级条标题"/>
    <w:basedOn w:val="ab"/>
    <w:next w:val="afff"/>
    <w:qFormat/>
    <w:pPr>
      <w:numPr>
        <w:ilvl w:val="6"/>
      </w:numPr>
      <w:outlineLvl w:val="6"/>
    </w:pPr>
  </w:style>
  <w:style w:type="paragraph" w:customStyle="1" w:styleId="affffd">
    <w:name w:val="附录五级无"/>
    <w:basedOn w:val="ac"/>
    <w:qFormat/>
    <w:pPr>
      <w:spacing w:beforeLines="0" w:before="0" w:afterLines="0" w:after="0"/>
    </w:pPr>
    <w:rPr>
      <w:rFonts w:ascii="宋体" w:eastAsia="宋体"/>
      <w:szCs w:val="21"/>
    </w:rPr>
  </w:style>
  <w:style w:type="paragraph" w:customStyle="1" w:styleId="affffe">
    <w:name w:val="附录标题"/>
    <w:basedOn w:val="afff"/>
    <w:next w:val="afff"/>
    <w:qFormat/>
    <w:pPr>
      <w:ind w:firstLineChars="0" w:firstLine="0"/>
      <w:jc w:val="center"/>
    </w:pPr>
    <w:rPr>
      <w:rFonts w:ascii="黑体" w:eastAsia="黑体"/>
    </w:rPr>
  </w:style>
  <w:style w:type="paragraph" w:customStyle="1" w:styleId="a7">
    <w:name w:val="附录章标题"/>
    <w:next w:val="afff"/>
    <w:qFormat/>
    <w:pPr>
      <w:numPr>
        <w:ilvl w:val="1"/>
        <w:numId w:val="9"/>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8">
    <w:name w:val="附录一级条标题"/>
    <w:basedOn w:val="a7"/>
    <w:next w:val="afff"/>
    <w:qFormat/>
    <w:pPr>
      <w:numPr>
        <w:ilvl w:val="2"/>
      </w:numPr>
      <w:autoSpaceDN w:val="0"/>
      <w:spacing w:beforeLines="50" w:before="50" w:afterLines="50" w:after="50"/>
      <w:outlineLvl w:val="2"/>
    </w:pPr>
  </w:style>
  <w:style w:type="paragraph" w:customStyle="1" w:styleId="afffff">
    <w:name w:val="附录一级无"/>
    <w:basedOn w:val="a8"/>
    <w:qFormat/>
    <w:pPr>
      <w:spacing w:beforeLines="0" w:before="0" w:afterLines="0" w:after="0"/>
    </w:pPr>
    <w:rPr>
      <w:rFonts w:ascii="宋体" w:eastAsia="宋体"/>
      <w:szCs w:val="21"/>
    </w:rPr>
  </w:style>
  <w:style w:type="paragraph" w:customStyle="1" w:styleId="afffff0">
    <w:name w:val="终结线"/>
    <w:basedOn w:val="aff2"/>
    <w:qFormat/>
    <w:pPr>
      <w:framePr w:hSpace="181" w:vSpace="181" w:wrap="around" w:vAnchor="text" w:hAnchor="margin" w:xAlign="center" w:y="285"/>
    </w:pPr>
  </w:style>
  <w:style w:type="paragraph" w:customStyle="1" w:styleId="afc">
    <w:name w:val="附录表标号"/>
    <w:basedOn w:val="aff2"/>
    <w:next w:val="afff"/>
    <w:qFormat/>
    <w:pPr>
      <w:numPr>
        <w:numId w:val="13"/>
      </w:numPr>
      <w:spacing w:line="14" w:lineRule="exact"/>
      <w:ind w:left="811" w:hanging="448"/>
      <w:jc w:val="center"/>
      <w:outlineLvl w:val="0"/>
    </w:pPr>
    <w:rPr>
      <w:color w:val="FFFFFF"/>
    </w:rPr>
  </w:style>
  <w:style w:type="paragraph" w:customStyle="1" w:styleId="afffff1">
    <w:name w:val="目次、标准名称标题"/>
    <w:basedOn w:val="aff2"/>
    <w:next w:val="a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2">
    <w:name w:val="四级无"/>
    <w:basedOn w:val="a4"/>
    <w:qFormat/>
    <w:pPr>
      <w:spacing w:before="0" w:after="0"/>
    </w:pPr>
    <w:rPr>
      <w:rFonts w:ascii="宋体"/>
    </w:rPr>
  </w:style>
  <w:style w:type="paragraph" w:customStyle="1" w:styleId="afffff3">
    <w:name w:val="目次、索引正文"/>
    <w:qFormat/>
    <w:pPr>
      <w:spacing w:line="320" w:lineRule="exact"/>
      <w:jc w:val="both"/>
    </w:pPr>
    <w:rPr>
      <w:rFonts w:ascii="宋体"/>
      <w:sz w:val="21"/>
    </w:rPr>
  </w:style>
  <w:style w:type="paragraph" w:customStyle="1" w:styleId="a6">
    <w:name w:val="附录标识"/>
    <w:basedOn w:val="aff2"/>
    <w:next w:val="afff"/>
    <w:qFormat/>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4">
    <w:name w:val="附录公式"/>
    <w:basedOn w:val="afff"/>
    <w:next w:val="afff"/>
    <w:qFormat/>
  </w:style>
  <w:style w:type="paragraph" w:customStyle="1" w:styleId="afffff5">
    <w:name w:val="封面标准文稿类别"/>
    <w:basedOn w:val="affffa"/>
    <w:qFormat/>
    <w:pPr>
      <w:framePr w:wrap="around"/>
      <w:spacing w:after="160" w:line="240" w:lineRule="auto"/>
    </w:pPr>
    <w:rPr>
      <w:sz w:val="24"/>
    </w:rPr>
  </w:style>
  <w:style w:type="paragraph" w:customStyle="1" w:styleId="afffff6">
    <w:name w:val="封面标准文稿编辑信息"/>
    <w:basedOn w:val="afffff5"/>
    <w:qFormat/>
    <w:pPr>
      <w:framePr w:wrap="around"/>
      <w:spacing w:before="180" w:line="180" w:lineRule="exact"/>
    </w:pPr>
    <w:rPr>
      <w:sz w:val="21"/>
    </w:rPr>
  </w:style>
  <w:style w:type="paragraph" w:customStyle="1" w:styleId="af6">
    <w:name w:val="列项◆（三级）"/>
    <w:basedOn w:val="aff2"/>
    <w:qFormat/>
    <w:pPr>
      <w:numPr>
        <w:ilvl w:val="2"/>
        <w:numId w:val="10"/>
      </w:numPr>
      <w:tabs>
        <w:tab w:val="left" w:pos="1678"/>
      </w:tabs>
    </w:pPr>
  </w:style>
  <w:style w:type="paragraph" w:customStyle="1" w:styleId="af5">
    <w:name w:val="列项●（二级）"/>
    <w:qFormat/>
    <w:pPr>
      <w:numPr>
        <w:ilvl w:val="1"/>
        <w:numId w:val="10"/>
      </w:numPr>
      <w:tabs>
        <w:tab w:val="left" w:pos="840"/>
      </w:tabs>
      <w:jc w:val="both"/>
    </w:pPr>
    <w:rPr>
      <w:rFonts w:ascii="宋体"/>
      <w:sz w:val="21"/>
    </w:rPr>
  </w:style>
  <w:style w:type="paragraph" w:customStyle="1" w:styleId="afffff7">
    <w:name w:val="标准书眉一"/>
    <w:qFormat/>
    <w:pPr>
      <w:jc w:val="both"/>
    </w:pPr>
  </w:style>
  <w:style w:type="paragraph" w:customStyle="1" w:styleId="24">
    <w:name w:val="封面标准文稿编辑信息2"/>
    <w:basedOn w:val="afffff6"/>
    <w:qFormat/>
    <w:pPr>
      <w:framePr w:wrap="around" w:y="4469"/>
    </w:pPr>
  </w:style>
  <w:style w:type="paragraph" w:customStyle="1" w:styleId="af8">
    <w:name w:val="示例×："/>
    <w:basedOn w:val="a0"/>
    <w:qFormat/>
    <w:pPr>
      <w:numPr>
        <w:numId w:val="15"/>
      </w:numPr>
      <w:spacing w:beforeLines="0" w:before="0" w:afterLines="0" w:after="0"/>
      <w:outlineLvl w:val="9"/>
    </w:pPr>
    <w:rPr>
      <w:rFonts w:ascii="宋体" w:eastAsia="宋体"/>
      <w:sz w:val="18"/>
      <w:szCs w:val="18"/>
    </w:rPr>
  </w:style>
  <w:style w:type="paragraph" w:customStyle="1" w:styleId="afffff8">
    <w:name w:val="条文脚注"/>
    <w:basedOn w:val="af1"/>
    <w:qFormat/>
    <w:pPr>
      <w:numPr>
        <w:numId w:val="0"/>
      </w:numPr>
      <w:jc w:val="both"/>
    </w:pPr>
  </w:style>
  <w:style w:type="paragraph" w:customStyle="1" w:styleId="afffff9">
    <w:name w:val="其他标准称谓"/>
    <w:next w:val="aff2"/>
    <w:qFormat/>
    <w:pPr>
      <w:framePr w:hSpace="181" w:vSpace="181" w:wrap="around" w:vAnchor="page" w:hAnchor="page" w:x="1419" w:y="2286" w:anchorLock="1"/>
      <w:spacing w:line="0" w:lineRule="atLeast"/>
      <w:jc w:val="distribute"/>
    </w:pPr>
    <w:rPr>
      <w:rFonts w:ascii="黑体" w:eastAsia="黑体"/>
      <w:spacing w:val="-40"/>
      <w:sz w:val="48"/>
      <w:szCs w:val="52"/>
    </w:rPr>
  </w:style>
  <w:style w:type="paragraph" w:customStyle="1" w:styleId="afffffa">
    <w:name w:val="其他实施日期"/>
    <w:basedOn w:val="affffc"/>
    <w:qFormat/>
    <w:pPr>
      <w:framePr w:wrap="around"/>
    </w:pPr>
  </w:style>
  <w:style w:type="paragraph" w:customStyle="1" w:styleId="afffffb">
    <w:name w:val="三级无"/>
    <w:basedOn w:val="a3"/>
    <w:qFormat/>
    <w:pPr>
      <w:spacing w:before="0" w:after="0"/>
    </w:pPr>
    <w:rPr>
      <w:rFonts w:ascii="宋体"/>
    </w:rPr>
  </w:style>
  <w:style w:type="paragraph" w:customStyle="1" w:styleId="afffffc">
    <w:name w:val="参考文献"/>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公式编号制表符"/>
    <w:basedOn w:val="afff"/>
    <w:next w:val="afff"/>
    <w:qFormat/>
    <w:pPr>
      <w:ind w:firstLineChars="0" w:firstLine="0"/>
    </w:pPr>
  </w:style>
  <w:style w:type="paragraph" w:customStyle="1" w:styleId="25">
    <w:name w:val="封面标准文稿类别2"/>
    <w:basedOn w:val="afffff5"/>
    <w:qFormat/>
    <w:pPr>
      <w:framePr w:wrap="around" w:y="4469"/>
    </w:pPr>
  </w:style>
  <w:style w:type="paragraph" w:customStyle="1" w:styleId="af3">
    <w:name w:val="附录图标题"/>
    <w:basedOn w:val="aff2"/>
    <w:next w:val="afff"/>
    <w:qFormat/>
    <w:pPr>
      <w:numPr>
        <w:ilvl w:val="1"/>
        <w:numId w:val="16"/>
      </w:numPr>
      <w:tabs>
        <w:tab w:val="left" w:pos="363"/>
      </w:tabs>
      <w:spacing w:beforeLines="50" w:before="50" w:afterLines="50" w:after="50"/>
      <w:ind w:left="0" w:firstLine="0"/>
      <w:jc w:val="center"/>
    </w:pPr>
    <w:rPr>
      <w:rFonts w:ascii="黑体" w:eastAsia="黑体"/>
    </w:rPr>
  </w:style>
  <w:style w:type="paragraph" w:customStyle="1" w:styleId="afffffe">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
    <w:name w:val="二级无"/>
    <w:basedOn w:val="a2"/>
    <w:qFormat/>
    <w:pPr>
      <w:spacing w:before="0" w:after="0"/>
    </w:pPr>
    <w:rPr>
      <w:rFonts w:ascii="宋体"/>
    </w:rPr>
  </w:style>
  <w:style w:type="paragraph" w:customStyle="1" w:styleId="ad">
    <w:name w:val="注×：（正文）"/>
    <w:qFormat/>
    <w:pPr>
      <w:numPr>
        <w:numId w:val="17"/>
      </w:numPr>
      <w:jc w:val="both"/>
    </w:pPr>
    <w:rPr>
      <w:rFonts w:ascii="宋体"/>
      <w:sz w:val="18"/>
      <w:szCs w:val="18"/>
    </w:rPr>
  </w:style>
  <w:style w:type="paragraph" w:customStyle="1" w:styleId="affffff0">
    <w:name w:val="列项说明数字编号"/>
    <w:qFormat/>
    <w:pPr>
      <w:ind w:leftChars="400" w:left="600" w:hangingChars="200" w:hanging="200"/>
    </w:pPr>
    <w:rPr>
      <w:rFonts w:ascii="宋体"/>
      <w:sz w:val="21"/>
    </w:rPr>
  </w:style>
  <w:style w:type="paragraph" w:customStyle="1" w:styleId="af2">
    <w:name w:val="附录图标号"/>
    <w:basedOn w:val="aff2"/>
    <w:qFormat/>
    <w:pPr>
      <w:keepNext/>
      <w:pageBreakBefore/>
      <w:widowControl/>
      <w:numPr>
        <w:numId w:val="16"/>
      </w:numPr>
      <w:spacing w:line="14" w:lineRule="exact"/>
      <w:ind w:left="0" w:firstLine="363"/>
      <w:jc w:val="center"/>
      <w:outlineLvl w:val="0"/>
    </w:pPr>
    <w:rPr>
      <w:color w:val="FFFFFF"/>
    </w:rPr>
  </w:style>
  <w:style w:type="paragraph" w:customStyle="1" w:styleId="affffff1">
    <w:name w:val="其他标准标志"/>
    <w:basedOn w:val="affff3"/>
    <w:qFormat/>
    <w:pPr>
      <w:framePr w:w="6101" w:wrap="around" w:vAnchor="page" w:hAnchor="page" w:x="4673" w:y="942"/>
    </w:pPr>
    <w:rPr>
      <w:w w:val="130"/>
    </w:rPr>
  </w:style>
  <w:style w:type="paragraph" w:customStyle="1" w:styleId="affffff2">
    <w:name w:val="其他发布日期"/>
    <w:basedOn w:val="afffa"/>
    <w:qFormat/>
    <w:pPr>
      <w:framePr w:wrap="around" w:vAnchor="page" w:hAnchor="text" w:x="1419"/>
    </w:pPr>
  </w:style>
  <w:style w:type="paragraph" w:customStyle="1" w:styleId="affffff3">
    <w:name w:val="附录二级无"/>
    <w:basedOn w:val="a9"/>
    <w:qFormat/>
    <w:pPr>
      <w:tabs>
        <w:tab w:val="clear" w:pos="360"/>
      </w:tabs>
      <w:spacing w:beforeLines="0" w:before="0" w:afterLines="0" w:after="0"/>
    </w:pPr>
    <w:rPr>
      <w:rFonts w:ascii="宋体" w:eastAsia="宋体"/>
      <w:szCs w:val="21"/>
    </w:rPr>
  </w:style>
  <w:style w:type="paragraph" w:customStyle="1" w:styleId="affffff4">
    <w:name w:val="图的脚注"/>
    <w:next w:val="afff"/>
    <w:qFormat/>
    <w:pPr>
      <w:widowControl w:val="0"/>
      <w:ind w:leftChars="200" w:left="400" w:hangingChars="200" w:hanging="200"/>
      <w:jc w:val="both"/>
    </w:pPr>
    <w:rPr>
      <w:rFonts w:ascii="宋体"/>
      <w:sz w:val="18"/>
    </w:rPr>
  </w:style>
  <w:style w:type="paragraph" w:customStyle="1" w:styleId="affffff5">
    <w:name w:val="标准书眉_偶数页"/>
    <w:basedOn w:val="affff0"/>
    <w:next w:val="aff2"/>
    <w:qFormat/>
    <w:pPr>
      <w:jc w:val="left"/>
    </w:pPr>
  </w:style>
  <w:style w:type="paragraph" w:customStyle="1" w:styleId="afa">
    <w:name w:val="数字编号列项（二级）"/>
    <w:qFormat/>
    <w:pPr>
      <w:numPr>
        <w:ilvl w:val="1"/>
        <w:numId w:val="6"/>
      </w:numPr>
      <w:tabs>
        <w:tab w:val="left" w:pos="1260"/>
      </w:tabs>
      <w:jc w:val="both"/>
    </w:pPr>
    <w:rPr>
      <w:rFonts w:ascii="宋体"/>
      <w:sz w:val="21"/>
    </w:rPr>
  </w:style>
  <w:style w:type="paragraph" w:customStyle="1" w:styleId="affffff6">
    <w:name w:val="示例后文字"/>
    <w:basedOn w:val="afff"/>
    <w:next w:val="afff"/>
    <w:qFormat/>
    <w:rPr>
      <w:sz w:val="18"/>
    </w:rPr>
  </w:style>
  <w:style w:type="paragraph" w:customStyle="1" w:styleId="affffff7">
    <w:name w:val="一级无"/>
    <w:basedOn w:val="a1"/>
    <w:qFormat/>
    <w:pPr>
      <w:spacing w:beforeLines="0" w:before="0" w:afterLines="0" w:after="0"/>
    </w:pPr>
    <w:rPr>
      <w:rFonts w:ascii="宋体" w:eastAsia="宋体"/>
    </w:rPr>
  </w:style>
  <w:style w:type="paragraph" w:customStyle="1" w:styleId="affffff8">
    <w:name w:val="附录四级无"/>
    <w:basedOn w:val="ab"/>
    <w:qFormat/>
    <w:pPr>
      <w:tabs>
        <w:tab w:val="clear" w:pos="360"/>
      </w:tabs>
      <w:spacing w:beforeLines="0" w:before="0" w:afterLines="0" w:after="0"/>
    </w:pPr>
    <w:rPr>
      <w:rFonts w:ascii="宋体" w:eastAsia="宋体"/>
      <w:szCs w:val="21"/>
    </w:rPr>
  </w:style>
  <w:style w:type="paragraph" w:customStyle="1" w:styleId="26">
    <w:name w:val="封面标准英文名称2"/>
    <w:basedOn w:val="affff9"/>
    <w:qFormat/>
    <w:pPr>
      <w:framePr w:wrap="around" w:y="4469"/>
    </w:pPr>
  </w:style>
  <w:style w:type="paragraph" w:customStyle="1" w:styleId="af0">
    <w:name w:val="图表脚注说明"/>
    <w:basedOn w:val="aff2"/>
    <w:qFormat/>
    <w:pPr>
      <w:numPr>
        <w:numId w:val="18"/>
      </w:numPr>
    </w:pPr>
    <w:rPr>
      <w:sz w:val="18"/>
      <w:szCs w:val="18"/>
    </w:rPr>
  </w:style>
  <w:style w:type="paragraph" w:customStyle="1" w:styleId="affffff9">
    <w:name w:val="附录公式编号制表符"/>
    <w:basedOn w:val="aff2"/>
    <w:next w:val="afff"/>
    <w:qFormat/>
    <w:pPr>
      <w:widowControl/>
      <w:tabs>
        <w:tab w:val="center" w:pos="4201"/>
        <w:tab w:val="right" w:leader="dot" w:pos="9298"/>
      </w:tabs>
      <w:autoSpaceDE w:val="0"/>
      <w:autoSpaceDN w:val="0"/>
    </w:pPr>
    <w:rPr>
      <w:kern w:val="0"/>
      <w:szCs w:val="20"/>
      <w:lang w:val="zh-CN"/>
    </w:rPr>
  </w:style>
  <w:style w:type="paragraph" w:customStyle="1" w:styleId="Default">
    <w:name w:val="Default"/>
    <w:qFormat/>
    <w:pPr>
      <w:widowControl w:val="0"/>
      <w:autoSpaceDE w:val="0"/>
      <w:autoSpaceDN w:val="0"/>
      <w:adjustRightInd w:val="0"/>
    </w:pPr>
    <w:rPr>
      <w:rFonts w:ascii="Cambria" w:hAnsi="Cambria" w:cs="Cambria"/>
      <w:color w:val="000000"/>
      <w:sz w:val="24"/>
      <w:szCs w:val="24"/>
    </w:rPr>
  </w:style>
  <w:style w:type="paragraph" w:customStyle="1" w:styleId="ae">
    <w:name w:val="首示例"/>
    <w:next w:val="afff"/>
    <w:qFormat/>
    <w:pPr>
      <w:numPr>
        <w:numId w:val="19"/>
      </w:numPr>
      <w:tabs>
        <w:tab w:val="left" w:pos="360"/>
      </w:tabs>
      <w:ind w:firstLine="0"/>
    </w:pPr>
    <w:rPr>
      <w:rFonts w:ascii="宋体"/>
      <w:kern w:val="2"/>
      <w:sz w:val="18"/>
      <w:szCs w:val="18"/>
    </w:rPr>
  </w:style>
  <w:style w:type="paragraph" w:customStyle="1" w:styleId="affffffa">
    <w:name w:val="封面正文"/>
    <w:qFormat/>
    <w:pPr>
      <w:jc w:val="both"/>
    </w:pPr>
  </w:style>
  <w:style w:type="paragraph" w:customStyle="1" w:styleId="a">
    <w:name w:val="注×："/>
    <w:qFormat/>
    <w:pPr>
      <w:widowControl w:val="0"/>
      <w:numPr>
        <w:numId w:val="20"/>
      </w:numPr>
      <w:autoSpaceDE w:val="0"/>
      <w:autoSpaceDN w:val="0"/>
      <w:jc w:val="both"/>
    </w:pPr>
    <w:rPr>
      <w:rFonts w:ascii="宋体"/>
      <w:sz w:val="18"/>
      <w:szCs w:val="18"/>
    </w:rPr>
  </w:style>
  <w:style w:type="paragraph" w:customStyle="1" w:styleId="aff0">
    <w:name w:val="附录数字编号列项（二级）"/>
    <w:qFormat/>
    <w:pPr>
      <w:numPr>
        <w:ilvl w:val="1"/>
        <w:numId w:val="7"/>
      </w:numPr>
      <w:tabs>
        <w:tab w:val="left" w:pos="840"/>
      </w:tabs>
    </w:pPr>
    <w:rPr>
      <w:rFonts w:ascii="宋体"/>
      <w:sz w:val="21"/>
    </w:rPr>
  </w:style>
  <w:style w:type="paragraph" w:customStyle="1" w:styleId="27">
    <w:name w:val="封面标准名称2"/>
    <w:basedOn w:val="affff4"/>
    <w:qFormat/>
    <w:pPr>
      <w:framePr w:wrap="around" w:y="4469"/>
      <w:spacing w:beforeLines="630" w:before="630"/>
    </w:pPr>
  </w:style>
  <w:style w:type="paragraph" w:customStyle="1" w:styleId="affffffb">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character" w:customStyle="1" w:styleId="affffffc">
    <w:name w:val="发布"/>
    <w:basedOn w:val="aff3"/>
    <w:qFormat/>
    <w:rPr>
      <w:rFonts w:ascii="黑体" w:eastAsia="黑体"/>
      <w:spacing w:val="85"/>
      <w:w w:val="100"/>
      <w:position w:val="3"/>
      <w:sz w:val="28"/>
      <w:szCs w:val="28"/>
    </w:rPr>
  </w:style>
  <w:style w:type="paragraph" w:customStyle="1" w:styleId="13">
    <w:name w:val="列出段落1"/>
    <w:basedOn w:val="aff2"/>
    <w:uiPriority w:val="1"/>
    <w:qFormat/>
    <w:pPr>
      <w:ind w:left="724" w:hanging="399"/>
    </w:pPr>
    <w:rPr>
      <w:rFonts w:ascii="Cambria" w:eastAsia="Cambria" w:hAnsi="Cambria" w:cs="Cambria"/>
      <w:lang w:eastAsia="en-US" w:bidi="en-US"/>
    </w:rPr>
  </w:style>
  <w:style w:type="character" w:customStyle="1" w:styleId="Char2">
    <w:name w:val="编号列项（三级） Char"/>
    <w:link w:val="afb"/>
    <w:qFormat/>
    <w:rPr>
      <w:rFonts w:ascii="宋体"/>
      <w:sz w:val="21"/>
    </w:rPr>
  </w:style>
  <w:style w:type="character" w:customStyle="1" w:styleId="Char0">
    <w:name w:val="批注框文本 Char"/>
    <w:basedOn w:val="aff3"/>
    <w:link w:val="affb"/>
    <w:qFormat/>
    <w:rPr>
      <w:kern w:val="2"/>
      <w:sz w:val="18"/>
      <w:szCs w:val="18"/>
    </w:rPr>
  </w:style>
  <w:style w:type="character" w:customStyle="1" w:styleId="Char">
    <w:name w:val="批注文字 Char"/>
    <w:basedOn w:val="aff3"/>
    <w:link w:val="aff8"/>
    <w:rPr>
      <w:kern w:val="2"/>
      <w:sz w:val="21"/>
      <w:szCs w:val="24"/>
    </w:rPr>
  </w:style>
  <w:style w:type="character" w:customStyle="1" w:styleId="Char1">
    <w:name w:val="批注主题 Char"/>
    <w:basedOn w:val="Char"/>
    <w:link w:val="afff1"/>
    <w:qFormat/>
    <w:rPr>
      <w:b/>
      <w:bCs/>
      <w:kern w:val="2"/>
      <w:sz w:val="21"/>
      <w:szCs w:val="24"/>
    </w:rPr>
  </w:style>
  <w:style w:type="paragraph" w:customStyle="1" w:styleId="TableParagraph">
    <w:name w:val="Table Paragraph"/>
    <w:basedOn w:val="aff2"/>
    <w:uiPriority w:val="1"/>
    <w:qFormat/>
    <w:pPr>
      <w:ind w:left="124"/>
    </w:pPr>
    <w:rPr>
      <w:rFonts w:ascii="Cambria" w:eastAsia="Cambria" w:hAnsi="Cambria" w:cs="Cambria"/>
      <w:lang w:eastAsia="en-US" w:bidi="en-US"/>
    </w:rPr>
  </w:style>
  <w:style w:type="paragraph" w:customStyle="1" w:styleId="14">
    <w:name w:val="正文1"/>
    <w:basedOn w:val="aff2"/>
    <w:qFormat/>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3661</Words>
  <Characters>20871</Characters>
  <Application>Microsoft Office Word</Application>
  <DocSecurity>0</DocSecurity>
  <Lines>173</Lines>
  <Paragraphs>48</Paragraphs>
  <ScaleCrop>false</ScaleCrop>
  <Company>Microsoft</Company>
  <LinksUpToDate>false</LinksUpToDate>
  <CharactersWithSpaces>24484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zhx</dc:creator>
  <cp:lastModifiedBy>wangjian</cp:lastModifiedBy>
  <cp:revision>444</cp:revision>
  <dcterms:created xsi:type="dcterms:W3CDTF">2021-05-17T02:44:00Z</dcterms:created>
  <dcterms:modified xsi:type="dcterms:W3CDTF">2022-11-04T08:11:00Z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B34CC4A913464D6DAEB95705959EB8D9</vt:lpwstr>
  </property>
</Properties>
</file>