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cs="仿宋"/>
          <w:b/>
          <w:bCs/>
          <w:sz w:val="32"/>
          <w:szCs w:val="32"/>
        </w:rPr>
        <w:t>餐饮行业碳减排量核算指南  减少食品浪费</w:t>
      </w:r>
    </w:p>
    <w:p>
      <w:pPr>
        <w:spacing w:line="360" w:lineRule="auto"/>
        <w:jc w:val="center"/>
        <w:rPr>
          <w:rFonts w:ascii="黑体" w:hAnsi="黑体" w:eastAsia="黑体"/>
          <w:b/>
          <w:sz w:val="32"/>
          <w:szCs w:val="32"/>
        </w:rPr>
      </w:pPr>
      <w:r>
        <w:rPr>
          <w:rFonts w:hint="eastAsia" w:ascii="黑体" w:hAnsi="黑体" w:eastAsia="黑体"/>
          <w:b/>
          <w:sz w:val="32"/>
          <w:szCs w:val="32"/>
          <w:lang w:eastAsia="zh-CN"/>
        </w:rPr>
        <w:t>（征求意见稿）</w:t>
      </w:r>
      <w:r>
        <w:rPr>
          <w:rFonts w:ascii="黑体" w:hAnsi="黑体" w:eastAsia="黑体"/>
          <w:b/>
          <w:sz w:val="32"/>
          <w:szCs w:val="32"/>
        </w:rPr>
        <w:t>编制说明</w:t>
      </w:r>
    </w:p>
    <w:p>
      <w:pPr>
        <w:spacing w:line="360" w:lineRule="auto"/>
        <w:jc w:val="center"/>
        <w:rPr>
          <w:rFonts w:ascii="黑体" w:hAnsi="黑体" w:eastAsia="黑体"/>
          <w:b/>
          <w:sz w:val="32"/>
          <w:szCs w:val="32"/>
        </w:rPr>
      </w:pPr>
      <w:bookmarkStart w:id="7" w:name="_GoBack"/>
      <w:bookmarkEnd w:id="7"/>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一、工作简况</w:t>
      </w:r>
    </w:p>
    <w:p>
      <w:pPr>
        <w:spacing w:line="480" w:lineRule="exact"/>
        <w:rPr>
          <w:rFonts w:ascii="Times New Roman" w:hAnsi="Times New Roman" w:eastAsiaTheme="minorEastAsia"/>
          <w:b/>
          <w:sz w:val="24"/>
          <w:szCs w:val="24"/>
        </w:rPr>
      </w:pPr>
      <w:r>
        <w:rPr>
          <w:rFonts w:ascii="Times New Roman" w:hAnsi="Times New Roman" w:eastAsiaTheme="minorEastAsia"/>
          <w:b/>
          <w:sz w:val="24"/>
          <w:szCs w:val="24"/>
        </w:rPr>
        <w:t>1、任务来源</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中国每年粮食浪费量大概是1.35亿吨，接近世界食物浪费总量的三分之一。中国政府非常重视食物浪费问题，习近平主席于2020年8月11日做出了重要指示，“坚决制止餐饮浪费行为，切实培养节约习惯，在全社会营造浪费可耻节约为荣的氛围”。2021年4月29日第十三届全国人民代表大会常务委员会第二十八次会议通过《中华人民共和国反食品浪费法》，对于浪费食品或将受处罚。2021年12月，四部委出台《反食品浪费工作方案》：提出节约减损，遏制餐饮浪费，加强公共机构节约，促进食物合理利用等6方面工作，如包括建立食物捐赠，临期食品管理体系，厨余垃圾资源化利用。</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政府间气候变化专门委员会（IPCC）题为“气候变化与土地”报告估计，2010-2016年期间，造成全球变暖的气体排放量中有8%至10%是由食物损失和浪费造成的。按照FAO《2019年食物和农业现状》报告，食物浪费分为食物损失和食物浪费。在食物供应链阶段，食物损失占比的食物，远超过餐桌上的浪费。食物浪费后处置一般需要委托有资质的第三方进行卫生填埋，焚烧等方式进行处理，处理的过程中将产生CO2，CH4及N20等温室气体排放。</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根据《中华人民共和国反食品浪费法》，食品浪费，是指对可安全食用或者饮用的食品未能按照其功能目的合理利用，包括废弃、因不合理利用导致食品数量减少或者质量下降等。</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餐饮行业、食品企业和互联外卖平台，是重要的减少食物浪费的环节，减少也积极响应国家政策，采取措施降低食物浪费。根据中科院2018年《中国城市餐饮食物浪费报告》显示2015年我国城市餐饮业仅餐桌上食物浪费量在1700至1800万吨，相当于3000至5000万人一年的食物量。餐饮业人均食物浪费量为93克/人/餐，浪费率为11.7%。其中，大型餐馆、游客群体、中小学群体、公务聚餐等是餐饮食物浪费的“重灾区”。</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自中国提出2030年碳达峰和2060年碳中和的目标以来，餐饮行业面临着多重挑战，即要实现企业的碳减排，产品碳足迹和生产销售过程的碳排放，也要减少消费者的食物浪费，而两者是相辅相成的。阿里本地生活推出小份菜，轻食，还有餐饮企业的预制菜等都是积极实践。但由于食品供应链的复杂性和难以量化，食品浪费量所产生的温室气体排放没有统一的计量标准。特别是食品的管理、种类，以及烹饪方式都会带来不同的排放影响。</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目前还没有针对食品浪费所导致的温室气体排放量的量化准则。对于企业在减少食品浪费方面的管理体系和评价标准，目前也是空白。选定最佳的餐饮方式并设定评价标准，对于企业开展相关工作具有可复制性和可推广性，并将消费者行为纳入评价体系，可有效地改变消费者行为。</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因此，通过本标准制定，可以更科学地量化餐饮行业减少食品浪费的碳排放，支持餐饮行业企业通过改善生产和管理，以及销售企业和外卖平台与上下游企业合作，从而降低生产和销售以及消费过程所导致的食品浪费，避免产生的温室气体减排量，助力餐饮企业、外卖平台企业实现碳减排和碳中和。</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由此，立项餐饮行业食品浪费碳减排量核算指南，包括上述行业和方式，并针对目前外卖平台与个人食物浪费行为的碳中和管理评价体系。为今后国内个人碳交易提供方法学支撑，为各类机构参与个人减少食品浪费减排量化提供权威性、基础性支持。</w:t>
      </w:r>
    </w:p>
    <w:p>
      <w:pPr>
        <w:adjustRightInd w:val="0"/>
        <w:snapToGrid w:val="0"/>
        <w:spacing w:line="480" w:lineRule="exact"/>
        <w:ind w:firstLine="480" w:firstLineChars="200"/>
        <w:rPr>
          <w:rFonts w:hint="eastAsia" w:ascii="Times New Roman" w:hAnsi="Times New Roman" w:eastAsia="宋体" w:cs="宋体"/>
          <w:kern w:val="0"/>
          <w:sz w:val="24"/>
          <w:szCs w:val="24"/>
          <w:lang w:val="en-US" w:eastAsia="zh-CN" w:bidi="ar-SA"/>
        </w:rPr>
      </w:pPr>
      <w:r>
        <w:rPr>
          <w:rFonts w:hint="eastAsia" w:ascii="Times New Roman" w:hAnsi="Times New Roman" w:eastAsiaTheme="minorEastAsia"/>
          <w:sz w:val="24"/>
          <w:szCs w:val="24"/>
          <w:lang w:val="en-US" w:eastAsia="zh-CN"/>
        </w:rPr>
        <w:t>根据以上情况，中华环保联合会绿色循环普惠专委会发起《碳减排量核算指南  减少食品浪费》标准立项。中华环保联合会于2022年4月29日批准该项目立项，将《碳减排量核算指南  减少食品浪费》团体标准制定列入2022年计划，计划编号：中环联字[2022]X号</w:t>
      </w:r>
      <w:r>
        <w:rPr>
          <w:rFonts w:hint="eastAsia" w:ascii="Times New Roman" w:hAnsi="Times New Roman" w:eastAsia="宋体" w:cs="宋体"/>
          <w:kern w:val="0"/>
          <w:sz w:val="24"/>
          <w:szCs w:val="24"/>
          <w:lang w:val="en-US" w:eastAsia="zh-CN" w:bidi="ar-SA"/>
        </w:rPr>
        <w:t>。</w:t>
      </w:r>
    </w:p>
    <w:p>
      <w:pPr>
        <w:spacing w:line="480" w:lineRule="exact"/>
        <w:rPr>
          <w:rFonts w:ascii="Times New Roman" w:hAnsi="Times New Roman" w:eastAsiaTheme="minorEastAsia"/>
          <w:b/>
          <w:sz w:val="24"/>
          <w:szCs w:val="24"/>
        </w:rPr>
      </w:pPr>
      <w:r>
        <w:rPr>
          <w:rFonts w:ascii="Times New Roman" w:hAnsi="Times New Roman" w:eastAsiaTheme="minorEastAsia"/>
          <w:b/>
          <w:sz w:val="24"/>
          <w:szCs w:val="24"/>
        </w:rPr>
        <w:t>2、工作过程</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标准起草组成员通过进行广泛地文献、和参编企业展开调研问卷设计、问卷调研、专家研讨，同行讨论对标准名称、内容框架、具体应用范围、方法学、数据分析等标准内容开展相关工作。</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2022年4月29日，中华环保联合会批复计划立项通过，中华环保联合会绿色循环普惠专委会成立了标准起草工作组，期间，在阿里本地生活的外卖平台支持下，阿里集团碳中和委员会专家会议，收集意见，与全球消费品论坛食物浪费工作组交流相关国际层面和企业层面计算食物浪费碳减排计算标准，并参考前期天津排放交易所的小份菜减排量化方法学，碳阻迹‘光盘行动’计算方法，重新设计调研问卷，并在饿了么平台支持下开展问卷采样，形成标准方案初稿。</w:t>
      </w:r>
    </w:p>
    <w:p>
      <w:pPr>
        <w:adjustRightInd w:val="0"/>
        <w:snapToGrid w:val="0"/>
        <w:spacing w:line="48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2022年8月30日召开技术评审会，对技术内容进行修改，提交开展征集标准意见稿。</w:t>
      </w:r>
    </w:p>
    <w:p>
      <w:pPr>
        <w:spacing w:line="480" w:lineRule="exact"/>
        <w:rPr>
          <w:rFonts w:ascii="Times New Roman" w:hAnsi="Times New Roman" w:eastAsiaTheme="minorEastAsia"/>
          <w:sz w:val="24"/>
          <w:szCs w:val="24"/>
        </w:rPr>
      </w:pPr>
      <w:r>
        <w:rPr>
          <w:rFonts w:ascii="Times New Roman" w:hAnsi="Times New Roman" w:eastAsiaTheme="minorEastAsia"/>
          <w:b/>
          <w:sz w:val="24"/>
          <w:szCs w:val="24"/>
        </w:rPr>
        <w:t>3、主要起草单位及起草人所做的工作</w:t>
      </w:r>
    </w:p>
    <w:tbl>
      <w:tblPr>
        <w:tblStyle w:val="17"/>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2050"/>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224" w:type="dxa"/>
            <w:vAlign w:val="center"/>
          </w:tcPr>
          <w:p>
            <w:pPr>
              <w:spacing w:line="480" w:lineRule="exact"/>
              <w:rPr>
                <w:rFonts w:ascii="Times New Roman" w:hAnsi="Times New Roman" w:eastAsiaTheme="minorEastAsia"/>
                <w:sz w:val="24"/>
                <w:szCs w:val="24"/>
              </w:rPr>
            </w:pPr>
            <w:r>
              <w:rPr>
                <w:rFonts w:ascii="Times New Roman" w:hAnsi="Times New Roman" w:eastAsiaTheme="minorEastAsia"/>
                <w:sz w:val="24"/>
                <w:szCs w:val="24"/>
              </w:rPr>
              <w:t>主要参加单位</w:t>
            </w:r>
          </w:p>
        </w:tc>
        <w:tc>
          <w:tcPr>
            <w:tcW w:w="2050" w:type="dxa"/>
            <w:vAlign w:val="center"/>
          </w:tcPr>
          <w:p>
            <w:pPr>
              <w:spacing w:line="480" w:lineRule="exact"/>
              <w:rPr>
                <w:rFonts w:ascii="Times New Roman" w:hAnsi="Times New Roman" w:eastAsiaTheme="minorEastAsia"/>
                <w:sz w:val="24"/>
                <w:szCs w:val="24"/>
              </w:rPr>
            </w:pPr>
            <w:r>
              <w:rPr>
                <w:rFonts w:ascii="Times New Roman" w:hAnsi="Times New Roman" w:eastAsiaTheme="minorEastAsia"/>
                <w:sz w:val="24"/>
                <w:szCs w:val="24"/>
              </w:rPr>
              <w:t>成员</w:t>
            </w:r>
          </w:p>
        </w:tc>
        <w:tc>
          <w:tcPr>
            <w:tcW w:w="3546" w:type="dxa"/>
            <w:vAlign w:val="center"/>
          </w:tcPr>
          <w:p>
            <w:pPr>
              <w:spacing w:line="480" w:lineRule="exact"/>
              <w:rPr>
                <w:rFonts w:ascii="Times New Roman" w:hAnsi="Times New Roman" w:eastAsiaTheme="minorEastAsia"/>
                <w:sz w:val="24"/>
                <w:szCs w:val="24"/>
              </w:rPr>
            </w:pPr>
            <w:r>
              <w:rPr>
                <w:rFonts w:ascii="Times New Roman" w:hAnsi="Times New Roman" w:eastAsiaTheme="minorEastAsia"/>
                <w:sz w:val="24"/>
                <w:szCs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24" w:type="dxa"/>
            <w:vAlign w:val="center"/>
          </w:tcPr>
          <w:p>
            <w:pPr>
              <w:spacing w:line="480" w:lineRule="exact"/>
              <w:rPr>
                <w:rFonts w:ascii="Times New Roman" w:hAnsi="Times New Roman" w:eastAsiaTheme="minorEastAsia"/>
                <w:sz w:val="24"/>
                <w:szCs w:val="24"/>
              </w:rPr>
            </w:pPr>
            <w:r>
              <w:rPr>
                <w:rFonts w:hint="eastAsia" w:ascii="Times New Roman" w:hAnsi="Times New Roman" w:eastAsiaTheme="minorEastAsia"/>
                <w:sz w:val="24"/>
                <w:szCs w:val="24"/>
              </w:rPr>
              <w:t>中华环保联合会绿色循环普惠专委会</w:t>
            </w:r>
          </w:p>
        </w:tc>
        <w:tc>
          <w:tcPr>
            <w:tcW w:w="2050" w:type="dxa"/>
            <w:vAlign w:val="center"/>
          </w:tcPr>
          <w:p>
            <w:pPr>
              <w:spacing w:line="480" w:lineRule="exact"/>
              <w:rPr>
                <w:rFonts w:ascii="Times New Roman" w:hAnsi="Times New Roman" w:eastAsiaTheme="minorEastAsia"/>
                <w:color w:val="000000" w:themeColor="text1"/>
                <w:sz w:val="24"/>
                <w:szCs w:val="24"/>
                <w14:textFill>
                  <w14:solidFill>
                    <w14:schemeClr w14:val="tx1"/>
                  </w14:solidFill>
                </w14:textFill>
              </w:rPr>
            </w:pPr>
          </w:p>
        </w:tc>
        <w:tc>
          <w:tcPr>
            <w:tcW w:w="3546" w:type="dxa"/>
            <w:vAlign w:val="center"/>
          </w:tcPr>
          <w:p>
            <w:pPr>
              <w:spacing w:line="480" w:lineRule="exact"/>
              <w:rPr>
                <w:rFonts w:ascii="Times New Roman" w:hAnsi="Times New Roman" w:eastAsiaTheme="minorEastAsia"/>
                <w:sz w:val="24"/>
                <w:szCs w:val="24"/>
              </w:rPr>
            </w:pPr>
            <w:r>
              <w:rPr>
                <w:rFonts w:ascii="Times New Roman" w:hAnsi="Times New Roman" w:eastAsiaTheme="minorEastAsia"/>
                <w:sz w:val="24"/>
                <w:szCs w:val="24"/>
              </w:rPr>
              <w:t>负责标准制定工作组织协调、标准起草、方法验证、标准讨论与完善等工作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24" w:type="dxa"/>
            <w:vAlign w:val="center"/>
          </w:tcPr>
          <w:p>
            <w:pPr>
              <w:spacing w:line="480" w:lineRule="exact"/>
              <w:rPr>
                <w:rFonts w:ascii="Times New Roman" w:hAnsi="Times New Roman" w:eastAsiaTheme="minorEastAsia"/>
                <w:sz w:val="24"/>
                <w:szCs w:val="24"/>
              </w:rPr>
            </w:pPr>
            <w:r>
              <w:rPr>
                <w:rFonts w:hint="eastAsia" w:ascii="Times New Roman" w:hAnsi="Times New Roman" w:eastAsiaTheme="minorEastAsia"/>
                <w:sz w:val="24"/>
                <w:szCs w:val="24"/>
              </w:rPr>
              <w:t>阿里本地生活</w:t>
            </w:r>
          </w:p>
        </w:tc>
        <w:tc>
          <w:tcPr>
            <w:tcW w:w="2050" w:type="dxa"/>
            <w:vAlign w:val="center"/>
          </w:tcPr>
          <w:p>
            <w:pPr>
              <w:spacing w:line="480" w:lineRule="exact"/>
              <w:rPr>
                <w:rFonts w:ascii="Times New Roman" w:hAnsi="Times New Roman" w:eastAsiaTheme="minorEastAsia"/>
                <w:color w:val="000000" w:themeColor="text1"/>
                <w:sz w:val="24"/>
                <w:szCs w:val="24"/>
                <w14:textFill>
                  <w14:solidFill>
                    <w14:schemeClr w14:val="tx1"/>
                  </w14:solidFill>
                </w14:textFill>
              </w:rPr>
            </w:pPr>
          </w:p>
        </w:tc>
        <w:tc>
          <w:tcPr>
            <w:tcW w:w="3546" w:type="dxa"/>
            <w:vAlign w:val="center"/>
          </w:tcPr>
          <w:p>
            <w:pPr>
              <w:spacing w:line="480" w:lineRule="exact"/>
              <w:rPr>
                <w:rFonts w:ascii="Times New Roman" w:hAnsi="Times New Roman" w:eastAsiaTheme="minorEastAsia"/>
                <w:sz w:val="24"/>
                <w:szCs w:val="24"/>
              </w:rPr>
            </w:pPr>
            <w:r>
              <w:rPr>
                <w:rFonts w:ascii="Times New Roman" w:hAnsi="Times New Roman" w:eastAsiaTheme="minorEastAsia"/>
                <w:sz w:val="24"/>
                <w:szCs w:val="24"/>
              </w:rPr>
              <w:t>负责数据支撑，问卷设计，调研，分析，数据采样，平台测试等工作。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24" w:type="dxa"/>
            <w:vAlign w:val="center"/>
          </w:tcPr>
          <w:p>
            <w:pPr>
              <w:spacing w:line="480" w:lineRule="exact"/>
              <w:rPr>
                <w:rFonts w:ascii="Times New Roman" w:hAnsi="Times New Roman" w:eastAsiaTheme="minorEastAsia"/>
                <w:sz w:val="24"/>
                <w:szCs w:val="24"/>
              </w:rPr>
            </w:pPr>
            <w:r>
              <w:rPr>
                <w:rFonts w:hint="eastAsia" w:ascii="Times New Roman" w:hAnsi="Times New Roman" w:eastAsiaTheme="minorEastAsia"/>
                <w:sz w:val="24"/>
                <w:szCs w:val="24"/>
              </w:rPr>
              <w:t>北京绿普惠网络科技有限公司</w:t>
            </w:r>
          </w:p>
        </w:tc>
        <w:tc>
          <w:tcPr>
            <w:tcW w:w="2050" w:type="dxa"/>
            <w:vAlign w:val="center"/>
          </w:tcPr>
          <w:p>
            <w:pPr>
              <w:spacing w:line="480" w:lineRule="exact"/>
              <w:rPr>
                <w:rFonts w:ascii="Times New Roman" w:hAnsi="Times New Roman" w:eastAsiaTheme="minorEastAsia"/>
                <w:color w:val="000000" w:themeColor="text1"/>
                <w:sz w:val="24"/>
                <w:szCs w:val="24"/>
                <w14:textFill>
                  <w14:solidFill>
                    <w14:schemeClr w14:val="tx1"/>
                  </w14:solidFill>
                </w14:textFill>
              </w:rPr>
            </w:pPr>
          </w:p>
        </w:tc>
        <w:tc>
          <w:tcPr>
            <w:tcW w:w="3546" w:type="dxa"/>
            <w:vAlign w:val="center"/>
          </w:tcPr>
          <w:p>
            <w:pPr>
              <w:spacing w:line="480" w:lineRule="exact"/>
              <w:rPr>
                <w:rFonts w:ascii="Times New Roman" w:hAnsi="Times New Roman" w:eastAsiaTheme="minorEastAsia"/>
                <w:sz w:val="24"/>
                <w:szCs w:val="24"/>
              </w:rPr>
            </w:pPr>
            <w:r>
              <w:rPr>
                <w:rFonts w:ascii="Times New Roman" w:hAnsi="Times New Roman" w:eastAsiaTheme="minorEastAsia"/>
                <w:sz w:val="24"/>
                <w:szCs w:val="24"/>
              </w:rPr>
              <w:t>负责标准制定工作组织协调等工作</w:t>
            </w:r>
          </w:p>
        </w:tc>
      </w:tr>
    </w:tbl>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二、标准编制原则和主要内容</w:t>
      </w:r>
    </w:p>
    <w:p>
      <w:pPr>
        <w:widowControl/>
        <w:spacing w:line="480" w:lineRule="exact"/>
        <w:ind w:firstLine="480" w:firstLineChars="200"/>
        <w:rPr>
          <w:rFonts w:ascii="Times New Roman" w:hAnsi="Times New Roman" w:eastAsiaTheme="minorEastAsia"/>
          <w:kern w:val="0"/>
          <w:sz w:val="24"/>
          <w:szCs w:val="24"/>
        </w:rPr>
      </w:pPr>
      <w:r>
        <w:rPr>
          <w:rFonts w:ascii="Times New Roman" w:hAnsi="Times New Roman" w:eastAsiaTheme="minorEastAsia"/>
          <w:kern w:val="0"/>
          <w:sz w:val="24"/>
          <w:szCs w:val="24"/>
        </w:rPr>
        <w:t>1标准制定原则</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（1）原则性：根据《中华人民共和国标准法》及其《实施细则》、《团体标准的结构和编写指南》T/CAS 1.1－2017进行编制。</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（2）适用性：  本文件适用于指导国内餐饮行业、外卖平台等企业加工、管理、销售以及服务等环节中对于所加工的食品不同处置中减少食品浪费方式的碳减排量化和对建立减少食物浪费评估提供参考。</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（3）先进性： </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目前国内外没有相关的针对消费端的餐饮行业和外卖食物浪费碳减排量核算标准，填补相关方法学的空白，指导餐饮和外卖行业对减少食物浪费碳减排进行量化，为后续开展碳普惠，带动消费者参与提供科学、统一的计算标准。</w:t>
      </w:r>
    </w:p>
    <w:p>
      <w:pPr>
        <w:widowControl/>
        <w:spacing w:line="480" w:lineRule="exact"/>
        <w:rPr>
          <w:rFonts w:ascii="Times New Roman" w:hAnsi="Times New Roman" w:eastAsiaTheme="minorEastAsia"/>
          <w:kern w:val="0"/>
          <w:sz w:val="24"/>
          <w:szCs w:val="24"/>
        </w:rPr>
      </w:pPr>
      <w:r>
        <w:rPr>
          <w:rFonts w:ascii="Times New Roman" w:hAnsi="Times New Roman" w:eastAsiaTheme="minorEastAsia"/>
          <w:kern w:val="0"/>
          <w:sz w:val="24"/>
          <w:szCs w:val="24"/>
        </w:rPr>
        <w:t>2主要内容</w:t>
      </w:r>
    </w:p>
    <w:p>
      <w:pPr>
        <w:widowControl/>
        <w:numPr>
          <w:ilvl w:val="0"/>
          <w:numId w:val="3"/>
        </w:numPr>
        <w:outlineLvl w:val="0"/>
        <w:rPr>
          <w:rFonts w:eastAsia="黑体"/>
          <w:kern w:val="0"/>
          <w:szCs w:val="21"/>
        </w:rPr>
      </w:pPr>
      <w:bookmarkStart w:id="0" w:name="_Toc116226258"/>
      <w:r>
        <w:rPr>
          <w:rFonts w:hint="eastAsia" w:eastAsia="黑体"/>
          <w:kern w:val="0"/>
          <w:szCs w:val="21"/>
        </w:rPr>
        <w:t>范围</w:t>
      </w:r>
      <w:bookmarkEnd w:id="0"/>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本文件确立了餐饮行业包括外卖平台在加工、存储、销售以及服务等环节中采取的减少食品浪费的方式以减少或避免碳排放量化的评估范围、评估程序和核算方法。 </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本文件适用于指导国内餐饮行业、外卖平台等企业加工、管理、销售以及服务等环节中对于所加工的食品不同处置中减少食品浪费方式的碳减排量化的核算，为指导建立减少食品浪费管理体系提供参考。</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餐饮行业其他减排方法也可参考，本标准主要适用于食品浪费的碳减排核算。</w:t>
      </w:r>
    </w:p>
    <w:p/>
    <w:p>
      <w:pPr>
        <w:pStyle w:val="54"/>
        <w:widowControl/>
        <w:numPr>
          <w:ilvl w:val="0"/>
          <w:numId w:val="3"/>
        </w:numPr>
        <w:snapToGrid/>
        <w:spacing w:line="240" w:lineRule="auto"/>
        <w:ind w:firstLineChars="0"/>
        <w:outlineLvl w:val="0"/>
        <w:rPr>
          <w:rFonts w:asciiTheme="minorEastAsia" w:hAnsiTheme="minorEastAsia" w:eastAsiaTheme="minorEastAsia"/>
          <w:b/>
          <w:kern w:val="0"/>
          <w:szCs w:val="21"/>
        </w:rPr>
      </w:pPr>
      <w:bookmarkStart w:id="1" w:name="_Toc65489386"/>
      <w:bookmarkStart w:id="2" w:name="_Toc116226259"/>
      <w:r>
        <w:rPr>
          <w:rFonts w:asciiTheme="minorEastAsia" w:hAnsiTheme="minorEastAsia" w:eastAsiaTheme="minorEastAsia"/>
          <w:b/>
          <w:kern w:val="0"/>
          <w:szCs w:val="21"/>
        </w:rPr>
        <w:t>规范性引用文件</w:t>
      </w:r>
      <w:bookmarkEnd w:id="1"/>
      <w:bookmarkEnd w:id="2"/>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bookmarkStart w:id="3" w:name="_Toc65489387"/>
      <w:bookmarkStart w:id="4" w:name="_Toc116226260"/>
      <w:r>
        <w:rPr>
          <w:rFonts w:hint="eastAsia" w:ascii="Times New Roman" w:hAnsi="Times New Roman" w:eastAsiaTheme="minorEastAsia"/>
          <w:sz w:val="24"/>
          <w:szCs w:val="24"/>
          <w:lang w:val="en-US" w:eastAsia="zh-CN"/>
        </w:rPr>
        <w:t>该部分列出了在本技术标准中所引用的国家标准、行业技术标准与技术标准。</w:t>
      </w:r>
    </w:p>
    <w:p>
      <w:pPr>
        <w:widowControl/>
        <w:outlineLvl w:val="0"/>
        <w:rPr>
          <w:rFonts w:cs="宋体" w:asciiTheme="minorEastAsia" w:hAnsiTheme="minorEastAsia" w:eastAsiaTheme="minorEastAsia"/>
          <w:kern w:val="0"/>
          <w:szCs w:val="21"/>
        </w:rPr>
      </w:pPr>
      <w:r>
        <w:rPr>
          <w:rFonts w:hint="eastAsia" w:asciiTheme="minorEastAsia" w:hAnsiTheme="minorEastAsia" w:eastAsiaTheme="minorEastAsia"/>
          <w:color w:val="000000"/>
          <w:szCs w:val="21"/>
        </w:rPr>
        <w:t xml:space="preserve">3. </w:t>
      </w:r>
      <w:bookmarkEnd w:id="3"/>
      <w:bookmarkEnd w:id="4"/>
      <w:r>
        <w:rPr>
          <w:rFonts w:cs="宋体" w:asciiTheme="minorEastAsia" w:hAnsiTheme="minorEastAsia" w:eastAsiaTheme="minorEastAsia"/>
          <w:b/>
          <w:bCs/>
          <w:color w:val="000000"/>
          <w:kern w:val="0"/>
          <w:szCs w:val="21"/>
        </w:rPr>
        <w:t xml:space="preserve">术语和定义 </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该部分用于解释在技术标准中使用的专业术语。</w:t>
      </w:r>
    </w:p>
    <w:p>
      <w:pPr>
        <w:rPr>
          <w:rFonts w:eastAsia="黑体"/>
          <w:kern w:val="0"/>
          <w:szCs w:val="21"/>
        </w:rPr>
      </w:pPr>
      <w:bookmarkStart w:id="5" w:name="_Toc116226261"/>
      <w:r>
        <w:rPr>
          <w:rFonts w:hint="eastAsia" w:ascii="宋体" w:hAnsi="宋体" w:cs="宋体"/>
        </w:rPr>
        <w:t xml:space="preserve">4. </w:t>
      </w:r>
      <w:r>
        <w:rPr>
          <w:rFonts w:hint="eastAsia" w:eastAsia="黑体"/>
          <w:kern w:val="0"/>
          <w:szCs w:val="21"/>
        </w:rPr>
        <w:t>餐饮行业管理减少食品浪费的步骤：</w:t>
      </w:r>
      <w:bookmarkEnd w:id="5"/>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4.1制定计划和发展战略；</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4.2建立基线和设置减少食物浪费目标；</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以采用常规食品制作和销售模式确定基线情景。</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对于目标设定开展餐饮行业和外卖平台问卷调研，明确减少浪费方式的有效性。</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4.3数据收集的原则：</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1）数据的来源：</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ab/>
      </w:r>
      <w:r>
        <w:rPr>
          <w:rFonts w:hint="eastAsia" w:ascii="Times New Roman" w:hAnsi="Times New Roman" w:eastAsiaTheme="minorEastAsia"/>
          <w:sz w:val="24"/>
          <w:szCs w:val="24"/>
          <w:lang w:val="en-US" w:eastAsia="zh-CN"/>
        </w:rPr>
        <w:t>项目活动必须生产用于制造在餐饮行业和外卖平台上销售的食品。</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2） 数据收集方式：</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a) 餐饮采购数据：如食品的组成、重量、种类、烹饪方式。</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b) 食品处置数据：项目应提供食品处置的数据，包括现场处置的材料；倒入垃圾桶的材料；其他废弃物，如销售或捐赠的数据；当地的焚烧率、填埋率等；</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c) 外卖平台提供的订单数量</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3）数据的有效性：</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项目参与方需提供数据制定，包括获取、记录、编制和维护的标准和程序，其他对温室气体量化和报告非常重要的信息，与项目和基准情景相关的数据，记录所有数据来源、假设和排放系数。</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4.4减少食品浪费的碳排放核算规则：</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a) 餐饮行业，以及采购部门排放范围识别，外卖平台排放范围识别；</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b) 食品浪费场景项目碳减排量计算；</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4.5 采取减少食品浪费的行动；</w:t>
      </w:r>
    </w:p>
    <w:p>
      <w:pPr>
        <w:adjustRightInd w:val="0"/>
        <w:snapToGrid w:val="0"/>
        <w:spacing w:line="480" w:lineRule="exact"/>
        <w:ind w:firstLine="480" w:firstLineChars="200"/>
        <w:rPr>
          <w:szCs w:val="21"/>
        </w:rPr>
      </w:pPr>
      <w:r>
        <w:rPr>
          <w:rFonts w:hint="eastAsia" w:ascii="Times New Roman" w:hAnsi="Times New Roman" w:eastAsiaTheme="minorEastAsia"/>
          <w:sz w:val="24"/>
          <w:szCs w:val="24"/>
          <w:lang w:val="en-US" w:eastAsia="zh-CN"/>
        </w:rPr>
        <w:t>4.6测量，监测，和报告，避免重复计算。</w:t>
      </w:r>
    </w:p>
    <w:p>
      <w:pPr>
        <w:rPr>
          <w:rFonts w:ascii="宋体" w:hAnsi="宋体" w:eastAsia="黑体" w:cs="宋体"/>
          <w:b/>
          <w:highlight w:val="yellow"/>
        </w:rPr>
      </w:pPr>
    </w:p>
    <w:p>
      <w:pPr>
        <w:pStyle w:val="54"/>
        <w:widowControl/>
        <w:numPr>
          <w:ilvl w:val="0"/>
          <w:numId w:val="4"/>
        </w:numPr>
        <w:ind w:firstLineChars="0"/>
        <w:outlineLvl w:val="0"/>
        <w:rPr>
          <w:rFonts w:eastAsia="黑体"/>
          <w:kern w:val="0"/>
          <w:szCs w:val="21"/>
        </w:rPr>
      </w:pPr>
      <w:bookmarkStart w:id="6" w:name="_Toc116226262"/>
      <w:r>
        <w:rPr>
          <w:rFonts w:hint="eastAsia" w:eastAsia="黑体"/>
          <w:kern w:val="0"/>
          <w:szCs w:val="21"/>
        </w:rPr>
        <w:t>减少食品浪费场景项目碳减排量核算方法</w:t>
      </w:r>
      <w:bookmarkEnd w:id="6"/>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5.1项目边界的空间范围包括：</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a) 餐饮行业减少食品浪费方式界定，指食品被餐厅采购、生产、或未被食用的食品经过相关处置后避免进入被废弃阶段，避免的食品浪费的碳排放。属于企业内部减少食品浪费的过程。</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b) 外卖平台：通过外卖平台的餐饮企业的订单、配送形式到达消费者，通过消费者的行为选择，协助减少食品被废弃。</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5.2  按照行业食品加工链条中与碳排放相关的食品浪费环节，包括：</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食品浪费基线情景是非绿色低碳行为所产生的直接排放和间接排放。</w:t>
      </w:r>
    </w:p>
    <w:p/>
    <w:tbl>
      <w:tblPr>
        <w:tblStyle w:val="1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86"/>
        <w:gridCol w:w="1225"/>
        <w:gridCol w:w="1592"/>
        <w:gridCol w:w="1701"/>
        <w:gridCol w:w="23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pPr>
              <w:rPr>
                <w:b/>
              </w:rPr>
            </w:pPr>
            <w:r>
              <w:rPr>
                <w:b/>
              </w:rPr>
              <w:t>食品处理过程</w:t>
            </w:r>
          </w:p>
        </w:tc>
        <w:tc>
          <w:tcPr>
            <w:tcW w:w="1225" w:type="dxa"/>
            <w:tcBorders>
              <w:bottom w:val="nil"/>
            </w:tcBorders>
          </w:tcPr>
          <w:p>
            <w:pPr>
              <w:rPr>
                <w:b/>
              </w:rPr>
            </w:pPr>
            <w:r>
              <w:rPr>
                <w:b/>
              </w:rPr>
              <w:t>技术方式</w:t>
            </w:r>
          </w:p>
        </w:tc>
        <w:tc>
          <w:tcPr>
            <w:tcW w:w="1592" w:type="dxa"/>
            <w:tcBorders>
              <w:bottom w:val="nil"/>
            </w:tcBorders>
          </w:tcPr>
          <w:p>
            <w:pPr>
              <w:rPr>
                <w:b/>
              </w:rPr>
            </w:pPr>
            <w:r>
              <w:rPr>
                <w:b/>
              </w:rPr>
              <w:t>具体场景</w:t>
            </w:r>
          </w:p>
        </w:tc>
        <w:tc>
          <w:tcPr>
            <w:tcW w:w="1701" w:type="dxa"/>
            <w:tcBorders>
              <w:bottom w:val="nil"/>
            </w:tcBorders>
          </w:tcPr>
          <w:p>
            <w:pPr>
              <w:rPr>
                <w:b/>
              </w:rPr>
            </w:pPr>
            <w:r>
              <w:rPr>
                <w:rFonts w:hint="eastAsia"/>
                <w:b/>
              </w:rPr>
              <w:t>减少食品浪费</w:t>
            </w:r>
          </w:p>
          <w:p>
            <w:pPr>
              <w:rPr>
                <w:b/>
              </w:rPr>
            </w:pPr>
            <w:r>
              <w:rPr>
                <w:rFonts w:hint="eastAsia"/>
                <w:b/>
              </w:rPr>
              <w:t>方式</w:t>
            </w:r>
          </w:p>
        </w:tc>
        <w:tc>
          <w:tcPr>
            <w:tcW w:w="2318" w:type="dxa"/>
            <w:tcBorders>
              <w:bottom w:val="nil"/>
            </w:tcBorders>
          </w:tcPr>
          <w:p>
            <w:pPr>
              <w:rPr>
                <w:b/>
              </w:rPr>
            </w:pPr>
            <w:r>
              <w:rPr>
                <w:rFonts w:hint="eastAsia"/>
                <w:b/>
              </w:rPr>
              <w:t>基线</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pPr>
              <w:pStyle w:val="54"/>
              <w:numPr>
                <w:ilvl w:val="1"/>
                <w:numId w:val="4"/>
              </w:numPr>
              <w:snapToGrid/>
              <w:spacing w:line="240" w:lineRule="auto"/>
              <w:ind w:left="284" w:hanging="284" w:firstLineChars="0"/>
              <w:rPr>
                <w:b/>
              </w:rPr>
            </w:pPr>
            <w:r>
              <w:rPr>
                <w:szCs w:val="21"/>
              </w:rPr>
              <w:t>从采购开始的</w:t>
            </w:r>
            <w:r>
              <w:rPr>
                <w:rFonts w:hint="eastAsia"/>
                <w:szCs w:val="21"/>
              </w:rPr>
              <w:t xml:space="preserve"> 加工制作</w:t>
            </w:r>
          </w:p>
        </w:tc>
        <w:tc>
          <w:tcPr>
            <w:tcW w:w="1225" w:type="dxa"/>
            <w:tcBorders>
              <w:bottom w:val="nil"/>
            </w:tcBorders>
          </w:tcPr>
          <w:p>
            <w:pPr>
              <w:rPr>
                <w:rFonts w:ascii="Times New Roman"/>
              </w:rPr>
            </w:pPr>
            <w:r>
              <w:rPr>
                <w:rFonts w:hint="eastAsia" w:ascii="Times New Roman"/>
              </w:rPr>
              <w:t>净菜</w:t>
            </w:r>
          </w:p>
          <w:p>
            <w:pPr>
              <w:rPr>
                <w:rFonts w:ascii="Times New Roman"/>
              </w:rPr>
            </w:pPr>
            <w:r>
              <w:rPr>
                <w:rFonts w:hint="eastAsia" w:ascii="Times New Roman"/>
              </w:rPr>
              <w:t>预制</w:t>
            </w:r>
          </w:p>
          <w:p>
            <w:pPr>
              <w:rPr>
                <w:b/>
              </w:rPr>
            </w:pPr>
            <w:r>
              <w:rPr>
                <w:rFonts w:hint="eastAsia" w:ascii="Times New Roman"/>
              </w:rPr>
              <w:t>中心厨房</w:t>
            </w:r>
          </w:p>
        </w:tc>
        <w:tc>
          <w:tcPr>
            <w:tcW w:w="1592" w:type="dxa"/>
            <w:tcBorders>
              <w:bottom w:val="nil"/>
            </w:tcBorders>
          </w:tcPr>
          <w:p>
            <w:pPr>
              <w:rPr>
                <w:b/>
              </w:rPr>
            </w:pPr>
            <w:r>
              <w:rPr>
                <w:rFonts w:hint="eastAsia" w:ascii="Times New Roman"/>
              </w:rPr>
              <w:t>产品采购进行集中清洗，预制</w:t>
            </w:r>
          </w:p>
        </w:tc>
        <w:tc>
          <w:tcPr>
            <w:tcW w:w="1701" w:type="dxa"/>
            <w:tcBorders>
              <w:bottom w:val="nil"/>
            </w:tcBorders>
          </w:tcPr>
          <w:p>
            <w:pPr>
              <w:rPr>
                <w:rFonts w:ascii="Times New Roman"/>
              </w:rPr>
            </w:pPr>
            <w:r>
              <w:rPr>
                <w:rFonts w:hint="eastAsia" w:ascii="Times New Roman"/>
              </w:rPr>
              <w:t>减少食品损失重量</w:t>
            </w:r>
          </w:p>
        </w:tc>
        <w:tc>
          <w:tcPr>
            <w:tcW w:w="2318" w:type="dxa"/>
            <w:tcBorders>
              <w:bottom w:val="nil"/>
            </w:tcBorders>
          </w:tcPr>
          <w:p>
            <w:pPr>
              <w:rPr>
                <w:szCs w:val="21"/>
              </w:rPr>
            </w:pPr>
            <w:r>
              <w:rPr>
                <w:rFonts w:hint="eastAsia"/>
                <w:szCs w:val="21"/>
              </w:rPr>
              <w:t>通过集中采购准备食材，常规方式为单店独立采购。</w:t>
            </w:r>
          </w:p>
          <w:p>
            <w:r>
              <w:t>食品在准备、制作过程中未有专门清洗、预制过程。</w:t>
            </w:r>
          </w:p>
          <w:p>
            <w:pPr>
              <w:rPr>
                <w:rFonts w:asci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r>
              <w:rPr>
                <w:rFonts w:hint="eastAsia"/>
                <w:szCs w:val="21"/>
              </w:rPr>
              <w:t>b) 加工前/后食品储存或保存方式</w:t>
            </w:r>
          </w:p>
        </w:tc>
        <w:tc>
          <w:tcPr>
            <w:tcW w:w="1225" w:type="dxa"/>
            <w:tcBorders>
              <w:bottom w:val="nil"/>
            </w:tcBorders>
          </w:tcPr>
          <w:p>
            <w:r>
              <w:t>冷链</w:t>
            </w:r>
          </w:p>
        </w:tc>
        <w:tc>
          <w:tcPr>
            <w:tcW w:w="1592" w:type="dxa"/>
            <w:tcBorders>
              <w:bottom w:val="nil"/>
            </w:tcBorders>
          </w:tcPr>
          <w:p>
            <w:r>
              <w:rPr>
                <w:rFonts w:hint="eastAsia"/>
                <w:szCs w:val="21"/>
              </w:rPr>
              <w:t>分类进行冷藏、冷冻</w:t>
            </w:r>
          </w:p>
        </w:tc>
        <w:tc>
          <w:tcPr>
            <w:tcW w:w="1701" w:type="dxa"/>
            <w:tcBorders>
              <w:bottom w:val="nil"/>
            </w:tcBorders>
          </w:tcPr>
          <w:p>
            <w:pPr>
              <w:rPr>
                <w:szCs w:val="21"/>
              </w:rPr>
            </w:pPr>
            <w:r>
              <w:rPr>
                <w:rFonts w:hint="eastAsia"/>
                <w:szCs w:val="21"/>
              </w:rPr>
              <w:t>延长存储技术</w:t>
            </w:r>
          </w:p>
        </w:tc>
        <w:tc>
          <w:tcPr>
            <w:tcW w:w="2318" w:type="dxa"/>
            <w:tcBorders>
              <w:bottom w:val="nil"/>
            </w:tcBorders>
          </w:tcPr>
          <w:p>
            <w:pPr>
              <w:rPr>
                <w:szCs w:val="21"/>
              </w:rPr>
            </w:pPr>
            <w:r>
              <w:rPr>
                <w:szCs w:val="21"/>
              </w:rPr>
              <w:t>未进行专门分类保存，临期时间短。</w:t>
            </w:r>
          </w:p>
          <w:p>
            <w:pPr>
              <w:rPr>
                <w:szCs w:val="21"/>
              </w:rPr>
            </w:pPr>
            <w:r>
              <w:rPr>
                <w:rFonts w:hint="eastAsia"/>
                <w:szCs w:val="21"/>
              </w:rPr>
              <w:t>需考虑制冷增加的排放。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tc>
        <w:tc>
          <w:tcPr>
            <w:tcW w:w="1225" w:type="dxa"/>
            <w:tcBorders>
              <w:bottom w:val="nil"/>
            </w:tcBorders>
          </w:tcPr>
          <w:p>
            <w:pPr>
              <w:rPr>
                <w:szCs w:val="21"/>
              </w:rPr>
            </w:pPr>
            <w:r>
              <w:rPr>
                <w:rFonts w:hint="eastAsia"/>
                <w:szCs w:val="21"/>
              </w:rPr>
              <w:t>加热</w:t>
            </w:r>
          </w:p>
        </w:tc>
        <w:tc>
          <w:tcPr>
            <w:tcW w:w="1592" w:type="dxa"/>
            <w:tcBorders>
              <w:bottom w:val="nil"/>
            </w:tcBorders>
          </w:tcPr>
          <w:p>
            <w:pPr>
              <w:rPr>
                <w:szCs w:val="21"/>
              </w:rPr>
            </w:pPr>
            <w:r>
              <w:rPr>
                <w:rFonts w:hint="eastAsia"/>
                <w:szCs w:val="21"/>
              </w:rPr>
              <w:t>提供加热，保持食物新鲜</w:t>
            </w:r>
          </w:p>
        </w:tc>
        <w:tc>
          <w:tcPr>
            <w:tcW w:w="1701" w:type="dxa"/>
            <w:tcBorders>
              <w:bottom w:val="nil"/>
            </w:tcBorders>
          </w:tcPr>
          <w:p>
            <w:pPr>
              <w:rPr>
                <w:szCs w:val="21"/>
              </w:rPr>
            </w:pPr>
            <w:r>
              <w:rPr>
                <w:szCs w:val="21"/>
              </w:rPr>
              <w:t>延长存储</w:t>
            </w:r>
          </w:p>
        </w:tc>
        <w:tc>
          <w:tcPr>
            <w:tcW w:w="2318" w:type="dxa"/>
            <w:tcBorders>
              <w:bottom w:val="nil"/>
            </w:tcBorders>
          </w:tcPr>
          <w:p>
            <w:pPr>
              <w:rPr>
                <w:szCs w:val="21"/>
              </w:rPr>
            </w:pPr>
            <w:r>
              <w:rPr>
                <w:rFonts w:hint="eastAsia"/>
                <w:szCs w:val="21"/>
              </w:rPr>
              <w:t>未进行加热。</w:t>
            </w:r>
          </w:p>
          <w:p>
            <w:pPr>
              <w:rPr>
                <w:szCs w:val="21"/>
              </w:rPr>
            </w:pPr>
            <w:r>
              <w:rPr>
                <w:rFonts w:hint="eastAsia"/>
                <w:szCs w:val="21"/>
              </w:rPr>
              <w:t>需考虑加热增加的排放。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single" w:color="auto" w:sz="4" w:space="0"/>
            </w:tcBorders>
          </w:tcPr>
          <w:p>
            <w:r>
              <w:rPr>
                <w:rFonts w:hint="eastAsia"/>
              </w:rPr>
              <w:t xml:space="preserve"> </w:t>
            </w:r>
          </w:p>
        </w:tc>
        <w:tc>
          <w:tcPr>
            <w:tcW w:w="1225" w:type="dxa"/>
            <w:tcBorders>
              <w:bottom w:val="single" w:color="auto" w:sz="4" w:space="0"/>
            </w:tcBorders>
          </w:tcPr>
          <w:p>
            <w:r>
              <w:rPr>
                <w:rFonts w:hint="eastAsia"/>
                <w:szCs w:val="21"/>
              </w:rPr>
              <w:t>食品包装</w:t>
            </w:r>
          </w:p>
        </w:tc>
        <w:tc>
          <w:tcPr>
            <w:tcW w:w="1592" w:type="dxa"/>
            <w:tcBorders>
              <w:bottom w:val="single" w:color="auto" w:sz="4" w:space="0"/>
            </w:tcBorders>
          </w:tcPr>
          <w:p>
            <w:pPr>
              <w:rPr>
                <w:szCs w:val="21"/>
              </w:rPr>
            </w:pPr>
            <w:r>
              <w:rPr>
                <w:rFonts w:hint="eastAsia"/>
                <w:szCs w:val="21"/>
              </w:rPr>
              <w:t>保温、防融化、防粘黏</w:t>
            </w:r>
          </w:p>
          <w:p/>
        </w:tc>
        <w:tc>
          <w:tcPr>
            <w:tcW w:w="1701" w:type="dxa"/>
            <w:tcBorders>
              <w:bottom w:val="single" w:color="auto" w:sz="4" w:space="0"/>
            </w:tcBorders>
          </w:tcPr>
          <w:p>
            <w:pPr>
              <w:rPr>
                <w:szCs w:val="21"/>
              </w:rPr>
            </w:pPr>
            <w:r>
              <w:rPr>
                <w:szCs w:val="21"/>
              </w:rPr>
              <w:t>减少食品损失</w:t>
            </w:r>
          </w:p>
        </w:tc>
        <w:tc>
          <w:tcPr>
            <w:tcW w:w="2318" w:type="dxa"/>
            <w:tcBorders>
              <w:bottom w:val="single" w:color="auto" w:sz="4" w:space="0"/>
            </w:tcBorders>
          </w:tcPr>
          <w:p>
            <w:pPr>
              <w:rPr>
                <w:szCs w:val="21"/>
              </w:rPr>
            </w:pPr>
            <w:r>
              <w:rPr>
                <w:rFonts w:hint="eastAsia"/>
                <w:szCs w:val="21"/>
              </w:rPr>
              <w:t>需要考虑减少食品浪费包装增加的碳排放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single" w:color="auto" w:sz="4" w:space="0"/>
            </w:tcBorders>
          </w:tcPr>
          <w:p>
            <w:pPr>
              <w:pStyle w:val="54"/>
              <w:numPr>
                <w:ilvl w:val="1"/>
                <w:numId w:val="4"/>
              </w:numPr>
              <w:snapToGrid/>
              <w:spacing w:line="240" w:lineRule="auto"/>
              <w:ind w:left="0" w:firstLineChars="0"/>
            </w:pPr>
            <w:r>
              <w:t>c</w:t>
            </w:r>
            <w:r>
              <w:rPr>
                <w:rFonts w:hint="eastAsia"/>
              </w:rPr>
              <w:t>) 食品加工方式</w:t>
            </w:r>
          </w:p>
        </w:tc>
        <w:tc>
          <w:tcPr>
            <w:tcW w:w="1225" w:type="dxa"/>
            <w:tcBorders>
              <w:bottom w:val="single" w:color="auto" w:sz="4" w:space="0"/>
            </w:tcBorders>
          </w:tcPr>
          <w:p>
            <w:r>
              <w:rPr>
                <w:rFonts w:hint="eastAsia"/>
                <w:szCs w:val="21"/>
              </w:rPr>
              <w:t>改变烹饪方式</w:t>
            </w:r>
          </w:p>
        </w:tc>
        <w:tc>
          <w:tcPr>
            <w:tcW w:w="1592" w:type="dxa"/>
            <w:tcBorders>
              <w:bottom w:val="single" w:color="auto" w:sz="4" w:space="0"/>
            </w:tcBorders>
          </w:tcPr>
          <w:p>
            <w:pPr>
              <w:rPr>
                <w:szCs w:val="21"/>
              </w:rPr>
            </w:pPr>
            <w:r>
              <w:rPr>
                <w:rFonts w:hint="eastAsia"/>
                <w:szCs w:val="21"/>
              </w:rPr>
              <w:t>轻食</w:t>
            </w:r>
          </w:p>
          <w:p>
            <w:pPr>
              <w:rPr>
                <w:szCs w:val="21"/>
              </w:rPr>
            </w:pPr>
            <w:r>
              <w:rPr>
                <w:rFonts w:hint="eastAsia"/>
                <w:szCs w:val="21"/>
              </w:rPr>
              <w:t>冷餐</w:t>
            </w:r>
          </w:p>
        </w:tc>
        <w:tc>
          <w:tcPr>
            <w:tcW w:w="1701" w:type="dxa"/>
            <w:tcBorders>
              <w:bottom w:val="single" w:color="auto" w:sz="4" w:space="0"/>
            </w:tcBorders>
          </w:tcPr>
          <w:p>
            <w:pPr>
              <w:rPr>
                <w:szCs w:val="21"/>
              </w:rPr>
            </w:pPr>
            <w:r>
              <w:rPr>
                <w:rFonts w:hint="eastAsia"/>
                <w:szCs w:val="21"/>
              </w:rPr>
              <w:t>减少使用能源</w:t>
            </w:r>
          </w:p>
        </w:tc>
        <w:tc>
          <w:tcPr>
            <w:tcW w:w="2318" w:type="dxa"/>
            <w:tcBorders>
              <w:bottom w:val="single" w:color="auto" w:sz="4" w:space="0"/>
            </w:tcBorders>
          </w:tcPr>
          <w:p>
            <w:pPr>
              <w:rPr>
                <w:szCs w:val="21"/>
              </w:rPr>
            </w:pPr>
            <w:r>
              <w:rPr>
                <w:szCs w:val="21"/>
              </w:rPr>
              <w:t>制作餐食的过程产生</w:t>
            </w:r>
            <w:r>
              <w:rPr>
                <w:rFonts w:hint="eastAsia"/>
                <w:szCs w:val="21"/>
              </w:rPr>
              <w:t>额外的烹饪能源。</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top w:val="single" w:color="auto" w:sz="4" w:space="0"/>
              <w:bottom w:val="single" w:color="auto" w:sz="4" w:space="0"/>
            </w:tcBorders>
          </w:tcPr>
          <w:p>
            <w:pPr>
              <w:rPr>
                <w:szCs w:val="21"/>
              </w:rPr>
            </w:pPr>
            <w:r>
              <w:rPr>
                <w:rFonts w:hint="eastAsia"/>
                <w:szCs w:val="21"/>
              </w:rPr>
              <w:t xml:space="preserve"> </w:t>
            </w:r>
          </w:p>
        </w:tc>
        <w:tc>
          <w:tcPr>
            <w:tcW w:w="1225" w:type="dxa"/>
            <w:tcBorders>
              <w:top w:val="single" w:color="auto" w:sz="4" w:space="0"/>
              <w:bottom w:val="single" w:color="auto" w:sz="4" w:space="0"/>
            </w:tcBorders>
          </w:tcPr>
          <w:p>
            <w:pPr>
              <w:rPr>
                <w:szCs w:val="21"/>
              </w:rPr>
            </w:pPr>
            <w:r>
              <w:rPr>
                <w:rFonts w:hint="eastAsia"/>
                <w:szCs w:val="21"/>
              </w:rPr>
              <w:t>改变食品组成</w:t>
            </w:r>
          </w:p>
        </w:tc>
        <w:tc>
          <w:tcPr>
            <w:tcW w:w="1592" w:type="dxa"/>
            <w:tcBorders>
              <w:top w:val="single" w:color="auto" w:sz="4" w:space="0"/>
              <w:bottom w:val="single" w:color="auto" w:sz="4" w:space="0"/>
            </w:tcBorders>
          </w:tcPr>
          <w:p>
            <w:pPr>
              <w:rPr>
                <w:szCs w:val="21"/>
              </w:rPr>
            </w:pPr>
            <w:r>
              <w:rPr>
                <w:rFonts w:hint="eastAsia"/>
                <w:szCs w:val="21"/>
              </w:rPr>
              <w:t>植物性材料（素食）</w:t>
            </w:r>
          </w:p>
          <w:p>
            <w:pPr>
              <w:rPr>
                <w:szCs w:val="21"/>
              </w:rPr>
            </w:pPr>
          </w:p>
        </w:tc>
        <w:tc>
          <w:tcPr>
            <w:tcW w:w="1701" w:type="dxa"/>
            <w:tcBorders>
              <w:top w:val="single" w:color="auto" w:sz="4" w:space="0"/>
              <w:bottom w:val="single" w:color="auto" w:sz="4" w:space="0"/>
            </w:tcBorders>
          </w:tcPr>
          <w:p>
            <w:pPr>
              <w:pStyle w:val="54"/>
              <w:ind w:firstLine="0" w:firstLineChars="0"/>
            </w:pPr>
            <w:r>
              <w:rPr>
                <w:rFonts w:hint="eastAsia"/>
              </w:rPr>
              <w:t xml:space="preserve">减少食品排放 </w:t>
            </w:r>
          </w:p>
        </w:tc>
        <w:tc>
          <w:tcPr>
            <w:tcW w:w="2318" w:type="dxa"/>
            <w:tcBorders>
              <w:top w:val="single" w:color="auto" w:sz="4" w:space="0"/>
              <w:bottom w:val="single" w:color="auto" w:sz="4" w:space="0"/>
            </w:tcBorders>
          </w:tcPr>
          <w:p>
            <w:pPr>
              <w:pStyle w:val="54"/>
              <w:ind w:firstLine="0" w:firstLineChars="0"/>
            </w:pPr>
            <w:r>
              <w:t>使用非植物性材料</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Borders>
              <w:bottom w:val="nil"/>
            </w:tcBorders>
          </w:tcPr>
          <w:p>
            <w:r>
              <w:rPr>
                <w:rFonts w:hint="eastAsia"/>
              </w:rPr>
              <w:t>d)点餐配送</w:t>
            </w:r>
          </w:p>
        </w:tc>
        <w:tc>
          <w:tcPr>
            <w:tcW w:w="1225" w:type="dxa"/>
            <w:tcBorders>
              <w:bottom w:val="nil"/>
            </w:tcBorders>
          </w:tcPr>
          <w:p>
            <w:r>
              <w:rPr>
                <w:rFonts w:hint="eastAsia"/>
                <w:szCs w:val="21"/>
              </w:rPr>
              <w:t>菜单设计</w:t>
            </w:r>
          </w:p>
        </w:tc>
        <w:tc>
          <w:tcPr>
            <w:tcW w:w="1592" w:type="dxa"/>
            <w:tcBorders>
              <w:bottom w:val="nil"/>
            </w:tcBorders>
          </w:tcPr>
          <w:p>
            <w:r>
              <w:rPr>
                <w:rFonts w:hint="eastAsia"/>
                <w:szCs w:val="21"/>
              </w:rPr>
              <w:t>小份饭/菜</w:t>
            </w:r>
          </w:p>
        </w:tc>
        <w:tc>
          <w:tcPr>
            <w:tcW w:w="1701" w:type="dxa"/>
            <w:tcBorders>
              <w:bottom w:val="nil"/>
            </w:tcBorders>
          </w:tcPr>
          <w:p>
            <w:pPr>
              <w:rPr>
                <w:szCs w:val="21"/>
              </w:rPr>
            </w:pPr>
            <w:r>
              <w:rPr>
                <w:rFonts w:hint="eastAsia" w:ascii="Times New Roman"/>
              </w:rPr>
              <w:t>减少食品重量</w:t>
            </w:r>
          </w:p>
        </w:tc>
        <w:tc>
          <w:tcPr>
            <w:tcW w:w="2318" w:type="dxa"/>
            <w:tcBorders>
              <w:bottom w:val="nil"/>
            </w:tcBorders>
          </w:tcPr>
          <w:p>
            <w:pPr>
              <w:rPr>
                <w:szCs w:val="21"/>
              </w:rPr>
            </w:pPr>
            <w:r>
              <w:t>通过外卖平台出售常规方式制作的产品给用户，用户浪费的食品量。</w:t>
            </w:r>
          </w:p>
          <w:p>
            <w:pPr>
              <w:rPr>
                <w:szCs w:val="21"/>
              </w:rPr>
            </w:pPr>
            <w:r>
              <w:rPr>
                <w:rFonts w:hint="eastAsia"/>
                <w:szCs w:val="21"/>
              </w:rPr>
              <w:t>需要考虑增加的配送和包装</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686" w:type="dxa"/>
          </w:tcPr>
          <w:p>
            <w:r>
              <w:rPr>
                <w:rFonts w:hint="eastAsia"/>
                <w:szCs w:val="21"/>
              </w:rPr>
              <w:t>e) 后端处置</w:t>
            </w:r>
          </w:p>
        </w:tc>
        <w:tc>
          <w:tcPr>
            <w:tcW w:w="1225" w:type="dxa"/>
          </w:tcPr>
          <w:p>
            <w:r>
              <w:t>避免排放</w:t>
            </w:r>
          </w:p>
        </w:tc>
        <w:tc>
          <w:tcPr>
            <w:tcW w:w="1592" w:type="dxa"/>
          </w:tcPr>
          <w:p>
            <w:pPr>
              <w:rPr>
                <w:szCs w:val="21"/>
              </w:rPr>
            </w:pPr>
            <w:r>
              <w:rPr>
                <w:rFonts w:hint="eastAsia"/>
                <w:szCs w:val="21"/>
              </w:rPr>
              <w:t>临期（打折）销售、捐赠</w:t>
            </w:r>
          </w:p>
          <w:p>
            <w:pPr>
              <w:rPr>
                <w:szCs w:val="21"/>
              </w:rPr>
            </w:pPr>
          </w:p>
          <w:p>
            <w:pPr>
              <w:rPr>
                <w:szCs w:val="21"/>
              </w:rPr>
            </w:pPr>
            <w:r>
              <w:rPr>
                <w:rFonts w:hint="eastAsia"/>
                <w:szCs w:val="21"/>
              </w:rPr>
              <w:t>作为动物饲料喂养</w:t>
            </w:r>
          </w:p>
          <w:p>
            <w:pPr>
              <w:rPr>
                <w:szCs w:val="21"/>
              </w:rPr>
            </w:pPr>
            <w:r>
              <w:rPr>
                <w:rFonts w:hint="eastAsia"/>
                <w:szCs w:val="21"/>
              </w:rPr>
              <w:t>能源利用等方式（堆肥、燃料、工业使用）</w:t>
            </w:r>
          </w:p>
        </w:tc>
        <w:tc>
          <w:tcPr>
            <w:tcW w:w="1701" w:type="dxa"/>
          </w:tcPr>
          <w:p>
            <w:pPr>
              <w:pStyle w:val="54"/>
              <w:ind w:firstLine="0" w:firstLineChars="0"/>
              <w:rPr>
                <w:rFonts w:cs="宋体"/>
                <w:szCs w:val="21"/>
              </w:rPr>
            </w:pPr>
            <w:r>
              <w:rPr>
                <w:rFonts w:hint="eastAsia" w:cs="宋体"/>
                <w:szCs w:val="21"/>
              </w:rPr>
              <w:t>废弃阶段的排放被避免</w:t>
            </w:r>
          </w:p>
          <w:p>
            <w:pPr>
              <w:rPr>
                <w:szCs w:val="21"/>
              </w:rPr>
            </w:pPr>
            <w:r>
              <w:rPr>
                <w:rFonts w:hint="eastAsia" w:cs="宋体"/>
                <w:szCs w:val="21"/>
              </w:rPr>
              <w:t>会有少量CH</w:t>
            </w:r>
            <w:r>
              <w:rPr>
                <w:rFonts w:hint="eastAsia" w:cs="宋体"/>
                <w:szCs w:val="21"/>
                <w:vertAlign w:val="subscript"/>
              </w:rPr>
              <w:t>4</w:t>
            </w:r>
            <w:r>
              <w:rPr>
                <w:szCs w:val="21"/>
              </w:rPr>
              <w:t>和 N</w:t>
            </w:r>
            <w:r>
              <w:rPr>
                <w:szCs w:val="21"/>
                <w:vertAlign w:val="subscript"/>
              </w:rPr>
              <w:t>2</w:t>
            </w:r>
            <w:r>
              <w:rPr>
                <w:szCs w:val="21"/>
              </w:rPr>
              <w:t>O排放</w:t>
            </w:r>
          </w:p>
          <w:p>
            <w:pPr>
              <w:rPr>
                <w:szCs w:val="21"/>
              </w:rPr>
            </w:pPr>
            <w:r>
              <w:rPr>
                <w:rFonts w:hint="eastAsia"/>
                <w:szCs w:val="21"/>
              </w:rPr>
              <w:t>通过土壤堆肥将碳存储起来，有少量</w:t>
            </w:r>
            <w:r>
              <w:rPr>
                <w:szCs w:val="21"/>
              </w:rPr>
              <w:t xml:space="preserve"> CH</w:t>
            </w:r>
            <w:r>
              <w:rPr>
                <w:szCs w:val="21"/>
                <w:vertAlign w:val="subscript"/>
              </w:rPr>
              <w:t>4</w:t>
            </w:r>
            <w:r>
              <w:rPr>
                <w:szCs w:val="21"/>
              </w:rPr>
              <w:t xml:space="preserve"> 和 N</w:t>
            </w:r>
            <w:r>
              <w:rPr>
                <w:szCs w:val="21"/>
                <w:vertAlign w:val="subscript"/>
              </w:rPr>
              <w:t>2</w:t>
            </w:r>
            <w:r>
              <w:rPr>
                <w:szCs w:val="21"/>
              </w:rPr>
              <w:t>O排放</w:t>
            </w:r>
          </w:p>
        </w:tc>
        <w:tc>
          <w:tcPr>
            <w:tcW w:w="2318" w:type="dxa"/>
          </w:tcPr>
          <w:p>
            <w:pPr>
              <w:rPr>
                <w:szCs w:val="21"/>
              </w:rPr>
            </w:pPr>
            <w:r>
              <w:rPr>
                <w:rFonts w:hint="eastAsia"/>
                <w:szCs w:val="21"/>
              </w:rPr>
              <w:t>未被捐赠或者销售</w:t>
            </w:r>
          </w:p>
          <w:p>
            <w:r>
              <w:rPr>
                <w:rFonts w:hint="eastAsia"/>
              </w:rPr>
              <w:t>剩余食品被废弃，送去填埋或者焚烧</w:t>
            </w:r>
          </w:p>
          <w:p>
            <w:pPr>
              <w:rPr>
                <w:szCs w:val="21"/>
              </w:rPr>
            </w:pPr>
            <w:r>
              <w:rPr>
                <w:rFonts w:hint="eastAsia"/>
              </w:rPr>
              <w:t>厨余垃圾厌氧消化</w:t>
            </w:r>
          </w:p>
        </w:tc>
      </w:tr>
    </w:tbl>
    <w:p>
      <w:pPr>
        <w:pStyle w:val="26"/>
        <w:spacing w:line="400" w:lineRule="exact"/>
        <w:ind w:firstLine="0" w:firstLineChars="0"/>
      </w:pPr>
      <w:r>
        <w:rPr>
          <w:rFonts w:hint="eastAsia"/>
        </w:rPr>
        <w:t xml:space="preserve"> </w:t>
      </w:r>
    </w:p>
    <w:p>
      <w:pPr>
        <w:pStyle w:val="54"/>
        <w:numPr>
          <w:ilvl w:val="1"/>
          <w:numId w:val="5"/>
        </w:numPr>
        <w:snapToGrid/>
        <w:spacing w:line="240" w:lineRule="auto"/>
        <w:ind w:firstLineChars="0"/>
        <w:rPr>
          <w:b/>
        </w:rPr>
      </w:pPr>
      <w:r>
        <w:rPr>
          <w:b/>
        </w:rPr>
        <w:t>碳</w:t>
      </w:r>
      <w:r>
        <w:rPr>
          <w:rFonts w:hint="eastAsia"/>
          <w:b/>
        </w:rPr>
        <w:t>减排量量化计算</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食品浪费在第y计入期内产生的减排量按式（1）计算,单位为吨二氧化碳当量（tCO2e）； </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避免排放碳减排量(PEy) = 减少食品的排放(PE1y)-额外预包装排放(PE2y)-（配送+存储）排放(PE3y) –浪费食品的处置排放（PE4y）</w:t>
      </w:r>
    </w:p>
    <w:p>
      <w:pPr>
        <w:rPr>
          <w:szCs w:val="21"/>
        </w:rPr>
      </w:pPr>
      <w:r>
        <w:rPr>
          <w:rFonts w:hint="eastAsia"/>
          <w:szCs w:val="21"/>
        </w:rPr>
        <w:t xml:space="preserve">  </w:t>
      </w:r>
    </w:p>
    <w:p>
      <w:pPr>
        <w:rPr>
          <w:rFonts w:ascii="Times New Roman" w:hAnsi="Times New Roman" w:eastAsiaTheme="minorEastAsia"/>
          <w:b/>
          <w:sz w:val="24"/>
          <w:szCs w:val="24"/>
        </w:rPr>
      </w:pPr>
      <w:r>
        <w:rPr>
          <w:rFonts w:ascii="Times New Roman" w:hAnsi="Times New Roman" w:eastAsiaTheme="minorEastAsia"/>
          <w:b/>
          <w:sz w:val="24"/>
          <w:szCs w:val="24"/>
        </w:rPr>
        <w:t>三、主要试验（或验证）情况分析</w:t>
      </w:r>
    </w:p>
    <w:p>
      <w:pPr>
        <w:spacing w:line="480" w:lineRule="exact"/>
        <w:ind w:firstLine="480" w:firstLineChars="200"/>
        <w:rPr>
          <w:rFonts w:ascii="Times New Roman" w:hAnsi="Times New Roman" w:eastAsiaTheme="minorEastAsia"/>
          <w:bCs/>
          <w:sz w:val="24"/>
          <w:szCs w:val="24"/>
        </w:rPr>
      </w:pPr>
      <w:r>
        <w:rPr>
          <w:rFonts w:hint="eastAsia" w:ascii="Times New Roman" w:hAnsi="Times New Roman" w:eastAsiaTheme="minorEastAsia"/>
          <w:bCs/>
          <w:sz w:val="24"/>
          <w:szCs w:val="24"/>
        </w:rPr>
        <w:t>暂无。</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四、标准中涉及专利的情况</w:t>
      </w:r>
    </w:p>
    <w:p>
      <w:pPr>
        <w:adjustRightInd w:val="0"/>
        <w:snapToGrid w:val="0"/>
        <w:spacing w:line="48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暂无。</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五、预期达到的社会效益、对产业发展的作用的情况</w:t>
      </w:r>
    </w:p>
    <w:p>
      <w:pPr>
        <w:adjustRightInd w:val="0"/>
        <w:snapToGrid w:val="0"/>
        <w:spacing w:line="480" w:lineRule="exact"/>
        <w:ind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本标准的制定参考了已有国际和国内在计算食物浪费和碳减排量化方面的相关报告和国际标准，结合餐饮行业，特别是外卖平台不同场景和食物处理方式的界定，确定不同的碳排放范围，相关数据的收集和验证、整理相应报告，通过该标准能够较为公正、客观的计算餐饮行业和外卖平台在减少食物浪费不同行动的碳减排量。遵循本标准可以对餐饮和外卖平台减少食品浪费提供碳减排量核算的依据。</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六、采用国际标准和国外先进标准情况，与国际、国外同类标准水平的对比情况，国内外关键指标对比分析或与测试的国外样品、样机的相关数据对比情况</w:t>
      </w:r>
    </w:p>
    <w:p>
      <w:pPr>
        <w:spacing w:line="48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无</w:t>
      </w:r>
    </w:p>
    <w:p>
      <w:pPr>
        <w:spacing w:line="48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本标准是国内首个餐饮行业和外卖平台食品浪费碳减排量化方法学。</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七、在标准体系中的位置，与现行相关法律、法规、规章及相关标准，特别是强制性标准的协调性</w:t>
      </w:r>
    </w:p>
    <w:p>
      <w:pPr>
        <w:spacing w:line="48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本标准属于团体标准，与现行法律、法规、规章和政策以及有关基础和相关标准不矛盾。</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八、重大分歧意见的处理经过和依据</w:t>
      </w:r>
    </w:p>
    <w:p>
      <w:pPr>
        <w:spacing w:line="48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本标准未产生重大分歧意见。</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九、标准性质的建议说明</w:t>
      </w:r>
    </w:p>
    <w:p>
      <w:pPr>
        <w:spacing w:line="480" w:lineRule="exact"/>
        <w:ind w:firstLine="435"/>
        <w:rPr>
          <w:rFonts w:ascii="Times New Roman" w:hAnsi="Times New Roman" w:eastAsiaTheme="minorEastAsia"/>
          <w:sz w:val="24"/>
          <w:szCs w:val="24"/>
        </w:rPr>
      </w:pPr>
      <w:r>
        <w:rPr>
          <w:rFonts w:ascii="Times New Roman" w:hAnsi="Times New Roman" w:eastAsiaTheme="minorEastAsia"/>
          <w:sz w:val="24"/>
          <w:szCs w:val="24"/>
        </w:rPr>
        <w:t>本标准为中华环保联合会标准，属于团体标准,供协会会员和社会自愿使用。</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十、贯彻标准的要求和措施建议</w:t>
      </w:r>
    </w:p>
    <w:p>
      <w:pPr>
        <w:spacing w:line="48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本标准为首次发布。</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十一、废止现行相关标准的建议</w:t>
      </w:r>
    </w:p>
    <w:p>
      <w:pPr>
        <w:spacing w:line="48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无</w:t>
      </w:r>
    </w:p>
    <w:p>
      <w:pPr>
        <w:spacing w:line="480" w:lineRule="exact"/>
        <w:outlineLvl w:val="0"/>
        <w:rPr>
          <w:rFonts w:ascii="Times New Roman" w:hAnsi="Times New Roman" w:eastAsiaTheme="minorEastAsia"/>
          <w:b/>
          <w:sz w:val="24"/>
          <w:szCs w:val="24"/>
        </w:rPr>
      </w:pPr>
      <w:r>
        <w:rPr>
          <w:rFonts w:ascii="Times New Roman" w:hAnsi="Times New Roman" w:eastAsiaTheme="minorEastAsia"/>
          <w:b/>
          <w:sz w:val="24"/>
          <w:szCs w:val="24"/>
        </w:rPr>
        <w:t>十二、其他应予说明的事项</w:t>
      </w:r>
    </w:p>
    <w:p>
      <w:pPr>
        <w:spacing w:line="48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无</w:t>
      </w:r>
    </w:p>
    <w:p>
      <w:pPr>
        <w:spacing w:line="480" w:lineRule="exact"/>
        <w:ind w:firstLine="1699" w:firstLineChars="705"/>
        <w:jc w:val="right"/>
        <w:rPr>
          <w:rFonts w:ascii="Times New Roman" w:hAnsi="Times New Roman" w:eastAsiaTheme="minorEastAsia"/>
          <w:b/>
          <w:sz w:val="24"/>
          <w:szCs w:val="24"/>
        </w:rPr>
      </w:pPr>
      <w:r>
        <w:rPr>
          <w:rFonts w:ascii="Times New Roman" w:hAnsi="Times New Roman" w:eastAsiaTheme="minorEastAsia"/>
          <w:b/>
          <w:sz w:val="24"/>
          <w:szCs w:val="24"/>
        </w:rPr>
        <w:t>起草工作组</w:t>
      </w:r>
    </w:p>
    <w:p>
      <w:pPr>
        <w:spacing w:line="480" w:lineRule="exact"/>
        <w:ind w:firstLine="4554" w:firstLineChars="1890"/>
        <w:jc w:val="right"/>
        <w:rPr>
          <w:rFonts w:ascii="Times New Roman" w:hAnsi="Times New Roman" w:eastAsiaTheme="minorEastAsia"/>
          <w:b/>
          <w:sz w:val="24"/>
          <w:szCs w:val="24"/>
        </w:rPr>
      </w:pPr>
      <w:r>
        <w:rPr>
          <w:rFonts w:ascii="Times New Roman" w:hAnsi="Times New Roman" w:eastAsiaTheme="minorEastAsia"/>
          <w:b/>
          <w:sz w:val="24"/>
          <w:szCs w:val="24"/>
        </w:rPr>
        <w:t>202</w:t>
      </w:r>
      <w:r>
        <w:rPr>
          <w:rFonts w:hint="eastAsia" w:ascii="Times New Roman" w:hAnsi="Times New Roman" w:eastAsiaTheme="minorEastAsia"/>
          <w:b/>
          <w:sz w:val="24"/>
          <w:szCs w:val="24"/>
        </w:rPr>
        <w:t>2</w:t>
      </w:r>
      <w:r>
        <w:rPr>
          <w:rFonts w:ascii="Times New Roman" w:hAnsi="Times New Roman" w:eastAsiaTheme="minorEastAsia"/>
          <w:b/>
          <w:sz w:val="24"/>
          <w:szCs w:val="24"/>
        </w:rPr>
        <w:t>-</w:t>
      </w:r>
      <w:r>
        <w:rPr>
          <w:rFonts w:hint="eastAsia" w:ascii="Times New Roman" w:hAnsi="Times New Roman" w:eastAsiaTheme="minorEastAsia"/>
          <w:b/>
          <w:sz w:val="24"/>
          <w:szCs w:val="24"/>
        </w:rPr>
        <w:t>8</w:t>
      </w:r>
      <w:r>
        <w:rPr>
          <w:rFonts w:ascii="Times New Roman" w:hAnsi="Times New Roman" w:eastAsiaTheme="minorEastAsia"/>
          <w:b/>
          <w:sz w:val="24"/>
          <w:szCs w:val="24"/>
        </w:rPr>
        <w:t>-</w:t>
      </w:r>
      <w:r>
        <w:rPr>
          <w:rFonts w:hint="eastAsia" w:ascii="Times New Roman" w:hAnsi="Times New Roman" w:eastAsiaTheme="minorEastAsia"/>
          <w:b/>
          <w:sz w:val="24"/>
          <w:szCs w:val="24"/>
        </w:rPr>
        <w:t>31</w:t>
      </w:r>
    </w:p>
    <w:p>
      <w:pPr>
        <w:spacing w:line="480" w:lineRule="exact"/>
        <w:ind w:firstLine="4554" w:firstLineChars="1890"/>
        <w:jc w:val="right"/>
        <w:rPr>
          <w:rFonts w:ascii="Times New Roman" w:hAnsi="Times New Roman" w:eastAsiaTheme="minorEastAsia"/>
          <w:b/>
          <w:sz w:val="24"/>
          <w:szCs w:val="24"/>
        </w:rPr>
      </w:pPr>
    </w:p>
    <w:p>
      <w:pPr>
        <w:spacing w:line="480" w:lineRule="exact"/>
        <w:ind w:right="240" w:firstLine="4554" w:firstLineChars="1890"/>
        <w:jc w:val="right"/>
        <w:rPr>
          <w:rFonts w:ascii="Times New Roman" w:hAnsi="Times New Roman" w:eastAsiaTheme="minorEastAsia"/>
          <w:b/>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437360760"/>
    </w:sdtPr>
    <w:sdtEndPr>
      <w:rPr>
        <w:rStyle w:val="19"/>
      </w:rPr>
    </w:sdtEndPr>
    <w:sdtContent>
      <w:p>
        <w:pPr>
          <w:pStyle w:val="10"/>
          <w:framePr w:wrap="auto" w:vAnchor="text" w:hAnchor="margin" w:xAlign="center" w:y="1"/>
          <w:rPr>
            <w:rStyle w:val="19"/>
          </w:rPr>
        </w:pPr>
        <w:r>
          <w:rPr>
            <w:rStyle w:val="19"/>
          </w:rPr>
          <w:fldChar w:fldCharType="begin"/>
        </w:r>
        <w:r>
          <w:rPr>
            <w:rStyle w:val="19"/>
          </w:rPr>
          <w:instrText xml:space="preserve"> PAGE </w:instrText>
        </w:r>
        <w:r>
          <w:rPr>
            <w:rStyle w:val="19"/>
          </w:rPr>
          <w:fldChar w:fldCharType="separate"/>
        </w:r>
        <w:r>
          <w:rPr>
            <w:rStyle w:val="19"/>
          </w:rPr>
          <w:t>5</w:t>
        </w:r>
        <w:r>
          <w:rPr>
            <w:rStyle w:val="19"/>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26AFF"/>
    <w:multiLevelType w:val="multilevel"/>
    <w:tmpl w:val="03226AFF"/>
    <w:lvl w:ilvl="0" w:tentative="0">
      <w:start w:val="1"/>
      <w:numFmt w:val="decimal"/>
      <w:pStyle w:val="55"/>
      <w:suff w:val="space"/>
      <w:lvlText w:val="[%1]"/>
      <w:lvlJc w:val="left"/>
      <w:pPr>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035470"/>
    <w:multiLevelType w:val="multilevel"/>
    <w:tmpl w:val="150354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A8403E"/>
    <w:multiLevelType w:val="multilevel"/>
    <w:tmpl w:val="59A8403E"/>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EA2025"/>
    <w:multiLevelType w:val="multilevel"/>
    <w:tmpl w:val="6CEA2025"/>
    <w:lvl w:ilvl="0" w:tentative="0">
      <w:start w:val="1"/>
      <w:numFmt w:val="none"/>
      <w:pStyle w:val="27"/>
      <w:suff w:val="nothing"/>
      <w:lvlText w:val="%1"/>
      <w:lvlJc w:val="left"/>
      <w:pPr>
        <w:ind w:left="0" w:firstLine="0"/>
      </w:pPr>
      <w:rPr>
        <w:rFonts w:hint="default" w:ascii="Times New Roman" w:hAnsi="Times New Roman"/>
        <w:b/>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z w:val="21"/>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pStyle w:val="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6834773"/>
    <w:multiLevelType w:val="multilevel"/>
    <w:tmpl w:val="76834773"/>
    <w:lvl w:ilvl="0" w:tentative="0">
      <w:start w:val="5"/>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Y2UwOGFjMDYyZjU1MGYwM2M0ZWI4ZTYzMjY0OTcifQ=="/>
  </w:docVars>
  <w:rsids>
    <w:rsidRoot w:val="00980DE8"/>
    <w:rsid w:val="00002A8C"/>
    <w:rsid w:val="0001576F"/>
    <w:rsid w:val="00021C22"/>
    <w:rsid w:val="00021CEC"/>
    <w:rsid w:val="000234B8"/>
    <w:rsid w:val="00026E97"/>
    <w:rsid w:val="000312A2"/>
    <w:rsid w:val="000351F6"/>
    <w:rsid w:val="00035B9E"/>
    <w:rsid w:val="00037040"/>
    <w:rsid w:val="00037284"/>
    <w:rsid w:val="00040645"/>
    <w:rsid w:val="00040C8B"/>
    <w:rsid w:val="00042E7C"/>
    <w:rsid w:val="00047293"/>
    <w:rsid w:val="00075031"/>
    <w:rsid w:val="00083CF7"/>
    <w:rsid w:val="00092C37"/>
    <w:rsid w:val="00095B0D"/>
    <w:rsid w:val="000965B2"/>
    <w:rsid w:val="00096DCF"/>
    <w:rsid w:val="000B04E5"/>
    <w:rsid w:val="000B0F16"/>
    <w:rsid w:val="000B2D6B"/>
    <w:rsid w:val="000B41D9"/>
    <w:rsid w:val="000B6D01"/>
    <w:rsid w:val="000C0D53"/>
    <w:rsid w:val="000C0E42"/>
    <w:rsid w:val="000C5DBC"/>
    <w:rsid w:val="000D02B9"/>
    <w:rsid w:val="000D1774"/>
    <w:rsid w:val="000D277A"/>
    <w:rsid w:val="000D2AB0"/>
    <w:rsid w:val="000D34E5"/>
    <w:rsid w:val="000E00C0"/>
    <w:rsid w:val="000E2674"/>
    <w:rsid w:val="000F448A"/>
    <w:rsid w:val="000F724B"/>
    <w:rsid w:val="001123EA"/>
    <w:rsid w:val="00112955"/>
    <w:rsid w:val="00117BE7"/>
    <w:rsid w:val="00120DB0"/>
    <w:rsid w:val="00124498"/>
    <w:rsid w:val="00124DBD"/>
    <w:rsid w:val="00130C9A"/>
    <w:rsid w:val="001360D5"/>
    <w:rsid w:val="00136D1D"/>
    <w:rsid w:val="001416DE"/>
    <w:rsid w:val="00142984"/>
    <w:rsid w:val="001479C2"/>
    <w:rsid w:val="00170AF5"/>
    <w:rsid w:val="00171A4E"/>
    <w:rsid w:val="00192622"/>
    <w:rsid w:val="001957A3"/>
    <w:rsid w:val="001979E3"/>
    <w:rsid w:val="001A1B77"/>
    <w:rsid w:val="001A3F74"/>
    <w:rsid w:val="001A4B07"/>
    <w:rsid w:val="001B55FA"/>
    <w:rsid w:val="001B7F63"/>
    <w:rsid w:val="001C0AF6"/>
    <w:rsid w:val="001C6E94"/>
    <w:rsid w:val="001E152C"/>
    <w:rsid w:val="001E42EB"/>
    <w:rsid w:val="001E6A6E"/>
    <w:rsid w:val="001F06DB"/>
    <w:rsid w:val="001F6DF0"/>
    <w:rsid w:val="00231A30"/>
    <w:rsid w:val="00234F48"/>
    <w:rsid w:val="002425F0"/>
    <w:rsid w:val="00244E2C"/>
    <w:rsid w:val="002471DA"/>
    <w:rsid w:val="002518CA"/>
    <w:rsid w:val="00256652"/>
    <w:rsid w:val="00260B3F"/>
    <w:rsid w:val="00261C55"/>
    <w:rsid w:val="002626D8"/>
    <w:rsid w:val="0026563D"/>
    <w:rsid w:val="00273444"/>
    <w:rsid w:val="00277569"/>
    <w:rsid w:val="00280530"/>
    <w:rsid w:val="0028372B"/>
    <w:rsid w:val="002A1F79"/>
    <w:rsid w:val="002A258B"/>
    <w:rsid w:val="002A37E9"/>
    <w:rsid w:val="002B09EB"/>
    <w:rsid w:val="002B22EC"/>
    <w:rsid w:val="002B5F86"/>
    <w:rsid w:val="002B7626"/>
    <w:rsid w:val="002C14F9"/>
    <w:rsid w:val="002C514B"/>
    <w:rsid w:val="002C666A"/>
    <w:rsid w:val="002D073E"/>
    <w:rsid w:val="00304F45"/>
    <w:rsid w:val="0031204F"/>
    <w:rsid w:val="0031323C"/>
    <w:rsid w:val="00326195"/>
    <w:rsid w:val="003263DE"/>
    <w:rsid w:val="00330515"/>
    <w:rsid w:val="00330BE4"/>
    <w:rsid w:val="0033180A"/>
    <w:rsid w:val="00345422"/>
    <w:rsid w:val="00360F79"/>
    <w:rsid w:val="0036387C"/>
    <w:rsid w:val="00363E3C"/>
    <w:rsid w:val="00382DD7"/>
    <w:rsid w:val="00383618"/>
    <w:rsid w:val="003908E0"/>
    <w:rsid w:val="003911B4"/>
    <w:rsid w:val="003A5774"/>
    <w:rsid w:val="003A59FC"/>
    <w:rsid w:val="003A778C"/>
    <w:rsid w:val="003A7E29"/>
    <w:rsid w:val="003B1AF3"/>
    <w:rsid w:val="003B2A44"/>
    <w:rsid w:val="003C7102"/>
    <w:rsid w:val="003D2475"/>
    <w:rsid w:val="003D4598"/>
    <w:rsid w:val="003E0016"/>
    <w:rsid w:val="003E0389"/>
    <w:rsid w:val="003E10FC"/>
    <w:rsid w:val="003E40EF"/>
    <w:rsid w:val="00401ED3"/>
    <w:rsid w:val="00401F19"/>
    <w:rsid w:val="00403383"/>
    <w:rsid w:val="00405047"/>
    <w:rsid w:val="004054FE"/>
    <w:rsid w:val="00406197"/>
    <w:rsid w:val="00412ED3"/>
    <w:rsid w:val="00414BF3"/>
    <w:rsid w:val="00421829"/>
    <w:rsid w:val="004237C8"/>
    <w:rsid w:val="00423A87"/>
    <w:rsid w:val="00446974"/>
    <w:rsid w:val="004526B4"/>
    <w:rsid w:val="004559D2"/>
    <w:rsid w:val="00463689"/>
    <w:rsid w:val="00471571"/>
    <w:rsid w:val="00473FC3"/>
    <w:rsid w:val="00482468"/>
    <w:rsid w:val="00482F24"/>
    <w:rsid w:val="00497BC3"/>
    <w:rsid w:val="004A6B1E"/>
    <w:rsid w:val="004B0808"/>
    <w:rsid w:val="004B60C4"/>
    <w:rsid w:val="004B69D9"/>
    <w:rsid w:val="004B7B4C"/>
    <w:rsid w:val="004C275D"/>
    <w:rsid w:val="004C3ADE"/>
    <w:rsid w:val="004C523D"/>
    <w:rsid w:val="004D2B00"/>
    <w:rsid w:val="004D39FA"/>
    <w:rsid w:val="004E3619"/>
    <w:rsid w:val="00504AC6"/>
    <w:rsid w:val="005136E1"/>
    <w:rsid w:val="00514C51"/>
    <w:rsid w:val="00516533"/>
    <w:rsid w:val="00525DE7"/>
    <w:rsid w:val="005276DA"/>
    <w:rsid w:val="00531737"/>
    <w:rsid w:val="005349C8"/>
    <w:rsid w:val="005450DF"/>
    <w:rsid w:val="005469AC"/>
    <w:rsid w:val="005578A9"/>
    <w:rsid w:val="005637BF"/>
    <w:rsid w:val="00564DBE"/>
    <w:rsid w:val="005921AD"/>
    <w:rsid w:val="00593524"/>
    <w:rsid w:val="005A1156"/>
    <w:rsid w:val="005A560D"/>
    <w:rsid w:val="005B446F"/>
    <w:rsid w:val="005B58A7"/>
    <w:rsid w:val="005B6C0A"/>
    <w:rsid w:val="005C301A"/>
    <w:rsid w:val="005D4D00"/>
    <w:rsid w:val="005D54E2"/>
    <w:rsid w:val="005D6149"/>
    <w:rsid w:val="005E1C9E"/>
    <w:rsid w:val="005E323E"/>
    <w:rsid w:val="005E46FA"/>
    <w:rsid w:val="005E4E4C"/>
    <w:rsid w:val="005E757E"/>
    <w:rsid w:val="005F4E5F"/>
    <w:rsid w:val="00600789"/>
    <w:rsid w:val="00606BC0"/>
    <w:rsid w:val="006109C5"/>
    <w:rsid w:val="00612263"/>
    <w:rsid w:val="00614A5A"/>
    <w:rsid w:val="00624B33"/>
    <w:rsid w:val="006266CD"/>
    <w:rsid w:val="0063115C"/>
    <w:rsid w:val="0063225E"/>
    <w:rsid w:val="00643647"/>
    <w:rsid w:val="00652DF5"/>
    <w:rsid w:val="006536F1"/>
    <w:rsid w:val="00654A51"/>
    <w:rsid w:val="00656311"/>
    <w:rsid w:val="00657F52"/>
    <w:rsid w:val="006636E2"/>
    <w:rsid w:val="0066452A"/>
    <w:rsid w:val="00672193"/>
    <w:rsid w:val="00685AA9"/>
    <w:rsid w:val="00694C70"/>
    <w:rsid w:val="006A00D5"/>
    <w:rsid w:val="006A2F40"/>
    <w:rsid w:val="006A3D99"/>
    <w:rsid w:val="006A58C7"/>
    <w:rsid w:val="006A5E3D"/>
    <w:rsid w:val="006A625C"/>
    <w:rsid w:val="006B15E8"/>
    <w:rsid w:val="006B41AE"/>
    <w:rsid w:val="006B4E73"/>
    <w:rsid w:val="006C469E"/>
    <w:rsid w:val="006D0545"/>
    <w:rsid w:val="006D1F79"/>
    <w:rsid w:val="006D51D1"/>
    <w:rsid w:val="006D6D5D"/>
    <w:rsid w:val="006E431E"/>
    <w:rsid w:val="006E47B5"/>
    <w:rsid w:val="006F2152"/>
    <w:rsid w:val="006F2F68"/>
    <w:rsid w:val="0071049D"/>
    <w:rsid w:val="00711DA7"/>
    <w:rsid w:val="00713576"/>
    <w:rsid w:val="00713699"/>
    <w:rsid w:val="00713B2E"/>
    <w:rsid w:val="00717CE5"/>
    <w:rsid w:val="007228A5"/>
    <w:rsid w:val="00724639"/>
    <w:rsid w:val="007254E3"/>
    <w:rsid w:val="007269CE"/>
    <w:rsid w:val="00730266"/>
    <w:rsid w:val="00732737"/>
    <w:rsid w:val="007410BF"/>
    <w:rsid w:val="00743858"/>
    <w:rsid w:val="00747128"/>
    <w:rsid w:val="0075557D"/>
    <w:rsid w:val="007613A1"/>
    <w:rsid w:val="007644D3"/>
    <w:rsid w:val="00782940"/>
    <w:rsid w:val="00782B77"/>
    <w:rsid w:val="00790583"/>
    <w:rsid w:val="007912D5"/>
    <w:rsid w:val="007A3F2E"/>
    <w:rsid w:val="007A4E22"/>
    <w:rsid w:val="007A5B04"/>
    <w:rsid w:val="007B359B"/>
    <w:rsid w:val="007B544D"/>
    <w:rsid w:val="007B610A"/>
    <w:rsid w:val="007C010F"/>
    <w:rsid w:val="007C6544"/>
    <w:rsid w:val="007C73CC"/>
    <w:rsid w:val="007D28C8"/>
    <w:rsid w:val="007D513F"/>
    <w:rsid w:val="007E023C"/>
    <w:rsid w:val="007E1CDC"/>
    <w:rsid w:val="007F07D8"/>
    <w:rsid w:val="007F1EF7"/>
    <w:rsid w:val="007F39E2"/>
    <w:rsid w:val="007F68E1"/>
    <w:rsid w:val="00820C5F"/>
    <w:rsid w:val="00831A00"/>
    <w:rsid w:val="00835781"/>
    <w:rsid w:val="008405B9"/>
    <w:rsid w:val="008410DF"/>
    <w:rsid w:val="00845563"/>
    <w:rsid w:val="0085132D"/>
    <w:rsid w:val="00854C5D"/>
    <w:rsid w:val="00855B4B"/>
    <w:rsid w:val="00864197"/>
    <w:rsid w:val="008703AB"/>
    <w:rsid w:val="00876C6B"/>
    <w:rsid w:val="00884AAD"/>
    <w:rsid w:val="00884B7D"/>
    <w:rsid w:val="00886938"/>
    <w:rsid w:val="00897145"/>
    <w:rsid w:val="00897302"/>
    <w:rsid w:val="00897790"/>
    <w:rsid w:val="008A04EE"/>
    <w:rsid w:val="008A3903"/>
    <w:rsid w:val="008A640F"/>
    <w:rsid w:val="008B0AE1"/>
    <w:rsid w:val="008B30F2"/>
    <w:rsid w:val="008B3859"/>
    <w:rsid w:val="008C4DB9"/>
    <w:rsid w:val="008D125D"/>
    <w:rsid w:val="008D3B1C"/>
    <w:rsid w:val="008D40B8"/>
    <w:rsid w:val="008E1F4F"/>
    <w:rsid w:val="008E361A"/>
    <w:rsid w:val="008E7E47"/>
    <w:rsid w:val="008F3A0A"/>
    <w:rsid w:val="00900F26"/>
    <w:rsid w:val="00902567"/>
    <w:rsid w:val="00905033"/>
    <w:rsid w:val="00914466"/>
    <w:rsid w:val="00916E04"/>
    <w:rsid w:val="00930743"/>
    <w:rsid w:val="009353D7"/>
    <w:rsid w:val="00942ED2"/>
    <w:rsid w:val="00945697"/>
    <w:rsid w:val="00946031"/>
    <w:rsid w:val="0095069F"/>
    <w:rsid w:val="0095373D"/>
    <w:rsid w:val="009621F3"/>
    <w:rsid w:val="00964D5C"/>
    <w:rsid w:val="00980DE8"/>
    <w:rsid w:val="00984889"/>
    <w:rsid w:val="00984B67"/>
    <w:rsid w:val="009853FE"/>
    <w:rsid w:val="00987C70"/>
    <w:rsid w:val="009908B8"/>
    <w:rsid w:val="0099478C"/>
    <w:rsid w:val="009A47B6"/>
    <w:rsid w:val="009B2128"/>
    <w:rsid w:val="009B53D1"/>
    <w:rsid w:val="009C1916"/>
    <w:rsid w:val="009C6150"/>
    <w:rsid w:val="009E30E9"/>
    <w:rsid w:val="009F5BF8"/>
    <w:rsid w:val="00A01366"/>
    <w:rsid w:val="00A01391"/>
    <w:rsid w:val="00A041AE"/>
    <w:rsid w:val="00A11E43"/>
    <w:rsid w:val="00A24B37"/>
    <w:rsid w:val="00A2644B"/>
    <w:rsid w:val="00A266B4"/>
    <w:rsid w:val="00A2774C"/>
    <w:rsid w:val="00A306EE"/>
    <w:rsid w:val="00A3750B"/>
    <w:rsid w:val="00A40110"/>
    <w:rsid w:val="00A40188"/>
    <w:rsid w:val="00A421DB"/>
    <w:rsid w:val="00A43E6F"/>
    <w:rsid w:val="00A56199"/>
    <w:rsid w:val="00A576CF"/>
    <w:rsid w:val="00A6039C"/>
    <w:rsid w:val="00A803C1"/>
    <w:rsid w:val="00A85FF8"/>
    <w:rsid w:val="00A861A5"/>
    <w:rsid w:val="00A87048"/>
    <w:rsid w:val="00A903A2"/>
    <w:rsid w:val="00A97C1F"/>
    <w:rsid w:val="00AA12C6"/>
    <w:rsid w:val="00AA45FC"/>
    <w:rsid w:val="00AB5B24"/>
    <w:rsid w:val="00AB7BC0"/>
    <w:rsid w:val="00AC0F8A"/>
    <w:rsid w:val="00AC1635"/>
    <w:rsid w:val="00AC41C8"/>
    <w:rsid w:val="00AC6B6C"/>
    <w:rsid w:val="00AD08D5"/>
    <w:rsid w:val="00AD403C"/>
    <w:rsid w:val="00AD763B"/>
    <w:rsid w:val="00AE2098"/>
    <w:rsid w:val="00AE3884"/>
    <w:rsid w:val="00AE4972"/>
    <w:rsid w:val="00AF086F"/>
    <w:rsid w:val="00AF3B75"/>
    <w:rsid w:val="00AF3C48"/>
    <w:rsid w:val="00AF724F"/>
    <w:rsid w:val="00AF74F5"/>
    <w:rsid w:val="00AF7788"/>
    <w:rsid w:val="00B010F5"/>
    <w:rsid w:val="00B02A04"/>
    <w:rsid w:val="00B06C02"/>
    <w:rsid w:val="00B0752D"/>
    <w:rsid w:val="00B15C45"/>
    <w:rsid w:val="00B45411"/>
    <w:rsid w:val="00B47D42"/>
    <w:rsid w:val="00B574A4"/>
    <w:rsid w:val="00B61FEA"/>
    <w:rsid w:val="00B717C1"/>
    <w:rsid w:val="00B803C0"/>
    <w:rsid w:val="00B87005"/>
    <w:rsid w:val="00BB1D8F"/>
    <w:rsid w:val="00BB232C"/>
    <w:rsid w:val="00BB5D67"/>
    <w:rsid w:val="00BC0D67"/>
    <w:rsid w:val="00BC6901"/>
    <w:rsid w:val="00BD2903"/>
    <w:rsid w:val="00BD529E"/>
    <w:rsid w:val="00BE3131"/>
    <w:rsid w:val="00BE49F7"/>
    <w:rsid w:val="00BE7612"/>
    <w:rsid w:val="00BE78AB"/>
    <w:rsid w:val="00BF575A"/>
    <w:rsid w:val="00C01BA4"/>
    <w:rsid w:val="00C01BB0"/>
    <w:rsid w:val="00C03029"/>
    <w:rsid w:val="00C05B1A"/>
    <w:rsid w:val="00C14CCD"/>
    <w:rsid w:val="00C21DE5"/>
    <w:rsid w:val="00C25140"/>
    <w:rsid w:val="00C333E2"/>
    <w:rsid w:val="00C35D10"/>
    <w:rsid w:val="00C3625D"/>
    <w:rsid w:val="00C44CD7"/>
    <w:rsid w:val="00C72275"/>
    <w:rsid w:val="00C72E75"/>
    <w:rsid w:val="00C73B3F"/>
    <w:rsid w:val="00C75538"/>
    <w:rsid w:val="00C75806"/>
    <w:rsid w:val="00C7718A"/>
    <w:rsid w:val="00C80518"/>
    <w:rsid w:val="00C9319D"/>
    <w:rsid w:val="00CA000F"/>
    <w:rsid w:val="00CA3371"/>
    <w:rsid w:val="00CA48F6"/>
    <w:rsid w:val="00CA562F"/>
    <w:rsid w:val="00CB004D"/>
    <w:rsid w:val="00CB341C"/>
    <w:rsid w:val="00CB36B9"/>
    <w:rsid w:val="00CB36FD"/>
    <w:rsid w:val="00CC0CAE"/>
    <w:rsid w:val="00CC4B1E"/>
    <w:rsid w:val="00CE1030"/>
    <w:rsid w:val="00CE5CF1"/>
    <w:rsid w:val="00CF6365"/>
    <w:rsid w:val="00CF6C79"/>
    <w:rsid w:val="00CF714D"/>
    <w:rsid w:val="00D06EC9"/>
    <w:rsid w:val="00D10CE4"/>
    <w:rsid w:val="00D15655"/>
    <w:rsid w:val="00D26B05"/>
    <w:rsid w:val="00D30C1E"/>
    <w:rsid w:val="00D33A92"/>
    <w:rsid w:val="00D345D2"/>
    <w:rsid w:val="00D43A79"/>
    <w:rsid w:val="00D4451F"/>
    <w:rsid w:val="00D543EC"/>
    <w:rsid w:val="00D57476"/>
    <w:rsid w:val="00D65210"/>
    <w:rsid w:val="00D74B2C"/>
    <w:rsid w:val="00D75CEA"/>
    <w:rsid w:val="00D820C5"/>
    <w:rsid w:val="00D82497"/>
    <w:rsid w:val="00D95FC0"/>
    <w:rsid w:val="00DA16B0"/>
    <w:rsid w:val="00DA4188"/>
    <w:rsid w:val="00DA6508"/>
    <w:rsid w:val="00DC6979"/>
    <w:rsid w:val="00DD4AC0"/>
    <w:rsid w:val="00DE1227"/>
    <w:rsid w:val="00DE296C"/>
    <w:rsid w:val="00DE4D18"/>
    <w:rsid w:val="00DE7DA8"/>
    <w:rsid w:val="00DF78F8"/>
    <w:rsid w:val="00E00C23"/>
    <w:rsid w:val="00E0224D"/>
    <w:rsid w:val="00E078C5"/>
    <w:rsid w:val="00E12CE5"/>
    <w:rsid w:val="00E15AD5"/>
    <w:rsid w:val="00E1684B"/>
    <w:rsid w:val="00E230EA"/>
    <w:rsid w:val="00E26BA3"/>
    <w:rsid w:val="00E31CC2"/>
    <w:rsid w:val="00E31CCB"/>
    <w:rsid w:val="00E356E6"/>
    <w:rsid w:val="00E374DE"/>
    <w:rsid w:val="00E500FD"/>
    <w:rsid w:val="00E542F6"/>
    <w:rsid w:val="00E6569F"/>
    <w:rsid w:val="00E731CF"/>
    <w:rsid w:val="00E747D2"/>
    <w:rsid w:val="00E75B37"/>
    <w:rsid w:val="00E8034E"/>
    <w:rsid w:val="00E8291C"/>
    <w:rsid w:val="00E82D64"/>
    <w:rsid w:val="00E83CA7"/>
    <w:rsid w:val="00E858F6"/>
    <w:rsid w:val="00E87BD4"/>
    <w:rsid w:val="00E9428A"/>
    <w:rsid w:val="00E965DE"/>
    <w:rsid w:val="00E97157"/>
    <w:rsid w:val="00EA56C4"/>
    <w:rsid w:val="00EB0CCD"/>
    <w:rsid w:val="00EB4D98"/>
    <w:rsid w:val="00EB4E14"/>
    <w:rsid w:val="00EC0031"/>
    <w:rsid w:val="00EE033F"/>
    <w:rsid w:val="00EE409B"/>
    <w:rsid w:val="00EE56D8"/>
    <w:rsid w:val="00EE676B"/>
    <w:rsid w:val="00EE6B57"/>
    <w:rsid w:val="00EE6FFE"/>
    <w:rsid w:val="00EF1E90"/>
    <w:rsid w:val="00EF30FA"/>
    <w:rsid w:val="00F008A4"/>
    <w:rsid w:val="00F00F9E"/>
    <w:rsid w:val="00F02E9A"/>
    <w:rsid w:val="00F14AC7"/>
    <w:rsid w:val="00F21F00"/>
    <w:rsid w:val="00F25647"/>
    <w:rsid w:val="00F25A4F"/>
    <w:rsid w:val="00F31DD3"/>
    <w:rsid w:val="00F325C0"/>
    <w:rsid w:val="00F327DA"/>
    <w:rsid w:val="00F34531"/>
    <w:rsid w:val="00F356B8"/>
    <w:rsid w:val="00F4144D"/>
    <w:rsid w:val="00F431CB"/>
    <w:rsid w:val="00F477E2"/>
    <w:rsid w:val="00F500D2"/>
    <w:rsid w:val="00F5101D"/>
    <w:rsid w:val="00F53F93"/>
    <w:rsid w:val="00F55C9F"/>
    <w:rsid w:val="00F57EA6"/>
    <w:rsid w:val="00F6350F"/>
    <w:rsid w:val="00F73CE7"/>
    <w:rsid w:val="00F74128"/>
    <w:rsid w:val="00F75EAB"/>
    <w:rsid w:val="00F81A80"/>
    <w:rsid w:val="00F83CB5"/>
    <w:rsid w:val="00F9268C"/>
    <w:rsid w:val="00FA53B6"/>
    <w:rsid w:val="00FA660A"/>
    <w:rsid w:val="00FB31BD"/>
    <w:rsid w:val="00FC5B8A"/>
    <w:rsid w:val="00FD4E5C"/>
    <w:rsid w:val="00FD7157"/>
    <w:rsid w:val="00FD76AC"/>
    <w:rsid w:val="00FE40DB"/>
    <w:rsid w:val="00FE6ECF"/>
    <w:rsid w:val="00FE6F51"/>
    <w:rsid w:val="00FF7FF9"/>
    <w:rsid w:val="03BB111F"/>
    <w:rsid w:val="0D362F7B"/>
    <w:rsid w:val="0F2B1A5C"/>
    <w:rsid w:val="0FA664A8"/>
    <w:rsid w:val="121C440D"/>
    <w:rsid w:val="12F014AA"/>
    <w:rsid w:val="15FE7DFB"/>
    <w:rsid w:val="16AF3AF4"/>
    <w:rsid w:val="2381055C"/>
    <w:rsid w:val="27E4360C"/>
    <w:rsid w:val="2D2C5DF6"/>
    <w:rsid w:val="2F9B1AFC"/>
    <w:rsid w:val="32857C06"/>
    <w:rsid w:val="35F15C6E"/>
    <w:rsid w:val="383F4917"/>
    <w:rsid w:val="45440C83"/>
    <w:rsid w:val="4B2A159D"/>
    <w:rsid w:val="4B463498"/>
    <w:rsid w:val="4DC74323"/>
    <w:rsid w:val="507B05D7"/>
    <w:rsid w:val="50ED71D9"/>
    <w:rsid w:val="53B106F6"/>
    <w:rsid w:val="56CD43E4"/>
    <w:rsid w:val="5C9865CC"/>
    <w:rsid w:val="5EA14175"/>
    <w:rsid w:val="64037F09"/>
    <w:rsid w:val="6627641F"/>
    <w:rsid w:val="69EC107C"/>
    <w:rsid w:val="6EC13E6A"/>
    <w:rsid w:val="700A3873"/>
    <w:rsid w:val="71266FF6"/>
    <w:rsid w:val="72893EB3"/>
    <w:rsid w:val="73886B5C"/>
    <w:rsid w:val="7BA30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ind w:firstLine="200" w:firstLineChars="200"/>
      <w:outlineLvl w:val="0"/>
    </w:pPr>
    <w:rPr>
      <w:rFonts w:ascii="Times New Roman" w:hAnsi="Times New Roman"/>
      <w:b/>
      <w:bCs/>
      <w:kern w:val="44"/>
      <w:sz w:val="44"/>
      <w:szCs w:val="44"/>
    </w:rPr>
  </w:style>
  <w:style w:type="paragraph" w:styleId="3">
    <w:name w:val="heading 2"/>
    <w:basedOn w:val="1"/>
    <w:next w:val="1"/>
    <w:link w:val="25"/>
    <w:unhideWhenUsed/>
    <w:qFormat/>
    <w:uiPriority w:val="9"/>
    <w:pPr>
      <w:keepNext/>
      <w:keepLines/>
      <w:snapToGrid w:val="0"/>
      <w:spacing w:before="260" w:after="260" w:line="416" w:lineRule="auto"/>
      <w:ind w:firstLine="200" w:firstLineChars="200"/>
      <w:outlineLvl w:val="1"/>
    </w:pPr>
    <w:rPr>
      <w:rFonts w:ascii="Calibri Light" w:hAnsi="Calibri Light"/>
      <w:b/>
      <w:bCs/>
      <w:sz w:val="32"/>
      <w:szCs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35"/>
    <w:semiHidden/>
    <w:qFormat/>
    <w:uiPriority w:val="0"/>
    <w:pPr>
      <w:shd w:val="clear" w:color="auto" w:fill="000080"/>
      <w:ind w:firstLine="200" w:firstLineChars="200"/>
    </w:pPr>
    <w:rPr>
      <w:rFonts w:ascii="Times New Roman" w:hAnsi="Times New Roman"/>
      <w:szCs w:val="24"/>
    </w:rPr>
  </w:style>
  <w:style w:type="paragraph" w:styleId="6">
    <w:name w:val="annotation text"/>
    <w:basedOn w:val="1"/>
    <w:link w:val="42"/>
    <w:unhideWhenUsed/>
    <w:qFormat/>
    <w:uiPriority w:val="99"/>
    <w:pPr>
      <w:snapToGrid w:val="0"/>
      <w:spacing w:line="360" w:lineRule="auto"/>
      <w:ind w:firstLine="200" w:firstLineChars="200"/>
      <w:jc w:val="left"/>
    </w:pPr>
    <w:rPr>
      <w:rFonts w:ascii="Times New Roman" w:hAnsi="Times New Roman"/>
    </w:rPr>
  </w:style>
  <w:style w:type="paragraph" w:styleId="7">
    <w:name w:val="Body Text"/>
    <w:basedOn w:val="1"/>
    <w:link w:val="60"/>
    <w:unhideWhenUsed/>
    <w:qFormat/>
    <w:uiPriority w:val="99"/>
    <w:pPr>
      <w:ind w:left="537"/>
      <w:jc w:val="left"/>
    </w:pPr>
    <w:rPr>
      <w:rFonts w:ascii="宋体" w:hAnsi="宋体"/>
      <w:kern w:val="0"/>
      <w:szCs w:val="21"/>
      <w:lang w:eastAsia="en-US"/>
    </w:rPr>
  </w:style>
  <w:style w:type="paragraph" w:styleId="8">
    <w:name w:val="Date"/>
    <w:basedOn w:val="1"/>
    <w:next w:val="1"/>
    <w:link w:val="51"/>
    <w:unhideWhenUsed/>
    <w:qFormat/>
    <w:uiPriority w:val="99"/>
    <w:pPr>
      <w:snapToGrid w:val="0"/>
      <w:spacing w:line="360" w:lineRule="auto"/>
      <w:ind w:left="100" w:leftChars="2500" w:firstLine="200" w:firstLineChars="200"/>
    </w:pPr>
    <w:rPr>
      <w:rFonts w:ascii="Times New Roman" w:hAnsi="Times New Roman"/>
    </w:rPr>
  </w:style>
  <w:style w:type="paragraph" w:styleId="9">
    <w:name w:val="Balloon Text"/>
    <w:basedOn w:val="1"/>
    <w:link w:val="40"/>
    <w:semiHidden/>
    <w:qFormat/>
    <w:uiPriority w:val="99"/>
    <w:pPr>
      <w:ind w:firstLine="200" w:firstLineChars="200"/>
    </w:pPr>
    <w:rPr>
      <w:rFonts w:ascii="Times New Roman" w:hAnsi="Times New Roman"/>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44"/>
    <w:qFormat/>
    <w:uiPriority w:val="11"/>
    <w:pPr>
      <w:snapToGrid w:val="0"/>
      <w:jc w:val="center"/>
      <w:outlineLvl w:val="1"/>
    </w:pPr>
    <w:rPr>
      <w:rFonts w:ascii="Times New Roman" w:hAnsi="Times New Roman"/>
      <w:b/>
      <w:bCs/>
      <w:kern w:val="28"/>
      <w:sz w:val="44"/>
      <w:szCs w:val="32"/>
    </w:rPr>
  </w:style>
  <w:style w:type="paragraph" w:styleId="13">
    <w:name w:val="Normal (Web)"/>
    <w:basedOn w:val="1"/>
    <w:unhideWhenUsed/>
    <w:qFormat/>
    <w:uiPriority w:val="99"/>
    <w:pPr>
      <w:widowControl/>
      <w:spacing w:before="100" w:beforeAutospacing="1" w:after="100" w:afterAutospacing="1"/>
      <w:ind w:firstLine="200" w:firstLineChars="200"/>
      <w:jc w:val="left"/>
    </w:pPr>
    <w:rPr>
      <w:rFonts w:ascii="宋体" w:hAnsi="宋体" w:cs="宋体"/>
      <w:kern w:val="0"/>
      <w:sz w:val="24"/>
      <w:szCs w:val="24"/>
    </w:rPr>
  </w:style>
  <w:style w:type="paragraph" w:styleId="14">
    <w:name w:val="Title"/>
    <w:basedOn w:val="1"/>
    <w:next w:val="1"/>
    <w:link w:val="41"/>
    <w:qFormat/>
    <w:uiPriority w:val="10"/>
    <w:pPr>
      <w:snapToGrid w:val="0"/>
      <w:spacing w:before="240" w:after="60" w:line="360" w:lineRule="auto"/>
      <w:jc w:val="left"/>
      <w:outlineLvl w:val="0"/>
    </w:pPr>
    <w:rPr>
      <w:rFonts w:ascii="Times New Roman" w:hAnsi="Times New Roman"/>
      <w:b/>
      <w:bCs/>
      <w:sz w:val="32"/>
      <w:szCs w:val="32"/>
    </w:rPr>
  </w:style>
  <w:style w:type="paragraph" w:styleId="15">
    <w:name w:val="annotation subject"/>
    <w:basedOn w:val="6"/>
    <w:next w:val="6"/>
    <w:link w:val="48"/>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unhideWhenUsed/>
    <w:qFormat/>
    <w:uiPriority w:val="99"/>
    <w:rPr>
      <w:sz w:val="21"/>
      <w:szCs w:val="21"/>
    </w:rPr>
  </w:style>
  <w:style w:type="character" w:customStyle="1" w:styleId="21">
    <w:name w:val="标题 3 Char"/>
    <w:basedOn w:val="18"/>
    <w:link w:val="4"/>
    <w:qFormat/>
    <w:uiPriority w:val="9"/>
    <w:rPr>
      <w:rFonts w:ascii="Calibri" w:hAnsi="Calibri" w:eastAsia="宋体" w:cs="Times New Roman"/>
      <w:b/>
      <w:bCs/>
      <w:sz w:val="32"/>
      <w:szCs w:val="32"/>
    </w:rPr>
  </w:style>
  <w:style w:type="character" w:customStyle="1" w:styleId="22">
    <w:name w:val="页眉 Char"/>
    <w:basedOn w:val="18"/>
    <w:link w:val="11"/>
    <w:qFormat/>
    <w:uiPriority w:val="99"/>
    <w:rPr>
      <w:rFonts w:ascii="Calibri" w:hAnsi="Calibri" w:eastAsia="宋体" w:cs="Times New Roman"/>
      <w:sz w:val="18"/>
      <w:szCs w:val="18"/>
    </w:rPr>
  </w:style>
  <w:style w:type="character" w:customStyle="1" w:styleId="23">
    <w:name w:val="页脚 Char"/>
    <w:basedOn w:val="18"/>
    <w:link w:val="10"/>
    <w:qFormat/>
    <w:uiPriority w:val="99"/>
    <w:rPr>
      <w:rFonts w:ascii="Calibri" w:hAnsi="Calibri" w:eastAsia="宋体" w:cs="Times New Roman"/>
      <w:sz w:val="18"/>
      <w:szCs w:val="18"/>
    </w:rPr>
  </w:style>
  <w:style w:type="character" w:customStyle="1" w:styleId="24">
    <w:name w:val="标题 1 Char"/>
    <w:basedOn w:val="18"/>
    <w:link w:val="2"/>
    <w:qFormat/>
    <w:uiPriority w:val="9"/>
    <w:rPr>
      <w:rFonts w:ascii="Times New Roman" w:hAnsi="Times New Roman" w:eastAsia="宋体" w:cs="Times New Roman"/>
      <w:b/>
      <w:bCs/>
      <w:kern w:val="44"/>
      <w:sz w:val="44"/>
      <w:szCs w:val="44"/>
    </w:rPr>
  </w:style>
  <w:style w:type="character" w:customStyle="1" w:styleId="25">
    <w:name w:val="标题 2 Char"/>
    <w:basedOn w:val="18"/>
    <w:link w:val="3"/>
    <w:qFormat/>
    <w:uiPriority w:val="9"/>
    <w:rPr>
      <w:rFonts w:ascii="Calibri Light" w:hAnsi="Calibri Light" w:eastAsia="宋体" w:cs="Times New Roman"/>
      <w:b/>
      <w:bCs/>
      <w:sz w:val="32"/>
      <w:szCs w:val="32"/>
    </w:rPr>
  </w:style>
  <w:style w:type="paragraph" w:customStyle="1" w:styleId="26">
    <w:name w:val="段"/>
    <w:link w:val="4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章标题"/>
    <w:next w:val="26"/>
    <w:link w:val="6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9">
    <w:name w:val="一级条标题"/>
    <w:basedOn w:val="28"/>
    <w:next w:val="26"/>
    <w:qFormat/>
    <w:uiPriority w:val="0"/>
    <w:pPr>
      <w:numPr>
        <w:ilvl w:val="2"/>
      </w:numPr>
      <w:spacing w:beforeLines="0" w:afterLines="0"/>
      <w:outlineLvl w:val="2"/>
    </w:pPr>
  </w:style>
  <w:style w:type="paragraph" w:customStyle="1" w:styleId="30">
    <w:name w:val="二级条标题"/>
    <w:basedOn w:val="29"/>
    <w:next w:val="26"/>
    <w:qFormat/>
    <w:uiPriority w:val="0"/>
    <w:pPr>
      <w:numPr>
        <w:ilvl w:val="3"/>
      </w:numPr>
      <w:outlineLvl w:val="3"/>
    </w:pPr>
  </w:style>
  <w:style w:type="paragraph" w:customStyle="1" w:styleId="31">
    <w:name w:val="三级条标题"/>
    <w:basedOn w:val="30"/>
    <w:next w:val="26"/>
    <w:qFormat/>
    <w:uiPriority w:val="0"/>
    <w:pPr>
      <w:numPr>
        <w:ilvl w:val="4"/>
      </w:numPr>
      <w:outlineLvl w:val="4"/>
    </w:pPr>
  </w:style>
  <w:style w:type="paragraph" w:customStyle="1" w:styleId="32">
    <w:name w:val="四级条标题"/>
    <w:basedOn w:val="31"/>
    <w:next w:val="26"/>
    <w:qFormat/>
    <w:uiPriority w:val="0"/>
    <w:pPr>
      <w:numPr>
        <w:ilvl w:val="5"/>
      </w:numPr>
      <w:outlineLvl w:val="5"/>
    </w:pPr>
  </w:style>
  <w:style w:type="paragraph" w:customStyle="1" w:styleId="33">
    <w:name w:val="五级条标题"/>
    <w:basedOn w:val="32"/>
    <w:next w:val="26"/>
    <w:qFormat/>
    <w:uiPriority w:val="0"/>
    <w:pPr>
      <w:numPr>
        <w:ilvl w:val="6"/>
      </w:numPr>
      <w:outlineLvl w:val="6"/>
    </w:pPr>
  </w:style>
  <w:style w:type="paragraph" w:customStyle="1" w:styleId="34">
    <w:name w:val="Char Char Char Char Char Char Char Char Char"/>
    <w:basedOn w:val="5"/>
    <w:qFormat/>
    <w:uiPriority w:val="0"/>
    <w:pPr>
      <w:adjustRightInd w:val="0"/>
      <w:spacing w:line="436" w:lineRule="exact"/>
      <w:ind w:left="357"/>
      <w:jc w:val="left"/>
      <w:outlineLvl w:val="3"/>
    </w:pPr>
    <w:rPr>
      <w:rFonts w:ascii="Tahoma" w:hAnsi="Tahoma"/>
      <w:b/>
      <w:sz w:val="24"/>
    </w:rPr>
  </w:style>
  <w:style w:type="character" w:customStyle="1" w:styleId="35">
    <w:name w:val="文档结构图 Char"/>
    <w:basedOn w:val="18"/>
    <w:link w:val="5"/>
    <w:semiHidden/>
    <w:qFormat/>
    <w:uiPriority w:val="0"/>
    <w:rPr>
      <w:rFonts w:ascii="Times New Roman" w:hAnsi="Times New Roman" w:eastAsia="宋体" w:cs="Times New Roman"/>
      <w:szCs w:val="24"/>
      <w:shd w:val="clear" w:color="auto" w:fill="000080"/>
    </w:rPr>
  </w:style>
  <w:style w:type="paragraph" w:customStyle="1" w:styleId="3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7">
    <w:name w:val="Char Char Char Char"/>
    <w:basedOn w:val="1"/>
    <w:qFormat/>
    <w:uiPriority w:val="0"/>
    <w:pPr>
      <w:widowControl/>
      <w:spacing w:after="160" w:line="240" w:lineRule="exact"/>
      <w:ind w:firstLine="200" w:firstLineChars="200"/>
      <w:jc w:val="left"/>
    </w:pPr>
    <w:rPr>
      <w:rFonts w:ascii="Times New Roman" w:hAnsi="Times New Roman"/>
      <w:szCs w:val="20"/>
    </w:rPr>
  </w:style>
  <w:style w:type="paragraph" w:customStyle="1" w:styleId="38">
    <w:name w:val="Char"/>
    <w:basedOn w:val="1"/>
    <w:qFormat/>
    <w:uiPriority w:val="0"/>
    <w:pPr>
      <w:widowControl/>
      <w:spacing w:after="160" w:line="240" w:lineRule="exact"/>
      <w:ind w:firstLine="200" w:firstLineChars="200"/>
      <w:jc w:val="left"/>
    </w:pPr>
    <w:rPr>
      <w:rFonts w:ascii="Times New Roman" w:hAnsi="Times New Roman"/>
      <w:szCs w:val="20"/>
    </w:rPr>
  </w:style>
  <w:style w:type="paragraph" w:customStyle="1" w:styleId="39">
    <w:name w:val="Char Char Char Char Char Char Char"/>
    <w:basedOn w:val="1"/>
    <w:qFormat/>
    <w:uiPriority w:val="0"/>
    <w:pPr>
      <w:widowControl/>
      <w:spacing w:after="160" w:line="240" w:lineRule="exact"/>
      <w:ind w:firstLine="200" w:firstLineChars="200"/>
      <w:jc w:val="left"/>
    </w:pPr>
    <w:rPr>
      <w:rFonts w:ascii="Arial" w:hAnsi="Arial" w:eastAsia="Times New Roman" w:cs="Verdana"/>
      <w:b/>
      <w:kern w:val="0"/>
      <w:sz w:val="24"/>
      <w:szCs w:val="24"/>
      <w:lang w:eastAsia="en-US"/>
    </w:rPr>
  </w:style>
  <w:style w:type="character" w:customStyle="1" w:styleId="40">
    <w:name w:val="批注框文本 Char"/>
    <w:basedOn w:val="18"/>
    <w:link w:val="9"/>
    <w:semiHidden/>
    <w:qFormat/>
    <w:uiPriority w:val="99"/>
    <w:rPr>
      <w:rFonts w:ascii="Times New Roman" w:hAnsi="Times New Roman" w:eastAsia="宋体" w:cs="Times New Roman"/>
      <w:sz w:val="18"/>
      <w:szCs w:val="18"/>
    </w:rPr>
  </w:style>
  <w:style w:type="character" w:customStyle="1" w:styleId="41">
    <w:name w:val="标题 Char"/>
    <w:basedOn w:val="18"/>
    <w:link w:val="14"/>
    <w:qFormat/>
    <w:uiPriority w:val="10"/>
    <w:rPr>
      <w:rFonts w:ascii="Times New Roman" w:hAnsi="Times New Roman" w:eastAsia="宋体" w:cs="Times New Roman"/>
      <w:b/>
      <w:bCs/>
      <w:sz w:val="32"/>
      <w:szCs w:val="32"/>
    </w:rPr>
  </w:style>
  <w:style w:type="character" w:customStyle="1" w:styleId="42">
    <w:name w:val="批注文字 Char"/>
    <w:basedOn w:val="18"/>
    <w:link w:val="6"/>
    <w:qFormat/>
    <w:uiPriority w:val="99"/>
    <w:rPr>
      <w:rFonts w:ascii="Times New Roman" w:hAnsi="Times New Roman" w:eastAsia="宋体" w:cs="Times New Roman"/>
    </w:rPr>
  </w:style>
  <w:style w:type="paragraph" w:styleId="43">
    <w:name w:val="No Spacing"/>
    <w:qFormat/>
    <w:uiPriority w:val="1"/>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44">
    <w:name w:val="副标题 Char"/>
    <w:basedOn w:val="18"/>
    <w:link w:val="12"/>
    <w:qFormat/>
    <w:uiPriority w:val="11"/>
    <w:rPr>
      <w:rFonts w:ascii="Times New Roman" w:hAnsi="Times New Roman" w:eastAsia="宋体" w:cs="Times New Roman"/>
      <w:b/>
      <w:bCs/>
      <w:kern w:val="28"/>
      <w:sz w:val="44"/>
      <w:szCs w:val="32"/>
    </w:rPr>
  </w:style>
  <w:style w:type="character" w:customStyle="1" w:styleId="45">
    <w:name w:val="段 Char"/>
    <w:link w:val="26"/>
    <w:qFormat/>
    <w:locked/>
    <w:uiPriority w:val="0"/>
    <w:rPr>
      <w:rFonts w:ascii="宋体" w:hAnsi="Times New Roman" w:eastAsia="宋体" w:cs="Times New Roman"/>
      <w:kern w:val="0"/>
      <w:szCs w:val="20"/>
    </w:rPr>
  </w:style>
  <w:style w:type="paragraph" w:customStyle="1" w:styleId="46">
    <w:name w:val="样式1"/>
    <w:basedOn w:val="1"/>
    <w:link w:val="47"/>
    <w:qFormat/>
    <w:uiPriority w:val="0"/>
    <w:pPr>
      <w:snapToGrid w:val="0"/>
      <w:jc w:val="center"/>
    </w:pPr>
    <w:rPr>
      <w:rFonts w:ascii="Times New Roman" w:hAnsi="Times New Roman"/>
    </w:rPr>
  </w:style>
  <w:style w:type="character" w:customStyle="1" w:styleId="47">
    <w:name w:val="样式1 Char"/>
    <w:link w:val="46"/>
    <w:qFormat/>
    <w:uiPriority w:val="0"/>
    <w:rPr>
      <w:rFonts w:ascii="Times New Roman" w:hAnsi="Times New Roman" w:eastAsia="宋体" w:cs="Times New Roman"/>
    </w:rPr>
  </w:style>
  <w:style w:type="character" w:customStyle="1" w:styleId="48">
    <w:name w:val="批注主题 Char"/>
    <w:basedOn w:val="42"/>
    <w:link w:val="15"/>
    <w:qFormat/>
    <w:uiPriority w:val="99"/>
    <w:rPr>
      <w:rFonts w:ascii="Times New Roman" w:hAnsi="Times New Roman" w:eastAsia="宋体" w:cs="Times New Roman"/>
      <w:b/>
      <w:bCs/>
    </w:rPr>
  </w:style>
  <w:style w:type="paragraph" w:customStyle="1" w:styleId="49">
    <w:name w:val="论文正文"/>
    <w:basedOn w:val="1"/>
    <w:link w:val="50"/>
    <w:qFormat/>
    <w:uiPriority w:val="0"/>
    <w:pPr>
      <w:adjustRightInd w:val="0"/>
      <w:snapToGrid w:val="0"/>
      <w:spacing w:line="400" w:lineRule="exact"/>
      <w:ind w:firstLine="480" w:firstLineChars="200"/>
      <w:textAlignment w:val="baseline"/>
    </w:pPr>
    <w:rPr>
      <w:rFonts w:ascii="Times New Roman" w:hAnsi="Times New Roman"/>
      <w:kern w:val="0"/>
      <w:sz w:val="24"/>
      <w:szCs w:val="20"/>
    </w:rPr>
  </w:style>
  <w:style w:type="character" w:customStyle="1" w:styleId="50">
    <w:name w:val="论文正文 Char"/>
    <w:link w:val="49"/>
    <w:qFormat/>
    <w:uiPriority w:val="0"/>
    <w:rPr>
      <w:rFonts w:ascii="Times New Roman" w:hAnsi="Times New Roman" w:eastAsia="宋体" w:cs="Times New Roman"/>
      <w:kern w:val="0"/>
      <w:sz w:val="24"/>
      <w:szCs w:val="20"/>
    </w:rPr>
  </w:style>
  <w:style w:type="character" w:customStyle="1" w:styleId="51">
    <w:name w:val="日期 Char"/>
    <w:basedOn w:val="18"/>
    <w:link w:val="8"/>
    <w:qFormat/>
    <w:uiPriority w:val="99"/>
    <w:rPr>
      <w:rFonts w:ascii="Times New Roman" w:hAnsi="Times New Roman" w:eastAsia="宋体" w:cs="Times New Roman"/>
    </w:rPr>
  </w:style>
  <w:style w:type="character" w:styleId="52">
    <w:name w:val="Placeholder Text"/>
    <w:semiHidden/>
    <w:qFormat/>
    <w:uiPriority w:val="99"/>
    <w:rPr>
      <w:color w:val="808080"/>
    </w:rPr>
  </w:style>
  <w:style w:type="character" w:customStyle="1" w:styleId="53">
    <w:name w:val="MTEquationSection"/>
    <w:qFormat/>
    <w:uiPriority w:val="0"/>
    <w:rPr>
      <w:vanish/>
      <w:color w:val="FF0000"/>
    </w:rPr>
  </w:style>
  <w:style w:type="paragraph" w:styleId="54">
    <w:name w:val="List Paragraph"/>
    <w:basedOn w:val="1"/>
    <w:qFormat/>
    <w:uiPriority w:val="34"/>
    <w:pPr>
      <w:snapToGrid w:val="0"/>
      <w:spacing w:line="360" w:lineRule="auto"/>
      <w:ind w:firstLine="420" w:firstLineChars="200"/>
    </w:pPr>
    <w:rPr>
      <w:rFonts w:ascii="Times New Roman" w:hAnsi="Times New Roman"/>
    </w:rPr>
  </w:style>
  <w:style w:type="paragraph" w:customStyle="1" w:styleId="55">
    <w:name w:val="参考文献"/>
    <w:basedOn w:val="1"/>
    <w:link w:val="56"/>
    <w:qFormat/>
    <w:uiPriority w:val="0"/>
    <w:pPr>
      <w:numPr>
        <w:ilvl w:val="0"/>
        <w:numId w:val="2"/>
      </w:numPr>
      <w:spacing w:before="60" w:line="320" w:lineRule="exact"/>
    </w:pPr>
    <w:rPr>
      <w:rFonts w:ascii="Times New Roman" w:hAnsi="宋体"/>
      <w:kern w:val="0"/>
      <w:szCs w:val="21"/>
    </w:rPr>
  </w:style>
  <w:style w:type="character" w:customStyle="1" w:styleId="56">
    <w:name w:val="参考文献 Char"/>
    <w:link w:val="55"/>
    <w:qFormat/>
    <w:uiPriority w:val="0"/>
    <w:rPr>
      <w:rFonts w:ascii="Times New Roman" w:hAnsi="宋体" w:eastAsia="宋体" w:cs="Times New Roman"/>
      <w:kern w:val="0"/>
      <w:szCs w:val="21"/>
    </w:rPr>
  </w:style>
  <w:style w:type="paragraph" w:customStyle="1" w:styleId="5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
    <w:name w:val="参考文献格式"/>
    <w:basedOn w:val="1"/>
    <w:qFormat/>
    <w:uiPriority w:val="0"/>
    <w:pPr>
      <w:spacing w:line="400" w:lineRule="atLeast"/>
      <w:ind w:left="315" w:hanging="315" w:hangingChars="150"/>
    </w:pPr>
    <w:rPr>
      <w:rFonts w:ascii="Times New Roman" w:hAnsi="Times New Roman" w:cs="宋体"/>
      <w:kern w:val="0"/>
      <w:szCs w:val="20"/>
    </w:rPr>
  </w:style>
  <w:style w:type="table" w:customStyle="1" w:styleId="59">
    <w:name w:val="网格型1"/>
    <w:basedOn w:val="1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
    <w:name w:val="正文文本 Char"/>
    <w:link w:val="7"/>
    <w:qFormat/>
    <w:uiPriority w:val="99"/>
    <w:rPr>
      <w:rFonts w:ascii="宋体" w:hAnsi="宋体"/>
      <w:sz w:val="21"/>
      <w:szCs w:val="21"/>
      <w:lang w:eastAsia="en-US"/>
    </w:rPr>
  </w:style>
  <w:style w:type="character" w:customStyle="1" w:styleId="61">
    <w:name w:val="正文文本 字符"/>
    <w:basedOn w:val="18"/>
    <w:semiHidden/>
    <w:uiPriority w:val="99"/>
    <w:rPr>
      <w:rFonts w:ascii="Calibri" w:hAnsi="Calibri"/>
      <w:kern w:val="2"/>
      <w:sz w:val="21"/>
      <w:szCs w:val="22"/>
    </w:rPr>
  </w:style>
  <w:style w:type="paragraph" w:customStyle="1" w:styleId="62">
    <w:name w:val="Table Paragraph"/>
    <w:basedOn w:val="1"/>
    <w:qFormat/>
    <w:uiPriority w:val="1"/>
    <w:pPr>
      <w:autoSpaceDE w:val="0"/>
      <w:autoSpaceDN w:val="0"/>
      <w:adjustRightInd w:val="0"/>
      <w:jc w:val="left"/>
    </w:pPr>
    <w:rPr>
      <w:rFonts w:ascii="Times New Roman" w:hAnsi="Times New Roman" w:eastAsia="等线"/>
      <w:kern w:val="0"/>
      <w:sz w:val="24"/>
      <w:szCs w:val="24"/>
    </w:rPr>
  </w:style>
  <w:style w:type="character" w:customStyle="1" w:styleId="63">
    <w:name w:val="章标题 Char"/>
    <w:link w:val="28"/>
    <w:uiPriority w:val="0"/>
    <w:rPr>
      <w:rFonts w:ascii="黑体" w:eastAsia="黑体"/>
      <w:sz w:val="21"/>
    </w:rPr>
  </w:style>
  <w:style w:type="paragraph" w:customStyle="1" w:styleId="64">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5">
    <w:name w:val="段 字符"/>
    <w:basedOn w:val="18"/>
    <w:qFormat/>
    <w:uiPriority w:val="0"/>
    <w:rPr>
      <w:rFonts w:ascii="Times New Roman" w:hAnsi="Times New Roman" w:eastAsia="宋体" w:cs="Calibri"/>
      <w:szCs w:val="21"/>
    </w:rPr>
  </w:style>
  <w:style w:type="paragraph" w:customStyle="1" w:styleId="66">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77FCBD60-744B-4199-84E0-04281D5E2BF5}">
  <ds:schemaRefs/>
</ds:datastoreItem>
</file>

<file path=customXml/itemProps2.xml><?xml version="1.0" encoding="utf-8"?>
<ds:datastoreItem xmlns:ds="http://schemas.openxmlformats.org/officeDocument/2006/customXml" ds:itemID="{E9C2E37F-FCE9-42FE-A020-71456BA6DF77}">
  <ds:schemaRefs/>
</ds:datastoreItem>
</file>

<file path=customXml/itemProps3.xml><?xml version="1.0" encoding="utf-8"?>
<ds:datastoreItem xmlns:ds="http://schemas.openxmlformats.org/officeDocument/2006/customXml" ds:itemID="{7A7F94A6-BAB4-411E-9ADB-8C520D812C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4223</Words>
  <Characters>4395</Characters>
  <Lines>32</Lines>
  <Paragraphs>9</Paragraphs>
  <TotalTime>22</TotalTime>
  <ScaleCrop>false</ScaleCrop>
  <LinksUpToDate>false</LinksUpToDate>
  <CharactersWithSpaces>4439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2022-10-25T13:23:00Z</dcterms:created>
  <dc:creator>zhengyanfeng</dc:creator>
  <cp:lastModifiedBy>愚淼</cp:lastModifiedBy>
  <dcterms:modified xsi:type="dcterms:W3CDTF">2022-10-26T04:01:50Z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7C42511F65BE438E9009D956ECEB38BF</vt:lpwstr>
  </property>
</Properties>
</file>