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775"/>
        </w:tabs>
        <w:spacing w:line="240" w:lineRule="auto"/>
        <w:ind w:firstLine="0" w:firstLineChars="0"/>
        <w:jc w:val="both"/>
        <w:rPr>
          <w:rFonts w:cs="Times New Roman"/>
          <w:b/>
          <w:kern w:val="0"/>
        </w:rPr>
      </w:pPr>
      <w:bookmarkStart w:id="0" w:name="SectionMark0"/>
      <w:r>
        <w:rPr>
          <w:rFonts w:cs="Times New Roman"/>
          <w:b/>
          <w:kern w:val="0"/>
        </w:rPr>
        <w:t>ICS 75.180.10</w:t>
      </w:r>
    </w:p>
    <w:p>
      <w:pPr>
        <w:widowControl/>
        <w:tabs>
          <w:tab w:val="left" w:pos="5775"/>
        </w:tabs>
        <w:spacing w:line="240" w:lineRule="auto"/>
        <w:ind w:firstLine="0" w:firstLineChars="0"/>
        <w:jc w:val="both"/>
        <w:rPr>
          <w:rFonts w:cs="Times New Roman"/>
          <w:b/>
          <w:kern w:val="0"/>
        </w:rPr>
      </w:pPr>
      <w:r>
        <w:rPr>
          <w:rFonts w:cs="Times New Roman"/>
          <w:b/>
          <w:kern w:val="0"/>
        </w:rPr>
        <w:t>E 92</w:t>
      </w:r>
    </w:p>
    <w:p>
      <w:pPr>
        <w:widowControl/>
        <w:tabs>
          <w:tab w:val="left" w:pos="0"/>
        </w:tabs>
        <w:spacing w:line="240" w:lineRule="auto"/>
        <w:ind w:firstLine="0" w:firstLineChars="0"/>
        <w:jc w:val="center"/>
        <w:rPr>
          <w:rFonts w:cs="Times New Roman"/>
          <w:kern w:val="0"/>
          <w:sz w:val="120"/>
          <w:szCs w:val="120"/>
        </w:rPr>
      </w:pPr>
      <w:r>
        <w:rPr>
          <w:rFonts w:cs="Times New Roman"/>
          <w:kern w:val="0"/>
          <w:sz w:val="120"/>
          <w:szCs w:val="120"/>
        </w:rPr>
        <w:t>团</w:t>
      </w:r>
      <w:r>
        <w:rPr>
          <w:rFonts w:cs="Times New Roman"/>
          <w:kern w:val="0"/>
          <w:sz w:val="120"/>
          <w:szCs w:val="120"/>
        </w:rPr>
        <w:tab/>
      </w:r>
      <w:r>
        <w:rPr>
          <w:rFonts w:cs="Times New Roman"/>
          <w:kern w:val="0"/>
          <w:sz w:val="120"/>
          <w:szCs w:val="120"/>
        </w:rPr>
        <w:tab/>
      </w:r>
      <w:r>
        <w:rPr>
          <w:rFonts w:cs="Times New Roman"/>
          <w:kern w:val="0"/>
          <w:sz w:val="120"/>
          <w:szCs w:val="120"/>
        </w:rPr>
        <w:t>体</w:t>
      </w:r>
      <w:r>
        <w:rPr>
          <w:rFonts w:cs="Times New Roman"/>
          <w:kern w:val="0"/>
          <w:sz w:val="120"/>
          <w:szCs w:val="120"/>
        </w:rPr>
        <w:tab/>
      </w:r>
      <w:r>
        <w:rPr>
          <w:rFonts w:cs="Times New Roman"/>
          <w:kern w:val="0"/>
          <w:sz w:val="120"/>
          <w:szCs w:val="120"/>
        </w:rPr>
        <w:tab/>
      </w:r>
      <w:r>
        <w:rPr>
          <w:rFonts w:cs="Times New Roman"/>
          <w:kern w:val="0"/>
          <w:sz w:val="120"/>
          <w:szCs w:val="120"/>
        </w:rPr>
        <w:t>标</w:t>
      </w:r>
      <w:r>
        <w:rPr>
          <w:rFonts w:cs="Times New Roman"/>
          <w:kern w:val="0"/>
          <w:sz w:val="120"/>
          <w:szCs w:val="120"/>
        </w:rPr>
        <w:tab/>
      </w:r>
      <w:r>
        <w:rPr>
          <w:rFonts w:cs="Times New Roman"/>
          <w:kern w:val="0"/>
          <w:sz w:val="120"/>
          <w:szCs w:val="120"/>
        </w:rPr>
        <w:tab/>
      </w:r>
      <w:r>
        <w:rPr>
          <w:rFonts w:cs="Times New Roman"/>
          <w:kern w:val="0"/>
          <w:sz w:val="120"/>
          <w:szCs w:val="120"/>
        </w:rPr>
        <w:t>准</w:t>
      </w:r>
    </w:p>
    <w:p>
      <w:pPr>
        <w:widowControl/>
        <w:tabs>
          <w:tab w:val="left" w:pos="5775"/>
        </w:tabs>
        <w:wordWrap w:val="0"/>
        <w:spacing w:line="240" w:lineRule="auto"/>
        <w:ind w:firstLine="0" w:firstLineChars="0"/>
        <w:jc w:val="right"/>
        <w:rPr>
          <w:rFonts w:cs="Times New Roman"/>
          <w:b/>
          <w:kern w:val="0"/>
          <w:sz w:val="28"/>
          <w:szCs w:val="28"/>
        </w:rPr>
      </w:pPr>
      <w:r>
        <w:rPr>
          <w:rFonts w:cs="Times New Roman"/>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paragraph">
                  <wp:posOffset>378460</wp:posOffset>
                </wp:positionV>
                <wp:extent cx="5255895" cy="15875"/>
                <wp:effectExtent l="0" t="0" r="20955" b="22225"/>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5255895" cy="1587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2.65pt;margin-top:29.8pt;height:1.25pt;width:413.85pt;z-index:251666432;mso-width-relative:page;mso-height-relative:page;" filled="f" stroked="t" coordsize="21600,21600" o:gfxdata="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H5Y&#10;5dcAAAAHAQAADwAAAAAAAAABACAAAAAiAAAAZHJzL2Rvd25yZXYueG1sUEsBAhQAFAAAAAgAh07i&#10;QEQe1NjqAQAAsQMAAA4AAAAAAAAAAQAgAAAAJgEAAGRycy9lMm9Eb2MueG1sUEsFBgAAAAAGAAYA&#10;WQEAAIIFAAAAAA==&#10;">
                <v:fill on="f" focussize="0,0"/>
                <v:stroke weight="1pt" color="#000000" joinstyle="round"/>
                <v:imagedata o:title=""/>
                <o:lock v:ext="edit" aspectratio="f"/>
              </v:line>
            </w:pict>
          </mc:Fallback>
        </mc:AlternateContent>
      </w:r>
      <w:r>
        <w:rPr>
          <w:rFonts w:cs="Times New Roman"/>
          <w:b/>
          <w:kern w:val="0"/>
          <w:sz w:val="28"/>
          <w:szCs w:val="28"/>
        </w:rPr>
        <w:t xml:space="preserve"> T/CPI XXXXX-202X</w:t>
      </w:r>
    </w:p>
    <w:p>
      <w:pPr>
        <w:widowControl/>
        <w:tabs>
          <w:tab w:val="left" w:pos="5775"/>
        </w:tabs>
        <w:wordWrap w:val="0"/>
        <w:spacing w:line="240" w:lineRule="auto"/>
        <w:ind w:firstLine="0" w:firstLineChars="0"/>
        <w:jc w:val="right"/>
        <w:rPr>
          <w:rFonts w:cs="Times New Roman"/>
          <w:kern w:val="0"/>
        </w:rPr>
      </w:pPr>
      <w:r>
        <w:rPr>
          <w:rFonts w:cs="Times New Roman"/>
          <w:b/>
          <w:kern w:val="0"/>
          <w:sz w:val="28"/>
          <w:szCs w:val="28"/>
        </w:rPr>
        <w:t xml:space="preserve"> </w:t>
      </w:r>
    </w:p>
    <w:p>
      <w:pPr>
        <w:widowControl/>
        <w:tabs>
          <w:tab w:val="left" w:pos="5775"/>
        </w:tabs>
        <w:spacing w:line="240" w:lineRule="auto"/>
        <w:ind w:firstLine="0" w:firstLineChars="0"/>
        <w:jc w:val="both"/>
        <w:rPr>
          <w:rFonts w:cs="Times New Roman"/>
          <w:kern w:val="0"/>
          <w:sz w:val="20"/>
          <w:szCs w:val="20"/>
        </w:rPr>
      </w:pPr>
    </w:p>
    <w:p>
      <w:pPr>
        <w:widowControl/>
        <w:tabs>
          <w:tab w:val="left" w:pos="5775"/>
        </w:tabs>
        <w:spacing w:line="240" w:lineRule="auto"/>
        <w:ind w:firstLine="0" w:firstLineChars="0"/>
        <w:jc w:val="both"/>
        <w:rPr>
          <w:rFonts w:cs="Times New Roman"/>
          <w:kern w:val="0"/>
          <w:sz w:val="20"/>
          <w:szCs w:val="20"/>
        </w:rPr>
      </w:pPr>
    </w:p>
    <w:p>
      <w:pPr>
        <w:widowControl/>
        <w:tabs>
          <w:tab w:val="left" w:pos="5775"/>
        </w:tabs>
        <w:spacing w:line="240" w:lineRule="auto"/>
        <w:ind w:firstLine="0" w:firstLineChars="0"/>
        <w:jc w:val="both"/>
        <w:rPr>
          <w:rFonts w:cs="Times New Roman"/>
          <w:kern w:val="0"/>
          <w:sz w:val="20"/>
          <w:szCs w:val="20"/>
        </w:rPr>
      </w:pPr>
    </w:p>
    <w:p>
      <w:pPr>
        <w:widowControl/>
        <w:tabs>
          <w:tab w:val="left" w:pos="5775"/>
        </w:tabs>
        <w:spacing w:line="240" w:lineRule="auto"/>
        <w:ind w:firstLine="0" w:firstLineChars="0"/>
        <w:jc w:val="both"/>
        <w:rPr>
          <w:rFonts w:cs="Times New Roman"/>
          <w:kern w:val="0"/>
          <w:sz w:val="20"/>
          <w:szCs w:val="20"/>
        </w:rPr>
      </w:pPr>
    </w:p>
    <w:p>
      <w:pPr>
        <w:widowControl/>
        <w:tabs>
          <w:tab w:val="left" w:pos="5775"/>
        </w:tabs>
        <w:spacing w:line="240" w:lineRule="auto"/>
        <w:ind w:firstLine="0" w:firstLineChars="0"/>
        <w:jc w:val="both"/>
        <w:rPr>
          <w:rFonts w:cs="Times New Roman"/>
          <w:kern w:val="0"/>
          <w:sz w:val="20"/>
          <w:szCs w:val="20"/>
        </w:rPr>
      </w:pPr>
    </w:p>
    <w:p>
      <w:pPr>
        <w:widowControl/>
        <w:tabs>
          <w:tab w:val="left" w:pos="5775"/>
        </w:tabs>
        <w:spacing w:line="240" w:lineRule="auto"/>
        <w:ind w:firstLine="0" w:firstLineChars="0"/>
        <w:jc w:val="both"/>
        <w:rPr>
          <w:rFonts w:cs="Times New Roman"/>
          <w:kern w:val="0"/>
          <w:sz w:val="20"/>
          <w:szCs w:val="20"/>
        </w:rPr>
      </w:pPr>
    </w:p>
    <w:p>
      <w:pPr>
        <w:widowControl/>
        <w:tabs>
          <w:tab w:val="left" w:pos="5775"/>
        </w:tabs>
        <w:spacing w:line="240" w:lineRule="auto"/>
        <w:ind w:firstLine="0" w:firstLineChars="0"/>
        <w:jc w:val="both"/>
        <w:rPr>
          <w:rFonts w:cs="Times New Roman"/>
          <w:kern w:val="0"/>
          <w:sz w:val="20"/>
          <w:szCs w:val="20"/>
        </w:rPr>
      </w:pPr>
    </w:p>
    <w:p>
      <w:pPr>
        <w:widowControl/>
        <w:tabs>
          <w:tab w:val="left" w:pos="5775"/>
        </w:tabs>
        <w:spacing w:line="240" w:lineRule="auto"/>
        <w:ind w:firstLine="0" w:firstLineChars="0"/>
        <w:jc w:val="both"/>
        <w:rPr>
          <w:rFonts w:cs="Times New Roman"/>
          <w:kern w:val="0"/>
          <w:sz w:val="20"/>
          <w:szCs w:val="20"/>
        </w:rPr>
      </w:pPr>
    </w:p>
    <w:p>
      <w:pPr>
        <w:widowControl/>
        <w:tabs>
          <w:tab w:val="left" w:pos="5775"/>
        </w:tabs>
        <w:spacing w:line="240" w:lineRule="auto"/>
        <w:ind w:firstLine="0" w:firstLineChars="0"/>
        <w:jc w:val="both"/>
        <w:rPr>
          <w:rFonts w:cs="Times New Roman"/>
          <w:kern w:val="0"/>
          <w:sz w:val="20"/>
          <w:szCs w:val="20"/>
        </w:rPr>
      </w:pPr>
    </w:p>
    <w:p>
      <w:pPr>
        <w:snapToGrid w:val="0"/>
        <w:spacing w:line="240" w:lineRule="auto"/>
        <w:ind w:firstLine="0" w:firstLineChars="0"/>
        <w:jc w:val="center"/>
        <w:textAlignment w:val="center"/>
        <w:rPr>
          <w:rFonts w:cs="Times New Roman"/>
          <w:kern w:val="0"/>
          <w:sz w:val="28"/>
          <w:szCs w:val="28"/>
        </w:rPr>
      </w:pPr>
      <w:r>
        <w:rPr>
          <w:rFonts w:cs="Times New Roman"/>
          <w:kern w:val="0"/>
          <w:sz w:val="52"/>
          <w:szCs w:val="20"/>
        </w:rPr>
        <w:t>石油天然气用水下井口装置</w:t>
      </w:r>
    </w:p>
    <w:p>
      <w:pPr>
        <w:widowControl/>
        <w:tabs>
          <w:tab w:val="left" w:pos="5775"/>
        </w:tabs>
        <w:spacing w:line="400" w:lineRule="exact"/>
        <w:ind w:firstLine="0" w:firstLineChars="0"/>
        <w:jc w:val="center"/>
        <w:rPr>
          <w:rFonts w:cs="Times New Roman"/>
          <w:b/>
          <w:kern w:val="0"/>
          <w:sz w:val="28"/>
          <w:szCs w:val="28"/>
        </w:rPr>
      </w:pPr>
      <w:r>
        <w:rPr>
          <w:rFonts w:cs="Times New Roman"/>
          <w:b/>
          <w:kern w:val="0"/>
          <w:sz w:val="28"/>
          <w:szCs w:val="28"/>
        </w:rPr>
        <w:t>Subsea Wellhead Equipment</w:t>
      </w:r>
    </w:p>
    <w:p>
      <w:pPr>
        <w:widowControl/>
        <w:tabs>
          <w:tab w:val="left" w:pos="5775"/>
        </w:tabs>
        <w:spacing w:line="400" w:lineRule="exact"/>
        <w:ind w:firstLine="0" w:firstLineChars="0"/>
        <w:jc w:val="center"/>
        <w:rPr>
          <w:rFonts w:cs="Times New Roman"/>
          <w:b/>
          <w:kern w:val="0"/>
          <w:sz w:val="28"/>
          <w:szCs w:val="28"/>
        </w:rPr>
      </w:pPr>
      <w:r>
        <w:rPr>
          <w:rFonts w:cs="Times New Roman"/>
          <w:b/>
          <w:kern w:val="0"/>
          <w:sz w:val="28"/>
          <w:szCs w:val="28"/>
        </w:rPr>
        <w:t>for Petroleum and Natural Gas Industries</w:t>
      </w: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sz w:val="32"/>
          <w:szCs w:val="32"/>
        </w:rPr>
      </w:pPr>
      <w:r>
        <w:rPr>
          <w:rFonts w:cs="Times New Roman"/>
          <w:sz w:val="32"/>
          <w:szCs w:val="32"/>
        </w:rPr>
        <w:t>(草案稿)</w:t>
      </w: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pacing w:line="240" w:lineRule="auto"/>
        <w:ind w:firstLine="0" w:firstLineChars="0"/>
        <w:jc w:val="center"/>
        <w:rPr>
          <w:rFonts w:cs="Times New Roman"/>
        </w:rPr>
      </w:pPr>
    </w:p>
    <w:p>
      <w:pPr>
        <w:snapToGrid w:val="0"/>
        <w:spacing w:line="240" w:lineRule="auto"/>
        <w:ind w:firstLine="0" w:firstLineChars="0"/>
        <w:jc w:val="center"/>
        <w:rPr>
          <w:rFonts w:cs="Times New Roman"/>
          <w:sz w:val="28"/>
          <w:szCs w:val="28"/>
        </w:rPr>
      </w:pPr>
      <w:r>
        <w:rPr>
          <w:rFonts w:cs="Times New Roman"/>
          <w:sz w:val="28"/>
          <w:szCs w:val="28"/>
        </w:rPr>
        <w:t>202X-XX-XX 发布    202X-XX-XX 实施</w:t>
      </w:r>
    </w:p>
    <w:p>
      <w:pPr>
        <w:widowControl/>
        <w:tabs>
          <w:tab w:val="left" w:pos="5775"/>
        </w:tabs>
        <w:spacing w:line="240" w:lineRule="auto"/>
        <w:ind w:firstLine="0" w:firstLineChars="0"/>
        <w:jc w:val="center"/>
        <w:rPr>
          <w:rFonts w:cs="Times New Roman"/>
          <w:kern w:val="0"/>
          <w:sz w:val="10"/>
          <w:szCs w:val="10"/>
        </w:rPr>
      </w:pPr>
      <w:r>
        <w:rPr>
          <w:rFonts w:cs="Times New Roman"/>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47625</wp:posOffset>
                </wp:positionV>
                <wp:extent cx="5334000" cy="0"/>
                <wp:effectExtent l="0" t="0" r="19050" b="19050"/>
                <wp:wrapNone/>
                <wp:docPr id="54" name="直接箭头连接符 54"/>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pt;margin-top:3.75pt;height:0pt;width:420pt;z-index:251667456;mso-width-relative:page;mso-height-relative:page;" filled="f" stroked="t" coordsize="21600,21600" o:gfxdata="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XIXsLSAAAABAEAAA8AAAAAAAAAAQAgAAAAIgAAAGRycy9kb3ducmV2LnhtbFBLAQIUABQA&#10;AAAIAIdO4kBf3SvB9gEAAMADAAAOAAAAAAAAAAEAIAAAACEBAABkcnMvZTJvRG9jLnhtbFBLBQYA&#10;AAAABgAGAFkBAACJBQAAAAA=&#10;">
                <v:fill on="f" focussize="0,0"/>
                <v:stroke color="#000000" joinstyle="round"/>
                <v:imagedata o:title=""/>
                <o:lock v:ext="edit" aspectratio="f"/>
              </v:shape>
            </w:pict>
          </mc:Fallback>
        </mc:AlternateContent>
      </w:r>
      <w:r>
        <w:rPr>
          <w:rFonts w:cs="Times New Roman"/>
          <w:kern w:val="0"/>
          <w:sz w:val="48"/>
          <w:szCs w:val="48"/>
        </w:rPr>
        <w:t xml:space="preserve"> </w:t>
      </w:r>
    </w:p>
    <w:p>
      <w:pPr>
        <w:ind w:firstLine="0" w:firstLineChars="0"/>
        <w:jc w:val="center"/>
        <w:rPr>
          <w:rFonts w:cs="Times New Roman"/>
        </w:rPr>
      </w:pPr>
      <w:r>
        <w:rPr>
          <w:rFonts w:cs="Times New Roman"/>
          <w:kern w:val="0"/>
          <w:sz w:val="48"/>
          <w:szCs w:val="48"/>
        </w:rPr>
        <w:t>中国石油和石油化工设备工业协会</w:t>
      </w:r>
      <w:bookmarkEnd w:id="0"/>
      <w:r>
        <w:rPr>
          <w:rFonts w:cs="Times New Roman"/>
        </w:rPr>
        <w:br w:type="page"/>
      </w:r>
    </w:p>
    <w:p>
      <w:pPr>
        <w:pStyle w:val="2"/>
        <w:rPr>
          <w:w w:val="100"/>
        </w:rPr>
      </w:pPr>
      <w:bookmarkStart w:id="1" w:name="_Toc112341729"/>
      <w:r>
        <w:rPr>
          <w:w w:val="100"/>
        </w:rPr>
        <w:t>目  录</w:t>
      </w:r>
      <w:bookmarkEnd w:id="1"/>
    </w:p>
    <w:p>
      <w:pPr>
        <w:pStyle w:val="19"/>
        <w:rPr>
          <w:rFonts w:asciiTheme="minorHAnsi" w:hAnsiTheme="minorHAnsi" w:eastAsiaTheme="minorEastAsia"/>
          <w:sz w:val="21"/>
          <w:szCs w:val="22"/>
        </w:rPr>
      </w:pPr>
      <w:r>
        <w:rPr>
          <w:rFonts w:eastAsia="宋体" w:cs="Times New Roman"/>
          <w:color w:val="000000"/>
          <w:position w:val="1"/>
          <w:sz w:val="32"/>
        </w:rPr>
        <w:fldChar w:fldCharType="begin"/>
      </w:r>
      <w:r>
        <w:rPr>
          <w:rFonts w:eastAsia="宋体" w:cs="Times New Roman"/>
          <w:color w:val="000000"/>
          <w:position w:val="1"/>
          <w:sz w:val="32"/>
        </w:rPr>
        <w:instrText xml:space="preserve"> TOC \o "1-2" \h \z \u </w:instrText>
      </w:r>
      <w:r>
        <w:rPr>
          <w:rFonts w:eastAsia="宋体" w:cs="Times New Roman"/>
          <w:color w:val="000000"/>
          <w:position w:val="1"/>
          <w:sz w:val="32"/>
        </w:rPr>
        <w:fldChar w:fldCharType="separate"/>
      </w:r>
      <w:r>
        <w:fldChar w:fldCharType="begin"/>
      </w:r>
      <w:r>
        <w:instrText xml:space="preserve"> HYPERLINK \l "_Toc112341730" </w:instrText>
      </w:r>
      <w:r>
        <w:fldChar w:fldCharType="separate"/>
      </w:r>
      <w:r>
        <w:rPr>
          <w:rStyle w:val="31"/>
          <w:rFonts w:hint="eastAsia"/>
        </w:rPr>
        <w:t>前</w:t>
      </w:r>
      <w:r>
        <w:rPr>
          <w:rStyle w:val="31"/>
        </w:rPr>
        <w:t xml:space="preserve"> </w:t>
      </w:r>
      <w:r>
        <w:rPr>
          <w:rStyle w:val="31"/>
          <w:rFonts w:hint="eastAsia"/>
        </w:rPr>
        <w:t>言</w:t>
      </w:r>
      <w:r>
        <w:tab/>
      </w:r>
      <w:r>
        <w:fldChar w:fldCharType="begin"/>
      </w:r>
      <w:r>
        <w:instrText xml:space="preserve"> PAGEREF _Toc112341730 \h </w:instrText>
      </w:r>
      <w:r>
        <w:fldChar w:fldCharType="separate"/>
      </w:r>
      <w:r>
        <w:t>IV</w:t>
      </w:r>
      <w:r>
        <w:fldChar w:fldCharType="end"/>
      </w:r>
      <w:r>
        <w:fldChar w:fldCharType="end"/>
      </w:r>
    </w:p>
    <w:p>
      <w:pPr>
        <w:pStyle w:val="19"/>
        <w:rPr>
          <w:rFonts w:asciiTheme="minorHAnsi" w:hAnsiTheme="minorHAnsi" w:eastAsiaTheme="minorEastAsia"/>
          <w:sz w:val="21"/>
          <w:szCs w:val="22"/>
        </w:rPr>
      </w:pPr>
      <w:r>
        <w:fldChar w:fldCharType="begin"/>
      </w:r>
      <w:r>
        <w:instrText xml:space="preserve"> HYPERLINK \l "_Toc112341731" </w:instrText>
      </w:r>
      <w:r>
        <w:fldChar w:fldCharType="separate"/>
      </w:r>
      <w:r>
        <w:rPr>
          <w:rStyle w:val="31"/>
          <w:rFonts w:hint="eastAsia"/>
        </w:rPr>
        <w:t>引</w:t>
      </w:r>
      <w:r>
        <w:rPr>
          <w:rStyle w:val="31"/>
        </w:rPr>
        <w:t xml:space="preserve"> </w:t>
      </w:r>
      <w:r>
        <w:rPr>
          <w:rStyle w:val="31"/>
          <w:rFonts w:hint="eastAsia"/>
        </w:rPr>
        <w:t>言</w:t>
      </w:r>
      <w:r>
        <w:tab/>
      </w:r>
      <w:r>
        <w:fldChar w:fldCharType="begin"/>
      </w:r>
      <w:r>
        <w:instrText xml:space="preserve"> PAGEREF _Toc112341731 \h </w:instrText>
      </w:r>
      <w:r>
        <w:fldChar w:fldCharType="separate"/>
      </w:r>
      <w:r>
        <w:t>V</w:t>
      </w:r>
      <w:r>
        <w:fldChar w:fldCharType="end"/>
      </w:r>
      <w:r>
        <w:fldChar w:fldCharType="end"/>
      </w:r>
    </w:p>
    <w:p>
      <w:pPr>
        <w:pStyle w:val="19"/>
        <w:rPr>
          <w:rFonts w:asciiTheme="minorHAnsi" w:hAnsiTheme="minorHAnsi" w:eastAsiaTheme="minorEastAsia"/>
          <w:sz w:val="21"/>
          <w:szCs w:val="22"/>
        </w:rPr>
      </w:pPr>
      <w:r>
        <w:fldChar w:fldCharType="begin"/>
      </w:r>
      <w:r>
        <w:instrText xml:space="preserve"> HYPERLINK \l "_Toc112341732" </w:instrText>
      </w:r>
      <w:r>
        <w:fldChar w:fldCharType="separate"/>
      </w:r>
      <w:r>
        <w:rPr>
          <w:rStyle w:val="31"/>
          <w:rFonts w:eastAsia="宋体" w:cs="Times New Roman"/>
        </w:rPr>
        <w:t>1</w:t>
      </w:r>
      <w:r>
        <w:rPr>
          <w:rFonts w:asciiTheme="minorHAnsi" w:hAnsiTheme="minorHAnsi" w:eastAsiaTheme="minorEastAsia"/>
          <w:sz w:val="21"/>
          <w:szCs w:val="22"/>
        </w:rPr>
        <w:tab/>
      </w:r>
      <w:r>
        <w:rPr>
          <w:rStyle w:val="31"/>
          <w:rFonts w:hint="eastAsia" w:cs="Times New Roman"/>
        </w:rPr>
        <w:t>范围</w:t>
      </w:r>
      <w:r>
        <w:tab/>
      </w:r>
      <w:r>
        <w:fldChar w:fldCharType="begin"/>
      </w:r>
      <w:r>
        <w:instrText xml:space="preserve"> PAGEREF _Toc112341732 \h </w:instrText>
      </w:r>
      <w:r>
        <w:fldChar w:fldCharType="separate"/>
      </w:r>
      <w:r>
        <w:t>1</w:t>
      </w:r>
      <w:r>
        <w:fldChar w:fldCharType="end"/>
      </w:r>
      <w:r>
        <w:fldChar w:fldCharType="end"/>
      </w:r>
    </w:p>
    <w:p>
      <w:pPr>
        <w:pStyle w:val="19"/>
        <w:rPr>
          <w:rFonts w:asciiTheme="minorHAnsi" w:hAnsiTheme="minorHAnsi" w:eastAsiaTheme="minorEastAsia"/>
          <w:sz w:val="21"/>
          <w:szCs w:val="22"/>
        </w:rPr>
      </w:pPr>
      <w:r>
        <w:fldChar w:fldCharType="begin"/>
      </w:r>
      <w:r>
        <w:instrText xml:space="preserve"> HYPERLINK \l "_Toc112341733" </w:instrText>
      </w:r>
      <w:r>
        <w:fldChar w:fldCharType="separate"/>
      </w:r>
      <w:r>
        <w:rPr>
          <w:rStyle w:val="31"/>
          <w:rFonts w:eastAsia="宋体" w:cs="Times New Roman"/>
        </w:rPr>
        <w:t>2</w:t>
      </w:r>
      <w:r>
        <w:rPr>
          <w:rFonts w:asciiTheme="minorHAnsi" w:hAnsiTheme="minorHAnsi" w:eastAsiaTheme="minorEastAsia"/>
          <w:sz w:val="21"/>
          <w:szCs w:val="22"/>
        </w:rPr>
        <w:tab/>
      </w:r>
      <w:r>
        <w:rPr>
          <w:rStyle w:val="31"/>
          <w:rFonts w:hint="eastAsia" w:cs="Times New Roman"/>
        </w:rPr>
        <w:t>规范性引用文件</w:t>
      </w:r>
      <w:r>
        <w:tab/>
      </w:r>
      <w:r>
        <w:fldChar w:fldCharType="begin"/>
      </w:r>
      <w:r>
        <w:instrText xml:space="preserve"> PAGEREF _Toc112341733 \h </w:instrText>
      </w:r>
      <w:r>
        <w:fldChar w:fldCharType="separate"/>
      </w:r>
      <w:r>
        <w:t>1</w:t>
      </w:r>
      <w:r>
        <w:fldChar w:fldCharType="end"/>
      </w:r>
      <w:r>
        <w:fldChar w:fldCharType="end"/>
      </w:r>
    </w:p>
    <w:p>
      <w:pPr>
        <w:pStyle w:val="19"/>
        <w:rPr>
          <w:rFonts w:asciiTheme="minorHAnsi" w:hAnsiTheme="minorHAnsi" w:eastAsiaTheme="minorEastAsia"/>
          <w:sz w:val="21"/>
          <w:szCs w:val="22"/>
        </w:rPr>
      </w:pPr>
      <w:r>
        <w:fldChar w:fldCharType="begin"/>
      </w:r>
      <w:r>
        <w:instrText xml:space="preserve"> HYPERLINK \l "_Toc112341734" </w:instrText>
      </w:r>
      <w:r>
        <w:fldChar w:fldCharType="separate"/>
      </w:r>
      <w:r>
        <w:rPr>
          <w:rStyle w:val="31"/>
          <w:rFonts w:eastAsia="宋体" w:cs="Times New Roman"/>
        </w:rPr>
        <w:t>3</w:t>
      </w:r>
      <w:r>
        <w:rPr>
          <w:rFonts w:asciiTheme="minorHAnsi" w:hAnsiTheme="minorHAnsi" w:eastAsiaTheme="minorEastAsia"/>
          <w:sz w:val="21"/>
          <w:szCs w:val="22"/>
        </w:rPr>
        <w:tab/>
      </w:r>
      <w:r>
        <w:rPr>
          <w:rStyle w:val="31"/>
          <w:rFonts w:hint="eastAsia" w:cs="Times New Roman"/>
        </w:rPr>
        <w:t>术语、定义、缩略语和符号</w:t>
      </w:r>
      <w:r>
        <w:tab/>
      </w:r>
      <w:r>
        <w:fldChar w:fldCharType="begin"/>
      </w:r>
      <w:r>
        <w:instrText xml:space="preserve"> PAGEREF _Toc112341734 \h </w:instrText>
      </w:r>
      <w:r>
        <w:fldChar w:fldCharType="separate"/>
      </w:r>
      <w:r>
        <w:t>2</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"_Toc112341735" </w:instrText>
      </w:r>
      <w:r>
        <w:fldChar w:fldCharType="separate"/>
      </w:r>
      <w:r>
        <w:rPr>
          <w:rStyle w:val="31"/>
          <w:rFonts w:eastAsia="宋体"/>
          <w14:scene3d w14:prst="orthographicFront">
            <w14:lightRig w14:rig="threePt" w14:dir="t">
              <w14:rot w14:lat="0" w14:lon="0" w14:rev="0"/>
            </w14:lightRig>
          </w14:scene3d>
        </w:rPr>
        <w:t>3.1</w:t>
      </w:r>
      <w:r>
        <w:rPr>
          <w:rFonts w:asciiTheme="minorHAnsi" w:hAnsiTheme="minorHAnsi" w:eastAsiaTheme="minorEastAsia"/>
          <w:smallCaps w:val="0"/>
          <w:sz w:val="21"/>
          <w:szCs w:val="22"/>
        </w:rPr>
        <w:tab/>
      </w:r>
      <w:r>
        <w:rPr>
          <w:rStyle w:val="31"/>
          <w:rFonts w:hint="eastAsia"/>
        </w:rPr>
        <w:t>术语和定义</w:t>
      </w:r>
      <w:r>
        <w:tab/>
      </w:r>
      <w:r>
        <w:fldChar w:fldCharType="begin"/>
      </w:r>
      <w:r>
        <w:instrText xml:space="preserve"> PAGEREF _Toc112341735 \h </w:instrText>
      </w:r>
      <w:r>
        <w:fldChar w:fldCharType="separate"/>
      </w:r>
      <w:r>
        <w:t>2</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"_Toc112341736" </w:instrText>
      </w:r>
      <w:r>
        <w:fldChar w:fldCharType="separate"/>
      </w:r>
      <w:r>
        <w:rPr>
          <w:rStyle w:val="31"/>
          <w:rFonts w:eastAsia="宋体"/>
          <w14:scene3d w14:prst="orthographicFront">
            <w14:lightRig w14:rig="threePt" w14:dir="t">
              <w14:rot w14:lat="0" w14:lon="0" w14:rev="0"/>
            </w14:lightRig>
          </w14:scene3d>
        </w:rPr>
        <w:t>3.2</w:t>
      </w:r>
      <w:r>
        <w:rPr>
          <w:rFonts w:asciiTheme="minorHAnsi" w:hAnsiTheme="minorHAnsi" w:eastAsiaTheme="minorEastAsia"/>
          <w:smallCaps w:val="0"/>
          <w:sz w:val="21"/>
          <w:szCs w:val="22"/>
        </w:rPr>
        <w:tab/>
      </w:r>
      <w:r>
        <w:rPr>
          <w:rStyle w:val="31"/>
          <w:rFonts w:hint="eastAsia"/>
        </w:rPr>
        <w:t>符号和缩略语</w:t>
      </w:r>
      <w:r>
        <w:tab/>
      </w:r>
      <w:r>
        <w:fldChar w:fldCharType="begin"/>
      </w:r>
      <w:r>
        <w:instrText xml:space="preserve"> PAGEREF _Toc112341736 \h </w:instrText>
      </w:r>
      <w:r>
        <w:fldChar w:fldCharType="separate"/>
      </w:r>
      <w:r>
        <w:t>4</w:t>
      </w:r>
      <w:r>
        <w:fldChar w:fldCharType="end"/>
      </w:r>
      <w:r>
        <w:fldChar w:fldCharType="end"/>
      </w:r>
    </w:p>
    <w:p>
      <w:pPr>
        <w:pStyle w:val="19"/>
        <w:rPr>
          <w:rFonts w:asciiTheme="minorHAnsi" w:hAnsiTheme="minorHAnsi" w:eastAsiaTheme="minorEastAsia"/>
          <w:sz w:val="21"/>
          <w:szCs w:val="22"/>
        </w:rPr>
      </w:pPr>
      <w:r>
        <w:fldChar w:fldCharType="begin"/>
      </w:r>
      <w:r>
        <w:instrText xml:space="preserve"> HYPERLINK \l "_Toc112341737" </w:instrText>
      </w:r>
      <w:r>
        <w:fldChar w:fldCharType="separate"/>
      </w:r>
      <w:r>
        <w:rPr>
          <w:rStyle w:val="31"/>
          <w:rFonts w:eastAsia="宋体" w:cs="Times New Roman"/>
        </w:rPr>
        <w:t>4</w:t>
      </w:r>
      <w:r>
        <w:rPr>
          <w:rFonts w:asciiTheme="minorHAnsi" w:hAnsiTheme="minorHAnsi" w:eastAsiaTheme="minorEastAsia"/>
          <w:sz w:val="21"/>
          <w:szCs w:val="22"/>
        </w:rPr>
        <w:tab/>
      </w:r>
      <w:r>
        <w:rPr>
          <w:rStyle w:val="31"/>
          <w:rFonts w:hint="eastAsia" w:cs="Times New Roman"/>
        </w:rPr>
        <w:t>通用要求</w:t>
      </w:r>
      <w:r>
        <w:tab/>
      </w:r>
      <w:r>
        <w:fldChar w:fldCharType="begin"/>
      </w:r>
      <w:r>
        <w:instrText xml:space="preserve"> PAGEREF _Toc112341737 \h </w:instrText>
      </w:r>
      <w:r>
        <w:fldChar w:fldCharType="separate"/>
      </w:r>
      <w:r>
        <w:t>5</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"_Toc112341738" </w:instrText>
      </w:r>
      <w:r>
        <w:fldChar w:fldCharType="separate"/>
      </w:r>
      <w:r>
        <w:rPr>
          <w:rStyle w:val="31"/>
          <w:rFonts w:eastAsia="宋体"/>
          <w14:scene3d w14:prst="orthographicFront">
            <w14:lightRig w14:rig="threePt" w14:dir="t">
              <w14:rot w14:lat="0" w14:lon="0" w14:rev="0"/>
            </w14:lightRig>
          </w14:scene3d>
        </w:rPr>
        <w:t>4.1</w:t>
      </w:r>
      <w:r>
        <w:rPr>
          <w:rFonts w:asciiTheme="minorHAnsi" w:hAnsiTheme="minorHAnsi" w:eastAsiaTheme="minorEastAsia"/>
          <w:smallCaps w:val="0"/>
          <w:sz w:val="21"/>
          <w:szCs w:val="22"/>
        </w:rPr>
        <w:tab/>
      </w:r>
      <w:r>
        <w:rPr>
          <w:rStyle w:val="31"/>
          <w:rFonts w:hint="eastAsia"/>
        </w:rPr>
        <w:t>水下井口装置典型组成</w:t>
      </w:r>
      <w:r>
        <w:tab/>
      </w:r>
      <w:r>
        <w:fldChar w:fldCharType="begin"/>
      </w:r>
      <w:r>
        <w:instrText xml:space="preserve"> PAGEREF _Toc112341738 \h </w:instrText>
      </w:r>
      <w:r>
        <w:fldChar w:fldCharType="separate"/>
      </w:r>
      <w:r>
        <w:t>5</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"_Toc112341739" </w:instrText>
      </w:r>
      <w:r>
        <w:fldChar w:fldCharType="separate"/>
      </w:r>
      <w:r>
        <w:rPr>
          <w:rStyle w:val="31"/>
          <w:rFonts w:eastAsia="宋体"/>
          <w14:scene3d w14:prst="orthographicFront">
            <w14:lightRig w14:rig="threePt" w14:dir="t">
              <w14:rot w14:lat="0" w14:lon="0" w14:rev="0"/>
            </w14:lightRig>
          </w14:scene3d>
        </w:rPr>
        <w:t>4.2</w:t>
      </w:r>
      <w:r>
        <w:rPr>
          <w:rFonts w:asciiTheme="minorHAnsi" w:hAnsiTheme="minorHAnsi" w:eastAsiaTheme="minorEastAsia"/>
          <w:smallCaps w:val="0"/>
          <w:sz w:val="21"/>
          <w:szCs w:val="22"/>
        </w:rPr>
        <w:tab/>
      </w:r>
      <w:r>
        <w:rPr>
          <w:rStyle w:val="31"/>
          <w:rFonts w:hint="eastAsia"/>
        </w:rPr>
        <w:t>设计和性能要求</w:t>
      </w:r>
      <w:r>
        <w:tab/>
      </w:r>
      <w:r>
        <w:fldChar w:fldCharType="begin"/>
      </w:r>
      <w:r>
        <w:instrText xml:space="preserve"> PAGEREF _Toc112341739 \h </w:instrText>
      </w:r>
      <w:r>
        <w:fldChar w:fldCharType="separate"/>
      </w:r>
      <w:r>
        <w:t>6</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"_Toc112341740" </w:instrText>
      </w:r>
      <w:r>
        <w:fldChar w:fldCharType="separate"/>
      </w:r>
      <w:r>
        <w:rPr>
          <w:rStyle w:val="31"/>
          <w:rFonts w:eastAsia="宋体"/>
          <w14:scene3d w14:prst="orthographicFront">
            <w14:lightRig w14:rig="threePt" w14:dir="t">
              <w14:rot w14:lat="0" w14:lon="0" w14:rev="0"/>
            </w14:lightRig>
          </w14:scene3d>
        </w:rPr>
        <w:t>4.3</w:t>
      </w:r>
      <w:r>
        <w:rPr>
          <w:rFonts w:asciiTheme="minorHAnsi" w:hAnsiTheme="minorHAnsi" w:eastAsiaTheme="minorEastAsia"/>
          <w:smallCaps w:val="0"/>
          <w:sz w:val="21"/>
          <w:szCs w:val="22"/>
        </w:rPr>
        <w:tab/>
      </w:r>
      <w:r>
        <w:rPr>
          <w:rStyle w:val="31"/>
          <w:rFonts w:hint="eastAsia"/>
        </w:rPr>
        <w:t>材料</w:t>
      </w:r>
      <w:r>
        <w:tab/>
      </w:r>
      <w:r>
        <w:fldChar w:fldCharType="begin"/>
      </w:r>
      <w:r>
        <w:instrText xml:space="preserve"> PAGEREF _Toc112341740 \h </w:instrText>
      </w:r>
      <w:r>
        <w:fldChar w:fldCharType="separate"/>
      </w:r>
      <w:r>
        <w:t>10</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"_Toc112341741" </w:instrText>
      </w:r>
      <w:r>
        <w:fldChar w:fldCharType="separate"/>
      </w:r>
      <w:r>
        <w:rPr>
          <w:rStyle w:val="31"/>
          <w:rFonts w:eastAsia="宋体"/>
          <w14:scene3d w14:prst="orthographicFront">
            <w14:lightRig w14:rig="threePt" w14:dir="t">
              <w14:rot w14:lat="0" w14:lon="0" w14:rev="0"/>
            </w14:lightRig>
          </w14:scene3d>
        </w:rPr>
        <w:t>4.4</w:t>
      </w:r>
      <w:r>
        <w:rPr>
          <w:rFonts w:asciiTheme="minorHAnsi" w:hAnsiTheme="minorHAnsi" w:eastAsiaTheme="minorEastAsia"/>
          <w:smallCaps w:val="0"/>
          <w:sz w:val="21"/>
          <w:szCs w:val="22"/>
        </w:rPr>
        <w:tab/>
      </w:r>
      <w:r>
        <w:rPr>
          <w:rStyle w:val="31"/>
          <w:rFonts w:hint="eastAsia"/>
        </w:rPr>
        <w:t>焊接</w:t>
      </w:r>
      <w:r>
        <w:tab/>
      </w:r>
      <w:r>
        <w:fldChar w:fldCharType="begin"/>
      </w:r>
      <w:r>
        <w:instrText xml:space="preserve"> PAGEREF _Toc112341741 \h </w:instrText>
      </w:r>
      <w:r>
        <w:fldChar w:fldCharType="separate"/>
      </w:r>
      <w:r>
        <w:t>17</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"_Toc112341742" </w:instrText>
      </w:r>
      <w:r>
        <w:fldChar w:fldCharType="separate"/>
      </w:r>
      <w:r>
        <w:rPr>
          <w:rStyle w:val="31"/>
          <w:rFonts w:eastAsia="宋体"/>
          <w14:scene3d w14:prst="orthographicFront">
            <w14:lightRig w14:rig="threePt" w14:dir="t">
              <w14:rot w14:lat="0" w14:lon="0" w14:rev="0"/>
            </w14:lightRig>
          </w14:scene3d>
        </w:rPr>
        <w:t>4.5</w:t>
      </w:r>
      <w:r>
        <w:rPr>
          <w:rFonts w:asciiTheme="minorHAnsi" w:hAnsiTheme="minorHAnsi" w:eastAsiaTheme="minorEastAsia"/>
          <w:smallCaps w:val="0"/>
          <w:sz w:val="21"/>
          <w:szCs w:val="22"/>
        </w:rPr>
        <w:tab/>
      </w:r>
      <w:r>
        <w:rPr>
          <w:rStyle w:val="31"/>
          <w:rFonts w:hint="eastAsia"/>
        </w:rPr>
        <w:t>记录</w:t>
      </w:r>
      <w:r>
        <w:tab/>
      </w:r>
      <w:r>
        <w:fldChar w:fldCharType="begin"/>
      </w:r>
      <w:r>
        <w:instrText xml:space="preserve"> PAGEREF _Toc112341742 \h </w:instrText>
      </w:r>
      <w:r>
        <w:fldChar w:fldCharType="separate"/>
      </w:r>
      <w:r>
        <w:t>19</w:t>
      </w:r>
      <w:r>
        <w:fldChar w:fldCharType="end"/>
      </w:r>
      <w:r>
        <w:fldChar w:fldCharType="end"/>
      </w:r>
    </w:p>
    <w:p>
      <w:pPr>
        <w:pStyle w:val="19"/>
        <w:rPr>
          <w:rFonts w:asciiTheme="minorHAnsi" w:hAnsiTheme="minorHAnsi" w:eastAsiaTheme="minorEastAsia"/>
          <w:sz w:val="21"/>
          <w:szCs w:val="22"/>
        </w:rPr>
      </w:pPr>
      <w:r>
        <w:fldChar w:fldCharType="begin"/>
      </w:r>
      <w:r>
        <w:instrText xml:space="preserve"> HYPERLINK \l "_Toc112341743" </w:instrText>
      </w:r>
      <w:r>
        <w:fldChar w:fldCharType="separate"/>
      </w:r>
      <w:r>
        <w:rPr>
          <w:rStyle w:val="31"/>
          <w:rFonts w:eastAsia="宋体" w:cs="Times New Roman"/>
        </w:rPr>
        <w:t>5</w:t>
      </w:r>
      <w:r>
        <w:rPr>
          <w:rFonts w:asciiTheme="minorHAnsi" w:hAnsiTheme="minorHAnsi" w:eastAsiaTheme="minorEastAsia"/>
          <w:sz w:val="21"/>
          <w:szCs w:val="22"/>
        </w:rPr>
        <w:tab/>
      </w:r>
      <w:r>
        <w:rPr>
          <w:rStyle w:val="31"/>
          <w:rFonts w:hint="eastAsia" w:cs="Times New Roman"/>
        </w:rPr>
        <w:t>水下井口装置</w:t>
      </w:r>
      <w:r>
        <w:tab/>
      </w:r>
      <w:r>
        <w:fldChar w:fldCharType="begin"/>
      </w:r>
      <w:r>
        <w:instrText xml:space="preserve"> PAGEREF _Toc112341743 \h </w:instrText>
      </w:r>
      <w:r>
        <w:fldChar w:fldCharType="separate"/>
      </w:r>
      <w:r>
        <w:t>21</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"_Toc112341744" </w:instrText>
      </w:r>
      <w:r>
        <w:fldChar w:fldCharType="separate"/>
      </w:r>
      <w:r>
        <w:rPr>
          <w:rStyle w:val="31"/>
          <w:rFonts w:eastAsia="宋体"/>
          <w14:scene3d w14:prst="orthographicFront">
            <w14:lightRig w14:rig="threePt" w14:dir="t">
              <w14:rot w14:lat="0" w14:lon="0" w14:rev="0"/>
            </w14:lightRig>
          </w14:scene3d>
        </w:rPr>
        <w:t>5.1</w:t>
      </w:r>
      <w:r>
        <w:rPr>
          <w:rFonts w:asciiTheme="minorHAnsi" w:hAnsiTheme="minorHAnsi" w:eastAsiaTheme="minorEastAsia"/>
          <w:smallCaps w:val="0"/>
          <w:sz w:val="21"/>
          <w:szCs w:val="22"/>
        </w:rPr>
        <w:tab/>
      </w:r>
      <w:r>
        <w:rPr>
          <w:rStyle w:val="31"/>
          <w:rFonts w:hint="eastAsia"/>
        </w:rPr>
        <w:t>总则</w:t>
      </w:r>
      <w:r>
        <w:tab/>
      </w:r>
      <w:r>
        <w:fldChar w:fldCharType="begin"/>
      </w:r>
      <w:r>
        <w:instrText xml:space="preserve"> PAGEREF _Toc112341744 \h </w:instrText>
      </w:r>
      <w:r>
        <w:fldChar w:fldCharType="separate"/>
      </w:r>
      <w:r>
        <w:t>21</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"_Toc112341745" </w:instrText>
      </w:r>
      <w:r>
        <w:fldChar w:fldCharType="separate"/>
      </w:r>
      <w:r>
        <w:rPr>
          <w:rStyle w:val="31"/>
          <w:rFonts w:eastAsia="宋体"/>
          <w14:scene3d w14:prst="orthographicFront">
            <w14:lightRig w14:rig="threePt" w14:dir="t">
              <w14:rot w14:lat="0" w14:lon="0" w14:rev="0"/>
            </w14:lightRig>
          </w14:scene3d>
        </w:rPr>
        <w:t>5.2</w:t>
      </w:r>
      <w:r>
        <w:rPr>
          <w:rFonts w:asciiTheme="minorHAnsi" w:hAnsiTheme="minorHAnsi" w:eastAsiaTheme="minorEastAsia"/>
          <w:smallCaps w:val="0"/>
          <w:sz w:val="21"/>
          <w:szCs w:val="22"/>
        </w:rPr>
        <w:tab/>
      </w:r>
      <w:r>
        <w:rPr>
          <w:rStyle w:val="31"/>
          <w:rFonts w:hint="eastAsia"/>
        </w:rPr>
        <w:t>临时导向基座</w:t>
      </w:r>
      <w:r>
        <w:tab/>
      </w:r>
      <w:r>
        <w:fldChar w:fldCharType="begin"/>
      </w:r>
      <w:r>
        <w:instrText xml:space="preserve"> PAGEREF _Toc112341745 \h </w:instrText>
      </w:r>
      <w:r>
        <w:fldChar w:fldCharType="separate"/>
      </w:r>
      <w:r>
        <w:t>22</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"_Toc112341746" </w:instrText>
      </w:r>
      <w:r>
        <w:fldChar w:fldCharType="separate"/>
      </w:r>
      <w:r>
        <w:rPr>
          <w:rStyle w:val="31"/>
          <w:rFonts w:eastAsia="宋体"/>
          <w14:scene3d w14:prst="orthographicFront">
            <w14:lightRig w14:rig="threePt" w14:dir="t">
              <w14:rot w14:lat="0" w14:lon="0" w14:rev="0"/>
            </w14:lightRig>
          </w14:scene3d>
        </w:rPr>
        <w:t>5.3</w:t>
      </w:r>
      <w:r>
        <w:rPr>
          <w:rFonts w:asciiTheme="minorHAnsi" w:hAnsiTheme="minorHAnsi" w:eastAsiaTheme="minorEastAsia"/>
          <w:smallCaps w:val="0"/>
          <w:sz w:val="21"/>
          <w:szCs w:val="22"/>
        </w:rPr>
        <w:tab/>
      </w:r>
      <w:r>
        <w:rPr>
          <w:rStyle w:val="31"/>
          <w:rFonts w:hint="eastAsia"/>
        </w:rPr>
        <w:t>永久导向基座</w:t>
      </w:r>
      <w:r>
        <w:tab/>
      </w:r>
      <w:r>
        <w:fldChar w:fldCharType="begin"/>
      </w:r>
      <w:r>
        <w:instrText xml:space="preserve"> PAGEREF _Toc112341746 \h </w:instrText>
      </w:r>
      <w:r>
        <w:fldChar w:fldCharType="separate"/>
      </w:r>
      <w:r>
        <w:t>22</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"_Toc112341747" </w:instrText>
      </w:r>
      <w:r>
        <w:fldChar w:fldCharType="separate"/>
      </w:r>
      <w:r>
        <w:rPr>
          <w:rStyle w:val="31"/>
          <w:rFonts w:eastAsia="宋体"/>
          <w14:scene3d w14:prst="orthographicFront">
            <w14:lightRig w14:rig="threePt" w14:dir="t">
              <w14:rot w14:lat="0" w14:lon="0" w14:rev="0"/>
            </w14:lightRig>
          </w14:scene3d>
        </w:rPr>
        <w:t>5.4</w:t>
      </w:r>
      <w:r>
        <w:rPr>
          <w:rFonts w:asciiTheme="minorHAnsi" w:hAnsiTheme="minorHAnsi" w:eastAsiaTheme="minorEastAsia"/>
          <w:smallCaps w:val="0"/>
          <w:sz w:val="21"/>
          <w:szCs w:val="22"/>
        </w:rPr>
        <w:tab/>
      </w:r>
      <w:r>
        <w:rPr>
          <w:rStyle w:val="31"/>
          <w:rFonts w:hint="eastAsia"/>
        </w:rPr>
        <w:t>导管头</w:t>
      </w:r>
      <w:r>
        <w:tab/>
      </w:r>
      <w:r>
        <w:fldChar w:fldCharType="begin"/>
      </w:r>
      <w:r>
        <w:instrText xml:space="preserve"> PAGEREF _Toc112341747 \h </w:instrText>
      </w:r>
      <w:r>
        <w:fldChar w:fldCharType="separate"/>
      </w:r>
      <w:r>
        <w:t>25</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"_Toc112341748" </w:instrText>
      </w:r>
      <w:r>
        <w:fldChar w:fldCharType="separate"/>
      </w:r>
      <w:r>
        <w:rPr>
          <w:rStyle w:val="31"/>
          <w:rFonts w:eastAsia="宋体"/>
          <w14:scene3d w14:prst="orthographicFront">
            <w14:lightRig w14:rig="threePt" w14:dir="t">
              <w14:rot w14:lat="0" w14:lon="0" w14:rev="0"/>
            </w14:lightRig>
          </w14:scene3d>
        </w:rPr>
        <w:t>5.5</w:t>
      </w:r>
      <w:r>
        <w:rPr>
          <w:rFonts w:asciiTheme="minorHAnsi" w:hAnsiTheme="minorHAnsi" w:eastAsiaTheme="minorEastAsia"/>
          <w:smallCaps w:val="0"/>
          <w:sz w:val="21"/>
          <w:szCs w:val="22"/>
        </w:rPr>
        <w:tab/>
      </w:r>
      <w:r>
        <w:rPr>
          <w:rStyle w:val="31"/>
          <w:rFonts w:hint="eastAsia"/>
        </w:rPr>
        <w:t>高压井口头</w:t>
      </w:r>
      <w:r>
        <w:tab/>
      </w:r>
      <w:r>
        <w:fldChar w:fldCharType="begin"/>
      </w:r>
      <w:r>
        <w:instrText xml:space="preserve"> PAGEREF _Toc112341748 \h </w:instrText>
      </w:r>
      <w:r>
        <w:fldChar w:fldCharType="separate"/>
      </w:r>
      <w:r>
        <w:t>27</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"_Toc112341749" </w:instrText>
      </w:r>
      <w:r>
        <w:fldChar w:fldCharType="separate"/>
      </w:r>
      <w:r>
        <w:rPr>
          <w:rStyle w:val="31"/>
          <w:rFonts w:eastAsia="宋体"/>
          <w14:scene3d w14:prst="orthographicFront">
            <w14:lightRig w14:rig="threePt" w14:dir="t">
              <w14:rot w14:lat="0" w14:lon="0" w14:rev="0"/>
            </w14:lightRig>
          </w14:scene3d>
        </w:rPr>
        <w:t>5.6</w:t>
      </w:r>
      <w:r>
        <w:rPr>
          <w:rFonts w:asciiTheme="minorHAnsi" w:hAnsiTheme="minorHAnsi" w:eastAsiaTheme="minorEastAsia"/>
          <w:smallCaps w:val="0"/>
          <w:sz w:val="21"/>
          <w:szCs w:val="22"/>
        </w:rPr>
        <w:tab/>
      </w:r>
      <w:r>
        <w:rPr>
          <w:rStyle w:val="31"/>
          <w:rFonts w:hint="eastAsia"/>
        </w:rPr>
        <w:t>套管悬挂器</w:t>
      </w:r>
      <w:r>
        <w:tab/>
      </w:r>
      <w:r>
        <w:fldChar w:fldCharType="begin"/>
      </w:r>
      <w:r>
        <w:instrText xml:space="preserve"> PAGEREF _Toc112341749 \h </w:instrText>
      </w:r>
      <w:r>
        <w:fldChar w:fldCharType="separate"/>
      </w:r>
      <w:r>
        <w:t>29</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"_Toc112341750" </w:instrText>
      </w:r>
      <w:r>
        <w:fldChar w:fldCharType="separate"/>
      </w:r>
      <w:r>
        <w:rPr>
          <w:rStyle w:val="31"/>
          <w:rFonts w:eastAsia="宋体"/>
          <w14:scene3d w14:prst="orthographicFront">
            <w14:lightRig w14:rig="threePt" w14:dir="t">
              <w14:rot w14:lat="0" w14:lon="0" w14:rev="0"/>
            </w14:lightRig>
          </w14:scene3d>
        </w:rPr>
        <w:t>5.7</w:t>
      </w:r>
      <w:r>
        <w:rPr>
          <w:rFonts w:asciiTheme="minorHAnsi" w:hAnsiTheme="minorHAnsi" w:eastAsiaTheme="minorEastAsia"/>
          <w:smallCaps w:val="0"/>
          <w:sz w:val="21"/>
          <w:szCs w:val="22"/>
        </w:rPr>
        <w:tab/>
      </w:r>
      <w:r>
        <w:rPr>
          <w:rStyle w:val="31"/>
          <w:rFonts w:hint="eastAsia"/>
        </w:rPr>
        <w:t>环空密封总成</w:t>
      </w:r>
      <w:r>
        <w:tab/>
      </w:r>
      <w:r>
        <w:fldChar w:fldCharType="begin"/>
      </w:r>
      <w:r>
        <w:instrText xml:space="preserve"> PAGEREF _Toc112341750 \h </w:instrText>
      </w:r>
      <w:r>
        <w:fldChar w:fldCharType="separate"/>
      </w:r>
      <w:r>
        <w:t>30</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"_Toc112341751" </w:instrText>
      </w:r>
      <w:r>
        <w:fldChar w:fldCharType="separate"/>
      </w:r>
      <w:r>
        <w:rPr>
          <w:rStyle w:val="31"/>
          <w:rFonts w:eastAsia="宋体"/>
          <w14:scene3d w14:prst="orthographicFront">
            <w14:lightRig w14:rig="threePt" w14:dir="t">
              <w14:rot w14:lat="0" w14:lon="0" w14:rev="0"/>
            </w14:lightRig>
          </w14:scene3d>
        </w:rPr>
        <w:t>5.8</w:t>
      </w:r>
      <w:r>
        <w:rPr>
          <w:rFonts w:asciiTheme="minorHAnsi" w:hAnsiTheme="minorHAnsi" w:eastAsiaTheme="minorEastAsia"/>
          <w:smallCaps w:val="0"/>
          <w:sz w:val="21"/>
          <w:szCs w:val="22"/>
        </w:rPr>
        <w:tab/>
      </w:r>
      <w:r>
        <w:rPr>
          <w:rStyle w:val="31"/>
          <w:rFonts w:hint="eastAsia"/>
        </w:rPr>
        <w:t>套管悬挂器锁合衬套</w:t>
      </w:r>
      <w:r>
        <w:tab/>
      </w:r>
      <w:r>
        <w:fldChar w:fldCharType="begin"/>
      </w:r>
      <w:r>
        <w:instrText xml:space="preserve"> PAGEREF _Toc112341751 \h </w:instrText>
      </w:r>
      <w:r>
        <w:fldChar w:fldCharType="separate"/>
      </w:r>
      <w:r>
        <w:t>31</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"_Toc112341752" </w:instrText>
      </w:r>
      <w:r>
        <w:fldChar w:fldCharType="separate"/>
      </w:r>
      <w:r>
        <w:rPr>
          <w:rStyle w:val="31"/>
          <w:rFonts w:eastAsia="宋体"/>
          <w14:scene3d w14:prst="orthographicFront">
            <w14:lightRig w14:rig="threePt" w14:dir="t">
              <w14:rot w14:lat="0" w14:lon="0" w14:rev="0"/>
            </w14:lightRig>
          </w14:scene3d>
        </w:rPr>
        <w:t>5.9</w:t>
      </w:r>
      <w:r>
        <w:rPr>
          <w:rFonts w:asciiTheme="minorHAnsi" w:hAnsiTheme="minorHAnsi" w:eastAsiaTheme="minorEastAsia"/>
          <w:smallCaps w:val="0"/>
          <w:sz w:val="21"/>
          <w:szCs w:val="22"/>
        </w:rPr>
        <w:tab/>
      </w:r>
      <w:r>
        <w:rPr>
          <w:rStyle w:val="31"/>
          <w:rFonts w:hint="eastAsia"/>
        </w:rPr>
        <w:t>防磨套筒和抗磨补芯</w:t>
      </w:r>
      <w:r>
        <w:tab/>
      </w:r>
      <w:r>
        <w:fldChar w:fldCharType="begin"/>
      </w:r>
      <w:r>
        <w:instrText xml:space="preserve"> PAGEREF _Toc112341752 \h </w:instrText>
      </w:r>
      <w:r>
        <w:fldChar w:fldCharType="separate"/>
      </w:r>
      <w:r>
        <w:t>32</w:t>
      </w:r>
      <w:r>
        <w:fldChar w:fldCharType="end"/>
      </w:r>
      <w:r>
        <w:fldChar w:fldCharType="end"/>
      </w:r>
    </w:p>
    <w:p>
      <w:pPr>
        <w:pStyle w:val="19"/>
        <w:rPr>
          <w:rFonts w:asciiTheme="minorHAnsi" w:hAnsiTheme="minorHAnsi" w:eastAsiaTheme="minorEastAsia"/>
          <w:sz w:val="21"/>
          <w:szCs w:val="22"/>
        </w:rPr>
      </w:pPr>
      <w:r>
        <w:fldChar w:fldCharType="begin"/>
      </w:r>
      <w:r>
        <w:instrText xml:space="preserve"> HYPERLINK \l "_Toc112341753" </w:instrText>
      </w:r>
      <w:r>
        <w:fldChar w:fldCharType="separate"/>
      </w:r>
      <w:r>
        <w:rPr>
          <w:rStyle w:val="31"/>
          <w:rFonts w:eastAsia="宋体" w:cs="Times New Roman"/>
        </w:rPr>
        <w:t>6</w:t>
      </w:r>
      <w:r>
        <w:rPr>
          <w:rFonts w:asciiTheme="minorHAnsi" w:hAnsiTheme="minorHAnsi" w:eastAsiaTheme="minorEastAsia"/>
          <w:sz w:val="21"/>
          <w:szCs w:val="22"/>
        </w:rPr>
        <w:tab/>
      </w:r>
      <w:r>
        <w:rPr>
          <w:rStyle w:val="31"/>
          <w:rFonts w:hint="eastAsia" w:cs="Times New Roman"/>
        </w:rPr>
        <w:t>工厂试验</w:t>
      </w:r>
      <w:r>
        <w:tab/>
      </w:r>
      <w:r>
        <w:fldChar w:fldCharType="begin"/>
      </w:r>
      <w:r>
        <w:instrText xml:space="preserve"> PAGEREF _Toc112341753 \h </w:instrText>
      </w:r>
      <w:r>
        <w:fldChar w:fldCharType="separate"/>
      </w:r>
      <w:r>
        <w:t>34</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"_Toc112341754" </w:instrText>
      </w:r>
      <w:r>
        <w:fldChar w:fldCharType="separate"/>
      </w:r>
      <w:r>
        <w:rPr>
          <w:rStyle w:val="31"/>
          <w:rFonts w:eastAsia="宋体"/>
          <w14:scene3d w14:prst="orthographicFront">
            <w14:lightRig w14:rig="threePt" w14:dir="t">
              <w14:rot w14:lat="0" w14:lon="0" w14:rev="0"/>
            </w14:lightRig>
          </w14:scene3d>
        </w:rPr>
        <w:t>6.1</w:t>
      </w:r>
      <w:r>
        <w:rPr>
          <w:rFonts w:asciiTheme="minorHAnsi" w:hAnsiTheme="minorHAnsi" w:eastAsiaTheme="minorEastAsia"/>
          <w:smallCaps w:val="0"/>
          <w:sz w:val="21"/>
          <w:szCs w:val="22"/>
        </w:rPr>
        <w:tab/>
      </w:r>
      <w:r>
        <w:rPr>
          <w:rStyle w:val="31"/>
          <w:rFonts w:hint="eastAsia"/>
        </w:rPr>
        <w:t>总则</w:t>
      </w:r>
      <w:r>
        <w:tab/>
      </w:r>
      <w:r>
        <w:fldChar w:fldCharType="begin"/>
      </w:r>
      <w:r>
        <w:instrText xml:space="preserve"> PAGEREF _Toc112341754 \h </w:instrText>
      </w:r>
      <w:r>
        <w:fldChar w:fldCharType="separate"/>
      </w:r>
      <w:r>
        <w:t>34</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"_Toc112341755" </w:instrText>
      </w:r>
      <w:r>
        <w:fldChar w:fldCharType="separate"/>
      </w:r>
      <w:r>
        <w:rPr>
          <w:rStyle w:val="31"/>
          <w:rFonts w:eastAsia="宋体"/>
          <w14:scene3d w14:prst="orthographicFront">
            <w14:lightRig w14:rig="threePt" w14:dir="t">
              <w14:rot w14:lat="0" w14:lon="0" w14:rev="0"/>
            </w14:lightRig>
          </w14:scene3d>
        </w:rPr>
        <w:t>6.2</w:t>
      </w:r>
      <w:r>
        <w:rPr>
          <w:rFonts w:asciiTheme="minorHAnsi" w:hAnsiTheme="minorHAnsi" w:eastAsiaTheme="minorEastAsia"/>
          <w:smallCaps w:val="0"/>
          <w:sz w:val="21"/>
          <w:szCs w:val="22"/>
        </w:rPr>
        <w:tab/>
      </w:r>
      <w:r>
        <w:rPr>
          <w:rStyle w:val="31"/>
          <w:rFonts w:hint="eastAsia"/>
        </w:rPr>
        <w:t>试验顺序</w:t>
      </w:r>
      <w:r>
        <w:tab/>
      </w:r>
      <w:r>
        <w:fldChar w:fldCharType="begin"/>
      </w:r>
      <w:r>
        <w:instrText xml:space="preserve"> PAGEREF _Toc112341755 \h </w:instrText>
      </w:r>
      <w:r>
        <w:fldChar w:fldCharType="separate"/>
      </w:r>
      <w:r>
        <w:t>35</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"_Toc112341756" </w:instrText>
      </w:r>
      <w:r>
        <w:fldChar w:fldCharType="separate"/>
      </w:r>
      <w:r>
        <w:rPr>
          <w:rStyle w:val="31"/>
          <w:rFonts w:eastAsia="宋体"/>
          <w14:scene3d w14:prst="orthographicFront">
            <w14:lightRig w14:rig="threePt" w14:dir="t">
              <w14:rot w14:lat="0" w14:lon="0" w14:rev="0"/>
            </w14:lightRig>
          </w14:scene3d>
        </w:rPr>
        <w:t>6.3</w:t>
      </w:r>
      <w:r>
        <w:rPr>
          <w:rFonts w:asciiTheme="minorHAnsi" w:hAnsiTheme="minorHAnsi" w:eastAsiaTheme="minorEastAsia"/>
          <w:smallCaps w:val="0"/>
          <w:sz w:val="21"/>
          <w:szCs w:val="22"/>
        </w:rPr>
        <w:tab/>
      </w:r>
      <w:r>
        <w:rPr>
          <w:rStyle w:val="31"/>
          <w:rFonts w:hint="eastAsia"/>
        </w:rPr>
        <w:t>泄漏检测</w:t>
      </w:r>
      <w:r>
        <w:tab/>
      </w:r>
      <w:r>
        <w:fldChar w:fldCharType="begin"/>
      </w:r>
      <w:r>
        <w:instrText xml:space="preserve"> PAGEREF _Toc112341756 \h </w:instrText>
      </w:r>
      <w:r>
        <w:fldChar w:fldCharType="separate"/>
      </w:r>
      <w:r>
        <w:t>35</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"_Toc112341757" </w:instrText>
      </w:r>
      <w:r>
        <w:fldChar w:fldCharType="separate"/>
      </w:r>
      <w:r>
        <w:rPr>
          <w:rStyle w:val="31"/>
          <w:rFonts w:eastAsia="宋体"/>
          <w14:scene3d w14:prst="orthographicFront">
            <w14:lightRig w14:rig="threePt" w14:dir="t">
              <w14:rot w14:lat="0" w14:lon="0" w14:rev="0"/>
            </w14:lightRig>
          </w14:scene3d>
        </w:rPr>
        <w:t>6.4</w:t>
      </w:r>
      <w:r>
        <w:rPr>
          <w:rFonts w:asciiTheme="minorHAnsi" w:hAnsiTheme="minorHAnsi" w:eastAsiaTheme="minorEastAsia"/>
          <w:smallCaps w:val="0"/>
          <w:sz w:val="21"/>
          <w:szCs w:val="22"/>
        </w:rPr>
        <w:tab/>
      </w:r>
      <w:r>
        <w:rPr>
          <w:rStyle w:val="31"/>
          <w:rFonts w:hint="eastAsia"/>
        </w:rPr>
        <w:t>文件要求</w:t>
      </w:r>
      <w:r>
        <w:tab/>
      </w:r>
      <w:r>
        <w:fldChar w:fldCharType="begin"/>
      </w:r>
      <w:r>
        <w:instrText xml:space="preserve"> PAGEREF _Toc112341757 \h </w:instrText>
      </w:r>
      <w:r>
        <w:fldChar w:fldCharType="separate"/>
      </w:r>
      <w:r>
        <w:t>35</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"_Toc112341758" </w:instrText>
      </w:r>
      <w:r>
        <w:fldChar w:fldCharType="separate"/>
      </w:r>
      <w:r>
        <w:rPr>
          <w:rStyle w:val="31"/>
          <w:rFonts w:eastAsia="宋体"/>
          <w14:scene3d w14:prst="orthographicFront">
            <w14:lightRig w14:rig="threePt" w14:dir="t">
              <w14:rot w14:lat="0" w14:lon="0" w14:rev="0"/>
            </w14:lightRig>
          </w14:scene3d>
        </w:rPr>
        <w:t>6.5</w:t>
      </w:r>
      <w:r>
        <w:rPr>
          <w:rFonts w:asciiTheme="minorHAnsi" w:hAnsiTheme="minorHAnsi" w:eastAsiaTheme="minorEastAsia"/>
          <w:smallCaps w:val="0"/>
          <w:sz w:val="21"/>
          <w:szCs w:val="22"/>
        </w:rPr>
        <w:tab/>
      </w:r>
      <w:r>
        <w:rPr>
          <w:rStyle w:val="31"/>
          <w:rFonts w:hint="eastAsia"/>
        </w:rPr>
        <w:t>静水压试验</w:t>
      </w:r>
      <w:r>
        <w:tab/>
      </w:r>
      <w:r>
        <w:fldChar w:fldCharType="begin"/>
      </w:r>
      <w:r>
        <w:instrText xml:space="preserve"> PAGEREF _Toc112341758 \h </w:instrText>
      </w:r>
      <w:r>
        <w:fldChar w:fldCharType="separate"/>
      </w:r>
      <w:r>
        <w:t>36</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"_Toc112341759" </w:instrText>
      </w:r>
      <w:r>
        <w:fldChar w:fldCharType="separate"/>
      </w:r>
      <w:r>
        <w:rPr>
          <w:rStyle w:val="31"/>
          <w:rFonts w:eastAsia="宋体"/>
          <w14:scene3d w14:prst="orthographicFront">
            <w14:lightRig w14:rig="threePt" w14:dir="t">
              <w14:rot w14:lat="0" w14:lon="0" w14:rev="0"/>
            </w14:lightRig>
          </w14:scene3d>
        </w:rPr>
        <w:t>6.6</w:t>
      </w:r>
      <w:r>
        <w:rPr>
          <w:rFonts w:asciiTheme="minorHAnsi" w:hAnsiTheme="minorHAnsi" w:eastAsiaTheme="minorEastAsia"/>
          <w:smallCaps w:val="0"/>
          <w:sz w:val="21"/>
          <w:szCs w:val="22"/>
        </w:rPr>
        <w:tab/>
      </w:r>
      <w:r>
        <w:rPr>
          <w:rStyle w:val="31"/>
          <w:rFonts w:hint="eastAsia"/>
        </w:rPr>
        <w:t>压力循环试验</w:t>
      </w:r>
      <w:r>
        <w:tab/>
      </w:r>
      <w:r>
        <w:fldChar w:fldCharType="begin"/>
      </w:r>
      <w:r>
        <w:instrText xml:space="preserve"> PAGEREF _Toc112341759 \h </w:instrText>
      </w:r>
      <w:r>
        <w:fldChar w:fldCharType="separate"/>
      </w:r>
      <w:r>
        <w:t>36</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"_Toc112341760" </w:instrText>
      </w:r>
      <w:r>
        <w:fldChar w:fldCharType="separate"/>
      </w:r>
      <w:r>
        <w:rPr>
          <w:rStyle w:val="31"/>
          <w:rFonts w:eastAsia="宋体"/>
          <w14:scene3d w14:prst="orthographicFront">
            <w14:lightRig w14:rig="threePt" w14:dir="t">
              <w14:rot w14:lat="0" w14:lon="0" w14:rev="0"/>
            </w14:lightRig>
          </w14:scene3d>
        </w:rPr>
        <w:t>6.7</w:t>
      </w:r>
      <w:r>
        <w:rPr>
          <w:rFonts w:asciiTheme="minorHAnsi" w:hAnsiTheme="minorHAnsi" w:eastAsiaTheme="minorEastAsia"/>
          <w:smallCaps w:val="0"/>
          <w:sz w:val="21"/>
          <w:szCs w:val="22"/>
        </w:rPr>
        <w:tab/>
      </w:r>
      <w:r>
        <w:rPr>
          <w:rStyle w:val="31"/>
          <w:rFonts w:hint="eastAsia"/>
        </w:rPr>
        <w:t>气压试验</w:t>
      </w:r>
      <w:r>
        <w:tab/>
      </w:r>
      <w:r>
        <w:fldChar w:fldCharType="begin"/>
      </w:r>
      <w:r>
        <w:instrText xml:space="preserve"> PAGEREF _Toc112341760 \h </w:instrText>
      </w:r>
      <w:r>
        <w:fldChar w:fldCharType="separate"/>
      </w:r>
      <w:r>
        <w:t>37</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"_Toc112341761" </w:instrText>
      </w:r>
      <w:r>
        <w:fldChar w:fldCharType="separate"/>
      </w:r>
      <w:r>
        <w:rPr>
          <w:rStyle w:val="31"/>
          <w:rFonts w:eastAsia="宋体"/>
          <w14:scene3d w14:prst="orthographicFront">
            <w14:lightRig w14:rig="threePt" w14:dir="t">
              <w14:rot w14:lat="0" w14:lon="0" w14:rev="0"/>
            </w14:lightRig>
          </w14:scene3d>
        </w:rPr>
        <w:t>6.8</w:t>
      </w:r>
      <w:r>
        <w:rPr>
          <w:rFonts w:asciiTheme="minorHAnsi" w:hAnsiTheme="minorHAnsi" w:eastAsiaTheme="minorEastAsia"/>
          <w:smallCaps w:val="0"/>
          <w:sz w:val="21"/>
          <w:szCs w:val="22"/>
        </w:rPr>
        <w:tab/>
      </w:r>
      <w:r>
        <w:rPr>
          <w:rStyle w:val="31"/>
          <w:rFonts w:hint="eastAsia"/>
        </w:rPr>
        <w:t>压力温度循环试验</w:t>
      </w:r>
      <w:r>
        <w:tab/>
      </w:r>
      <w:r>
        <w:fldChar w:fldCharType="begin"/>
      </w:r>
      <w:r>
        <w:instrText xml:space="preserve"> PAGEREF _Toc112341761 \h </w:instrText>
      </w:r>
      <w:r>
        <w:fldChar w:fldCharType="separate"/>
      </w:r>
      <w:r>
        <w:t>37</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"_Toc112341762" </w:instrText>
      </w:r>
      <w:r>
        <w:fldChar w:fldCharType="separate"/>
      </w:r>
      <w:r>
        <w:rPr>
          <w:rStyle w:val="31"/>
          <w:rFonts w:eastAsia="宋体"/>
          <w14:scene3d w14:prst="orthographicFront">
            <w14:lightRig w14:rig="threePt" w14:dir="t">
              <w14:rot w14:lat="0" w14:lon="0" w14:rev="0"/>
            </w14:lightRig>
          </w14:scene3d>
        </w:rPr>
        <w:t>6.9</w:t>
      </w:r>
      <w:r>
        <w:rPr>
          <w:rFonts w:asciiTheme="minorHAnsi" w:hAnsiTheme="minorHAnsi" w:eastAsiaTheme="minorEastAsia"/>
          <w:smallCaps w:val="0"/>
          <w:sz w:val="21"/>
          <w:szCs w:val="22"/>
        </w:rPr>
        <w:tab/>
      </w:r>
      <w:r>
        <w:rPr>
          <w:rStyle w:val="31"/>
          <w:rFonts w:hint="eastAsia"/>
        </w:rPr>
        <w:t>通径试验</w:t>
      </w:r>
      <w:r>
        <w:tab/>
      </w:r>
      <w:r>
        <w:fldChar w:fldCharType="begin"/>
      </w:r>
      <w:r>
        <w:instrText xml:space="preserve"> PAGEREF _Toc112341762 \h </w:instrText>
      </w:r>
      <w:r>
        <w:fldChar w:fldCharType="separate"/>
      </w:r>
      <w:r>
        <w:t>39</w:t>
      </w:r>
      <w:r>
        <w:fldChar w:fldCharType="end"/>
      </w:r>
      <w:r>
        <w:fldChar w:fldCharType="end"/>
      </w:r>
    </w:p>
    <w:p>
      <w:pPr>
        <w:pStyle w:val="19"/>
        <w:rPr>
          <w:rFonts w:asciiTheme="minorHAnsi" w:hAnsiTheme="minorHAnsi" w:eastAsiaTheme="minorEastAsia"/>
          <w:sz w:val="21"/>
          <w:szCs w:val="22"/>
        </w:rPr>
      </w:pPr>
      <w:r>
        <w:fldChar w:fldCharType="begin"/>
      </w:r>
      <w:r>
        <w:instrText xml:space="preserve"> HYPERLINK \l "_Toc112341763" </w:instrText>
      </w:r>
      <w:r>
        <w:fldChar w:fldCharType="separate"/>
      </w:r>
      <w:r>
        <w:rPr>
          <w:rStyle w:val="31"/>
          <w:rFonts w:eastAsia="宋体"/>
        </w:rPr>
        <w:t>7</w:t>
      </w:r>
      <w:r>
        <w:rPr>
          <w:rFonts w:asciiTheme="minorHAnsi" w:hAnsiTheme="minorHAnsi" w:eastAsiaTheme="minorEastAsia"/>
          <w:sz w:val="21"/>
          <w:szCs w:val="22"/>
        </w:rPr>
        <w:tab/>
      </w:r>
      <w:r>
        <w:rPr>
          <w:rStyle w:val="31"/>
          <w:rFonts w:hint="eastAsia"/>
        </w:rPr>
        <w:t>装置标识</w:t>
      </w:r>
      <w:r>
        <w:tab/>
      </w:r>
      <w:r>
        <w:fldChar w:fldCharType="begin"/>
      </w:r>
      <w:r>
        <w:instrText xml:space="preserve"> PAGEREF _Toc112341763 \h </w:instrText>
      </w:r>
      <w:r>
        <w:fldChar w:fldCharType="separate"/>
      </w:r>
      <w:r>
        <w:t>40</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"_Toc112341764" </w:instrText>
      </w:r>
      <w:r>
        <w:fldChar w:fldCharType="separate"/>
      </w:r>
      <w:r>
        <w:rPr>
          <w:rStyle w:val="31"/>
          <w:rFonts w:eastAsia="宋体"/>
          <w14:scene3d w14:prst="orthographicFront">
            <w14:lightRig w14:rig="threePt" w14:dir="t">
              <w14:rot w14:lat="0" w14:lon="0" w14:rev="0"/>
            </w14:lightRig>
          </w14:scene3d>
        </w:rPr>
        <w:t>7.1</w:t>
      </w:r>
      <w:r>
        <w:rPr>
          <w:rFonts w:asciiTheme="minorHAnsi" w:hAnsiTheme="minorHAnsi" w:eastAsiaTheme="minorEastAsia"/>
          <w:smallCaps w:val="0"/>
          <w:sz w:val="21"/>
          <w:szCs w:val="22"/>
        </w:rPr>
        <w:tab/>
      </w:r>
      <w:r>
        <w:rPr>
          <w:rStyle w:val="31"/>
          <w:rFonts w:hint="eastAsia"/>
        </w:rPr>
        <w:t>标识要求</w:t>
      </w:r>
      <w:r>
        <w:tab/>
      </w:r>
      <w:r>
        <w:fldChar w:fldCharType="begin"/>
      </w:r>
      <w:r>
        <w:instrText xml:space="preserve"> PAGEREF _Toc112341764 \h </w:instrText>
      </w:r>
      <w:r>
        <w:fldChar w:fldCharType="separate"/>
      </w:r>
      <w:r>
        <w:t>40</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"_Toc112341765" </w:instrText>
      </w:r>
      <w:r>
        <w:fldChar w:fldCharType="separate"/>
      </w:r>
      <w:r>
        <w:rPr>
          <w:rStyle w:val="31"/>
          <w:rFonts w:eastAsia="宋体"/>
          <w14:scene3d w14:prst="orthographicFront">
            <w14:lightRig w14:rig="threePt" w14:dir="t">
              <w14:rot w14:lat="0" w14:lon="0" w14:rev="0"/>
            </w14:lightRig>
          </w14:scene3d>
        </w:rPr>
        <w:t>7.2</w:t>
      </w:r>
      <w:r>
        <w:rPr>
          <w:rFonts w:asciiTheme="minorHAnsi" w:hAnsiTheme="minorHAnsi" w:eastAsiaTheme="minorEastAsia"/>
          <w:smallCaps w:val="0"/>
          <w:sz w:val="21"/>
          <w:szCs w:val="22"/>
        </w:rPr>
        <w:tab/>
      </w:r>
      <w:r>
        <w:rPr>
          <w:rStyle w:val="31"/>
          <w:rFonts w:hint="eastAsia"/>
        </w:rPr>
        <w:t>标识方法</w:t>
      </w:r>
      <w:r>
        <w:tab/>
      </w:r>
      <w:r>
        <w:fldChar w:fldCharType="begin"/>
      </w:r>
      <w:r>
        <w:instrText xml:space="preserve"> PAGEREF _Toc112341765 \h </w:instrText>
      </w:r>
      <w:r>
        <w:fldChar w:fldCharType="separate"/>
      </w:r>
      <w:r>
        <w:t>40</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"_Toc112341766" </w:instrText>
      </w:r>
      <w:r>
        <w:fldChar w:fldCharType="separate"/>
      </w:r>
      <w:r>
        <w:rPr>
          <w:rStyle w:val="31"/>
          <w:rFonts w:eastAsia="宋体"/>
          <w14:scene3d w14:prst="orthographicFront">
            <w14:lightRig w14:rig="threePt" w14:dir="t">
              <w14:rot w14:lat="0" w14:lon="0" w14:rev="0"/>
            </w14:lightRig>
          </w14:scene3d>
        </w:rPr>
        <w:t>7.3</w:t>
      </w:r>
      <w:r>
        <w:rPr>
          <w:rFonts w:asciiTheme="minorHAnsi" w:hAnsiTheme="minorHAnsi" w:eastAsiaTheme="minorEastAsia"/>
          <w:smallCaps w:val="0"/>
          <w:sz w:val="21"/>
          <w:szCs w:val="22"/>
        </w:rPr>
        <w:tab/>
      </w:r>
      <w:r>
        <w:rPr>
          <w:rStyle w:val="31"/>
          <w:rFonts w:hint="eastAsia"/>
        </w:rPr>
        <w:t>螺纹标识</w:t>
      </w:r>
      <w:r>
        <w:tab/>
      </w:r>
      <w:r>
        <w:fldChar w:fldCharType="begin"/>
      </w:r>
      <w:r>
        <w:instrText xml:space="preserve"> PAGEREF _Toc112341766 \h </w:instrText>
      </w:r>
      <w:r>
        <w:fldChar w:fldCharType="separate"/>
      </w:r>
      <w:r>
        <w:t>40</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"_Toc112341767" </w:instrText>
      </w:r>
      <w:r>
        <w:fldChar w:fldCharType="separate"/>
      </w:r>
      <w:r>
        <w:rPr>
          <w:rStyle w:val="31"/>
          <w:rFonts w:eastAsia="宋体"/>
          <w14:scene3d w14:prst="orthographicFront">
            <w14:lightRig w14:rig="threePt" w14:dir="t">
              <w14:rot w14:lat="0" w14:lon="0" w14:rev="0"/>
            </w14:lightRig>
          </w14:scene3d>
        </w:rPr>
        <w:t>7.4</w:t>
      </w:r>
      <w:r>
        <w:rPr>
          <w:rFonts w:asciiTheme="minorHAnsi" w:hAnsiTheme="minorHAnsi" w:eastAsiaTheme="minorEastAsia"/>
          <w:smallCaps w:val="0"/>
          <w:sz w:val="21"/>
          <w:szCs w:val="22"/>
        </w:rPr>
        <w:tab/>
      </w:r>
      <w:r>
        <w:rPr>
          <w:rStyle w:val="31"/>
          <w:rFonts w:hint="eastAsia"/>
        </w:rPr>
        <w:t>硬度标识</w:t>
      </w:r>
      <w:r>
        <w:tab/>
      </w:r>
      <w:r>
        <w:fldChar w:fldCharType="begin"/>
      </w:r>
      <w:r>
        <w:instrText xml:space="preserve"> PAGEREF _Toc112341767 \h </w:instrText>
      </w:r>
      <w:r>
        <w:fldChar w:fldCharType="separate"/>
      </w:r>
      <w:r>
        <w:t>40</w:t>
      </w:r>
      <w:r>
        <w:fldChar w:fldCharType="end"/>
      </w:r>
      <w:r>
        <w:fldChar w:fldCharType="end"/>
      </w:r>
    </w:p>
    <w:p>
      <w:pPr>
        <w:pStyle w:val="19"/>
        <w:rPr>
          <w:rFonts w:asciiTheme="minorHAnsi" w:hAnsiTheme="minorHAnsi" w:eastAsiaTheme="minorEastAsia"/>
          <w:sz w:val="21"/>
          <w:szCs w:val="22"/>
        </w:rPr>
      </w:pPr>
      <w:r>
        <w:fldChar w:fldCharType="begin"/>
      </w:r>
      <w:r>
        <w:instrText xml:space="preserve"> HYPERLINK \l "_Toc112341768" </w:instrText>
      </w:r>
      <w:r>
        <w:fldChar w:fldCharType="separate"/>
      </w:r>
      <w:r>
        <w:rPr>
          <w:rStyle w:val="31"/>
          <w:rFonts w:eastAsia="宋体"/>
        </w:rPr>
        <w:t>8</w:t>
      </w:r>
      <w:r>
        <w:rPr>
          <w:rFonts w:asciiTheme="minorHAnsi" w:hAnsiTheme="minorHAnsi" w:eastAsiaTheme="minorEastAsia"/>
          <w:sz w:val="21"/>
          <w:szCs w:val="22"/>
        </w:rPr>
        <w:tab/>
      </w:r>
      <w:r>
        <w:rPr>
          <w:rStyle w:val="31"/>
          <w:rFonts w:hint="eastAsia"/>
        </w:rPr>
        <w:t>贮存和发运</w:t>
      </w:r>
      <w:r>
        <w:tab/>
      </w:r>
      <w:r>
        <w:fldChar w:fldCharType="begin"/>
      </w:r>
      <w:r>
        <w:instrText xml:space="preserve"> PAGEREF _Toc112341768 \h </w:instrText>
      </w:r>
      <w:r>
        <w:fldChar w:fldCharType="separate"/>
      </w:r>
      <w:r>
        <w:t>41</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"_Toc112341769" </w:instrText>
      </w:r>
      <w:r>
        <w:fldChar w:fldCharType="separate"/>
      </w:r>
      <w:r>
        <w:rPr>
          <w:rStyle w:val="31"/>
          <w:rFonts w:eastAsia="宋体"/>
          <w14:scene3d w14:prst="orthographicFront">
            <w14:lightRig w14:rig="threePt" w14:dir="t">
              <w14:rot w14:lat="0" w14:lon="0" w14:rev="0"/>
            </w14:lightRig>
          </w14:scene3d>
        </w:rPr>
        <w:t>8.1</w:t>
      </w:r>
      <w:r>
        <w:rPr>
          <w:rFonts w:asciiTheme="minorHAnsi" w:hAnsiTheme="minorHAnsi" w:eastAsiaTheme="minorEastAsia"/>
          <w:smallCaps w:val="0"/>
          <w:sz w:val="21"/>
          <w:szCs w:val="22"/>
        </w:rPr>
        <w:tab/>
      </w:r>
      <w:r>
        <w:rPr>
          <w:rStyle w:val="31"/>
          <w:rFonts w:hint="eastAsia"/>
        </w:rPr>
        <w:t>清洁</w:t>
      </w:r>
      <w:r>
        <w:tab/>
      </w:r>
      <w:r>
        <w:fldChar w:fldCharType="begin"/>
      </w:r>
      <w:r>
        <w:instrText xml:space="preserve"> PAGEREF _Toc112341769 \h </w:instrText>
      </w:r>
      <w:r>
        <w:fldChar w:fldCharType="separate"/>
      </w:r>
      <w:r>
        <w:t>41</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"_Toc112341770" </w:instrText>
      </w:r>
      <w:r>
        <w:fldChar w:fldCharType="separate"/>
      </w:r>
      <w:r>
        <w:rPr>
          <w:rStyle w:val="31"/>
          <w:rFonts w:eastAsia="宋体"/>
          <w14:scene3d w14:prst="orthographicFront">
            <w14:lightRig w14:rig="threePt" w14:dir="t">
              <w14:rot w14:lat="0" w14:lon="0" w14:rev="0"/>
            </w14:lightRig>
          </w14:scene3d>
        </w:rPr>
        <w:t>8.2</w:t>
      </w:r>
      <w:r>
        <w:rPr>
          <w:rFonts w:asciiTheme="minorHAnsi" w:hAnsiTheme="minorHAnsi" w:eastAsiaTheme="minorEastAsia"/>
          <w:smallCaps w:val="0"/>
          <w:sz w:val="21"/>
          <w:szCs w:val="22"/>
        </w:rPr>
        <w:tab/>
      </w:r>
      <w:r>
        <w:rPr>
          <w:rStyle w:val="31"/>
          <w:rFonts w:hint="eastAsia"/>
        </w:rPr>
        <w:t>防锈</w:t>
      </w:r>
      <w:r>
        <w:tab/>
      </w:r>
      <w:r>
        <w:fldChar w:fldCharType="begin"/>
      </w:r>
      <w:r>
        <w:instrText xml:space="preserve"> PAGEREF _Toc112341770 \h </w:instrText>
      </w:r>
      <w:r>
        <w:fldChar w:fldCharType="separate"/>
      </w:r>
      <w:r>
        <w:t>41</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"_Toc112341771" </w:instrText>
      </w:r>
      <w:r>
        <w:fldChar w:fldCharType="separate"/>
      </w:r>
      <w:r>
        <w:rPr>
          <w:rStyle w:val="31"/>
          <w:rFonts w:eastAsia="宋体"/>
          <w14:scene3d w14:prst="orthographicFront">
            <w14:lightRig w14:rig="threePt" w14:dir="t">
              <w14:rot w14:lat="0" w14:lon="0" w14:rev="0"/>
            </w14:lightRig>
          </w14:scene3d>
        </w:rPr>
        <w:t>8.3</w:t>
      </w:r>
      <w:r>
        <w:rPr>
          <w:rFonts w:asciiTheme="minorHAnsi" w:hAnsiTheme="minorHAnsi" w:eastAsiaTheme="minorEastAsia"/>
          <w:smallCaps w:val="0"/>
          <w:sz w:val="21"/>
          <w:szCs w:val="22"/>
        </w:rPr>
        <w:tab/>
      </w:r>
      <w:r>
        <w:rPr>
          <w:rStyle w:val="31"/>
          <w:rFonts w:hint="eastAsia"/>
        </w:rPr>
        <w:t>密封面保护</w:t>
      </w:r>
      <w:r>
        <w:tab/>
      </w:r>
      <w:r>
        <w:fldChar w:fldCharType="begin"/>
      </w:r>
      <w:r>
        <w:instrText xml:space="preserve"> PAGEREF _Toc112341771 \h </w:instrText>
      </w:r>
      <w:r>
        <w:fldChar w:fldCharType="separate"/>
      </w:r>
      <w:r>
        <w:t>41</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"_Toc112341772" </w:instrText>
      </w:r>
      <w:r>
        <w:fldChar w:fldCharType="separate"/>
      </w:r>
      <w:r>
        <w:rPr>
          <w:rStyle w:val="31"/>
          <w:rFonts w:eastAsia="宋体"/>
          <w14:scene3d w14:prst="orthographicFront">
            <w14:lightRig w14:rig="threePt" w14:dir="t">
              <w14:rot w14:lat="0" w14:lon="0" w14:rev="0"/>
            </w14:lightRig>
          </w14:scene3d>
        </w:rPr>
        <w:t>8.4</w:t>
      </w:r>
      <w:r>
        <w:rPr>
          <w:rFonts w:asciiTheme="minorHAnsi" w:hAnsiTheme="minorHAnsi" w:eastAsiaTheme="minorEastAsia"/>
          <w:smallCaps w:val="0"/>
          <w:sz w:val="21"/>
          <w:szCs w:val="22"/>
        </w:rPr>
        <w:tab/>
      </w:r>
      <w:r>
        <w:rPr>
          <w:rStyle w:val="31"/>
          <w:rFonts w:hint="eastAsia"/>
        </w:rPr>
        <w:t>合成橡胶老化控制</w:t>
      </w:r>
      <w:r>
        <w:tab/>
      </w:r>
      <w:r>
        <w:fldChar w:fldCharType="begin"/>
      </w:r>
      <w:r>
        <w:instrText xml:space="preserve"> PAGEREF _Toc112341772 \h </w:instrText>
      </w:r>
      <w:r>
        <w:fldChar w:fldCharType="separate"/>
      </w:r>
      <w:r>
        <w:t>41</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"_Toc112341773" </w:instrText>
      </w:r>
      <w:r>
        <w:fldChar w:fldCharType="separate"/>
      </w:r>
      <w:r>
        <w:rPr>
          <w:rStyle w:val="31"/>
          <w:rFonts w:eastAsia="宋体"/>
          <w14:scene3d w14:prst="orthographicFront">
            <w14:lightRig w14:rig="threePt" w14:dir="t">
              <w14:rot w14:lat="0" w14:lon="0" w14:rev="0"/>
            </w14:lightRig>
          </w14:scene3d>
        </w:rPr>
        <w:t>8.5</w:t>
      </w:r>
      <w:r>
        <w:rPr>
          <w:rFonts w:asciiTheme="minorHAnsi" w:hAnsiTheme="minorHAnsi" w:eastAsiaTheme="minorEastAsia"/>
          <w:smallCaps w:val="0"/>
          <w:sz w:val="21"/>
          <w:szCs w:val="22"/>
        </w:rPr>
        <w:tab/>
      </w:r>
      <w:r>
        <w:rPr>
          <w:rStyle w:val="31"/>
          <w:rFonts w:hint="eastAsia"/>
        </w:rPr>
        <w:t>发运</w:t>
      </w:r>
      <w:r>
        <w:tab/>
      </w:r>
      <w:r>
        <w:fldChar w:fldCharType="begin"/>
      </w:r>
      <w:r>
        <w:instrText xml:space="preserve"> PAGEREF _Toc112341773 \h </w:instrText>
      </w:r>
      <w:r>
        <w:fldChar w:fldCharType="separate"/>
      </w:r>
      <w:r>
        <w:t>41</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"_Toc112341774" </w:instrText>
      </w:r>
      <w:r>
        <w:fldChar w:fldCharType="separate"/>
      </w:r>
      <w:r>
        <w:rPr>
          <w:rStyle w:val="31"/>
          <w:rFonts w:eastAsia="宋体"/>
          <w14:scene3d w14:prst="orthographicFront">
            <w14:lightRig w14:rig="threePt" w14:dir="t">
              <w14:rot w14:lat="0" w14:lon="0" w14:rev="0"/>
            </w14:lightRig>
          </w14:scene3d>
        </w:rPr>
        <w:t>8.6</w:t>
      </w:r>
      <w:r>
        <w:rPr>
          <w:rFonts w:asciiTheme="minorHAnsi" w:hAnsiTheme="minorHAnsi" w:eastAsiaTheme="minorEastAsia"/>
          <w:smallCaps w:val="0"/>
          <w:sz w:val="21"/>
          <w:szCs w:val="22"/>
        </w:rPr>
        <w:tab/>
      </w:r>
      <w:r>
        <w:rPr>
          <w:rStyle w:val="31"/>
          <w:rFonts w:hint="eastAsia"/>
        </w:rPr>
        <w:t>装配、安装和维护说明书</w:t>
      </w:r>
      <w:r>
        <w:tab/>
      </w:r>
      <w:r>
        <w:fldChar w:fldCharType="begin"/>
      </w:r>
      <w:r>
        <w:instrText xml:space="preserve"> PAGEREF _Toc112341774 \h </w:instrText>
      </w:r>
      <w:r>
        <w:fldChar w:fldCharType="separate"/>
      </w:r>
      <w:r>
        <w:t>41</w:t>
      </w:r>
      <w:r>
        <w:fldChar w:fldCharType="end"/>
      </w:r>
      <w:r>
        <w:fldChar w:fldCharType="end"/>
      </w:r>
    </w:p>
    <w:p>
      <w:pPr>
        <w:pStyle w:val="19"/>
        <w:tabs>
          <w:tab w:val="left" w:pos="1050"/>
        </w:tabs>
        <w:rPr>
          <w:rFonts w:asciiTheme="minorHAnsi" w:hAnsiTheme="minorHAnsi" w:eastAsiaTheme="minorEastAsia"/>
          <w:sz w:val="21"/>
          <w:szCs w:val="22"/>
        </w:rPr>
      </w:pPr>
      <w:r>
        <w:fldChar w:fldCharType="begin"/>
      </w:r>
      <w:r>
        <w:instrText xml:space="preserve"> HYPERLINK \l "_Toc112341775" </w:instrText>
      </w:r>
      <w:r>
        <w:fldChar w:fldCharType="separate"/>
      </w:r>
      <w:r>
        <w:rPr>
          <w:rStyle w:val="31"/>
          <w:rFonts w:hint="eastAsia" w:eastAsia="宋体"/>
        </w:rPr>
        <w:t>附录 A</w:t>
      </w:r>
      <w:r>
        <w:rPr>
          <w:rFonts w:asciiTheme="minorHAnsi" w:hAnsiTheme="minorHAnsi" w:eastAsiaTheme="minorEastAsia"/>
          <w:sz w:val="21"/>
          <w:szCs w:val="22"/>
        </w:rPr>
        <w:tab/>
      </w:r>
      <w:r>
        <w:rPr>
          <w:rStyle w:val="31"/>
          <w:rFonts w:hint="eastAsia"/>
        </w:rPr>
        <w:t>采购指南</w:t>
      </w:r>
      <w:r>
        <w:tab/>
      </w:r>
      <w:r>
        <w:fldChar w:fldCharType="begin"/>
      </w:r>
      <w:r>
        <w:instrText xml:space="preserve"> PAGEREF _Toc112341775 \h </w:instrText>
      </w:r>
      <w:r>
        <w:fldChar w:fldCharType="separate"/>
      </w:r>
      <w:r>
        <w:t>42</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"_Toc112341776" </w:instrText>
      </w:r>
      <w:r>
        <w:fldChar w:fldCharType="separate"/>
      </w:r>
      <w:r>
        <w:rPr>
          <w:rStyle w:val="31"/>
        </w:rPr>
        <w:t>A.1</w:t>
      </w:r>
      <w:r>
        <w:rPr>
          <w:rFonts w:asciiTheme="minorHAnsi" w:hAnsiTheme="minorHAnsi" w:eastAsiaTheme="minorEastAsia"/>
          <w:smallCaps w:val="0"/>
          <w:sz w:val="21"/>
          <w:szCs w:val="22"/>
        </w:rPr>
        <w:tab/>
      </w:r>
      <w:r>
        <w:rPr>
          <w:rStyle w:val="31"/>
          <w:rFonts w:hint="eastAsia"/>
        </w:rPr>
        <w:t>总则</w:t>
      </w:r>
      <w:r>
        <w:tab/>
      </w:r>
      <w:r>
        <w:fldChar w:fldCharType="begin"/>
      </w:r>
      <w:r>
        <w:instrText xml:space="preserve"> PAGEREF _Toc112341776 \h </w:instrText>
      </w:r>
      <w:r>
        <w:fldChar w:fldCharType="separate"/>
      </w:r>
      <w:r>
        <w:t>42</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"_Toc112341777" </w:instrText>
      </w:r>
      <w:r>
        <w:fldChar w:fldCharType="separate"/>
      </w:r>
      <w:r>
        <w:rPr>
          <w:rStyle w:val="31"/>
        </w:rPr>
        <w:t>A.2</w:t>
      </w:r>
      <w:r>
        <w:rPr>
          <w:rFonts w:asciiTheme="minorHAnsi" w:hAnsiTheme="minorHAnsi" w:eastAsiaTheme="minorEastAsia"/>
          <w:smallCaps w:val="0"/>
          <w:sz w:val="21"/>
          <w:szCs w:val="22"/>
        </w:rPr>
        <w:tab/>
      </w:r>
      <w:r>
        <w:rPr>
          <w:rStyle w:val="31"/>
          <w:rFonts w:hint="eastAsia"/>
        </w:rPr>
        <w:t>产品规范等级</w:t>
      </w:r>
      <w:r>
        <w:tab/>
      </w:r>
      <w:r>
        <w:fldChar w:fldCharType="begin"/>
      </w:r>
      <w:r>
        <w:instrText xml:space="preserve"> PAGEREF _Toc112341777 \h </w:instrText>
      </w:r>
      <w:r>
        <w:fldChar w:fldCharType="separate"/>
      </w:r>
      <w:r>
        <w:t>42</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"_Toc112341778" </w:instrText>
      </w:r>
      <w:r>
        <w:fldChar w:fldCharType="separate"/>
      </w:r>
      <w:r>
        <w:rPr>
          <w:rStyle w:val="31"/>
        </w:rPr>
        <w:t>A.3</w:t>
      </w:r>
      <w:r>
        <w:rPr>
          <w:rFonts w:asciiTheme="minorHAnsi" w:hAnsiTheme="minorHAnsi" w:eastAsiaTheme="minorEastAsia"/>
          <w:smallCaps w:val="0"/>
          <w:sz w:val="21"/>
          <w:szCs w:val="22"/>
        </w:rPr>
        <w:tab/>
      </w:r>
      <w:r>
        <w:rPr>
          <w:rStyle w:val="31"/>
          <w:rFonts w:hint="eastAsia"/>
        </w:rPr>
        <w:t>材料级别</w:t>
      </w:r>
      <w:r>
        <w:tab/>
      </w:r>
      <w:r>
        <w:fldChar w:fldCharType="begin"/>
      </w:r>
      <w:r>
        <w:instrText xml:space="preserve"> PAGEREF _Toc112341778 \h </w:instrText>
      </w:r>
      <w:r>
        <w:fldChar w:fldCharType="separate"/>
      </w:r>
      <w:r>
        <w:t>42</w:t>
      </w:r>
      <w:r>
        <w:fldChar w:fldCharType="end"/>
      </w:r>
      <w:r>
        <w:fldChar w:fldCharType="end"/>
      </w:r>
    </w:p>
    <w:p>
      <w:pPr>
        <w:pStyle w:val="22"/>
        <w:ind w:firstLine="480"/>
        <w:rPr>
          <w:rFonts w:asciiTheme="minorHAnsi" w:hAnsiTheme="minorHAnsi" w:eastAsiaTheme="minorEastAsia"/>
          <w:smallCaps w:val="0"/>
          <w:sz w:val="21"/>
          <w:szCs w:val="22"/>
        </w:rPr>
      </w:pPr>
      <w:r>
        <w:fldChar w:fldCharType="begin"/>
      </w:r>
      <w:r>
        <w:instrText xml:space="preserve"> HYPERLINK \l "_Toc112341779" </w:instrText>
      </w:r>
      <w:r>
        <w:fldChar w:fldCharType="separate"/>
      </w:r>
      <w:r>
        <w:rPr>
          <w:rStyle w:val="31"/>
        </w:rPr>
        <w:t>A.4</w:t>
      </w:r>
      <w:r>
        <w:rPr>
          <w:rFonts w:asciiTheme="minorHAnsi" w:hAnsiTheme="minorHAnsi" w:eastAsiaTheme="minorEastAsia"/>
          <w:smallCaps w:val="0"/>
          <w:sz w:val="21"/>
          <w:szCs w:val="22"/>
        </w:rPr>
        <w:tab/>
      </w:r>
      <w:r>
        <w:rPr>
          <w:rStyle w:val="31"/>
          <w:rFonts w:hint="eastAsia"/>
        </w:rPr>
        <w:t>数据表</w:t>
      </w:r>
      <w:r>
        <w:tab/>
      </w:r>
      <w:r>
        <w:fldChar w:fldCharType="begin"/>
      </w:r>
      <w:r>
        <w:instrText xml:space="preserve"> PAGEREF _Toc112341779 \h </w:instrText>
      </w:r>
      <w:r>
        <w:fldChar w:fldCharType="separate"/>
      </w:r>
      <w:r>
        <w:t>43</w:t>
      </w:r>
      <w:r>
        <w:fldChar w:fldCharType="end"/>
      </w:r>
      <w:r>
        <w:fldChar w:fldCharType="end"/>
      </w:r>
    </w:p>
    <w:p>
      <w:pPr>
        <w:pStyle w:val="19"/>
        <w:tabs>
          <w:tab w:val="left" w:pos="1050"/>
        </w:tabs>
        <w:rPr>
          <w:rFonts w:eastAsia="宋体" w:cs="Times New Roman"/>
          <w:color w:val="000000"/>
          <w:position w:val="1"/>
          <w:sz w:val="32"/>
        </w:rPr>
      </w:pPr>
      <w:r>
        <w:rPr>
          <w:rFonts w:eastAsia="宋体" w:cs="Times New Roman"/>
          <w:color w:val="000000"/>
          <w:position w:val="1"/>
          <w:sz w:val="32"/>
        </w:rPr>
        <w:fldChar w:fldCharType="end"/>
      </w:r>
      <w:bookmarkStart w:id="2" w:name="_Toc95911787"/>
      <w:bookmarkStart w:id="3" w:name="_Toc95910586"/>
      <w:bookmarkStart w:id="4" w:name="_Toc95909844"/>
      <w:r>
        <w:rPr>
          <w:rFonts w:eastAsia="宋体" w:cs="Times New Roman"/>
          <w:color w:val="000000"/>
          <w:position w:val="1"/>
          <w:sz w:val="32"/>
        </w:rPr>
        <w:br w:type="page"/>
      </w:r>
    </w:p>
    <w:p>
      <w:pPr>
        <w:pStyle w:val="2"/>
        <w:rPr>
          <w:w w:val="100"/>
        </w:rPr>
      </w:pPr>
      <w:bookmarkStart w:id="5" w:name="_Toc112341730"/>
      <w:r>
        <w:rPr>
          <w:w w:val="100"/>
        </w:rPr>
        <w:t>前 言</w:t>
      </w:r>
      <w:bookmarkEnd w:id="5"/>
    </w:p>
    <w:p>
      <w:pPr>
        <w:ind w:firstLine="420"/>
        <w:rPr>
          <w:rFonts w:cs="Times New Roman"/>
        </w:rPr>
      </w:pPr>
      <w:r>
        <w:rPr>
          <w:rFonts w:cs="Times New Roman"/>
        </w:rPr>
        <w:t>本文件按照GB/T 1.1-2020《标准化工作导则 第1部分：标准化文件的结构和起草规则》的规定起草。</w:t>
      </w:r>
    </w:p>
    <w:p>
      <w:pPr>
        <w:ind w:firstLine="420"/>
        <w:rPr>
          <w:rFonts w:cs="Times New Roman"/>
        </w:rPr>
      </w:pPr>
      <w:r>
        <w:rPr>
          <w:rFonts w:cs="Times New Roman"/>
        </w:rPr>
        <w:t>参考</w:t>
      </w:r>
      <w:bookmarkStart w:id="6" w:name="_Hlk112186200"/>
      <w:r>
        <w:rPr>
          <w:rFonts w:cs="Times New Roman"/>
        </w:rPr>
        <w:t>ISO 13628-4《石油天然气工业-水下生产系统的设计与操作第四部分：水下井口装置和采油树设备》</w:t>
      </w:r>
      <w:bookmarkEnd w:id="6"/>
      <w:r>
        <w:rPr>
          <w:rFonts w:cs="Times New Roman"/>
        </w:rPr>
        <w:t>、GB/T 21412.4《石油天然气工业 水下生产系统设计与操作 第四部分：水下井口装置和采油树设备》等国际国家标准，编制了文件内容。</w:t>
      </w:r>
    </w:p>
    <w:p>
      <w:pPr>
        <w:ind w:firstLine="420"/>
        <w:rPr>
          <w:rFonts w:cs="Times New Roman"/>
        </w:rPr>
      </w:pPr>
      <w:r>
        <w:rPr>
          <w:rFonts w:cs="Times New Roman"/>
        </w:rPr>
        <w:t>本文件的附录A为资料性附录。</w:t>
      </w:r>
    </w:p>
    <w:p>
      <w:pPr>
        <w:ind w:firstLine="420"/>
        <w:rPr>
          <w:rFonts w:cs="Times New Roman"/>
        </w:rPr>
      </w:pPr>
      <w:r>
        <w:rPr>
          <w:rFonts w:cs="Times New Roman"/>
        </w:rPr>
        <w:t>本文件由中国石油和石油化工设备工业协会提出。</w:t>
      </w:r>
    </w:p>
    <w:p>
      <w:pPr>
        <w:ind w:firstLine="420"/>
        <w:rPr>
          <w:rFonts w:cs="Times New Roman"/>
        </w:rPr>
      </w:pPr>
      <w:r>
        <w:rPr>
          <w:rFonts w:cs="Times New Roman"/>
        </w:rPr>
        <w:t>本文件由中国石油和石油化工设备工业协会归口。</w:t>
      </w:r>
    </w:p>
    <w:p>
      <w:pPr>
        <w:ind w:firstLine="420"/>
        <w:rPr>
          <w:rFonts w:cs="Times New Roman"/>
        </w:rPr>
      </w:pPr>
      <w:r>
        <w:rPr>
          <w:rFonts w:cs="Times New Roman"/>
        </w:rPr>
        <w:t>本文件主要起草单位：中石化江钻石油机械有限公司、中海油研究总院有限责任公司、中油国家油</w:t>
      </w:r>
      <w:bookmarkStart w:id="255" w:name="_GoBack"/>
      <w:bookmarkEnd w:id="255"/>
      <w:r>
        <w:rPr>
          <w:rFonts w:cs="Times New Roman"/>
        </w:rPr>
        <w:t>气钻井装备工程技术研究中心有限公司、四川宏华石油设备有限公司。</w:t>
      </w:r>
    </w:p>
    <w:p>
      <w:pPr>
        <w:ind w:firstLine="420"/>
        <w:rPr>
          <w:rFonts w:cs="Times New Roman"/>
        </w:rPr>
      </w:pPr>
      <w:r>
        <w:rPr>
          <w:rFonts w:cs="Times New Roman"/>
          <w:highlight w:val="yellow"/>
        </w:rPr>
        <w:t>本文件主要起草人：</w:t>
      </w:r>
      <w:r>
        <w:rPr>
          <w:rFonts w:cs="Times New Roman"/>
        </w:rPr>
        <w:t xml:space="preserve"> </w:t>
      </w:r>
    </w:p>
    <w:p>
      <w:pPr>
        <w:ind w:firstLine="420"/>
        <w:rPr>
          <w:rFonts w:cs="Times New Roman"/>
        </w:rPr>
      </w:pPr>
      <w:r>
        <w:rPr>
          <w:rFonts w:cs="Times New Roman"/>
        </w:rPr>
        <w:t>本文件为首次发布。</w:t>
      </w:r>
    </w:p>
    <w:p>
      <w:pPr>
        <w:ind w:firstLine="420"/>
        <w:rPr>
          <w:rFonts w:cs="Times New Roman"/>
        </w:rPr>
      </w:pPr>
    </w:p>
    <w:p>
      <w:pPr>
        <w:pStyle w:val="2"/>
        <w:rPr>
          <w:w w:val="100"/>
        </w:rPr>
      </w:pPr>
      <w:r>
        <w:rPr>
          <w:w w:val="100"/>
        </w:rPr>
        <w:br w:type="page"/>
      </w:r>
      <w:bookmarkStart w:id="7" w:name="_Toc112341731"/>
      <w:r>
        <w:rPr>
          <w:w w:val="100"/>
        </w:rPr>
        <w:t>引 言</w:t>
      </w:r>
      <w:bookmarkEnd w:id="7"/>
    </w:p>
    <w:p>
      <w:pPr>
        <w:ind w:firstLine="420"/>
        <w:rPr>
          <w:rFonts w:cs="Times New Roman"/>
        </w:rPr>
      </w:pPr>
      <w:r>
        <w:rPr>
          <w:rFonts w:cs="Times New Roman"/>
        </w:rPr>
        <w:t>水下井口装置是海洋石油天然气勘探开发的重要装备，其产品标准分别见之于ISO 13628-4《石油天然气工业-水下生产系统的设计与操作第四部分：水下井口装置和采油树设备》、GB/T 21412.4《石油天然气工业 水下生产系统设计与操作 第四部分：水下井口装置和采油树设备》。</w:t>
      </w:r>
    </w:p>
    <w:p>
      <w:pPr>
        <w:ind w:firstLine="420"/>
        <w:rPr>
          <w:rFonts w:cs="Times New Roman"/>
        </w:rPr>
      </w:pPr>
      <w:r>
        <w:rPr>
          <w:rFonts w:cs="Times New Roman"/>
        </w:rPr>
        <w:t>近几年，随着国内水下井口装置技术研究的快速发展，现有技术标准已无法支撑水下井口装置产业化高效推进，有必要制定一份符合国际标准和国家标准且满足当前行业需求的水下井口装置协会标准，规范水下井口装置开发，提升国内水下井口装置质量及市场竞争力。</w:t>
      </w:r>
    </w:p>
    <w:p>
      <w:pPr>
        <w:ind w:firstLine="420"/>
        <w:rPr>
          <w:rFonts w:cs="Times New Roman"/>
        </w:rPr>
      </w:pPr>
    </w:p>
    <w:p>
      <w:pPr>
        <w:ind w:firstLine="420"/>
        <w:rPr>
          <w:rFonts w:cs="Times New Roman"/>
        </w:rPr>
      </w:pPr>
    </w:p>
    <w:p>
      <w:pPr>
        <w:ind w:firstLine="420"/>
        <w:rPr>
          <w:rFonts w:cs="Times New Roman"/>
        </w:rPr>
      </w:pPr>
    </w:p>
    <w:p>
      <w:pPr>
        <w:ind w:firstLine="420"/>
        <w:rPr>
          <w:rFonts w:cs="Times New Roman"/>
        </w:rPr>
        <w:sectPr>
          <w:headerReference r:id="rId7" w:type="first"/>
          <w:footerReference r:id="rId10" w:type="first"/>
          <w:headerReference r:id="rId5" w:type="default"/>
          <w:footerReference r:id="rId8" w:type="default"/>
          <w:headerReference r:id="rId6" w:type="even"/>
          <w:footerReference r:id="rId9" w:type="even"/>
          <w:pgSz w:w="11904" w:h="16841"/>
          <w:pgMar w:top="1440" w:right="1803" w:bottom="1440" w:left="1803" w:header="0" w:footer="0" w:gutter="0"/>
          <w:pgNumType w:fmt="upperRoman" w:start="1"/>
          <w:cols w:space="720" w:num="1"/>
          <w:docGrid w:type="lines" w:linePitch="312" w:charSpace="0"/>
        </w:sectPr>
      </w:pPr>
    </w:p>
    <w:p>
      <w:pPr>
        <w:pStyle w:val="38"/>
        <w:rPr>
          <w:rFonts w:cs="Times New Roman"/>
          <w:w w:val="100"/>
        </w:rPr>
      </w:pPr>
      <w:bookmarkStart w:id="8" w:name="_Toc112341732"/>
      <w:r>
        <w:rPr>
          <w:rFonts w:cs="Times New Roman"/>
          <w:w w:val="100"/>
        </w:rPr>
        <w:t>范围</w:t>
      </w:r>
      <w:bookmarkEnd w:id="2"/>
      <w:bookmarkEnd w:id="3"/>
      <w:bookmarkEnd w:id="4"/>
      <w:bookmarkEnd w:id="8"/>
    </w:p>
    <w:p>
      <w:pPr>
        <w:ind w:firstLine="420"/>
        <w:rPr>
          <w:rFonts w:cs="Times New Roman"/>
        </w:rPr>
        <w:sectPr>
          <w:pgSz w:w="11904" w:h="16841"/>
          <w:pgMar w:top="1440" w:right="1803" w:bottom="1440" w:left="1803" w:header="0" w:footer="0" w:gutter="0"/>
          <w:pgNumType w:start="1"/>
          <w:cols w:equalWidth="0" w:num="2">
            <w:col w:w="3150" w:space="210"/>
            <w:col w:w="4938"/>
          </w:cols>
          <w:docGrid w:type="lines" w:linePitch="312" w:charSpace="0"/>
        </w:sectPr>
      </w:pPr>
    </w:p>
    <w:p>
      <w:pPr>
        <w:ind w:firstLine="420"/>
      </w:pPr>
      <w:r>
        <w:t>本文件适用于额定工作压力不超过103.5 MPa(15000 psi )且额定工作温度不高于177</w:t>
      </w:r>
      <w:r>
        <w:rPr>
          <w:rFonts w:hint="eastAsia" w:ascii="宋体" w:hAnsi="宋体" w:cs="宋体"/>
        </w:rPr>
        <w:t>℃</w:t>
      </w:r>
      <w:r>
        <w:t xml:space="preserve">(350 </w:t>
      </w:r>
      <w:r>
        <w:rPr>
          <w:rFonts w:hint="eastAsia" w:ascii="宋体" w:hAnsi="宋体" w:cs="宋体"/>
        </w:rPr>
        <w:t>℉</w:t>
      </w:r>
      <w:r>
        <w:t>)的水下井口装置设计、材料、制造、试验、标识、运输及存贮。</w:t>
      </w:r>
    </w:p>
    <w:p>
      <w:pPr>
        <w:pStyle w:val="38"/>
        <w:rPr>
          <w:rFonts w:cs="Times New Roman"/>
          <w:w w:val="100"/>
          <w:sz w:val="20"/>
        </w:rPr>
      </w:pPr>
      <w:bookmarkStart w:id="9" w:name="_Toc95911788"/>
      <w:bookmarkStart w:id="10" w:name="_Toc95909845"/>
      <w:bookmarkStart w:id="11" w:name="_Toc95910587"/>
      <w:bookmarkStart w:id="12" w:name="_Toc112341733"/>
      <w:r>
        <w:rPr>
          <w:rFonts w:cs="Times New Roman"/>
          <w:w w:val="100"/>
        </w:rPr>
        <w:t>规范性引用文件</w:t>
      </w:r>
      <w:bookmarkEnd w:id="9"/>
      <w:bookmarkEnd w:id="10"/>
      <w:bookmarkEnd w:id="11"/>
      <w:bookmarkEnd w:id="12"/>
    </w:p>
    <w:p>
      <w:pPr>
        <w:ind w:firstLine="420"/>
        <w:rPr>
          <w:rFonts w:cs="Times New Roman"/>
        </w:rPr>
      </w:pPr>
      <w:r>
        <w:rPr>
          <w:rFonts w:cs="Times New Roman"/>
        </w:rPr>
        <w:t>下列引用文件对于本文件的应用必不可少。对于未注明日期的，适用最新版本引用文件</w:t>
      </w:r>
      <w:r>
        <w:rPr>
          <w:rFonts w:hint="eastAsia" w:cs="Times New Roman"/>
        </w:rPr>
        <w:t>。</w:t>
      </w:r>
    </w:p>
    <w:p>
      <w:pPr>
        <w:ind w:firstLine="420"/>
        <w:rPr>
          <w:rFonts w:cs="Times New Roman"/>
          <w:lang w:bidi="ar"/>
        </w:rPr>
      </w:pPr>
      <w:r>
        <w:rPr>
          <w:rFonts w:cs="Times New Roman"/>
        </w:rPr>
        <w:t>GB/T 21412.4 《石油天然气工业 水下生产系统设计与操作 第四部分：水下井口装置和采油树设备》</w:t>
      </w:r>
    </w:p>
    <w:p>
      <w:pPr>
        <w:ind w:firstLine="420"/>
      </w:pPr>
      <w:r>
        <w:rPr>
          <w:rFonts w:cs="Times New Roman"/>
          <w:lang w:bidi="ar"/>
        </w:rPr>
        <w:t xml:space="preserve">ISO 6506 </w:t>
      </w:r>
      <w:r>
        <w:rPr>
          <w:rFonts w:hint="eastAsia" w:cs="宋体"/>
          <w:lang w:bidi="ar"/>
        </w:rPr>
        <w:t>金属材料的布氏硬度试验</w:t>
      </w:r>
      <w:r>
        <w:rPr>
          <w:rFonts w:cs="Times New Roman"/>
          <w:lang w:bidi="ar"/>
        </w:rPr>
        <w:t>(Metallic materials — Brinell hardness test)</w:t>
      </w:r>
    </w:p>
    <w:p>
      <w:pPr>
        <w:ind w:firstLine="420"/>
      </w:pPr>
      <w:r>
        <w:rPr>
          <w:rFonts w:cs="Times New Roman"/>
          <w:lang w:bidi="ar"/>
        </w:rPr>
        <w:t xml:space="preserve">ISO 6508 </w:t>
      </w:r>
      <w:r>
        <w:rPr>
          <w:rFonts w:hint="eastAsia" w:cs="宋体"/>
          <w:lang w:bidi="ar"/>
        </w:rPr>
        <w:t>金属材料洛氏硬度试验</w:t>
      </w:r>
      <w:r>
        <w:rPr>
          <w:rFonts w:cs="Times New Roman"/>
          <w:lang w:bidi="ar"/>
        </w:rPr>
        <w:t>(Metallic materials — Rockwell hardness test)</w:t>
      </w:r>
    </w:p>
    <w:p>
      <w:pPr>
        <w:ind w:firstLine="420"/>
      </w:pPr>
      <w:r>
        <w:rPr>
          <w:rFonts w:cs="Times New Roman"/>
          <w:lang w:bidi="ar"/>
        </w:rPr>
        <w:t xml:space="preserve">ISO 6892-1 </w:t>
      </w:r>
      <w:r>
        <w:rPr>
          <w:rFonts w:hint="eastAsia" w:cs="宋体"/>
          <w:lang w:bidi="ar"/>
        </w:rPr>
        <w:t>金属材料</w:t>
      </w:r>
      <w:r>
        <w:rPr>
          <w:rFonts w:cs="Times New Roman"/>
          <w:lang w:bidi="ar"/>
        </w:rPr>
        <w:t>-</w:t>
      </w:r>
      <w:r>
        <w:rPr>
          <w:rFonts w:hint="eastAsia" w:cs="宋体"/>
          <w:lang w:bidi="ar"/>
        </w:rPr>
        <w:t>拉伸试验</w:t>
      </w:r>
      <w:r>
        <w:rPr>
          <w:rFonts w:cs="Times New Roman"/>
          <w:lang w:bidi="ar"/>
        </w:rPr>
        <w:t>-</w:t>
      </w:r>
      <w:r>
        <w:rPr>
          <w:rFonts w:hint="eastAsia" w:cs="宋体"/>
          <w:lang w:bidi="ar"/>
        </w:rPr>
        <w:t>第</w:t>
      </w:r>
      <w:r>
        <w:rPr>
          <w:rFonts w:cs="Times New Roman"/>
          <w:lang w:bidi="ar"/>
        </w:rPr>
        <w:t>1</w:t>
      </w:r>
      <w:r>
        <w:rPr>
          <w:rFonts w:hint="eastAsia" w:cs="宋体"/>
          <w:lang w:bidi="ar"/>
        </w:rPr>
        <w:t>部分：室温试验方法</w:t>
      </w:r>
      <w:r>
        <w:rPr>
          <w:rFonts w:cs="Times New Roman"/>
          <w:lang w:bidi="ar"/>
        </w:rPr>
        <w:t>(Metallic materials — Tensile testing —Part 1: Method of test at room temperature)</w:t>
      </w:r>
    </w:p>
    <w:p>
      <w:pPr>
        <w:ind w:firstLine="420"/>
      </w:pPr>
      <w:r>
        <w:rPr>
          <w:rFonts w:cs="Times New Roman"/>
          <w:lang w:bidi="ar"/>
        </w:rPr>
        <w:t xml:space="preserve">ISO 10423 </w:t>
      </w:r>
      <w:r>
        <w:rPr>
          <w:rFonts w:hint="eastAsia" w:cs="宋体"/>
          <w:lang w:bidi="ar"/>
        </w:rPr>
        <w:t>石油天然气工业—钻井和采油设备—井口装置和采油树设备规范</w:t>
      </w:r>
      <w:r>
        <w:rPr>
          <w:rFonts w:cs="Times New Roman"/>
          <w:lang w:bidi="ar"/>
        </w:rPr>
        <w:t>(Petroleum and Natural Gas Industries — Drilling and Production Equipment — Wellhead and Christmas Tree Equipment)</w:t>
      </w:r>
    </w:p>
    <w:p>
      <w:pPr>
        <w:ind w:firstLine="420"/>
      </w:pPr>
      <w:r>
        <w:rPr>
          <w:rFonts w:cs="Times New Roman"/>
          <w:lang w:bidi="ar"/>
        </w:rPr>
        <w:t xml:space="preserve">ISO 13628-1 </w:t>
      </w:r>
      <w:r>
        <w:rPr>
          <w:rFonts w:hint="eastAsia" w:cs="宋体"/>
          <w:lang w:bidi="ar"/>
        </w:rPr>
        <w:t>石油天然气工业—水下生产系统的设计与操作—第</w:t>
      </w:r>
      <w:r>
        <w:rPr>
          <w:rFonts w:cs="Times New Roman"/>
          <w:lang w:bidi="ar"/>
        </w:rPr>
        <w:t>1</w:t>
      </w:r>
      <w:r>
        <w:rPr>
          <w:rFonts w:hint="eastAsia" w:cs="宋体"/>
          <w:lang w:bidi="ar"/>
        </w:rPr>
        <w:t>部分：总要求和建议</w:t>
      </w:r>
      <w:r>
        <w:rPr>
          <w:rFonts w:cs="Times New Roman"/>
          <w:lang w:bidi="ar"/>
        </w:rPr>
        <w:t>(Petroleum and natural gas industries — Design and operation of subsea production systems — Part 1: General requirements and recommendations)</w:t>
      </w:r>
    </w:p>
    <w:p>
      <w:pPr>
        <w:ind w:firstLine="420"/>
      </w:pPr>
      <w:r>
        <w:rPr>
          <w:rFonts w:cs="Times New Roman"/>
          <w:lang w:bidi="ar"/>
        </w:rPr>
        <w:t xml:space="preserve">ISO 13628-15 </w:t>
      </w:r>
      <w:r>
        <w:rPr>
          <w:rFonts w:hint="eastAsia" w:cs="宋体"/>
          <w:lang w:bidi="ar"/>
        </w:rPr>
        <w:t>石油和天然气工业</w:t>
      </w:r>
      <w:r>
        <w:rPr>
          <w:rFonts w:cs="Times New Roman"/>
          <w:lang w:bidi="ar"/>
        </w:rPr>
        <w:t>.</w:t>
      </w:r>
      <w:r>
        <w:rPr>
          <w:rFonts w:hint="eastAsia" w:cs="宋体"/>
          <w:lang w:bidi="ar"/>
        </w:rPr>
        <w:t>水下生产系统的设计和操作</w:t>
      </w:r>
      <w:r>
        <w:rPr>
          <w:rFonts w:cs="Times New Roman"/>
          <w:lang w:bidi="ar"/>
        </w:rPr>
        <w:t>.</w:t>
      </w:r>
      <w:r>
        <w:rPr>
          <w:rFonts w:hint="eastAsia" w:cs="宋体"/>
          <w:lang w:bidi="ar"/>
        </w:rPr>
        <w:t>第</w:t>
      </w:r>
      <w:r>
        <w:rPr>
          <w:rFonts w:cs="Times New Roman"/>
          <w:lang w:bidi="ar"/>
        </w:rPr>
        <w:t>15</w:t>
      </w:r>
      <w:r>
        <w:rPr>
          <w:rFonts w:hint="eastAsia" w:cs="宋体"/>
          <w:lang w:bidi="ar"/>
        </w:rPr>
        <w:t>部分</w:t>
      </w:r>
      <w:r>
        <w:rPr>
          <w:rFonts w:cs="Times New Roman"/>
          <w:lang w:bidi="ar"/>
        </w:rPr>
        <w:t>:</w:t>
      </w:r>
      <w:r>
        <w:rPr>
          <w:rFonts w:hint="eastAsia" w:cs="宋体"/>
          <w:lang w:bidi="ar"/>
        </w:rPr>
        <w:t>水下结构和歧管</w:t>
      </w:r>
      <w:r>
        <w:rPr>
          <w:rFonts w:hint="eastAsia" w:cs="Times New Roman"/>
          <w:lang w:bidi="ar"/>
        </w:rPr>
        <w:t>（</w:t>
      </w:r>
      <w:r>
        <w:rPr>
          <w:rFonts w:cs="Times New Roman"/>
          <w:lang w:bidi="ar"/>
        </w:rPr>
        <w:t>Petroleum and natural gas industries — Design and operation of subsea production systems — Part 15: Subsea structures and manifolds</w:t>
      </w:r>
      <w:r>
        <w:rPr>
          <w:rFonts w:hint="eastAsia" w:cs="Times New Roman"/>
          <w:lang w:bidi="ar"/>
        </w:rPr>
        <w:t>）</w:t>
      </w:r>
    </w:p>
    <w:p>
      <w:pPr>
        <w:ind w:firstLine="420"/>
      </w:pPr>
      <w:r>
        <w:rPr>
          <w:rFonts w:cs="Times New Roman"/>
          <w:lang w:bidi="ar"/>
        </w:rPr>
        <w:t xml:space="preserve">ISO 15156 </w:t>
      </w:r>
      <w:r>
        <w:rPr>
          <w:rFonts w:hint="eastAsia" w:cs="宋体"/>
          <w:lang w:bidi="ar"/>
        </w:rPr>
        <w:t>石油天然气工业—油、气生产中含硫化氢（</w:t>
      </w:r>
      <w:r>
        <w:rPr>
          <w:rFonts w:cs="Times New Roman"/>
          <w:lang w:bidi="ar"/>
        </w:rPr>
        <w:t>H2S</w:t>
      </w:r>
      <w:r>
        <w:rPr>
          <w:rFonts w:hint="eastAsia" w:cs="宋体"/>
          <w:lang w:bidi="ar"/>
        </w:rPr>
        <w:t>）环境下使用的材料</w:t>
      </w:r>
      <w:r>
        <w:rPr>
          <w:rFonts w:cs="Times New Roman"/>
          <w:lang w:bidi="ar"/>
        </w:rPr>
        <w:t>(Petroleum And Natural Gas Industries Materials For Use In H2S-Containing Environments In Oil And Gas Production)</w:t>
      </w:r>
    </w:p>
    <w:p>
      <w:pPr>
        <w:ind w:firstLine="420"/>
      </w:pPr>
      <w:r>
        <w:rPr>
          <w:rFonts w:cs="Times New Roman"/>
          <w:lang w:bidi="ar"/>
        </w:rPr>
        <w:t xml:space="preserve">ISO15614-7 </w:t>
      </w:r>
      <w:r>
        <w:rPr>
          <w:rFonts w:hint="eastAsia" w:cs="宋体"/>
          <w:lang w:bidi="ar"/>
        </w:rPr>
        <w:t>金属材料焊接工艺规程及评定—第</w:t>
      </w:r>
      <w:r>
        <w:rPr>
          <w:rFonts w:cs="Times New Roman"/>
          <w:lang w:bidi="ar"/>
        </w:rPr>
        <w:t>7</w:t>
      </w:r>
      <w:r>
        <w:rPr>
          <w:rFonts w:hint="eastAsia" w:cs="宋体"/>
          <w:lang w:bidi="ar"/>
        </w:rPr>
        <w:t>部分：堆焊</w:t>
      </w:r>
      <w:r>
        <w:rPr>
          <w:rFonts w:cs="Times New Roman"/>
          <w:lang w:bidi="ar"/>
        </w:rPr>
        <w:t>(Specification and Qualification of Welding Procedures for Metallic Materials—Welding Procedure Test—Part7:Overlay Welding.)</w:t>
      </w:r>
    </w:p>
    <w:p>
      <w:pPr>
        <w:ind w:firstLine="420"/>
      </w:pPr>
      <w:r>
        <w:rPr>
          <w:rFonts w:cs="Times New Roman"/>
          <w:lang w:bidi="ar"/>
        </w:rPr>
        <w:t>ASME</w:t>
      </w:r>
      <w:r>
        <w:rPr>
          <w:rFonts w:hint="eastAsia" w:cs="宋体"/>
          <w:lang w:bidi="ar"/>
        </w:rPr>
        <w:t>锅炉及压力容器规范</w:t>
      </w:r>
      <w:r>
        <w:rPr>
          <w:rFonts w:cs="Times New Roman"/>
          <w:lang w:bidi="ar"/>
        </w:rPr>
        <w:t xml:space="preserve"> </w:t>
      </w:r>
      <w:r>
        <w:rPr>
          <w:rFonts w:hint="eastAsia" w:cs="宋体"/>
          <w:lang w:bidi="ar"/>
        </w:rPr>
        <w:t>第</w:t>
      </w:r>
      <w:r>
        <w:rPr>
          <w:rFonts w:cs="Times New Roman"/>
          <w:lang w:bidi="ar"/>
        </w:rPr>
        <w:t>IX</w:t>
      </w:r>
      <w:r>
        <w:rPr>
          <w:rFonts w:hint="eastAsia" w:cs="宋体"/>
          <w:lang w:bidi="ar"/>
        </w:rPr>
        <w:t>卷</w:t>
      </w:r>
      <w:r>
        <w:rPr>
          <w:rFonts w:cs="Times New Roman"/>
          <w:lang w:bidi="ar"/>
        </w:rPr>
        <w:t xml:space="preserve"> </w:t>
      </w:r>
      <w:r>
        <w:rPr>
          <w:rFonts w:hint="eastAsia" w:cs="宋体"/>
          <w:lang w:bidi="ar"/>
        </w:rPr>
        <w:t>焊接、钎接和粘接评定</w:t>
      </w:r>
      <w:r>
        <w:rPr>
          <w:rFonts w:cs="Times New Roman"/>
          <w:lang w:bidi="ar"/>
        </w:rPr>
        <w:t>(Qualification Standard for Welding, Brazing, and Fusing Procedures;)</w:t>
      </w:r>
    </w:p>
    <w:p>
      <w:pPr>
        <w:ind w:firstLine="420"/>
      </w:pPr>
      <w:r>
        <w:rPr>
          <w:rFonts w:cs="Times New Roman"/>
          <w:lang w:bidi="ar"/>
        </w:rPr>
        <w:t xml:space="preserve">ASTM A 370 </w:t>
      </w:r>
      <w:r>
        <w:rPr>
          <w:rFonts w:hint="eastAsia" w:cs="宋体"/>
          <w:lang w:bidi="ar"/>
        </w:rPr>
        <w:t>钢制品机械性能</w:t>
      </w:r>
      <w:r>
        <w:rPr>
          <w:rFonts w:cs="宋体"/>
          <w:lang w:bidi="ar"/>
        </w:rPr>
        <w:t>试验</w:t>
      </w:r>
      <w:r>
        <w:rPr>
          <w:rFonts w:hint="eastAsia" w:cs="宋体"/>
          <w:lang w:bidi="ar"/>
        </w:rPr>
        <w:t>的方法和定义</w:t>
      </w:r>
      <w:r>
        <w:rPr>
          <w:rFonts w:cs="Times New Roman"/>
          <w:lang w:bidi="ar"/>
        </w:rPr>
        <w:t>(Standard Test Methods and Definitions for Mechanical Testing of Steel Products)</w:t>
      </w:r>
    </w:p>
    <w:p>
      <w:pPr>
        <w:ind w:firstLine="420"/>
      </w:pPr>
      <w:r>
        <w:rPr>
          <w:rFonts w:cs="Times New Roman"/>
          <w:lang w:bidi="ar"/>
        </w:rPr>
        <w:t xml:space="preserve">ASTM A751 </w:t>
      </w:r>
      <w:r>
        <w:rPr>
          <w:rFonts w:hint="eastAsia" w:cs="宋体"/>
          <w:lang w:bidi="ar"/>
        </w:rPr>
        <w:t>钢制品化学分析标准试验方法、实验操作</w:t>
      </w:r>
      <w:r>
        <w:rPr>
          <w:rFonts w:cs="Times New Roman"/>
          <w:lang w:bidi="ar"/>
        </w:rPr>
        <w:t xml:space="preserve"> (Standard Test Methods and Practices for Chemical Analysis of Steel Products)</w:t>
      </w:r>
    </w:p>
    <w:p>
      <w:pPr>
        <w:ind w:firstLine="420"/>
      </w:pPr>
      <w:r>
        <w:rPr>
          <w:rFonts w:cs="Times New Roman"/>
          <w:lang w:bidi="ar"/>
        </w:rPr>
        <w:t xml:space="preserve">ASTM A788 </w:t>
      </w:r>
      <w:r>
        <w:rPr>
          <w:rFonts w:hint="eastAsia" w:cs="宋体"/>
          <w:lang w:bidi="ar"/>
        </w:rPr>
        <w:t>钢锻件通用技术要求</w:t>
      </w:r>
      <w:r>
        <w:rPr>
          <w:rFonts w:cs="Times New Roman"/>
          <w:lang w:bidi="ar"/>
        </w:rPr>
        <w:t>(Standard Specification for Steel Forgings, General Requirements)</w:t>
      </w:r>
    </w:p>
    <w:p>
      <w:pPr>
        <w:ind w:firstLine="420"/>
      </w:pPr>
      <w:r>
        <w:rPr>
          <w:rFonts w:cs="Times New Roman"/>
          <w:lang w:bidi="ar"/>
        </w:rPr>
        <w:t xml:space="preserve">ASTM D 1418 </w:t>
      </w:r>
      <w:r>
        <w:rPr>
          <w:rFonts w:hint="eastAsia" w:cs="宋体"/>
          <w:lang w:bidi="ar"/>
        </w:rPr>
        <w:t>橡胶及乳胶标准规程一命名规程</w:t>
      </w:r>
      <w:r>
        <w:rPr>
          <w:rFonts w:cs="Times New Roman"/>
          <w:lang w:bidi="ar"/>
        </w:rPr>
        <w:t>(Standard Practice for Rubber and Rubber Latices)</w:t>
      </w:r>
    </w:p>
    <w:p>
      <w:pPr>
        <w:ind w:firstLine="420"/>
      </w:pPr>
      <w:r>
        <w:rPr>
          <w:rFonts w:cs="Times New Roman"/>
          <w:lang w:bidi="ar"/>
        </w:rPr>
        <w:t xml:space="preserve">ASTM E10 </w:t>
      </w:r>
      <w:r>
        <w:rPr>
          <w:rFonts w:hint="eastAsia" w:cs="宋体"/>
          <w:lang w:bidi="ar"/>
        </w:rPr>
        <w:t>金属材料布氏硬度的标准试验方法</w:t>
      </w:r>
      <w:r>
        <w:rPr>
          <w:rFonts w:cs="Times New Roman"/>
          <w:lang w:bidi="ar"/>
        </w:rPr>
        <w:t>(Stand Test Method for Brinell Hardness of Metallic Meterials)</w:t>
      </w:r>
    </w:p>
    <w:p>
      <w:pPr>
        <w:ind w:firstLine="420"/>
      </w:pPr>
      <w:r>
        <w:rPr>
          <w:rFonts w:cs="Times New Roman"/>
          <w:lang w:bidi="ar"/>
        </w:rPr>
        <w:t xml:space="preserve">ASTM E18 </w:t>
      </w:r>
      <w:r>
        <w:rPr>
          <w:rFonts w:hint="eastAsia" w:cs="宋体"/>
          <w:lang w:bidi="ar"/>
        </w:rPr>
        <w:t>金属材料洛氏硬度的标准试验方法</w:t>
      </w:r>
      <w:r>
        <w:rPr>
          <w:rFonts w:cs="Times New Roman"/>
          <w:lang w:bidi="ar"/>
        </w:rPr>
        <w:t>(Stand Test Method for Rockwell Hardness of Metallic Meterials)</w:t>
      </w:r>
    </w:p>
    <w:p>
      <w:pPr>
        <w:ind w:firstLine="420"/>
      </w:pPr>
      <w:r>
        <w:rPr>
          <w:rFonts w:cs="Times New Roman"/>
          <w:lang w:bidi="ar"/>
        </w:rPr>
        <w:t xml:space="preserve">ASTM E45 </w:t>
      </w:r>
      <w:r>
        <w:rPr>
          <w:rFonts w:hint="eastAsia" w:cs="宋体"/>
          <w:lang w:bidi="ar"/>
        </w:rPr>
        <w:t>钢中夹杂物含量的测定—标准检验法</w:t>
      </w:r>
      <w:r>
        <w:rPr>
          <w:rFonts w:cs="Times New Roman"/>
          <w:lang w:bidi="ar"/>
        </w:rPr>
        <w:t>(Standard Test Methods for Determining the Inclusion Content of Steel)</w:t>
      </w:r>
    </w:p>
    <w:p>
      <w:pPr>
        <w:ind w:firstLine="420"/>
      </w:pPr>
      <w:r>
        <w:rPr>
          <w:rFonts w:cs="Times New Roman"/>
          <w:lang w:bidi="ar"/>
        </w:rPr>
        <w:t xml:space="preserve">ASTM E110 </w:t>
      </w:r>
      <w:r>
        <w:rPr>
          <w:rFonts w:hint="eastAsia" w:cs="宋体"/>
          <w:lang w:bidi="ar"/>
        </w:rPr>
        <w:t>便携式硬度计测量金属材料硬度的试验方法</w:t>
      </w:r>
      <w:r>
        <w:rPr>
          <w:rFonts w:cs="Times New Roman"/>
          <w:lang w:bidi="ar"/>
        </w:rPr>
        <w:t>(Stand Test Method for Indentation Hardness of Metallic Meterials by Portable Hardness Testers)</w:t>
      </w:r>
    </w:p>
    <w:p>
      <w:pPr>
        <w:ind w:firstLine="420"/>
      </w:pPr>
      <w:r>
        <w:rPr>
          <w:rFonts w:cs="Times New Roman"/>
          <w:lang w:bidi="ar"/>
        </w:rPr>
        <w:t xml:space="preserve">ASTM E112 </w:t>
      </w:r>
      <w:r>
        <w:rPr>
          <w:rFonts w:hint="eastAsia" w:cs="宋体"/>
          <w:lang w:bidi="ar"/>
        </w:rPr>
        <w:t>平均晶粒度测定的标准试验方法</w:t>
      </w:r>
      <w:r>
        <w:rPr>
          <w:rFonts w:cs="Times New Roman"/>
          <w:lang w:bidi="ar"/>
        </w:rPr>
        <w:t>(Standard Test Methods for Determining Average Grain Size)</w:t>
      </w:r>
    </w:p>
    <w:p>
      <w:pPr>
        <w:ind w:firstLine="420"/>
      </w:pPr>
      <w:r>
        <w:rPr>
          <w:rFonts w:cs="Times New Roman"/>
          <w:lang w:bidi="ar"/>
        </w:rPr>
        <w:t xml:space="preserve">ASTM E381 </w:t>
      </w:r>
      <w:r>
        <w:rPr>
          <w:rFonts w:hint="eastAsia" w:cs="宋体"/>
          <w:lang w:bidi="ar"/>
        </w:rPr>
        <w:t>钢棒、</w:t>
      </w:r>
      <w:r>
        <w:rPr>
          <w:rFonts w:cs="Times New Roman"/>
          <w:lang w:bidi="ar"/>
        </w:rPr>
        <w:t xml:space="preserve"> </w:t>
      </w:r>
      <w:r>
        <w:rPr>
          <w:rFonts w:hint="eastAsia" w:cs="宋体"/>
          <w:lang w:bidi="ar"/>
        </w:rPr>
        <w:t>钢坯、</w:t>
      </w:r>
      <w:r>
        <w:rPr>
          <w:rFonts w:cs="Times New Roman"/>
          <w:lang w:bidi="ar"/>
        </w:rPr>
        <w:t xml:space="preserve"> </w:t>
      </w:r>
      <w:r>
        <w:rPr>
          <w:rFonts w:hint="eastAsia" w:cs="宋体"/>
          <w:lang w:bidi="ar"/>
        </w:rPr>
        <w:t>初轧坯及锻件的宏观浸蚀的标准方法</w:t>
      </w:r>
      <w:r>
        <w:rPr>
          <w:rFonts w:cs="Times New Roman"/>
          <w:lang w:bidi="ar"/>
        </w:rPr>
        <w:t>(Standard Method of MacroetchTesting Steel Bars, Billets, Blooms, and Forgings)</w:t>
      </w:r>
    </w:p>
    <w:p>
      <w:pPr>
        <w:ind w:firstLine="420"/>
      </w:pPr>
      <w:r>
        <w:rPr>
          <w:rFonts w:cs="Times New Roman"/>
          <w:lang w:bidi="ar"/>
        </w:rPr>
        <w:t xml:space="preserve">AWS D1.1/D1.1M </w:t>
      </w:r>
      <w:r>
        <w:rPr>
          <w:rFonts w:hint="eastAsia" w:cs="宋体"/>
          <w:lang w:bidi="ar"/>
        </w:rPr>
        <w:t>钢结构焊接规范</w:t>
      </w:r>
      <w:r>
        <w:rPr>
          <w:rFonts w:cs="Times New Roman"/>
          <w:lang w:bidi="ar"/>
        </w:rPr>
        <w:t>(Structural Welding Code-Steel)</w:t>
      </w:r>
    </w:p>
    <w:p>
      <w:pPr>
        <w:ind w:firstLine="420"/>
      </w:pPr>
      <w:r>
        <w:rPr>
          <w:rFonts w:cs="Times New Roman"/>
          <w:lang w:bidi="ar"/>
        </w:rPr>
        <w:t xml:space="preserve">DNV RP 0034 </w:t>
      </w:r>
      <w:r>
        <w:rPr>
          <w:rFonts w:hint="eastAsia" w:cs="宋体"/>
          <w:lang w:bidi="ar"/>
        </w:rPr>
        <w:t>水下油气装备锻件</w:t>
      </w:r>
      <w:r>
        <w:rPr>
          <w:rFonts w:cs="Times New Roman"/>
          <w:lang w:bidi="ar"/>
        </w:rPr>
        <w:t>(Steel Forgings For Subsea Applications)</w:t>
      </w:r>
    </w:p>
    <w:p>
      <w:pPr>
        <w:ind w:firstLine="420"/>
      </w:pPr>
      <w:r>
        <w:rPr>
          <w:rFonts w:cs="Times New Roman"/>
          <w:lang w:bidi="ar"/>
        </w:rPr>
        <w:t xml:space="preserve">DNV RP B401 </w:t>
      </w:r>
      <w:r>
        <w:rPr>
          <w:rFonts w:hint="eastAsia" w:cs="宋体"/>
          <w:lang w:bidi="ar"/>
        </w:rPr>
        <w:t>阴极保护设计</w:t>
      </w:r>
      <w:r>
        <w:rPr>
          <w:rFonts w:cs="Times New Roman"/>
          <w:lang w:bidi="ar"/>
        </w:rPr>
        <w:t>(Recommended Practice For Cathodic Protection Design)</w:t>
      </w:r>
    </w:p>
    <w:p>
      <w:pPr>
        <w:ind w:firstLine="420"/>
      </w:pPr>
      <w:r>
        <w:rPr>
          <w:rFonts w:cs="Times New Roman"/>
          <w:lang w:bidi="ar"/>
        </w:rPr>
        <w:t xml:space="preserve">NACE SP0176 </w:t>
      </w:r>
      <w:r>
        <w:rPr>
          <w:rFonts w:hint="eastAsia" w:cs="宋体"/>
          <w:lang w:bidi="ar"/>
        </w:rPr>
        <w:t>石油生产相关的海上永久安装钢制结构件水下区域腐蚀控制</w:t>
      </w:r>
      <w:r>
        <w:rPr>
          <w:rFonts w:cs="Times New Roman"/>
          <w:lang w:bidi="ar"/>
        </w:rPr>
        <w:t>(Standard Practice Corrosion Control of Submerged Areas of Permanently Installed Steel Offshore Structures Associated with Petroleum Production)</w:t>
      </w:r>
    </w:p>
    <w:p>
      <w:pPr>
        <w:pStyle w:val="38"/>
        <w:rPr>
          <w:rFonts w:cs="Times New Roman"/>
          <w:w w:val="100"/>
        </w:rPr>
      </w:pPr>
      <w:bookmarkStart w:id="13" w:name="_Toc95910588"/>
      <w:bookmarkStart w:id="14" w:name="_Toc112341734"/>
      <w:bookmarkStart w:id="15" w:name="_Toc95909846"/>
      <w:bookmarkStart w:id="16" w:name="_Toc95911789"/>
      <w:r>
        <w:rPr>
          <w:rFonts w:cs="Times New Roman"/>
          <w:w w:val="100"/>
        </w:rPr>
        <w:t>术语、定义、缩略语和符号</w:t>
      </w:r>
      <w:bookmarkEnd w:id="13"/>
      <w:bookmarkEnd w:id="14"/>
      <w:bookmarkEnd w:id="15"/>
      <w:bookmarkEnd w:id="16"/>
    </w:p>
    <w:p>
      <w:pPr>
        <w:pStyle w:val="39"/>
      </w:pPr>
      <w:bookmarkStart w:id="17" w:name="_Toc95911790"/>
      <w:bookmarkStart w:id="18" w:name="_Toc95910589"/>
      <w:bookmarkStart w:id="19" w:name="_Toc112341735"/>
      <w:bookmarkStart w:id="20" w:name="_Toc95909847"/>
      <w:r>
        <w:t>术语和定义</w:t>
      </w:r>
      <w:bookmarkEnd w:id="17"/>
      <w:bookmarkEnd w:id="18"/>
      <w:bookmarkEnd w:id="19"/>
      <w:bookmarkEnd w:id="20"/>
    </w:p>
    <w:p>
      <w:pPr>
        <w:ind w:firstLine="420"/>
      </w:pPr>
      <w:r>
        <w:rPr>
          <w:rFonts w:cs="Times New Roman"/>
        </w:rPr>
        <w:t>下列术语和定义适用于本文件。</w:t>
      </w:r>
      <w:bookmarkStart w:id="21" w:name="_Toc95911800"/>
      <w:bookmarkEnd w:id="21"/>
      <w:bookmarkStart w:id="22" w:name="_Toc95911798"/>
      <w:bookmarkEnd w:id="22"/>
      <w:bookmarkStart w:id="23" w:name="2"/>
      <w:bookmarkEnd w:id="23"/>
      <w:bookmarkStart w:id="24" w:name="_Toc95911799"/>
      <w:bookmarkEnd w:id="24"/>
    </w:p>
    <w:p>
      <w:pPr>
        <w:pStyle w:val="40"/>
      </w:pPr>
    </w:p>
    <w:p>
      <w:pPr>
        <w:pStyle w:val="88"/>
      </w:pPr>
      <w:r>
        <w:t xml:space="preserve">额定工作压力 </w:t>
      </w:r>
      <w:r>
        <w:rPr>
          <w:spacing w:val="-1"/>
        </w:rPr>
        <w:t>rated</w:t>
      </w:r>
      <w:r>
        <w:t xml:space="preserve"> working pressure（RWP）</w:t>
      </w:r>
    </w:p>
    <w:p>
      <w:pPr>
        <w:ind w:firstLine="420"/>
        <w:rPr>
          <w:rFonts w:cs="Times New Roman"/>
        </w:rPr>
      </w:pPr>
      <w:r>
        <w:rPr>
          <w:rFonts w:cs="Times New Roman"/>
        </w:rPr>
        <w:t>装置所能承受和/或控制的最高内部压力。</w:t>
      </w:r>
    </w:p>
    <w:p>
      <w:pPr>
        <w:pStyle w:val="40"/>
      </w:pPr>
    </w:p>
    <w:p>
      <w:pPr>
        <w:pStyle w:val="88"/>
      </w:pPr>
      <w:r>
        <w:t>承压件 pressure-containing parts</w:t>
      </w:r>
    </w:p>
    <w:p>
      <w:pPr>
        <w:ind w:firstLine="420"/>
        <w:rPr>
          <w:rFonts w:cs="Times New Roman"/>
        </w:rPr>
      </w:pPr>
      <w:r>
        <w:rPr>
          <w:rFonts w:cs="Times New Roman"/>
        </w:rPr>
        <w:t>该部件的预期功能丧失时，会导致其滞留的流体向环境泄漏。</w:t>
      </w:r>
    </w:p>
    <w:p>
      <w:pPr>
        <w:pStyle w:val="40"/>
      </w:pPr>
      <w:bookmarkStart w:id="25" w:name="_Toc95911804"/>
      <w:bookmarkEnd w:id="25"/>
    </w:p>
    <w:p>
      <w:pPr>
        <w:pStyle w:val="88"/>
      </w:pPr>
      <w:r>
        <w:t xml:space="preserve">控压件 pressure </w:t>
      </w:r>
      <w:r>
        <w:rPr>
          <w:spacing w:val="-2"/>
        </w:rPr>
        <w:t>controlling</w:t>
      </w:r>
      <w:r>
        <w:t xml:space="preserve"> parts</w:t>
      </w:r>
    </w:p>
    <w:p>
      <w:pPr>
        <w:ind w:firstLine="420"/>
        <w:rPr>
          <w:rFonts w:cs="Times New Roman"/>
        </w:rPr>
      </w:pPr>
      <w:r>
        <w:rPr>
          <w:rFonts w:cs="Times New Roman"/>
        </w:rPr>
        <w:t>用来控制或调节承压流体流动的部件。</w:t>
      </w:r>
    </w:p>
    <w:p>
      <w:pPr>
        <w:pStyle w:val="40"/>
      </w:pPr>
    </w:p>
    <w:p>
      <w:pPr>
        <w:pStyle w:val="88"/>
      </w:pPr>
      <w:r>
        <w:t>永久导向基座 permanent guidebase</w:t>
      </w:r>
    </w:p>
    <w:p>
      <w:pPr>
        <w:ind w:firstLine="420"/>
        <w:rPr>
          <w:rFonts w:cs="Times New Roman"/>
        </w:rPr>
      </w:pPr>
      <w:r>
        <w:rPr>
          <w:rFonts w:cs="Times New Roman"/>
        </w:rPr>
        <w:t>具有方位导向功能的部件，为水下井口部件或上部装置安装提供导向。</w:t>
      </w:r>
    </w:p>
    <w:p>
      <w:pPr>
        <w:pStyle w:val="40"/>
      </w:pPr>
      <w:bookmarkStart w:id="26" w:name="_Toc95911793"/>
      <w:bookmarkEnd w:id="26"/>
      <w:bookmarkStart w:id="27" w:name="_Toc95911792"/>
      <w:bookmarkEnd w:id="27"/>
    </w:p>
    <w:p>
      <w:pPr>
        <w:pStyle w:val="88"/>
      </w:pPr>
      <w:r>
        <w:t>导管头 conductor housing</w:t>
      </w:r>
    </w:p>
    <w:p>
      <w:pPr>
        <w:ind w:firstLine="420"/>
        <w:rPr>
          <w:rFonts w:cs="Times New Roman"/>
        </w:rPr>
      </w:pPr>
      <w:r>
        <w:rPr>
          <w:rFonts w:cs="Times New Roman"/>
        </w:rPr>
        <w:t>在第一根套管柱的顶部形成水下井口装置的基础，并为</w:t>
      </w:r>
      <w:r>
        <w:t>导向基座</w:t>
      </w:r>
      <w:r>
        <w:rPr>
          <w:rFonts w:cs="Times New Roman"/>
        </w:rPr>
        <w:t>提供连接。</w:t>
      </w:r>
    </w:p>
    <w:p>
      <w:pPr>
        <w:pStyle w:val="40"/>
      </w:pPr>
    </w:p>
    <w:p>
      <w:pPr>
        <w:pStyle w:val="88"/>
      </w:pPr>
      <w:r>
        <w:t>套管悬挂器casing hangers</w:t>
      </w:r>
    </w:p>
    <w:p>
      <w:pPr>
        <w:ind w:firstLine="420"/>
        <w:rPr>
          <w:rFonts w:cs="Times New Roman"/>
        </w:rPr>
      </w:pPr>
      <w:r>
        <w:rPr>
          <w:rFonts w:cs="Times New Roman"/>
        </w:rPr>
        <w:t>在泥线上支承井口装置内套管柱的部件。</w:t>
      </w:r>
    </w:p>
    <w:p>
      <w:pPr>
        <w:pStyle w:val="40"/>
      </w:pPr>
    </w:p>
    <w:p>
      <w:pPr>
        <w:pStyle w:val="88"/>
      </w:pPr>
      <w:r>
        <w:t>抗磨补芯 wear bushings</w:t>
      </w:r>
    </w:p>
    <w:p>
      <w:pPr>
        <w:ind w:firstLine="420"/>
        <w:rPr>
          <w:rFonts w:cs="Times New Roman"/>
        </w:rPr>
      </w:pPr>
      <w:r>
        <w:rPr>
          <w:rFonts w:cs="Times New Roman"/>
        </w:rPr>
        <w:t>在钻井或修井作业期间保护井口内表面的部件，也保护其下面的套管悬挂器。</w:t>
      </w:r>
    </w:p>
    <w:p>
      <w:pPr>
        <w:pStyle w:val="40"/>
      </w:pPr>
    </w:p>
    <w:p>
      <w:pPr>
        <w:pStyle w:val="88"/>
      </w:pPr>
      <w:r>
        <w:t>环空</w:t>
      </w:r>
      <w:r>
        <w:rPr>
          <w:color w:val="000000"/>
          <w:sz w:val="20"/>
        </w:rPr>
        <w:t>密封</w:t>
      </w:r>
      <w:r>
        <w:t xml:space="preserve">总成 </w:t>
      </w:r>
      <w:r>
        <w:rPr>
          <w:spacing w:val="-1"/>
        </w:rPr>
        <w:t>annulus</w:t>
      </w:r>
      <w:r>
        <w:t xml:space="preserve"> seal assembly</w:t>
      </w:r>
    </w:p>
    <w:p>
      <w:pPr>
        <w:ind w:firstLine="420"/>
        <w:rPr>
          <w:rFonts w:cs="Times New Roman"/>
        </w:rPr>
      </w:pPr>
      <w:r>
        <w:rPr>
          <w:rFonts w:cs="Times New Roman"/>
        </w:rPr>
        <w:t>在每个套管悬挂器和井口头之间提供压力隔离的部件。</w:t>
      </w:r>
    </w:p>
    <w:p>
      <w:pPr>
        <w:pStyle w:val="40"/>
      </w:pPr>
    </w:p>
    <w:p>
      <w:pPr>
        <w:pStyle w:val="88"/>
      </w:pPr>
      <w:r>
        <w:t xml:space="preserve">防磨套筒 </w:t>
      </w:r>
      <w:r>
        <w:rPr>
          <w:spacing w:val="-1"/>
        </w:rPr>
        <w:t>bore</w:t>
      </w:r>
      <w:r>
        <w:t xml:space="preserve"> protector</w:t>
      </w:r>
    </w:p>
    <w:p>
      <w:pPr>
        <w:ind w:firstLine="420"/>
        <w:rPr>
          <w:rFonts w:cs="Times New Roman"/>
        </w:rPr>
      </w:pPr>
      <w:r>
        <w:rPr>
          <w:rFonts w:cs="Times New Roman"/>
        </w:rPr>
        <w:t>在钻井或修井作业期间保护井口内表面的部件。</w:t>
      </w:r>
      <w:bookmarkStart w:id="28" w:name="5"/>
      <w:bookmarkEnd w:id="28"/>
    </w:p>
    <w:p>
      <w:pPr>
        <w:pStyle w:val="40"/>
      </w:pPr>
      <w:bookmarkStart w:id="29" w:name="_Toc95911794"/>
      <w:bookmarkEnd w:id="29"/>
    </w:p>
    <w:p>
      <w:pPr>
        <w:pStyle w:val="88"/>
      </w:pPr>
      <w:r>
        <w:t xml:space="preserve">耐腐蚀帽 corrosion </w:t>
      </w:r>
      <w:r>
        <w:rPr>
          <w:spacing w:val="-1"/>
        </w:rPr>
        <w:t>cap</w:t>
      </w:r>
    </w:p>
    <w:p>
      <w:pPr>
        <w:ind w:firstLine="420"/>
      </w:pPr>
      <w:r>
        <w:rPr>
          <w:rFonts w:cs="Times New Roman"/>
        </w:rPr>
        <w:t>安装在井口装置的上面，在临时弃井期间，用于防止岩屑、海洋生物污染或腐蚀井口装置的部件。</w:t>
      </w:r>
    </w:p>
    <w:p>
      <w:pPr>
        <w:pStyle w:val="40"/>
      </w:pPr>
      <w:bookmarkStart w:id="30" w:name="_Toc95911803"/>
      <w:bookmarkEnd w:id="30"/>
      <w:bookmarkStart w:id="31" w:name="_Toc95911810"/>
      <w:bookmarkEnd w:id="31"/>
      <w:bookmarkStart w:id="32" w:name="_Toc95911807"/>
      <w:bookmarkEnd w:id="32"/>
      <w:bookmarkStart w:id="33" w:name="_Toc95911805"/>
      <w:bookmarkEnd w:id="33"/>
      <w:bookmarkStart w:id="34" w:name="_Toc95911802"/>
      <w:bookmarkEnd w:id="34"/>
    </w:p>
    <w:p>
      <w:pPr>
        <w:pStyle w:val="88"/>
      </w:pPr>
      <w:r>
        <w:t xml:space="preserve">送入工具 </w:t>
      </w:r>
      <w:r>
        <w:rPr>
          <w:spacing w:val="-2"/>
        </w:rPr>
        <w:t>running</w:t>
      </w:r>
      <w:r>
        <w:t xml:space="preserve"> </w:t>
      </w:r>
      <w:r>
        <w:rPr>
          <w:spacing w:val="-6"/>
        </w:rPr>
        <w:t>tool</w:t>
      </w:r>
    </w:p>
    <w:p>
      <w:pPr>
        <w:ind w:firstLine="420"/>
        <w:rPr>
          <w:rFonts w:cs="Times New Roman"/>
        </w:rPr>
      </w:pPr>
      <w:r>
        <w:rPr>
          <w:rFonts w:cs="Times New Roman"/>
        </w:rPr>
        <w:t>用来从水面远程送入、回收、定位或连接水下设备的装置。</w:t>
      </w:r>
    </w:p>
    <w:p>
      <w:pPr>
        <w:pStyle w:val="40"/>
      </w:pPr>
    </w:p>
    <w:p>
      <w:pPr>
        <w:pStyle w:val="88"/>
      </w:pPr>
      <w:r>
        <w:t xml:space="preserve">水下防喷器 subsea </w:t>
      </w:r>
      <w:r>
        <w:rPr>
          <w:spacing w:val="-1"/>
        </w:rPr>
        <w:t>BOP</w:t>
      </w:r>
    </w:p>
    <w:p>
      <w:pPr>
        <w:ind w:firstLine="420"/>
      </w:pPr>
      <w:r>
        <w:rPr>
          <w:rFonts w:cs="Times New Roman"/>
        </w:rPr>
        <w:t>用于水下井口装置、油管头或采油树的防喷器。</w:t>
      </w:r>
    </w:p>
    <w:p>
      <w:pPr>
        <w:pStyle w:val="40"/>
      </w:pPr>
      <w:bookmarkStart w:id="35" w:name="_Toc95911795"/>
      <w:bookmarkEnd w:id="35"/>
    </w:p>
    <w:p>
      <w:pPr>
        <w:pStyle w:val="88"/>
      </w:pPr>
      <w:r>
        <w:t xml:space="preserve">耐腐蚀合金 corrosion-resistant </w:t>
      </w:r>
      <w:r>
        <w:rPr>
          <w:spacing w:val="-6"/>
        </w:rPr>
        <w:t>alloy</w:t>
      </w:r>
      <w:r>
        <w:t>（CRA）</w:t>
      </w:r>
    </w:p>
    <w:p>
      <w:pPr>
        <w:ind w:firstLine="420"/>
        <w:rPr>
          <w:rFonts w:cs="Times New Roman"/>
        </w:rPr>
      </w:pPr>
      <w:r>
        <w:rPr>
          <w:rFonts w:cs="Times New Roman"/>
        </w:rPr>
        <w:t xml:space="preserve">钛、镍、钴、铬和钼中的一种或几种合金元素超过 </w:t>
      </w:r>
      <w:r>
        <w:rPr>
          <w:rFonts w:cs="Times New Roman"/>
          <w:spacing w:val="-1"/>
        </w:rPr>
        <w:t>50%</w:t>
      </w:r>
      <w:r>
        <w:rPr>
          <w:rFonts w:cs="Times New Roman"/>
        </w:rPr>
        <w:t>的非铁合金。</w:t>
      </w:r>
    </w:p>
    <w:p>
      <w:pPr>
        <w:ind w:firstLine="420"/>
        <w:rPr>
          <w:rFonts w:cs="Times New Roman"/>
        </w:rPr>
      </w:pPr>
      <w:r>
        <w:rPr>
          <w:rFonts w:cs="Times New Roman"/>
        </w:rPr>
        <w:t>注：本条款参考 ISO 15156（所有部分）中的耐腐蚀合金和抗裂合金。</w:t>
      </w:r>
    </w:p>
    <w:p>
      <w:pPr>
        <w:pStyle w:val="40"/>
      </w:pPr>
      <w:bookmarkStart w:id="36" w:name="_Toc95911796"/>
      <w:bookmarkEnd w:id="36"/>
      <w:bookmarkStart w:id="37" w:name="_Toc95911797"/>
      <w:bookmarkEnd w:id="37"/>
      <w:bookmarkStart w:id="38" w:name="_Toc95911801"/>
      <w:bookmarkEnd w:id="38"/>
      <w:bookmarkStart w:id="39" w:name="_Toc95911811"/>
      <w:bookmarkEnd w:id="39"/>
      <w:bookmarkStart w:id="40" w:name="_Toc95911813"/>
      <w:bookmarkEnd w:id="40"/>
      <w:bookmarkStart w:id="41" w:name="_Toc95911812"/>
      <w:bookmarkEnd w:id="41"/>
      <w:bookmarkStart w:id="42" w:name="_Toc95911814"/>
      <w:bookmarkEnd w:id="42"/>
      <w:bookmarkStart w:id="43" w:name="_Toc95911815"/>
      <w:bookmarkEnd w:id="43"/>
      <w:bookmarkStart w:id="44" w:name="_Toc95911816"/>
      <w:bookmarkEnd w:id="44"/>
    </w:p>
    <w:p>
      <w:pPr>
        <w:pStyle w:val="88"/>
      </w:pPr>
      <w:r>
        <w:t xml:space="preserve">井口头压力边界 </w:t>
      </w:r>
      <w:r>
        <w:rPr>
          <w:spacing w:val="-2"/>
        </w:rPr>
        <w:t>wellhead</w:t>
      </w:r>
      <w:r>
        <w:t xml:space="preserve"> </w:t>
      </w:r>
      <w:r>
        <w:rPr>
          <w:spacing w:val="-1"/>
        </w:rPr>
        <w:t>housing</w:t>
      </w:r>
      <w:r>
        <w:t xml:space="preserve"> pressure </w:t>
      </w:r>
      <w:r>
        <w:rPr>
          <w:spacing w:val="-1"/>
        </w:rPr>
        <w:t>boundary</w:t>
      </w:r>
    </w:p>
    <w:p>
      <w:pPr>
        <w:ind w:firstLine="420"/>
        <w:rPr>
          <w:rFonts w:cs="Times New Roman"/>
        </w:rPr>
      </w:pPr>
      <w:r>
        <w:rPr>
          <w:rFonts w:cs="Times New Roman"/>
        </w:rPr>
        <w:t>井口头从井口装置顶部到密封总成最下部密封元件间的一段。</w:t>
      </w:r>
    </w:p>
    <w:p>
      <w:pPr>
        <w:pStyle w:val="40"/>
      </w:pPr>
    </w:p>
    <w:p>
      <w:pPr>
        <w:pStyle w:val="88"/>
      </w:pPr>
      <w:r>
        <w:t>可见泄漏 visible leakage</w:t>
      </w:r>
    </w:p>
    <w:p>
      <w:pPr>
        <w:ind w:firstLine="420"/>
        <w:rPr>
          <w:rFonts w:cs="Times New Roman"/>
        </w:rPr>
      </w:pPr>
      <w:r>
        <w:rPr>
          <w:rFonts w:cs="Times New Roman"/>
        </w:rPr>
        <w:t>在压力试验期间通过直接观察或使用视频设备看到的试验流体泄漏。</w:t>
      </w:r>
    </w:p>
    <w:p>
      <w:pPr>
        <w:ind w:firstLine="420"/>
        <w:rPr>
          <w:rFonts w:cs="Times New Roman"/>
        </w:rPr>
      </w:pPr>
      <w:r>
        <w:rPr>
          <w:rFonts w:cs="Times New Roman"/>
        </w:rPr>
        <w:t>注：可以通过或经过压力边界或在界面处观察到泄漏。</w:t>
      </w:r>
    </w:p>
    <w:p>
      <w:pPr>
        <w:spacing w:after="200"/>
        <w:ind w:firstLine="0" w:firstLineChars="0"/>
        <w:rPr>
          <w:rFonts w:cs="Times New Roman"/>
        </w:rPr>
      </w:pPr>
      <w:bookmarkStart w:id="45" w:name="_Toc95911817"/>
      <w:bookmarkStart w:id="46" w:name="_Toc95910590"/>
      <w:bookmarkStart w:id="47" w:name="_Toc95909848"/>
      <w:r>
        <w:rPr>
          <w:rFonts w:cs="Times New Roman"/>
        </w:rPr>
        <w:br w:type="page"/>
      </w:r>
    </w:p>
    <w:p>
      <w:pPr>
        <w:pStyle w:val="39"/>
      </w:pPr>
      <w:bookmarkStart w:id="48" w:name="_Toc112341736"/>
      <w:r>
        <w:t>符号和缩略语</w:t>
      </w:r>
      <w:bookmarkEnd w:id="45"/>
      <w:bookmarkEnd w:id="46"/>
      <w:bookmarkEnd w:id="47"/>
      <w:bookmarkEnd w:id="48"/>
      <w:bookmarkStart w:id="49" w:name="_Toc95911818"/>
      <w:bookmarkStart w:id="50" w:name="_Toc95910591"/>
      <w:bookmarkStart w:id="51" w:name="_Toc95909849"/>
    </w:p>
    <w:tbl>
      <w:tblPr>
        <w:tblStyle w:val="27"/>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4"/>
        <w:gridCol w:w="5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ANSI</w:t>
            </w:r>
          </w:p>
        </w:tc>
        <w:tc>
          <w:tcPr>
            <w:tcW w:w="5182" w:type="dxa"/>
          </w:tcPr>
          <w:p>
            <w:pPr>
              <w:ind w:firstLine="420"/>
            </w:pPr>
            <w:r>
              <w:t>美国国家标准学会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ASME</w:t>
            </w:r>
          </w:p>
        </w:tc>
        <w:tc>
          <w:tcPr>
            <w:tcW w:w="5182" w:type="dxa"/>
          </w:tcPr>
          <w:p>
            <w:pPr>
              <w:ind w:firstLine="420"/>
            </w:pPr>
            <w:r>
              <w:t>美国机械工程师协会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AWS</w:t>
            </w:r>
          </w:p>
        </w:tc>
        <w:tc>
          <w:tcPr>
            <w:tcW w:w="5182" w:type="dxa"/>
          </w:tcPr>
          <w:p>
            <w:pPr>
              <w:ind w:firstLine="420"/>
            </w:pPr>
            <w:r>
              <w:t>美国焊接学会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pPr>
              <w:ind w:firstLine="420"/>
            </w:pPr>
            <w:r>
              <w:t>BOP</w:t>
            </w:r>
          </w:p>
        </w:tc>
        <w:tc>
          <w:tcPr>
            <w:tcW w:w="5182" w:type="dxa"/>
          </w:tcPr>
          <w:p>
            <w:pPr>
              <w:ind w:firstLine="420"/>
            </w:pPr>
            <w:r>
              <w:t>防喷器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CRA</w:t>
            </w:r>
          </w:p>
        </w:tc>
        <w:tc>
          <w:tcPr>
            <w:tcW w:w="5182" w:type="dxa"/>
          </w:tcPr>
          <w:p>
            <w:pPr>
              <w:ind w:firstLine="420"/>
            </w:pPr>
            <w:r>
              <w:t>耐腐蚀合金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CRM</w:t>
            </w:r>
          </w:p>
        </w:tc>
        <w:tc>
          <w:tcPr>
            <w:tcW w:w="5182" w:type="dxa"/>
          </w:tcPr>
          <w:p>
            <w:pPr>
              <w:ind w:firstLine="420"/>
            </w:pPr>
            <w:r>
              <w:t>耐腐蚀材料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FAT</w:t>
            </w:r>
          </w:p>
        </w:tc>
        <w:tc>
          <w:tcPr>
            <w:tcW w:w="5182" w:type="dxa"/>
          </w:tcPr>
          <w:p>
            <w:pPr>
              <w:ind w:firstLine="420"/>
            </w:pPr>
            <w:r>
              <w:t>工厂验收试验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pPr>
              <w:ind w:firstLine="420"/>
            </w:pPr>
            <w:r>
              <w:t>FEA</w:t>
            </w:r>
          </w:p>
        </w:tc>
        <w:tc>
          <w:tcPr>
            <w:tcW w:w="5182" w:type="dxa"/>
          </w:tcPr>
          <w:p>
            <w:pPr>
              <w:ind w:firstLine="420"/>
            </w:pPr>
            <w:r>
              <w:t>有限元分析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GRA</w:t>
            </w:r>
          </w:p>
        </w:tc>
        <w:tc>
          <w:tcPr>
            <w:tcW w:w="5182" w:type="dxa"/>
          </w:tcPr>
          <w:p>
            <w:pPr>
              <w:ind w:firstLine="420"/>
            </w:pPr>
            <w:r>
              <w:t>无导向绳再入总成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ID</w:t>
            </w:r>
          </w:p>
        </w:tc>
        <w:tc>
          <w:tcPr>
            <w:tcW w:w="5182" w:type="dxa"/>
          </w:tcPr>
          <w:p>
            <w:pPr>
              <w:ind w:firstLine="420"/>
            </w:pPr>
            <w:r>
              <w:t>内径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LRP</w:t>
            </w:r>
          </w:p>
        </w:tc>
        <w:tc>
          <w:tcPr>
            <w:tcW w:w="5182" w:type="dxa"/>
          </w:tcPr>
          <w:p>
            <w:pPr>
              <w:ind w:firstLine="420"/>
            </w:pPr>
            <w:r>
              <w:t>立管下部组件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pPr>
              <w:ind w:firstLine="420"/>
            </w:pPr>
            <w:r>
              <w:t>LWRP</w:t>
            </w:r>
          </w:p>
        </w:tc>
        <w:tc>
          <w:tcPr>
            <w:tcW w:w="5182" w:type="dxa"/>
          </w:tcPr>
          <w:p>
            <w:pPr>
              <w:ind w:firstLine="420"/>
            </w:pPr>
            <w:r>
              <w:t>修井立管下部组件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rPr>
                <w:rFonts w:hint="eastAsia"/>
              </w:rPr>
              <w:t>MPQ</w:t>
            </w:r>
          </w:p>
        </w:tc>
        <w:tc>
          <w:tcPr>
            <w:tcW w:w="5182" w:type="dxa"/>
          </w:tcPr>
          <w:p>
            <w:pPr>
              <w:ind w:firstLine="420"/>
            </w:pPr>
            <w:r>
              <w:rPr>
                <w:rFonts w:hint="eastAsia"/>
              </w:rPr>
              <w:t>制造工艺评定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rPr>
                <w:rFonts w:hint="eastAsia"/>
              </w:rPr>
              <w:t>MPS</w:t>
            </w:r>
          </w:p>
        </w:tc>
        <w:tc>
          <w:tcPr>
            <w:tcW w:w="5182" w:type="dxa"/>
          </w:tcPr>
          <w:p>
            <w:pPr>
              <w:ind w:firstLine="420"/>
            </w:pPr>
            <w:r>
              <w:rPr>
                <w:rFonts w:hint="eastAsia"/>
              </w:rPr>
              <w:t>制造工艺规程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NACE</w:t>
            </w:r>
          </w:p>
        </w:tc>
        <w:tc>
          <w:tcPr>
            <w:tcW w:w="5182" w:type="dxa"/>
          </w:tcPr>
          <w:p>
            <w:pPr>
              <w:ind w:firstLine="420"/>
            </w:pPr>
            <w:r>
              <w:t>美国腐蚀工程师协会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pPr>
              <w:ind w:firstLine="420"/>
            </w:pPr>
            <w:r>
              <w:t>NDE</w:t>
            </w:r>
          </w:p>
        </w:tc>
        <w:tc>
          <w:tcPr>
            <w:tcW w:w="5182" w:type="dxa"/>
          </w:tcPr>
          <w:p>
            <w:pPr>
              <w:ind w:firstLine="420"/>
            </w:pPr>
            <w:r>
              <w:t>无损检测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OD</w:t>
            </w:r>
          </w:p>
        </w:tc>
        <w:tc>
          <w:tcPr>
            <w:tcW w:w="5182" w:type="dxa"/>
          </w:tcPr>
          <w:p>
            <w:pPr>
              <w:ind w:firstLine="420"/>
            </w:pPr>
            <w:r>
              <w:t>外径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OEC</w:t>
            </w:r>
          </w:p>
        </w:tc>
        <w:tc>
          <w:tcPr>
            <w:tcW w:w="5182" w:type="dxa"/>
          </w:tcPr>
          <w:p>
            <w:pPr>
              <w:ind w:firstLine="420"/>
            </w:pPr>
            <w:r>
              <w:t>其他端部连接装置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PGB</w:t>
            </w:r>
          </w:p>
        </w:tc>
        <w:tc>
          <w:tcPr>
            <w:tcW w:w="5182" w:type="dxa"/>
          </w:tcPr>
          <w:p>
            <w:pPr>
              <w:ind w:firstLine="420"/>
            </w:pPr>
            <w:r>
              <w:t>永久导向基座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pPr>
              <w:ind w:firstLine="420"/>
            </w:pPr>
            <w:r>
              <w:t>PMR</w:t>
            </w:r>
          </w:p>
        </w:tc>
        <w:tc>
          <w:tcPr>
            <w:tcW w:w="5182" w:type="dxa"/>
          </w:tcPr>
          <w:p>
            <w:pPr>
              <w:ind w:firstLine="420"/>
            </w:pPr>
            <w:r>
              <w:t>按制造商的</w:t>
            </w:r>
            <w:r>
              <w:rPr>
                <w:rFonts w:hint="eastAsia"/>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PR2</w:t>
            </w:r>
          </w:p>
        </w:tc>
        <w:tc>
          <w:tcPr>
            <w:tcW w:w="5182" w:type="dxa"/>
          </w:tcPr>
          <w:p>
            <w:pPr>
              <w:ind w:firstLine="420"/>
            </w:pPr>
            <w:r>
              <w:t>2 级性能要求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PSL</w:t>
            </w:r>
          </w:p>
        </w:tc>
        <w:tc>
          <w:tcPr>
            <w:tcW w:w="5182" w:type="dxa"/>
          </w:tcPr>
          <w:p>
            <w:pPr>
              <w:ind w:firstLine="420"/>
            </w:pPr>
            <w:r>
              <w:t>产品规范</w:t>
            </w:r>
            <w:r>
              <w:rPr>
                <w:rFonts w:hint="eastAsia"/>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QTC</w:t>
            </w:r>
          </w:p>
        </w:tc>
        <w:tc>
          <w:tcPr>
            <w:tcW w:w="5182" w:type="dxa"/>
          </w:tcPr>
          <w:p>
            <w:pPr>
              <w:ind w:firstLine="420"/>
            </w:pPr>
            <w:r>
              <w:t>鉴定试验试件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pPr>
              <w:ind w:firstLine="420"/>
            </w:pPr>
            <w:r>
              <w:t>RWP</w:t>
            </w:r>
          </w:p>
        </w:tc>
        <w:tc>
          <w:tcPr>
            <w:tcW w:w="5182" w:type="dxa"/>
          </w:tcPr>
          <w:p>
            <w:pPr>
              <w:ind w:firstLine="420"/>
            </w:pPr>
            <w:r>
              <w:t>额定工作压力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SPWHT</w:t>
            </w:r>
          </w:p>
        </w:tc>
        <w:tc>
          <w:tcPr>
            <w:tcW w:w="5182" w:type="dxa"/>
          </w:tcPr>
          <w:p>
            <w:pPr>
              <w:ind w:firstLine="420"/>
            </w:pPr>
            <w:r>
              <w:t>模拟焊后热处理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SWL</w:t>
            </w:r>
          </w:p>
        </w:tc>
        <w:tc>
          <w:tcPr>
            <w:tcW w:w="5182" w:type="dxa"/>
          </w:tcPr>
          <w:p>
            <w:pPr>
              <w:ind w:firstLine="420"/>
            </w:pPr>
            <w:r>
              <w:t>安全工作载荷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ind w:firstLine="420"/>
            </w:pPr>
            <w:r>
              <w:t>TGB</w:t>
            </w:r>
          </w:p>
        </w:tc>
        <w:tc>
          <w:tcPr>
            <w:tcW w:w="5182" w:type="dxa"/>
          </w:tcPr>
          <w:p>
            <w:pPr>
              <w:ind w:firstLine="420"/>
            </w:pPr>
            <w:r>
              <w:t>临时导向基座</w:t>
            </w:r>
          </w:p>
        </w:tc>
      </w:tr>
    </w:tbl>
    <w:p>
      <w:pPr>
        <w:widowControl/>
        <w:spacing w:line="240" w:lineRule="auto"/>
        <w:ind w:firstLine="0" w:firstLineChars="0"/>
        <w:rPr>
          <w:rFonts w:cs="Times New Roman" w:eastAsiaTheme="majorEastAsia"/>
          <w:b/>
          <w:color w:val="000000"/>
          <w:sz w:val="24"/>
          <w:szCs w:val="24"/>
        </w:rPr>
      </w:pPr>
      <w:r>
        <w:rPr>
          <w:rFonts w:cs="Times New Roman" w:eastAsiaTheme="majorEastAsia"/>
          <w:b/>
          <w:color w:val="000000"/>
          <w:sz w:val="24"/>
          <w:szCs w:val="24"/>
        </w:rPr>
        <w:br w:type="page"/>
      </w:r>
    </w:p>
    <w:bookmarkEnd w:id="49"/>
    <w:bookmarkEnd w:id="50"/>
    <w:bookmarkEnd w:id="51"/>
    <w:p>
      <w:pPr>
        <w:pStyle w:val="38"/>
        <w:rPr>
          <w:rFonts w:cs="Times New Roman"/>
          <w:w w:val="100"/>
        </w:rPr>
      </w:pPr>
      <w:bookmarkStart w:id="52" w:name="_Toc112341737"/>
      <w:bookmarkStart w:id="53" w:name="_Toc95910595"/>
      <w:bookmarkStart w:id="54" w:name="_Toc95911826"/>
      <w:bookmarkStart w:id="55" w:name="_Toc95909853"/>
      <w:bookmarkStart w:id="56" w:name="_Toc95911825"/>
      <w:bookmarkStart w:id="57" w:name="_Toc95910594"/>
      <w:bookmarkStart w:id="58" w:name="_Toc95909852"/>
      <w:r>
        <w:rPr>
          <w:rFonts w:hint="eastAsia" w:cs="Times New Roman"/>
          <w:w w:val="100"/>
        </w:rPr>
        <w:t>通用要求</w:t>
      </w:r>
      <w:bookmarkEnd w:id="52"/>
    </w:p>
    <w:p>
      <w:pPr>
        <w:pStyle w:val="39"/>
      </w:pPr>
      <w:bookmarkStart w:id="59" w:name="_Toc112341738"/>
      <w:r>
        <w:rPr>
          <w:rFonts w:hint="eastAsia"/>
        </w:rPr>
        <w:t>水下井口装置典型组成</w:t>
      </w:r>
      <w:bookmarkEnd w:id="59"/>
    </w:p>
    <w:p>
      <w:pPr>
        <w:ind w:firstLine="420"/>
        <w:rPr>
          <w:rFonts w:cs="Times New Roman"/>
        </w:rPr>
      </w:pPr>
      <w:r>
        <w:rPr>
          <w:rFonts w:cs="Times New Roman"/>
        </w:rPr>
        <w:t>水下井口装置</w:t>
      </w:r>
      <w:r>
        <w:rPr>
          <w:rFonts w:hint="eastAsia" w:cs="Times New Roman"/>
        </w:rPr>
        <w:t>（见</w:t>
      </w:r>
      <w:r>
        <w:rPr>
          <w:rFonts w:cs="Times New Roman"/>
        </w:rPr>
        <w:fldChar w:fldCharType="begin"/>
      </w:r>
      <w:r>
        <w:rPr>
          <w:rFonts w:cs="Times New Roman"/>
        </w:rPr>
        <w:instrText xml:space="preserve"> </w:instrText>
      </w:r>
      <w:r>
        <w:rPr>
          <w:rFonts w:hint="eastAsia" w:cs="Times New Roman"/>
        </w:rPr>
        <w:instrText xml:space="preserve">REF _Ref112338643 \h</w:instrText>
      </w:r>
      <w:r>
        <w:rPr>
          <w:rFonts w:cs="Times New Roman"/>
        </w:rPr>
        <w:instrText xml:space="preserve"> </w:instrText>
      </w:r>
      <w:r>
        <w:rPr>
          <w:rFonts w:cs="Times New Roman"/>
        </w:rPr>
        <w:fldChar w:fldCharType="separate"/>
      </w:r>
      <w:r>
        <w:rPr>
          <w:rFonts w:hint="eastAsia"/>
        </w:rPr>
        <w:t xml:space="preserve">图 </w:t>
      </w:r>
      <w:r>
        <w:t>1</w:t>
      </w:r>
      <w:r>
        <w:rPr>
          <w:rFonts w:cs="Times New Roman"/>
        </w:rPr>
        <w:fldChar w:fldCharType="end"/>
      </w:r>
      <w:r>
        <w:rPr>
          <w:rFonts w:hint="eastAsia" w:cs="Times New Roman"/>
        </w:rPr>
        <w:t xml:space="preserve"> ）</w:t>
      </w:r>
      <w:r>
        <w:rPr>
          <w:rFonts w:cs="Times New Roman"/>
        </w:rPr>
        <w:t>安装于海底泥线处，主要用于支承内部套管柱，并密封它们之间的环形空间。钻井作业期间，水下井口装置与水下防喷器组锁定、密封，完井作业及结束以后，水下井口装置与水下采油树锁定、密封。</w:t>
      </w:r>
    </w:p>
    <w:p>
      <w:pPr>
        <w:ind w:firstLine="420"/>
        <w:rPr>
          <w:rFonts w:cs="Times New Roman"/>
        </w:rPr>
      </w:pPr>
      <w:r>
        <w:rPr>
          <w:rFonts w:cs="Times New Roman"/>
        </w:rPr>
        <w:t>水下井口装置作业过程中使用的典型部件及工具包括：</w:t>
      </w:r>
    </w:p>
    <w:p>
      <w:pPr>
        <w:ind w:firstLine="420"/>
        <w:rPr>
          <w:rFonts w:cs="Times New Roman"/>
        </w:rPr>
      </w:pPr>
      <w:r>
        <w:rPr>
          <w:rFonts w:cs="Times New Roman"/>
        </w:rPr>
        <w:t>— 临时导向基座；</w:t>
      </w:r>
    </w:p>
    <w:p>
      <w:pPr>
        <w:ind w:firstLine="420"/>
        <w:rPr>
          <w:rFonts w:cs="Times New Roman"/>
        </w:rPr>
      </w:pPr>
      <w:r>
        <w:rPr>
          <w:rFonts w:cs="Times New Roman"/>
        </w:rPr>
        <w:t>— 永久导向基座；</w:t>
      </w:r>
    </w:p>
    <w:p>
      <w:pPr>
        <w:ind w:firstLine="420"/>
        <w:rPr>
          <w:rFonts w:cs="Times New Roman"/>
        </w:rPr>
      </w:pPr>
      <w:r>
        <w:rPr>
          <w:rFonts w:cs="Times New Roman"/>
        </w:rPr>
        <w:t>— 导管头；</w:t>
      </w:r>
    </w:p>
    <w:p>
      <w:pPr>
        <w:ind w:firstLine="420"/>
        <w:rPr>
          <w:rFonts w:cs="Times New Roman"/>
        </w:rPr>
      </w:pPr>
      <w:r>
        <w:rPr>
          <w:rFonts w:cs="Times New Roman"/>
        </w:rPr>
        <w:t>— 高压井口头；</w:t>
      </w:r>
    </w:p>
    <w:p>
      <w:pPr>
        <w:ind w:firstLine="420"/>
        <w:rPr>
          <w:rFonts w:cs="Times New Roman"/>
        </w:rPr>
      </w:pPr>
      <w:r>
        <w:rPr>
          <w:rFonts w:cs="Times New Roman"/>
        </w:rPr>
        <w:t>— 套管悬挂器；</w:t>
      </w:r>
    </w:p>
    <w:p>
      <w:pPr>
        <w:ind w:firstLine="420"/>
        <w:rPr>
          <w:rFonts w:cs="Times New Roman"/>
        </w:rPr>
      </w:pPr>
      <w:r>
        <w:rPr>
          <w:rFonts w:cs="Times New Roman"/>
        </w:rPr>
        <w:t>— 密封总成；</w:t>
      </w:r>
    </w:p>
    <w:p>
      <w:pPr>
        <w:ind w:firstLine="420"/>
        <w:rPr>
          <w:rFonts w:cs="Times New Roman"/>
        </w:rPr>
      </w:pPr>
      <w:r>
        <w:rPr>
          <w:rFonts w:cs="Times New Roman"/>
        </w:rPr>
        <w:t>— 防磨套筒和抗磨补芯；</w:t>
      </w:r>
    </w:p>
    <w:p>
      <w:pPr>
        <w:ind w:firstLine="420"/>
        <w:rPr>
          <w:rFonts w:cs="Times New Roman"/>
        </w:rPr>
      </w:pPr>
      <w:r>
        <w:rPr>
          <w:rFonts w:cs="Times New Roman"/>
        </w:rPr>
        <w:t>— 耐腐蚀帽；</w:t>
      </w:r>
    </w:p>
    <w:p>
      <w:pPr>
        <w:ind w:firstLine="420"/>
        <w:rPr>
          <w:rFonts w:cs="Times New Roman"/>
        </w:rPr>
      </w:pPr>
      <w:r>
        <w:rPr>
          <w:rFonts w:cs="Times New Roman"/>
        </w:rPr>
        <w:t>— 送入工具。</w:t>
      </w:r>
    </w:p>
    <w:p>
      <w:pPr>
        <w:ind w:firstLine="420"/>
        <w:rPr>
          <w:rFonts w:cs="Times New Roman"/>
        </w:rPr>
      </w:pPr>
      <w:r>
        <w:rPr>
          <w:rFonts w:cs="Times New Roman"/>
        </w:rPr>
        <w:drawing>
          <wp:inline distT="0" distB="0" distL="0" distR="0">
            <wp:extent cx="4461510" cy="4273550"/>
            <wp:effectExtent l="0" t="0" r="15240" b="1270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2"/>
                    <a:stretch>
                      <a:fillRect/>
                    </a:stretch>
                  </pic:blipFill>
                  <pic:spPr>
                    <a:xfrm>
                      <a:off x="0" y="0"/>
                      <a:ext cx="4461510" cy="4273550"/>
                    </a:xfrm>
                    <a:prstGeom prst="rect">
                      <a:avLst/>
                    </a:prstGeom>
                  </pic:spPr>
                </pic:pic>
              </a:graphicData>
            </a:graphic>
          </wp:inline>
        </w:drawing>
      </w:r>
    </w:p>
    <w:p>
      <w:pPr>
        <w:ind w:firstLine="0" w:firstLineChars="0"/>
        <w:rPr>
          <w:rFonts w:cs="Times New Roman"/>
        </w:rPr>
      </w:pPr>
      <w:r>
        <w:rPr>
          <w:rFonts w:cs="Times New Roman"/>
        </w:rPr>
        <w:t>图中</w:t>
      </w:r>
      <w:r>
        <w:rPr>
          <w:rFonts w:hint="eastAsia" w:cs="Times New Roman"/>
        </w:rPr>
        <w:t>：</w:t>
      </w:r>
    </w:p>
    <w:tbl>
      <w:tblPr>
        <w:tblStyle w:val="27"/>
        <w:tblW w:w="8118"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72"/>
        <w:gridCol w:w="4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72" w:type="dxa"/>
            <w:shd w:val="clear" w:color="auto" w:fill="auto"/>
          </w:tcPr>
          <w:p>
            <w:pPr>
              <w:ind w:firstLine="420"/>
              <w:rPr>
                <w:rFonts w:cs="Times New Roman"/>
              </w:rPr>
            </w:pPr>
            <w:r>
              <w:rPr>
                <w:rFonts w:cs="Times New Roman"/>
              </w:rPr>
              <w:t>1、临时导向基座送入工具</w:t>
            </w:r>
          </w:p>
        </w:tc>
        <w:tc>
          <w:tcPr>
            <w:tcW w:w="4146" w:type="dxa"/>
            <w:shd w:val="clear" w:color="auto" w:fill="auto"/>
          </w:tcPr>
          <w:p>
            <w:pPr>
              <w:ind w:firstLine="420"/>
              <w:rPr>
                <w:rFonts w:cs="Times New Roman"/>
              </w:rPr>
            </w:pPr>
            <w:r>
              <w:rPr>
                <w:rFonts w:cs="Times New Roman"/>
              </w:rPr>
              <w:t>2、导管头送入工具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72" w:type="dxa"/>
            <w:shd w:val="clear" w:color="auto" w:fill="auto"/>
          </w:tcPr>
          <w:p>
            <w:pPr>
              <w:ind w:firstLine="420"/>
              <w:rPr>
                <w:rFonts w:cs="Times New Roman"/>
              </w:rPr>
            </w:pPr>
            <w:r>
              <w:rPr>
                <w:rFonts w:cs="Times New Roman"/>
              </w:rPr>
              <w:t>3、高压井口头送入工具</w:t>
            </w:r>
          </w:p>
        </w:tc>
        <w:tc>
          <w:tcPr>
            <w:tcW w:w="4146" w:type="dxa"/>
            <w:shd w:val="clear" w:color="auto" w:fill="auto"/>
          </w:tcPr>
          <w:p>
            <w:pPr>
              <w:ind w:firstLine="420"/>
              <w:rPr>
                <w:rFonts w:cs="Times New Roman"/>
              </w:rPr>
            </w:pPr>
            <w:r>
              <w:rPr>
                <w:rFonts w:cs="Times New Roman"/>
              </w:rPr>
              <w:t>4、套管悬挂器送入工具（钻杆或全径）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72" w:type="dxa"/>
            <w:shd w:val="clear" w:color="auto" w:fill="auto"/>
          </w:tcPr>
          <w:p>
            <w:pPr>
              <w:ind w:firstLine="420"/>
              <w:rPr>
                <w:rFonts w:cs="Times New Roman"/>
              </w:rPr>
            </w:pPr>
            <w:r>
              <w:rPr>
                <w:rFonts w:cs="Times New Roman"/>
              </w:rPr>
              <w:t>5、试验工具</w:t>
            </w:r>
          </w:p>
        </w:tc>
        <w:tc>
          <w:tcPr>
            <w:tcW w:w="4146" w:type="dxa"/>
            <w:shd w:val="clear" w:color="auto" w:fill="auto"/>
          </w:tcPr>
          <w:p>
            <w:pPr>
              <w:ind w:firstLine="420"/>
              <w:rPr>
                <w:rFonts w:cs="Times New Roman"/>
              </w:rPr>
            </w:pPr>
            <w:r>
              <w:rPr>
                <w:rFonts w:cs="Times New Roman"/>
              </w:rPr>
              <w:t>6、7″抗磨补芯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72" w:type="dxa"/>
            <w:shd w:val="clear" w:color="auto" w:fill="auto"/>
          </w:tcPr>
          <w:p>
            <w:pPr>
              <w:ind w:firstLine="420"/>
              <w:rPr>
                <w:rFonts w:cs="Times New Roman"/>
              </w:rPr>
            </w:pPr>
            <w:r>
              <w:rPr>
                <w:rFonts w:cs="Times New Roman"/>
              </w:rPr>
              <w:t>7、环空密封总成</w:t>
            </w:r>
          </w:p>
        </w:tc>
        <w:tc>
          <w:tcPr>
            <w:tcW w:w="4146" w:type="dxa"/>
            <w:shd w:val="clear" w:color="auto" w:fill="auto"/>
          </w:tcPr>
          <w:p>
            <w:pPr>
              <w:ind w:firstLine="420"/>
              <w:rPr>
                <w:rFonts w:cs="Times New Roman"/>
              </w:rPr>
            </w:pPr>
            <w:r>
              <w:rPr>
                <w:rFonts w:cs="Times New Roman"/>
              </w:rPr>
              <w:t>8、7″套管悬挂器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72" w:type="dxa"/>
            <w:shd w:val="clear" w:color="auto" w:fill="auto"/>
          </w:tcPr>
          <w:p>
            <w:pPr>
              <w:ind w:firstLine="420"/>
              <w:rPr>
                <w:rFonts w:cs="Times New Roman"/>
              </w:rPr>
            </w:pPr>
            <w:r>
              <w:rPr>
                <w:rFonts w:cs="Times New Roman"/>
              </w:rPr>
              <w:t>9、9-5/8″抗磨补芯</w:t>
            </w:r>
          </w:p>
        </w:tc>
        <w:tc>
          <w:tcPr>
            <w:tcW w:w="4146" w:type="dxa"/>
            <w:shd w:val="clear" w:color="auto" w:fill="auto"/>
          </w:tcPr>
          <w:p>
            <w:pPr>
              <w:ind w:firstLine="420"/>
              <w:rPr>
                <w:rFonts w:cs="Times New Roman"/>
              </w:rPr>
            </w:pPr>
            <w:r>
              <w:rPr>
                <w:rFonts w:cs="Times New Roman"/>
              </w:rPr>
              <w:t>10、环空密封总成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72" w:type="dxa"/>
            <w:shd w:val="clear" w:color="auto" w:fill="auto"/>
          </w:tcPr>
          <w:p>
            <w:pPr>
              <w:ind w:firstLine="420"/>
              <w:rPr>
                <w:rFonts w:cs="Times New Roman"/>
              </w:rPr>
            </w:pPr>
            <w:r>
              <w:rPr>
                <w:rFonts w:cs="Times New Roman"/>
              </w:rPr>
              <w:t>11、9-5/8″套管悬挂器</w:t>
            </w:r>
          </w:p>
        </w:tc>
        <w:tc>
          <w:tcPr>
            <w:tcW w:w="4146" w:type="dxa"/>
            <w:shd w:val="clear" w:color="auto" w:fill="auto"/>
          </w:tcPr>
          <w:p>
            <w:pPr>
              <w:ind w:firstLine="420"/>
              <w:rPr>
                <w:rFonts w:cs="Times New Roman"/>
              </w:rPr>
            </w:pPr>
            <w:r>
              <w:rPr>
                <w:rFonts w:cs="Times New Roman"/>
              </w:rPr>
              <w:t>12、13-3/8″抗磨补芯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72" w:type="dxa"/>
            <w:shd w:val="clear" w:color="auto" w:fill="auto"/>
          </w:tcPr>
          <w:p>
            <w:pPr>
              <w:ind w:firstLine="420"/>
              <w:rPr>
                <w:rFonts w:cs="Times New Roman"/>
              </w:rPr>
            </w:pPr>
            <w:r>
              <w:rPr>
                <w:rFonts w:cs="Times New Roman"/>
              </w:rPr>
              <w:t>13、环空密封总成</w:t>
            </w:r>
          </w:p>
        </w:tc>
        <w:tc>
          <w:tcPr>
            <w:tcW w:w="4146" w:type="dxa"/>
            <w:shd w:val="clear" w:color="auto" w:fill="auto"/>
          </w:tcPr>
          <w:p>
            <w:pPr>
              <w:ind w:firstLine="420"/>
              <w:rPr>
                <w:rFonts w:cs="Times New Roman"/>
              </w:rPr>
            </w:pPr>
            <w:r>
              <w:rPr>
                <w:rFonts w:cs="Times New Roman"/>
              </w:rPr>
              <w:t>14、13-3/8″套管悬挂器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72" w:type="dxa"/>
            <w:shd w:val="clear" w:color="auto" w:fill="auto"/>
          </w:tcPr>
          <w:p>
            <w:pPr>
              <w:ind w:firstLine="420"/>
              <w:rPr>
                <w:rFonts w:cs="Times New Roman"/>
              </w:rPr>
            </w:pPr>
            <w:r>
              <w:rPr>
                <w:rFonts w:cs="Times New Roman"/>
              </w:rPr>
              <w:t>15、井口头防磨套筒</w:t>
            </w:r>
          </w:p>
        </w:tc>
        <w:tc>
          <w:tcPr>
            <w:tcW w:w="4146" w:type="dxa"/>
            <w:shd w:val="clear" w:color="auto" w:fill="auto"/>
          </w:tcPr>
          <w:p>
            <w:pPr>
              <w:ind w:firstLine="420"/>
              <w:rPr>
                <w:rFonts w:cs="Times New Roman"/>
              </w:rPr>
            </w:pPr>
            <w:r>
              <w:rPr>
                <w:rFonts w:cs="Times New Roman"/>
              </w:rPr>
              <w:t>16、高压井口头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72" w:type="dxa"/>
            <w:shd w:val="clear" w:color="auto" w:fill="auto"/>
          </w:tcPr>
          <w:p>
            <w:pPr>
              <w:ind w:firstLine="420"/>
              <w:rPr>
                <w:rFonts w:cs="Times New Roman"/>
              </w:rPr>
            </w:pPr>
            <w:r>
              <w:rPr>
                <w:rFonts w:cs="Times New Roman"/>
              </w:rPr>
              <w:t>17、20″表层套管</w:t>
            </w:r>
          </w:p>
        </w:tc>
        <w:tc>
          <w:tcPr>
            <w:tcW w:w="4146" w:type="dxa"/>
            <w:shd w:val="clear" w:color="auto" w:fill="auto"/>
          </w:tcPr>
          <w:p>
            <w:pPr>
              <w:ind w:firstLine="420"/>
              <w:rPr>
                <w:rFonts w:cs="Times New Roman"/>
              </w:rPr>
            </w:pPr>
            <w:r>
              <w:rPr>
                <w:rFonts w:cs="Times New Roman"/>
              </w:rPr>
              <w:t>18、低压导管头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72" w:type="dxa"/>
            <w:shd w:val="clear" w:color="auto" w:fill="auto"/>
          </w:tcPr>
          <w:p>
            <w:pPr>
              <w:ind w:firstLine="420"/>
              <w:rPr>
                <w:rFonts w:cs="Times New Roman"/>
              </w:rPr>
            </w:pPr>
            <w:r>
              <w:rPr>
                <w:rFonts w:cs="Times New Roman"/>
              </w:rPr>
              <w:t>19、永久导向基座</w:t>
            </w:r>
          </w:p>
        </w:tc>
        <w:tc>
          <w:tcPr>
            <w:tcW w:w="4146" w:type="dxa"/>
            <w:shd w:val="clear" w:color="auto" w:fill="auto"/>
          </w:tcPr>
          <w:p>
            <w:pPr>
              <w:ind w:firstLine="420"/>
              <w:rPr>
                <w:rFonts w:cs="Times New Roman"/>
              </w:rPr>
            </w:pPr>
            <w:r>
              <w:rPr>
                <w:rFonts w:cs="Times New Roman"/>
              </w:rPr>
              <w:t>20、临时导向基座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72" w:type="dxa"/>
            <w:shd w:val="clear" w:color="auto" w:fill="auto"/>
          </w:tcPr>
          <w:p>
            <w:pPr>
              <w:ind w:firstLine="420"/>
              <w:rPr>
                <w:rFonts w:cs="Times New Roman"/>
              </w:rPr>
            </w:pPr>
            <w:r>
              <w:rPr>
                <w:rFonts w:cs="Times New Roman"/>
              </w:rPr>
              <w:t>21、</w:t>
            </w:r>
            <w:r>
              <w:rPr>
                <w:rFonts w:hint="eastAsia" w:cs="Times New Roman"/>
                <w:lang w:bidi="ar"/>
              </w:rPr>
              <w:t>导管头</w:t>
            </w:r>
          </w:p>
        </w:tc>
        <w:tc>
          <w:tcPr>
            <w:tcW w:w="4146" w:type="dxa"/>
            <w:shd w:val="clear" w:color="auto" w:fill="auto"/>
          </w:tcPr>
          <w:p>
            <w:pPr>
              <w:ind w:firstLine="420"/>
              <w:rPr>
                <w:rFonts w:cs="Times New Roman"/>
              </w:rPr>
            </w:pPr>
            <w:r>
              <w:rPr>
                <w:rFonts w:cs="Times New Roman"/>
              </w:rPr>
              <w:t>22、海底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72" w:type="dxa"/>
            <w:shd w:val="clear" w:color="auto" w:fill="auto"/>
          </w:tcPr>
          <w:p>
            <w:pPr>
              <w:ind w:firstLine="420"/>
              <w:rPr>
                <w:rFonts w:cs="Times New Roman"/>
              </w:rPr>
            </w:pPr>
            <w:r>
              <w:rPr>
                <w:rFonts w:cs="Times New Roman"/>
              </w:rPr>
              <w:t>23、导向绳</w:t>
            </w:r>
          </w:p>
        </w:tc>
        <w:tc>
          <w:tcPr>
            <w:tcW w:w="4146" w:type="dxa"/>
            <w:shd w:val="clear" w:color="auto" w:fill="auto"/>
          </w:tcPr>
          <w:p>
            <w:pPr>
              <w:ind w:firstLine="420"/>
              <w:rPr>
                <w:rFonts w:cs="Times New Roman"/>
              </w:rPr>
            </w:pPr>
          </w:p>
        </w:tc>
      </w:tr>
    </w:tbl>
    <w:p>
      <w:pPr>
        <w:pStyle w:val="69"/>
        <w:rPr>
          <w:rFonts w:cs="Times New Roman"/>
        </w:rPr>
      </w:pPr>
      <w:bookmarkStart w:id="60" w:name="_Ref112338643"/>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w:t>
      </w:r>
      <w:r>
        <w:fldChar w:fldCharType="end"/>
      </w:r>
      <w:bookmarkEnd w:id="60"/>
      <w:r>
        <w:rPr>
          <w:rFonts w:hint="eastAsia"/>
        </w:rPr>
        <w:t xml:space="preserve"> </w:t>
      </w:r>
      <w:r>
        <w:rPr>
          <w:rFonts w:cs="Times New Roman"/>
        </w:rPr>
        <w:t>水下井口装置</w:t>
      </w:r>
    </w:p>
    <w:p>
      <w:pPr>
        <w:pStyle w:val="39"/>
      </w:pPr>
      <w:bookmarkStart w:id="61" w:name="_Toc112341739"/>
      <w:r>
        <w:t>设计和性能要求</w:t>
      </w:r>
      <w:bookmarkEnd w:id="61"/>
    </w:p>
    <w:p>
      <w:pPr>
        <w:pStyle w:val="40"/>
      </w:pPr>
      <w:r>
        <w:t>总则</w:t>
      </w:r>
    </w:p>
    <w:p>
      <w:pPr>
        <w:pStyle w:val="41"/>
        <w:rPr>
          <w:rFonts w:cs="Times New Roman"/>
        </w:rPr>
      </w:pPr>
      <w:r>
        <w:rPr>
          <w:rFonts w:cs="Times New Roman"/>
        </w:rPr>
        <w:t>产品性能</w:t>
      </w:r>
    </w:p>
    <w:p>
      <w:pPr>
        <w:ind w:firstLine="416"/>
        <w:rPr>
          <w:rFonts w:cs="Times New Roman"/>
          <w:spacing w:val="-1"/>
        </w:rPr>
      </w:pPr>
      <w:r>
        <w:rPr>
          <w:rFonts w:cs="Times New Roman"/>
          <w:spacing w:val="-1"/>
        </w:rPr>
        <w:t>水下井口装置性能应通过</w:t>
      </w:r>
      <w:r>
        <w:rPr>
          <w:rFonts w:hint="eastAsia" w:cs="Times New Roman"/>
          <w:spacing w:val="-1"/>
        </w:rPr>
        <w:t>产品</w:t>
      </w:r>
      <w:r>
        <w:rPr>
          <w:rFonts w:cs="Times New Roman"/>
          <w:spacing w:val="-1"/>
        </w:rPr>
        <w:t>试验和分析计算确定。</w:t>
      </w:r>
    </w:p>
    <w:p>
      <w:pPr>
        <w:ind w:firstLine="416"/>
        <w:rPr>
          <w:rFonts w:cs="Times New Roman"/>
          <w:b/>
          <w:bCs/>
          <w:highlight w:val="yellow"/>
        </w:rPr>
      </w:pPr>
      <w:r>
        <w:rPr>
          <w:rFonts w:cs="Times New Roman"/>
          <w:spacing w:val="-1"/>
        </w:rPr>
        <w:t>产品试验主要包括性能鉴定试验和出厂验收试验。性能鉴定试验用来证明和鉴定通用系列产品的性能，能够反映出不同规格产品特定性能特征。新开发产品应进行性能鉴定试验。</w:t>
      </w:r>
      <w:bookmarkStart w:id="62" w:name="OLE_LINK1"/>
      <w:bookmarkStart w:id="63" w:name="OLE_LINK2"/>
      <w:r>
        <w:rPr>
          <w:rFonts w:cs="Times New Roman"/>
          <w:spacing w:val="-1"/>
        </w:rPr>
        <w:t>出厂验收试验是针对处于发运状态的产品的功能及性能试验。水下井口装置性能鉴定试验和出厂验收试验应满足6.1规定。</w:t>
      </w:r>
    </w:p>
    <w:p>
      <w:pPr>
        <w:ind w:firstLine="416"/>
        <w:rPr>
          <w:rFonts w:cs="Times New Roman"/>
          <w:spacing w:val="-1"/>
        </w:rPr>
      </w:pPr>
      <w:r>
        <w:rPr>
          <w:rFonts w:cs="Times New Roman"/>
          <w:spacing w:val="-1"/>
        </w:rPr>
        <w:t>分析</w:t>
      </w:r>
      <w:r>
        <w:rPr>
          <w:rFonts w:cs="Times New Roman"/>
          <w:color w:val="000000"/>
          <w:spacing w:val="-1"/>
        </w:rPr>
        <w:t>计算</w:t>
      </w:r>
      <w:r>
        <w:rPr>
          <w:rFonts w:cs="Times New Roman"/>
          <w:color w:val="000000"/>
        </w:rPr>
        <w:t>应采用经过工程实践认可的技术/程序进行分析。</w:t>
      </w:r>
    </w:p>
    <w:bookmarkEnd w:id="62"/>
    <w:bookmarkEnd w:id="63"/>
    <w:p>
      <w:pPr>
        <w:pStyle w:val="41"/>
        <w:rPr>
          <w:rFonts w:cs="Times New Roman"/>
        </w:rPr>
      </w:pPr>
      <w:r>
        <w:rPr>
          <w:rFonts w:cs="Times New Roman"/>
        </w:rPr>
        <w:t>承压完整性</w:t>
      </w:r>
      <w:r>
        <w:rPr>
          <w:rStyle w:val="29"/>
          <w:rFonts w:cs="Times New Roman"/>
        </w:rPr>
        <w:endnoteReference w:id="0"/>
      </w:r>
    </w:p>
    <w:p>
      <w:pPr>
        <w:ind w:firstLine="420"/>
        <w:rPr>
          <w:rFonts w:cs="Times New Roman"/>
        </w:rPr>
      </w:pPr>
      <w:r>
        <w:rPr>
          <w:rFonts w:cs="Times New Roman"/>
        </w:rPr>
        <w:t>在满足其他性能要求的条件下，</w:t>
      </w:r>
      <w:r>
        <w:rPr>
          <w:rFonts w:cs="Times New Roman"/>
          <w:spacing w:val="-1"/>
        </w:rPr>
        <w:t>水下井口装置</w:t>
      </w:r>
      <w:r>
        <w:rPr>
          <w:rFonts w:cs="Times New Roman"/>
        </w:rPr>
        <w:t>应能够承受额定</w:t>
      </w:r>
      <w:r>
        <w:rPr>
          <w:rFonts w:hint="eastAsia" w:cs="Times New Roman"/>
        </w:rPr>
        <w:t>压力</w:t>
      </w:r>
      <w:r>
        <w:rPr>
          <w:rFonts w:cs="Times New Roman"/>
        </w:rPr>
        <w:t>而不变形。支撑管柱类部件应能够支承额定</w:t>
      </w:r>
      <w:r>
        <w:rPr>
          <w:rFonts w:hint="eastAsia" w:cs="Times New Roman"/>
        </w:rPr>
        <w:t>压力</w:t>
      </w:r>
      <w:r>
        <w:rPr>
          <w:rFonts w:cs="Times New Roman"/>
        </w:rPr>
        <w:t>而不会将管柱最小内径挤压至小于通径。</w:t>
      </w:r>
    </w:p>
    <w:p>
      <w:pPr>
        <w:pStyle w:val="41"/>
        <w:rPr>
          <w:rFonts w:cs="Times New Roman"/>
        </w:rPr>
      </w:pPr>
      <w:r>
        <w:rPr>
          <w:rFonts w:cs="Times New Roman"/>
        </w:rPr>
        <w:t>温度完整性</w:t>
      </w:r>
    </w:p>
    <w:p>
      <w:pPr>
        <w:ind w:firstLine="420"/>
        <w:rPr>
          <w:rFonts w:cs="Times New Roman"/>
        </w:rPr>
      </w:pPr>
      <w:r>
        <w:rPr>
          <w:rFonts w:cs="Times New Roman"/>
        </w:rPr>
        <w:t>在满足其他性能要求的条件下，</w:t>
      </w:r>
      <w:r>
        <w:rPr>
          <w:rFonts w:cs="Times New Roman"/>
          <w:spacing w:val="-1"/>
        </w:rPr>
        <w:t>水下井口装置</w:t>
      </w:r>
      <w:r>
        <w:rPr>
          <w:rFonts w:cs="Times New Roman"/>
        </w:rPr>
        <w:t>应能够在其额定温度范围内正常运行。部件的设计应满足最大和最小额定工作温度。额定温度范围应包括装置在使用期间可能经历的所有温度。</w:t>
      </w:r>
    </w:p>
    <w:p>
      <w:pPr>
        <w:pStyle w:val="41"/>
        <w:rPr>
          <w:rFonts w:cs="Times New Roman"/>
        </w:rPr>
      </w:pPr>
      <w:r>
        <w:rPr>
          <w:rFonts w:cs="Times New Roman"/>
        </w:rPr>
        <w:t>承载能力</w:t>
      </w:r>
    </w:p>
    <w:p>
      <w:pPr>
        <w:ind w:firstLine="420"/>
        <w:rPr>
          <w:rFonts w:cs="Times New Roman"/>
        </w:rPr>
      </w:pPr>
      <w:r>
        <w:rPr>
          <w:rFonts w:cs="Times New Roman"/>
        </w:rPr>
        <w:t>只要不超过应力准则，在满足其他任何性能要求的条件下，</w:t>
      </w:r>
      <w:r>
        <w:rPr>
          <w:rFonts w:cs="Times New Roman"/>
          <w:spacing w:val="-1"/>
        </w:rPr>
        <w:t>水下井口装置</w:t>
      </w:r>
      <w:r>
        <w:rPr>
          <w:rFonts w:cs="Times New Roman"/>
        </w:rPr>
        <w:t>应能够承受额定载荷而不变形。设计的支承管柱类产品应能够支承额定载荷而不会将管柱直径挤压到小于通径的尺寸。</w:t>
      </w:r>
    </w:p>
    <w:p>
      <w:pPr>
        <w:pStyle w:val="41"/>
        <w:rPr>
          <w:rFonts w:cs="Times New Roman"/>
        </w:rPr>
      </w:pPr>
      <w:r>
        <w:rPr>
          <w:rFonts w:cs="Times New Roman"/>
        </w:rPr>
        <w:t>循环</w:t>
      </w:r>
    </w:p>
    <w:p>
      <w:pPr>
        <w:ind w:firstLine="420"/>
        <w:rPr>
          <w:rFonts w:cs="Times New Roman"/>
        </w:rPr>
      </w:pPr>
      <w:r>
        <w:rPr>
          <w:rFonts w:cs="Times New Roman"/>
        </w:rPr>
        <w:t>产品运行和使用循环，应按照制造商规定的预期操作循环数设计。产品操作设计宜按照要求的压力/温度循环、外部载荷循环循环进行，采用的方法和应用的部位与性能鉴定试验一致。</w:t>
      </w:r>
    </w:p>
    <w:p>
      <w:pPr>
        <w:pStyle w:val="40"/>
      </w:pPr>
      <w:bookmarkStart w:id="64" w:name="_Toc95911829"/>
      <w:r>
        <w:t>工作条件</w:t>
      </w:r>
      <w:bookmarkEnd w:id="64"/>
    </w:p>
    <w:p>
      <w:pPr>
        <w:pStyle w:val="41"/>
        <w:rPr>
          <w:rFonts w:cs="Times New Roman"/>
        </w:rPr>
      </w:pPr>
      <w:r>
        <w:rPr>
          <w:rFonts w:cs="Times New Roman"/>
        </w:rPr>
        <w:t>压力等级</w:t>
      </w:r>
    </w:p>
    <w:p>
      <w:pPr>
        <w:ind w:firstLine="420"/>
        <w:rPr>
          <w:rFonts w:cs="Times New Roman"/>
        </w:rPr>
      </w:pPr>
      <w:r>
        <w:rPr>
          <w:rFonts w:cs="Times New Roman"/>
        </w:rPr>
        <w:t>水下井口装置</w:t>
      </w:r>
      <w:r>
        <w:rPr>
          <w:rFonts w:cs="Times New Roman"/>
          <w:spacing w:val="-1"/>
        </w:rPr>
        <w:t>额定工作压力</w:t>
      </w:r>
      <w:r>
        <w:rPr>
          <w:rFonts w:cs="Times New Roman"/>
        </w:rPr>
        <w:t>设计应符合</w:t>
      </w:r>
      <w:r>
        <w:rPr>
          <w:rFonts w:cs="Times New Roman"/>
        </w:rPr>
        <w:fldChar w:fldCharType="begin"/>
      </w:r>
      <w:r>
        <w:rPr>
          <w:rFonts w:cs="Times New Roman"/>
        </w:rPr>
        <w:instrText xml:space="preserve"> REF _Ref112223423 \h  \* MERGEFORMAT </w:instrText>
      </w:r>
      <w:r>
        <w:rPr>
          <w:rFonts w:cs="Times New Roman"/>
        </w:rPr>
        <w:fldChar w:fldCharType="separate"/>
      </w:r>
      <w:r>
        <w:rPr>
          <w:rFonts w:cs="Times New Roman"/>
        </w:rPr>
        <w:t>表 1</w:t>
      </w:r>
      <w:r>
        <w:rPr>
          <w:rFonts w:cs="Times New Roman"/>
        </w:rPr>
        <w:fldChar w:fldCharType="end"/>
      </w:r>
      <w:r>
        <w:rPr>
          <w:rFonts w:cs="Times New Roman"/>
        </w:rPr>
        <w:t xml:space="preserve"> 规定的标准压力</w:t>
      </w:r>
      <w:r>
        <w:rPr>
          <w:rFonts w:hint="eastAsia" w:cs="Times New Roman"/>
        </w:rPr>
        <w:t>等级</w:t>
      </w:r>
      <w:r>
        <w:rPr>
          <w:rFonts w:cs="Times New Roman"/>
        </w:rPr>
        <w:t>。</w:t>
      </w:r>
    </w:p>
    <w:p>
      <w:pPr>
        <w:pStyle w:val="69"/>
      </w:pPr>
      <w:bookmarkStart w:id="65" w:name="_Ref112223423"/>
      <w:r>
        <w:t xml:space="preserve">表 </w:t>
      </w:r>
      <w:r>
        <w:fldChar w:fldCharType="begin"/>
      </w:r>
      <w:r>
        <w:instrText xml:space="preserve"> SEQ 表 \* ARABIC </w:instrText>
      </w:r>
      <w:r>
        <w:fldChar w:fldCharType="separate"/>
      </w:r>
      <w:r>
        <w:t>1</w:t>
      </w:r>
      <w:r>
        <w:fldChar w:fldCharType="end"/>
      </w:r>
      <w:bookmarkEnd w:id="65"/>
      <w:r>
        <w:t xml:space="preserve"> </w:t>
      </w:r>
      <w:r>
        <w:rPr>
          <w:lang w:bidi="ar"/>
        </w:rPr>
        <w:t>水下井口</w:t>
      </w:r>
      <w:r>
        <w:rPr>
          <w:rFonts w:hint="eastAsia"/>
          <w:lang w:bidi="ar"/>
        </w:rPr>
        <w:t>装置</w:t>
      </w:r>
      <w:r>
        <w:rPr>
          <w:lang w:bidi="ar"/>
        </w:rPr>
        <w:t>标准压力等级</w:t>
      </w:r>
    </w:p>
    <w:tbl>
      <w:tblPr>
        <w:tblStyle w:val="27"/>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28"/>
        <w:gridCol w:w="21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cs="Times New Roman"/>
                <w:lang w:bidi="ar"/>
              </w:rPr>
              <w:t>设备</w:t>
            </w:r>
          </w:p>
        </w:tc>
        <w:tc>
          <w:tcPr>
            <w:tcW w:w="63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Times New Roman"/>
              </w:rPr>
            </w:pPr>
            <w:r>
              <w:rPr>
                <w:rFonts w:cs="Times New Roman"/>
                <w:lang w:bidi="ar"/>
              </w:rPr>
              <w:t>压力等级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00"/>
              <w:rPr>
                <w:rFonts w:cs="Times New Roman"/>
                <w:sz w:val="20"/>
                <w:szCs w:val="20"/>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Times New Roman"/>
              </w:rPr>
            </w:pPr>
            <w:r>
              <w:rPr>
                <w:rFonts w:cs="Times New Roman"/>
                <w:lang w:bidi="ar"/>
              </w:rPr>
              <w:t>34.5MPa</w:t>
            </w:r>
            <w:r>
              <w:rPr>
                <w:rFonts w:hint="eastAsia" w:cs="Times New Roman"/>
                <w:lang w:bidi="ar"/>
              </w:rPr>
              <w:t>（</w:t>
            </w:r>
            <w:r>
              <w:rPr>
                <w:rFonts w:cs="Times New Roman"/>
                <w:lang w:bidi="ar"/>
              </w:rPr>
              <w:t>5000psi</w:t>
            </w:r>
            <w:r>
              <w:rPr>
                <w:rFonts w:hint="eastAsia" w:cs="Times New Roman"/>
                <w:lang w:bidi="ar"/>
              </w:rPr>
              <w:t>）</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Times New Roman"/>
              </w:rPr>
            </w:pPr>
            <w:r>
              <w:rPr>
                <w:rFonts w:cs="Times New Roman"/>
                <w:lang w:bidi="ar"/>
              </w:rPr>
              <w:t>69MPa</w:t>
            </w:r>
            <w:r>
              <w:rPr>
                <w:rFonts w:hint="eastAsia" w:cs="Times New Roman"/>
                <w:lang w:bidi="ar"/>
              </w:rPr>
              <w:t>（</w:t>
            </w:r>
            <w:r>
              <w:rPr>
                <w:rFonts w:cs="Times New Roman"/>
                <w:lang w:bidi="ar"/>
              </w:rPr>
              <w:t>10000psi</w:t>
            </w:r>
            <w:r>
              <w:rPr>
                <w:rFonts w:hint="eastAsia" w:cs="Times New Roman"/>
                <w:lang w:bidi="ar"/>
              </w:rPr>
              <w:t>）</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Times New Roman"/>
              </w:rPr>
            </w:pPr>
            <w:r>
              <w:rPr>
                <w:rFonts w:cs="Times New Roman"/>
                <w:lang w:bidi="ar"/>
              </w:rPr>
              <w:t>103.5MPa</w:t>
            </w:r>
            <w:r>
              <w:rPr>
                <w:rFonts w:hint="eastAsia" w:cs="Times New Roman"/>
                <w:lang w:bidi="ar"/>
              </w:rPr>
              <w:t>（</w:t>
            </w:r>
            <w:r>
              <w:rPr>
                <w:rFonts w:cs="Times New Roman"/>
                <w:lang w:bidi="ar"/>
              </w:rPr>
              <w:t>15000psi</w:t>
            </w:r>
            <w:r>
              <w:rPr>
                <w:rFonts w:hint="eastAsia" w:cs="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Times New Roman"/>
              </w:rPr>
            </w:pPr>
            <w:r>
              <w:rPr>
                <w:rFonts w:cs="Times New Roman"/>
                <w:lang w:bidi="ar"/>
              </w:rPr>
              <w:t>控压件</w:t>
            </w:r>
            <w:r>
              <w:rPr>
                <w:rFonts w:cs="Times New Roman"/>
                <w:vertAlign w:val="superscript"/>
                <w:lang w:bidi="ar"/>
              </w:rPr>
              <w:t>a</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hint="eastAsia" w:cs="Times New Roman"/>
              </w:rPr>
              <w:t>√</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hint="eastAsia" w:cs="Times New Roman"/>
              </w:rPr>
              <w:t>√</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Times New Roman"/>
              </w:rPr>
            </w:pPr>
            <w:r>
              <w:rPr>
                <w:rFonts w:cs="Times New Roman"/>
                <w:lang w:bidi="ar"/>
              </w:rPr>
              <w:t>承压件</w:t>
            </w:r>
            <w:r>
              <w:rPr>
                <w:rFonts w:cs="Times New Roman"/>
                <w:vertAlign w:val="superscript"/>
                <w:lang w:bidi="ar"/>
              </w:rPr>
              <w:t>a</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hint="eastAsia" w:cs="Times New Roman"/>
              </w:rPr>
              <w:t>√</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hint="eastAsia" w:cs="Times New Roman"/>
              </w:rPr>
              <w:t>√</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Times New Roman"/>
              </w:rPr>
            </w:pPr>
            <w:r>
              <w:rPr>
                <w:rFonts w:cs="Times New Roman"/>
                <w:lang w:bidi="ar"/>
              </w:rPr>
              <w:t>高压井口头</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hint="eastAsia" w:cs="Times New Roman"/>
              </w:rPr>
              <w:t>√</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hint="eastAsia" w:cs="Times New Roman"/>
              </w:rPr>
              <w:t>√</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Times New Roman"/>
              </w:rPr>
            </w:pPr>
            <w:r>
              <w:rPr>
                <w:rFonts w:cs="Times New Roman"/>
                <w:lang w:bidi="ar"/>
              </w:rPr>
              <w:t>套管悬挂器、</w:t>
            </w:r>
          </w:p>
          <w:p>
            <w:pPr>
              <w:ind w:firstLine="0" w:firstLineChars="0"/>
              <w:jc w:val="center"/>
              <w:rPr>
                <w:rFonts w:cs="Times New Roman"/>
              </w:rPr>
            </w:pPr>
            <w:r>
              <w:rPr>
                <w:rFonts w:cs="Times New Roman"/>
                <w:lang w:bidi="ar"/>
              </w:rPr>
              <w:t>井口内部组件</w:t>
            </w:r>
            <w:r>
              <w:rPr>
                <w:rFonts w:cs="Times New Roman"/>
                <w:vertAlign w:val="superscript"/>
                <w:lang w:bidi="ar"/>
              </w:rPr>
              <w:t>b,c</w:t>
            </w:r>
          </w:p>
        </w:tc>
        <w:tc>
          <w:tcPr>
            <w:tcW w:w="63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cs="Times New Roman"/>
                <w:lang w:bidi="ar"/>
              </w:rPr>
              <w:t>按照制造商要求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Times New Roman"/>
              </w:rPr>
            </w:pPr>
            <w:r>
              <w:rPr>
                <w:rFonts w:cs="Times New Roman"/>
                <w:lang w:bidi="ar"/>
              </w:rPr>
              <w:t>其他</w:t>
            </w:r>
          </w:p>
        </w:tc>
        <w:tc>
          <w:tcPr>
            <w:tcW w:w="63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cs="Times New Roman"/>
              </w:rPr>
            </w:pPr>
            <w:r>
              <w:rPr>
                <w:rFonts w:cs="Times New Roman"/>
                <w:lang w:bidi="ar"/>
              </w:rPr>
              <w:t>按照制造商要求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cs="Times New Roman"/>
              </w:rPr>
            </w:pPr>
            <w:r>
              <w:rPr>
                <w:rFonts w:hint="eastAsia" w:cs="Times New Roman"/>
                <w:lang w:bidi="ar"/>
              </w:rPr>
              <w:t>a：</w:t>
            </w:r>
            <w:r>
              <w:rPr>
                <w:rFonts w:cs="Times New Roman"/>
                <w:lang w:bidi="ar"/>
              </w:rPr>
              <w:t>除非其他特别要求，否则仅适用标准压力；</w:t>
            </w:r>
          </w:p>
          <w:p>
            <w:pPr>
              <w:ind w:firstLine="0" w:firstLineChars="0"/>
              <w:rPr>
                <w:rFonts w:cs="Times New Roman"/>
              </w:rPr>
            </w:pPr>
            <w:r>
              <w:rPr>
                <w:rFonts w:cs="Times New Roman"/>
                <w:lang w:bidi="ar"/>
              </w:rPr>
              <w:t>b</w:t>
            </w:r>
            <w:r>
              <w:rPr>
                <w:rFonts w:hint="eastAsia" w:cs="Times New Roman"/>
                <w:lang w:bidi="ar"/>
              </w:rPr>
              <w:t>：</w:t>
            </w:r>
            <w:r>
              <w:rPr>
                <w:rFonts w:cs="Times New Roman"/>
                <w:lang w:bidi="ar"/>
              </w:rPr>
              <w:t>螺纹连接的额定压力可能低于制造商规定的总成的RWP；</w:t>
            </w:r>
          </w:p>
          <w:p>
            <w:pPr>
              <w:ind w:firstLine="0" w:firstLineChars="0"/>
              <w:rPr>
                <w:rFonts w:cs="Times New Roman"/>
              </w:rPr>
            </w:pPr>
            <w:r>
              <w:rPr>
                <w:rFonts w:cs="Times New Roman"/>
                <w:lang w:bidi="ar"/>
              </w:rPr>
              <w:t>c</w:t>
            </w:r>
            <w:r>
              <w:rPr>
                <w:rFonts w:hint="eastAsia" w:cs="Times New Roman"/>
                <w:lang w:bidi="ar"/>
              </w:rPr>
              <w:t>：</w:t>
            </w:r>
            <w:r>
              <w:rPr>
                <w:rFonts w:cs="Times New Roman"/>
                <w:lang w:bidi="ar"/>
              </w:rPr>
              <w:t>受尺寸、连接螺纹和操作要求等影响，工具和内部组件可能有其他额定压力。</w:t>
            </w:r>
            <w:r>
              <w:rPr>
                <w:rFonts w:cs="Times New Roman"/>
              </w:rPr>
              <w:t xml:space="preserve"> </w:t>
            </w:r>
          </w:p>
        </w:tc>
      </w:tr>
    </w:tbl>
    <w:p>
      <w:pPr>
        <w:ind w:firstLine="420"/>
        <w:rPr>
          <w:rFonts w:cs="Times New Roman"/>
        </w:rPr>
      </w:pPr>
    </w:p>
    <w:p>
      <w:pPr>
        <w:pStyle w:val="41"/>
        <w:rPr>
          <w:rFonts w:cs="Times New Roman"/>
        </w:rPr>
      </w:pPr>
      <w:r>
        <w:rPr>
          <w:rFonts w:cs="Times New Roman"/>
        </w:rPr>
        <w:t>温度等级</w:t>
      </w:r>
    </w:p>
    <w:p>
      <w:pPr>
        <w:ind w:firstLine="416"/>
        <w:rPr>
          <w:rFonts w:cs="Times New Roman"/>
        </w:rPr>
      </w:pPr>
      <w:r>
        <w:rPr>
          <w:rFonts w:cs="Times New Roman"/>
          <w:spacing w:val="-1"/>
        </w:rPr>
        <w:t>水下井口装置</w:t>
      </w:r>
      <w:r>
        <w:rPr>
          <w:rFonts w:cs="Times New Roman"/>
        </w:rPr>
        <w:t>应定义工作温度范围，并给定额定温度范围值。除非另有说明，否则温度等级应符合</w:t>
      </w:r>
      <w:r>
        <w:rPr>
          <w:rFonts w:cs="Times New Roman"/>
        </w:rPr>
        <w:fldChar w:fldCharType="begin"/>
      </w:r>
      <w:r>
        <w:rPr>
          <w:rFonts w:cs="Times New Roman"/>
        </w:rPr>
        <w:instrText xml:space="preserve"> REF _Ref112223530 \h  \* MERGEFORMAT </w:instrText>
      </w:r>
      <w:r>
        <w:rPr>
          <w:rFonts w:cs="Times New Roman"/>
        </w:rPr>
        <w:fldChar w:fldCharType="separate"/>
      </w:r>
      <w:r>
        <w:rPr>
          <w:rFonts w:cs="Times New Roman"/>
        </w:rPr>
        <w:t>表 2</w:t>
      </w:r>
      <w:r>
        <w:rPr>
          <w:rFonts w:cs="Times New Roman"/>
        </w:rPr>
        <w:fldChar w:fldCharType="end"/>
      </w:r>
      <w:r>
        <w:rPr>
          <w:rFonts w:cs="Times New Roman"/>
        </w:rPr>
        <w:t>。</w:t>
      </w:r>
    </w:p>
    <w:p>
      <w:pPr>
        <w:pStyle w:val="69"/>
      </w:pPr>
      <w:bookmarkStart w:id="66" w:name="_Ref112223530"/>
      <w:r>
        <w:t xml:space="preserve">表 </w:t>
      </w:r>
      <w:r>
        <w:fldChar w:fldCharType="begin"/>
      </w:r>
      <w:r>
        <w:instrText xml:space="preserve"> SEQ 表 \* ARABIC </w:instrText>
      </w:r>
      <w:r>
        <w:fldChar w:fldCharType="separate"/>
      </w:r>
      <w:r>
        <w:t>2</w:t>
      </w:r>
      <w:r>
        <w:fldChar w:fldCharType="end"/>
      </w:r>
      <w:bookmarkEnd w:id="66"/>
      <w:r>
        <w:t xml:space="preserve"> 水下井口装置标准温度等级</w:t>
      </w:r>
    </w:p>
    <w:tbl>
      <w:tblPr>
        <w:tblStyle w:val="26"/>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515"/>
        <w:gridCol w:w="1794"/>
        <w:gridCol w:w="151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24" w:type="dxa"/>
            <w:vMerge w:val="restart"/>
            <w:vAlign w:val="center"/>
          </w:tcPr>
          <w:p>
            <w:pPr>
              <w:pStyle w:val="70"/>
              <w:rPr>
                <w:rFonts w:cs="Times New Roman"/>
              </w:rPr>
            </w:pPr>
            <w:r>
              <w:rPr>
                <w:rFonts w:cs="Times New Roman"/>
              </w:rPr>
              <w:t>温度等级</w:t>
            </w:r>
          </w:p>
        </w:tc>
        <w:tc>
          <w:tcPr>
            <w:tcW w:w="6664" w:type="dxa"/>
            <w:gridSpan w:val="4"/>
            <w:vAlign w:val="center"/>
          </w:tcPr>
          <w:p>
            <w:pPr>
              <w:pStyle w:val="70"/>
              <w:rPr>
                <w:rFonts w:cs="Times New Roman"/>
              </w:rPr>
            </w:pPr>
            <w:r>
              <w:rPr>
                <w:rFonts w:cs="Times New Roman"/>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624" w:type="dxa"/>
            <w:vMerge w:val="continue"/>
            <w:vAlign w:val="center"/>
          </w:tcPr>
          <w:p>
            <w:pPr>
              <w:pStyle w:val="70"/>
              <w:rPr>
                <w:rFonts w:cs="Times New Roman"/>
                <w:b/>
                <w:color w:val="252525"/>
                <w:kern w:val="0"/>
                <w:sz w:val="20"/>
                <w:szCs w:val="20"/>
              </w:rPr>
            </w:pPr>
          </w:p>
        </w:tc>
        <w:tc>
          <w:tcPr>
            <w:tcW w:w="3309" w:type="dxa"/>
            <w:gridSpan w:val="2"/>
            <w:vAlign w:val="center"/>
          </w:tcPr>
          <w:p>
            <w:pPr>
              <w:pStyle w:val="70"/>
              <w:rPr>
                <w:rFonts w:cs="Times New Roman"/>
              </w:rPr>
            </w:pPr>
            <w:r>
              <w:rPr>
                <w:rFonts w:hint="eastAsia" w:ascii="宋体" w:hAnsi="宋体" w:cs="宋体"/>
              </w:rPr>
              <w:t>℃</w:t>
            </w:r>
          </w:p>
        </w:tc>
        <w:tc>
          <w:tcPr>
            <w:tcW w:w="3355" w:type="dxa"/>
            <w:gridSpan w:val="2"/>
            <w:vAlign w:val="center"/>
          </w:tcPr>
          <w:p>
            <w:pPr>
              <w:pStyle w:val="70"/>
              <w:rPr>
                <w:rFonts w:cs="Times New Roman"/>
                <w:color w:val="252525"/>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624" w:type="dxa"/>
            <w:vMerge w:val="continue"/>
            <w:vAlign w:val="center"/>
          </w:tcPr>
          <w:p>
            <w:pPr>
              <w:pStyle w:val="70"/>
              <w:rPr>
                <w:rFonts w:cs="Times New Roman"/>
                <w:b/>
                <w:color w:val="252525"/>
                <w:kern w:val="0"/>
                <w:sz w:val="20"/>
                <w:szCs w:val="20"/>
              </w:rPr>
            </w:pPr>
          </w:p>
        </w:tc>
        <w:tc>
          <w:tcPr>
            <w:tcW w:w="1515" w:type="dxa"/>
            <w:vAlign w:val="center"/>
          </w:tcPr>
          <w:p>
            <w:pPr>
              <w:pStyle w:val="70"/>
              <w:rPr>
                <w:rFonts w:cs="Times New Roman"/>
                <w:color w:val="545454"/>
              </w:rPr>
            </w:pPr>
            <w:r>
              <w:rPr>
                <w:rFonts w:cs="Times New Roman"/>
              </w:rPr>
              <w:t>min</w:t>
            </w:r>
          </w:p>
        </w:tc>
        <w:tc>
          <w:tcPr>
            <w:tcW w:w="1794" w:type="dxa"/>
            <w:vAlign w:val="center"/>
          </w:tcPr>
          <w:p>
            <w:pPr>
              <w:pStyle w:val="70"/>
              <w:rPr>
                <w:rFonts w:cs="Times New Roman"/>
              </w:rPr>
            </w:pPr>
            <w:r>
              <w:rPr>
                <w:rFonts w:cs="Times New Roman"/>
              </w:rPr>
              <w:t>max</w:t>
            </w:r>
          </w:p>
        </w:tc>
        <w:tc>
          <w:tcPr>
            <w:tcW w:w="1518" w:type="dxa"/>
            <w:vAlign w:val="center"/>
          </w:tcPr>
          <w:p>
            <w:pPr>
              <w:pStyle w:val="70"/>
              <w:rPr>
                <w:rFonts w:cs="Times New Roman"/>
              </w:rPr>
            </w:pPr>
            <w:r>
              <w:rPr>
                <w:rFonts w:cs="Times New Roman"/>
              </w:rPr>
              <w:t>min</w:t>
            </w:r>
          </w:p>
        </w:tc>
        <w:tc>
          <w:tcPr>
            <w:tcW w:w="1837" w:type="dxa"/>
            <w:vAlign w:val="center"/>
          </w:tcPr>
          <w:p>
            <w:pPr>
              <w:pStyle w:val="70"/>
              <w:rPr>
                <w:rFonts w:cs="Times New Roman"/>
                <w:color w:val="545454"/>
              </w:rPr>
            </w:pPr>
            <w:r>
              <w:rPr>
                <w:rFonts w:cs="Times New Roman"/>
              </w:rPr>
              <w:t>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624" w:type="dxa"/>
            <w:vAlign w:val="center"/>
          </w:tcPr>
          <w:p>
            <w:pPr>
              <w:pStyle w:val="70"/>
              <w:rPr>
                <w:rFonts w:cs="Times New Roman"/>
              </w:rPr>
            </w:pPr>
            <w:r>
              <w:rPr>
                <w:rFonts w:cs="Times New Roman"/>
              </w:rPr>
              <w:t>K</w:t>
            </w:r>
          </w:p>
        </w:tc>
        <w:tc>
          <w:tcPr>
            <w:tcW w:w="1515" w:type="dxa"/>
            <w:vAlign w:val="center"/>
          </w:tcPr>
          <w:p>
            <w:pPr>
              <w:pStyle w:val="70"/>
              <w:rPr>
                <w:rFonts w:cs="Times New Roman"/>
              </w:rPr>
            </w:pPr>
            <w:r>
              <w:rPr>
                <w:rFonts w:cs="Times New Roman"/>
                <w:color w:val="000000"/>
              </w:rPr>
              <w:t>-</w:t>
            </w:r>
            <w:r>
              <w:rPr>
                <w:rFonts w:cs="Times New Roman"/>
              </w:rPr>
              <w:t>60</w:t>
            </w:r>
          </w:p>
        </w:tc>
        <w:tc>
          <w:tcPr>
            <w:tcW w:w="1794" w:type="dxa"/>
            <w:vAlign w:val="center"/>
          </w:tcPr>
          <w:p>
            <w:pPr>
              <w:pStyle w:val="70"/>
              <w:rPr>
                <w:rFonts w:cs="Times New Roman"/>
              </w:rPr>
            </w:pPr>
            <w:r>
              <w:rPr>
                <w:rFonts w:cs="Times New Roman"/>
              </w:rPr>
              <w:t>82</w:t>
            </w:r>
          </w:p>
        </w:tc>
        <w:tc>
          <w:tcPr>
            <w:tcW w:w="1518" w:type="dxa"/>
            <w:vAlign w:val="center"/>
          </w:tcPr>
          <w:p>
            <w:pPr>
              <w:pStyle w:val="70"/>
              <w:rPr>
                <w:rFonts w:cs="Times New Roman"/>
              </w:rPr>
            </w:pPr>
            <w:r>
              <w:rPr>
                <w:rFonts w:cs="Times New Roman"/>
                <w:color w:val="0B0B0B"/>
              </w:rPr>
              <w:t>-</w:t>
            </w:r>
            <w:r>
              <w:rPr>
                <w:rFonts w:cs="Times New Roman"/>
              </w:rPr>
              <w:t>75</w:t>
            </w:r>
          </w:p>
        </w:tc>
        <w:tc>
          <w:tcPr>
            <w:tcW w:w="1837" w:type="dxa"/>
            <w:vAlign w:val="center"/>
          </w:tcPr>
          <w:p>
            <w:pPr>
              <w:pStyle w:val="70"/>
              <w:rPr>
                <w:rFonts w:cs="Times New Roman"/>
              </w:rPr>
            </w:pPr>
            <w:r>
              <w:rPr>
                <w:rFonts w:cs="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24" w:type="dxa"/>
            <w:vAlign w:val="center"/>
          </w:tcPr>
          <w:p>
            <w:pPr>
              <w:pStyle w:val="70"/>
              <w:rPr>
                <w:rFonts w:cs="Times New Roman"/>
              </w:rPr>
            </w:pPr>
            <w:r>
              <w:rPr>
                <w:rFonts w:cs="Times New Roman"/>
              </w:rPr>
              <w:t>L</w:t>
            </w:r>
          </w:p>
        </w:tc>
        <w:tc>
          <w:tcPr>
            <w:tcW w:w="1515" w:type="dxa"/>
            <w:vAlign w:val="center"/>
          </w:tcPr>
          <w:p>
            <w:pPr>
              <w:pStyle w:val="70"/>
              <w:rPr>
                <w:rFonts w:cs="Times New Roman"/>
              </w:rPr>
            </w:pPr>
            <w:r>
              <w:rPr>
                <w:rFonts w:cs="Times New Roman"/>
              </w:rPr>
              <w:t>-46</w:t>
            </w:r>
          </w:p>
        </w:tc>
        <w:tc>
          <w:tcPr>
            <w:tcW w:w="1794" w:type="dxa"/>
            <w:vAlign w:val="center"/>
          </w:tcPr>
          <w:p>
            <w:pPr>
              <w:pStyle w:val="70"/>
              <w:rPr>
                <w:rFonts w:cs="Times New Roman"/>
              </w:rPr>
            </w:pPr>
            <w:r>
              <w:rPr>
                <w:rFonts w:cs="Times New Roman"/>
              </w:rPr>
              <w:t>82</w:t>
            </w:r>
          </w:p>
        </w:tc>
        <w:tc>
          <w:tcPr>
            <w:tcW w:w="1518" w:type="dxa"/>
            <w:vAlign w:val="center"/>
          </w:tcPr>
          <w:p>
            <w:pPr>
              <w:pStyle w:val="70"/>
              <w:rPr>
                <w:rFonts w:cs="Times New Roman"/>
              </w:rPr>
            </w:pPr>
            <w:r>
              <w:rPr>
                <w:rFonts w:cs="Times New Roman"/>
              </w:rPr>
              <w:t>-50</w:t>
            </w:r>
          </w:p>
        </w:tc>
        <w:tc>
          <w:tcPr>
            <w:tcW w:w="1837" w:type="dxa"/>
            <w:vAlign w:val="center"/>
          </w:tcPr>
          <w:p>
            <w:pPr>
              <w:pStyle w:val="70"/>
              <w:rPr>
                <w:rFonts w:cs="Times New Roman"/>
              </w:rPr>
            </w:pPr>
            <w:r>
              <w:rPr>
                <w:rFonts w:cs="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4" w:type="dxa"/>
            <w:vAlign w:val="center"/>
          </w:tcPr>
          <w:p>
            <w:pPr>
              <w:pStyle w:val="70"/>
              <w:rPr>
                <w:rFonts w:cs="Times New Roman"/>
              </w:rPr>
            </w:pPr>
            <w:r>
              <w:rPr>
                <w:rFonts w:cs="Times New Roman"/>
              </w:rPr>
              <w:t>N</w:t>
            </w:r>
          </w:p>
        </w:tc>
        <w:tc>
          <w:tcPr>
            <w:tcW w:w="1515" w:type="dxa"/>
            <w:vAlign w:val="center"/>
          </w:tcPr>
          <w:p>
            <w:pPr>
              <w:pStyle w:val="70"/>
              <w:rPr>
                <w:rFonts w:cs="Times New Roman"/>
              </w:rPr>
            </w:pPr>
            <w:r>
              <w:rPr>
                <w:rFonts w:cs="Times New Roman"/>
              </w:rPr>
              <w:t>-46</w:t>
            </w:r>
          </w:p>
        </w:tc>
        <w:tc>
          <w:tcPr>
            <w:tcW w:w="1794" w:type="dxa"/>
            <w:vAlign w:val="center"/>
          </w:tcPr>
          <w:p>
            <w:pPr>
              <w:pStyle w:val="70"/>
              <w:rPr>
                <w:rFonts w:cs="Times New Roman"/>
              </w:rPr>
            </w:pPr>
            <w:r>
              <w:rPr>
                <w:rFonts w:cs="Times New Roman"/>
              </w:rPr>
              <w:t>60</w:t>
            </w:r>
          </w:p>
        </w:tc>
        <w:tc>
          <w:tcPr>
            <w:tcW w:w="1518" w:type="dxa"/>
            <w:vAlign w:val="center"/>
          </w:tcPr>
          <w:p>
            <w:pPr>
              <w:pStyle w:val="70"/>
              <w:rPr>
                <w:rFonts w:cs="Times New Roman"/>
              </w:rPr>
            </w:pPr>
            <w:r>
              <w:rPr>
                <w:rFonts w:cs="Times New Roman"/>
                <w:color w:val="545454"/>
              </w:rPr>
              <w:t>-</w:t>
            </w:r>
            <w:r>
              <w:rPr>
                <w:rFonts w:cs="Times New Roman"/>
              </w:rPr>
              <w:t>50</w:t>
            </w:r>
          </w:p>
        </w:tc>
        <w:tc>
          <w:tcPr>
            <w:tcW w:w="1837" w:type="dxa"/>
            <w:vAlign w:val="center"/>
          </w:tcPr>
          <w:p>
            <w:pPr>
              <w:pStyle w:val="70"/>
              <w:rPr>
                <w:rFonts w:cs="Times New Roman"/>
              </w:rPr>
            </w:pPr>
            <w:r>
              <w:rPr>
                <w:rFonts w:cs="Times New Roma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24" w:type="dxa"/>
            <w:vAlign w:val="center"/>
          </w:tcPr>
          <w:p>
            <w:pPr>
              <w:pStyle w:val="70"/>
              <w:rPr>
                <w:rFonts w:cs="Times New Roman"/>
              </w:rPr>
            </w:pPr>
            <w:r>
              <w:rPr>
                <w:rFonts w:hint="eastAsia" w:cs="Times New Roman"/>
              </w:rPr>
              <w:t>P</w:t>
            </w:r>
          </w:p>
        </w:tc>
        <w:tc>
          <w:tcPr>
            <w:tcW w:w="1515" w:type="dxa"/>
            <w:vAlign w:val="center"/>
          </w:tcPr>
          <w:p>
            <w:pPr>
              <w:pStyle w:val="70"/>
              <w:rPr>
                <w:rFonts w:cs="Times New Roman"/>
              </w:rPr>
            </w:pPr>
            <w:r>
              <w:rPr>
                <w:rFonts w:cs="Times New Roman"/>
                <w:color w:val="000000"/>
              </w:rPr>
              <w:t>-</w:t>
            </w:r>
            <w:r>
              <w:rPr>
                <w:rFonts w:cs="Times New Roman"/>
              </w:rPr>
              <w:t>29</w:t>
            </w:r>
          </w:p>
        </w:tc>
        <w:tc>
          <w:tcPr>
            <w:tcW w:w="1794" w:type="dxa"/>
            <w:vAlign w:val="center"/>
          </w:tcPr>
          <w:p>
            <w:pPr>
              <w:pStyle w:val="70"/>
              <w:rPr>
                <w:rFonts w:cs="Times New Roman"/>
              </w:rPr>
            </w:pPr>
            <w:r>
              <w:rPr>
                <w:rFonts w:cs="Times New Roman"/>
              </w:rPr>
              <w:t>82</w:t>
            </w:r>
          </w:p>
        </w:tc>
        <w:tc>
          <w:tcPr>
            <w:tcW w:w="1518" w:type="dxa"/>
            <w:vAlign w:val="center"/>
          </w:tcPr>
          <w:p>
            <w:pPr>
              <w:pStyle w:val="70"/>
              <w:rPr>
                <w:rFonts w:cs="Times New Roman"/>
              </w:rPr>
            </w:pPr>
            <w:r>
              <w:rPr>
                <w:rFonts w:cs="Times New Roman"/>
              </w:rPr>
              <w:t>-20</w:t>
            </w:r>
          </w:p>
        </w:tc>
        <w:tc>
          <w:tcPr>
            <w:tcW w:w="1837" w:type="dxa"/>
            <w:vAlign w:val="center"/>
          </w:tcPr>
          <w:p>
            <w:pPr>
              <w:pStyle w:val="70"/>
              <w:rPr>
                <w:rFonts w:cs="Times New Roman"/>
              </w:rPr>
            </w:pPr>
            <w:r>
              <w:rPr>
                <w:rFonts w:cs="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24" w:type="dxa"/>
            <w:vAlign w:val="center"/>
          </w:tcPr>
          <w:p>
            <w:pPr>
              <w:pStyle w:val="70"/>
              <w:rPr>
                <w:rFonts w:cs="Times New Roman"/>
              </w:rPr>
            </w:pPr>
            <w:r>
              <w:rPr>
                <w:rFonts w:cs="Times New Roman"/>
              </w:rPr>
              <w:t>S</w:t>
            </w:r>
          </w:p>
        </w:tc>
        <w:tc>
          <w:tcPr>
            <w:tcW w:w="1515" w:type="dxa"/>
            <w:vAlign w:val="center"/>
          </w:tcPr>
          <w:p>
            <w:pPr>
              <w:pStyle w:val="70"/>
              <w:rPr>
                <w:rFonts w:cs="Times New Roman"/>
              </w:rPr>
            </w:pPr>
            <w:r>
              <w:rPr>
                <w:rFonts w:cs="Times New Roman"/>
                <w:color w:val="000000"/>
              </w:rPr>
              <w:t>-</w:t>
            </w:r>
            <w:r>
              <w:rPr>
                <w:rFonts w:cs="Times New Roman"/>
              </w:rPr>
              <w:t>18</w:t>
            </w:r>
          </w:p>
        </w:tc>
        <w:tc>
          <w:tcPr>
            <w:tcW w:w="1794" w:type="dxa"/>
            <w:vAlign w:val="center"/>
          </w:tcPr>
          <w:p>
            <w:pPr>
              <w:pStyle w:val="70"/>
              <w:rPr>
                <w:rFonts w:cs="Times New Roman"/>
              </w:rPr>
            </w:pPr>
            <w:r>
              <w:rPr>
                <w:rFonts w:cs="Times New Roman"/>
              </w:rPr>
              <w:t>60</w:t>
            </w:r>
          </w:p>
        </w:tc>
        <w:tc>
          <w:tcPr>
            <w:tcW w:w="1518" w:type="dxa"/>
            <w:vAlign w:val="center"/>
          </w:tcPr>
          <w:p>
            <w:pPr>
              <w:pStyle w:val="70"/>
              <w:rPr>
                <w:rFonts w:cs="Times New Roman"/>
              </w:rPr>
            </w:pPr>
            <w:r>
              <w:rPr>
                <w:rFonts w:cs="Times New Roman"/>
              </w:rPr>
              <w:t>0</w:t>
            </w:r>
          </w:p>
        </w:tc>
        <w:tc>
          <w:tcPr>
            <w:tcW w:w="1837" w:type="dxa"/>
            <w:vAlign w:val="center"/>
          </w:tcPr>
          <w:p>
            <w:pPr>
              <w:pStyle w:val="70"/>
              <w:rPr>
                <w:rFonts w:cs="Times New Roman"/>
              </w:rPr>
            </w:pPr>
            <w:r>
              <w:rPr>
                <w:rFonts w:cs="Times New Roma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4" w:type="dxa"/>
            <w:vAlign w:val="center"/>
          </w:tcPr>
          <w:p>
            <w:pPr>
              <w:pStyle w:val="70"/>
              <w:rPr>
                <w:rFonts w:cs="Times New Roman"/>
              </w:rPr>
            </w:pPr>
            <w:r>
              <w:rPr>
                <w:rFonts w:cs="Times New Roman"/>
              </w:rPr>
              <w:t>T</w:t>
            </w:r>
          </w:p>
        </w:tc>
        <w:tc>
          <w:tcPr>
            <w:tcW w:w="1515" w:type="dxa"/>
            <w:vAlign w:val="center"/>
          </w:tcPr>
          <w:p>
            <w:pPr>
              <w:pStyle w:val="70"/>
              <w:rPr>
                <w:rFonts w:cs="Times New Roman"/>
              </w:rPr>
            </w:pPr>
            <w:r>
              <w:rPr>
                <w:rFonts w:cs="Times New Roman"/>
                <w:color w:val="545454"/>
              </w:rPr>
              <w:t>-</w:t>
            </w:r>
            <w:r>
              <w:rPr>
                <w:rFonts w:cs="Times New Roman"/>
              </w:rPr>
              <w:t>18</w:t>
            </w:r>
          </w:p>
        </w:tc>
        <w:tc>
          <w:tcPr>
            <w:tcW w:w="1794" w:type="dxa"/>
            <w:vAlign w:val="center"/>
          </w:tcPr>
          <w:p>
            <w:pPr>
              <w:pStyle w:val="70"/>
              <w:rPr>
                <w:rFonts w:cs="Times New Roman"/>
              </w:rPr>
            </w:pPr>
            <w:r>
              <w:rPr>
                <w:rFonts w:cs="Times New Roman"/>
              </w:rPr>
              <w:t>82</w:t>
            </w:r>
          </w:p>
        </w:tc>
        <w:tc>
          <w:tcPr>
            <w:tcW w:w="1518" w:type="dxa"/>
            <w:vAlign w:val="center"/>
          </w:tcPr>
          <w:p>
            <w:pPr>
              <w:pStyle w:val="70"/>
              <w:rPr>
                <w:rFonts w:cs="Times New Roman"/>
              </w:rPr>
            </w:pPr>
            <w:r>
              <w:rPr>
                <w:rFonts w:cs="Times New Roman"/>
              </w:rPr>
              <w:t>0</w:t>
            </w:r>
          </w:p>
        </w:tc>
        <w:tc>
          <w:tcPr>
            <w:tcW w:w="1837" w:type="dxa"/>
            <w:vAlign w:val="center"/>
          </w:tcPr>
          <w:p>
            <w:pPr>
              <w:pStyle w:val="70"/>
              <w:rPr>
                <w:rFonts w:cs="Times New Roman"/>
              </w:rPr>
            </w:pPr>
            <w:r>
              <w:rPr>
                <w:rFonts w:cs="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24" w:type="dxa"/>
            <w:vAlign w:val="center"/>
          </w:tcPr>
          <w:p>
            <w:pPr>
              <w:pStyle w:val="70"/>
              <w:rPr>
                <w:rFonts w:cs="Times New Roman"/>
              </w:rPr>
            </w:pPr>
            <w:r>
              <w:rPr>
                <w:rFonts w:cs="Times New Roman"/>
              </w:rPr>
              <w:t>U</w:t>
            </w:r>
          </w:p>
        </w:tc>
        <w:tc>
          <w:tcPr>
            <w:tcW w:w="1515" w:type="dxa"/>
            <w:vAlign w:val="center"/>
          </w:tcPr>
          <w:p>
            <w:pPr>
              <w:pStyle w:val="70"/>
              <w:rPr>
                <w:rFonts w:cs="Times New Roman"/>
              </w:rPr>
            </w:pPr>
            <w:r>
              <w:rPr>
                <w:rFonts w:cs="Times New Roman"/>
                <w:color w:val="000000"/>
              </w:rPr>
              <w:t>-</w:t>
            </w:r>
            <w:r>
              <w:rPr>
                <w:rFonts w:cs="Times New Roman"/>
              </w:rPr>
              <w:t>18</w:t>
            </w:r>
          </w:p>
        </w:tc>
        <w:tc>
          <w:tcPr>
            <w:tcW w:w="1794" w:type="dxa"/>
            <w:vAlign w:val="center"/>
          </w:tcPr>
          <w:p>
            <w:pPr>
              <w:pStyle w:val="70"/>
              <w:rPr>
                <w:rFonts w:cs="Times New Roman"/>
              </w:rPr>
            </w:pPr>
            <w:r>
              <w:rPr>
                <w:rFonts w:cs="Times New Roman"/>
              </w:rPr>
              <w:t>121</w:t>
            </w:r>
          </w:p>
        </w:tc>
        <w:tc>
          <w:tcPr>
            <w:tcW w:w="1518" w:type="dxa"/>
            <w:vAlign w:val="center"/>
          </w:tcPr>
          <w:p>
            <w:pPr>
              <w:pStyle w:val="70"/>
              <w:rPr>
                <w:rFonts w:cs="Times New Roman"/>
              </w:rPr>
            </w:pPr>
            <w:r>
              <w:rPr>
                <w:rFonts w:cs="Times New Roman"/>
              </w:rPr>
              <w:t>0</w:t>
            </w:r>
          </w:p>
        </w:tc>
        <w:tc>
          <w:tcPr>
            <w:tcW w:w="1837" w:type="dxa"/>
            <w:vAlign w:val="center"/>
          </w:tcPr>
          <w:p>
            <w:pPr>
              <w:pStyle w:val="70"/>
              <w:rPr>
                <w:rFonts w:cs="Times New Roman"/>
              </w:rPr>
            </w:pPr>
            <w:r>
              <w:rPr>
                <w:rFonts w:cs="Times New Roma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24" w:type="dxa"/>
            <w:vAlign w:val="center"/>
          </w:tcPr>
          <w:p>
            <w:pPr>
              <w:pStyle w:val="70"/>
              <w:rPr>
                <w:rFonts w:cs="Times New Roman"/>
              </w:rPr>
            </w:pPr>
            <w:r>
              <w:rPr>
                <w:rFonts w:cs="Times New Roman"/>
              </w:rPr>
              <w:t>V</w:t>
            </w:r>
          </w:p>
        </w:tc>
        <w:tc>
          <w:tcPr>
            <w:tcW w:w="1515" w:type="dxa"/>
            <w:vAlign w:val="center"/>
          </w:tcPr>
          <w:p>
            <w:pPr>
              <w:pStyle w:val="70"/>
              <w:rPr>
                <w:rFonts w:cs="Times New Roman"/>
              </w:rPr>
            </w:pPr>
            <w:r>
              <w:rPr>
                <w:rFonts w:cs="Times New Roman"/>
              </w:rPr>
              <w:t>2</w:t>
            </w:r>
          </w:p>
        </w:tc>
        <w:tc>
          <w:tcPr>
            <w:tcW w:w="1794" w:type="dxa"/>
            <w:vAlign w:val="center"/>
          </w:tcPr>
          <w:p>
            <w:pPr>
              <w:pStyle w:val="70"/>
              <w:rPr>
                <w:rFonts w:cs="Times New Roman"/>
              </w:rPr>
            </w:pPr>
            <w:r>
              <w:rPr>
                <w:rFonts w:cs="Times New Roman"/>
              </w:rPr>
              <w:t>121</w:t>
            </w:r>
          </w:p>
        </w:tc>
        <w:tc>
          <w:tcPr>
            <w:tcW w:w="1518" w:type="dxa"/>
            <w:vAlign w:val="center"/>
          </w:tcPr>
          <w:p>
            <w:pPr>
              <w:pStyle w:val="70"/>
              <w:rPr>
                <w:rFonts w:cs="Times New Roman"/>
              </w:rPr>
            </w:pPr>
            <w:r>
              <w:rPr>
                <w:rFonts w:cs="Times New Roman"/>
              </w:rPr>
              <w:t>35</w:t>
            </w:r>
          </w:p>
        </w:tc>
        <w:tc>
          <w:tcPr>
            <w:tcW w:w="1837" w:type="dxa"/>
            <w:vAlign w:val="center"/>
          </w:tcPr>
          <w:p>
            <w:pPr>
              <w:pStyle w:val="70"/>
              <w:rPr>
                <w:rFonts w:cs="Times New Roman"/>
              </w:rPr>
            </w:pPr>
            <w:r>
              <w:rPr>
                <w:rFonts w:cs="Times New Roma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288" w:type="dxa"/>
            <w:gridSpan w:val="5"/>
            <w:vAlign w:val="center"/>
          </w:tcPr>
          <w:p>
            <w:pPr>
              <w:pStyle w:val="70"/>
              <w:jc w:val="left"/>
              <w:rPr>
                <w:rFonts w:cs="Times New Roman"/>
                <w:color w:val="3B3B3B"/>
                <w:sz w:val="20"/>
                <w:szCs w:val="20"/>
              </w:rPr>
            </w:pPr>
            <w:r>
              <w:rPr>
                <w:rFonts w:cs="Times New Roman"/>
                <w:color w:val="3B3B3B"/>
                <w:sz w:val="20"/>
                <w:szCs w:val="20"/>
              </w:rPr>
              <w:t>注：</w:t>
            </w:r>
          </w:p>
          <w:p>
            <w:pPr>
              <w:pStyle w:val="70"/>
              <w:jc w:val="left"/>
              <w:rPr>
                <w:rFonts w:cs="Times New Roman"/>
                <w:color w:val="3B3B3B"/>
                <w:sz w:val="20"/>
                <w:szCs w:val="20"/>
              </w:rPr>
            </w:pPr>
            <w:r>
              <w:rPr>
                <w:rFonts w:cs="Times New Roman"/>
                <w:color w:val="3B3B3B"/>
                <w:sz w:val="20"/>
                <w:szCs w:val="20"/>
              </w:rPr>
              <w:t>最低温度是设备能承受的最低环境温度。最高温度是可直接接触设备的流体的最高温度。</w:t>
            </w:r>
          </w:p>
        </w:tc>
      </w:tr>
    </w:tbl>
    <w:p>
      <w:pPr>
        <w:ind w:firstLine="420"/>
        <w:rPr>
          <w:rFonts w:cs="Times New Roman"/>
        </w:rPr>
      </w:pPr>
    </w:p>
    <w:p>
      <w:pPr>
        <w:ind w:firstLine="420"/>
        <w:rPr>
          <w:rFonts w:cs="Times New Roman"/>
        </w:rPr>
      </w:pPr>
      <w:r>
        <w:rPr>
          <w:rFonts w:cs="Times New Roman"/>
        </w:rPr>
        <w:t>额定温度范围可采用非标准温度范围。对于可以用</w:t>
      </w:r>
      <w:r>
        <w:rPr>
          <w:rFonts w:cs="Times New Roman"/>
        </w:rPr>
        <w:fldChar w:fldCharType="begin"/>
      </w:r>
      <w:r>
        <w:rPr>
          <w:rFonts w:cs="Times New Roman"/>
        </w:rPr>
        <w:instrText xml:space="preserve"> REF _Ref112223530 \h </w:instrText>
      </w:r>
      <w:r>
        <w:rPr>
          <w:rFonts w:cs="Times New Roman"/>
        </w:rPr>
        <w:fldChar w:fldCharType="separate"/>
      </w:r>
      <w:r>
        <w:t>表 2</w:t>
      </w:r>
      <w:r>
        <w:rPr>
          <w:rFonts w:cs="Times New Roman"/>
        </w:rPr>
        <w:fldChar w:fldCharType="end"/>
      </w:r>
      <w:r>
        <w:rPr>
          <w:rFonts w:cs="Times New Roman"/>
        </w:rPr>
        <w:t>字母描述的非标准温度范围，第一个字母表示最低温度额定值，第二个字母表示最高温度额定值，例如PU或P-U级，指</w:t>
      </w:r>
      <w:r>
        <w:rPr>
          <w:rFonts w:cs="Times New Roman"/>
          <w:color w:val="000000"/>
        </w:rPr>
        <w:t>-</w:t>
      </w:r>
      <w:r>
        <w:rPr>
          <w:rFonts w:cs="Times New Roman"/>
        </w:rPr>
        <w:t>29</w:t>
      </w:r>
      <w:r>
        <w:rPr>
          <w:rFonts w:hint="eastAsia" w:ascii="宋体" w:hAnsi="宋体" w:cs="宋体"/>
        </w:rPr>
        <w:t>℃</w:t>
      </w:r>
      <w:r>
        <w:rPr>
          <w:rFonts w:cs="Times New Roman"/>
        </w:rPr>
        <w:t>（20°F）至121</w:t>
      </w:r>
      <w:r>
        <w:rPr>
          <w:rFonts w:hint="eastAsia" w:ascii="宋体" w:hAnsi="宋体" w:cs="宋体"/>
        </w:rPr>
        <w:t>℃</w:t>
      </w:r>
      <w:r>
        <w:rPr>
          <w:rFonts w:cs="Times New Roman"/>
        </w:rPr>
        <w:t>（250°F）。对于不能用</w:t>
      </w:r>
      <w:r>
        <w:rPr>
          <w:rFonts w:cs="Times New Roman"/>
        </w:rPr>
        <w:fldChar w:fldCharType="begin"/>
      </w:r>
      <w:r>
        <w:rPr>
          <w:rFonts w:cs="Times New Roman"/>
        </w:rPr>
        <w:instrText xml:space="preserve"> REF _Ref112223530 \h </w:instrText>
      </w:r>
      <w:r>
        <w:rPr>
          <w:rFonts w:cs="Times New Roman"/>
        </w:rPr>
        <w:fldChar w:fldCharType="separate"/>
      </w:r>
      <w:r>
        <w:t>表 2</w:t>
      </w:r>
      <w:r>
        <w:rPr>
          <w:rFonts w:cs="Times New Roman"/>
        </w:rPr>
        <w:fldChar w:fldCharType="end"/>
      </w:r>
      <w:r>
        <w:rPr>
          <w:rFonts w:cs="Times New Roman"/>
        </w:rPr>
        <w:t>字母描述的非标准温度范围，可以标记实际温度额定值，例如-10</w:t>
      </w:r>
      <w:r>
        <w:rPr>
          <w:rFonts w:hint="eastAsia" w:ascii="宋体" w:hAnsi="宋体" w:cs="宋体"/>
        </w:rPr>
        <w:t>℃</w:t>
      </w:r>
      <w:r>
        <w:rPr>
          <w:rFonts w:cs="Times New Roman"/>
        </w:rPr>
        <w:t>（50°F）至135</w:t>
      </w:r>
      <w:r>
        <w:rPr>
          <w:rFonts w:hint="eastAsia" w:ascii="宋体" w:hAnsi="宋体" w:cs="宋体"/>
        </w:rPr>
        <w:t>℃</w:t>
      </w:r>
      <w:r>
        <w:rPr>
          <w:rFonts w:cs="Times New Roman"/>
        </w:rPr>
        <w:t>（275°F）。</w:t>
      </w:r>
    </w:p>
    <w:p>
      <w:pPr>
        <w:pStyle w:val="41"/>
        <w:rPr>
          <w:rFonts w:cs="Times New Roman"/>
        </w:rPr>
      </w:pPr>
      <w:r>
        <w:rPr>
          <w:rFonts w:cs="Times New Roman"/>
        </w:rPr>
        <w:t>材料等级</w:t>
      </w:r>
    </w:p>
    <w:p>
      <w:pPr>
        <w:ind w:firstLine="420"/>
        <w:rPr>
          <w:rFonts w:cs="Times New Roman"/>
        </w:rPr>
      </w:pPr>
      <w:r>
        <w:rPr>
          <w:rFonts w:cs="Times New Roman"/>
        </w:rPr>
        <w:t>水下井口装置选材要求应符合</w:t>
      </w:r>
      <w:r>
        <w:rPr>
          <w:rFonts w:cs="Times New Roman"/>
        </w:rPr>
        <w:fldChar w:fldCharType="begin"/>
      </w:r>
      <w:r>
        <w:rPr>
          <w:rFonts w:cs="Times New Roman"/>
        </w:rPr>
        <w:instrText xml:space="preserve"> REF _Ref112223648 \h  \* MERGEFORMAT </w:instrText>
      </w:r>
      <w:r>
        <w:rPr>
          <w:rFonts w:cs="Times New Roman"/>
        </w:rPr>
        <w:fldChar w:fldCharType="separate"/>
      </w:r>
      <w:r>
        <w:rPr>
          <w:rFonts w:cs="Times New Roman"/>
        </w:rPr>
        <w:t>表 3</w:t>
      </w:r>
      <w:r>
        <w:rPr>
          <w:rFonts w:cs="Times New Roman"/>
        </w:rPr>
        <w:fldChar w:fldCharType="end"/>
      </w:r>
      <w:r>
        <w:rPr>
          <w:rFonts w:cs="Times New Roman"/>
        </w:rPr>
        <w:t xml:space="preserve"> 。</w:t>
      </w:r>
    </w:p>
    <w:p>
      <w:pPr>
        <w:pStyle w:val="69"/>
      </w:pPr>
      <w:bookmarkStart w:id="67" w:name="_Ref112223648"/>
      <w:bookmarkStart w:id="68" w:name="_Ref112223787"/>
      <w:r>
        <w:t xml:space="preserve">表 </w:t>
      </w:r>
      <w:r>
        <w:fldChar w:fldCharType="begin"/>
      </w:r>
      <w:r>
        <w:instrText xml:space="preserve"> SEQ 表 \* ARABIC </w:instrText>
      </w:r>
      <w:r>
        <w:fldChar w:fldCharType="separate"/>
      </w:r>
      <w:r>
        <w:t>3</w:t>
      </w:r>
      <w:r>
        <w:fldChar w:fldCharType="end"/>
      </w:r>
      <w:bookmarkEnd w:id="67"/>
      <w:r>
        <w:t xml:space="preserve"> 水下井口装置材料等级要求</w:t>
      </w:r>
      <w:bookmarkEnd w:id="68"/>
    </w:p>
    <w:tbl>
      <w:tblPr>
        <w:tblStyle w:val="27"/>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772"/>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2093" w:type="dxa"/>
            <w:vMerge w:val="restart"/>
            <w:vAlign w:val="center"/>
          </w:tcPr>
          <w:p>
            <w:pPr>
              <w:pStyle w:val="70"/>
              <w:rPr>
                <w:rFonts w:cs="Times New Roman"/>
              </w:rPr>
            </w:pPr>
            <w:r>
              <w:rPr>
                <w:rFonts w:cs="Times New Roman"/>
              </w:rPr>
              <w:t>材料类别</w:t>
            </w:r>
          </w:p>
        </w:tc>
        <w:tc>
          <w:tcPr>
            <w:tcW w:w="6421" w:type="dxa"/>
            <w:gridSpan w:val="2"/>
            <w:vAlign w:val="center"/>
          </w:tcPr>
          <w:p>
            <w:pPr>
              <w:pStyle w:val="70"/>
              <w:rPr>
                <w:rFonts w:cs="Times New Roman"/>
              </w:rPr>
            </w:pPr>
            <w:r>
              <w:rPr>
                <w:rFonts w:cs="Times New Roman"/>
              </w:rPr>
              <w:t>最低材料要求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2093" w:type="dxa"/>
            <w:vMerge w:val="continue"/>
            <w:vAlign w:val="center"/>
          </w:tcPr>
          <w:p>
            <w:pPr>
              <w:pStyle w:val="70"/>
              <w:rPr>
                <w:rFonts w:cs="Times New Roman"/>
                <w:sz w:val="20"/>
                <w:szCs w:val="20"/>
              </w:rPr>
            </w:pPr>
          </w:p>
        </w:tc>
        <w:tc>
          <w:tcPr>
            <w:tcW w:w="2772" w:type="dxa"/>
            <w:vAlign w:val="center"/>
          </w:tcPr>
          <w:p>
            <w:pPr>
              <w:pStyle w:val="70"/>
              <w:rPr>
                <w:rFonts w:cs="Times New Roman"/>
              </w:rPr>
            </w:pPr>
            <w:r>
              <w:rPr>
                <w:rFonts w:cs="Times New Roman"/>
              </w:rPr>
              <w:t>本体</w:t>
            </w:r>
          </w:p>
        </w:tc>
        <w:tc>
          <w:tcPr>
            <w:tcW w:w="3649" w:type="dxa"/>
            <w:vAlign w:val="center"/>
          </w:tcPr>
          <w:p>
            <w:pPr>
              <w:pStyle w:val="70"/>
              <w:rPr>
                <w:rFonts w:cs="Times New Roman"/>
              </w:rPr>
            </w:pPr>
            <w:r>
              <w:rPr>
                <w:rFonts w:cs="Times New Roman"/>
              </w:rPr>
              <w:t>控压件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tblHeader/>
        </w:trPr>
        <w:tc>
          <w:tcPr>
            <w:tcW w:w="2093" w:type="dxa"/>
            <w:vAlign w:val="center"/>
          </w:tcPr>
          <w:p>
            <w:pPr>
              <w:pStyle w:val="70"/>
              <w:rPr>
                <w:rFonts w:cs="Times New Roman"/>
              </w:rPr>
            </w:pPr>
            <w:r>
              <w:rPr>
                <w:rFonts w:cs="Times New Roman"/>
              </w:rPr>
              <w:t>AA – 通用</w:t>
            </w:r>
          </w:p>
        </w:tc>
        <w:tc>
          <w:tcPr>
            <w:tcW w:w="2772" w:type="dxa"/>
            <w:vAlign w:val="center"/>
          </w:tcPr>
          <w:p>
            <w:pPr>
              <w:pStyle w:val="70"/>
              <w:rPr>
                <w:rFonts w:cs="Times New Roman"/>
              </w:rPr>
            </w:pPr>
            <w:r>
              <w:rPr>
                <w:rFonts w:cs="Times New Roman"/>
              </w:rPr>
              <w:t>碳钢或低合金钢</w:t>
            </w:r>
          </w:p>
          <w:p>
            <w:pPr>
              <w:pStyle w:val="70"/>
              <w:rPr>
                <w:rFonts w:cs="Times New Roman"/>
              </w:rPr>
            </w:pPr>
            <w:r>
              <w:rPr>
                <w:rFonts w:cs="Times New Roman"/>
              </w:rPr>
              <w:t>或不锈钢或耐腐蚀合金</w:t>
            </w:r>
            <w:r>
              <w:rPr>
                <w:rFonts w:cs="Times New Roman"/>
                <w:vertAlign w:val="superscript"/>
              </w:rPr>
              <w:t>d</w:t>
            </w:r>
          </w:p>
        </w:tc>
        <w:tc>
          <w:tcPr>
            <w:tcW w:w="3649" w:type="dxa"/>
            <w:vAlign w:val="center"/>
          </w:tcPr>
          <w:p>
            <w:pPr>
              <w:pStyle w:val="70"/>
              <w:rPr>
                <w:rFonts w:cs="Times New Roman"/>
              </w:rPr>
            </w:pPr>
            <w:r>
              <w:rPr>
                <w:rFonts w:cs="Times New Roman"/>
              </w:rPr>
              <w:t>碳钢或低合金钢</w:t>
            </w:r>
          </w:p>
          <w:p>
            <w:pPr>
              <w:pStyle w:val="70"/>
              <w:rPr>
                <w:rFonts w:cs="Times New Roman"/>
              </w:rPr>
            </w:pPr>
            <w:r>
              <w:rPr>
                <w:rFonts w:cs="Times New Roman"/>
              </w:rPr>
              <w:t>或不锈钢或耐腐蚀合金</w:t>
            </w:r>
            <w:r>
              <w:rPr>
                <w:rFonts w:cs="Times New Roman"/>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tblHeader/>
        </w:trPr>
        <w:tc>
          <w:tcPr>
            <w:tcW w:w="2093" w:type="dxa"/>
            <w:vAlign w:val="center"/>
          </w:tcPr>
          <w:p>
            <w:pPr>
              <w:pStyle w:val="70"/>
              <w:rPr>
                <w:rFonts w:cs="Times New Roman"/>
              </w:rPr>
            </w:pPr>
            <w:r>
              <w:rPr>
                <w:rFonts w:cs="Times New Roman"/>
              </w:rPr>
              <w:t>BB – 通用</w:t>
            </w:r>
          </w:p>
        </w:tc>
        <w:tc>
          <w:tcPr>
            <w:tcW w:w="2772" w:type="dxa"/>
            <w:vAlign w:val="center"/>
          </w:tcPr>
          <w:p>
            <w:pPr>
              <w:pStyle w:val="70"/>
              <w:rPr>
                <w:rFonts w:cs="Times New Roman"/>
              </w:rPr>
            </w:pPr>
            <w:r>
              <w:rPr>
                <w:rFonts w:cs="Times New Roman"/>
              </w:rPr>
              <w:t>碳钢或低合金钢</w:t>
            </w:r>
          </w:p>
          <w:p>
            <w:pPr>
              <w:pStyle w:val="70"/>
              <w:rPr>
                <w:rFonts w:cs="Times New Roman"/>
              </w:rPr>
            </w:pPr>
            <w:r>
              <w:rPr>
                <w:rFonts w:cs="Times New Roman"/>
              </w:rPr>
              <w:t>或不锈钢或耐腐蚀合金</w:t>
            </w:r>
            <w:r>
              <w:rPr>
                <w:rFonts w:cs="Times New Roman"/>
                <w:vertAlign w:val="superscript"/>
              </w:rPr>
              <w:t>d</w:t>
            </w:r>
          </w:p>
        </w:tc>
        <w:tc>
          <w:tcPr>
            <w:tcW w:w="3649" w:type="dxa"/>
            <w:vAlign w:val="center"/>
          </w:tcPr>
          <w:p>
            <w:pPr>
              <w:pStyle w:val="70"/>
              <w:rPr>
                <w:rFonts w:cs="Times New Roman"/>
              </w:rPr>
            </w:pPr>
            <w:r>
              <w:rPr>
                <w:rFonts w:cs="Times New Roman"/>
              </w:rPr>
              <w:t>不锈钢或耐腐蚀合金</w:t>
            </w:r>
            <w:r>
              <w:rPr>
                <w:rFonts w:cs="Times New Roman"/>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2093" w:type="dxa"/>
            <w:vAlign w:val="center"/>
          </w:tcPr>
          <w:p>
            <w:pPr>
              <w:pStyle w:val="70"/>
              <w:rPr>
                <w:rFonts w:cs="Times New Roman"/>
              </w:rPr>
            </w:pPr>
            <w:r>
              <w:rPr>
                <w:rFonts w:cs="Times New Roman"/>
              </w:rPr>
              <w:t>CC – 通用</w:t>
            </w:r>
          </w:p>
        </w:tc>
        <w:tc>
          <w:tcPr>
            <w:tcW w:w="2772" w:type="dxa"/>
            <w:vAlign w:val="center"/>
          </w:tcPr>
          <w:p>
            <w:pPr>
              <w:pStyle w:val="70"/>
              <w:rPr>
                <w:rFonts w:cs="Times New Roman"/>
              </w:rPr>
            </w:pPr>
            <w:r>
              <w:rPr>
                <w:rFonts w:cs="Times New Roman"/>
              </w:rPr>
              <w:t>不锈钢或耐腐蚀合金</w:t>
            </w:r>
            <w:r>
              <w:rPr>
                <w:rFonts w:cs="Times New Roman"/>
                <w:vertAlign w:val="superscript"/>
              </w:rPr>
              <w:t>d</w:t>
            </w:r>
          </w:p>
        </w:tc>
        <w:tc>
          <w:tcPr>
            <w:tcW w:w="3649" w:type="dxa"/>
            <w:vAlign w:val="center"/>
          </w:tcPr>
          <w:p>
            <w:pPr>
              <w:pStyle w:val="70"/>
              <w:rPr>
                <w:rFonts w:cs="Times New Roman"/>
              </w:rPr>
            </w:pPr>
            <w:r>
              <w:rPr>
                <w:rFonts w:cs="Times New Roman"/>
              </w:rPr>
              <w:t>不锈钢或耐腐蚀合金</w:t>
            </w:r>
            <w:r>
              <w:rPr>
                <w:rFonts w:cs="Times New Roman"/>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blHeader/>
        </w:trPr>
        <w:tc>
          <w:tcPr>
            <w:tcW w:w="2093" w:type="dxa"/>
            <w:vAlign w:val="center"/>
          </w:tcPr>
          <w:p>
            <w:pPr>
              <w:pStyle w:val="70"/>
              <w:rPr>
                <w:rFonts w:cs="Times New Roman"/>
              </w:rPr>
            </w:pPr>
            <w:r>
              <w:rPr>
                <w:rFonts w:cs="Times New Roman"/>
              </w:rPr>
              <w:t>DD – 酸性环境</w:t>
            </w:r>
            <w:r>
              <w:rPr>
                <w:rFonts w:cs="Times New Roman"/>
                <w:vertAlign w:val="superscript"/>
              </w:rPr>
              <w:t>a</w:t>
            </w:r>
          </w:p>
        </w:tc>
        <w:tc>
          <w:tcPr>
            <w:tcW w:w="2772" w:type="dxa"/>
            <w:vAlign w:val="center"/>
          </w:tcPr>
          <w:p>
            <w:pPr>
              <w:pStyle w:val="70"/>
              <w:rPr>
                <w:rFonts w:cs="Times New Roman"/>
              </w:rPr>
            </w:pPr>
            <w:r>
              <w:rPr>
                <w:rFonts w:cs="Times New Roman"/>
              </w:rPr>
              <w:t>碳钢或低合金钢</w:t>
            </w:r>
          </w:p>
          <w:p>
            <w:pPr>
              <w:pStyle w:val="70"/>
              <w:rPr>
                <w:rFonts w:cs="Times New Roman"/>
              </w:rPr>
            </w:pPr>
            <w:r>
              <w:rPr>
                <w:rFonts w:cs="Times New Roman"/>
              </w:rPr>
              <w:t>或耐腐蚀合金</w:t>
            </w:r>
            <w:r>
              <w:rPr>
                <w:rFonts w:cs="Times New Roman"/>
                <w:vertAlign w:val="superscript"/>
              </w:rPr>
              <w:t>b，d</w:t>
            </w:r>
          </w:p>
        </w:tc>
        <w:tc>
          <w:tcPr>
            <w:tcW w:w="3649" w:type="dxa"/>
            <w:vAlign w:val="center"/>
          </w:tcPr>
          <w:p>
            <w:pPr>
              <w:pStyle w:val="70"/>
              <w:rPr>
                <w:rFonts w:cs="Times New Roman"/>
              </w:rPr>
            </w:pPr>
            <w:r>
              <w:rPr>
                <w:rFonts w:cs="Times New Roman"/>
              </w:rPr>
              <w:t>碳钢或低合金钢</w:t>
            </w:r>
          </w:p>
          <w:p>
            <w:pPr>
              <w:pStyle w:val="70"/>
              <w:rPr>
                <w:rFonts w:cs="Times New Roman"/>
              </w:rPr>
            </w:pPr>
            <w:r>
              <w:rPr>
                <w:rFonts w:cs="Times New Roman"/>
              </w:rPr>
              <w:t>或不锈钢或耐腐蚀合金</w:t>
            </w:r>
            <w:r>
              <w:rPr>
                <w:rFonts w:cs="Times New Roman"/>
                <w:vertAlign w:val="superscript"/>
              </w:rPr>
              <w: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2093" w:type="dxa"/>
            <w:vAlign w:val="center"/>
          </w:tcPr>
          <w:p>
            <w:pPr>
              <w:pStyle w:val="70"/>
              <w:rPr>
                <w:rFonts w:cs="Times New Roman"/>
              </w:rPr>
            </w:pPr>
            <w:r>
              <w:rPr>
                <w:rFonts w:cs="Times New Roman"/>
              </w:rPr>
              <w:t>EE – 酸性环境</w:t>
            </w:r>
            <w:r>
              <w:rPr>
                <w:rFonts w:cs="Times New Roman"/>
                <w:vertAlign w:val="superscript"/>
              </w:rPr>
              <w:t>a</w:t>
            </w:r>
          </w:p>
        </w:tc>
        <w:tc>
          <w:tcPr>
            <w:tcW w:w="2772" w:type="dxa"/>
            <w:vAlign w:val="center"/>
          </w:tcPr>
          <w:p>
            <w:pPr>
              <w:pStyle w:val="70"/>
              <w:rPr>
                <w:rFonts w:cs="Times New Roman"/>
              </w:rPr>
            </w:pPr>
            <w:r>
              <w:rPr>
                <w:rFonts w:cs="Times New Roman"/>
              </w:rPr>
              <w:t>碳钢或低合金钢</w:t>
            </w:r>
            <w:r>
              <w:rPr>
                <w:rFonts w:cs="Times New Roman"/>
                <w:vertAlign w:val="superscript"/>
              </w:rPr>
              <w:t>b，d</w:t>
            </w:r>
          </w:p>
        </w:tc>
        <w:tc>
          <w:tcPr>
            <w:tcW w:w="3649" w:type="dxa"/>
            <w:vAlign w:val="center"/>
          </w:tcPr>
          <w:p>
            <w:pPr>
              <w:pStyle w:val="70"/>
              <w:rPr>
                <w:rFonts w:cs="Times New Roman"/>
              </w:rPr>
            </w:pPr>
            <w:r>
              <w:rPr>
                <w:rFonts w:cs="Times New Roman"/>
              </w:rPr>
              <w:t>不锈钢或耐腐蚀合金</w:t>
            </w:r>
            <w:r>
              <w:rPr>
                <w:rFonts w:cs="Times New Roman"/>
                <w:vertAlign w:val="superscript"/>
              </w:rPr>
              <w: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2093" w:type="dxa"/>
            <w:vAlign w:val="center"/>
          </w:tcPr>
          <w:p>
            <w:pPr>
              <w:pStyle w:val="70"/>
              <w:rPr>
                <w:rFonts w:cs="Times New Roman"/>
              </w:rPr>
            </w:pPr>
            <w:r>
              <w:rPr>
                <w:rFonts w:cs="Times New Roman"/>
              </w:rPr>
              <w:t>FF – 酸性环境</w:t>
            </w:r>
            <w:r>
              <w:rPr>
                <w:rFonts w:cs="Times New Roman"/>
                <w:sz w:val="24"/>
                <w:vertAlign w:val="superscript"/>
              </w:rPr>
              <w:t>a</w:t>
            </w:r>
          </w:p>
        </w:tc>
        <w:tc>
          <w:tcPr>
            <w:tcW w:w="2772" w:type="dxa"/>
            <w:vAlign w:val="center"/>
          </w:tcPr>
          <w:p>
            <w:pPr>
              <w:pStyle w:val="70"/>
              <w:rPr>
                <w:rFonts w:cs="Times New Roman"/>
              </w:rPr>
            </w:pPr>
            <w:r>
              <w:rPr>
                <w:rFonts w:cs="Times New Roman"/>
              </w:rPr>
              <w:t>碳钢或低合金钢</w:t>
            </w:r>
            <w:r>
              <w:rPr>
                <w:rFonts w:cs="Times New Roman"/>
                <w:vertAlign w:val="superscript"/>
              </w:rPr>
              <w:t>b，d</w:t>
            </w:r>
          </w:p>
        </w:tc>
        <w:tc>
          <w:tcPr>
            <w:tcW w:w="3649" w:type="dxa"/>
            <w:vAlign w:val="center"/>
          </w:tcPr>
          <w:p>
            <w:pPr>
              <w:pStyle w:val="70"/>
              <w:rPr>
                <w:rFonts w:cs="Times New Roman"/>
              </w:rPr>
            </w:pPr>
            <w:r>
              <w:rPr>
                <w:rFonts w:cs="Times New Roman"/>
              </w:rPr>
              <w:t>不锈钢或耐腐蚀合金</w:t>
            </w:r>
            <w:r>
              <w:rPr>
                <w:rFonts w:cs="Times New Roman"/>
                <w:vertAlign w:val="superscript"/>
              </w:rPr>
              <w: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2093" w:type="dxa"/>
            <w:vAlign w:val="center"/>
          </w:tcPr>
          <w:p>
            <w:pPr>
              <w:pStyle w:val="70"/>
              <w:rPr>
                <w:rFonts w:cs="Times New Roman"/>
              </w:rPr>
            </w:pPr>
            <w:r>
              <w:rPr>
                <w:rFonts w:cs="Times New Roman"/>
              </w:rPr>
              <w:t>HH – 酸性环境</w:t>
            </w:r>
            <w:r>
              <w:rPr>
                <w:rFonts w:cs="Times New Roman"/>
                <w:vertAlign w:val="superscript"/>
              </w:rPr>
              <w:t>a</w:t>
            </w:r>
          </w:p>
        </w:tc>
        <w:tc>
          <w:tcPr>
            <w:tcW w:w="2772" w:type="dxa"/>
            <w:vAlign w:val="center"/>
          </w:tcPr>
          <w:p>
            <w:pPr>
              <w:pStyle w:val="70"/>
              <w:rPr>
                <w:rFonts w:cs="Times New Roman"/>
              </w:rPr>
            </w:pPr>
            <w:r>
              <w:rPr>
                <w:rFonts w:cs="Times New Roman"/>
              </w:rPr>
              <w:t>耐腐蚀合金</w:t>
            </w:r>
            <w:r>
              <w:rPr>
                <w:rFonts w:cs="Times New Roman"/>
                <w:vertAlign w:val="superscript"/>
              </w:rPr>
              <w:t>b，c，d</w:t>
            </w:r>
          </w:p>
        </w:tc>
        <w:tc>
          <w:tcPr>
            <w:tcW w:w="3649" w:type="dxa"/>
            <w:vAlign w:val="center"/>
          </w:tcPr>
          <w:p>
            <w:pPr>
              <w:pStyle w:val="70"/>
              <w:rPr>
                <w:rFonts w:cs="Times New Roman"/>
              </w:rPr>
            </w:pPr>
            <w:r>
              <w:rPr>
                <w:rFonts w:cs="Times New Roman"/>
              </w:rPr>
              <w:t>耐腐蚀合金</w:t>
            </w:r>
            <w:r>
              <w:rPr>
                <w:rFonts w:cs="Times New Roman"/>
                <w:vertAlign w:val="superscript"/>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exact"/>
          <w:tblHeader/>
        </w:trPr>
        <w:tc>
          <w:tcPr>
            <w:tcW w:w="8514" w:type="dxa"/>
            <w:gridSpan w:val="3"/>
            <w:vAlign w:val="center"/>
          </w:tcPr>
          <w:p>
            <w:pPr>
              <w:pStyle w:val="70"/>
              <w:jc w:val="left"/>
              <w:rPr>
                <w:rFonts w:cs="Times New Roman"/>
              </w:rPr>
            </w:pPr>
            <w:r>
              <w:rPr>
                <w:rFonts w:cs="Times New Roman"/>
              </w:rPr>
              <w:t>a：指按ISO 15156定义。</w:t>
            </w:r>
          </w:p>
          <w:p>
            <w:pPr>
              <w:pStyle w:val="70"/>
              <w:jc w:val="left"/>
              <w:rPr>
                <w:rFonts w:cs="Times New Roman"/>
                <w:szCs w:val="20"/>
              </w:rPr>
            </w:pPr>
            <w:r>
              <w:rPr>
                <w:rFonts w:cs="Times New Roman"/>
                <w:szCs w:val="20"/>
              </w:rPr>
              <w:t>b：和ISO 15156相一致。</w:t>
            </w:r>
          </w:p>
          <w:p>
            <w:pPr>
              <w:pStyle w:val="70"/>
              <w:jc w:val="left"/>
              <w:rPr>
                <w:rFonts w:cs="Times New Roman"/>
              </w:rPr>
            </w:pPr>
            <w:r>
              <w:rPr>
                <w:rFonts w:hint="eastAsia" w:cs="Times New Roman"/>
              </w:rPr>
              <w:t>c：</w:t>
            </w:r>
            <w:r>
              <w:rPr>
                <w:rFonts w:cs="Times New Roman"/>
              </w:rPr>
              <w:t>耐腐蚀合金仅要求应用于持续湿接触面；允许使用低合金钢或不锈钢基体表面堆焊耐腐蚀合金层。</w:t>
            </w:r>
          </w:p>
          <w:p>
            <w:pPr>
              <w:pStyle w:val="70"/>
              <w:jc w:val="left"/>
              <w:rPr>
                <w:rFonts w:cs="Times New Roman"/>
              </w:rPr>
            </w:pPr>
            <w:r>
              <w:rPr>
                <w:rFonts w:cs="Times New Roman"/>
              </w:rPr>
              <w:t>d：按照3.1.13对CRA 的定义，而不使用ISO 15156中的定义。</w:t>
            </w:r>
          </w:p>
        </w:tc>
      </w:tr>
    </w:tbl>
    <w:p>
      <w:pPr>
        <w:ind w:firstLine="420"/>
        <w:rPr>
          <w:rFonts w:cs="Times New Roman"/>
          <w:position w:val="1"/>
        </w:rPr>
      </w:pPr>
    </w:p>
    <w:p>
      <w:pPr>
        <w:ind w:firstLine="420"/>
        <w:rPr>
          <w:rFonts w:cs="Times New Roman"/>
          <w:position w:val="1"/>
        </w:rPr>
      </w:pPr>
      <w:r>
        <w:rPr>
          <w:rFonts w:cs="Times New Roman"/>
          <w:position w:val="1"/>
        </w:rPr>
        <w:t>用户/购</w:t>
      </w:r>
      <w:r>
        <w:rPr>
          <w:rFonts w:cs="Times New Roman"/>
          <w:color w:val="000000"/>
          <w:position w:val="1"/>
        </w:rPr>
        <w:t>买方应指定承压件和控压件材料等级。</w:t>
      </w:r>
      <w:r>
        <w:rPr>
          <w:rFonts w:cs="Times New Roman"/>
          <w:color w:val="000000"/>
          <w:position w:val="1"/>
        </w:rPr>
        <w:fldChar w:fldCharType="begin"/>
      </w:r>
      <w:r>
        <w:rPr>
          <w:rFonts w:cs="Times New Roman"/>
          <w:color w:val="000000"/>
          <w:position w:val="1"/>
        </w:rPr>
        <w:instrText xml:space="preserve"> REF _Ref112223648 \h  \* MERGEFORMAT </w:instrText>
      </w:r>
      <w:r>
        <w:rPr>
          <w:rFonts w:cs="Times New Roman"/>
          <w:color w:val="000000"/>
          <w:position w:val="1"/>
        </w:rPr>
        <w:fldChar w:fldCharType="separate"/>
      </w:r>
      <w:r>
        <w:rPr>
          <w:rFonts w:cs="Times New Roman"/>
          <w:color w:val="000000"/>
        </w:rPr>
        <w:t>表 3</w:t>
      </w:r>
      <w:r>
        <w:rPr>
          <w:rFonts w:cs="Times New Roman"/>
          <w:color w:val="000000"/>
          <w:position w:val="1"/>
        </w:rPr>
        <w:fldChar w:fldCharType="end"/>
      </w:r>
      <w:r>
        <w:rPr>
          <w:rFonts w:cs="Times New Roman"/>
          <w:color w:val="000000"/>
          <w:position w:val="1"/>
        </w:rPr>
        <w:t xml:space="preserve"> 中规定了装置部件应采用的材料类别AA-HH。应根据</w:t>
      </w:r>
      <w:r>
        <w:rPr>
          <w:rFonts w:cs="Times New Roman"/>
          <w:color w:val="000000"/>
          <w:spacing w:val="-1"/>
        </w:rPr>
        <w:t>ISO</w:t>
      </w:r>
      <w:r>
        <w:rPr>
          <w:rFonts w:cs="Times New Roman"/>
          <w:color w:val="000000"/>
        </w:rPr>
        <w:t xml:space="preserve"> </w:t>
      </w:r>
      <w:r>
        <w:rPr>
          <w:rFonts w:cs="Times New Roman"/>
          <w:color w:val="000000"/>
          <w:spacing w:val="-2"/>
        </w:rPr>
        <w:t>10423</w:t>
      </w:r>
      <w:r>
        <w:rPr>
          <w:rFonts w:cs="Times New Roman"/>
          <w:color w:val="000000"/>
          <w:position w:val="1"/>
        </w:rPr>
        <w:t>和附录A给出的流体成分和作业环境选用材料类别。</w:t>
      </w:r>
    </w:p>
    <w:p>
      <w:pPr>
        <w:pStyle w:val="41"/>
        <w:rPr>
          <w:rFonts w:cs="Times New Roman"/>
        </w:rPr>
      </w:pPr>
      <w:r>
        <w:rPr>
          <w:rFonts w:cs="Times New Roman"/>
        </w:rPr>
        <w:t>产品规范等级</w:t>
      </w:r>
    </w:p>
    <w:p>
      <w:pPr>
        <w:ind w:firstLine="420"/>
        <w:rPr>
          <w:rFonts w:cs="Times New Roman"/>
        </w:rPr>
      </w:pPr>
      <w:r>
        <w:rPr>
          <w:rFonts w:cs="Times New Roman"/>
        </w:rPr>
        <w:t>产品规范等级定义了不同级别的技术质量要求。水下井口装置的产品规范等级应按照该装置中任一承压/控压部件的最低产品规范等级确定。本文件的结构件和其他非承压/控压件没有产品规范等级要求，由制造商规定其要求。</w:t>
      </w:r>
    </w:p>
    <w:p>
      <w:pPr>
        <w:ind w:firstLine="420"/>
        <w:rPr>
          <w:rFonts w:cs="Times New Roman"/>
        </w:rPr>
      </w:pPr>
      <w:r>
        <w:rPr>
          <w:rFonts w:cs="Times New Roman"/>
        </w:rPr>
        <w:t>按本文件要求制造的产品应满足PSL2、PSL3的材料、焊接、质量和试验要求(如适用)，未列出PSL的部件应符合制造商要求。有关PSL的选择请参阅附录A。</w:t>
      </w:r>
    </w:p>
    <w:p>
      <w:pPr>
        <w:ind w:firstLine="420"/>
        <w:rPr>
          <w:rFonts w:cs="Times New Roman"/>
        </w:rPr>
      </w:pPr>
      <w:r>
        <w:rPr>
          <w:rFonts w:cs="Times New Roman"/>
        </w:rPr>
        <w:t>注1：PSL3G应适用于满足气体试验要求的PSL 3产品。用户/购买方可以为PSL3G产品指定气体试验要求及范围。</w:t>
      </w:r>
    </w:p>
    <w:p>
      <w:pPr>
        <w:pStyle w:val="40"/>
      </w:pPr>
      <w:bookmarkStart w:id="69" w:name="_Toc95911830"/>
      <w:r>
        <w:t>设计方法</w:t>
      </w:r>
      <w:bookmarkEnd w:id="69"/>
      <w:r>
        <w:t>和准则</w:t>
      </w:r>
    </w:p>
    <w:p>
      <w:pPr>
        <w:pStyle w:val="41"/>
        <w:rPr>
          <w:rFonts w:cs="Times New Roman"/>
        </w:rPr>
      </w:pPr>
      <w:r>
        <w:rPr>
          <w:rFonts w:cs="Times New Roman"/>
        </w:rPr>
        <w:t>总则</w:t>
      </w:r>
    </w:p>
    <w:p>
      <w:pPr>
        <w:ind w:firstLine="420"/>
        <w:rPr>
          <w:rFonts w:cs="Times New Roman"/>
        </w:rPr>
      </w:pPr>
      <w:r>
        <w:rPr>
          <w:rFonts w:cs="Times New Roman"/>
        </w:rPr>
        <w:t>所有承压件和控压件零件的设计应满足制造商书面规定的性能特性和ISO10423第4章节规定的使用条件。制造商应记录设计所依据的工程实践和验收标准。</w:t>
      </w:r>
    </w:p>
    <w:p>
      <w:pPr>
        <w:ind w:firstLine="420"/>
        <w:rPr>
          <w:rFonts w:cs="Times New Roman"/>
        </w:rPr>
      </w:pPr>
      <w:r>
        <w:rPr>
          <w:rFonts w:cs="Times New Roman"/>
        </w:rPr>
        <w:t>注：用户/购买方有责任确认水下井口装置正常工作时的预期载荷。</w:t>
      </w:r>
    </w:p>
    <w:p>
      <w:pPr>
        <w:pStyle w:val="41"/>
        <w:rPr>
          <w:rFonts w:cs="Times New Roman"/>
        </w:rPr>
      </w:pPr>
      <w:r>
        <w:rPr>
          <w:rFonts w:cs="Times New Roman"/>
        </w:rPr>
        <w:t>控压件</w:t>
      </w:r>
    </w:p>
    <w:p>
      <w:pPr>
        <w:ind w:firstLine="420"/>
        <w:rPr>
          <w:rFonts w:cs="Times New Roman"/>
        </w:rPr>
      </w:pPr>
      <w:r>
        <w:rPr>
          <w:rFonts w:cs="Times New Roman"/>
        </w:rPr>
        <w:t>除非另有说明，控压件应满足制造商书面规定的性能特性和</w:t>
      </w:r>
      <w:r>
        <w:rPr>
          <w:rFonts w:cs="Times New Roman"/>
          <w:spacing w:val="-1"/>
        </w:rPr>
        <w:t>ISO 10423</w:t>
      </w:r>
      <w:r>
        <w:rPr>
          <w:rFonts w:cs="Times New Roman"/>
        </w:rPr>
        <w:t>第4章节规定的使用条件。</w:t>
      </w:r>
    </w:p>
    <w:p>
      <w:pPr>
        <w:pStyle w:val="41"/>
        <w:rPr>
          <w:rFonts w:cs="Times New Roman"/>
        </w:rPr>
      </w:pPr>
      <w:r>
        <w:rPr>
          <w:rFonts w:cs="Times New Roman"/>
        </w:rPr>
        <w:t>承压件</w:t>
      </w:r>
    </w:p>
    <w:p>
      <w:pPr>
        <w:ind w:firstLine="420"/>
        <w:rPr>
          <w:rFonts w:cs="Times New Roman"/>
        </w:rPr>
      </w:pPr>
      <w:r>
        <w:rPr>
          <w:rFonts w:cs="Times New Roman"/>
        </w:rPr>
        <w:t xml:space="preserve">承压件应按 </w:t>
      </w:r>
      <w:r>
        <w:rPr>
          <w:rFonts w:cs="Times New Roman"/>
          <w:spacing w:val="-1"/>
        </w:rPr>
        <w:t>ISO 10423</w:t>
      </w:r>
      <w:r>
        <w:rPr>
          <w:rFonts w:cs="Times New Roman"/>
        </w:rPr>
        <w:t xml:space="preserve"> 设计。</w:t>
      </w:r>
    </w:p>
    <w:p>
      <w:pPr>
        <w:pStyle w:val="41"/>
        <w:rPr>
          <w:rFonts w:cs="Times New Roman"/>
          <w:bCs/>
          <w:color w:val="000000"/>
        </w:rPr>
      </w:pPr>
      <w:r>
        <w:rPr>
          <w:rFonts w:cs="Times New Roman"/>
        </w:rPr>
        <w:t>结构件</w:t>
      </w:r>
    </w:p>
    <w:p>
      <w:pPr>
        <w:ind w:firstLine="420"/>
        <w:rPr>
          <w:rFonts w:cs="Times New Roman"/>
        </w:rPr>
      </w:pPr>
      <w:r>
        <w:rPr>
          <w:rFonts w:cs="Times New Roman"/>
          <w:color w:val="000000"/>
        </w:rPr>
        <w:t>本文件中未另行规定的结构</w:t>
      </w:r>
      <w:r>
        <w:rPr>
          <w:rFonts w:cs="Times New Roman"/>
        </w:rPr>
        <w:t>件（非控压件和承压件）的设计要求应满足以下一项或多项要求：</w:t>
      </w:r>
    </w:p>
    <w:p>
      <w:pPr>
        <w:pStyle w:val="45"/>
        <w:numPr>
          <w:ilvl w:val="0"/>
          <w:numId w:val="3"/>
        </w:numPr>
        <w:ind w:firstLineChars="0"/>
        <w:rPr>
          <w:rFonts w:cs="Times New Roman"/>
        </w:rPr>
      </w:pPr>
      <w:r>
        <w:rPr>
          <w:rFonts w:cs="Times New Roman"/>
        </w:rPr>
        <w:t>基于材料最低屈服强度的安全/设计系数不应小于</w:t>
      </w:r>
      <w:r>
        <w:rPr>
          <w:rFonts w:cs="Times New Roman"/>
          <w:spacing w:val="-2"/>
        </w:rPr>
        <w:t>1.5。</w:t>
      </w:r>
    </w:p>
    <w:p>
      <w:pPr>
        <w:pStyle w:val="45"/>
        <w:numPr>
          <w:ilvl w:val="0"/>
          <w:numId w:val="3"/>
        </w:numPr>
        <w:ind w:firstLineChars="0"/>
        <w:rPr>
          <w:rFonts w:cs="Times New Roman"/>
        </w:rPr>
      </w:pPr>
      <w:r>
        <w:rPr>
          <w:rFonts w:cs="Times New Roman"/>
        </w:rPr>
        <w:t>在满足其他任何性能要求的条件下，可用有限元分析（FTA）证明施加的载荷不会导致结构变形。</w:t>
      </w:r>
    </w:p>
    <w:p>
      <w:pPr>
        <w:pStyle w:val="41"/>
        <w:rPr>
          <w:rFonts w:cs="Times New Roman"/>
        </w:rPr>
      </w:pPr>
      <w:r>
        <w:rPr>
          <w:rFonts w:cs="Times New Roman"/>
        </w:rPr>
        <w:t>阴极保护</w:t>
      </w:r>
    </w:p>
    <w:p>
      <w:pPr>
        <w:ind w:firstLine="420"/>
        <w:rPr>
          <w:rFonts w:cs="Times New Roman"/>
        </w:rPr>
      </w:pPr>
      <w:r>
        <w:rPr>
          <w:rFonts w:cs="Times New Roman"/>
        </w:rPr>
        <w:t>阴极保护系统设计应符合以下任一设计规范：</w:t>
      </w:r>
    </w:p>
    <w:p>
      <w:pPr>
        <w:ind w:firstLine="420"/>
        <w:rPr>
          <w:rFonts w:cs="Times New Roman"/>
        </w:rPr>
      </w:pPr>
      <w:r>
        <w:rPr>
          <w:rFonts w:cs="Times New Roman"/>
        </w:rPr>
        <w:t>— NACE SP0176；</w:t>
      </w:r>
    </w:p>
    <w:p>
      <w:pPr>
        <w:ind w:firstLine="420"/>
        <w:rPr>
          <w:rFonts w:cs="Times New Roman" w:eastAsiaTheme="majorEastAsia"/>
          <w:b/>
          <w:spacing w:val="-1"/>
        </w:rPr>
      </w:pPr>
      <w:r>
        <w:rPr>
          <w:rFonts w:cs="Times New Roman"/>
        </w:rPr>
        <w:t>— DNV RP B401。</w:t>
      </w:r>
    </w:p>
    <w:p>
      <w:pPr>
        <w:pStyle w:val="40"/>
      </w:pPr>
      <w:bookmarkStart w:id="70" w:name="_Toc95911832"/>
      <w:r>
        <w:t>设计文件</w:t>
      </w:r>
      <w:bookmarkEnd w:id="70"/>
    </w:p>
    <w:p>
      <w:pPr>
        <w:ind w:firstLine="420"/>
        <w:rPr>
          <w:rFonts w:cs="Times New Roman"/>
        </w:rPr>
      </w:pPr>
      <w:r>
        <w:rPr>
          <w:rFonts w:cs="Times New Roman"/>
        </w:rPr>
        <w:t>设计文件应包括设计方法、假设、计算、验证试验报告和设计要求。设计要求应包括但不限于尺寸、试验和工作压力、材料、环境准则和其他作为设计依据的相关要求。</w:t>
      </w:r>
    </w:p>
    <w:p>
      <w:pPr>
        <w:ind w:firstLine="420"/>
        <w:rPr>
          <w:rFonts w:cs="Times New Roman"/>
        </w:rPr>
      </w:pPr>
      <w:r>
        <w:rPr>
          <w:rFonts w:cs="Times New Roman"/>
        </w:rPr>
        <w:t>从该规格型号的最后一台产品制造完成后开始，设计文件至少应保存5年。</w:t>
      </w:r>
    </w:p>
    <w:p>
      <w:pPr>
        <w:pStyle w:val="40"/>
      </w:pPr>
      <w:bookmarkStart w:id="71" w:name="_Toc95911833"/>
      <w:r>
        <w:t>设计评审</w:t>
      </w:r>
      <w:bookmarkEnd w:id="71"/>
    </w:p>
    <w:p>
      <w:pPr>
        <w:ind w:firstLine="420"/>
        <w:rPr>
          <w:rFonts w:cs="Times New Roman"/>
        </w:rPr>
      </w:pPr>
      <w:r>
        <w:rPr>
          <w:rFonts w:cs="Times New Roman"/>
        </w:rPr>
        <w:t>设计文件应由原设计人员之外的其他有资格和胜任的人员评审和验证。</w:t>
      </w:r>
    </w:p>
    <w:p>
      <w:pPr>
        <w:pStyle w:val="40"/>
      </w:pPr>
      <w:bookmarkStart w:id="72" w:name="_Ref112341066"/>
      <w:bookmarkStart w:id="73" w:name="_Ref112341074"/>
      <w:bookmarkStart w:id="74" w:name="_Toc95911834"/>
      <w:bookmarkStart w:id="75" w:name="_Ref112341037"/>
      <w:bookmarkStart w:id="76" w:name="_Ref112341018"/>
      <w:bookmarkStart w:id="77" w:name="_Toc95909859"/>
      <w:bookmarkStart w:id="78" w:name="_Toc95910601"/>
      <w:bookmarkStart w:id="79" w:name="_Toc95909854"/>
      <w:bookmarkStart w:id="80" w:name="_Toc95911870"/>
      <w:bookmarkStart w:id="81" w:name="_Toc95910596"/>
      <w:bookmarkStart w:id="82" w:name="_Toc95911835"/>
      <w:r>
        <w:t>性能鉴定试验</w:t>
      </w:r>
      <w:bookmarkEnd w:id="72"/>
      <w:bookmarkEnd w:id="73"/>
      <w:bookmarkEnd w:id="74"/>
      <w:bookmarkEnd w:id="75"/>
      <w:bookmarkEnd w:id="76"/>
    </w:p>
    <w:p>
      <w:pPr>
        <w:pStyle w:val="41"/>
        <w:rPr>
          <w:rFonts w:cs="Times New Roman"/>
        </w:rPr>
      </w:pPr>
      <w:r>
        <w:rPr>
          <w:rFonts w:cs="Times New Roman"/>
        </w:rPr>
        <w:t>总则</w:t>
      </w:r>
    </w:p>
    <w:p>
      <w:pPr>
        <w:ind w:firstLine="420"/>
        <w:rPr>
          <w:rFonts w:cs="Times New Roman"/>
        </w:rPr>
      </w:pPr>
      <w:r>
        <w:rPr>
          <w:rFonts w:cs="Times New Roman"/>
        </w:rPr>
        <w:t>水下井口装置性能鉴定试验应满足</w:t>
      </w:r>
      <w:r>
        <w:rPr>
          <w:rFonts w:cs="Times New Roman"/>
        </w:rPr>
        <w:fldChar w:fldCharType="begin"/>
      </w:r>
      <w:r>
        <w:rPr>
          <w:rFonts w:cs="Times New Roman"/>
        </w:rPr>
        <w:instrText xml:space="preserve"> REF _Ref112224157 \h  \* MERGEFORMAT </w:instrText>
      </w:r>
      <w:r>
        <w:rPr>
          <w:rFonts w:cs="Times New Roman"/>
        </w:rPr>
        <w:fldChar w:fldCharType="separate"/>
      </w:r>
      <w:r>
        <w:rPr>
          <w:rFonts w:cs="Times New Roman"/>
        </w:rPr>
        <w:t>表 4</w:t>
      </w:r>
      <w:r>
        <w:rPr>
          <w:rFonts w:cs="Times New Roman"/>
        </w:rPr>
        <w:fldChar w:fldCharType="end"/>
      </w:r>
      <w:r>
        <w:rPr>
          <w:rFonts w:hint="eastAsia" w:cs="Times New Roman"/>
        </w:rPr>
        <w:t xml:space="preserve"> </w:t>
      </w:r>
      <w:r>
        <w:rPr>
          <w:rFonts w:cs="Times New Roman"/>
          <w:spacing w:val="-2"/>
        </w:rPr>
        <w:t>要求</w:t>
      </w:r>
      <w:r>
        <w:rPr>
          <w:rFonts w:cs="Times New Roman"/>
        </w:rPr>
        <w:t>。待测产品（或样机）的设计、尺寸/公差、制造流程和材料等关键要素应具有代表性。如果产品设计发生实质性变化，应记录该变化对产品性能的影响。</w:t>
      </w:r>
    </w:p>
    <w:p>
      <w:pPr>
        <w:ind w:firstLine="420"/>
        <w:rPr>
          <w:rFonts w:cs="Times New Roman"/>
        </w:rPr>
      </w:pPr>
      <w:r>
        <w:rPr>
          <w:rFonts w:cs="Times New Roman"/>
        </w:rPr>
        <w:t>对于包含主、辅独立密封单元的产品，除非主密封和辅密封机构相同，否则各密封单元应独立验证。</w:t>
      </w:r>
    </w:p>
    <w:p>
      <w:pPr>
        <w:pStyle w:val="69"/>
      </w:pPr>
      <w:bookmarkStart w:id="83" w:name="_Ref112224157"/>
      <w:r>
        <w:t xml:space="preserve">表 </w:t>
      </w:r>
      <w:r>
        <w:fldChar w:fldCharType="begin"/>
      </w:r>
      <w:r>
        <w:instrText xml:space="preserve"> SEQ 表 \* ARABIC </w:instrText>
      </w:r>
      <w:r>
        <w:fldChar w:fldCharType="separate"/>
      </w:r>
      <w:r>
        <w:t>4</w:t>
      </w:r>
      <w:r>
        <w:fldChar w:fldCharType="end"/>
      </w:r>
      <w:bookmarkEnd w:id="83"/>
      <w:r>
        <w:t xml:space="preserve"> 水下井口装置性能鉴定试验最低要求</w:t>
      </w:r>
    </w:p>
    <w:tbl>
      <w:tblPr>
        <w:tblStyle w:val="27"/>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4"/>
        <w:gridCol w:w="1701"/>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547" w:type="dxa"/>
            <w:vAlign w:val="center"/>
          </w:tcPr>
          <w:p>
            <w:pPr>
              <w:pStyle w:val="70"/>
              <w:rPr>
                <w:rFonts w:cs="Times New Roman"/>
              </w:rPr>
            </w:pPr>
            <w:r>
              <w:rPr>
                <w:rFonts w:cs="Times New Roman"/>
              </w:rPr>
              <w:t>零部件</w:t>
            </w:r>
          </w:p>
        </w:tc>
        <w:tc>
          <w:tcPr>
            <w:tcW w:w="1984" w:type="dxa"/>
            <w:vAlign w:val="center"/>
          </w:tcPr>
          <w:p>
            <w:pPr>
              <w:pStyle w:val="70"/>
              <w:rPr>
                <w:rFonts w:cs="Times New Roman"/>
              </w:rPr>
            </w:pPr>
            <w:r>
              <w:rPr>
                <w:rFonts w:cs="Times New Roman"/>
              </w:rPr>
              <w:t>压力/载荷循环试验</w:t>
            </w:r>
          </w:p>
        </w:tc>
        <w:tc>
          <w:tcPr>
            <w:tcW w:w="1701" w:type="dxa"/>
            <w:vAlign w:val="center"/>
          </w:tcPr>
          <w:p>
            <w:pPr>
              <w:pStyle w:val="70"/>
              <w:rPr>
                <w:rFonts w:cs="Times New Roman"/>
                <w:sz w:val="12"/>
                <w:szCs w:val="12"/>
              </w:rPr>
            </w:pPr>
            <w:r>
              <w:rPr>
                <w:rFonts w:cs="Times New Roman"/>
              </w:rPr>
              <w:t>温度循环试验</w:t>
            </w:r>
            <w:r>
              <w:rPr>
                <w:rFonts w:cs="Times New Roman"/>
                <w:sz w:val="12"/>
                <w:szCs w:val="12"/>
              </w:rPr>
              <w:t>a</w:t>
            </w:r>
          </w:p>
        </w:tc>
        <w:tc>
          <w:tcPr>
            <w:tcW w:w="2056" w:type="dxa"/>
            <w:vAlign w:val="center"/>
          </w:tcPr>
          <w:p>
            <w:pPr>
              <w:pStyle w:val="70"/>
              <w:rPr>
                <w:rFonts w:cs="Times New Roman"/>
              </w:rPr>
            </w:pPr>
            <w:r>
              <w:rPr>
                <w:rFonts w:cs="Times New Roman"/>
              </w:rPr>
              <w:t>耐久性循环试验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547" w:type="dxa"/>
            <w:vAlign w:val="center"/>
          </w:tcPr>
          <w:p>
            <w:pPr>
              <w:pStyle w:val="70"/>
              <w:rPr>
                <w:rFonts w:cs="Times New Roman"/>
              </w:rPr>
            </w:pPr>
            <w:r>
              <w:rPr>
                <w:rFonts w:cs="Times New Roman"/>
              </w:rPr>
              <w:t>高压井口头</w:t>
            </w:r>
          </w:p>
        </w:tc>
        <w:tc>
          <w:tcPr>
            <w:tcW w:w="1984" w:type="dxa"/>
            <w:vAlign w:val="center"/>
          </w:tcPr>
          <w:p>
            <w:pPr>
              <w:pStyle w:val="70"/>
              <w:rPr>
                <w:rFonts w:cs="Times New Roman"/>
              </w:rPr>
            </w:pPr>
            <w:r>
              <w:rPr>
                <w:rFonts w:cs="Times New Roman"/>
              </w:rPr>
              <w:t>3</w:t>
            </w:r>
          </w:p>
        </w:tc>
        <w:tc>
          <w:tcPr>
            <w:tcW w:w="1701" w:type="dxa"/>
            <w:vAlign w:val="center"/>
          </w:tcPr>
          <w:p>
            <w:pPr>
              <w:pStyle w:val="70"/>
              <w:rPr>
                <w:rFonts w:cs="Times New Roman"/>
              </w:rPr>
            </w:pPr>
            <w:r>
              <w:rPr>
                <w:rFonts w:cs="Times New Roman"/>
              </w:rPr>
              <w:t>不适用</w:t>
            </w:r>
          </w:p>
        </w:tc>
        <w:tc>
          <w:tcPr>
            <w:tcW w:w="2056" w:type="dxa"/>
            <w:vAlign w:val="center"/>
          </w:tcPr>
          <w:p>
            <w:pPr>
              <w:pStyle w:val="70"/>
              <w:rPr>
                <w:rFonts w:cs="Times New Roman"/>
                <w:sz w:val="12"/>
                <w:szCs w:val="12"/>
              </w:rPr>
            </w:pPr>
            <w:r>
              <w:rPr>
                <w:rFonts w:cs="Times New Roma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47" w:type="dxa"/>
            <w:vAlign w:val="center"/>
          </w:tcPr>
          <w:p>
            <w:pPr>
              <w:pStyle w:val="70"/>
              <w:rPr>
                <w:rFonts w:cs="Times New Roman"/>
              </w:rPr>
            </w:pPr>
            <w:r>
              <w:rPr>
                <w:rFonts w:cs="Times New Roman"/>
              </w:rPr>
              <w:t>套管悬挂器</w:t>
            </w:r>
          </w:p>
        </w:tc>
        <w:tc>
          <w:tcPr>
            <w:tcW w:w="1984" w:type="dxa"/>
            <w:vAlign w:val="center"/>
          </w:tcPr>
          <w:p>
            <w:pPr>
              <w:pStyle w:val="70"/>
              <w:rPr>
                <w:rFonts w:cs="Times New Roman"/>
              </w:rPr>
            </w:pPr>
            <w:r>
              <w:rPr>
                <w:rFonts w:cs="Times New Roman"/>
              </w:rPr>
              <w:t>3</w:t>
            </w:r>
          </w:p>
        </w:tc>
        <w:tc>
          <w:tcPr>
            <w:tcW w:w="1701" w:type="dxa"/>
            <w:vAlign w:val="center"/>
          </w:tcPr>
          <w:p>
            <w:pPr>
              <w:pStyle w:val="70"/>
              <w:rPr>
                <w:rFonts w:cs="Times New Roman"/>
              </w:rPr>
            </w:pPr>
            <w:r>
              <w:rPr>
                <w:rFonts w:cs="Times New Roman"/>
              </w:rPr>
              <w:t>不适用</w:t>
            </w:r>
          </w:p>
        </w:tc>
        <w:tc>
          <w:tcPr>
            <w:tcW w:w="2056" w:type="dxa"/>
            <w:vAlign w:val="center"/>
          </w:tcPr>
          <w:p>
            <w:pPr>
              <w:pStyle w:val="70"/>
              <w:rPr>
                <w:rFonts w:cs="Times New Roman"/>
              </w:rPr>
            </w:pPr>
            <w:r>
              <w:rPr>
                <w:rFonts w:cs="Times New Roma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47" w:type="dxa"/>
            <w:vAlign w:val="center"/>
          </w:tcPr>
          <w:p>
            <w:pPr>
              <w:pStyle w:val="70"/>
              <w:rPr>
                <w:rFonts w:cs="Times New Roman"/>
              </w:rPr>
            </w:pPr>
            <w:r>
              <w:rPr>
                <w:rFonts w:cs="Times New Roman"/>
              </w:rPr>
              <w:t>环空密封总成</w:t>
            </w:r>
          </w:p>
          <w:p>
            <w:pPr>
              <w:pStyle w:val="70"/>
              <w:rPr>
                <w:rFonts w:cs="Times New Roman"/>
              </w:rPr>
            </w:pPr>
            <w:r>
              <w:rPr>
                <w:rFonts w:cs="Times New Roman"/>
              </w:rPr>
              <w:t>（包括应急密封总成）</w:t>
            </w:r>
          </w:p>
        </w:tc>
        <w:tc>
          <w:tcPr>
            <w:tcW w:w="1984" w:type="dxa"/>
            <w:vAlign w:val="center"/>
          </w:tcPr>
          <w:p>
            <w:pPr>
              <w:pStyle w:val="70"/>
              <w:rPr>
                <w:rFonts w:cs="Times New Roman"/>
              </w:rPr>
            </w:pPr>
            <w:r>
              <w:rPr>
                <w:rFonts w:cs="Times New Roman"/>
              </w:rPr>
              <w:t>3</w:t>
            </w:r>
          </w:p>
        </w:tc>
        <w:tc>
          <w:tcPr>
            <w:tcW w:w="1701" w:type="dxa"/>
            <w:vAlign w:val="center"/>
          </w:tcPr>
          <w:p>
            <w:pPr>
              <w:pStyle w:val="70"/>
              <w:rPr>
                <w:rFonts w:cs="Times New Roman"/>
              </w:rPr>
            </w:pPr>
            <w:r>
              <w:rPr>
                <w:rFonts w:cs="Times New Roman"/>
              </w:rPr>
              <w:t>3</w:t>
            </w:r>
          </w:p>
        </w:tc>
        <w:tc>
          <w:tcPr>
            <w:tcW w:w="2056" w:type="dxa"/>
            <w:vAlign w:val="center"/>
          </w:tcPr>
          <w:p>
            <w:pPr>
              <w:pStyle w:val="70"/>
              <w:rPr>
                <w:rFonts w:cs="Times New Roman"/>
              </w:rPr>
            </w:pPr>
            <w:r>
              <w:rPr>
                <w:rFonts w:cs="Times New Roman"/>
              </w:rPr>
              <w:t>不适用</w:t>
            </w:r>
          </w:p>
        </w:tc>
      </w:tr>
    </w:tbl>
    <w:p>
      <w:pPr>
        <w:ind w:firstLine="420"/>
        <w:rPr>
          <w:rFonts w:cs="Times New Roman"/>
        </w:rPr>
      </w:pPr>
    </w:p>
    <w:p>
      <w:pPr>
        <w:pStyle w:val="41"/>
        <w:rPr>
          <w:rFonts w:cs="Times New Roman"/>
        </w:rPr>
      </w:pPr>
      <w:r>
        <w:rPr>
          <w:rFonts w:cs="Times New Roman"/>
        </w:rPr>
        <w:t>试验介质</w:t>
      </w:r>
    </w:p>
    <w:p>
      <w:pPr>
        <w:ind w:firstLine="420"/>
        <w:rPr>
          <w:rFonts w:cs="Times New Roman"/>
        </w:rPr>
      </w:pPr>
      <w:r>
        <w:rPr>
          <w:rFonts w:cs="Times New Roman"/>
        </w:rPr>
        <w:t>液体应作为静水压试验（1.5倍额定工作压力）的试验介质，其它带有保压期要求的压力试验可选择气体作为试验介质。</w:t>
      </w:r>
    </w:p>
    <w:p>
      <w:pPr>
        <w:ind w:firstLine="420"/>
        <w:rPr>
          <w:rFonts w:cs="Times New Roman"/>
        </w:rPr>
      </w:pPr>
      <w:r>
        <w:rPr>
          <w:rFonts w:cs="Times New Roman"/>
        </w:rPr>
        <w:t>PSL3G产品气密试验应选择气体作为试验介质。</w:t>
      </w:r>
    </w:p>
    <w:p>
      <w:pPr>
        <w:ind w:firstLine="420"/>
        <w:rPr>
          <w:rFonts w:cs="Times New Roman"/>
        </w:rPr>
      </w:pPr>
      <w:r>
        <w:rPr>
          <w:rFonts w:cs="Times New Roman"/>
        </w:rPr>
        <w:t>对于无保压期要求的压力循环试验，试验介质可以是液体或气体。</w:t>
      </w:r>
    </w:p>
    <w:p>
      <w:pPr>
        <w:ind w:firstLine="420"/>
        <w:rPr>
          <w:rFonts w:cs="Times New Roman"/>
        </w:rPr>
      </w:pPr>
      <w:r>
        <w:rPr>
          <w:rFonts w:cs="Times New Roman"/>
        </w:rPr>
        <w:t>装置外压试验可选择液体作为试验介质。</w:t>
      </w:r>
    </w:p>
    <w:p>
      <w:pPr>
        <w:pStyle w:val="41"/>
        <w:rPr>
          <w:rFonts w:cs="Times New Roman"/>
        </w:rPr>
      </w:pPr>
      <w:r>
        <w:rPr>
          <w:rFonts w:cs="Times New Roman"/>
        </w:rPr>
        <w:t>压力循环试验</w:t>
      </w:r>
    </w:p>
    <w:p>
      <w:pPr>
        <w:ind w:firstLine="420"/>
        <w:rPr>
          <w:rFonts w:cs="Times New Roman"/>
        </w:rPr>
      </w:pPr>
      <w:r>
        <w:rPr>
          <w:rFonts w:cs="Times New Roman"/>
        </w:rPr>
        <w:t>产品压力循环试验要求应满足</w:t>
      </w:r>
      <w:r>
        <w:rPr>
          <w:rFonts w:cs="Times New Roman"/>
        </w:rPr>
        <w:fldChar w:fldCharType="begin"/>
      </w:r>
      <w:r>
        <w:rPr>
          <w:rFonts w:cs="Times New Roman"/>
        </w:rPr>
        <w:instrText xml:space="preserve"> REF _Ref112224157 \h  \* MERGEFORMAT </w:instrText>
      </w:r>
      <w:r>
        <w:rPr>
          <w:rFonts w:cs="Times New Roman"/>
        </w:rPr>
        <w:fldChar w:fldCharType="separate"/>
      </w:r>
      <w:r>
        <w:rPr>
          <w:rFonts w:cs="Times New Roman"/>
        </w:rPr>
        <w:t>表 4</w:t>
      </w:r>
      <w:r>
        <w:rPr>
          <w:rFonts w:cs="Times New Roman"/>
        </w:rPr>
        <w:fldChar w:fldCharType="end"/>
      </w:r>
      <w:r>
        <w:rPr>
          <w:rFonts w:cs="Times New Roman"/>
        </w:rPr>
        <w:t xml:space="preserve"> 规定。</w:t>
      </w:r>
    </w:p>
    <w:p>
      <w:pPr>
        <w:ind w:firstLine="420"/>
        <w:rPr>
          <w:rFonts w:cs="Times New Roman"/>
        </w:rPr>
      </w:pPr>
      <w:r>
        <w:rPr>
          <w:rFonts w:cs="Times New Roman"/>
        </w:rPr>
        <w:t>压力循环试验过程中，待测零部件应交替地加压至额定工作压力，然后减压至试验压力的1%或以下，直到压力循环次数满足要求。每个压力循环无需保压。</w:t>
      </w:r>
    </w:p>
    <w:p>
      <w:pPr>
        <w:pStyle w:val="41"/>
        <w:rPr>
          <w:rFonts w:cs="Times New Roman"/>
        </w:rPr>
      </w:pPr>
      <w:r>
        <w:rPr>
          <w:rFonts w:cs="Times New Roman"/>
        </w:rPr>
        <w:t>载荷试验</w:t>
      </w:r>
    </w:p>
    <w:p>
      <w:pPr>
        <w:ind w:firstLine="420"/>
        <w:rPr>
          <w:rFonts w:cs="Times New Roman"/>
          <w:highlight w:val="yellow"/>
        </w:rPr>
      </w:pPr>
      <w:r>
        <w:rPr>
          <w:rFonts w:cs="Times New Roman"/>
        </w:rPr>
        <w:t>产品额定承载能力应通过性能鉴定试验和工程分析予以验证。设备在试验时，在满足其他任何性能要求的条件下，应加载到额定能力而不变形，加载重复次数符合</w:t>
      </w:r>
      <w:r>
        <w:rPr>
          <w:rFonts w:cs="Times New Roman"/>
        </w:rPr>
        <w:fldChar w:fldCharType="begin"/>
      </w:r>
      <w:r>
        <w:rPr>
          <w:rFonts w:cs="Times New Roman"/>
        </w:rPr>
        <w:instrText xml:space="preserve"> REF _Ref112224157 \h  \* MERGEFORMAT </w:instrText>
      </w:r>
      <w:r>
        <w:rPr>
          <w:rFonts w:cs="Times New Roman"/>
        </w:rPr>
        <w:fldChar w:fldCharType="separate"/>
      </w:r>
      <w:r>
        <w:t>表 4</w:t>
      </w:r>
      <w:r>
        <w:rPr>
          <w:rFonts w:cs="Times New Roman"/>
        </w:rPr>
        <w:fldChar w:fldCharType="end"/>
      </w:r>
      <w:r>
        <w:rPr>
          <w:rFonts w:cs="Times New Roman"/>
        </w:rPr>
        <w:t>要求。</w:t>
      </w:r>
    </w:p>
    <w:p>
      <w:pPr>
        <w:pStyle w:val="41"/>
        <w:rPr>
          <w:rFonts w:cs="Times New Roman"/>
        </w:rPr>
      </w:pPr>
      <w:r>
        <w:rPr>
          <w:rFonts w:cs="Times New Roman"/>
        </w:rPr>
        <w:t>温度循环试验</w:t>
      </w:r>
    </w:p>
    <w:p>
      <w:pPr>
        <w:ind w:firstLine="420"/>
        <w:rPr>
          <w:rFonts w:cs="Times New Roman"/>
        </w:rPr>
      </w:pPr>
      <w:r>
        <w:rPr>
          <w:rFonts w:cs="Times New Roman"/>
        </w:rPr>
        <w:t>在额定工作压力或载荷下，应对产品进行试验温度不低于额定工作温度等级范围的鉴定试验。</w:t>
      </w:r>
    </w:p>
    <w:p>
      <w:pPr>
        <w:ind w:firstLine="420"/>
        <w:rPr>
          <w:rFonts w:cs="Times New Roman"/>
        </w:rPr>
      </w:pPr>
      <w:r>
        <w:rPr>
          <w:rFonts w:cs="Times New Roman"/>
        </w:rPr>
        <w:t>温度循环试验过程中，应交替地加热并冷却到其额定工作温度类别的温度上极限和温度下极限。在温度循环期间，试验压力为额定工作压力。</w:t>
      </w:r>
    </w:p>
    <w:p>
      <w:pPr>
        <w:pStyle w:val="41"/>
        <w:rPr>
          <w:rFonts w:cs="Times New Roman"/>
        </w:rPr>
      </w:pPr>
      <w:r>
        <w:rPr>
          <w:rFonts w:cs="Times New Roman"/>
        </w:rPr>
        <w:t>产品系列鉴定</w:t>
      </w:r>
    </w:p>
    <w:p>
      <w:pPr>
        <w:ind w:firstLine="420"/>
        <w:rPr>
          <w:rFonts w:cs="Times New Roman"/>
        </w:rPr>
      </w:pPr>
      <w:r>
        <w:rPr>
          <w:rFonts w:hint="eastAsia" w:cs="Times New Roman"/>
          <w:lang w:bidi="ar"/>
        </w:rPr>
        <w:t>只要满足下列要求，一个规格产品可用来验证在某一产品系列中的其他规格产品。</w:t>
      </w:r>
    </w:p>
    <w:p>
      <w:pPr>
        <w:pStyle w:val="24"/>
        <w:numPr>
          <w:ilvl w:val="0"/>
          <w:numId w:val="4"/>
        </w:numPr>
        <w:ind w:firstLineChars="0"/>
        <w:rPr>
          <w:rFonts w:cs="Times New Roman"/>
        </w:rPr>
      </w:pPr>
      <w:r>
        <w:rPr>
          <w:rFonts w:hint="eastAsia" w:cs="Times New Roman"/>
          <w:sz w:val="21"/>
          <w:lang w:bidi="ar"/>
        </w:rPr>
        <w:t>产品系列指设计原则、物理结构和功能操作相同，但规格不同的一组产品。</w:t>
      </w:r>
    </w:p>
    <w:p>
      <w:pPr>
        <w:pStyle w:val="24"/>
        <w:numPr>
          <w:ilvl w:val="0"/>
          <w:numId w:val="4"/>
        </w:numPr>
        <w:ind w:firstLineChars="0"/>
        <w:rPr>
          <w:rFonts w:cs="Times New Roman"/>
        </w:rPr>
      </w:pPr>
      <w:r>
        <w:rPr>
          <w:rFonts w:hint="eastAsia" w:cs="Times New Roman"/>
          <w:sz w:val="21"/>
          <w:lang w:bidi="ar"/>
        </w:rPr>
        <w:t>该产品系列的所有结构与材料力学性能有关的设计应力水平必须基于同一准则。</w:t>
      </w:r>
    </w:p>
    <w:p>
      <w:pPr>
        <w:pStyle w:val="24"/>
        <w:numPr>
          <w:ilvl w:val="0"/>
          <w:numId w:val="4"/>
        </w:numPr>
        <w:ind w:firstLineChars="0"/>
        <w:rPr>
          <w:rFonts w:cs="Times New Roman"/>
        </w:rPr>
      </w:pPr>
      <w:r>
        <w:rPr>
          <w:rFonts w:cs="Times New Roman"/>
          <w:sz w:val="21"/>
          <w:lang w:bidi="ar"/>
        </w:rPr>
        <w:t>产品系列的鉴定应按照ISO 10423附录F进行。</w:t>
      </w:r>
    </w:p>
    <w:p>
      <w:pPr>
        <w:pStyle w:val="39"/>
      </w:pPr>
      <w:bookmarkStart w:id="84" w:name="_Toc112190671"/>
      <w:bookmarkStart w:id="85" w:name="_Toc112341740"/>
      <w:bookmarkStart w:id="86" w:name="_Toc95909855"/>
      <w:bookmarkStart w:id="87" w:name="_Toc95910597"/>
      <w:bookmarkStart w:id="88" w:name="_Toc95911841"/>
      <w:r>
        <w:t>材料</w:t>
      </w:r>
      <w:bookmarkEnd w:id="84"/>
      <w:bookmarkEnd w:id="85"/>
    </w:p>
    <w:p>
      <w:pPr>
        <w:pStyle w:val="40"/>
        <w:numPr>
          <w:ilvl w:val="2"/>
          <w:numId w:val="5"/>
        </w:numPr>
      </w:pPr>
      <w:r>
        <w:t>总则</w:t>
      </w:r>
    </w:p>
    <w:p>
      <w:pPr>
        <w:ind w:firstLine="420"/>
        <w:rPr>
          <w:rFonts w:cs="Times New Roman"/>
        </w:rPr>
      </w:pPr>
      <w:r>
        <w:rPr>
          <w:rFonts w:cs="Times New Roman"/>
        </w:rPr>
        <w:t>本章节规定水下井口装置的材料性能、材料成分和加工过程要求，适用于碳钢、低合金钢和马氏体不锈钢（沉积硬化型的除外）。</w:t>
      </w:r>
    </w:p>
    <w:p>
      <w:pPr>
        <w:ind w:firstLine="420"/>
        <w:rPr>
          <w:rFonts w:cs="Times New Roman"/>
        </w:rPr>
      </w:pPr>
      <w:r>
        <w:rPr>
          <w:rFonts w:cs="Times New Roman"/>
        </w:rPr>
        <w:t>水下井口承压件/控压件的主体材料应满足本文件</w:t>
      </w:r>
      <w:r>
        <w:rPr>
          <w:rFonts w:cs="Times New Roman"/>
        </w:rPr>
        <w:fldChar w:fldCharType="begin"/>
      </w:r>
      <w:r>
        <w:rPr>
          <w:rFonts w:cs="Times New Roman"/>
        </w:rPr>
        <w:instrText xml:space="preserve"> REF _Ref112322044 \n \h </w:instrText>
      </w:r>
      <w:r>
        <w:rPr>
          <w:rFonts w:cs="Times New Roman"/>
        </w:rPr>
        <w:fldChar w:fldCharType="separate"/>
      </w:r>
      <w:r>
        <w:rPr>
          <w:rFonts w:cs="Times New Roman"/>
        </w:rPr>
        <w:t>4.3.4</w:t>
      </w:r>
      <w:r>
        <w:rPr>
          <w:rFonts w:cs="Times New Roman"/>
        </w:rPr>
        <w:fldChar w:fldCharType="end"/>
      </w:r>
      <w:r>
        <w:rPr>
          <w:rFonts w:cs="Times New Roman"/>
        </w:rPr>
        <w:t>规定。</w:t>
      </w:r>
    </w:p>
    <w:p>
      <w:pPr>
        <w:ind w:firstLine="420"/>
        <w:rPr>
          <w:rFonts w:cs="Times New Roman"/>
        </w:rPr>
      </w:pPr>
      <w:r>
        <w:rPr>
          <w:rFonts w:cs="Times New Roman"/>
        </w:rPr>
        <w:t>考虑海洋环境引起的腐蚀时，水下井口材料选择至少应考虑以下方面：</w:t>
      </w:r>
    </w:p>
    <w:p>
      <w:pPr>
        <w:ind w:firstLine="420"/>
        <w:rPr>
          <w:rFonts w:cs="Times New Roman"/>
        </w:rPr>
      </w:pPr>
      <w:r>
        <w:rPr>
          <w:rFonts w:cs="Times New Roman"/>
        </w:rPr>
        <w:t>— 外部流体；</w:t>
      </w:r>
    </w:p>
    <w:p>
      <w:pPr>
        <w:ind w:firstLine="420"/>
        <w:rPr>
          <w:rFonts w:cs="Times New Roman"/>
        </w:rPr>
      </w:pPr>
      <w:r>
        <w:rPr>
          <w:rFonts w:cs="Times New Roman"/>
        </w:rPr>
        <w:t>— 内部流体；</w:t>
      </w:r>
    </w:p>
    <w:p>
      <w:pPr>
        <w:ind w:firstLine="420"/>
        <w:rPr>
          <w:rFonts w:cs="Times New Roman"/>
        </w:rPr>
      </w:pPr>
      <w:r>
        <w:rPr>
          <w:rFonts w:cs="Times New Roman"/>
        </w:rPr>
        <w:t>— 焊接性能；</w:t>
      </w:r>
    </w:p>
    <w:p>
      <w:pPr>
        <w:ind w:firstLine="420"/>
        <w:rPr>
          <w:rFonts w:cs="Times New Roman"/>
        </w:rPr>
      </w:pPr>
      <w:r>
        <w:rPr>
          <w:rFonts w:cs="Times New Roman"/>
        </w:rPr>
        <w:t>— 缝隙腐蚀；</w:t>
      </w:r>
    </w:p>
    <w:p>
      <w:pPr>
        <w:ind w:firstLine="420"/>
        <w:rPr>
          <w:rFonts w:cs="Times New Roman"/>
        </w:rPr>
      </w:pPr>
      <w:r>
        <w:rPr>
          <w:rFonts w:cs="Times New Roman"/>
        </w:rPr>
        <w:t>— 异金属间的作用；</w:t>
      </w:r>
    </w:p>
    <w:p>
      <w:pPr>
        <w:ind w:firstLine="420"/>
        <w:rPr>
          <w:rFonts w:cs="Times New Roman"/>
        </w:rPr>
      </w:pPr>
      <w:r>
        <w:rPr>
          <w:rFonts w:cs="Times New Roman"/>
        </w:rPr>
        <w:t>— 阴极保护效应；</w:t>
      </w:r>
    </w:p>
    <w:p>
      <w:pPr>
        <w:ind w:firstLine="420"/>
        <w:rPr>
          <w:rFonts w:cs="Times New Roman"/>
        </w:rPr>
      </w:pPr>
      <w:r>
        <w:rPr>
          <w:rFonts w:cs="Times New Roman"/>
        </w:rPr>
        <w:t>— 涂层。</w:t>
      </w:r>
    </w:p>
    <w:p>
      <w:pPr>
        <w:pStyle w:val="41"/>
        <w:rPr>
          <w:rFonts w:cs="Times New Roman"/>
        </w:rPr>
      </w:pPr>
      <w:r>
        <w:rPr>
          <w:rFonts w:cs="Times New Roman"/>
        </w:rPr>
        <w:t>金属材料要求</w:t>
      </w:r>
    </w:p>
    <w:p>
      <w:pPr>
        <w:ind w:firstLine="420"/>
        <w:rPr>
          <w:rFonts w:cs="Times New Roman"/>
        </w:rPr>
      </w:pPr>
      <w:r>
        <w:rPr>
          <w:rFonts w:cs="Times New Roman"/>
        </w:rPr>
        <w:t>制造商对金属材料应有书面材料规范，并应明确以下项目及接收/拒收准则：</w:t>
      </w:r>
    </w:p>
    <w:p>
      <w:pPr>
        <w:ind w:firstLine="420"/>
        <w:rPr>
          <w:rFonts w:cs="Times New Roman"/>
        </w:rPr>
      </w:pPr>
      <w:r>
        <w:rPr>
          <w:rFonts w:cs="Times New Roman"/>
        </w:rPr>
        <w:t>—力学性能要求；</w:t>
      </w:r>
    </w:p>
    <w:p>
      <w:pPr>
        <w:ind w:firstLine="420"/>
        <w:rPr>
          <w:rFonts w:cs="Times New Roman"/>
        </w:rPr>
      </w:pPr>
      <w:r>
        <w:rPr>
          <w:rFonts w:cs="Times New Roman"/>
        </w:rPr>
        <w:t>—材料鉴定；</w:t>
      </w:r>
    </w:p>
    <w:p>
      <w:pPr>
        <w:ind w:firstLine="420"/>
        <w:rPr>
          <w:rFonts w:cs="Times New Roman"/>
        </w:rPr>
      </w:pPr>
      <w:r>
        <w:rPr>
          <w:rFonts w:cs="Times New Roman"/>
        </w:rPr>
        <w:t>—热处理程序，包括周期、淬火作法、温度及其偏差、冷却介质；</w:t>
      </w:r>
    </w:p>
    <w:p>
      <w:pPr>
        <w:ind w:firstLine="420"/>
        <w:rPr>
          <w:rFonts w:cs="Times New Roman"/>
        </w:rPr>
      </w:pPr>
      <w:r>
        <w:rPr>
          <w:rFonts w:cs="Times New Roman"/>
        </w:rPr>
        <w:t>—材料成分及偏差；</w:t>
      </w:r>
    </w:p>
    <w:p>
      <w:pPr>
        <w:ind w:firstLine="420"/>
        <w:rPr>
          <w:rFonts w:cs="Times New Roman"/>
        </w:rPr>
      </w:pPr>
      <w:r>
        <w:rPr>
          <w:rFonts w:cs="Times New Roman"/>
        </w:rPr>
        <w:t>—无损检测要求。</w:t>
      </w:r>
    </w:p>
    <w:p>
      <w:pPr>
        <w:ind w:firstLine="420"/>
        <w:rPr>
          <w:rFonts w:cs="Times New Roman"/>
        </w:rPr>
      </w:pPr>
      <w:r>
        <w:rPr>
          <w:rFonts w:cs="Times New Roman"/>
        </w:rPr>
        <w:t>—允许的熔炼作法；</w:t>
      </w:r>
    </w:p>
    <w:p>
      <w:pPr>
        <w:ind w:firstLine="420"/>
        <w:rPr>
          <w:rFonts w:cs="Times New Roman"/>
        </w:rPr>
      </w:pPr>
      <w:r>
        <w:rPr>
          <w:rFonts w:cs="Times New Roman"/>
        </w:rPr>
        <w:t>—成型作法，包括热加工和冷加工作法；热处理设备的校准。</w:t>
      </w:r>
    </w:p>
    <w:p>
      <w:pPr>
        <w:pStyle w:val="41"/>
        <w:rPr>
          <w:rFonts w:cs="Times New Roman"/>
        </w:rPr>
      </w:pPr>
      <w:r>
        <w:rPr>
          <w:rFonts w:cs="Times New Roman"/>
        </w:rPr>
        <w:t>非金属</w:t>
      </w:r>
      <w:r>
        <w:rPr>
          <w:rFonts w:hint="eastAsia" w:cs="Times New Roman"/>
        </w:rPr>
        <w:t>材料</w:t>
      </w:r>
      <w:r>
        <w:rPr>
          <w:rFonts w:cs="Times New Roman"/>
        </w:rPr>
        <w:t>要求</w:t>
      </w:r>
    </w:p>
    <w:p>
      <w:pPr>
        <w:ind w:firstLine="420"/>
        <w:rPr>
          <w:rFonts w:cs="Times New Roman"/>
        </w:rPr>
      </w:pPr>
      <w:r>
        <w:rPr>
          <w:rFonts w:cs="Times New Roman"/>
        </w:rPr>
        <w:t>非金属承压或控压密封件应有书面材料规范，并应明确以下项目：</w:t>
      </w:r>
    </w:p>
    <w:p>
      <w:pPr>
        <w:ind w:firstLine="420"/>
        <w:rPr>
          <w:rFonts w:cs="Times New Roman"/>
        </w:rPr>
      </w:pPr>
      <w:r>
        <w:rPr>
          <w:rFonts w:cs="Times New Roman"/>
        </w:rPr>
        <w:t>—</w:t>
      </w:r>
      <w:bookmarkStart w:id="89" w:name="OLE_LINK5"/>
      <w:bookmarkStart w:id="90" w:name="OLE_LINK6"/>
      <w:r>
        <w:rPr>
          <w:rFonts w:cs="Times New Roman"/>
        </w:rPr>
        <w:t>普通基体聚合物</w:t>
      </w:r>
      <w:bookmarkEnd w:id="89"/>
      <w:bookmarkEnd w:id="90"/>
      <w:r>
        <w:rPr>
          <w:rFonts w:cs="Times New Roman"/>
        </w:rPr>
        <w:t>；见 ASTM D 1418；</w:t>
      </w:r>
    </w:p>
    <w:p>
      <w:pPr>
        <w:ind w:firstLine="420"/>
        <w:rPr>
          <w:rFonts w:cs="Times New Roman"/>
        </w:rPr>
      </w:pPr>
      <w:r>
        <w:rPr>
          <w:rFonts w:cs="Times New Roman"/>
        </w:rPr>
        <w:t>—力学性能要求；</w:t>
      </w:r>
    </w:p>
    <w:p>
      <w:pPr>
        <w:ind w:firstLine="420"/>
        <w:rPr>
          <w:rFonts w:cs="Times New Roman"/>
        </w:rPr>
      </w:pPr>
      <w:r>
        <w:rPr>
          <w:rFonts w:cs="Times New Roman"/>
        </w:rPr>
        <w:t>—材料鉴定（应符合装置级别要求）；</w:t>
      </w:r>
    </w:p>
    <w:p>
      <w:pPr>
        <w:ind w:firstLine="420"/>
        <w:rPr>
          <w:rFonts w:cs="Times New Roman"/>
        </w:rPr>
      </w:pPr>
      <w:r>
        <w:rPr>
          <w:rFonts w:cs="Times New Roman"/>
        </w:rPr>
        <w:t>—贮存和老化控制要求。</w:t>
      </w:r>
    </w:p>
    <w:p>
      <w:pPr>
        <w:pStyle w:val="40"/>
      </w:pPr>
      <w:r>
        <w:t>一般要求</w:t>
      </w:r>
    </w:p>
    <w:p>
      <w:pPr>
        <w:pStyle w:val="41"/>
        <w:rPr>
          <w:b w:val="0"/>
        </w:rPr>
      </w:pPr>
      <w:r>
        <w:rPr>
          <w:b w:val="0"/>
        </w:rPr>
        <w:t>水下井口所有本体、端部和连接装置</w:t>
      </w:r>
      <w:r>
        <w:rPr>
          <w:rFonts w:hint="eastAsia"/>
          <w:b w:val="0"/>
        </w:rPr>
        <w:t>宜采用</w:t>
      </w:r>
      <w:r>
        <w:rPr>
          <w:b w:val="0"/>
        </w:rPr>
        <w:t>标准</w:t>
      </w:r>
      <w:r>
        <w:rPr>
          <w:rFonts w:hint="eastAsia"/>
          <w:b w:val="0"/>
        </w:rPr>
        <w:t>材料，也可采用</w:t>
      </w:r>
      <w:r>
        <w:rPr>
          <w:b w:val="0"/>
        </w:rPr>
        <w:t>非标准材料</w:t>
      </w:r>
      <w:r>
        <w:rPr>
          <w:rFonts w:hint="eastAsia"/>
          <w:b w:val="0"/>
        </w:rPr>
        <w:t>，具体</w:t>
      </w:r>
      <w:r>
        <w:rPr>
          <w:b w:val="0"/>
        </w:rPr>
        <w:t>材料</w:t>
      </w:r>
      <w:r>
        <w:rPr>
          <w:rFonts w:hint="eastAsia"/>
          <w:b w:val="0"/>
        </w:rPr>
        <w:t>强度等级应符合</w:t>
      </w:r>
      <w:r>
        <w:rPr>
          <w:b w:val="0"/>
        </w:rPr>
        <w:fldChar w:fldCharType="begin"/>
      </w:r>
      <w:r>
        <w:rPr>
          <w:b w:val="0"/>
        </w:rPr>
        <w:instrText xml:space="preserve"> </w:instrText>
      </w:r>
      <w:r>
        <w:rPr>
          <w:rFonts w:hint="eastAsia"/>
          <w:b w:val="0"/>
        </w:rPr>
        <w:instrText xml:space="preserve">REF _Ref112322072 \h</w:instrText>
      </w:r>
      <w:r>
        <w:rPr>
          <w:b w:val="0"/>
        </w:rPr>
        <w:instrText xml:space="preserve">  \* MERGEFORMAT </w:instrText>
      </w:r>
      <w:r>
        <w:rPr>
          <w:b w:val="0"/>
        </w:rPr>
        <w:fldChar w:fldCharType="separate"/>
      </w:r>
      <w:r>
        <w:rPr>
          <w:rFonts w:cs="Times New Roman"/>
          <w:b w:val="0"/>
        </w:rPr>
        <w:t>表 5</w:t>
      </w:r>
      <w:r>
        <w:rPr>
          <w:b w:val="0"/>
        </w:rPr>
        <w:fldChar w:fldCharType="end"/>
      </w:r>
      <w:r>
        <w:rPr>
          <w:rFonts w:hint="eastAsia"/>
          <w:b w:val="0"/>
        </w:rPr>
        <w:t xml:space="preserve"> 规定，</w:t>
      </w:r>
      <w:r>
        <w:rPr>
          <w:b w:val="0"/>
        </w:rPr>
        <w:t>标准材料性能应符合表6规定，</w:t>
      </w:r>
      <w:r>
        <w:rPr>
          <w:rFonts w:hint="eastAsia"/>
          <w:b w:val="0"/>
        </w:rPr>
        <w:t>冲击功要求应符合</w:t>
      </w:r>
      <w:r>
        <w:rPr>
          <w:b w:val="0"/>
        </w:rPr>
        <w:fldChar w:fldCharType="begin"/>
      </w:r>
      <w:r>
        <w:rPr>
          <w:b w:val="0"/>
        </w:rPr>
        <w:instrText xml:space="preserve"> </w:instrText>
      </w:r>
      <w:r>
        <w:rPr>
          <w:rFonts w:hint="eastAsia"/>
          <w:b w:val="0"/>
        </w:rPr>
        <w:instrText xml:space="preserve">REF _Ref112322499 \h</w:instrText>
      </w:r>
      <w:r>
        <w:rPr>
          <w:b w:val="0"/>
        </w:rPr>
        <w:instrText xml:space="preserve">  \* MERGEFORMAT </w:instrText>
      </w:r>
      <w:r>
        <w:rPr>
          <w:b w:val="0"/>
        </w:rPr>
        <w:fldChar w:fldCharType="separate"/>
      </w:r>
      <w:r>
        <w:rPr>
          <w:rFonts w:hint="eastAsia"/>
          <w:b w:val="0"/>
        </w:rPr>
        <w:t xml:space="preserve">表 </w:t>
      </w:r>
      <w:r>
        <w:rPr>
          <w:b w:val="0"/>
        </w:rPr>
        <w:t>7</w:t>
      </w:r>
      <w:r>
        <w:rPr>
          <w:b w:val="0"/>
        </w:rPr>
        <w:fldChar w:fldCharType="end"/>
      </w:r>
      <w:r>
        <w:rPr>
          <w:rFonts w:hint="eastAsia"/>
          <w:b w:val="0"/>
        </w:rPr>
        <w:t xml:space="preserve"> 规定</w:t>
      </w:r>
      <w:r>
        <w:rPr>
          <w:b w:val="0"/>
        </w:rPr>
        <w:t>。</w:t>
      </w:r>
    </w:p>
    <w:p>
      <w:pPr>
        <w:pStyle w:val="41"/>
        <w:rPr>
          <w:b w:val="0"/>
        </w:rPr>
      </w:pPr>
      <w:r>
        <w:rPr>
          <w:rFonts w:hint="eastAsia"/>
          <w:b w:val="0"/>
        </w:rPr>
        <w:t>采用</w:t>
      </w:r>
      <w:r>
        <w:rPr>
          <w:b w:val="0"/>
        </w:rPr>
        <w:t>非标准材料</w:t>
      </w:r>
      <w:r>
        <w:rPr>
          <w:rFonts w:hint="eastAsia"/>
          <w:b w:val="0"/>
        </w:rPr>
        <w:t>时，</w:t>
      </w:r>
      <w:r>
        <w:rPr>
          <w:b w:val="0"/>
        </w:rPr>
        <w:t>应满足制造商的书面规范，</w:t>
      </w:r>
      <w:r>
        <w:rPr>
          <w:rFonts w:hint="eastAsia"/>
          <w:b w:val="0"/>
        </w:rPr>
        <w:t>最少应</w:t>
      </w:r>
      <w:r>
        <w:rPr>
          <w:b w:val="0"/>
        </w:rPr>
        <w:t>包含以下项目</w:t>
      </w:r>
      <w:r>
        <w:rPr>
          <w:rFonts w:hint="eastAsia"/>
          <w:b w:val="0"/>
        </w:rPr>
        <w:t>及要求</w:t>
      </w:r>
      <w:r>
        <w:rPr>
          <w:b w:val="0"/>
        </w:rPr>
        <w:t>：</w:t>
      </w:r>
    </w:p>
    <w:p>
      <w:pPr>
        <w:ind w:firstLine="420"/>
        <w:rPr>
          <w:rFonts w:cs="Times New Roman"/>
        </w:rPr>
      </w:pPr>
      <w:r>
        <w:rPr>
          <w:rFonts w:cs="Times New Roman"/>
        </w:rPr>
        <w:t>—拉伸强度；</w:t>
      </w:r>
    </w:p>
    <w:p>
      <w:pPr>
        <w:ind w:firstLine="420"/>
        <w:rPr>
          <w:rFonts w:cs="Times New Roman"/>
        </w:rPr>
      </w:pPr>
      <w:r>
        <w:rPr>
          <w:rFonts w:cs="Times New Roman"/>
        </w:rPr>
        <w:t>—屈服强度</w:t>
      </w:r>
      <w:r>
        <w:rPr>
          <w:rFonts w:hint="eastAsia" w:cs="Times New Roman"/>
        </w:rPr>
        <w:t>（</w:t>
      </w:r>
      <w:r>
        <w:rPr>
          <w:rFonts w:cs="Times New Roman"/>
        </w:rPr>
        <w:t>选用的非标准材料最低屈服强度，</w:t>
      </w:r>
      <w:r>
        <w:rPr>
          <w:rFonts w:hint="eastAsia" w:cs="Times New Roman"/>
        </w:rPr>
        <w:t>应大于等于</w:t>
      </w:r>
      <w:r>
        <w:rPr>
          <w:rFonts w:cs="Times New Roman"/>
        </w:rPr>
        <w:t>所允许标准材料的最低屈服强度</w:t>
      </w:r>
      <w:r>
        <w:rPr>
          <w:rFonts w:hint="eastAsia" w:cs="Times New Roman"/>
        </w:rPr>
        <w:t>）</w:t>
      </w:r>
      <w:r>
        <w:rPr>
          <w:rFonts w:cs="Times New Roman"/>
        </w:rPr>
        <w:t>；</w:t>
      </w:r>
    </w:p>
    <w:p>
      <w:pPr>
        <w:ind w:firstLine="420"/>
        <w:rPr>
          <w:rFonts w:cs="Times New Roman"/>
        </w:rPr>
      </w:pPr>
      <w:r>
        <w:rPr>
          <w:rFonts w:cs="Times New Roman"/>
        </w:rPr>
        <w:t>—硬度；</w:t>
      </w:r>
    </w:p>
    <w:p>
      <w:pPr>
        <w:ind w:firstLine="420"/>
        <w:rPr>
          <w:rFonts w:cs="Times New Roman"/>
        </w:rPr>
      </w:pPr>
      <w:r>
        <w:rPr>
          <w:rFonts w:cs="Times New Roman"/>
        </w:rPr>
        <w:t>—冲击韧性（适用时）；</w:t>
      </w:r>
    </w:p>
    <w:p>
      <w:pPr>
        <w:ind w:firstLine="420"/>
        <w:rPr>
          <w:rFonts w:cs="Times New Roman"/>
        </w:rPr>
      </w:pPr>
      <w:r>
        <w:rPr>
          <w:rFonts w:cs="Times New Roman"/>
        </w:rPr>
        <w:t>—伸长率不小于15％；</w:t>
      </w:r>
    </w:p>
    <w:p>
      <w:pPr>
        <w:ind w:firstLine="420"/>
        <w:rPr>
          <w:rFonts w:cs="Times New Roman"/>
        </w:rPr>
      </w:pPr>
      <w:r>
        <w:rPr>
          <w:rFonts w:cs="Times New Roman"/>
        </w:rPr>
        <w:t>—断面收缩率不小于20％。</w:t>
      </w:r>
    </w:p>
    <w:p>
      <w:pPr>
        <w:pStyle w:val="41"/>
        <w:rPr>
          <w:b w:val="0"/>
        </w:rPr>
      </w:pPr>
      <w:r>
        <w:rPr>
          <w:b w:val="0"/>
        </w:rPr>
        <w:t>本体</w:t>
      </w:r>
      <w:r>
        <w:rPr>
          <w:rFonts w:hint="eastAsia"/>
          <w:b w:val="0"/>
        </w:rPr>
        <w:t>、端部和出口连接装置</w:t>
      </w:r>
      <w:r>
        <w:rPr>
          <w:b w:val="0"/>
        </w:rPr>
        <w:t>用标准材料</w:t>
      </w:r>
      <w:r>
        <w:rPr>
          <w:rFonts w:hint="eastAsia"/>
          <w:b w:val="0"/>
        </w:rPr>
        <w:t>不同强度等级对应的拉伸试验结果应符合</w:t>
      </w:r>
      <w:r>
        <w:rPr>
          <w:b w:val="0"/>
        </w:rPr>
        <w:fldChar w:fldCharType="begin"/>
      </w:r>
      <w:r>
        <w:rPr>
          <w:b w:val="0"/>
        </w:rPr>
        <w:instrText xml:space="preserve"> </w:instrText>
      </w:r>
      <w:r>
        <w:rPr>
          <w:rFonts w:hint="eastAsia"/>
          <w:b w:val="0"/>
        </w:rPr>
        <w:instrText xml:space="preserve">REF _Ref112322466 \h</w:instrText>
      </w:r>
      <w:r>
        <w:rPr>
          <w:b w:val="0"/>
        </w:rPr>
        <w:instrText xml:space="preserve">  \* MERGEFORMAT </w:instrText>
      </w:r>
      <w:r>
        <w:rPr>
          <w:b w:val="0"/>
        </w:rPr>
        <w:fldChar w:fldCharType="separate"/>
      </w:r>
      <w:r>
        <w:rPr>
          <w:rFonts w:hint="eastAsia"/>
          <w:b w:val="0"/>
        </w:rPr>
        <w:t xml:space="preserve">表 </w:t>
      </w:r>
      <w:r>
        <w:rPr>
          <w:b w:val="0"/>
        </w:rPr>
        <w:t>6</w:t>
      </w:r>
      <w:r>
        <w:rPr>
          <w:b w:val="0"/>
        </w:rPr>
        <w:fldChar w:fldCharType="end"/>
      </w:r>
      <w:r>
        <w:rPr>
          <w:rFonts w:hint="eastAsia"/>
          <w:b w:val="0"/>
        </w:rPr>
        <w:t xml:space="preserve"> 规定。</w:t>
      </w:r>
    </w:p>
    <w:p>
      <w:pPr>
        <w:pStyle w:val="41"/>
      </w:pPr>
      <w:r>
        <w:t>材料试验试验</w:t>
      </w:r>
    </w:p>
    <w:p>
      <w:pPr>
        <w:pStyle w:val="41"/>
        <w:numPr>
          <w:ilvl w:val="3"/>
          <w:numId w:val="0"/>
        </w:numPr>
        <w:ind w:firstLine="416" w:firstLineChars="200"/>
        <w:rPr>
          <w:rFonts w:cs="Times New Roman"/>
          <w:b w:val="0"/>
          <w:bCs/>
        </w:rPr>
      </w:pPr>
      <w:r>
        <w:rPr>
          <w:rFonts w:hint="eastAsia" w:cs="Times New Roman"/>
          <w:b w:val="0"/>
          <w:bCs/>
        </w:rPr>
        <w:t>材料</w:t>
      </w:r>
      <w:r>
        <w:rPr>
          <w:rFonts w:cs="Times New Roman"/>
          <w:b w:val="0"/>
          <w:bCs/>
        </w:rPr>
        <w:t>试验</w:t>
      </w:r>
      <w:r>
        <w:rPr>
          <w:rFonts w:hint="eastAsia" w:cs="Times New Roman"/>
          <w:b w:val="0"/>
          <w:bCs/>
        </w:rPr>
        <w:t>试验的试验方法、</w:t>
      </w:r>
      <w:r>
        <w:rPr>
          <w:rFonts w:cs="Times New Roman"/>
          <w:b w:val="0"/>
          <w:bCs/>
        </w:rPr>
        <w:t>试验</w:t>
      </w:r>
      <w:r>
        <w:rPr>
          <w:rFonts w:hint="eastAsia" w:cs="Times New Roman"/>
          <w:b w:val="0"/>
          <w:bCs/>
        </w:rPr>
        <w:t>试样数量、复检要求、取样位置及方向符合ISO10423要求。</w:t>
      </w:r>
    </w:p>
    <w:p>
      <w:pPr>
        <w:pStyle w:val="69"/>
      </w:pPr>
      <w:bookmarkStart w:id="91" w:name="_Ref112322072"/>
      <w:r>
        <w:t xml:space="preserve">表 </w:t>
      </w:r>
      <w:r>
        <w:fldChar w:fldCharType="begin"/>
      </w:r>
      <w:r>
        <w:instrText xml:space="preserve"> SEQ 表 \* ARABIC </w:instrText>
      </w:r>
      <w:r>
        <w:fldChar w:fldCharType="separate"/>
      </w:r>
      <w:r>
        <w:t>5</w:t>
      </w:r>
      <w:r>
        <w:fldChar w:fldCharType="end"/>
      </w:r>
      <w:bookmarkEnd w:id="91"/>
      <w:r>
        <w:t xml:space="preserve"> 本体</w:t>
      </w:r>
      <w:r>
        <w:rPr>
          <w:rFonts w:hint="eastAsia"/>
        </w:rPr>
        <w:t>、端部和连接装置</w:t>
      </w:r>
      <w:r>
        <w:t>用标准和非标准材料</w:t>
      </w:r>
      <w:r>
        <w:rPr>
          <w:rFonts w:hint="eastAsia"/>
        </w:rPr>
        <w:t>等级</w:t>
      </w:r>
    </w:p>
    <w:tbl>
      <w:tblPr>
        <w:tblStyle w:val="27"/>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9"/>
        <w:gridCol w:w="1414"/>
        <w:gridCol w:w="77"/>
        <w:gridCol w:w="1289"/>
        <w:gridCol w:w="52"/>
        <w:gridCol w:w="1134"/>
        <w:gridCol w:w="29"/>
        <w:gridCol w:w="1108"/>
        <w:gridCol w:w="26"/>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240" w:lineRule="auto"/>
              <w:ind w:firstLine="0" w:firstLineChars="0"/>
              <w:jc w:val="center"/>
              <w:rPr>
                <w:rFonts w:cs="Times New Roman"/>
                <w:sz w:val="18"/>
                <w:szCs w:val="18"/>
              </w:rPr>
            </w:pPr>
            <w:r>
              <w:rPr>
                <w:rFonts w:cs="Times New Roman"/>
                <w:sz w:val="18"/>
                <w:szCs w:val="18"/>
              </w:rPr>
              <w:t>零件</w:t>
            </w:r>
          </w:p>
        </w:tc>
        <w:tc>
          <w:tcPr>
            <w:tcW w:w="7520" w:type="dxa"/>
            <w:gridSpan w:val="10"/>
            <w:vAlign w:val="center"/>
          </w:tcPr>
          <w:p>
            <w:pPr>
              <w:pStyle w:val="70"/>
              <w:rPr>
                <w:rFonts w:cs="Times New Roman"/>
                <w:sz w:val="18"/>
                <w:szCs w:val="18"/>
              </w:rPr>
            </w:pPr>
            <w:r>
              <w:rPr>
                <w:rFonts w:cs="Times New Roman"/>
                <w:sz w:val="18"/>
                <w:szCs w:val="18"/>
              </w:rPr>
              <w:t>压力等级下的材料代号</w:t>
            </w:r>
            <w:r>
              <w:rPr>
                <w:rFonts w:cs="Times New Roman"/>
                <w:position w:val="6"/>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240" w:lineRule="auto"/>
              <w:ind w:firstLine="0" w:firstLineChars="0"/>
              <w:jc w:val="center"/>
              <w:rPr>
                <w:rFonts w:cs="Times New Roman"/>
                <w:sz w:val="18"/>
                <w:szCs w:val="18"/>
              </w:rPr>
            </w:pPr>
          </w:p>
        </w:tc>
        <w:tc>
          <w:tcPr>
            <w:tcW w:w="1279" w:type="dxa"/>
            <w:vAlign w:val="center"/>
          </w:tcPr>
          <w:p>
            <w:pPr>
              <w:pStyle w:val="70"/>
              <w:rPr>
                <w:rFonts w:cs="Times New Roman"/>
                <w:sz w:val="18"/>
                <w:szCs w:val="18"/>
              </w:rPr>
            </w:pPr>
            <w:r>
              <w:rPr>
                <w:rFonts w:cs="Times New Roman"/>
                <w:sz w:val="18"/>
                <w:szCs w:val="18"/>
              </w:rPr>
              <w:t>13.8</w:t>
            </w:r>
            <w:r>
              <w:rPr>
                <w:rFonts w:cs="Times New Roman"/>
                <w:color w:val="282828"/>
                <w:sz w:val="18"/>
                <w:szCs w:val="18"/>
              </w:rPr>
              <w:t>MPa</w:t>
            </w:r>
          </w:p>
          <w:p>
            <w:pPr>
              <w:pStyle w:val="70"/>
              <w:rPr>
                <w:rFonts w:cs="Times New Roman"/>
                <w:sz w:val="18"/>
                <w:szCs w:val="18"/>
              </w:rPr>
            </w:pPr>
            <w:r>
              <w:rPr>
                <w:rFonts w:cs="Times New Roman"/>
                <w:sz w:val="18"/>
                <w:szCs w:val="18"/>
              </w:rPr>
              <w:t>(2000</w:t>
            </w:r>
            <w:r>
              <w:rPr>
                <w:rFonts w:cs="Times New Roman"/>
                <w:color w:val="282828"/>
                <w:sz w:val="18"/>
                <w:szCs w:val="18"/>
              </w:rPr>
              <w:t>psi)</w:t>
            </w:r>
          </w:p>
        </w:tc>
        <w:tc>
          <w:tcPr>
            <w:tcW w:w="1491" w:type="dxa"/>
            <w:gridSpan w:val="2"/>
            <w:vAlign w:val="center"/>
          </w:tcPr>
          <w:p>
            <w:pPr>
              <w:pStyle w:val="70"/>
              <w:rPr>
                <w:rFonts w:cs="Times New Roman"/>
                <w:sz w:val="18"/>
                <w:szCs w:val="18"/>
              </w:rPr>
            </w:pPr>
            <w:r>
              <w:rPr>
                <w:rFonts w:cs="Times New Roman"/>
                <w:sz w:val="18"/>
                <w:szCs w:val="18"/>
              </w:rPr>
              <w:t>20.7MPa</w:t>
            </w:r>
          </w:p>
          <w:p>
            <w:pPr>
              <w:pStyle w:val="70"/>
              <w:rPr>
                <w:rFonts w:cs="Times New Roman"/>
                <w:sz w:val="18"/>
                <w:szCs w:val="18"/>
              </w:rPr>
            </w:pPr>
            <w:r>
              <w:rPr>
                <w:rFonts w:cs="Times New Roman"/>
                <w:sz w:val="18"/>
                <w:szCs w:val="18"/>
              </w:rPr>
              <w:t>(3000psi)</w:t>
            </w:r>
          </w:p>
        </w:tc>
        <w:tc>
          <w:tcPr>
            <w:tcW w:w="1289" w:type="dxa"/>
            <w:vAlign w:val="center"/>
          </w:tcPr>
          <w:p>
            <w:pPr>
              <w:pStyle w:val="70"/>
              <w:rPr>
                <w:rFonts w:cs="Times New Roman"/>
                <w:sz w:val="18"/>
                <w:szCs w:val="18"/>
              </w:rPr>
            </w:pPr>
            <w:r>
              <w:rPr>
                <w:rFonts w:cs="Times New Roman"/>
                <w:sz w:val="18"/>
                <w:szCs w:val="18"/>
              </w:rPr>
              <w:t>34.5</w:t>
            </w:r>
            <w:r>
              <w:rPr>
                <w:rFonts w:cs="Times New Roman"/>
                <w:color w:val="282828"/>
                <w:sz w:val="18"/>
                <w:szCs w:val="18"/>
              </w:rPr>
              <w:t>MPa</w:t>
            </w:r>
          </w:p>
          <w:p>
            <w:pPr>
              <w:pStyle w:val="70"/>
              <w:rPr>
                <w:rFonts w:cs="Times New Roman"/>
                <w:sz w:val="18"/>
                <w:szCs w:val="18"/>
              </w:rPr>
            </w:pPr>
            <w:r>
              <w:rPr>
                <w:rFonts w:cs="Times New Roman"/>
                <w:sz w:val="18"/>
                <w:szCs w:val="18"/>
              </w:rPr>
              <w:t>(5000</w:t>
            </w:r>
            <w:r>
              <w:rPr>
                <w:rFonts w:cs="Times New Roman"/>
                <w:color w:val="282828"/>
                <w:sz w:val="18"/>
                <w:szCs w:val="18"/>
              </w:rPr>
              <w:t>psi)</w:t>
            </w:r>
          </w:p>
        </w:tc>
        <w:tc>
          <w:tcPr>
            <w:tcW w:w="1186" w:type="dxa"/>
            <w:gridSpan w:val="2"/>
            <w:vAlign w:val="center"/>
          </w:tcPr>
          <w:p>
            <w:pPr>
              <w:pStyle w:val="70"/>
              <w:rPr>
                <w:rFonts w:cs="Times New Roman"/>
                <w:sz w:val="18"/>
                <w:szCs w:val="18"/>
              </w:rPr>
            </w:pPr>
            <w:r>
              <w:rPr>
                <w:rFonts w:cs="Times New Roman"/>
                <w:sz w:val="18"/>
                <w:szCs w:val="18"/>
              </w:rPr>
              <w:t>69.0MPa</w:t>
            </w:r>
          </w:p>
          <w:p>
            <w:pPr>
              <w:pStyle w:val="70"/>
              <w:rPr>
                <w:rFonts w:cs="Times New Roman"/>
                <w:sz w:val="18"/>
                <w:szCs w:val="18"/>
              </w:rPr>
            </w:pPr>
            <w:r>
              <w:rPr>
                <w:rFonts w:cs="Times New Roman"/>
                <w:sz w:val="18"/>
                <w:szCs w:val="18"/>
              </w:rPr>
              <w:t>(</w:t>
            </w:r>
            <w:r>
              <w:rPr>
                <w:rFonts w:cs="Times New Roman"/>
                <w:color w:val="161616"/>
                <w:sz w:val="18"/>
                <w:szCs w:val="18"/>
              </w:rPr>
              <w:t>1</w:t>
            </w:r>
            <w:r>
              <w:rPr>
                <w:rFonts w:cs="Times New Roman"/>
                <w:sz w:val="18"/>
                <w:szCs w:val="18"/>
              </w:rPr>
              <w:t>0</w:t>
            </w:r>
            <w:r>
              <w:rPr>
                <w:rFonts w:cs="Times New Roman"/>
                <w:color w:val="646464"/>
                <w:sz w:val="18"/>
                <w:szCs w:val="18"/>
              </w:rPr>
              <w:t>,</w:t>
            </w:r>
            <w:r>
              <w:rPr>
                <w:rFonts w:cs="Times New Roman"/>
                <w:color w:val="282828"/>
                <w:sz w:val="18"/>
                <w:szCs w:val="18"/>
              </w:rPr>
              <w:t>000</w:t>
            </w:r>
            <w:r>
              <w:rPr>
                <w:rFonts w:cs="Times New Roman"/>
                <w:sz w:val="18"/>
                <w:szCs w:val="18"/>
              </w:rPr>
              <w:t>psi)</w:t>
            </w:r>
          </w:p>
        </w:tc>
        <w:tc>
          <w:tcPr>
            <w:tcW w:w="1137" w:type="dxa"/>
            <w:gridSpan w:val="2"/>
            <w:vAlign w:val="center"/>
          </w:tcPr>
          <w:p>
            <w:pPr>
              <w:pStyle w:val="70"/>
              <w:rPr>
                <w:rFonts w:cs="Times New Roman"/>
                <w:sz w:val="18"/>
                <w:szCs w:val="18"/>
              </w:rPr>
            </w:pPr>
            <w:r>
              <w:rPr>
                <w:rFonts w:cs="Times New Roman"/>
                <w:color w:val="030303"/>
                <w:sz w:val="18"/>
                <w:szCs w:val="18"/>
              </w:rPr>
              <w:t>1</w:t>
            </w:r>
            <w:r>
              <w:rPr>
                <w:rFonts w:cs="Times New Roman"/>
                <w:sz w:val="18"/>
                <w:szCs w:val="18"/>
              </w:rPr>
              <w:t>03.5</w:t>
            </w:r>
            <w:r>
              <w:rPr>
                <w:rFonts w:cs="Times New Roman"/>
                <w:color w:val="282828"/>
                <w:sz w:val="18"/>
                <w:szCs w:val="18"/>
              </w:rPr>
              <w:t>MPa</w:t>
            </w:r>
          </w:p>
          <w:p>
            <w:pPr>
              <w:pStyle w:val="70"/>
              <w:rPr>
                <w:rFonts w:cs="Times New Roman"/>
                <w:sz w:val="18"/>
                <w:szCs w:val="18"/>
              </w:rPr>
            </w:pPr>
            <w:r>
              <w:rPr>
                <w:rFonts w:cs="Times New Roman"/>
                <w:sz w:val="18"/>
                <w:szCs w:val="18"/>
              </w:rPr>
              <w:t>(15,000psi)</w:t>
            </w:r>
          </w:p>
        </w:tc>
        <w:tc>
          <w:tcPr>
            <w:tcW w:w="1138" w:type="dxa"/>
            <w:gridSpan w:val="2"/>
            <w:vAlign w:val="center"/>
          </w:tcPr>
          <w:p>
            <w:pPr>
              <w:pStyle w:val="70"/>
              <w:rPr>
                <w:rFonts w:cs="Times New Roman"/>
                <w:sz w:val="18"/>
                <w:szCs w:val="18"/>
              </w:rPr>
            </w:pPr>
            <w:r>
              <w:rPr>
                <w:rFonts w:cs="Times New Roman"/>
                <w:sz w:val="18"/>
                <w:szCs w:val="18"/>
              </w:rPr>
              <w:t>138.0</w:t>
            </w:r>
            <w:r>
              <w:rPr>
                <w:rFonts w:cs="Times New Roman"/>
                <w:color w:val="161616"/>
                <w:sz w:val="18"/>
                <w:szCs w:val="18"/>
              </w:rPr>
              <w:t>MPa</w:t>
            </w:r>
          </w:p>
          <w:p>
            <w:pPr>
              <w:pStyle w:val="70"/>
              <w:rPr>
                <w:rFonts w:cs="Times New Roman"/>
                <w:sz w:val="18"/>
                <w:szCs w:val="18"/>
              </w:rPr>
            </w:pPr>
            <w:r>
              <w:rPr>
                <w:rFonts w:cs="Times New Roman"/>
                <w:sz w:val="18"/>
                <w:szCs w:val="18"/>
              </w:rPr>
              <w:t>(20,000</w:t>
            </w:r>
            <w:r>
              <w:rPr>
                <w:rFonts w:cs="Times New Roman"/>
                <w:color w:val="282828"/>
                <w:sz w:val="18"/>
                <w:szCs w:val="18"/>
              </w:rPr>
              <w:t>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70"/>
              <w:rPr>
                <w:rFonts w:cs="Times New Roman"/>
                <w:sz w:val="18"/>
                <w:szCs w:val="18"/>
              </w:rPr>
            </w:pPr>
          </w:p>
        </w:tc>
        <w:tc>
          <w:tcPr>
            <w:tcW w:w="7520" w:type="dxa"/>
            <w:gridSpan w:val="10"/>
            <w:vAlign w:val="center"/>
          </w:tcPr>
          <w:p>
            <w:pPr>
              <w:pStyle w:val="70"/>
              <w:rPr>
                <w:rFonts w:cs="Times New Roman"/>
                <w:sz w:val="18"/>
                <w:szCs w:val="18"/>
              </w:rPr>
            </w:pPr>
            <w:r>
              <w:rPr>
                <w:rFonts w:cs="Times New Roman"/>
                <w:sz w:val="18"/>
                <w:szCs w:val="18"/>
              </w:rPr>
              <w:t>本体</w:t>
            </w:r>
            <w:r>
              <w:rPr>
                <w:rFonts w:hint="eastAsia" w:cs="Times New Roman"/>
                <w:sz w:val="18"/>
                <w:szCs w:val="18"/>
                <w:vertAlign w:val="superscript"/>
              </w:rPr>
              <w:t>b</w:t>
            </w:r>
            <w:r>
              <w:rPr>
                <w:rFonts w:hint="eastAsia" w:cs="Times New Roman"/>
                <w:sz w:val="18"/>
                <w:szCs w:val="18"/>
              </w:rPr>
              <w:t>、盖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spacing w:line="240" w:lineRule="auto"/>
              <w:ind w:firstLine="0" w:firstLineChars="0"/>
              <w:jc w:val="center"/>
              <w:rPr>
                <w:rFonts w:cs="Times New Roman"/>
                <w:sz w:val="18"/>
                <w:szCs w:val="18"/>
              </w:rPr>
            </w:pPr>
          </w:p>
        </w:tc>
        <w:tc>
          <w:tcPr>
            <w:tcW w:w="1279" w:type="dxa"/>
            <w:vAlign w:val="center"/>
          </w:tcPr>
          <w:p>
            <w:pPr>
              <w:pStyle w:val="70"/>
              <w:rPr>
                <w:rFonts w:cs="Times New Roman"/>
                <w:sz w:val="18"/>
                <w:szCs w:val="18"/>
              </w:rPr>
            </w:pPr>
            <w:r>
              <w:rPr>
                <w:rFonts w:cs="Times New Roman"/>
                <w:sz w:val="18"/>
                <w:szCs w:val="18"/>
              </w:rPr>
              <w:t>36K</w:t>
            </w:r>
            <w:r>
              <w:rPr>
                <w:rFonts w:cs="Times New Roman"/>
                <w:color w:val="646464"/>
                <w:sz w:val="18"/>
                <w:szCs w:val="18"/>
              </w:rPr>
              <w:t>,</w:t>
            </w:r>
            <w:r>
              <w:rPr>
                <w:rFonts w:cs="Times New Roman"/>
                <w:sz w:val="18"/>
                <w:szCs w:val="18"/>
              </w:rPr>
              <w:t>45K</w:t>
            </w:r>
          </w:p>
          <w:p>
            <w:pPr>
              <w:pStyle w:val="70"/>
              <w:rPr>
                <w:rFonts w:cs="Times New Roman"/>
                <w:color w:val="000000"/>
                <w:spacing w:val="-30"/>
                <w:sz w:val="18"/>
                <w:szCs w:val="18"/>
              </w:rPr>
            </w:pPr>
            <w:r>
              <w:rPr>
                <w:rFonts w:cs="Times New Roman"/>
                <w:color w:val="383838"/>
                <w:sz w:val="18"/>
                <w:szCs w:val="18"/>
              </w:rPr>
              <w:t>60K,</w:t>
            </w:r>
            <w:r>
              <w:rPr>
                <w:rFonts w:cs="Times New Roman"/>
                <w:sz w:val="18"/>
                <w:szCs w:val="18"/>
              </w:rPr>
              <w:t>75K</w:t>
            </w:r>
            <w:r>
              <w:rPr>
                <w:rFonts w:cs="Times New Roman"/>
                <w:color w:val="646464"/>
                <w:sz w:val="18"/>
                <w:szCs w:val="18"/>
              </w:rPr>
              <w:t>,</w:t>
            </w:r>
          </w:p>
          <w:p>
            <w:pPr>
              <w:pStyle w:val="70"/>
              <w:rPr>
                <w:rFonts w:cs="Times New Roman"/>
                <w:sz w:val="18"/>
                <w:szCs w:val="18"/>
              </w:rPr>
            </w:pPr>
            <w:r>
              <w:rPr>
                <w:rFonts w:cs="Times New Roman"/>
                <w:sz w:val="18"/>
                <w:szCs w:val="18"/>
              </w:rPr>
              <w:t>NS</w:t>
            </w:r>
          </w:p>
        </w:tc>
        <w:tc>
          <w:tcPr>
            <w:tcW w:w="2780" w:type="dxa"/>
            <w:gridSpan w:val="3"/>
            <w:vAlign w:val="center"/>
          </w:tcPr>
          <w:p>
            <w:pPr>
              <w:pStyle w:val="70"/>
              <w:rPr>
                <w:rFonts w:cs="Times New Roman"/>
                <w:color w:val="000000"/>
                <w:sz w:val="18"/>
                <w:szCs w:val="18"/>
              </w:rPr>
            </w:pPr>
            <w:r>
              <w:rPr>
                <w:rFonts w:cs="Times New Roman"/>
                <w:sz w:val="18"/>
                <w:szCs w:val="18"/>
              </w:rPr>
              <w:t>36K,45K</w:t>
            </w:r>
          </w:p>
          <w:p>
            <w:pPr>
              <w:pStyle w:val="70"/>
              <w:rPr>
                <w:rFonts w:cs="Times New Roman"/>
                <w:sz w:val="18"/>
                <w:szCs w:val="18"/>
              </w:rPr>
            </w:pPr>
            <w:r>
              <w:rPr>
                <w:rFonts w:cs="Times New Roman"/>
                <w:sz w:val="18"/>
                <w:szCs w:val="18"/>
              </w:rPr>
              <w:t>36K</w:t>
            </w:r>
            <w:r>
              <w:rPr>
                <w:rFonts w:cs="Times New Roman"/>
                <w:color w:val="646464"/>
                <w:sz w:val="18"/>
                <w:szCs w:val="18"/>
              </w:rPr>
              <w:t>,</w:t>
            </w:r>
            <w:r>
              <w:rPr>
                <w:rFonts w:cs="Times New Roman"/>
                <w:sz w:val="18"/>
                <w:szCs w:val="18"/>
              </w:rPr>
              <w:t>45K</w:t>
            </w:r>
          </w:p>
          <w:p>
            <w:pPr>
              <w:pStyle w:val="70"/>
              <w:rPr>
                <w:rFonts w:cs="Times New Roman"/>
                <w:color w:val="000000"/>
                <w:sz w:val="18"/>
                <w:szCs w:val="18"/>
              </w:rPr>
            </w:pPr>
            <w:r>
              <w:rPr>
                <w:rFonts w:cs="Times New Roman"/>
                <w:color w:val="383838"/>
                <w:spacing w:val="-1"/>
                <w:sz w:val="18"/>
                <w:szCs w:val="18"/>
              </w:rPr>
              <w:t>60K</w:t>
            </w:r>
            <w:r>
              <w:rPr>
                <w:rFonts w:cs="Times New Roman"/>
                <w:color w:val="646464"/>
                <w:spacing w:val="-1"/>
                <w:sz w:val="18"/>
                <w:szCs w:val="18"/>
              </w:rPr>
              <w:t>,</w:t>
            </w:r>
            <w:r>
              <w:rPr>
                <w:rFonts w:cs="Times New Roman"/>
                <w:spacing w:val="-1"/>
                <w:sz w:val="18"/>
                <w:szCs w:val="18"/>
              </w:rPr>
              <w:t>75K</w:t>
            </w:r>
            <w:r>
              <w:rPr>
                <w:rFonts w:cs="Times New Roman"/>
                <w:color w:val="646464"/>
                <w:spacing w:val="-1"/>
                <w:sz w:val="18"/>
                <w:szCs w:val="18"/>
              </w:rPr>
              <w:t>,</w:t>
            </w:r>
            <w:r>
              <w:rPr>
                <w:rFonts w:cs="Times New Roman"/>
                <w:color w:val="000000"/>
                <w:spacing w:val="-44"/>
                <w:sz w:val="18"/>
                <w:szCs w:val="18"/>
              </w:rPr>
              <w:t xml:space="preserve"> </w:t>
            </w:r>
            <w:r>
              <w:rPr>
                <w:rFonts w:cs="Times New Roman"/>
                <w:spacing w:val="-1"/>
                <w:sz w:val="18"/>
                <w:szCs w:val="18"/>
              </w:rPr>
              <w:t>NS</w:t>
            </w:r>
          </w:p>
          <w:p>
            <w:pPr>
              <w:pStyle w:val="70"/>
              <w:rPr>
                <w:rFonts w:cs="Times New Roman"/>
                <w:sz w:val="18"/>
                <w:szCs w:val="18"/>
              </w:rPr>
            </w:pPr>
            <w:r>
              <w:rPr>
                <w:rFonts w:cs="Times New Roman"/>
                <w:color w:val="383838"/>
                <w:sz w:val="18"/>
                <w:szCs w:val="18"/>
              </w:rPr>
              <w:t>60K,</w:t>
            </w:r>
            <w:r>
              <w:rPr>
                <w:rFonts w:cs="Times New Roman"/>
                <w:sz w:val="18"/>
                <w:szCs w:val="18"/>
              </w:rPr>
              <w:t>75K</w:t>
            </w:r>
            <w:r>
              <w:rPr>
                <w:rFonts w:cs="Times New Roman"/>
                <w:color w:val="505050"/>
                <w:sz w:val="18"/>
                <w:szCs w:val="18"/>
              </w:rPr>
              <w:t>,</w:t>
            </w:r>
            <w:r>
              <w:rPr>
                <w:rFonts w:cs="Times New Roman"/>
                <w:sz w:val="18"/>
                <w:szCs w:val="18"/>
              </w:rPr>
              <w:t>NS</w:t>
            </w:r>
          </w:p>
        </w:tc>
        <w:tc>
          <w:tcPr>
            <w:tcW w:w="1215" w:type="dxa"/>
            <w:gridSpan w:val="3"/>
            <w:vAlign w:val="center"/>
          </w:tcPr>
          <w:p>
            <w:pPr>
              <w:pStyle w:val="70"/>
              <w:rPr>
                <w:rFonts w:cs="Times New Roman"/>
                <w:sz w:val="18"/>
                <w:szCs w:val="18"/>
              </w:rPr>
            </w:pPr>
            <w:r>
              <w:rPr>
                <w:rFonts w:cs="Times New Roman"/>
                <w:sz w:val="18"/>
                <w:szCs w:val="18"/>
              </w:rPr>
              <w:t>36K</w:t>
            </w:r>
            <w:r>
              <w:rPr>
                <w:rFonts w:cs="Times New Roman"/>
                <w:color w:val="505050"/>
                <w:sz w:val="18"/>
                <w:szCs w:val="18"/>
              </w:rPr>
              <w:t>,</w:t>
            </w:r>
            <w:r>
              <w:rPr>
                <w:rFonts w:cs="Times New Roman"/>
                <w:sz w:val="18"/>
                <w:szCs w:val="18"/>
              </w:rPr>
              <w:t>45K</w:t>
            </w:r>
          </w:p>
          <w:p>
            <w:pPr>
              <w:pStyle w:val="70"/>
              <w:rPr>
                <w:rFonts w:cs="Times New Roman"/>
                <w:sz w:val="18"/>
                <w:szCs w:val="18"/>
              </w:rPr>
            </w:pPr>
            <w:r>
              <w:rPr>
                <w:rFonts w:cs="Times New Roman"/>
                <w:sz w:val="18"/>
                <w:szCs w:val="18"/>
              </w:rPr>
              <w:t>60K</w:t>
            </w:r>
            <w:r>
              <w:rPr>
                <w:rStyle w:val="56"/>
                <w:rFonts w:cs="Times New Roman"/>
                <w:sz w:val="18"/>
                <w:szCs w:val="18"/>
              </w:rPr>
              <w:t>,</w:t>
            </w:r>
            <w:r>
              <w:rPr>
                <w:rFonts w:cs="Times New Roman"/>
                <w:color w:val="282828"/>
                <w:sz w:val="18"/>
                <w:szCs w:val="18"/>
              </w:rPr>
              <w:t>75K</w:t>
            </w:r>
            <w:r>
              <w:rPr>
                <w:rFonts w:cs="Times New Roman"/>
                <w:color w:val="646464"/>
                <w:sz w:val="18"/>
                <w:szCs w:val="18"/>
              </w:rPr>
              <w:t>,</w:t>
            </w:r>
            <w:r>
              <w:rPr>
                <w:rFonts w:cs="Times New Roman"/>
                <w:color w:val="161616"/>
                <w:sz w:val="18"/>
                <w:szCs w:val="18"/>
              </w:rPr>
              <w:t>NS</w:t>
            </w:r>
          </w:p>
        </w:tc>
        <w:tc>
          <w:tcPr>
            <w:tcW w:w="1134" w:type="dxa"/>
            <w:gridSpan w:val="2"/>
            <w:vAlign w:val="center"/>
          </w:tcPr>
          <w:p>
            <w:pPr>
              <w:pStyle w:val="70"/>
              <w:rPr>
                <w:rFonts w:cs="Times New Roman"/>
                <w:sz w:val="18"/>
                <w:szCs w:val="18"/>
              </w:rPr>
            </w:pPr>
            <w:r>
              <w:rPr>
                <w:rFonts w:cs="Times New Roman"/>
                <w:color w:val="161616"/>
                <w:sz w:val="18"/>
                <w:szCs w:val="18"/>
              </w:rPr>
              <w:t>4</w:t>
            </w:r>
            <w:r>
              <w:rPr>
                <w:rFonts w:cs="Times New Roman"/>
                <w:sz w:val="18"/>
                <w:szCs w:val="18"/>
              </w:rPr>
              <w:t>5K,60K</w:t>
            </w:r>
          </w:p>
          <w:p>
            <w:pPr>
              <w:pStyle w:val="70"/>
              <w:rPr>
                <w:rFonts w:cs="Times New Roman"/>
                <w:sz w:val="18"/>
                <w:szCs w:val="18"/>
              </w:rPr>
            </w:pPr>
            <w:r>
              <w:rPr>
                <w:rFonts w:cs="Times New Roman"/>
                <w:sz w:val="18"/>
                <w:szCs w:val="18"/>
              </w:rPr>
              <w:t>75K</w:t>
            </w:r>
            <w:r>
              <w:rPr>
                <w:rFonts w:cs="Times New Roman"/>
                <w:color w:val="505050"/>
                <w:sz w:val="18"/>
                <w:szCs w:val="18"/>
              </w:rPr>
              <w:t>,</w:t>
            </w:r>
            <w:r>
              <w:rPr>
                <w:rFonts w:cs="Times New Roman"/>
                <w:color w:val="161616"/>
                <w:sz w:val="18"/>
                <w:szCs w:val="18"/>
              </w:rPr>
              <w:t>NS</w:t>
            </w:r>
          </w:p>
        </w:tc>
        <w:tc>
          <w:tcPr>
            <w:tcW w:w="1112" w:type="dxa"/>
            <w:vAlign w:val="center"/>
          </w:tcPr>
          <w:p>
            <w:pPr>
              <w:pStyle w:val="70"/>
              <w:rPr>
                <w:rFonts w:cs="Times New Roman"/>
                <w:sz w:val="18"/>
                <w:szCs w:val="18"/>
              </w:rPr>
            </w:pPr>
            <w:r>
              <w:rPr>
                <w:rFonts w:cs="Times New Roman"/>
                <w:sz w:val="18"/>
                <w:szCs w:val="18"/>
              </w:rPr>
              <w:t>60K,75</w:t>
            </w:r>
            <w:r>
              <w:rPr>
                <w:rFonts w:hint="eastAsia" w:cs="Times New Roman"/>
                <w:sz w:val="18"/>
                <w:szCs w:val="18"/>
              </w:rPr>
              <w:t>K，</w:t>
            </w:r>
            <w:r>
              <w:rPr>
                <w:rFonts w:cs="Times New Roman"/>
                <w:sz w:val="18"/>
                <w:szCs w:val="18"/>
              </w:rPr>
              <w:t>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cs="Times New Roman"/>
                <w:sz w:val="18"/>
                <w:szCs w:val="18"/>
              </w:rPr>
            </w:pPr>
          </w:p>
        </w:tc>
        <w:tc>
          <w:tcPr>
            <w:tcW w:w="7520" w:type="dxa"/>
            <w:gridSpan w:val="10"/>
            <w:vAlign w:val="center"/>
          </w:tcPr>
          <w:p>
            <w:pPr>
              <w:pStyle w:val="70"/>
              <w:rPr>
                <w:rFonts w:cs="Times New Roman"/>
                <w:sz w:val="18"/>
                <w:szCs w:val="18"/>
              </w:rPr>
            </w:pPr>
            <w:r>
              <w:rPr>
                <w:rFonts w:cs="Times New Roman"/>
                <w:sz w:val="18"/>
                <w:szCs w:val="18"/>
              </w:rPr>
              <w:t>整体端部连接装置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70"/>
              <w:rPr>
                <w:rFonts w:cs="Times New Roman"/>
                <w:sz w:val="18"/>
                <w:szCs w:val="18"/>
              </w:rPr>
            </w:pPr>
            <w:r>
              <w:rPr>
                <w:rFonts w:cs="Times New Roman"/>
                <w:sz w:val="18"/>
                <w:szCs w:val="18"/>
              </w:rPr>
              <w:t>法兰式</w:t>
            </w:r>
          </w:p>
          <w:p>
            <w:pPr>
              <w:pStyle w:val="70"/>
              <w:rPr>
                <w:rFonts w:cs="Times New Roman"/>
                <w:sz w:val="18"/>
                <w:szCs w:val="18"/>
              </w:rPr>
            </w:pPr>
            <w:r>
              <w:rPr>
                <w:rFonts w:cs="Times New Roman"/>
                <w:sz w:val="18"/>
                <w:szCs w:val="18"/>
              </w:rPr>
              <w:t>螺纹式</w:t>
            </w:r>
          </w:p>
          <w:p>
            <w:pPr>
              <w:pStyle w:val="70"/>
              <w:rPr>
                <w:rFonts w:cs="Times New Roman"/>
                <w:sz w:val="18"/>
                <w:szCs w:val="18"/>
              </w:rPr>
            </w:pPr>
            <w:r>
              <w:rPr>
                <w:rFonts w:cs="Times New Roman"/>
                <w:sz w:val="18"/>
                <w:szCs w:val="18"/>
              </w:rPr>
              <w:t>其他</w:t>
            </w:r>
            <w:r>
              <w:rPr>
                <w:rFonts w:cs="Times New Roman"/>
                <w:b/>
                <w:spacing w:val="-8"/>
                <w:vertAlign w:val="superscript"/>
              </w:rPr>
              <w:t>c</w:t>
            </w:r>
          </w:p>
        </w:tc>
        <w:tc>
          <w:tcPr>
            <w:tcW w:w="1279" w:type="dxa"/>
            <w:vAlign w:val="center"/>
          </w:tcPr>
          <w:p>
            <w:pPr>
              <w:pStyle w:val="70"/>
              <w:rPr>
                <w:rFonts w:cs="Times New Roman"/>
                <w:kern w:val="0"/>
                <w:sz w:val="18"/>
                <w:szCs w:val="18"/>
              </w:rPr>
            </w:pPr>
            <w:r>
              <w:rPr>
                <w:rFonts w:cs="Times New Roman"/>
                <w:kern w:val="0"/>
                <w:sz w:val="18"/>
                <w:szCs w:val="18"/>
              </w:rPr>
              <w:t>60K</w:t>
            </w:r>
            <w:r>
              <w:rPr>
                <w:rFonts w:cs="Times New Roman"/>
                <w:color w:val="000000"/>
                <w:spacing w:val="-48"/>
                <w:kern w:val="0"/>
                <w:sz w:val="18"/>
                <w:szCs w:val="18"/>
              </w:rPr>
              <w:t>，</w:t>
            </w:r>
            <w:r>
              <w:rPr>
                <w:rFonts w:cs="Times New Roman"/>
                <w:sz w:val="18"/>
                <w:szCs w:val="18"/>
              </w:rPr>
              <w:t>75K</w:t>
            </w:r>
            <w:r>
              <w:rPr>
                <w:rFonts w:cs="Times New Roman"/>
                <w:color w:val="646464"/>
                <w:sz w:val="18"/>
                <w:szCs w:val="18"/>
              </w:rPr>
              <w:t>,</w:t>
            </w:r>
            <w:r>
              <w:rPr>
                <w:rFonts w:cs="Times New Roman"/>
                <w:kern w:val="0"/>
                <w:sz w:val="18"/>
                <w:szCs w:val="18"/>
              </w:rPr>
              <w:t>NS</w:t>
            </w:r>
          </w:p>
          <w:p>
            <w:pPr>
              <w:pStyle w:val="70"/>
              <w:rPr>
                <w:rFonts w:cs="Times New Roman"/>
                <w:kern w:val="0"/>
                <w:sz w:val="18"/>
                <w:szCs w:val="18"/>
              </w:rPr>
            </w:pPr>
            <w:r>
              <w:rPr>
                <w:rFonts w:cs="Times New Roman"/>
                <w:kern w:val="0"/>
                <w:sz w:val="18"/>
                <w:szCs w:val="18"/>
              </w:rPr>
              <w:t>60K</w:t>
            </w:r>
            <w:r>
              <w:rPr>
                <w:rFonts w:cs="Times New Roman"/>
                <w:color w:val="000000"/>
                <w:spacing w:val="-48"/>
                <w:kern w:val="0"/>
                <w:sz w:val="18"/>
                <w:szCs w:val="18"/>
              </w:rPr>
              <w:t>，</w:t>
            </w:r>
            <w:r>
              <w:rPr>
                <w:rFonts w:cs="Times New Roman"/>
                <w:sz w:val="18"/>
                <w:szCs w:val="18"/>
              </w:rPr>
              <w:t>75K</w:t>
            </w:r>
            <w:r>
              <w:rPr>
                <w:rFonts w:cs="Times New Roman"/>
                <w:color w:val="646464"/>
                <w:sz w:val="18"/>
                <w:szCs w:val="18"/>
              </w:rPr>
              <w:t>,</w:t>
            </w:r>
            <w:r>
              <w:rPr>
                <w:rFonts w:cs="Times New Roman"/>
                <w:color w:val="282828"/>
                <w:kern w:val="0"/>
                <w:sz w:val="18"/>
                <w:szCs w:val="18"/>
              </w:rPr>
              <w:t>NS</w:t>
            </w:r>
          </w:p>
          <w:p>
            <w:pPr>
              <w:pStyle w:val="70"/>
              <w:rPr>
                <w:rFonts w:cs="Times New Roman"/>
                <w:sz w:val="18"/>
                <w:szCs w:val="18"/>
              </w:rPr>
            </w:pPr>
            <w:r>
              <w:rPr>
                <w:rFonts w:cs="Times New Roman"/>
                <w:kern w:val="0"/>
                <w:sz w:val="18"/>
                <w:szCs w:val="18"/>
              </w:rPr>
              <w:t>PMR</w:t>
            </w:r>
          </w:p>
        </w:tc>
        <w:tc>
          <w:tcPr>
            <w:tcW w:w="2780" w:type="dxa"/>
            <w:gridSpan w:val="3"/>
            <w:vAlign w:val="center"/>
          </w:tcPr>
          <w:p>
            <w:pPr>
              <w:pStyle w:val="70"/>
              <w:rPr>
                <w:rFonts w:cs="Times New Roman"/>
                <w:sz w:val="18"/>
                <w:szCs w:val="18"/>
              </w:rPr>
            </w:pPr>
            <w:r>
              <w:rPr>
                <w:rFonts w:cs="Times New Roman"/>
                <w:spacing w:val="-1"/>
                <w:sz w:val="18"/>
                <w:szCs w:val="18"/>
              </w:rPr>
              <w:t>60K</w:t>
            </w:r>
            <w:r>
              <w:rPr>
                <w:rFonts w:cs="Times New Roman"/>
                <w:color w:val="000000"/>
                <w:spacing w:val="-47"/>
                <w:sz w:val="18"/>
                <w:szCs w:val="18"/>
              </w:rPr>
              <w:t>,</w:t>
            </w:r>
            <w:r>
              <w:rPr>
                <w:rFonts w:cs="Times New Roman"/>
                <w:spacing w:val="-1"/>
                <w:sz w:val="18"/>
                <w:szCs w:val="18"/>
              </w:rPr>
              <w:t>75K</w:t>
            </w:r>
            <w:r>
              <w:rPr>
                <w:rFonts w:cs="Times New Roman"/>
                <w:color w:val="646464"/>
                <w:spacing w:val="-1"/>
                <w:sz w:val="18"/>
                <w:szCs w:val="18"/>
              </w:rPr>
              <w:t>,</w:t>
            </w:r>
            <w:r>
              <w:rPr>
                <w:rFonts w:cs="Times New Roman"/>
                <w:color w:val="000000"/>
                <w:spacing w:val="-44"/>
                <w:sz w:val="18"/>
                <w:szCs w:val="18"/>
              </w:rPr>
              <w:t xml:space="preserve"> </w:t>
            </w:r>
            <w:r>
              <w:rPr>
                <w:rFonts w:cs="Times New Roman"/>
                <w:spacing w:val="-1"/>
                <w:sz w:val="18"/>
                <w:szCs w:val="18"/>
              </w:rPr>
              <w:t>NS</w:t>
            </w:r>
            <w:r>
              <w:rPr>
                <w:rFonts w:cs="Times New Roman"/>
                <w:color w:val="000000"/>
                <w:sz w:val="18"/>
                <w:szCs w:val="18"/>
              </w:rPr>
              <w:t>,</w:t>
            </w:r>
            <w:r>
              <w:rPr>
                <w:rFonts w:cs="Times New Roman"/>
                <w:sz w:val="18"/>
                <w:szCs w:val="18"/>
              </w:rPr>
              <w:t>60K,75K</w:t>
            </w:r>
            <w:r>
              <w:rPr>
                <w:rFonts w:cs="Times New Roman"/>
                <w:color w:val="505050"/>
                <w:sz w:val="18"/>
                <w:szCs w:val="18"/>
              </w:rPr>
              <w:t>,</w:t>
            </w:r>
            <w:r>
              <w:rPr>
                <w:rFonts w:cs="Times New Roman"/>
                <w:sz w:val="18"/>
                <w:szCs w:val="18"/>
              </w:rPr>
              <w:t>NS</w:t>
            </w:r>
          </w:p>
          <w:p>
            <w:pPr>
              <w:pStyle w:val="70"/>
              <w:rPr>
                <w:rFonts w:cs="Times New Roman"/>
                <w:color w:val="000000"/>
                <w:sz w:val="18"/>
                <w:szCs w:val="18"/>
              </w:rPr>
            </w:pPr>
            <w:r>
              <w:rPr>
                <w:rFonts w:cs="Times New Roman"/>
                <w:spacing w:val="-1"/>
                <w:sz w:val="18"/>
                <w:szCs w:val="18"/>
              </w:rPr>
              <w:t>60K,75K</w:t>
            </w:r>
            <w:r>
              <w:rPr>
                <w:rFonts w:cs="Times New Roman"/>
                <w:color w:val="646464"/>
                <w:spacing w:val="-1"/>
                <w:sz w:val="18"/>
                <w:szCs w:val="18"/>
              </w:rPr>
              <w:t>,</w:t>
            </w:r>
            <w:r>
              <w:rPr>
                <w:rFonts w:cs="Times New Roman"/>
                <w:color w:val="000000"/>
                <w:spacing w:val="-44"/>
                <w:sz w:val="18"/>
                <w:szCs w:val="18"/>
              </w:rPr>
              <w:t xml:space="preserve"> </w:t>
            </w:r>
            <w:r>
              <w:rPr>
                <w:rFonts w:cs="Times New Roman"/>
                <w:color w:val="282828"/>
                <w:spacing w:val="-1"/>
                <w:sz w:val="18"/>
                <w:szCs w:val="18"/>
              </w:rPr>
              <w:t>NS</w:t>
            </w:r>
          </w:p>
          <w:p>
            <w:pPr>
              <w:pStyle w:val="70"/>
              <w:rPr>
                <w:rFonts w:cs="Times New Roman"/>
                <w:sz w:val="18"/>
                <w:szCs w:val="18"/>
              </w:rPr>
            </w:pPr>
            <w:r>
              <w:rPr>
                <w:rFonts w:cs="Times New Roman"/>
                <w:sz w:val="18"/>
                <w:szCs w:val="18"/>
              </w:rPr>
              <w:t>60</w:t>
            </w:r>
            <w:r>
              <w:rPr>
                <w:rFonts w:cs="Times New Roman"/>
                <w:color w:val="161616"/>
                <w:sz w:val="18"/>
                <w:szCs w:val="18"/>
              </w:rPr>
              <w:t>K</w:t>
            </w:r>
            <w:r>
              <w:rPr>
                <w:rFonts w:cs="Times New Roman"/>
                <w:color w:val="505050"/>
                <w:sz w:val="18"/>
                <w:szCs w:val="18"/>
              </w:rPr>
              <w:t>,</w:t>
            </w:r>
            <w:r>
              <w:rPr>
                <w:rFonts w:cs="Times New Roman"/>
                <w:sz w:val="18"/>
                <w:szCs w:val="18"/>
              </w:rPr>
              <w:t>75K,</w:t>
            </w:r>
            <w:r>
              <w:rPr>
                <w:rFonts w:cs="Times New Roman"/>
                <w:color w:val="282828"/>
                <w:sz w:val="18"/>
                <w:szCs w:val="18"/>
              </w:rPr>
              <w:t>NS</w:t>
            </w:r>
          </w:p>
          <w:p>
            <w:pPr>
              <w:pStyle w:val="70"/>
              <w:rPr>
                <w:rFonts w:cs="Times New Roman"/>
                <w:color w:val="000000"/>
                <w:sz w:val="18"/>
                <w:szCs w:val="18"/>
              </w:rPr>
            </w:pPr>
            <w:r>
              <w:rPr>
                <w:rFonts w:cs="Times New Roman"/>
                <w:sz w:val="18"/>
                <w:szCs w:val="18"/>
              </w:rPr>
              <w:t>PMR</w:t>
            </w:r>
          </w:p>
          <w:p>
            <w:pPr>
              <w:pStyle w:val="70"/>
              <w:rPr>
                <w:rFonts w:cs="Times New Roman"/>
                <w:sz w:val="18"/>
                <w:szCs w:val="18"/>
              </w:rPr>
            </w:pPr>
            <w:r>
              <w:rPr>
                <w:rFonts w:cs="Times New Roman"/>
                <w:sz w:val="18"/>
                <w:szCs w:val="18"/>
              </w:rPr>
              <w:t>PMR</w:t>
            </w:r>
          </w:p>
        </w:tc>
        <w:tc>
          <w:tcPr>
            <w:tcW w:w="1215" w:type="dxa"/>
            <w:gridSpan w:val="3"/>
            <w:vAlign w:val="center"/>
          </w:tcPr>
          <w:p>
            <w:pPr>
              <w:pStyle w:val="70"/>
              <w:rPr>
                <w:rFonts w:cs="Times New Roman"/>
                <w:sz w:val="18"/>
                <w:szCs w:val="18"/>
              </w:rPr>
            </w:pPr>
            <w:r>
              <w:rPr>
                <w:rFonts w:cs="Times New Roman"/>
                <w:sz w:val="18"/>
                <w:szCs w:val="18"/>
              </w:rPr>
              <w:t>60K,</w:t>
            </w:r>
            <w:r>
              <w:rPr>
                <w:rFonts w:cs="Times New Roman"/>
                <w:color w:val="282828"/>
                <w:sz w:val="18"/>
                <w:szCs w:val="18"/>
              </w:rPr>
              <w:t>75K,</w:t>
            </w:r>
            <w:r>
              <w:rPr>
                <w:rFonts w:cs="Times New Roman"/>
                <w:color w:val="161616"/>
                <w:sz w:val="18"/>
                <w:szCs w:val="18"/>
              </w:rPr>
              <w:t>N</w:t>
            </w:r>
            <w:r>
              <w:rPr>
                <w:rFonts w:cs="Times New Roman"/>
                <w:sz w:val="18"/>
                <w:szCs w:val="18"/>
              </w:rPr>
              <w:t>S</w:t>
            </w:r>
          </w:p>
          <w:p>
            <w:pPr>
              <w:pStyle w:val="70"/>
              <w:rPr>
                <w:rFonts w:cs="Times New Roman"/>
                <w:sz w:val="18"/>
                <w:szCs w:val="18"/>
              </w:rPr>
            </w:pPr>
            <w:r>
              <w:rPr>
                <w:rFonts w:cs="Times New Roman"/>
                <w:sz w:val="18"/>
                <w:szCs w:val="18"/>
              </w:rPr>
              <w:t>NA</w:t>
            </w:r>
          </w:p>
          <w:p>
            <w:pPr>
              <w:pStyle w:val="70"/>
              <w:rPr>
                <w:rFonts w:cs="Times New Roman"/>
                <w:sz w:val="18"/>
                <w:szCs w:val="18"/>
              </w:rPr>
            </w:pPr>
            <w:r>
              <w:rPr>
                <w:rFonts w:cs="Times New Roman"/>
                <w:sz w:val="18"/>
                <w:szCs w:val="18"/>
              </w:rPr>
              <w:t>PMR</w:t>
            </w:r>
          </w:p>
        </w:tc>
        <w:tc>
          <w:tcPr>
            <w:tcW w:w="1134" w:type="dxa"/>
            <w:gridSpan w:val="2"/>
            <w:vAlign w:val="center"/>
          </w:tcPr>
          <w:p>
            <w:pPr>
              <w:pStyle w:val="70"/>
              <w:rPr>
                <w:rFonts w:cs="Times New Roman"/>
                <w:sz w:val="18"/>
                <w:szCs w:val="18"/>
              </w:rPr>
            </w:pPr>
            <w:r>
              <w:rPr>
                <w:rFonts w:cs="Times New Roman"/>
                <w:sz w:val="18"/>
                <w:szCs w:val="18"/>
              </w:rPr>
              <w:t>75K,NS</w:t>
            </w:r>
          </w:p>
          <w:p>
            <w:pPr>
              <w:pStyle w:val="70"/>
              <w:rPr>
                <w:rFonts w:cs="Times New Roman"/>
                <w:sz w:val="18"/>
                <w:szCs w:val="18"/>
              </w:rPr>
            </w:pPr>
            <w:r>
              <w:rPr>
                <w:rFonts w:cs="Times New Roman"/>
                <w:sz w:val="18"/>
                <w:szCs w:val="18"/>
              </w:rPr>
              <w:t>NA</w:t>
            </w:r>
          </w:p>
          <w:p>
            <w:pPr>
              <w:pStyle w:val="70"/>
              <w:rPr>
                <w:rFonts w:cs="Times New Roman"/>
                <w:sz w:val="18"/>
                <w:szCs w:val="18"/>
              </w:rPr>
            </w:pPr>
            <w:r>
              <w:rPr>
                <w:rFonts w:cs="Times New Roman"/>
                <w:sz w:val="18"/>
                <w:szCs w:val="18"/>
              </w:rPr>
              <w:t>PMR</w:t>
            </w:r>
          </w:p>
        </w:tc>
        <w:tc>
          <w:tcPr>
            <w:tcW w:w="1112" w:type="dxa"/>
            <w:vAlign w:val="center"/>
          </w:tcPr>
          <w:p>
            <w:pPr>
              <w:pStyle w:val="70"/>
              <w:rPr>
                <w:rFonts w:cs="Times New Roman"/>
                <w:sz w:val="18"/>
                <w:szCs w:val="18"/>
              </w:rPr>
            </w:pPr>
            <w:r>
              <w:rPr>
                <w:rFonts w:cs="Times New Roman"/>
                <w:sz w:val="18"/>
                <w:szCs w:val="18"/>
              </w:rPr>
              <w:t>75K,NS</w:t>
            </w:r>
          </w:p>
          <w:p>
            <w:pPr>
              <w:pStyle w:val="70"/>
              <w:rPr>
                <w:rFonts w:cs="Times New Roman"/>
                <w:sz w:val="18"/>
                <w:szCs w:val="18"/>
              </w:rPr>
            </w:pPr>
            <w:r>
              <w:rPr>
                <w:rFonts w:cs="Times New Roman"/>
                <w:sz w:val="18"/>
                <w:szCs w:val="18"/>
              </w:rPr>
              <w:t>NA</w:t>
            </w:r>
          </w:p>
          <w:p>
            <w:pPr>
              <w:pStyle w:val="70"/>
              <w:rPr>
                <w:rFonts w:cs="Times New Roman"/>
                <w:sz w:val="18"/>
                <w:szCs w:val="18"/>
              </w:rPr>
            </w:pPr>
            <w:r>
              <w:rPr>
                <w:rFonts w:cs="Times New Roman"/>
                <w:sz w:val="18"/>
                <w:szCs w:val="18"/>
              </w:rPr>
              <w:t>PMR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70"/>
              <w:rPr>
                <w:rFonts w:cs="Times New Roman"/>
                <w:sz w:val="18"/>
                <w:szCs w:val="18"/>
              </w:rPr>
            </w:pPr>
          </w:p>
          <w:p>
            <w:pPr>
              <w:pStyle w:val="70"/>
              <w:rPr>
                <w:rFonts w:cs="Times New Roman"/>
                <w:sz w:val="18"/>
                <w:szCs w:val="18"/>
              </w:rPr>
            </w:pPr>
            <w:r>
              <w:rPr>
                <w:rFonts w:cs="Times New Roman"/>
                <w:sz w:val="18"/>
                <w:szCs w:val="18"/>
              </w:rPr>
              <w:t>焊颈式</w:t>
            </w:r>
          </w:p>
          <w:p>
            <w:pPr>
              <w:pStyle w:val="70"/>
              <w:rPr>
                <w:rFonts w:cs="Times New Roman"/>
                <w:sz w:val="18"/>
                <w:szCs w:val="18"/>
              </w:rPr>
            </w:pPr>
            <w:r>
              <w:rPr>
                <w:rFonts w:cs="Times New Roman"/>
                <w:sz w:val="18"/>
                <w:szCs w:val="18"/>
              </w:rPr>
              <w:t>盲板式</w:t>
            </w:r>
          </w:p>
          <w:p>
            <w:pPr>
              <w:pStyle w:val="70"/>
              <w:rPr>
                <w:rFonts w:cs="Times New Roman"/>
                <w:sz w:val="18"/>
                <w:szCs w:val="18"/>
              </w:rPr>
            </w:pPr>
            <w:r>
              <w:rPr>
                <w:rFonts w:cs="Times New Roman"/>
                <w:sz w:val="18"/>
                <w:szCs w:val="18"/>
              </w:rPr>
              <w:t>螺纹式</w:t>
            </w:r>
          </w:p>
          <w:p>
            <w:pPr>
              <w:pStyle w:val="70"/>
              <w:rPr>
                <w:rFonts w:cs="Times New Roman"/>
                <w:sz w:val="18"/>
                <w:szCs w:val="18"/>
              </w:rPr>
            </w:pPr>
            <w:r>
              <w:rPr>
                <w:rFonts w:cs="Times New Roman"/>
                <w:sz w:val="18"/>
                <w:szCs w:val="18"/>
              </w:rPr>
              <w:t>其他</w:t>
            </w:r>
            <w:r>
              <w:rPr>
                <w:rFonts w:cs="Times New Roman"/>
                <w:b/>
                <w:spacing w:val="-8"/>
                <w:vertAlign w:val="superscript"/>
              </w:rPr>
              <w:t>c</w:t>
            </w:r>
          </w:p>
        </w:tc>
        <w:tc>
          <w:tcPr>
            <w:tcW w:w="7520" w:type="dxa"/>
            <w:gridSpan w:val="10"/>
            <w:vAlign w:val="center"/>
          </w:tcPr>
          <w:p>
            <w:pPr>
              <w:pStyle w:val="70"/>
              <w:rPr>
                <w:rFonts w:cs="Times New Roman"/>
                <w:sz w:val="18"/>
                <w:szCs w:val="18"/>
              </w:rPr>
            </w:pPr>
            <w:r>
              <w:rPr>
                <w:rFonts w:cs="Times New Roman"/>
                <w:sz w:val="18"/>
                <w:szCs w:val="18"/>
              </w:rPr>
              <w:t>单件连接装置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spacing w:line="240" w:lineRule="auto"/>
              <w:ind w:firstLine="0" w:firstLineChars="0"/>
              <w:jc w:val="center"/>
              <w:rPr>
                <w:rFonts w:cs="Times New Roman"/>
                <w:sz w:val="18"/>
                <w:szCs w:val="18"/>
              </w:rPr>
            </w:pPr>
          </w:p>
        </w:tc>
        <w:tc>
          <w:tcPr>
            <w:tcW w:w="1279" w:type="dxa"/>
            <w:vAlign w:val="center"/>
          </w:tcPr>
          <w:p>
            <w:pPr>
              <w:pStyle w:val="70"/>
              <w:rPr>
                <w:rFonts w:cs="Times New Roman"/>
                <w:sz w:val="18"/>
                <w:szCs w:val="18"/>
              </w:rPr>
            </w:pPr>
            <w:r>
              <w:rPr>
                <w:rFonts w:cs="Times New Roman"/>
                <w:sz w:val="18"/>
                <w:szCs w:val="18"/>
              </w:rPr>
              <w:t>45K</w:t>
            </w:r>
          </w:p>
          <w:p>
            <w:pPr>
              <w:pStyle w:val="70"/>
              <w:rPr>
                <w:rFonts w:cs="Times New Roman"/>
                <w:sz w:val="18"/>
                <w:szCs w:val="18"/>
              </w:rPr>
            </w:pPr>
            <w:r>
              <w:rPr>
                <w:rFonts w:cs="Times New Roman"/>
                <w:sz w:val="18"/>
                <w:szCs w:val="18"/>
              </w:rPr>
              <w:t>60K</w:t>
            </w:r>
            <w:r>
              <w:rPr>
                <w:rFonts w:cs="Times New Roman"/>
                <w:color w:val="282828"/>
                <w:sz w:val="18"/>
                <w:szCs w:val="18"/>
              </w:rPr>
              <w:t>,7</w:t>
            </w:r>
            <w:r>
              <w:rPr>
                <w:rFonts w:cs="Times New Roman"/>
                <w:sz w:val="18"/>
                <w:szCs w:val="18"/>
              </w:rPr>
              <w:t>5K,NS</w:t>
            </w:r>
          </w:p>
          <w:p>
            <w:pPr>
              <w:pStyle w:val="70"/>
              <w:rPr>
                <w:rFonts w:cs="Times New Roman"/>
                <w:sz w:val="18"/>
                <w:szCs w:val="18"/>
              </w:rPr>
            </w:pPr>
            <w:r>
              <w:rPr>
                <w:rFonts w:cs="Times New Roman"/>
                <w:sz w:val="18"/>
                <w:szCs w:val="18"/>
              </w:rPr>
              <w:t>60K,</w:t>
            </w:r>
            <w:r>
              <w:rPr>
                <w:rFonts w:cs="Times New Roman"/>
                <w:color w:val="383838"/>
                <w:sz w:val="18"/>
                <w:szCs w:val="18"/>
              </w:rPr>
              <w:t>75K,</w:t>
            </w:r>
            <w:r>
              <w:rPr>
                <w:rFonts w:cs="Times New Roman"/>
                <w:sz w:val="18"/>
                <w:szCs w:val="18"/>
              </w:rPr>
              <w:t>NS</w:t>
            </w:r>
          </w:p>
          <w:p>
            <w:pPr>
              <w:pStyle w:val="70"/>
              <w:rPr>
                <w:rFonts w:cs="Times New Roman"/>
                <w:sz w:val="18"/>
                <w:szCs w:val="18"/>
              </w:rPr>
            </w:pPr>
            <w:r>
              <w:rPr>
                <w:rFonts w:cs="Times New Roman"/>
                <w:sz w:val="18"/>
                <w:szCs w:val="18"/>
              </w:rPr>
              <w:t>PMR</w:t>
            </w:r>
          </w:p>
        </w:tc>
        <w:tc>
          <w:tcPr>
            <w:tcW w:w="1414" w:type="dxa"/>
            <w:vAlign w:val="center"/>
          </w:tcPr>
          <w:p>
            <w:pPr>
              <w:pStyle w:val="70"/>
              <w:rPr>
                <w:rFonts w:cs="Times New Roman"/>
                <w:sz w:val="18"/>
                <w:szCs w:val="18"/>
              </w:rPr>
            </w:pPr>
            <w:r>
              <w:rPr>
                <w:rFonts w:cs="Times New Roman"/>
                <w:sz w:val="18"/>
                <w:szCs w:val="18"/>
              </w:rPr>
              <w:t>45K</w:t>
            </w:r>
          </w:p>
          <w:p>
            <w:pPr>
              <w:pStyle w:val="70"/>
              <w:rPr>
                <w:rFonts w:cs="Times New Roman"/>
                <w:sz w:val="18"/>
                <w:szCs w:val="18"/>
              </w:rPr>
            </w:pPr>
            <w:r>
              <w:rPr>
                <w:rFonts w:cs="Times New Roman"/>
                <w:sz w:val="18"/>
                <w:szCs w:val="18"/>
              </w:rPr>
              <w:t>60K,75K,</w:t>
            </w:r>
            <w:r>
              <w:rPr>
                <w:rFonts w:cs="Times New Roman"/>
                <w:color w:val="282828"/>
                <w:sz w:val="18"/>
                <w:szCs w:val="18"/>
              </w:rPr>
              <w:t>NS</w:t>
            </w:r>
          </w:p>
          <w:p>
            <w:pPr>
              <w:pStyle w:val="70"/>
              <w:rPr>
                <w:rFonts w:cs="Times New Roman"/>
                <w:sz w:val="18"/>
                <w:szCs w:val="18"/>
              </w:rPr>
            </w:pPr>
            <w:r>
              <w:rPr>
                <w:rFonts w:cs="Times New Roman"/>
                <w:sz w:val="18"/>
                <w:szCs w:val="18"/>
              </w:rPr>
              <w:t>60K,75K,</w:t>
            </w:r>
            <w:r>
              <w:rPr>
                <w:rFonts w:cs="Times New Roman"/>
                <w:color w:val="282828"/>
                <w:sz w:val="18"/>
                <w:szCs w:val="18"/>
              </w:rPr>
              <w:t>NS，</w:t>
            </w:r>
          </w:p>
          <w:p>
            <w:pPr>
              <w:pStyle w:val="70"/>
              <w:rPr>
                <w:rFonts w:cs="Times New Roman"/>
                <w:sz w:val="18"/>
                <w:szCs w:val="18"/>
              </w:rPr>
            </w:pPr>
            <w:r>
              <w:rPr>
                <w:rFonts w:cs="Times New Roman"/>
                <w:sz w:val="18"/>
                <w:szCs w:val="18"/>
              </w:rPr>
              <w:t>PMR</w:t>
            </w:r>
          </w:p>
        </w:tc>
        <w:tc>
          <w:tcPr>
            <w:tcW w:w="1418" w:type="dxa"/>
            <w:gridSpan w:val="3"/>
            <w:vAlign w:val="center"/>
          </w:tcPr>
          <w:p>
            <w:pPr>
              <w:pStyle w:val="70"/>
              <w:rPr>
                <w:rFonts w:cs="Times New Roman"/>
                <w:sz w:val="18"/>
                <w:szCs w:val="18"/>
              </w:rPr>
            </w:pPr>
            <w:r>
              <w:rPr>
                <w:rFonts w:cs="Times New Roman"/>
                <w:sz w:val="18"/>
                <w:szCs w:val="18"/>
              </w:rPr>
              <w:t>45K</w:t>
            </w:r>
          </w:p>
          <w:p>
            <w:pPr>
              <w:pStyle w:val="70"/>
              <w:rPr>
                <w:rFonts w:cs="Times New Roman"/>
                <w:sz w:val="18"/>
                <w:szCs w:val="18"/>
              </w:rPr>
            </w:pPr>
            <w:r>
              <w:rPr>
                <w:rFonts w:cs="Times New Roman"/>
                <w:sz w:val="18"/>
                <w:szCs w:val="18"/>
              </w:rPr>
              <w:t>60K,75K,</w:t>
            </w:r>
            <w:r>
              <w:rPr>
                <w:rFonts w:cs="Times New Roman"/>
                <w:color w:val="282828"/>
                <w:sz w:val="18"/>
                <w:szCs w:val="18"/>
              </w:rPr>
              <w:t>NS</w:t>
            </w:r>
          </w:p>
          <w:p>
            <w:pPr>
              <w:pStyle w:val="70"/>
              <w:rPr>
                <w:rFonts w:cs="Times New Roman"/>
                <w:sz w:val="18"/>
                <w:szCs w:val="18"/>
              </w:rPr>
            </w:pPr>
            <w:r>
              <w:rPr>
                <w:rFonts w:cs="Times New Roman"/>
                <w:sz w:val="18"/>
                <w:szCs w:val="18"/>
              </w:rPr>
              <w:t>60K,75K,</w:t>
            </w:r>
            <w:r>
              <w:rPr>
                <w:rFonts w:cs="Times New Roman"/>
                <w:color w:val="282828"/>
                <w:sz w:val="18"/>
                <w:szCs w:val="18"/>
              </w:rPr>
              <w:t>NS</w:t>
            </w:r>
          </w:p>
          <w:p>
            <w:pPr>
              <w:pStyle w:val="70"/>
              <w:rPr>
                <w:rFonts w:cs="Times New Roman"/>
                <w:sz w:val="18"/>
                <w:szCs w:val="18"/>
              </w:rPr>
            </w:pPr>
            <w:r>
              <w:rPr>
                <w:rFonts w:cs="Times New Roman"/>
                <w:sz w:val="18"/>
                <w:szCs w:val="18"/>
              </w:rPr>
              <w:t>PMR</w:t>
            </w:r>
          </w:p>
        </w:tc>
        <w:tc>
          <w:tcPr>
            <w:tcW w:w="1163" w:type="dxa"/>
            <w:gridSpan w:val="2"/>
            <w:vAlign w:val="center"/>
          </w:tcPr>
          <w:p>
            <w:pPr>
              <w:pStyle w:val="70"/>
              <w:rPr>
                <w:rFonts w:cs="Times New Roman"/>
                <w:sz w:val="18"/>
                <w:szCs w:val="18"/>
              </w:rPr>
            </w:pPr>
            <w:r>
              <w:rPr>
                <w:rFonts w:cs="Times New Roman"/>
                <w:sz w:val="18"/>
                <w:szCs w:val="18"/>
              </w:rPr>
              <w:t>60K,</w:t>
            </w:r>
            <w:r>
              <w:rPr>
                <w:rFonts w:cs="Times New Roman"/>
                <w:color w:val="282828"/>
                <w:sz w:val="18"/>
                <w:szCs w:val="18"/>
              </w:rPr>
              <w:t>75K,</w:t>
            </w:r>
            <w:r>
              <w:rPr>
                <w:rFonts w:cs="Times New Roman"/>
                <w:color w:val="161616"/>
                <w:sz w:val="18"/>
                <w:szCs w:val="18"/>
              </w:rPr>
              <w:t>N</w:t>
            </w:r>
            <w:r>
              <w:rPr>
                <w:rFonts w:cs="Times New Roman"/>
                <w:sz w:val="18"/>
                <w:szCs w:val="18"/>
              </w:rPr>
              <w:t>S</w:t>
            </w:r>
          </w:p>
          <w:p>
            <w:pPr>
              <w:pStyle w:val="70"/>
              <w:rPr>
                <w:rFonts w:cs="Times New Roman"/>
                <w:sz w:val="18"/>
                <w:szCs w:val="18"/>
              </w:rPr>
            </w:pPr>
            <w:r>
              <w:rPr>
                <w:rFonts w:cs="Times New Roman"/>
                <w:sz w:val="18"/>
                <w:szCs w:val="18"/>
              </w:rPr>
              <w:t>60K</w:t>
            </w:r>
            <w:r>
              <w:rPr>
                <w:rFonts w:cs="Times New Roman"/>
                <w:color w:val="646464"/>
                <w:sz w:val="18"/>
                <w:szCs w:val="18"/>
              </w:rPr>
              <w:t>,</w:t>
            </w:r>
            <w:r>
              <w:rPr>
                <w:rFonts w:cs="Times New Roman"/>
                <w:color w:val="383838"/>
                <w:sz w:val="18"/>
                <w:szCs w:val="18"/>
              </w:rPr>
              <w:t>75K</w:t>
            </w:r>
            <w:r>
              <w:rPr>
                <w:rFonts w:cs="Times New Roman"/>
                <w:color w:val="646464"/>
                <w:sz w:val="18"/>
                <w:szCs w:val="18"/>
              </w:rPr>
              <w:t>,</w:t>
            </w:r>
            <w:r>
              <w:rPr>
                <w:rFonts w:cs="Times New Roman"/>
                <w:color w:val="161616"/>
                <w:sz w:val="18"/>
                <w:szCs w:val="18"/>
              </w:rPr>
              <w:t>NS</w:t>
            </w:r>
          </w:p>
          <w:p>
            <w:pPr>
              <w:pStyle w:val="70"/>
              <w:rPr>
                <w:rFonts w:cs="Times New Roman"/>
                <w:sz w:val="18"/>
                <w:szCs w:val="18"/>
              </w:rPr>
            </w:pPr>
            <w:r>
              <w:rPr>
                <w:rFonts w:cs="Times New Roman"/>
                <w:sz w:val="18"/>
                <w:szCs w:val="18"/>
              </w:rPr>
              <w:t>NA</w:t>
            </w:r>
          </w:p>
          <w:p>
            <w:pPr>
              <w:pStyle w:val="70"/>
              <w:rPr>
                <w:rFonts w:cs="Times New Roman"/>
                <w:sz w:val="18"/>
                <w:szCs w:val="18"/>
              </w:rPr>
            </w:pPr>
            <w:r>
              <w:rPr>
                <w:rFonts w:cs="Times New Roman"/>
                <w:sz w:val="18"/>
                <w:szCs w:val="18"/>
              </w:rPr>
              <w:t>PMR</w:t>
            </w:r>
          </w:p>
        </w:tc>
        <w:tc>
          <w:tcPr>
            <w:tcW w:w="1134" w:type="dxa"/>
            <w:gridSpan w:val="2"/>
            <w:vAlign w:val="center"/>
          </w:tcPr>
          <w:p>
            <w:pPr>
              <w:pStyle w:val="70"/>
              <w:rPr>
                <w:rFonts w:cs="Times New Roman"/>
                <w:sz w:val="18"/>
                <w:szCs w:val="18"/>
              </w:rPr>
            </w:pPr>
            <w:r>
              <w:rPr>
                <w:rFonts w:cs="Times New Roman"/>
                <w:sz w:val="18"/>
                <w:szCs w:val="18"/>
              </w:rPr>
              <w:t>75K,NS</w:t>
            </w:r>
          </w:p>
          <w:p>
            <w:pPr>
              <w:pStyle w:val="70"/>
              <w:rPr>
                <w:rFonts w:cs="Times New Roman"/>
                <w:sz w:val="18"/>
                <w:szCs w:val="18"/>
              </w:rPr>
            </w:pPr>
            <w:r>
              <w:rPr>
                <w:rFonts w:cs="Times New Roman"/>
                <w:sz w:val="18"/>
                <w:szCs w:val="18"/>
              </w:rPr>
              <w:t>75K,</w:t>
            </w:r>
            <w:r>
              <w:rPr>
                <w:rFonts w:cs="Times New Roman"/>
                <w:color w:val="161616"/>
                <w:sz w:val="18"/>
                <w:szCs w:val="18"/>
              </w:rPr>
              <w:t>NS</w:t>
            </w:r>
          </w:p>
          <w:p>
            <w:pPr>
              <w:pStyle w:val="70"/>
              <w:rPr>
                <w:rFonts w:cs="Times New Roman"/>
                <w:sz w:val="18"/>
                <w:szCs w:val="18"/>
              </w:rPr>
            </w:pPr>
            <w:r>
              <w:rPr>
                <w:rFonts w:cs="Times New Roman"/>
                <w:sz w:val="18"/>
                <w:szCs w:val="18"/>
              </w:rPr>
              <w:t>NA</w:t>
            </w:r>
          </w:p>
          <w:p>
            <w:pPr>
              <w:pStyle w:val="70"/>
              <w:rPr>
                <w:rFonts w:cs="Times New Roman"/>
                <w:sz w:val="18"/>
                <w:szCs w:val="18"/>
              </w:rPr>
            </w:pPr>
            <w:r>
              <w:rPr>
                <w:rFonts w:cs="Times New Roman"/>
                <w:sz w:val="18"/>
                <w:szCs w:val="18"/>
              </w:rPr>
              <w:t>PMR</w:t>
            </w:r>
          </w:p>
        </w:tc>
        <w:tc>
          <w:tcPr>
            <w:tcW w:w="1112" w:type="dxa"/>
            <w:vAlign w:val="center"/>
          </w:tcPr>
          <w:p>
            <w:pPr>
              <w:pStyle w:val="70"/>
              <w:rPr>
                <w:rFonts w:cs="Times New Roman"/>
                <w:sz w:val="18"/>
                <w:szCs w:val="18"/>
              </w:rPr>
            </w:pPr>
            <w:r>
              <w:rPr>
                <w:rFonts w:cs="Times New Roman"/>
                <w:sz w:val="18"/>
                <w:szCs w:val="18"/>
              </w:rPr>
              <w:t>75K,NS</w:t>
            </w:r>
          </w:p>
          <w:p>
            <w:pPr>
              <w:pStyle w:val="70"/>
              <w:rPr>
                <w:rFonts w:cs="Times New Roman"/>
                <w:sz w:val="18"/>
                <w:szCs w:val="18"/>
              </w:rPr>
            </w:pPr>
            <w:r>
              <w:rPr>
                <w:rFonts w:cs="Times New Roman"/>
                <w:sz w:val="18"/>
                <w:szCs w:val="18"/>
              </w:rPr>
              <w:t>75K,</w:t>
            </w:r>
            <w:r>
              <w:rPr>
                <w:rFonts w:cs="Times New Roman"/>
                <w:color w:val="282828"/>
                <w:sz w:val="18"/>
                <w:szCs w:val="18"/>
              </w:rPr>
              <w:t>NS</w:t>
            </w:r>
          </w:p>
          <w:p>
            <w:pPr>
              <w:pStyle w:val="70"/>
              <w:rPr>
                <w:rFonts w:cs="Times New Roman"/>
                <w:sz w:val="18"/>
                <w:szCs w:val="18"/>
              </w:rPr>
            </w:pPr>
            <w:r>
              <w:rPr>
                <w:rFonts w:cs="Times New Roman"/>
                <w:sz w:val="18"/>
                <w:szCs w:val="18"/>
              </w:rPr>
              <w:t>NA</w:t>
            </w:r>
          </w:p>
          <w:p>
            <w:pPr>
              <w:pStyle w:val="70"/>
              <w:rPr>
                <w:rFonts w:cs="Times New Roman"/>
                <w:sz w:val="18"/>
                <w:szCs w:val="18"/>
              </w:rPr>
            </w:pPr>
            <w:r>
              <w:rPr>
                <w:rFonts w:cs="Times New Roman"/>
                <w:sz w:val="18"/>
                <w:szCs w:val="18"/>
              </w:rPr>
              <w:t>PMR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7" w:type="dxa"/>
            <w:gridSpan w:val="11"/>
            <w:vAlign w:val="center"/>
          </w:tcPr>
          <w:p>
            <w:pPr>
              <w:pStyle w:val="70"/>
              <w:jc w:val="left"/>
              <w:rPr>
                <w:rFonts w:cs="Times New Roman"/>
                <w:sz w:val="18"/>
                <w:szCs w:val="18"/>
              </w:rPr>
            </w:pPr>
            <w:r>
              <w:rPr>
                <w:rFonts w:cs="Times New Roman"/>
                <w:sz w:val="18"/>
                <w:szCs w:val="18"/>
              </w:rPr>
              <w:t>注</w:t>
            </w:r>
            <w:r>
              <w:rPr>
                <w:rFonts w:hint="eastAsia" w:cs="Times New Roman"/>
                <w:sz w:val="18"/>
                <w:szCs w:val="18"/>
              </w:rPr>
              <w:t>：</w:t>
            </w:r>
          </w:p>
          <w:p>
            <w:pPr>
              <w:pStyle w:val="70"/>
              <w:jc w:val="left"/>
              <w:rPr>
                <w:rFonts w:cs="Times New Roman"/>
                <w:sz w:val="18"/>
                <w:szCs w:val="18"/>
              </w:rPr>
            </w:pPr>
            <w:r>
              <w:rPr>
                <w:rFonts w:hint="eastAsia" w:cs="Times New Roman"/>
                <w:spacing w:val="-9"/>
                <w:sz w:val="18"/>
                <w:szCs w:val="18"/>
              </w:rPr>
              <w:t>a</w:t>
            </w:r>
            <w:r>
              <w:rPr>
                <w:rFonts w:hint="eastAsia" w:cs="Times New Roman"/>
                <w:color w:val="000000"/>
                <w:sz w:val="18"/>
                <w:szCs w:val="18"/>
              </w:rPr>
              <w:t>：</w:t>
            </w:r>
            <w:r>
              <w:rPr>
                <w:rFonts w:cs="Times New Roman"/>
                <w:sz w:val="18"/>
                <w:szCs w:val="18"/>
              </w:rPr>
              <w:t>NS 表示非标准材料。</w:t>
            </w:r>
          </w:p>
          <w:p>
            <w:pPr>
              <w:pStyle w:val="70"/>
              <w:jc w:val="left"/>
              <w:rPr>
                <w:rFonts w:cs="Times New Roman"/>
                <w:sz w:val="18"/>
                <w:szCs w:val="18"/>
              </w:rPr>
            </w:pPr>
            <w:r>
              <w:rPr>
                <w:rFonts w:hint="eastAsia" w:cs="Times New Roman"/>
                <w:spacing w:val="-9"/>
                <w:sz w:val="18"/>
                <w:szCs w:val="18"/>
              </w:rPr>
              <w:t>b</w:t>
            </w:r>
            <w:r>
              <w:rPr>
                <w:rFonts w:hint="eastAsia" w:cs="Times New Roman"/>
                <w:color w:val="000000"/>
                <w:sz w:val="18"/>
                <w:szCs w:val="18"/>
              </w:rPr>
              <w:t>：</w:t>
            </w:r>
            <w:r>
              <w:rPr>
                <w:rFonts w:cs="Times New Roman"/>
                <w:sz w:val="18"/>
                <w:szCs w:val="18"/>
              </w:rPr>
              <w:t>如果端部连接材料为表中所指示代号的材料，则焊接按4.3进行，设计按4.2进行。</w:t>
            </w:r>
          </w:p>
          <w:p>
            <w:pPr>
              <w:pStyle w:val="70"/>
              <w:jc w:val="left"/>
              <w:rPr>
                <w:rFonts w:cs="Times New Roman"/>
                <w:sz w:val="18"/>
                <w:szCs w:val="18"/>
              </w:rPr>
            </w:pPr>
            <w:r>
              <w:rPr>
                <w:rFonts w:hint="eastAsia" w:cs="Times New Roman"/>
                <w:spacing w:val="-9"/>
                <w:sz w:val="18"/>
                <w:szCs w:val="18"/>
              </w:rPr>
              <w:t>c</w:t>
            </w:r>
            <w:r>
              <w:rPr>
                <w:rFonts w:hint="eastAsia" w:cs="Times New Roman"/>
                <w:color w:val="000000"/>
                <w:sz w:val="18"/>
                <w:szCs w:val="18"/>
              </w:rPr>
              <w:t>：</w:t>
            </w:r>
            <w:r>
              <w:rPr>
                <w:rFonts w:cs="Times New Roman"/>
                <w:sz w:val="18"/>
                <w:szCs w:val="18"/>
              </w:rPr>
              <w:t>按制造商的规定。</w:t>
            </w:r>
          </w:p>
          <w:p>
            <w:pPr>
              <w:pStyle w:val="70"/>
              <w:jc w:val="left"/>
              <w:rPr>
                <w:rFonts w:cs="Times New Roman"/>
                <w:sz w:val="18"/>
                <w:szCs w:val="18"/>
              </w:rPr>
            </w:pPr>
            <w:r>
              <w:rPr>
                <w:rFonts w:hint="eastAsia" w:cs="Times New Roman"/>
                <w:sz w:val="18"/>
                <w:szCs w:val="18"/>
              </w:rPr>
              <w:t>PMR:</w:t>
            </w:r>
            <w:r>
              <w:rPr>
                <w:rFonts w:cs="Times New Roman"/>
                <w:sz w:val="18"/>
                <w:szCs w:val="18"/>
              </w:rPr>
              <w:t xml:space="preserve"> 按制造商的规定。</w:t>
            </w:r>
          </w:p>
        </w:tc>
      </w:tr>
    </w:tbl>
    <w:p>
      <w:pPr>
        <w:pStyle w:val="69"/>
      </w:pPr>
      <w:bookmarkStart w:id="92" w:name="_Ref112322466"/>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6</w:t>
      </w:r>
      <w:r>
        <w:fldChar w:fldCharType="end"/>
      </w:r>
      <w:bookmarkEnd w:id="92"/>
      <w:r>
        <w:rPr>
          <w:rFonts w:hint="eastAsia"/>
        </w:rPr>
        <w:t xml:space="preserve"> </w:t>
      </w:r>
      <w:r>
        <w:t>本体</w:t>
      </w:r>
      <w:r>
        <w:rPr>
          <w:rFonts w:hint="eastAsia"/>
        </w:rPr>
        <w:t>、端部和出口连接装置标准材料性能要求</w:t>
      </w:r>
    </w:p>
    <w:tbl>
      <w:tblPr>
        <w:tblStyle w:val="27"/>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304"/>
        <w:gridCol w:w="1703"/>
        <w:gridCol w:w="180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firstLine="0" w:firstLineChars="0"/>
            </w:pPr>
            <w:r>
              <w:rPr>
                <w:rFonts w:hint="eastAsia"/>
              </w:rPr>
              <w:t>材料代号</w:t>
            </w:r>
          </w:p>
        </w:tc>
        <w:tc>
          <w:tcPr>
            <w:tcW w:w="2304" w:type="dxa"/>
          </w:tcPr>
          <w:p>
            <w:pPr>
              <w:ind w:firstLine="0" w:firstLineChars="0"/>
            </w:pPr>
            <w:r>
              <w:rPr>
                <w:rFonts w:hint="eastAsia"/>
              </w:rPr>
              <w:t>0.2%残余变形屈服强度MPa（psi）</w:t>
            </w:r>
          </w:p>
        </w:tc>
        <w:tc>
          <w:tcPr>
            <w:tcW w:w="1703" w:type="dxa"/>
          </w:tcPr>
          <w:p>
            <w:pPr>
              <w:ind w:firstLine="0" w:firstLineChars="0"/>
            </w:pPr>
            <w:r>
              <w:rPr>
                <w:rFonts w:hint="eastAsia"/>
              </w:rPr>
              <w:t>抗拉强度</w:t>
            </w:r>
          </w:p>
        </w:tc>
        <w:tc>
          <w:tcPr>
            <w:tcW w:w="1804" w:type="dxa"/>
          </w:tcPr>
          <w:p>
            <w:pPr>
              <w:ind w:firstLine="0" w:firstLineChars="0"/>
            </w:pPr>
            <w:r>
              <w:rPr>
                <w:rFonts w:hint="eastAsia"/>
              </w:rPr>
              <w:t>50mm的伸长率</w:t>
            </w:r>
          </w:p>
          <w:p>
            <w:pPr>
              <w:ind w:firstLine="0" w:firstLineChars="0"/>
            </w:pPr>
            <w:r>
              <w:rPr>
                <w:rFonts w:hint="eastAsia"/>
              </w:rPr>
              <w:t>%</w:t>
            </w:r>
          </w:p>
        </w:tc>
        <w:tc>
          <w:tcPr>
            <w:tcW w:w="1602" w:type="dxa"/>
          </w:tcPr>
          <w:p>
            <w:pPr>
              <w:ind w:firstLine="0" w:firstLineChars="0"/>
            </w:pPr>
            <w:r>
              <w:rPr>
                <w:rFonts w:hint="eastAsia"/>
              </w:rPr>
              <w:t>断面收缩率</w:t>
            </w:r>
          </w:p>
          <w:p>
            <w:pPr>
              <w:ind w:firstLine="0" w:firstLineChars="0"/>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firstLine="0" w:firstLineChars="0"/>
            </w:pPr>
            <w:r>
              <w:rPr>
                <w:rFonts w:hint="eastAsia"/>
              </w:rPr>
              <w:t>36K</w:t>
            </w:r>
          </w:p>
        </w:tc>
        <w:tc>
          <w:tcPr>
            <w:tcW w:w="2304" w:type="dxa"/>
          </w:tcPr>
          <w:p>
            <w:pPr>
              <w:ind w:firstLine="0" w:firstLineChars="0"/>
            </w:pPr>
            <w:r>
              <w:rPr>
                <w:rFonts w:hint="eastAsia"/>
              </w:rPr>
              <w:t>248（36000）</w:t>
            </w:r>
          </w:p>
        </w:tc>
        <w:tc>
          <w:tcPr>
            <w:tcW w:w="1703" w:type="dxa"/>
          </w:tcPr>
          <w:p>
            <w:pPr>
              <w:ind w:firstLine="0" w:firstLineChars="0"/>
            </w:pPr>
            <w:r>
              <w:rPr>
                <w:rFonts w:hint="eastAsia"/>
              </w:rPr>
              <w:t>483（70000）</w:t>
            </w:r>
          </w:p>
        </w:tc>
        <w:tc>
          <w:tcPr>
            <w:tcW w:w="1804" w:type="dxa"/>
          </w:tcPr>
          <w:p>
            <w:pPr>
              <w:ind w:firstLine="0" w:firstLineChars="0"/>
            </w:pPr>
            <w:r>
              <w:rPr>
                <w:rFonts w:hint="eastAsia"/>
              </w:rPr>
              <w:t>21</w:t>
            </w:r>
          </w:p>
        </w:tc>
        <w:tc>
          <w:tcPr>
            <w:tcW w:w="1602" w:type="dxa"/>
          </w:tcPr>
          <w:p>
            <w:pPr>
              <w:ind w:firstLine="0" w:firstLineChars="0"/>
            </w:pPr>
            <w:r>
              <w:rPr>
                <w:rFonts w:hint="eastAsia"/>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firstLine="0" w:firstLineChars="0"/>
            </w:pPr>
            <w:r>
              <w:rPr>
                <w:rFonts w:hint="eastAsia"/>
              </w:rPr>
              <w:t>45K</w:t>
            </w:r>
          </w:p>
        </w:tc>
        <w:tc>
          <w:tcPr>
            <w:tcW w:w="2304" w:type="dxa"/>
          </w:tcPr>
          <w:p>
            <w:pPr>
              <w:ind w:firstLine="0" w:firstLineChars="0"/>
            </w:pPr>
            <w:r>
              <w:rPr>
                <w:rFonts w:hint="eastAsia"/>
              </w:rPr>
              <w:t>310（45000）</w:t>
            </w:r>
          </w:p>
        </w:tc>
        <w:tc>
          <w:tcPr>
            <w:tcW w:w="1703" w:type="dxa"/>
          </w:tcPr>
          <w:p>
            <w:pPr>
              <w:ind w:firstLine="0" w:firstLineChars="0"/>
            </w:pPr>
            <w:r>
              <w:rPr>
                <w:rFonts w:hint="eastAsia"/>
              </w:rPr>
              <w:t>483（70000）</w:t>
            </w:r>
          </w:p>
        </w:tc>
        <w:tc>
          <w:tcPr>
            <w:tcW w:w="1804" w:type="dxa"/>
          </w:tcPr>
          <w:p>
            <w:pPr>
              <w:ind w:firstLine="0" w:firstLineChars="0"/>
            </w:pPr>
            <w:r>
              <w:rPr>
                <w:rFonts w:hint="eastAsia"/>
              </w:rPr>
              <w:t>19</w:t>
            </w:r>
          </w:p>
        </w:tc>
        <w:tc>
          <w:tcPr>
            <w:tcW w:w="1602" w:type="dxa"/>
          </w:tcPr>
          <w:p>
            <w:pPr>
              <w:ind w:firstLine="0" w:firstLineChars="0"/>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ind w:firstLine="0" w:firstLineChars="0"/>
            </w:pPr>
            <w:r>
              <w:rPr>
                <w:rFonts w:hint="eastAsia"/>
              </w:rPr>
              <w:t>60K</w:t>
            </w:r>
          </w:p>
        </w:tc>
        <w:tc>
          <w:tcPr>
            <w:tcW w:w="2304" w:type="dxa"/>
          </w:tcPr>
          <w:p>
            <w:pPr>
              <w:ind w:firstLine="0" w:firstLineChars="0"/>
            </w:pPr>
            <w:r>
              <w:rPr>
                <w:rFonts w:hint="eastAsia"/>
              </w:rPr>
              <w:t>414（60000）</w:t>
            </w:r>
          </w:p>
        </w:tc>
        <w:tc>
          <w:tcPr>
            <w:tcW w:w="1703" w:type="dxa"/>
          </w:tcPr>
          <w:p>
            <w:pPr>
              <w:ind w:firstLine="0" w:firstLineChars="0"/>
            </w:pPr>
            <w:r>
              <w:rPr>
                <w:rFonts w:hint="eastAsia"/>
              </w:rPr>
              <w:t>586（85000）</w:t>
            </w:r>
          </w:p>
        </w:tc>
        <w:tc>
          <w:tcPr>
            <w:tcW w:w="1804" w:type="dxa"/>
          </w:tcPr>
          <w:p>
            <w:pPr>
              <w:ind w:firstLine="0" w:firstLineChars="0"/>
            </w:pPr>
            <w:r>
              <w:rPr>
                <w:rFonts w:hint="eastAsia"/>
              </w:rPr>
              <w:t>18</w:t>
            </w:r>
          </w:p>
        </w:tc>
        <w:tc>
          <w:tcPr>
            <w:tcW w:w="1602" w:type="dxa"/>
          </w:tcPr>
          <w:p>
            <w:pPr>
              <w:ind w:firstLine="0" w:firstLineChars="0"/>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firstLine="0" w:firstLineChars="0"/>
            </w:pPr>
            <w:r>
              <w:rPr>
                <w:rFonts w:hint="eastAsia"/>
              </w:rPr>
              <w:t>75K</w:t>
            </w:r>
          </w:p>
        </w:tc>
        <w:tc>
          <w:tcPr>
            <w:tcW w:w="2304" w:type="dxa"/>
          </w:tcPr>
          <w:p>
            <w:pPr>
              <w:ind w:firstLine="0" w:firstLineChars="0"/>
            </w:pPr>
            <w:r>
              <w:rPr>
                <w:rFonts w:hint="eastAsia"/>
              </w:rPr>
              <w:t>517（75000）</w:t>
            </w:r>
          </w:p>
        </w:tc>
        <w:tc>
          <w:tcPr>
            <w:tcW w:w="1703" w:type="dxa"/>
          </w:tcPr>
          <w:p>
            <w:pPr>
              <w:ind w:firstLine="0" w:firstLineChars="0"/>
            </w:pPr>
            <w:r>
              <w:rPr>
                <w:rFonts w:hint="eastAsia"/>
              </w:rPr>
              <w:t>655（95000）</w:t>
            </w:r>
          </w:p>
        </w:tc>
        <w:tc>
          <w:tcPr>
            <w:tcW w:w="1804" w:type="dxa"/>
          </w:tcPr>
          <w:p>
            <w:pPr>
              <w:ind w:firstLine="0" w:firstLineChars="0"/>
            </w:pPr>
            <w:r>
              <w:rPr>
                <w:rFonts w:hint="eastAsia"/>
              </w:rPr>
              <w:t>17</w:t>
            </w:r>
          </w:p>
        </w:tc>
        <w:tc>
          <w:tcPr>
            <w:tcW w:w="1602" w:type="dxa"/>
          </w:tcPr>
          <w:p>
            <w:pPr>
              <w:ind w:firstLine="0" w:firstLineChars="0"/>
            </w:pPr>
            <w:r>
              <w:rPr>
                <w:rFonts w:hint="eastAsia"/>
              </w:rPr>
              <w:t>35</w:t>
            </w:r>
          </w:p>
        </w:tc>
      </w:tr>
    </w:tbl>
    <w:p>
      <w:pPr>
        <w:pStyle w:val="69"/>
        <w:rPr>
          <w:rFonts w:cs="Times New Roman"/>
        </w:rPr>
      </w:pPr>
      <w:bookmarkStart w:id="93" w:name="_Ref112322499"/>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7</w:t>
      </w:r>
      <w:r>
        <w:fldChar w:fldCharType="end"/>
      </w:r>
      <w:bookmarkEnd w:id="93"/>
      <w:r>
        <w:rPr>
          <w:rFonts w:hint="eastAsia"/>
        </w:rPr>
        <w:t xml:space="preserve"> </w:t>
      </w:r>
      <w:r>
        <w:rPr>
          <w:rFonts w:cs="Times New Roman"/>
        </w:rPr>
        <w:t>夏比 V 型缺口冲击要求</w:t>
      </w:r>
    </w:p>
    <w:tbl>
      <w:tblPr>
        <w:tblStyle w:val="27"/>
        <w:tblW w:w="8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84"/>
        <w:gridCol w:w="1299"/>
        <w:gridCol w:w="1682"/>
        <w:gridCol w:w="1769"/>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1809" w:type="dxa"/>
            <w:gridSpan w:val="2"/>
            <w:vMerge w:val="restart"/>
            <w:vAlign w:val="center"/>
          </w:tcPr>
          <w:p>
            <w:pPr>
              <w:pStyle w:val="70"/>
              <w:rPr>
                <w:rFonts w:cs="Times New Roman"/>
              </w:rPr>
            </w:pPr>
            <w:r>
              <w:rPr>
                <w:rFonts w:cs="Times New Roman"/>
              </w:rPr>
              <w:t>温度</w:t>
            </w:r>
          </w:p>
        </w:tc>
        <w:tc>
          <w:tcPr>
            <w:tcW w:w="6443" w:type="dxa"/>
            <w:gridSpan w:val="4"/>
            <w:vAlign w:val="center"/>
          </w:tcPr>
          <w:p>
            <w:pPr>
              <w:pStyle w:val="70"/>
              <w:rPr>
                <w:rFonts w:cs="Times New Roman"/>
              </w:rPr>
            </w:pPr>
            <w:r>
              <w:rPr>
                <w:rFonts w:cs="Times New Roman"/>
              </w:rPr>
              <w:t>最小平均冲击值（横向）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809" w:type="dxa"/>
            <w:gridSpan w:val="2"/>
            <w:vMerge w:val="continue"/>
            <w:vAlign w:val="center"/>
          </w:tcPr>
          <w:p>
            <w:pPr>
              <w:pStyle w:val="70"/>
              <w:rPr>
                <w:rFonts w:cs="Times New Roman"/>
              </w:rPr>
            </w:pPr>
          </w:p>
        </w:tc>
        <w:tc>
          <w:tcPr>
            <w:tcW w:w="2981" w:type="dxa"/>
            <w:gridSpan w:val="2"/>
            <w:vAlign w:val="center"/>
          </w:tcPr>
          <w:p>
            <w:pPr>
              <w:pStyle w:val="70"/>
              <w:rPr>
                <w:rFonts w:cs="Times New Roman"/>
              </w:rPr>
            </w:pPr>
            <w:r>
              <w:rPr>
                <w:rFonts w:cs="Times New Roman"/>
              </w:rPr>
              <w:t>横向</w:t>
            </w:r>
          </w:p>
        </w:tc>
        <w:tc>
          <w:tcPr>
            <w:tcW w:w="3462" w:type="dxa"/>
            <w:gridSpan w:val="2"/>
            <w:vAlign w:val="center"/>
          </w:tcPr>
          <w:p>
            <w:pPr>
              <w:pStyle w:val="70"/>
              <w:rPr>
                <w:rFonts w:cs="Times New Roman"/>
              </w:rPr>
            </w:pPr>
            <w:r>
              <w:rPr>
                <w:rFonts w:cs="Times New Roman"/>
              </w:rPr>
              <w:t>纵向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809" w:type="dxa"/>
            <w:gridSpan w:val="2"/>
            <w:vMerge w:val="continue"/>
            <w:vAlign w:val="center"/>
          </w:tcPr>
          <w:p>
            <w:pPr>
              <w:pStyle w:val="70"/>
              <w:rPr>
                <w:rFonts w:cs="Times New Roman"/>
              </w:rPr>
            </w:pPr>
          </w:p>
        </w:tc>
        <w:tc>
          <w:tcPr>
            <w:tcW w:w="2981" w:type="dxa"/>
            <w:gridSpan w:val="2"/>
            <w:vAlign w:val="center"/>
          </w:tcPr>
          <w:p>
            <w:pPr>
              <w:pStyle w:val="70"/>
              <w:rPr>
                <w:rFonts w:cs="Times New Roman"/>
              </w:rPr>
            </w:pPr>
            <w:r>
              <w:rPr>
                <w:rFonts w:cs="Times New Roman"/>
              </w:rPr>
              <w:t>锻造或铸造材料，焊接鉴定</w:t>
            </w:r>
          </w:p>
        </w:tc>
        <w:tc>
          <w:tcPr>
            <w:tcW w:w="3462" w:type="dxa"/>
            <w:gridSpan w:val="2"/>
            <w:vAlign w:val="center"/>
          </w:tcPr>
          <w:p>
            <w:pPr>
              <w:pStyle w:val="70"/>
              <w:rPr>
                <w:rFonts w:cs="Times New Roman"/>
              </w:rPr>
            </w:pPr>
            <w:r>
              <w:rPr>
                <w:rFonts w:cs="Times New Roman"/>
              </w:rPr>
              <w:t>仅锻造产品的替代方法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725" w:type="dxa"/>
            <w:vAlign w:val="center"/>
          </w:tcPr>
          <w:p>
            <w:pPr>
              <w:pStyle w:val="70"/>
              <w:rPr>
                <w:rFonts w:cs="Times New Roman"/>
              </w:rPr>
            </w:pPr>
            <w:r>
              <w:rPr>
                <w:rFonts w:hint="eastAsia" w:cs="Times New Roman"/>
              </w:rPr>
              <w:t>温度</w:t>
            </w:r>
          </w:p>
          <w:p>
            <w:pPr>
              <w:pStyle w:val="70"/>
              <w:rPr>
                <w:rFonts w:cs="Times New Roman"/>
              </w:rPr>
            </w:pPr>
            <w:r>
              <w:rPr>
                <w:rFonts w:hint="eastAsia" w:cs="Times New Roman"/>
              </w:rPr>
              <w:t>等级</w:t>
            </w:r>
          </w:p>
        </w:tc>
        <w:tc>
          <w:tcPr>
            <w:tcW w:w="1084" w:type="dxa"/>
            <w:vAlign w:val="center"/>
          </w:tcPr>
          <w:p>
            <w:pPr>
              <w:pStyle w:val="70"/>
              <w:rPr>
                <w:rFonts w:cs="Times New Roman"/>
              </w:rPr>
            </w:pPr>
            <w:r>
              <w:rPr>
                <w:rFonts w:cs="Times New Roman"/>
                <w:color w:val="050505"/>
                <w:spacing w:val="-10"/>
                <w:position w:val="1"/>
              </w:rPr>
              <w:t>试验</w:t>
            </w:r>
            <w:r>
              <w:rPr>
                <w:rFonts w:hint="eastAsia" w:ascii="宋体" w:hAnsi="宋体" w:cs="宋体"/>
                <w:spacing w:val="-10"/>
                <w:position w:val="1"/>
              </w:rPr>
              <w:t>℃</w:t>
            </w:r>
            <w:r>
              <w:rPr>
                <w:rFonts w:cs="Times New Roman"/>
              </w:rPr>
              <w:t>(°F)</w:t>
            </w:r>
          </w:p>
        </w:tc>
        <w:tc>
          <w:tcPr>
            <w:tcW w:w="1299" w:type="dxa"/>
            <w:vAlign w:val="center"/>
          </w:tcPr>
          <w:p>
            <w:pPr>
              <w:pStyle w:val="70"/>
              <w:rPr>
                <w:rFonts w:cs="Times New Roman"/>
              </w:rPr>
            </w:pPr>
            <w:r>
              <w:rPr>
                <w:rFonts w:cs="Times New Roman"/>
              </w:rPr>
              <w:t>PSL1/PSL</w:t>
            </w:r>
            <w:r>
              <w:rPr>
                <w:rFonts w:cs="Times New Roman"/>
                <w:color w:val="151515"/>
              </w:rPr>
              <w:t>2</w:t>
            </w:r>
          </w:p>
        </w:tc>
        <w:tc>
          <w:tcPr>
            <w:tcW w:w="1682" w:type="dxa"/>
            <w:vAlign w:val="center"/>
          </w:tcPr>
          <w:p>
            <w:pPr>
              <w:pStyle w:val="70"/>
              <w:rPr>
                <w:rFonts w:cs="Times New Roman"/>
              </w:rPr>
            </w:pPr>
            <w:r>
              <w:rPr>
                <w:rFonts w:cs="Times New Roman"/>
              </w:rPr>
              <w:t>PSL</w:t>
            </w:r>
            <w:r>
              <w:rPr>
                <w:rFonts w:cs="Times New Roman"/>
                <w:color w:val="151515"/>
              </w:rPr>
              <w:t>3/</w:t>
            </w:r>
            <w:r>
              <w:rPr>
                <w:rFonts w:cs="Times New Roman"/>
              </w:rPr>
              <w:t>PSL 4</w:t>
            </w:r>
          </w:p>
        </w:tc>
        <w:tc>
          <w:tcPr>
            <w:tcW w:w="1769" w:type="dxa"/>
            <w:vAlign w:val="center"/>
          </w:tcPr>
          <w:p>
            <w:pPr>
              <w:pStyle w:val="70"/>
              <w:rPr>
                <w:rFonts w:cs="Times New Roman"/>
              </w:rPr>
            </w:pPr>
            <w:r>
              <w:rPr>
                <w:rFonts w:cs="Times New Roman"/>
              </w:rPr>
              <w:t>PSL1/PSL</w:t>
            </w:r>
            <w:r>
              <w:rPr>
                <w:rFonts w:cs="Times New Roman"/>
                <w:color w:val="151515"/>
              </w:rPr>
              <w:t>2</w:t>
            </w:r>
          </w:p>
        </w:tc>
        <w:tc>
          <w:tcPr>
            <w:tcW w:w="1693" w:type="dxa"/>
            <w:vAlign w:val="center"/>
          </w:tcPr>
          <w:p>
            <w:pPr>
              <w:pStyle w:val="70"/>
              <w:rPr>
                <w:rFonts w:cs="Times New Roman"/>
              </w:rPr>
            </w:pPr>
            <w:r>
              <w:rPr>
                <w:rFonts w:cs="Times New Roman"/>
              </w:rPr>
              <w:t>PSL</w:t>
            </w:r>
            <w:r>
              <w:rPr>
                <w:rFonts w:cs="Times New Roman"/>
                <w:color w:val="151515"/>
              </w:rPr>
              <w:t>3/</w:t>
            </w:r>
            <w:r>
              <w:rPr>
                <w:rFonts w:cs="Times New Roman"/>
              </w:rPr>
              <w:t>PSL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vAlign w:val="center"/>
          </w:tcPr>
          <w:p>
            <w:pPr>
              <w:pStyle w:val="70"/>
              <w:rPr>
                <w:rFonts w:cs="Times New Roman"/>
              </w:rPr>
            </w:pPr>
            <w:r>
              <w:rPr>
                <w:rFonts w:cs="Times New Roman"/>
              </w:rPr>
              <w:t>K</w:t>
            </w:r>
          </w:p>
        </w:tc>
        <w:tc>
          <w:tcPr>
            <w:tcW w:w="1084" w:type="dxa"/>
            <w:vAlign w:val="center"/>
          </w:tcPr>
          <w:p>
            <w:pPr>
              <w:pStyle w:val="70"/>
              <w:rPr>
                <w:rFonts w:cs="Times New Roman"/>
              </w:rPr>
            </w:pPr>
            <w:r>
              <w:rPr>
                <w:rFonts w:cs="Times New Roman"/>
                <w:color w:val="2A2A2A"/>
              </w:rPr>
              <w:t>-60</w:t>
            </w:r>
            <w:r>
              <w:rPr>
                <w:rFonts w:cs="Times New Roman"/>
              </w:rPr>
              <w:t>(</w:t>
            </w:r>
            <w:r>
              <w:rPr>
                <w:rFonts w:cs="Times New Roman"/>
                <w:color w:val="050505"/>
              </w:rPr>
              <w:t>-</w:t>
            </w:r>
            <w:r>
              <w:rPr>
                <w:rFonts w:cs="Times New Roman"/>
              </w:rPr>
              <w:t>75)</w:t>
            </w:r>
          </w:p>
        </w:tc>
        <w:tc>
          <w:tcPr>
            <w:tcW w:w="1299" w:type="dxa"/>
            <w:vAlign w:val="center"/>
          </w:tcPr>
          <w:p>
            <w:pPr>
              <w:pStyle w:val="70"/>
              <w:rPr>
                <w:rFonts w:cs="Times New Roman"/>
              </w:rPr>
            </w:pPr>
            <w:r>
              <w:rPr>
                <w:rFonts w:cs="Times New Roman"/>
                <w:color w:val="2A2A2A"/>
              </w:rPr>
              <w:t>20</w:t>
            </w:r>
            <w:r>
              <w:rPr>
                <w:rFonts w:cs="Times New Roman"/>
              </w:rPr>
              <w:t>(15)</w:t>
            </w:r>
          </w:p>
        </w:tc>
        <w:tc>
          <w:tcPr>
            <w:tcW w:w="1682" w:type="dxa"/>
            <w:vAlign w:val="center"/>
          </w:tcPr>
          <w:p>
            <w:pPr>
              <w:pStyle w:val="70"/>
              <w:rPr>
                <w:rFonts w:cs="Times New Roman"/>
              </w:rPr>
            </w:pPr>
            <w:r>
              <w:rPr>
                <w:rFonts w:cs="Times New Roman"/>
                <w:color w:val="2A2A2A"/>
              </w:rPr>
              <w:t>20</w:t>
            </w:r>
            <w:r>
              <w:rPr>
                <w:rFonts w:cs="Times New Roman"/>
              </w:rPr>
              <w:t>(15)</w:t>
            </w:r>
          </w:p>
        </w:tc>
        <w:tc>
          <w:tcPr>
            <w:tcW w:w="1769" w:type="dxa"/>
            <w:vAlign w:val="center"/>
          </w:tcPr>
          <w:p>
            <w:pPr>
              <w:pStyle w:val="70"/>
              <w:rPr>
                <w:rFonts w:cs="Times New Roman"/>
              </w:rPr>
            </w:pPr>
            <w:r>
              <w:rPr>
                <w:rFonts w:cs="Times New Roman"/>
                <w:color w:val="2A2A2A"/>
              </w:rPr>
              <w:t>27</w:t>
            </w:r>
            <w:r>
              <w:rPr>
                <w:rFonts w:cs="Times New Roman"/>
              </w:rPr>
              <w:t>(20)</w:t>
            </w:r>
          </w:p>
        </w:tc>
        <w:tc>
          <w:tcPr>
            <w:tcW w:w="1693" w:type="dxa"/>
            <w:vAlign w:val="center"/>
          </w:tcPr>
          <w:p>
            <w:pPr>
              <w:pStyle w:val="70"/>
              <w:rPr>
                <w:rFonts w:cs="Times New Roman"/>
              </w:rPr>
            </w:pPr>
            <w:r>
              <w:rPr>
                <w:rFonts w:cs="Times New Roman"/>
                <w:color w:val="2A2A2A"/>
              </w:rPr>
              <w:t>27</w:t>
            </w: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vAlign w:val="center"/>
          </w:tcPr>
          <w:p>
            <w:pPr>
              <w:pStyle w:val="70"/>
              <w:rPr>
                <w:rFonts w:cs="Times New Roman"/>
              </w:rPr>
            </w:pPr>
            <w:r>
              <w:rPr>
                <w:rFonts w:cs="Times New Roman"/>
              </w:rPr>
              <w:t>L</w:t>
            </w:r>
          </w:p>
        </w:tc>
        <w:tc>
          <w:tcPr>
            <w:tcW w:w="1084" w:type="dxa"/>
            <w:vAlign w:val="center"/>
          </w:tcPr>
          <w:p>
            <w:pPr>
              <w:pStyle w:val="70"/>
              <w:rPr>
                <w:rFonts w:cs="Times New Roman"/>
              </w:rPr>
            </w:pPr>
            <w:r>
              <w:rPr>
                <w:rFonts w:cs="Times New Roman"/>
              </w:rPr>
              <w:t>-46</w:t>
            </w:r>
            <w:r>
              <w:rPr>
                <w:rFonts w:cs="Times New Roman"/>
                <w:color w:val="3D3D3D"/>
              </w:rPr>
              <w:t>(</w:t>
            </w:r>
            <w:r>
              <w:rPr>
                <w:rFonts w:cs="Times New Roman"/>
                <w:color w:val="050505"/>
              </w:rPr>
              <w:t>-</w:t>
            </w:r>
            <w:r>
              <w:rPr>
                <w:rFonts w:cs="Times New Roman"/>
              </w:rPr>
              <w:t>50)</w:t>
            </w:r>
          </w:p>
        </w:tc>
        <w:tc>
          <w:tcPr>
            <w:tcW w:w="1299" w:type="dxa"/>
            <w:vAlign w:val="center"/>
          </w:tcPr>
          <w:p>
            <w:pPr>
              <w:pStyle w:val="70"/>
              <w:rPr>
                <w:rFonts w:cs="Times New Roman"/>
              </w:rPr>
            </w:pPr>
            <w:r>
              <w:rPr>
                <w:rFonts w:cs="Times New Roman"/>
                <w:color w:val="2A2A2A"/>
              </w:rPr>
              <w:t>20</w:t>
            </w:r>
            <w:r>
              <w:rPr>
                <w:rFonts w:cs="Times New Roman"/>
              </w:rPr>
              <w:t>(15)</w:t>
            </w:r>
          </w:p>
        </w:tc>
        <w:tc>
          <w:tcPr>
            <w:tcW w:w="1682" w:type="dxa"/>
            <w:vAlign w:val="center"/>
          </w:tcPr>
          <w:p>
            <w:pPr>
              <w:pStyle w:val="70"/>
              <w:rPr>
                <w:rFonts w:cs="Times New Roman"/>
              </w:rPr>
            </w:pPr>
            <w:r>
              <w:rPr>
                <w:rFonts w:cs="Times New Roman"/>
                <w:color w:val="2A2A2A"/>
              </w:rPr>
              <w:t>20</w:t>
            </w:r>
            <w:r>
              <w:rPr>
                <w:rFonts w:cs="Times New Roman"/>
              </w:rPr>
              <w:t>(15)</w:t>
            </w:r>
          </w:p>
        </w:tc>
        <w:tc>
          <w:tcPr>
            <w:tcW w:w="1769" w:type="dxa"/>
            <w:vAlign w:val="center"/>
          </w:tcPr>
          <w:p>
            <w:pPr>
              <w:pStyle w:val="70"/>
              <w:rPr>
                <w:rFonts w:cs="Times New Roman"/>
              </w:rPr>
            </w:pPr>
            <w:r>
              <w:rPr>
                <w:rFonts w:cs="Times New Roman"/>
                <w:color w:val="2A2A2A"/>
              </w:rPr>
              <w:t>27</w:t>
            </w:r>
            <w:r>
              <w:rPr>
                <w:rFonts w:cs="Times New Roman"/>
              </w:rPr>
              <w:t>(20)</w:t>
            </w:r>
          </w:p>
        </w:tc>
        <w:tc>
          <w:tcPr>
            <w:tcW w:w="1693" w:type="dxa"/>
            <w:vAlign w:val="center"/>
          </w:tcPr>
          <w:p>
            <w:pPr>
              <w:pStyle w:val="70"/>
              <w:rPr>
                <w:rFonts w:cs="Times New Roman"/>
              </w:rPr>
            </w:pPr>
            <w:r>
              <w:rPr>
                <w:rFonts w:cs="Times New Roman"/>
                <w:color w:val="2A2A2A"/>
              </w:rPr>
              <w:t>27</w:t>
            </w: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vAlign w:val="center"/>
          </w:tcPr>
          <w:p>
            <w:pPr>
              <w:pStyle w:val="70"/>
              <w:rPr>
                <w:rFonts w:cs="Times New Roman"/>
              </w:rPr>
            </w:pPr>
            <w:r>
              <w:rPr>
                <w:rFonts w:cs="Times New Roman"/>
              </w:rPr>
              <w:t>N</w:t>
            </w:r>
          </w:p>
        </w:tc>
        <w:tc>
          <w:tcPr>
            <w:tcW w:w="1084" w:type="dxa"/>
            <w:vAlign w:val="center"/>
          </w:tcPr>
          <w:p>
            <w:pPr>
              <w:pStyle w:val="70"/>
              <w:rPr>
                <w:rFonts w:cs="Times New Roman"/>
              </w:rPr>
            </w:pPr>
            <w:r>
              <w:rPr>
                <w:rFonts w:cs="Times New Roman"/>
              </w:rPr>
              <w:t>-46</w:t>
            </w:r>
            <w:r>
              <w:rPr>
                <w:rFonts w:cs="Times New Roman"/>
                <w:color w:val="4D4D4D"/>
              </w:rPr>
              <w:t>(-</w:t>
            </w:r>
            <w:r>
              <w:rPr>
                <w:rFonts w:cs="Times New Roman"/>
                <w:color w:val="2A2A2A"/>
              </w:rPr>
              <w:t>50)</w:t>
            </w:r>
          </w:p>
        </w:tc>
        <w:tc>
          <w:tcPr>
            <w:tcW w:w="1299" w:type="dxa"/>
            <w:vAlign w:val="center"/>
          </w:tcPr>
          <w:p>
            <w:pPr>
              <w:pStyle w:val="70"/>
              <w:rPr>
                <w:rFonts w:cs="Times New Roman"/>
              </w:rPr>
            </w:pPr>
            <w:r>
              <w:rPr>
                <w:rFonts w:cs="Times New Roman"/>
                <w:color w:val="2A2A2A"/>
              </w:rPr>
              <w:t>20</w:t>
            </w:r>
            <w:r>
              <w:rPr>
                <w:rFonts w:cs="Times New Roman"/>
              </w:rPr>
              <w:t>(15)</w:t>
            </w:r>
          </w:p>
        </w:tc>
        <w:tc>
          <w:tcPr>
            <w:tcW w:w="1682" w:type="dxa"/>
            <w:vAlign w:val="center"/>
          </w:tcPr>
          <w:p>
            <w:pPr>
              <w:pStyle w:val="70"/>
              <w:rPr>
                <w:rFonts w:cs="Times New Roman"/>
              </w:rPr>
            </w:pPr>
            <w:r>
              <w:rPr>
                <w:rFonts w:cs="Times New Roman"/>
                <w:color w:val="2A2A2A"/>
              </w:rPr>
              <w:t>20</w:t>
            </w:r>
            <w:r>
              <w:rPr>
                <w:rFonts w:cs="Times New Roman"/>
              </w:rPr>
              <w:t>(15)</w:t>
            </w:r>
          </w:p>
        </w:tc>
        <w:tc>
          <w:tcPr>
            <w:tcW w:w="1769" w:type="dxa"/>
            <w:vAlign w:val="center"/>
          </w:tcPr>
          <w:p>
            <w:pPr>
              <w:pStyle w:val="70"/>
              <w:rPr>
                <w:rFonts w:cs="Times New Roman"/>
              </w:rPr>
            </w:pPr>
            <w:r>
              <w:rPr>
                <w:rFonts w:cs="Times New Roman"/>
                <w:color w:val="2A2A2A"/>
              </w:rPr>
              <w:t>27</w:t>
            </w:r>
            <w:r>
              <w:rPr>
                <w:rFonts w:cs="Times New Roman"/>
              </w:rPr>
              <w:t>(20)</w:t>
            </w:r>
          </w:p>
        </w:tc>
        <w:tc>
          <w:tcPr>
            <w:tcW w:w="1693" w:type="dxa"/>
            <w:vAlign w:val="center"/>
          </w:tcPr>
          <w:p>
            <w:pPr>
              <w:pStyle w:val="70"/>
              <w:rPr>
                <w:rFonts w:cs="Times New Roman"/>
              </w:rPr>
            </w:pPr>
            <w:r>
              <w:rPr>
                <w:rFonts w:cs="Times New Roman"/>
              </w:rPr>
              <w:t>27</w:t>
            </w:r>
            <w:r>
              <w:rPr>
                <w:rFonts w:cs="Times New Roman"/>
                <w:color w:val="4D4D4D"/>
              </w:rPr>
              <w:t>(</w:t>
            </w: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vAlign w:val="center"/>
          </w:tcPr>
          <w:p>
            <w:pPr>
              <w:pStyle w:val="70"/>
              <w:rPr>
                <w:rFonts w:cs="Times New Roman"/>
              </w:rPr>
            </w:pPr>
            <w:r>
              <w:rPr>
                <w:rFonts w:cs="Times New Roman"/>
              </w:rPr>
              <w:t>P</w:t>
            </w:r>
          </w:p>
        </w:tc>
        <w:tc>
          <w:tcPr>
            <w:tcW w:w="1084" w:type="dxa"/>
            <w:vAlign w:val="center"/>
          </w:tcPr>
          <w:p>
            <w:pPr>
              <w:pStyle w:val="70"/>
              <w:rPr>
                <w:rFonts w:cs="Times New Roman"/>
              </w:rPr>
            </w:pPr>
            <w:r>
              <w:rPr>
                <w:rFonts w:cs="Times New Roman"/>
                <w:color w:val="050505"/>
              </w:rPr>
              <w:t>-</w:t>
            </w:r>
            <w:r>
              <w:rPr>
                <w:rFonts w:cs="Times New Roman"/>
              </w:rPr>
              <w:t>29</w:t>
            </w:r>
            <w:r>
              <w:rPr>
                <w:rFonts w:cs="Times New Roman"/>
                <w:color w:val="4D4D4D"/>
              </w:rPr>
              <w:t>(</w:t>
            </w:r>
            <w:r>
              <w:rPr>
                <w:rFonts w:cs="Times New Roman"/>
                <w:color w:val="050505"/>
              </w:rPr>
              <w:t>-</w:t>
            </w:r>
            <w:r>
              <w:rPr>
                <w:rFonts w:cs="Times New Roman"/>
              </w:rPr>
              <w:t>20)</w:t>
            </w:r>
          </w:p>
        </w:tc>
        <w:tc>
          <w:tcPr>
            <w:tcW w:w="1299" w:type="dxa"/>
            <w:vAlign w:val="center"/>
          </w:tcPr>
          <w:p>
            <w:pPr>
              <w:pStyle w:val="70"/>
              <w:rPr>
                <w:rFonts w:cs="Times New Roman"/>
              </w:rPr>
            </w:pPr>
            <w:r>
              <w:rPr>
                <w:rFonts w:cs="Times New Roman"/>
                <w:color w:val="2A2A2A"/>
              </w:rPr>
              <w:t>20</w:t>
            </w:r>
            <w:r>
              <w:rPr>
                <w:rFonts w:cs="Times New Roman"/>
              </w:rPr>
              <w:t>(15)</w:t>
            </w:r>
          </w:p>
        </w:tc>
        <w:tc>
          <w:tcPr>
            <w:tcW w:w="1682" w:type="dxa"/>
            <w:vAlign w:val="center"/>
          </w:tcPr>
          <w:p>
            <w:pPr>
              <w:pStyle w:val="70"/>
              <w:rPr>
                <w:rFonts w:cs="Times New Roman"/>
              </w:rPr>
            </w:pPr>
            <w:r>
              <w:rPr>
                <w:rFonts w:cs="Times New Roman"/>
                <w:color w:val="2A2A2A"/>
              </w:rPr>
              <w:t>20</w:t>
            </w:r>
            <w:r>
              <w:rPr>
                <w:rFonts w:cs="Times New Roman"/>
              </w:rPr>
              <w:t>(15)</w:t>
            </w:r>
          </w:p>
        </w:tc>
        <w:tc>
          <w:tcPr>
            <w:tcW w:w="1769" w:type="dxa"/>
            <w:vAlign w:val="center"/>
          </w:tcPr>
          <w:p>
            <w:pPr>
              <w:pStyle w:val="70"/>
              <w:rPr>
                <w:rFonts w:cs="Times New Roman"/>
              </w:rPr>
            </w:pPr>
            <w:r>
              <w:rPr>
                <w:rFonts w:cs="Times New Roman"/>
                <w:color w:val="2A2A2A"/>
                <w:spacing w:val="-11"/>
              </w:rPr>
              <w:t>27</w:t>
            </w:r>
            <w:r>
              <w:rPr>
                <w:rFonts w:cs="Times New Roman"/>
              </w:rPr>
              <w:t>{20)</w:t>
            </w:r>
          </w:p>
        </w:tc>
        <w:tc>
          <w:tcPr>
            <w:tcW w:w="1693" w:type="dxa"/>
            <w:vAlign w:val="center"/>
          </w:tcPr>
          <w:p>
            <w:pPr>
              <w:pStyle w:val="70"/>
              <w:rPr>
                <w:rFonts w:cs="Times New Roman"/>
              </w:rPr>
            </w:pPr>
            <w:r>
              <w:rPr>
                <w:rFonts w:cs="Times New Roman"/>
              </w:rPr>
              <w:t>27</w:t>
            </w:r>
            <w:r>
              <w:rPr>
                <w:rFonts w:cs="Times New Roman"/>
                <w:color w:val="4D4D4D"/>
              </w:rPr>
              <w:t>(</w:t>
            </w: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vAlign w:val="center"/>
          </w:tcPr>
          <w:p>
            <w:pPr>
              <w:pStyle w:val="70"/>
              <w:rPr>
                <w:rFonts w:cs="Times New Roman"/>
              </w:rPr>
            </w:pPr>
            <w:r>
              <w:rPr>
                <w:rFonts w:cs="Times New Roman"/>
              </w:rPr>
              <w:t>S</w:t>
            </w:r>
          </w:p>
        </w:tc>
        <w:tc>
          <w:tcPr>
            <w:tcW w:w="1084" w:type="dxa"/>
            <w:vAlign w:val="center"/>
          </w:tcPr>
          <w:p>
            <w:pPr>
              <w:pStyle w:val="70"/>
              <w:rPr>
                <w:rFonts w:cs="Times New Roman"/>
              </w:rPr>
            </w:pPr>
            <w:r>
              <w:rPr>
                <w:rFonts w:cs="Times New Roman"/>
                <w:color w:val="151515"/>
              </w:rPr>
              <w:t>-</w:t>
            </w:r>
            <w:r>
              <w:rPr>
                <w:rFonts w:cs="Times New Roman"/>
              </w:rPr>
              <w:t>18</w:t>
            </w:r>
            <w:r>
              <w:rPr>
                <w:rFonts w:cs="Times New Roman"/>
                <w:color w:val="4D4D4D"/>
              </w:rPr>
              <w:t>(</w:t>
            </w:r>
            <w:r>
              <w:rPr>
                <w:rFonts w:cs="Times New Roman"/>
                <w:color w:val="2A2A2A"/>
              </w:rPr>
              <w:t>0)</w:t>
            </w:r>
          </w:p>
        </w:tc>
        <w:tc>
          <w:tcPr>
            <w:tcW w:w="1299" w:type="dxa"/>
            <w:vAlign w:val="center"/>
          </w:tcPr>
          <w:p>
            <w:pPr>
              <w:pStyle w:val="70"/>
              <w:rPr>
                <w:rFonts w:cs="Times New Roman"/>
              </w:rPr>
            </w:pPr>
            <w:r>
              <w:rPr>
                <w:rFonts w:cs="Times New Roman"/>
              </w:rPr>
              <w:t>-</w:t>
            </w:r>
          </w:p>
        </w:tc>
        <w:tc>
          <w:tcPr>
            <w:tcW w:w="1682" w:type="dxa"/>
            <w:vAlign w:val="center"/>
          </w:tcPr>
          <w:p>
            <w:pPr>
              <w:pStyle w:val="70"/>
              <w:rPr>
                <w:rFonts w:cs="Times New Roman"/>
              </w:rPr>
            </w:pPr>
            <w:r>
              <w:rPr>
                <w:rFonts w:cs="Times New Roman"/>
                <w:color w:val="2A2A2A"/>
              </w:rPr>
              <w:t>20</w:t>
            </w:r>
            <w:r>
              <w:rPr>
                <w:rFonts w:cs="Times New Roman"/>
              </w:rPr>
              <w:t>(15)</w:t>
            </w:r>
          </w:p>
        </w:tc>
        <w:tc>
          <w:tcPr>
            <w:tcW w:w="1769" w:type="dxa"/>
            <w:vAlign w:val="center"/>
          </w:tcPr>
          <w:p>
            <w:pPr>
              <w:pStyle w:val="70"/>
              <w:rPr>
                <w:rFonts w:cs="Times New Roman"/>
              </w:rPr>
            </w:pPr>
            <w:r>
              <w:rPr>
                <w:rFonts w:cs="Times New Roman"/>
              </w:rPr>
              <w:t>-</w:t>
            </w:r>
          </w:p>
        </w:tc>
        <w:tc>
          <w:tcPr>
            <w:tcW w:w="1693" w:type="dxa"/>
            <w:vAlign w:val="center"/>
          </w:tcPr>
          <w:p>
            <w:pPr>
              <w:pStyle w:val="70"/>
              <w:rPr>
                <w:rFonts w:cs="Times New Roman"/>
              </w:rPr>
            </w:pPr>
            <w:r>
              <w:rPr>
                <w:rFonts w:cs="Times New Roman"/>
              </w:rPr>
              <w:t>27</w:t>
            </w:r>
            <w:r>
              <w:rPr>
                <w:rFonts w:cs="Times New Roman"/>
                <w:color w:val="4D4D4D"/>
              </w:rPr>
              <w:t>(</w:t>
            </w: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vAlign w:val="center"/>
          </w:tcPr>
          <w:p>
            <w:pPr>
              <w:pStyle w:val="70"/>
              <w:rPr>
                <w:rFonts w:cs="Times New Roman"/>
              </w:rPr>
            </w:pPr>
            <w:r>
              <w:rPr>
                <w:rFonts w:cs="Times New Roman"/>
              </w:rPr>
              <w:t>T</w:t>
            </w:r>
          </w:p>
        </w:tc>
        <w:tc>
          <w:tcPr>
            <w:tcW w:w="1084" w:type="dxa"/>
            <w:vAlign w:val="center"/>
          </w:tcPr>
          <w:p>
            <w:pPr>
              <w:pStyle w:val="70"/>
              <w:rPr>
                <w:rFonts w:cs="Times New Roman"/>
              </w:rPr>
            </w:pPr>
            <w:r>
              <w:rPr>
                <w:rFonts w:cs="Times New Roman"/>
                <w:color w:val="646464"/>
              </w:rPr>
              <w:t>-</w:t>
            </w:r>
            <w:r>
              <w:rPr>
                <w:rFonts w:cs="Times New Roman"/>
              </w:rPr>
              <w:t>18</w:t>
            </w:r>
            <w:r>
              <w:rPr>
                <w:rFonts w:cs="Times New Roman"/>
                <w:color w:val="4D4D4D"/>
              </w:rPr>
              <w:t>(</w:t>
            </w:r>
            <w:r>
              <w:rPr>
                <w:rFonts w:cs="Times New Roman"/>
                <w:color w:val="2A2A2A"/>
              </w:rPr>
              <w:t>0)</w:t>
            </w:r>
          </w:p>
        </w:tc>
        <w:tc>
          <w:tcPr>
            <w:tcW w:w="1299" w:type="dxa"/>
            <w:vAlign w:val="center"/>
          </w:tcPr>
          <w:p>
            <w:pPr>
              <w:pStyle w:val="70"/>
              <w:rPr>
                <w:rFonts w:cs="Times New Roman"/>
              </w:rPr>
            </w:pPr>
            <w:r>
              <w:rPr>
                <w:rFonts w:cs="Times New Roman"/>
              </w:rPr>
              <w:t>-</w:t>
            </w:r>
          </w:p>
        </w:tc>
        <w:tc>
          <w:tcPr>
            <w:tcW w:w="1682" w:type="dxa"/>
            <w:vAlign w:val="center"/>
          </w:tcPr>
          <w:p>
            <w:pPr>
              <w:pStyle w:val="70"/>
              <w:rPr>
                <w:rFonts w:cs="Times New Roman"/>
              </w:rPr>
            </w:pPr>
            <w:r>
              <w:rPr>
                <w:rFonts w:cs="Times New Roman"/>
                <w:color w:val="2A2A2A"/>
              </w:rPr>
              <w:t>20</w:t>
            </w:r>
            <w:r>
              <w:rPr>
                <w:rFonts w:cs="Times New Roman"/>
              </w:rPr>
              <w:t>(15)</w:t>
            </w:r>
          </w:p>
        </w:tc>
        <w:tc>
          <w:tcPr>
            <w:tcW w:w="1769" w:type="dxa"/>
            <w:vAlign w:val="center"/>
          </w:tcPr>
          <w:p>
            <w:pPr>
              <w:pStyle w:val="70"/>
              <w:rPr>
                <w:rFonts w:cs="Times New Roman"/>
              </w:rPr>
            </w:pPr>
            <w:r>
              <w:rPr>
                <w:rFonts w:cs="Times New Roman"/>
              </w:rPr>
              <w:t>-</w:t>
            </w:r>
          </w:p>
        </w:tc>
        <w:tc>
          <w:tcPr>
            <w:tcW w:w="1693" w:type="dxa"/>
            <w:vAlign w:val="center"/>
          </w:tcPr>
          <w:p>
            <w:pPr>
              <w:pStyle w:val="70"/>
              <w:rPr>
                <w:rFonts w:cs="Times New Roman"/>
              </w:rPr>
            </w:pPr>
            <w:r>
              <w:rPr>
                <w:rFonts w:cs="Times New Roman"/>
              </w:rPr>
              <w:t>27</w:t>
            </w:r>
            <w:r>
              <w:rPr>
                <w:rFonts w:cs="Times New Roman"/>
                <w:color w:val="4D4D4D"/>
              </w:rPr>
              <w:t>(2</w:t>
            </w:r>
            <w:r>
              <w:rPr>
                <w:rFonts w:cs="Times New Roman"/>
                <w:color w:val="2A2A2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vAlign w:val="center"/>
          </w:tcPr>
          <w:p>
            <w:pPr>
              <w:pStyle w:val="70"/>
              <w:rPr>
                <w:rFonts w:cs="Times New Roman"/>
              </w:rPr>
            </w:pPr>
            <w:r>
              <w:rPr>
                <w:rFonts w:cs="Times New Roman"/>
              </w:rPr>
              <w:t>U</w:t>
            </w:r>
          </w:p>
        </w:tc>
        <w:tc>
          <w:tcPr>
            <w:tcW w:w="1084" w:type="dxa"/>
            <w:vAlign w:val="center"/>
          </w:tcPr>
          <w:p>
            <w:pPr>
              <w:pStyle w:val="70"/>
              <w:rPr>
                <w:rFonts w:cs="Times New Roman"/>
              </w:rPr>
            </w:pPr>
            <w:r>
              <w:rPr>
                <w:rFonts w:cs="Times New Roman"/>
                <w:color w:val="646464"/>
              </w:rPr>
              <w:t>-</w:t>
            </w:r>
            <w:r>
              <w:rPr>
                <w:rFonts w:cs="Times New Roman"/>
              </w:rPr>
              <w:t>18</w:t>
            </w:r>
            <w:r>
              <w:rPr>
                <w:rFonts w:cs="Times New Roman"/>
                <w:color w:val="4D4D4D"/>
              </w:rPr>
              <w:t>(0</w:t>
            </w:r>
            <w:r>
              <w:rPr>
                <w:rFonts w:cs="Times New Roman"/>
                <w:color w:val="2A2A2A"/>
              </w:rPr>
              <w:t>)</w:t>
            </w:r>
          </w:p>
        </w:tc>
        <w:tc>
          <w:tcPr>
            <w:tcW w:w="1299" w:type="dxa"/>
            <w:vAlign w:val="center"/>
          </w:tcPr>
          <w:p>
            <w:pPr>
              <w:pStyle w:val="70"/>
              <w:rPr>
                <w:rFonts w:cs="Times New Roman"/>
              </w:rPr>
            </w:pPr>
            <w:r>
              <w:rPr>
                <w:rFonts w:cs="Times New Roman"/>
              </w:rPr>
              <w:t>-</w:t>
            </w:r>
          </w:p>
        </w:tc>
        <w:tc>
          <w:tcPr>
            <w:tcW w:w="1682" w:type="dxa"/>
            <w:vAlign w:val="center"/>
          </w:tcPr>
          <w:p>
            <w:pPr>
              <w:pStyle w:val="70"/>
              <w:rPr>
                <w:rFonts w:cs="Times New Roman"/>
              </w:rPr>
            </w:pPr>
            <w:r>
              <w:rPr>
                <w:rFonts w:cs="Times New Roman"/>
              </w:rPr>
              <w:t>20(15</w:t>
            </w:r>
            <w:r>
              <w:rPr>
                <w:rFonts w:cs="Times New Roman"/>
                <w:color w:val="4D4D4D"/>
              </w:rPr>
              <w:t>)</w:t>
            </w:r>
          </w:p>
        </w:tc>
        <w:tc>
          <w:tcPr>
            <w:tcW w:w="1769" w:type="dxa"/>
            <w:vAlign w:val="center"/>
          </w:tcPr>
          <w:p>
            <w:pPr>
              <w:pStyle w:val="70"/>
              <w:rPr>
                <w:rFonts w:cs="Times New Roman"/>
              </w:rPr>
            </w:pPr>
            <w:r>
              <w:rPr>
                <w:rFonts w:cs="Times New Roman"/>
              </w:rPr>
              <w:t>-</w:t>
            </w:r>
          </w:p>
        </w:tc>
        <w:tc>
          <w:tcPr>
            <w:tcW w:w="1693" w:type="dxa"/>
            <w:vAlign w:val="center"/>
          </w:tcPr>
          <w:p>
            <w:pPr>
              <w:pStyle w:val="70"/>
              <w:rPr>
                <w:rFonts w:cs="Times New Roman"/>
              </w:rPr>
            </w:pPr>
            <w:r>
              <w:rPr>
                <w:rFonts w:cs="Times New Roman"/>
              </w:rPr>
              <w:t>27</w:t>
            </w:r>
            <w:r>
              <w:rPr>
                <w:rFonts w:cs="Times New Roman"/>
                <w:color w:val="4D4D4D"/>
              </w:rPr>
              <w:t>(</w:t>
            </w: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vAlign w:val="center"/>
          </w:tcPr>
          <w:p>
            <w:pPr>
              <w:pStyle w:val="70"/>
              <w:rPr>
                <w:rFonts w:cs="Times New Roman"/>
              </w:rPr>
            </w:pPr>
            <w:r>
              <w:rPr>
                <w:rFonts w:cs="Times New Roman"/>
              </w:rPr>
              <w:t>V</w:t>
            </w:r>
          </w:p>
        </w:tc>
        <w:tc>
          <w:tcPr>
            <w:tcW w:w="1084" w:type="dxa"/>
            <w:vAlign w:val="center"/>
          </w:tcPr>
          <w:p>
            <w:pPr>
              <w:pStyle w:val="70"/>
              <w:rPr>
                <w:rFonts w:cs="Times New Roman"/>
              </w:rPr>
            </w:pPr>
            <w:r>
              <w:rPr>
                <w:rFonts w:cs="Times New Roman"/>
                <w:color w:val="151515"/>
              </w:rPr>
              <w:t>-</w:t>
            </w:r>
            <w:r>
              <w:rPr>
                <w:rFonts w:cs="Times New Roman"/>
              </w:rPr>
              <w:t>18(0)</w:t>
            </w:r>
          </w:p>
        </w:tc>
        <w:tc>
          <w:tcPr>
            <w:tcW w:w="1299" w:type="dxa"/>
            <w:vAlign w:val="center"/>
          </w:tcPr>
          <w:p>
            <w:pPr>
              <w:pStyle w:val="70"/>
              <w:rPr>
                <w:rFonts w:cs="Times New Roman"/>
              </w:rPr>
            </w:pPr>
            <w:r>
              <w:rPr>
                <w:rFonts w:cs="Times New Roman"/>
              </w:rPr>
              <w:t>-</w:t>
            </w:r>
          </w:p>
        </w:tc>
        <w:tc>
          <w:tcPr>
            <w:tcW w:w="1682" w:type="dxa"/>
            <w:vAlign w:val="center"/>
          </w:tcPr>
          <w:p>
            <w:pPr>
              <w:pStyle w:val="70"/>
              <w:rPr>
                <w:rFonts w:cs="Times New Roman"/>
              </w:rPr>
            </w:pPr>
            <w:r>
              <w:rPr>
                <w:rFonts w:cs="Times New Roman"/>
              </w:rPr>
              <w:t>20(15)</w:t>
            </w:r>
          </w:p>
        </w:tc>
        <w:tc>
          <w:tcPr>
            <w:tcW w:w="1769" w:type="dxa"/>
            <w:vAlign w:val="center"/>
          </w:tcPr>
          <w:p>
            <w:pPr>
              <w:pStyle w:val="70"/>
              <w:rPr>
                <w:rFonts w:cs="Times New Roman"/>
              </w:rPr>
            </w:pPr>
            <w:r>
              <w:rPr>
                <w:rFonts w:cs="Times New Roman"/>
              </w:rPr>
              <w:t>-</w:t>
            </w:r>
          </w:p>
        </w:tc>
        <w:tc>
          <w:tcPr>
            <w:tcW w:w="1693" w:type="dxa"/>
            <w:vAlign w:val="center"/>
          </w:tcPr>
          <w:p>
            <w:pPr>
              <w:pStyle w:val="70"/>
              <w:rPr>
                <w:rFonts w:cs="Times New Roman"/>
              </w:rPr>
            </w:pPr>
            <w:r>
              <w:rPr>
                <w:rFonts w:cs="Times New Roman"/>
                <w:color w:val="2A2A2A"/>
              </w:rPr>
              <w:t>27</w:t>
            </w: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exact"/>
        </w:trPr>
        <w:tc>
          <w:tcPr>
            <w:tcW w:w="8252" w:type="dxa"/>
            <w:gridSpan w:val="6"/>
            <w:vAlign w:val="center"/>
          </w:tcPr>
          <w:p>
            <w:pPr>
              <w:pStyle w:val="70"/>
              <w:jc w:val="left"/>
              <w:rPr>
                <w:rFonts w:cs="Times New Roman"/>
                <w:color w:val="2A2A2A"/>
              </w:rPr>
            </w:pPr>
            <w:r>
              <w:rPr>
                <w:rFonts w:hint="eastAsia" w:cs="Times New Roman"/>
                <w:color w:val="2A2A2A"/>
              </w:rPr>
              <w:t>注：</w:t>
            </w:r>
          </w:p>
          <w:p>
            <w:pPr>
              <w:pStyle w:val="70"/>
              <w:jc w:val="left"/>
              <w:rPr>
                <w:rFonts w:cs="Times New Roman"/>
                <w:color w:val="2A2A2A"/>
              </w:rPr>
            </w:pPr>
            <w:r>
              <w:rPr>
                <w:rFonts w:hint="eastAsia" w:cs="Times New Roman"/>
                <w:color w:val="2A2A2A"/>
              </w:rPr>
              <w:t>1、本表所述冲击实验为标准式样（10 mm×10 mm）进行夏比V型缺口冲击实验时的冲击功要求；</w:t>
            </w:r>
          </w:p>
          <w:p>
            <w:pPr>
              <w:pStyle w:val="70"/>
              <w:jc w:val="left"/>
              <w:rPr>
                <w:rFonts w:cs="Times New Roman"/>
                <w:color w:val="2A2A2A"/>
              </w:rPr>
            </w:pPr>
            <w:r>
              <w:rPr>
                <w:rFonts w:hint="eastAsia" w:cs="Times New Roman"/>
                <w:color w:val="2A2A2A"/>
              </w:rPr>
              <w:t>2、允许采用ISO10423规定的小式样进行夏比V型缺口冲击实验，但需按照ISO10423要求进行修正。</w:t>
            </w:r>
          </w:p>
        </w:tc>
      </w:tr>
    </w:tbl>
    <w:p>
      <w:pPr>
        <w:pStyle w:val="41"/>
      </w:pPr>
      <w:r>
        <w:rPr>
          <w:rFonts w:hint="eastAsia"/>
        </w:rPr>
        <w:t>材料的熔炼、铸造及锻造</w:t>
      </w:r>
    </w:p>
    <w:p>
      <w:pPr>
        <w:ind w:firstLine="420"/>
        <w:rPr>
          <w:b/>
        </w:rPr>
      </w:pPr>
      <w:r>
        <w:rPr>
          <w:rFonts w:hint="eastAsia"/>
        </w:rPr>
        <w:t>材料的熔炼、铸造、锻造工艺过程符合ISO10423要求。</w:t>
      </w:r>
    </w:p>
    <w:p>
      <w:pPr>
        <w:pStyle w:val="41"/>
      </w:pPr>
      <w:r>
        <w:t>热处理</w:t>
      </w:r>
    </w:p>
    <w:p>
      <w:pPr>
        <w:ind w:firstLine="420"/>
        <w:rPr>
          <w:b/>
        </w:rPr>
      </w:pPr>
      <w:r>
        <w:rPr>
          <w:rFonts w:hint="eastAsia"/>
        </w:rPr>
        <w:t>热处理设备及检定、温度</w:t>
      </w:r>
      <w:r>
        <w:t>试验</w:t>
      </w:r>
      <w:r>
        <w:rPr>
          <w:rFonts w:hint="eastAsia"/>
        </w:rPr>
        <w:t>要求、淬火冷却介质使用符合ISO10423要求。</w:t>
      </w:r>
    </w:p>
    <w:p>
      <w:pPr>
        <w:pStyle w:val="41"/>
      </w:pPr>
      <w:r>
        <w:rPr>
          <w:rFonts w:hint="eastAsia"/>
        </w:rPr>
        <w:t>材料</w:t>
      </w:r>
      <w:r>
        <w:t>化学成分</w:t>
      </w:r>
    </w:p>
    <w:p>
      <w:pPr>
        <w:ind w:firstLine="420"/>
        <w:rPr>
          <w:rFonts w:cs="Times New Roman"/>
        </w:rPr>
      </w:pPr>
      <w:r>
        <w:rPr>
          <w:rFonts w:cs="Times New Roman"/>
        </w:rPr>
        <w:t>制造商应规定材料的化学成分，包括成分偏差。材料成分应按国</w:t>
      </w:r>
      <w:r>
        <w:rPr>
          <w:rFonts w:hint="eastAsia" w:cs="Times New Roman"/>
        </w:rPr>
        <w:t>标</w:t>
      </w:r>
      <w:r>
        <w:rPr>
          <w:rFonts w:cs="Times New Roman"/>
        </w:rPr>
        <w:t>或国际公认标准，以炉次为基础（重熔级材料以重熔锭为基础）确定。</w:t>
      </w:r>
    </w:p>
    <w:p>
      <w:pPr>
        <w:ind w:firstLine="420"/>
        <w:rPr>
          <w:rFonts w:cs="Times New Roman"/>
        </w:rPr>
      </w:pPr>
      <w:r>
        <w:rPr>
          <w:rFonts w:hint="eastAsia" w:cs="Times New Roman"/>
        </w:rPr>
        <w:t>制造本体所要求的碳钢、低合金钢和马氏体不锈钢（沉积硬化型的除外）的元素限制应符合ISO10423要求。</w:t>
      </w:r>
    </w:p>
    <w:p>
      <w:pPr>
        <w:ind w:firstLine="420"/>
        <w:rPr>
          <w:rFonts w:cs="Times New Roman"/>
        </w:rPr>
      </w:pPr>
      <w:r>
        <w:rPr>
          <w:rFonts w:hint="eastAsia" w:cs="Times New Roman"/>
        </w:rPr>
        <w:t>标准材料的偏差范围应符合对应国标或国际公认标准；</w:t>
      </w:r>
      <w:r>
        <w:rPr>
          <w:rFonts w:cs="Times New Roman"/>
        </w:rPr>
        <w:t>如果</w:t>
      </w:r>
      <w:r>
        <w:rPr>
          <w:rFonts w:hint="eastAsia" w:cs="Times New Roman"/>
        </w:rPr>
        <w:t>采用非标准材料</w:t>
      </w:r>
      <w:r>
        <w:rPr>
          <w:rFonts w:cs="Times New Roman"/>
        </w:rPr>
        <w:t>，则</w:t>
      </w:r>
      <w:r>
        <w:rPr>
          <w:rFonts w:hint="eastAsia" w:cs="Times New Roman"/>
        </w:rPr>
        <w:t>偏差</w:t>
      </w:r>
      <w:r>
        <w:rPr>
          <w:rFonts w:cs="Times New Roman"/>
        </w:rPr>
        <w:t>范围应满足</w:t>
      </w:r>
      <w:r>
        <w:rPr>
          <w:rFonts w:hint="eastAsia" w:cs="Times New Roman"/>
        </w:rPr>
        <w:t>ISO10423要求。</w:t>
      </w:r>
    </w:p>
    <w:p>
      <w:pPr>
        <w:pStyle w:val="40"/>
      </w:pPr>
      <w:bookmarkStart w:id="94" w:name="_Toc95911839"/>
      <w:r>
        <w:t>质量鉴定试样</w:t>
      </w:r>
      <w:r>
        <w:rPr>
          <w:rFonts w:hint="eastAsia"/>
        </w:rPr>
        <w:t>（QTC）</w:t>
      </w:r>
    </w:p>
    <w:p>
      <w:pPr>
        <w:pStyle w:val="41"/>
        <w:rPr>
          <w:b w:val="0"/>
        </w:rPr>
      </w:pPr>
      <w:r>
        <w:rPr>
          <w:b w:val="0"/>
        </w:rPr>
        <w:t>质量鉴定试样（QTC）所表示的性能，应能代表其所鉴定生产件组成材料的热加工特性曲线的性能。</w:t>
      </w:r>
    </w:p>
    <w:p>
      <w:pPr>
        <w:pStyle w:val="41"/>
        <w:rPr>
          <w:b w:val="0"/>
        </w:rPr>
      </w:pPr>
      <w:r>
        <w:rPr>
          <w:rFonts w:hint="eastAsia"/>
          <w:b w:val="0"/>
        </w:rPr>
        <w:t>质量鉴定试样制作应符合</w:t>
      </w:r>
      <w:r>
        <w:rPr>
          <w:b w:val="0"/>
        </w:rPr>
        <w:t xml:space="preserve"> ISO 10423</w:t>
      </w:r>
      <w:r>
        <w:rPr>
          <w:rFonts w:hint="eastAsia"/>
          <w:b w:val="0"/>
        </w:rPr>
        <w:t>要求，</w:t>
      </w:r>
      <w:r>
        <w:rPr>
          <w:b w:val="0"/>
        </w:rPr>
        <w:t>质量鉴定试样</w:t>
      </w:r>
      <w:r>
        <w:rPr>
          <w:rFonts w:hint="eastAsia"/>
          <w:b w:val="0"/>
        </w:rPr>
        <w:t>尺寸采用</w:t>
      </w:r>
      <w:r>
        <w:rPr>
          <w:b w:val="0"/>
        </w:rPr>
        <w:t xml:space="preserve"> ISO 10423</w:t>
      </w:r>
      <w:r>
        <w:rPr>
          <w:rFonts w:hint="eastAsia"/>
          <w:b w:val="0"/>
        </w:rPr>
        <w:t>要求的等效圆方法确定。</w:t>
      </w:r>
    </w:p>
    <w:p>
      <w:pPr>
        <w:pStyle w:val="41"/>
        <w:rPr>
          <w:b w:val="0"/>
        </w:rPr>
      </w:pPr>
      <w:r>
        <w:rPr>
          <w:rFonts w:hint="eastAsia"/>
          <w:b w:val="0"/>
        </w:rPr>
        <w:t>质量鉴定试样的熔炼、铸造、锻造、热处理加工方法满足</w:t>
      </w:r>
      <w:r>
        <w:rPr>
          <w:b w:val="0"/>
        </w:rPr>
        <w:t xml:space="preserve"> ISO 10423</w:t>
      </w:r>
      <w:r>
        <w:rPr>
          <w:rFonts w:hint="eastAsia"/>
          <w:b w:val="0"/>
        </w:rPr>
        <w:t>要求。热处理应采用按</w:t>
      </w:r>
      <w:r>
        <w:rPr>
          <w:b w:val="0"/>
        </w:rPr>
        <w:t>ISO 10423</w:t>
      </w:r>
      <w:r>
        <w:rPr>
          <w:rFonts w:hint="eastAsia"/>
          <w:b w:val="0"/>
        </w:rPr>
        <w:t>要求鉴定合格的设备进行。</w:t>
      </w:r>
    </w:p>
    <w:p>
      <w:pPr>
        <w:pStyle w:val="41"/>
        <w:rPr>
          <w:b w:val="0"/>
        </w:rPr>
      </w:pPr>
      <w:r>
        <w:rPr>
          <w:rFonts w:hint="eastAsia"/>
          <w:b w:val="0"/>
        </w:rPr>
        <w:t>除附着焊接外，QTC不允许补焊。</w:t>
      </w:r>
    </w:p>
    <w:p>
      <w:pPr>
        <w:pStyle w:val="41"/>
        <w:rPr>
          <w:rFonts w:cs="Times New Roman"/>
        </w:rPr>
      </w:pPr>
      <w:r>
        <w:rPr>
          <w:rFonts w:cs="Times New Roman"/>
        </w:rPr>
        <w:t>拉伸和冲击</w:t>
      </w:r>
      <w:r>
        <w:rPr>
          <w:rFonts w:hint="eastAsia" w:cs="Times New Roman"/>
        </w:rPr>
        <w:t>试验</w:t>
      </w:r>
    </w:p>
    <w:p>
      <w:pPr>
        <w:ind w:firstLine="420"/>
        <w:rPr>
          <w:rFonts w:cs="Times New Roman"/>
        </w:rPr>
      </w:pPr>
      <w:r>
        <w:rPr>
          <w:rFonts w:cs="Times New Roman"/>
        </w:rPr>
        <w:t>拉伸和冲击试样应从最终热处理后的QTC上切取。</w:t>
      </w:r>
      <w:r>
        <w:rPr>
          <w:rFonts w:hint="eastAsia" w:cs="Times New Roman"/>
        </w:rPr>
        <w:t>切取位置、</w:t>
      </w:r>
      <w:r>
        <w:rPr>
          <w:rFonts w:cs="Times New Roman"/>
        </w:rPr>
        <w:t>试验</w:t>
      </w:r>
      <w:r>
        <w:rPr>
          <w:rFonts w:hint="eastAsia" w:cs="Times New Roman"/>
        </w:rPr>
        <w:t>试样尺寸、</w:t>
      </w:r>
      <w:r>
        <w:rPr>
          <w:rFonts w:cs="Times New Roman"/>
        </w:rPr>
        <w:t>试验</w:t>
      </w:r>
      <w:r>
        <w:rPr>
          <w:rFonts w:hint="eastAsia" w:cs="Times New Roman"/>
        </w:rPr>
        <w:t>方法应满足</w:t>
      </w:r>
      <w:r>
        <w:rPr>
          <w:rFonts w:hint="eastAsia"/>
        </w:rPr>
        <w:t>ISO10423要求。</w:t>
      </w:r>
    </w:p>
    <w:p>
      <w:pPr>
        <w:pStyle w:val="41"/>
        <w:rPr>
          <w:rFonts w:cs="Times New Roman"/>
        </w:rPr>
      </w:pPr>
      <w:r>
        <w:rPr>
          <w:rFonts w:cs="Times New Roman"/>
        </w:rPr>
        <w:t>硬度试验</w:t>
      </w:r>
    </w:p>
    <w:p>
      <w:pPr>
        <w:ind w:firstLine="420"/>
        <w:rPr>
          <w:rFonts w:cs="Times New Roman"/>
        </w:rPr>
      </w:pPr>
      <w:r>
        <w:rPr>
          <w:rFonts w:cs="Times New Roman"/>
        </w:rPr>
        <w:t>在最终热处理后的 QTC 上应至少进行一次洛氏或布氏硬度试验。</w:t>
      </w:r>
    </w:p>
    <w:p>
      <w:pPr>
        <w:ind w:firstLine="420"/>
        <w:rPr>
          <w:rFonts w:cs="Times New Roman"/>
        </w:rPr>
      </w:pPr>
      <w:r>
        <w:rPr>
          <w:rFonts w:cs="Times New Roman"/>
        </w:rPr>
        <w:t>硬度试验前的热处理周期应严格与拉伸和冲击试验试样所经历的热处理周期相同。硬度试验应按 ISO 6506（所有部分）或 ISO 6508（所有部分）或 ASTM E10 或 ASTM E18 规定的程序进行。</w:t>
      </w:r>
    </w:p>
    <w:p>
      <w:pPr>
        <w:pStyle w:val="40"/>
      </w:pPr>
      <w:bookmarkStart w:id="95" w:name="_Ref112322044"/>
      <w:r>
        <w:t>承压件/控压件主体材料</w:t>
      </w:r>
      <w:bookmarkEnd w:id="95"/>
    </w:p>
    <w:p>
      <w:pPr>
        <w:ind w:firstLine="420"/>
        <w:rPr>
          <w:rFonts w:cs="Times New Roman"/>
        </w:rPr>
      </w:pPr>
      <w:r>
        <w:rPr>
          <w:rFonts w:cs="Times New Roman"/>
        </w:rPr>
        <w:t>本节规定了水下井口承压件/控压件主体锻件性能要求，应满足DNV-RP 0034相关规定。</w:t>
      </w:r>
    </w:p>
    <w:p>
      <w:pPr>
        <w:ind w:firstLine="420"/>
        <w:rPr>
          <w:rFonts w:cs="Times New Roman"/>
        </w:rPr>
      </w:pPr>
      <w:r>
        <w:rPr>
          <w:rFonts w:cs="Times New Roman"/>
        </w:rPr>
        <w:t>MPQ指制造工艺评定，MPQ鉴定试料指进行制造工艺评定时所采用的检定试料，本文件中简称MPQ试料。</w:t>
      </w:r>
    </w:p>
    <w:p>
      <w:pPr>
        <w:ind w:firstLine="420"/>
        <w:rPr>
          <w:rFonts w:cs="Times New Roman"/>
        </w:rPr>
      </w:pPr>
      <w:r>
        <w:rPr>
          <w:rFonts w:cs="Times New Roman"/>
        </w:rPr>
        <w:t>MPS指制造工艺规程，MPS生产试料指生产制造过程中用来进行生产件质量评价的检定试料，本文件中简称MPQ试料</w:t>
      </w:r>
      <w:r>
        <w:rPr>
          <w:rFonts w:hint="eastAsia" w:cs="Times New Roman"/>
        </w:rPr>
        <w:t>，等效于质量鉴定式样（</w:t>
      </w:r>
      <w:r>
        <w:rPr>
          <w:rFonts w:cs="Times New Roman"/>
        </w:rPr>
        <w:t>QTC</w:t>
      </w:r>
      <w:r>
        <w:rPr>
          <w:rFonts w:hint="eastAsia" w:cs="Times New Roman"/>
        </w:rPr>
        <w:t>）</w:t>
      </w:r>
      <w:r>
        <w:rPr>
          <w:rFonts w:cs="Times New Roman"/>
        </w:rPr>
        <w:t>。</w:t>
      </w:r>
    </w:p>
    <w:p>
      <w:pPr>
        <w:pStyle w:val="42"/>
        <w:numPr>
          <w:ilvl w:val="4"/>
          <w:numId w:val="0"/>
        </w:numPr>
        <w:rPr>
          <w:rFonts w:cs="Times New Roman"/>
          <w:w w:val="100"/>
        </w:rPr>
      </w:pPr>
      <w:r>
        <w:rPr>
          <w:rFonts w:hint="eastAsia" w:cs="Times New Roman"/>
          <w:w w:val="100"/>
        </w:rPr>
        <w:t>4.3.4.1</w:t>
      </w:r>
      <w:r>
        <w:rPr>
          <w:rFonts w:cs="Times New Roman"/>
          <w:w w:val="100"/>
        </w:rPr>
        <w:t>化学成分</w:t>
      </w:r>
    </w:p>
    <w:p>
      <w:pPr>
        <w:ind w:firstLine="420"/>
        <w:rPr>
          <w:rFonts w:cs="Times New Roman"/>
        </w:rPr>
      </w:pPr>
      <w:r>
        <w:rPr>
          <w:rFonts w:cs="Times New Roman"/>
        </w:rPr>
        <w:t>应对每个熔炼炉进行熔炼成分分析，若材料为电渣重熔或真空电弧炉重熔，应对每个重熔炉进行熔炼成分分析。成品检测要求每个熔炼炉检测一次，成品检测的偏差和取样要求满足ASTM A788的要求，N、H、O不需要进行成品检测。按照ASTM A751进行熔炼成分检测和成品检测检测。</w:t>
      </w:r>
    </w:p>
    <w:p>
      <w:pPr>
        <w:pStyle w:val="42"/>
        <w:numPr>
          <w:ilvl w:val="4"/>
          <w:numId w:val="0"/>
        </w:numPr>
        <w:rPr>
          <w:rFonts w:cs="Times New Roman"/>
          <w:w w:val="100"/>
        </w:rPr>
      </w:pPr>
      <w:r>
        <w:rPr>
          <w:rFonts w:hint="eastAsia" w:cs="Times New Roman"/>
          <w:w w:val="100"/>
        </w:rPr>
        <w:t>4.3.4.2</w:t>
      </w:r>
      <w:r>
        <w:rPr>
          <w:rFonts w:cs="Times New Roman"/>
          <w:w w:val="100"/>
        </w:rPr>
        <w:t>冶炼</w:t>
      </w:r>
    </w:p>
    <w:p>
      <w:pPr>
        <w:ind w:firstLine="420"/>
        <w:rPr>
          <w:rFonts w:cs="Times New Roman"/>
        </w:rPr>
      </w:pPr>
      <w:r>
        <w:rPr>
          <w:rFonts w:cs="Times New Roman"/>
        </w:rPr>
        <w:t>钢材的冶炼方式应采用电弧炉（EAF）+钢包精炼（LF）+真空脱气（VD或者VOD）。也允许进行电渣重熔（ESR）或真空电弧炉重熔（VAR）。</w:t>
      </w:r>
    </w:p>
    <w:p>
      <w:pPr>
        <w:ind w:firstLine="420"/>
        <w:rPr>
          <w:rFonts w:cs="Times New Roman"/>
        </w:rPr>
      </w:pPr>
      <w:r>
        <w:rPr>
          <w:rFonts w:cs="Times New Roman"/>
        </w:rPr>
        <w:t>钢材应为镇静钢，在冶炼过程中，应添加晶粒细化元素（如Nb、V或Ti）对钢进行晶粒细化。当使用Ca处理时，Ca≤0.005%。</w:t>
      </w:r>
    </w:p>
    <w:p>
      <w:pPr>
        <w:ind w:firstLine="420"/>
        <w:rPr>
          <w:rFonts w:cs="Times New Roman"/>
        </w:rPr>
      </w:pPr>
      <w:r>
        <w:rPr>
          <w:rFonts w:cs="Times New Roman"/>
        </w:rPr>
        <w:t>钢水凝固成型方法：采用下铸法、真空浇铸（上铸）或连铸。足够的切头去尾量，以保证后续锻件中无缩孔和有害偏析。对影响锻件质量的钢锭表面和皮下的有害缺陷应当予以清除。且不得对钢锭、初轧钢坯或钢坯进行焊接修复。</w:t>
      </w:r>
    </w:p>
    <w:p>
      <w:pPr>
        <w:pStyle w:val="42"/>
        <w:numPr>
          <w:ilvl w:val="4"/>
          <w:numId w:val="0"/>
        </w:numPr>
        <w:rPr>
          <w:rFonts w:cs="Times New Roman"/>
          <w:w w:val="100"/>
        </w:rPr>
      </w:pPr>
      <w:r>
        <w:rPr>
          <w:rFonts w:hint="eastAsia" w:cs="Times New Roman"/>
          <w:w w:val="100"/>
        </w:rPr>
        <w:t>4.3.4.3</w:t>
      </w:r>
      <w:r>
        <w:rPr>
          <w:rFonts w:cs="Times New Roman"/>
          <w:w w:val="100"/>
        </w:rPr>
        <w:t>锻造</w:t>
      </w:r>
    </w:p>
    <w:p>
      <w:pPr>
        <w:ind w:firstLine="420"/>
        <w:rPr>
          <w:rFonts w:cs="Times New Roman"/>
        </w:rPr>
      </w:pPr>
      <w:r>
        <w:rPr>
          <w:rFonts w:cs="Times New Roman"/>
        </w:rPr>
        <w:t>锻件应采用自由锻、模锻或环形轧制方法之一，所有锻件锻造比≥5：1。</w:t>
      </w:r>
    </w:p>
    <w:p>
      <w:pPr>
        <w:ind w:firstLine="420"/>
        <w:rPr>
          <w:rFonts w:cs="Times New Roman"/>
        </w:rPr>
      </w:pPr>
      <w:r>
        <w:rPr>
          <w:rFonts w:cs="Times New Roman"/>
        </w:rPr>
        <w:t>锻造过程中，应使用测温装置监测工件温度。</w:t>
      </w:r>
    </w:p>
    <w:p>
      <w:pPr>
        <w:ind w:firstLine="420"/>
        <w:rPr>
          <w:rFonts w:cs="Times New Roman"/>
        </w:rPr>
      </w:pPr>
      <w:r>
        <w:rPr>
          <w:rFonts w:cs="Times New Roman"/>
        </w:rPr>
        <w:t>锻件不允许补焊。</w:t>
      </w:r>
    </w:p>
    <w:p>
      <w:pPr>
        <w:pStyle w:val="42"/>
        <w:numPr>
          <w:ilvl w:val="4"/>
          <w:numId w:val="0"/>
        </w:numPr>
        <w:rPr>
          <w:rFonts w:cs="Times New Roman"/>
          <w:w w:val="100"/>
        </w:rPr>
      </w:pPr>
      <w:r>
        <w:rPr>
          <w:rFonts w:hint="eastAsia" w:cs="Times New Roman"/>
          <w:w w:val="100"/>
        </w:rPr>
        <w:t>4.3.4.4</w:t>
      </w:r>
      <w:r>
        <w:rPr>
          <w:rFonts w:cs="Times New Roman"/>
          <w:w w:val="100"/>
        </w:rPr>
        <w:t>热处理</w:t>
      </w:r>
    </w:p>
    <w:p>
      <w:pPr>
        <w:ind w:firstLine="420"/>
        <w:rPr>
          <w:rFonts w:cs="Times New Roman"/>
        </w:rPr>
      </w:pPr>
      <w:r>
        <w:rPr>
          <w:rFonts w:cs="Times New Roman"/>
        </w:rPr>
        <w:t>所有锻件应进行奥氏体化、淬火、回火热处理，并保证在热处理之前，通过锻造或者锻造+机加工的方式，使得锻件尽可能接近成品形状和尺寸。</w:t>
      </w:r>
    </w:p>
    <w:p>
      <w:pPr>
        <w:ind w:firstLine="420"/>
        <w:rPr>
          <w:rFonts w:cs="Times New Roman"/>
        </w:rPr>
      </w:pPr>
      <w:r>
        <w:rPr>
          <w:rFonts w:cs="Times New Roman"/>
        </w:rPr>
        <w:t>用于奥氏体化和正火的热处理炉均匀性应≤±14</w:t>
      </w:r>
      <w:r>
        <w:rPr>
          <w:rFonts w:hint="eastAsia" w:ascii="宋体" w:hAnsi="宋体" w:cs="宋体"/>
        </w:rPr>
        <w:t>℃</w:t>
      </w:r>
      <w:r>
        <w:rPr>
          <w:rFonts w:cs="Times New Roman"/>
        </w:rPr>
        <w:t>；用于回火或消除应力的热处理炉均匀性应≤±8</w:t>
      </w:r>
      <w:r>
        <w:rPr>
          <w:rFonts w:hint="eastAsia" w:ascii="宋体" w:hAnsi="宋体" w:cs="宋体"/>
        </w:rPr>
        <w:t>℃</w:t>
      </w:r>
      <w:r>
        <w:rPr>
          <w:rFonts w:cs="Times New Roman"/>
        </w:rPr>
        <w:t>，炉温均匀性应在MPQ试料、锻件、QTC生产前的1年内进行检测。</w:t>
      </w:r>
    </w:p>
    <w:p>
      <w:pPr>
        <w:ind w:firstLine="420"/>
        <w:rPr>
          <w:rFonts w:cs="Times New Roman"/>
        </w:rPr>
      </w:pPr>
      <w:r>
        <w:rPr>
          <w:rFonts w:cs="Times New Roman"/>
        </w:rPr>
        <w:t>热处理设备应使用自动控制和记录仪表。温度控制和记录仪表，精度要求至少为仪表满量程的±1%，应至少每三个月校准一次。用作校准生产设备仪表的校准仪表，精度要求满量程的±0.25%。</w:t>
      </w:r>
    </w:p>
    <w:p>
      <w:pPr>
        <w:ind w:firstLine="420"/>
        <w:rPr>
          <w:rFonts w:cs="Times New Roman"/>
        </w:rPr>
      </w:pPr>
      <w:r>
        <w:rPr>
          <w:rFonts w:cs="Times New Roman"/>
        </w:rPr>
        <w:t>锻件热处理装炉相互间距不小于30mm；工件从出炉至淬火槽的转运时间不得超过90s；淬火后出淬火槽的工件表面温度不高于204</w:t>
      </w:r>
      <w:r>
        <w:rPr>
          <w:rFonts w:hint="eastAsia" w:ascii="宋体" w:hAnsi="宋体" w:cs="宋体"/>
        </w:rPr>
        <w:t>℃</w:t>
      </w:r>
      <w:r>
        <w:rPr>
          <w:rFonts w:cs="Times New Roman"/>
        </w:rPr>
        <w:t>。</w:t>
      </w:r>
    </w:p>
    <w:p>
      <w:pPr>
        <w:ind w:firstLine="420"/>
        <w:rPr>
          <w:rFonts w:cs="Times New Roman"/>
        </w:rPr>
      </w:pPr>
      <w:r>
        <w:rPr>
          <w:rFonts w:cs="Times New Roman"/>
        </w:rPr>
        <w:t>若锻件采用水或接近水冷却速度的淬火介质，初始淬火温度不应超过38</w:t>
      </w:r>
      <w:r>
        <w:rPr>
          <w:rFonts w:hint="eastAsia" w:ascii="宋体" w:hAnsi="宋体" w:cs="宋体"/>
        </w:rPr>
        <w:t>℃</w:t>
      </w:r>
      <w:r>
        <w:rPr>
          <w:rFonts w:cs="Times New Roman"/>
        </w:rPr>
        <w:t>，且整个淬火过程中介质温度不应超过49</w:t>
      </w:r>
      <w:r>
        <w:rPr>
          <w:rFonts w:hint="eastAsia" w:ascii="宋体" w:hAnsi="宋体" w:cs="宋体"/>
        </w:rPr>
        <w:t>℃</w:t>
      </w:r>
      <w:r>
        <w:rPr>
          <w:rFonts w:cs="Times New Roman"/>
        </w:rPr>
        <w:t>；若锻件采用聚合物作为淬火介质，使用温度范围应符合锻件供方的书面规范。</w:t>
      </w:r>
    </w:p>
    <w:p>
      <w:pPr>
        <w:pStyle w:val="42"/>
        <w:numPr>
          <w:ilvl w:val="4"/>
          <w:numId w:val="0"/>
        </w:numPr>
        <w:rPr>
          <w:rFonts w:cs="Times New Roman"/>
          <w:w w:val="100"/>
        </w:rPr>
      </w:pPr>
      <w:r>
        <w:rPr>
          <w:rFonts w:hint="eastAsia" w:cs="Times New Roman"/>
          <w:w w:val="100"/>
        </w:rPr>
        <w:t>4.3.4.5</w:t>
      </w:r>
      <w:r>
        <w:rPr>
          <w:rFonts w:cs="Times New Roman"/>
          <w:w w:val="100"/>
        </w:rPr>
        <w:t>机械性能</w:t>
      </w:r>
    </w:p>
    <w:p>
      <w:pPr>
        <w:pStyle w:val="45"/>
        <w:numPr>
          <w:ilvl w:val="0"/>
          <w:numId w:val="6"/>
        </w:numPr>
        <w:ind w:firstLineChars="0"/>
        <w:rPr>
          <w:rFonts w:cs="Times New Roman"/>
        </w:rPr>
      </w:pPr>
      <w:r>
        <w:rPr>
          <w:rFonts w:cs="Times New Roman"/>
        </w:rPr>
        <w:t>MPQ试料与MPS试料</w:t>
      </w:r>
    </w:p>
    <w:p>
      <w:pPr>
        <w:ind w:firstLine="420"/>
        <w:rPr>
          <w:rFonts w:cs="Times New Roman"/>
        </w:rPr>
      </w:pPr>
      <w:r>
        <w:rPr>
          <w:rFonts w:cs="Times New Roman"/>
        </w:rPr>
        <w:t>MPQ鉴定试料应采用具有代表性的本体牺牲件（带本体加长），其代表的锻件应为相同材料牌号、相同锻造与热处理工艺、相近几何形状和质量，且锻造比不得大于所代表的锻件（生产件）的锻造比。</w:t>
      </w:r>
    </w:p>
    <w:p>
      <w:pPr>
        <w:ind w:firstLine="420"/>
        <w:rPr>
          <w:rFonts w:cs="Times New Roman"/>
        </w:rPr>
      </w:pPr>
      <w:r>
        <w:rPr>
          <w:rFonts w:cs="Times New Roman"/>
        </w:rPr>
        <w:t>MPS试料应采用本体加长件，与所代表锻件应为同一牌号、同一冶炼炉号、同一锻造工艺、同一热处理炉批，且MPS试料的延长段截面厚度不得小于设计规定的关键截面厚度。</w:t>
      </w:r>
    </w:p>
    <w:p>
      <w:pPr>
        <w:pStyle w:val="45"/>
        <w:numPr>
          <w:ilvl w:val="0"/>
          <w:numId w:val="6"/>
        </w:numPr>
        <w:ind w:firstLineChars="0"/>
        <w:rPr>
          <w:rFonts w:cs="Times New Roman"/>
        </w:rPr>
      </w:pPr>
      <w:r>
        <w:rPr>
          <w:rFonts w:cs="Times New Roman"/>
        </w:rPr>
        <w:t>取样与检测要求</w:t>
      </w:r>
    </w:p>
    <w:p>
      <w:pPr>
        <w:ind w:firstLine="420"/>
        <w:rPr>
          <w:rFonts w:cs="Times New Roman"/>
        </w:rPr>
      </w:pPr>
      <w:r>
        <w:rPr>
          <w:rFonts w:cs="Times New Roman"/>
        </w:rPr>
        <w:t>所有试料最终热处理后无损探伤合格，方可进行取样。</w:t>
      </w:r>
    </w:p>
    <w:p>
      <w:pPr>
        <w:ind w:firstLine="420"/>
        <w:rPr>
          <w:rFonts w:cs="Times New Roman"/>
        </w:rPr>
      </w:pPr>
      <w:r>
        <w:rPr>
          <w:rFonts w:cs="Times New Roman"/>
        </w:rPr>
        <w:t>在最终热处理后的MPQ试料、MPS试料或锻件上进行拉伸性能、冲击性能和硬度检测。对于后续加工过程中有焊后热处理的锻件，其MPQ试料和MPS试料应在模拟焊后热处理（SPWHT）之后再次进行拉伸性能、冲击性能和硬度检测。</w:t>
      </w:r>
    </w:p>
    <w:p>
      <w:pPr>
        <w:ind w:firstLine="420"/>
        <w:rPr>
          <w:rFonts w:cs="Times New Roman"/>
        </w:rPr>
      </w:pPr>
      <w:r>
        <w:rPr>
          <w:rFonts w:cs="Times New Roman"/>
        </w:rPr>
        <w:t>在几何形状允许的情况下，应从纵向和横向进行取样。对于环形锻件如圆环和圆盘，应进行纵向和切向试验。对于实心锻件，拉伸试样的标距段和夏比V型缺口的底边距MPQ试料、MPS试料或零件端面的距离应至少为1/2 T。对于空心锻件，拉伸试样的标距段和夏比V型缺口的底边距MPQ试料、MPS试料或零件端面的距离应至少为T。</w:t>
      </w:r>
    </w:p>
    <w:p>
      <w:pPr>
        <w:ind w:firstLine="420"/>
        <w:rPr>
          <w:rFonts w:cs="Times New Roman"/>
        </w:rPr>
      </w:pPr>
      <w:r>
        <w:rPr>
          <w:rFonts w:cs="Times New Roman"/>
        </w:rPr>
        <w:t>MPQ试料的拉伸、冲击取样部位和要求见</w:t>
      </w:r>
      <w:r>
        <w:rPr>
          <w:rFonts w:cs="Times New Roman"/>
        </w:rPr>
        <w:fldChar w:fldCharType="begin"/>
      </w:r>
      <w:r>
        <w:rPr>
          <w:rFonts w:cs="Times New Roman"/>
        </w:rPr>
        <w:instrText xml:space="preserve"> REF _Ref112327431 \h </w:instrText>
      </w:r>
      <w:r>
        <w:rPr>
          <w:rFonts w:cs="Times New Roman"/>
        </w:rPr>
        <w:fldChar w:fldCharType="separate"/>
      </w:r>
      <w:r>
        <w:t>表 8</w:t>
      </w:r>
      <w:r>
        <w:rPr>
          <w:rFonts w:cs="Times New Roman"/>
        </w:rPr>
        <w:fldChar w:fldCharType="end"/>
      </w:r>
      <w:r>
        <w:rPr>
          <w:rFonts w:hint="eastAsia" w:cs="Times New Roman"/>
        </w:rPr>
        <w:t xml:space="preserve"> </w:t>
      </w:r>
      <w:r>
        <w:rPr>
          <w:rFonts w:cs="Times New Roman"/>
        </w:rPr>
        <w:t>。MPS试料的拉伸、冲击取样部位和要求见</w:t>
      </w:r>
      <w:r>
        <w:rPr>
          <w:rFonts w:cs="Times New Roman"/>
        </w:rPr>
        <w:fldChar w:fldCharType="begin"/>
      </w:r>
      <w:r>
        <w:rPr>
          <w:rFonts w:cs="Times New Roman"/>
        </w:rPr>
        <w:instrText xml:space="preserve"> REF _Ref112327441 \h </w:instrText>
      </w:r>
      <w:r>
        <w:rPr>
          <w:rFonts w:cs="Times New Roman"/>
        </w:rPr>
        <w:fldChar w:fldCharType="separate"/>
      </w:r>
      <w:r>
        <w:t>表 9</w:t>
      </w:r>
      <w:r>
        <w:rPr>
          <w:rFonts w:cs="Times New Roman"/>
        </w:rPr>
        <w:fldChar w:fldCharType="end"/>
      </w:r>
      <w:r>
        <w:rPr>
          <w:rFonts w:cs="Times New Roman"/>
        </w:rPr>
        <w:t>。</w:t>
      </w:r>
    </w:p>
    <w:p>
      <w:pPr>
        <w:pStyle w:val="69"/>
      </w:pPr>
      <w:bookmarkStart w:id="96" w:name="_Ref112327431"/>
      <w:bookmarkStart w:id="97" w:name="_Ref112229801"/>
      <w:r>
        <w:t xml:space="preserve">表 </w:t>
      </w:r>
      <w:r>
        <w:fldChar w:fldCharType="begin"/>
      </w:r>
      <w:r>
        <w:instrText xml:space="preserve"> SEQ 表 \* ARABIC </w:instrText>
      </w:r>
      <w:r>
        <w:fldChar w:fldCharType="separate"/>
      </w:r>
      <w:r>
        <w:t>8</w:t>
      </w:r>
      <w:r>
        <w:fldChar w:fldCharType="end"/>
      </w:r>
      <w:bookmarkEnd w:id="96"/>
      <w:r>
        <w:t xml:space="preserve"> MPQ试料拉伸试样和冲击试样的取样位置</w:t>
      </w:r>
      <w:bookmarkEnd w:id="97"/>
    </w:p>
    <w:tbl>
      <w:tblPr>
        <w:tblStyle w:val="26"/>
        <w:tblW w:w="8514" w:type="dxa"/>
        <w:jc w:val="center"/>
        <w:tblLayout w:type="fixed"/>
        <w:tblCellMar>
          <w:top w:w="0" w:type="dxa"/>
          <w:left w:w="108" w:type="dxa"/>
          <w:bottom w:w="0" w:type="dxa"/>
          <w:right w:w="108" w:type="dxa"/>
        </w:tblCellMar>
      </w:tblPr>
      <w:tblGrid>
        <w:gridCol w:w="3438"/>
        <w:gridCol w:w="5076"/>
      </w:tblGrid>
      <w:tr>
        <w:tblPrEx>
          <w:tblCellMar>
            <w:top w:w="0" w:type="dxa"/>
            <w:left w:w="108" w:type="dxa"/>
            <w:bottom w:w="0" w:type="dxa"/>
            <w:right w:w="108" w:type="dxa"/>
          </w:tblCellMar>
        </w:tblPrEx>
        <w:trPr>
          <w:trHeight w:val="699" w:hRule="atLeast"/>
          <w:jc w:val="center"/>
        </w:trPr>
        <w:tc>
          <w:tcPr>
            <w:tcW w:w="3438" w:type="dxa"/>
            <w:tcBorders>
              <w:top w:val="single" w:color="000000" w:sz="4" w:space="0"/>
              <w:left w:val="single" w:color="000000" w:sz="4" w:space="0"/>
              <w:bottom w:val="single" w:color="000000" w:sz="4" w:space="0"/>
              <w:right w:val="single" w:color="000000" w:sz="4" w:space="0"/>
            </w:tcBorders>
            <w:vAlign w:val="center"/>
          </w:tcPr>
          <w:p>
            <w:pPr>
              <w:pStyle w:val="70"/>
              <w:rPr>
                <w:rFonts w:cs="Times New Roman"/>
              </w:rPr>
            </w:pPr>
            <w:r>
              <w:rPr>
                <w:rFonts w:cs="Times New Roman"/>
              </w:rPr>
              <w:t>延长件或牺牲件的关键部分</w:t>
            </w:r>
            <w:r>
              <w:rPr>
                <w:rFonts w:hint="eastAsia" w:cs="Times New Roman"/>
                <w:vertAlign w:val="superscript"/>
              </w:rPr>
              <w:t>a,c</w:t>
            </w:r>
          </w:p>
        </w:tc>
        <w:tc>
          <w:tcPr>
            <w:tcW w:w="5076" w:type="dxa"/>
            <w:tcBorders>
              <w:top w:val="single" w:color="000000" w:sz="4" w:space="0"/>
              <w:left w:val="nil"/>
              <w:bottom w:val="single" w:color="000000" w:sz="4" w:space="0"/>
              <w:right w:val="single" w:color="000000" w:sz="4" w:space="0"/>
            </w:tcBorders>
            <w:vAlign w:val="center"/>
          </w:tcPr>
          <w:p>
            <w:pPr>
              <w:pStyle w:val="70"/>
              <w:rPr>
                <w:rFonts w:cs="Times New Roman"/>
              </w:rPr>
            </w:pPr>
            <w:r>
              <w:rPr>
                <w:rFonts w:cs="Times New Roman"/>
              </w:rPr>
              <w:t>牺牲件的最厚部分</w:t>
            </w:r>
            <w:r>
              <w:rPr>
                <w:rFonts w:hint="eastAsia"/>
                <w:vertAlign w:val="superscript"/>
              </w:rPr>
              <w:t>b,c</w:t>
            </w:r>
          </w:p>
        </w:tc>
      </w:tr>
      <w:tr>
        <w:tblPrEx>
          <w:tblCellMar>
            <w:top w:w="0" w:type="dxa"/>
            <w:left w:w="108" w:type="dxa"/>
            <w:bottom w:w="0" w:type="dxa"/>
            <w:right w:w="108" w:type="dxa"/>
          </w:tblCellMar>
        </w:tblPrEx>
        <w:trPr>
          <w:trHeight w:val="621" w:hRule="atLeast"/>
          <w:jc w:val="center"/>
        </w:trPr>
        <w:tc>
          <w:tcPr>
            <w:tcW w:w="8514" w:type="dxa"/>
            <w:gridSpan w:val="2"/>
            <w:tcBorders>
              <w:top w:val="single" w:color="000000" w:sz="4" w:space="0"/>
              <w:left w:val="single" w:color="000000" w:sz="4" w:space="0"/>
              <w:bottom w:val="single" w:color="000000" w:sz="4" w:space="0"/>
              <w:right w:val="single" w:color="000000" w:sz="4" w:space="0"/>
            </w:tcBorders>
            <w:vAlign w:val="center"/>
          </w:tcPr>
          <w:p>
            <w:pPr>
              <w:pStyle w:val="70"/>
              <w:rPr>
                <w:rFonts w:cs="Times New Roman"/>
              </w:rPr>
            </w:pPr>
            <w:r>
              <w:rPr>
                <w:rFonts w:cs="Times New Roman"/>
              </w:rPr>
              <w:t>热处理时为空心的锻件</w:t>
            </w:r>
          </w:p>
        </w:tc>
      </w:tr>
      <w:tr>
        <w:tblPrEx>
          <w:tblCellMar>
            <w:top w:w="0" w:type="dxa"/>
            <w:left w:w="108" w:type="dxa"/>
            <w:bottom w:w="0" w:type="dxa"/>
            <w:right w:w="108" w:type="dxa"/>
          </w:tblCellMar>
        </w:tblPrEx>
        <w:trPr>
          <w:trHeight w:val="285" w:hRule="atLeast"/>
          <w:jc w:val="center"/>
        </w:trPr>
        <w:tc>
          <w:tcPr>
            <w:tcW w:w="3438" w:type="dxa"/>
            <w:vMerge w:val="restart"/>
            <w:tcBorders>
              <w:top w:val="nil"/>
              <w:left w:val="single" w:color="000000" w:sz="4" w:space="0"/>
              <w:bottom w:val="single" w:color="000000" w:sz="4" w:space="0"/>
              <w:right w:val="single" w:color="000000" w:sz="4" w:space="0"/>
            </w:tcBorders>
            <w:vAlign w:val="center"/>
          </w:tcPr>
          <w:p>
            <w:pPr>
              <w:pStyle w:val="70"/>
              <w:jc w:val="left"/>
              <w:rPr>
                <w:rFonts w:cs="Times New Roman"/>
              </w:rPr>
            </w:pPr>
            <w:r>
              <w:rPr>
                <w:rFonts w:cs="Times New Roman"/>
              </w:rPr>
              <w:t>T≤100mm(4in)在1/2T处取样</w:t>
            </w:r>
          </w:p>
        </w:tc>
        <w:tc>
          <w:tcPr>
            <w:tcW w:w="5076" w:type="dxa"/>
            <w:tcBorders>
              <w:top w:val="single" w:color="000000" w:sz="4" w:space="0"/>
              <w:left w:val="nil"/>
              <w:bottom w:val="single" w:color="000000" w:sz="4" w:space="0"/>
              <w:right w:val="single" w:color="000000" w:sz="4" w:space="0"/>
            </w:tcBorders>
            <w:vAlign w:val="center"/>
          </w:tcPr>
          <w:p>
            <w:pPr>
              <w:pStyle w:val="70"/>
              <w:jc w:val="left"/>
              <w:rPr>
                <w:rFonts w:cs="Times New Roman"/>
              </w:rPr>
            </w:pPr>
            <w:r>
              <w:rPr>
                <w:rFonts w:cs="Times New Roman"/>
              </w:rPr>
              <w:t>Tth≤100mm (4 in)： 在1/2Tth处取样</w:t>
            </w:r>
          </w:p>
        </w:tc>
      </w:tr>
      <w:tr>
        <w:tblPrEx>
          <w:tblCellMar>
            <w:top w:w="0" w:type="dxa"/>
            <w:left w:w="108" w:type="dxa"/>
            <w:bottom w:w="0" w:type="dxa"/>
            <w:right w:w="108" w:type="dxa"/>
          </w:tblCellMar>
        </w:tblPrEx>
        <w:trPr>
          <w:trHeight w:val="510" w:hRule="atLeast"/>
          <w:jc w:val="center"/>
        </w:trPr>
        <w:tc>
          <w:tcPr>
            <w:tcW w:w="3438" w:type="dxa"/>
            <w:vMerge w:val="continue"/>
            <w:tcBorders>
              <w:top w:val="nil"/>
              <w:left w:val="single" w:color="000000" w:sz="4" w:space="0"/>
              <w:bottom w:val="single" w:color="000000" w:sz="4" w:space="0"/>
              <w:right w:val="single" w:color="000000" w:sz="4" w:space="0"/>
            </w:tcBorders>
            <w:vAlign w:val="center"/>
          </w:tcPr>
          <w:p>
            <w:pPr>
              <w:pStyle w:val="70"/>
              <w:jc w:val="left"/>
              <w:rPr>
                <w:rFonts w:cs="Times New Roman"/>
              </w:rPr>
            </w:pPr>
          </w:p>
        </w:tc>
        <w:tc>
          <w:tcPr>
            <w:tcW w:w="5076" w:type="dxa"/>
            <w:tcBorders>
              <w:top w:val="single" w:color="000000" w:sz="4" w:space="0"/>
              <w:left w:val="nil"/>
              <w:bottom w:val="single" w:color="000000" w:sz="4" w:space="0"/>
              <w:right w:val="single" w:color="000000" w:sz="4" w:space="0"/>
            </w:tcBorders>
            <w:vAlign w:val="center"/>
          </w:tcPr>
          <w:p>
            <w:pPr>
              <w:pStyle w:val="70"/>
              <w:jc w:val="left"/>
              <w:rPr>
                <w:rFonts w:cs="Times New Roman"/>
              </w:rPr>
            </w:pPr>
            <w:r>
              <w:rPr>
                <w:rFonts w:cs="Times New Roman"/>
              </w:rPr>
              <w:t>100mm(4 in)＜Tth≤150 mm (6in)：</w:t>
            </w:r>
          </w:p>
          <w:p>
            <w:pPr>
              <w:pStyle w:val="70"/>
              <w:jc w:val="left"/>
              <w:rPr>
                <w:rFonts w:cs="Times New Roman"/>
              </w:rPr>
            </w:pPr>
            <w:r>
              <w:rPr>
                <w:rFonts w:cs="Times New Roman"/>
              </w:rPr>
              <w:t>在1/4Tth,1/2Tth和3/4Tth处取样</w:t>
            </w:r>
          </w:p>
        </w:tc>
      </w:tr>
      <w:tr>
        <w:tblPrEx>
          <w:tblCellMar>
            <w:top w:w="0" w:type="dxa"/>
            <w:left w:w="108" w:type="dxa"/>
            <w:bottom w:w="0" w:type="dxa"/>
            <w:right w:w="108" w:type="dxa"/>
          </w:tblCellMar>
        </w:tblPrEx>
        <w:trPr>
          <w:trHeight w:val="1274" w:hRule="atLeast"/>
          <w:jc w:val="center"/>
        </w:trPr>
        <w:tc>
          <w:tcPr>
            <w:tcW w:w="3438" w:type="dxa"/>
            <w:tcBorders>
              <w:top w:val="single" w:color="000000" w:sz="4" w:space="0"/>
              <w:left w:val="single" w:color="000000" w:sz="4" w:space="0"/>
              <w:bottom w:val="single" w:color="000000" w:sz="4" w:space="0"/>
              <w:right w:val="single" w:color="000000" w:sz="4" w:space="0"/>
            </w:tcBorders>
            <w:vAlign w:val="center"/>
          </w:tcPr>
          <w:p>
            <w:pPr>
              <w:pStyle w:val="70"/>
              <w:jc w:val="left"/>
              <w:rPr>
                <w:rFonts w:cs="Times New Roman"/>
              </w:rPr>
            </w:pPr>
            <w:r>
              <w:rPr>
                <w:rFonts w:cs="Times New Roman"/>
              </w:rPr>
              <w:t>T&gt;100mm(4in)：在1/4T, 1/2T和3/4T处取样</w:t>
            </w:r>
          </w:p>
        </w:tc>
        <w:tc>
          <w:tcPr>
            <w:tcW w:w="5076" w:type="dxa"/>
            <w:tcBorders>
              <w:top w:val="single" w:color="000000" w:sz="4" w:space="0"/>
              <w:left w:val="nil"/>
              <w:bottom w:val="single" w:color="000000" w:sz="4" w:space="0"/>
              <w:right w:val="single" w:color="000000" w:sz="4" w:space="0"/>
            </w:tcBorders>
            <w:vAlign w:val="center"/>
          </w:tcPr>
          <w:p>
            <w:pPr>
              <w:pStyle w:val="70"/>
              <w:jc w:val="left"/>
              <w:rPr>
                <w:rFonts w:cs="Times New Roman"/>
              </w:rPr>
            </w:pPr>
            <w:r>
              <w:rPr>
                <w:rFonts w:cs="Times New Roman"/>
              </w:rPr>
              <w:t>Tth&gt;150mm(6in)时：</w:t>
            </w:r>
          </w:p>
          <w:p>
            <w:pPr>
              <w:pStyle w:val="70"/>
              <w:jc w:val="left"/>
              <w:rPr>
                <w:rFonts w:cs="Times New Roman"/>
              </w:rPr>
            </w:pPr>
            <w:r>
              <w:rPr>
                <w:rFonts w:hint="eastAsia" w:ascii="宋体" w:hAnsi="宋体" w:cs="宋体"/>
              </w:rPr>
              <w:t>①</w:t>
            </w:r>
            <w:r>
              <w:rPr>
                <w:rFonts w:cs="Times New Roman"/>
              </w:rPr>
              <w:t>在1/4Tth,1/2Tth和3/4Tth处取样；</w:t>
            </w:r>
          </w:p>
          <w:p>
            <w:pPr>
              <w:pStyle w:val="70"/>
              <w:jc w:val="left"/>
              <w:rPr>
                <w:rFonts w:cs="Times New Roman"/>
              </w:rPr>
            </w:pPr>
            <w:r>
              <w:rPr>
                <w:rFonts w:hint="eastAsia" w:ascii="宋体" w:hAnsi="宋体" w:cs="宋体"/>
              </w:rPr>
              <w:t>②</w:t>
            </w:r>
            <w:r>
              <w:rPr>
                <w:rFonts w:cs="Times New Roman"/>
              </w:rPr>
              <w:t>接近外表面，且深度不超过31.75mm处取样；</w:t>
            </w:r>
          </w:p>
          <w:p>
            <w:pPr>
              <w:pStyle w:val="70"/>
              <w:jc w:val="left"/>
              <w:rPr>
                <w:rFonts w:cs="Times New Roman"/>
              </w:rPr>
            </w:pPr>
            <w:r>
              <w:rPr>
                <w:rFonts w:hint="eastAsia" w:ascii="宋体" w:hAnsi="宋体" w:cs="宋体"/>
              </w:rPr>
              <w:t>③</w:t>
            </w:r>
            <w:r>
              <w:rPr>
                <w:rFonts w:cs="Times New Roman"/>
              </w:rPr>
              <w:t>靠近内表面，但深度不超过31.75mm处取样。</w:t>
            </w:r>
          </w:p>
        </w:tc>
      </w:tr>
      <w:tr>
        <w:tblPrEx>
          <w:tblCellMar>
            <w:top w:w="0" w:type="dxa"/>
            <w:left w:w="108" w:type="dxa"/>
            <w:bottom w:w="0" w:type="dxa"/>
            <w:right w:w="108" w:type="dxa"/>
          </w:tblCellMar>
        </w:tblPrEx>
        <w:trPr>
          <w:trHeight w:val="614" w:hRule="atLeast"/>
          <w:jc w:val="center"/>
        </w:trPr>
        <w:tc>
          <w:tcPr>
            <w:tcW w:w="8514" w:type="dxa"/>
            <w:gridSpan w:val="2"/>
            <w:tcBorders>
              <w:top w:val="single" w:color="000000" w:sz="4" w:space="0"/>
              <w:left w:val="single" w:color="000000" w:sz="4" w:space="0"/>
              <w:bottom w:val="single" w:color="000000" w:sz="4" w:space="0"/>
              <w:right w:val="single" w:color="000000" w:sz="4" w:space="0"/>
            </w:tcBorders>
            <w:vAlign w:val="center"/>
          </w:tcPr>
          <w:p>
            <w:pPr>
              <w:pStyle w:val="70"/>
              <w:rPr>
                <w:rFonts w:cs="Times New Roman"/>
              </w:rPr>
            </w:pPr>
            <w:r>
              <w:rPr>
                <w:rFonts w:cs="Times New Roman"/>
              </w:rPr>
              <w:t>热处理时为实心的锻件</w:t>
            </w:r>
          </w:p>
        </w:tc>
      </w:tr>
      <w:tr>
        <w:tblPrEx>
          <w:tblCellMar>
            <w:top w:w="0" w:type="dxa"/>
            <w:left w:w="108" w:type="dxa"/>
            <w:bottom w:w="0" w:type="dxa"/>
            <w:right w:w="108" w:type="dxa"/>
          </w:tblCellMar>
        </w:tblPrEx>
        <w:trPr>
          <w:trHeight w:val="285" w:hRule="atLeast"/>
          <w:jc w:val="center"/>
        </w:trPr>
        <w:tc>
          <w:tcPr>
            <w:tcW w:w="3438" w:type="dxa"/>
            <w:vMerge w:val="restart"/>
            <w:tcBorders>
              <w:top w:val="nil"/>
              <w:left w:val="single" w:color="000000" w:sz="4" w:space="0"/>
              <w:bottom w:val="single" w:color="000000" w:sz="4" w:space="0"/>
              <w:right w:val="single" w:color="000000" w:sz="4" w:space="0"/>
            </w:tcBorders>
            <w:vAlign w:val="center"/>
          </w:tcPr>
          <w:p>
            <w:pPr>
              <w:pStyle w:val="70"/>
              <w:jc w:val="left"/>
              <w:rPr>
                <w:rFonts w:cs="Times New Roman"/>
              </w:rPr>
            </w:pPr>
            <w:r>
              <w:rPr>
                <w:rFonts w:cs="Times New Roman"/>
              </w:rPr>
              <w:t>T≤100mm(4in)：在1/2T处取样</w:t>
            </w:r>
          </w:p>
        </w:tc>
        <w:tc>
          <w:tcPr>
            <w:tcW w:w="5076" w:type="dxa"/>
            <w:tcBorders>
              <w:top w:val="single" w:color="000000" w:sz="4" w:space="0"/>
              <w:left w:val="nil"/>
              <w:bottom w:val="single" w:color="000000" w:sz="4" w:space="0"/>
              <w:right w:val="single" w:color="000000" w:sz="4" w:space="0"/>
            </w:tcBorders>
            <w:vAlign w:val="center"/>
          </w:tcPr>
          <w:p>
            <w:pPr>
              <w:pStyle w:val="70"/>
              <w:jc w:val="left"/>
              <w:rPr>
                <w:rFonts w:cs="Times New Roman"/>
              </w:rPr>
            </w:pPr>
            <w:r>
              <w:rPr>
                <w:rFonts w:cs="Times New Roman"/>
              </w:rPr>
              <w:t>Tth≤100mm(4in)：1/2Tth</w:t>
            </w:r>
          </w:p>
        </w:tc>
      </w:tr>
      <w:tr>
        <w:tblPrEx>
          <w:tblCellMar>
            <w:top w:w="0" w:type="dxa"/>
            <w:left w:w="108" w:type="dxa"/>
            <w:bottom w:w="0" w:type="dxa"/>
            <w:right w:w="108" w:type="dxa"/>
          </w:tblCellMar>
        </w:tblPrEx>
        <w:trPr>
          <w:trHeight w:val="510" w:hRule="atLeast"/>
          <w:jc w:val="center"/>
        </w:trPr>
        <w:tc>
          <w:tcPr>
            <w:tcW w:w="3438" w:type="dxa"/>
            <w:vMerge w:val="continue"/>
            <w:tcBorders>
              <w:top w:val="nil"/>
              <w:left w:val="single" w:color="000000" w:sz="4" w:space="0"/>
              <w:bottom w:val="single" w:color="000000" w:sz="4" w:space="0"/>
              <w:right w:val="single" w:color="000000" w:sz="4" w:space="0"/>
            </w:tcBorders>
            <w:vAlign w:val="center"/>
          </w:tcPr>
          <w:p>
            <w:pPr>
              <w:pStyle w:val="70"/>
              <w:jc w:val="left"/>
              <w:rPr>
                <w:rFonts w:cs="Times New Roman"/>
              </w:rPr>
            </w:pPr>
          </w:p>
        </w:tc>
        <w:tc>
          <w:tcPr>
            <w:tcW w:w="5076" w:type="dxa"/>
            <w:tcBorders>
              <w:top w:val="single" w:color="000000" w:sz="4" w:space="0"/>
              <w:left w:val="nil"/>
              <w:bottom w:val="single" w:color="000000" w:sz="4" w:space="0"/>
              <w:right w:val="single" w:color="000000" w:sz="4" w:space="0"/>
            </w:tcBorders>
            <w:vAlign w:val="center"/>
          </w:tcPr>
          <w:p>
            <w:pPr>
              <w:pStyle w:val="70"/>
              <w:jc w:val="left"/>
              <w:rPr>
                <w:rFonts w:cs="Times New Roman"/>
              </w:rPr>
            </w:pPr>
            <w:r>
              <w:rPr>
                <w:rFonts w:cs="Times New Roman"/>
              </w:rPr>
              <w:t>100mm(4in)＜Tth≤150 mm (6 in)：在1/4Tth和1/2Tth处取样</w:t>
            </w:r>
          </w:p>
        </w:tc>
      </w:tr>
      <w:tr>
        <w:tblPrEx>
          <w:tblCellMar>
            <w:top w:w="0" w:type="dxa"/>
            <w:left w:w="108" w:type="dxa"/>
            <w:bottom w:w="0" w:type="dxa"/>
            <w:right w:w="108" w:type="dxa"/>
          </w:tblCellMar>
        </w:tblPrEx>
        <w:trPr>
          <w:trHeight w:val="510" w:hRule="atLeast"/>
          <w:jc w:val="center"/>
        </w:trPr>
        <w:tc>
          <w:tcPr>
            <w:tcW w:w="3438" w:type="dxa"/>
            <w:tcBorders>
              <w:top w:val="single" w:color="000000" w:sz="4" w:space="0"/>
              <w:left w:val="single" w:color="000000" w:sz="4" w:space="0"/>
              <w:bottom w:val="single" w:color="000000" w:sz="4" w:space="0"/>
              <w:right w:val="single" w:color="000000" w:sz="4" w:space="0"/>
            </w:tcBorders>
            <w:vAlign w:val="center"/>
          </w:tcPr>
          <w:p>
            <w:pPr>
              <w:pStyle w:val="70"/>
              <w:jc w:val="left"/>
              <w:rPr>
                <w:rFonts w:cs="Times New Roman"/>
              </w:rPr>
            </w:pPr>
            <w:r>
              <w:rPr>
                <w:rFonts w:cs="Times New Roman"/>
              </w:rPr>
              <w:t>T&gt;100mm(4in)：在1/4T和1/2T处取样</w:t>
            </w:r>
          </w:p>
        </w:tc>
        <w:tc>
          <w:tcPr>
            <w:tcW w:w="5076" w:type="dxa"/>
            <w:tcBorders>
              <w:top w:val="single" w:color="000000" w:sz="4" w:space="0"/>
              <w:left w:val="nil"/>
              <w:bottom w:val="single" w:color="000000" w:sz="4" w:space="0"/>
              <w:right w:val="single" w:color="000000" w:sz="4" w:space="0"/>
            </w:tcBorders>
            <w:vAlign w:val="center"/>
          </w:tcPr>
          <w:p>
            <w:pPr>
              <w:pStyle w:val="70"/>
              <w:jc w:val="left"/>
              <w:rPr>
                <w:rFonts w:cs="Times New Roman"/>
              </w:rPr>
            </w:pPr>
            <w:r>
              <w:rPr>
                <w:rFonts w:cs="Times New Roman"/>
              </w:rPr>
              <w:t>Tth&gt;150mm(6in)时：</w:t>
            </w:r>
          </w:p>
          <w:p>
            <w:pPr>
              <w:pStyle w:val="70"/>
              <w:jc w:val="left"/>
              <w:rPr>
                <w:rFonts w:cs="Times New Roman"/>
              </w:rPr>
            </w:pPr>
            <w:r>
              <w:rPr>
                <w:rFonts w:hint="eastAsia" w:ascii="宋体" w:hAnsi="宋体" w:cs="宋体"/>
              </w:rPr>
              <w:t>①</w:t>
            </w:r>
            <w:r>
              <w:rPr>
                <w:rFonts w:cs="Times New Roman"/>
              </w:rPr>
              <w:t>在1/4Tth和1/2Tth处取样；</w:t>
            </w:r>
          </w:p>
          <w:p>
            <w:pPr>
              <w:pStyle w:val="70"/>
              <w:jc w:val="left"/>
              <w:rPr>
                <w:rFonts w:cs="Times New Roman"/>
              </w:rPr>
            </w:pPr>
            <w:r>
              <w:rPr>
                <w:rFonts w:hint="eastAsia" w:ascii="宋体" w:hAnsi="宋体" w:cs="宋体"/>
              </w:rPr>
              <w:t>②</w:t>
            </w:r>
            <w:r>
              <w:rPr>
                <w:rFonts w:cs="Times New Roman"/>
              </w:rPr>
              <w:t>接近外表面，且深度不超过31.75mm处取样。</w:t>
            </w:r>
          </w:p>
        </w:tc>
      </w:tr>
      <w:tr>
        <w:tblPrEx>
          <w:tblCellMar>
            <w:top w:w="0" w:type="dxa"/>
            <w:left w:w="108" w:type="dxa"/>
            <w:bottom w:w="0" w:type="dxa"/>
            <w:right w:w="108" w:type="dxa"/>
          </w:tblCellMar>
        </w:tblPrEx>
        <w:trPr>
          <w:trHeight w:val="1135" w:hRule="atLeast"/>
          <w:jc w:val="center"/>
        </w:trPr>
        <w:tc>
          <w:tcPr>
            <w:tcW w:w="8514" w:type="dxa"/>
            <w:gridSpan w:val="2"/>
            <w:tcBorders>
              <w:top w:val="single" w:color="000000" w:sz="4" w:space="0"/>
              <w:left w:val="single" w:color="000000" w:sz="4" w:space="0"/>
              <w:bottom w:val="single" w:color="000000" w:sz="4" w:space="0"/>
              <w:right w:val="single" w:color="000000" w:sz="4" w:space="0"/>
            </w:tcBorders>
            <w:vAlign w:val="center"/>
          </w:tcPr>
          <w:p>
            <w:pPr>
              <w:pStyle w:val="70"/>
              <w:jc w:val="both"/>
            </w:pPr>
            <w:r>
              <w:rPr>
                <w:rFonts w:hint="eastAsia" w:cs="Times New Roman"/>
              </w:rPr>
              <w:t>a</w:t>
            </w:r>
            <w:r>
              <w:t>厚度（</w:t>
            </w:r>
            <w:r>
              <w:rPr>
                <w:rFonts w:cs="Times New Roman"/>
              </w:rPr>
              <w:t>T</w:t>
            </w:r>
            <w:r>
              <w:t>）是热处理时关键截面的厚度。</w:t>
            </w:r>
          </w:p>
          <w:p>
            <w:pPr>
              <w:pStyle w:val="70"/>
              <w:jc w:val="both"/>
            </w:pPr>
            <w:r>
              <w:rPr>
                <w:rFonts w:hint="eastAsia" w:cs="Times New Roman"/>
              </w:rPr>
              <w:t>b</w:t>
            </w:r>
            <w:r>
              <w:t>厚度（</w:t>
            </w:r>
            <w:r>
              <w:rPr>
                <w:rFonts w:cs="Times New Roman"/>
              </w:rPr>
              <w:t>Tth</w:t>
            </w:r>
            <w:r>
              <w:t>）是热处理时最厚截面的厚度。</w:t>
            </w:r>
          </w:p>
          <w:p>
            <w:pPr>
              <w:pStyle w:val="70"/>
              <w:jc w:val="both"/>
              <w:rPr>
                <w:rFonts w:cs="Times New Roman"/>
              </w:rPr>
            </w:pPr>
            <w:r>
              <w:rPr>
                <w:rFonts w:hint="eastAsia" w:cs="Times New Roman"/>
              </w:rPr>
              <w:t>c</w:t>
            </w:r>
            <w:r>
              <w:t>当实心锻件在后续需加工内孔时，取样位置应在最终零件对应此表的位置。</w:t>
            </w:r>
          </w:p>
        </w:tc>
      </w:tr>
    </w:tbl>
    <w:p>
      <w:pPr>
        <w:pStyle w:val="69"/>
        <w:rPr>
          <w:kern w:val="0"/>
        </w:rPr>
      </w:pPr>
      <w:bookmarkStart w:id="98" w:name="_Ref112327441"/>
      <w:bookmarkStart w:id="99" w:name="_Ref112229834"/>
      <w:r>
        <w:t xml:space="preserve">表 </w:t>
      </w:r>
      <w:r>
        <w:fldChar w:fldCharType="begin"/>
      </w:r>
      <w:r>
        <w:instrText xml:space="preserve"> SEQ 表 \* ARABIC </w:instrText>
      </w:r>
      <w:r>
        <w:fldChar w:fldCharType="separate"/>
      </w:r>
      <w:r>
        <w:t>9</w:t>
      </w:r>
      <w:r>
        <w:fldChar w:fldCharType="end"/>
      </w:r>
      <w:bookmarkEnd w:id="98"/>
      <w:r>
        <w:t xml:space="preserve"> </w:t>
      </w:r>
      <w:r>
        <w:rPr>
          <w:kern w:val="0"/>
        </w:rPr>
        <w:t>MPS试料</w:t>
      </w:r>
      <w:r>
        <w:t>拉伸试样和冲击试样的取样位置和方向</w:t>
      </w:r>
      <w:bookmarkEnd w:id="99"/>
    </w:p>
    <w:tbl>
      <w:tblPr>
        <w:tblStyle w:val="26"/>
        <w:tblW w:w="8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pStyle w:val="70"/>
              <w:rPr>
                <w:rFonts w:cs="Times New Roman"/>
              </w:rPr>
            </w:pPr>
            <w:r>
              <w:rPr>
                <w:rFonts w:cs="Times New Roman"/>
              </w:rPr>
              <w:t>试样取样位置</w:t>
            </w:r>
            <w:r>
              <w:rPr>
                <w:rFonts w:hint="eastAsia" w:cs="Times New Roman"/>
                <w:vertAlign w:val="superscript"/>
              </w:rPr>
              <w:t>a,b,c</w:t>
            </w:r>
          </w:p>
        </w:tc>
        <w:tc>
          <w:tcPr>
            <w:tcW w:w="4279" w:type="dxa"/>
            <w:tcBorders>
              <w:top w:val="single" w:color="000000" w:sz="4" w:space="0"/>
              <w:left w:val="single" w:color="000000" w:sz="4" w:space="0"/>
              <w:bottom w:val="single" w:color="000000" w:sz="4" w:space="0"/>
              <w:right w:val="single" w:color="000000" w:sz="4" w:space="0"/>
            </w:tcBorders>
            <w:vAlign w:val="center"/>
          </w:tcPr>
          <w:p>
            <w:pPr>
              <w:pStyle w:val="70"/>
              <w:rPr>
                <w:rFonts w:cs="Times New Roman"/>
              </w:rPr>
            </w:pPr>
            <w:r>
              <w:rPr>
                <w:rFonts w:cs="Times New Roman"/>
              </w:rPr>
              <w:t>取样方向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pStyle w:val="70"/>
              <w:rPr>
                <w:rFonts w:cs="Times New Roman"/>
              </w:rPr>
            </w:pPr>
            <w:r>
              <w:rPr>
                <w:rFonts w:cs="Times New Roman"/>
              </w:rPr>
              <w:t>1/2 T</w:t>
            </w:r>
          </w:p>
        </w:tc>
        <w:tc>
          <w:tcPr>
            <w:tcW w:w="4279" w:type="dxa"/>
            <w:tcBorders>
              <w:top w:val="single" w:color="000000" w:sz="4" w:space="0"/>
              <w:left w:val="single" w:color="000000" w:sz="4" w:space="0"/>
              <w:bottom w:val="single" w:color="000000" w:sz="4" w:space="0"/>
              <w:right w:val="single" w:color="000000" w:sz="4" w:space="0"/>
            </w:tcBorders>
            <w:vAlign w:val="center"/>
          </w:tcPr>
          <w:p>
            <w:pPr>
              <w:pStyle w:val="70"/>
              <w:rPr>
                <w:rFonts w:cs="Times New Roman"/>
              </w:rPr>
            </w:pPr>
            <w:r>
              <w:rPr>
                <w:rFonts w:cs="Times New Roman"/>
              </w:rPr>
              <w:t>纵向和横向（环形锻件为纵向和切向）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8514" w:type="dxa"/>
            <w:gridSpan w:val="2"/>
            <w:tcBorders>
              <w:top w:val="single" w:color="000000" w:sz="4" w:space="0"/>
              <w:left w:val="single" w:color="000000" w:sz="4" w:space="0"/>
              <w:bottom w:val="single" w:color="000000" w:sz="4" w:space="0"/>
              <w:right w:val="single" w:color="000000" w:sz="4" w:space="0"/>
            </w:tcBorders>
            <w:vAlign w:val="center"/>
          </w:tcPr>
          <w:p>
            <w:pPr>
              <w:pStyle w:val="70"/>
              <w:jc w:val="both"/>
              <w:rPr>
                <w:rFonts w:cs="Times New Roman"/>
              </w:rPr>
            </w:pPr>
            <w:r>
              <w:rPr>
                <w:rFonts w:hint="eastAsia" w:cs="Times New Roman"/>
              </w:rPr>
              <w:t>a</w:t>
            </w:r>
            <w:r>
              <w:rPr>
                <w:rFonts w:cs="Times New Roman"/>
              </w:rPr>
              <w:t>厚度（T）是热处理时关键截面的厚度。</w:t>
            </w:r>
          </w:p>
          <w:p>
            <w:pPr>
              <w:pStyle w:val="70"/>
              <w:jc w:val="both"/>
              <w:rPr>
                <w:rFonts w:cs="Times New Roman"/>
              </w:rPr>
            </w:pPr>
            <w:r>
              <w:rPr>
                <w:rFonts w:hint="eastAsia" w:cs="Times New Roman"/>
              </w:rPr>
              <w:t xml:space="preserve">b </w:t>
            </w:r>
            <w:r>
              <w:rPr>
                <w:rFonts w:cs="Times New Roman"/>
              </w:rPr>
              <w:t>1/2 T位置位于中心（实心锻件）或中间壁厚（空心锻件）处。</w:t>
            </w:r>
          </w:p>
          <w:p>
            <w:pPr>
              <w:pStyle w:val="70"/>
              <w:jc w:val="both"/>
              <w:rPr>
                <w:rFonts w:cs="Times New Roman"/>
              </w:rPr>
            </w:pPr>
            <w:r>
              <w:rPr>
                <w:rFonts w:hint="eastAsia" w:cs="Times New Roman"/>
              </w:rPr>
              <w:t xml:space="preserve">c </w:t>
            </w:r>
            <w:r>
              <w:rPr>
                <w:rFonts w:cs="Times New Roman"/>
              </w:rPr>
              <w:t>当实心锻件在后续需加工内孔时，取样位置应在最终零件对应此表的位置。</w:t>
            </w:r>
          </w:p>
        </w:tc>
      </w:tr>
    </w:tbl>
    <w:p>
      <w:pPr>
        <w:ind w:firstLine="420"/>
        <w:rPr>
          <w:rFonts w:cs="Times New Roman"/>
        </w:rPr>
      </w:pPr>
    </w:p>
    <w:p>
      <w:pPr>
        <w:ind w:firstLine="420"/>
        <w:rPr>
          <w:rFonts w:cs="Times New Roman"/>
        </w:rPr>
      </w:pPr>
      <w:r>
        <w:rPr>
          <w:rFonts w:cs="Times New Roman"/>
        </w:rPr>
        <w:t>硬度检测部位按图纸要求执行，同时应在对应MPQ和MPS文件进行规定，所有锻件、生产试料及检定试料应在最终热处理后检测硬度。</w:t>
      </w:r>
    </w:p>
    <w:p>
      <w:pPr>
        <w:ind w:firstLine="420"/>
        <w:rPr>
          <w:rFonts w:cs="Times New Roman"/>
        </w:rPr>
      </w:pPr>
      <w:r>
        <w:rPr>
          <w:rFonts w:cs="Times New Roman"/>
        </w:rPr>
        <w:t>c) 检测方法</w:t>
      </w:r>
    </w:p>
    <w:p>
      <w:pPr>
        <w:ind w:firstLine="420"/>
        <w:rPr>
          <w:rFonts w:cs="Times New Roman"/>
        </w:rPr>
      </w:pPr>
      <w:r>
        <w:rPr>
          <w:rFonts w:cs="Times New Roman"/>
        </w:rPr>
        <w:t>按照ASTM A 370进行拉伸和冲击性能（夏比冲击V型缺口）试验。</w:t>
      </w:r>
    </w:p>
    <w:p>
      <w:pPr>
        <w:ind w:firstLine="420"/>
        <w:rPr>
          <w:rFonts w:cs="Times New Roman"/>
        </w:rPr>
      </w:pPr>
      <w:r>
        <w:rPr>
          <w:rFonts w:cs="Times New Roman"/>
        </w:rPr>
        <w:t>对于硬度检测，优先按照ASTM E10或ASTM E18规定的程序进行，当无法在台式机上试验时，可按ASTM E110要求采用便携式硬度仪检测，硬度值的换算按照ASTM E140要求进行。</w:t>
      </w:r>
    </w:p>
    <w:p>
      <w:pPr>
        <w:ind w:firstLine="420"/>
        <w:rPr>
          <w:rFonts w:cs="Times New Roman"/>
        </w:rPr>
      </w:pPr>
      <w:r>
        <w:rPr>
          <w:rFonts w:cs="Times New Roman"/>
        </w:rPr>
        <w:t>d) 机械性能接收准则</w:t>
      </w:r>
    </w:p>
    <w:p>
      <w:pPr>
        <w:ind w:firstLine="420"/>
        <w:rPr>
          <w:sz w:val="24"/>
          <w:szCs w:val="24"/>
        </w:rPr>
      </w:pPr>
      <w:r>
        <w:t>MPQ试料试样的拉伸、冲击性能和表面硬度要求应制造商书面规范规定</w:t>
      </w:r>
      <w:r>
        <w:rPr>
          <w:sz w:val="24"/>
          <w:szCs w:val="24"/>
        </w:rPr>
        <w:t>。</w:t>
      </w:r>
    </w:p>
    <w:p>
      <w:pPr>
        <w:ind w:firstLine="420"/>
        <w:rPr>
          <w:rFonts w:cs="Times New Roman"/>
        </w:rPr>
      </w:pPr>
      <w:r>
        <w:rPr>
          <w:rFonts w:cs="Times New Roman"/>
        </w:rPr>
        <w:t>e) 复检</w:t>
      </w:r>
    </w:p>
    <w:p>
      <w:pPr>
        <w:ind w:firstLine="420"/>
        <w:rPr>
          <w:rFonts w:cs="Times New Roman"/>
        </w:rPr>
      </w:pPr>
      <w:r>
        <w:rPr>
          <w:rFonts w:cs="Times New Roman"/>
        </w:rPr>
        <w:t>MPS试料拉伸性能试验的结果不符合规定的要求时，可以用未经额外热处理的相同试验材料再做两次拉伸试验。如果这两个附加的试验都符合要求，则所代表的锻件合格。</w:t>
      </w:r>
    </w:p>
    <w:p>
      <w:pPr>
        <w:ind w:firstLine="420"/>
        <w:rPr>
          <w:rFonts w:cs="Times New Roman"/>
        </w:rPr>
      </w:pPr>
      <w:r>
        <w:rPr>
          <w:rFonts w:cs="Times New Roman"/>
        </w:rPr>
        <w:t>MPS试料冲击性能试验的结果不符合规定的要求时，可用未经额外热处理的相同的试验材料的三个样品组成的一套附加样品进行再次试验。当6个冲击试样检测结果同时满足下列条件时，则所代表的锻件合格。</w:t>
      </w:r>
    </w:p>
    <w:p>
      <w:pPr>
        <w:pStyle w:val="45"/>
        <w:numPr>
          <w:ilvl w:val="0"/>
          <w:numId w:val="7"/>
        </w:numPr>
        <w:ind w:firstLineChars="0"/>
        <w:rPr>
          <w:rFonts w:cs="Times New Roman"/>
        </w:rPr>
      </w:pPr>
      <w:r>
        <w:rPr>
          <w:rFonts w:cs="Times New Roman"/>
        </w:rPr>
        <w:t>6个试样的平均值应满足规定的最小平均值；</w:t>
      </w:r>
    </w:p>
    <w:p>
      <w:pPr>
        <w:pStyle w:val="45"/>
        <w:numPr>
          <w:ilvl w:val="0"/>
          <w:numId w:val="7"/>
        </w:numPr>
        <w:ind w:firstLineChars="0"/>
        <w:rPr>
          <w:rFonts w:cs="Times New Roman"/>
        </w:rPr>
      </w:pPr>
      <w:r>
        <w:rPr>
          <w:rFonts w:cs="Times New Roman"/>
        </w:rPr>
        <w:t>6个试样的单项试验数值中只允许最多1个值低于规定的最小平均值；</w:t>
      </w:r>
    </w:p>
    <w:p>
      <w:pPr>
        <w:pStyle w:val="45"/>
        <w:numPr>
          <w:ilvl w:val="0"/>
          <w:numId w:val="7"/>
        </w:numPr>
        <w:ind w:firstLineChars="0"/>
        <w:rPr>
          <w:rFonts w:cs="Times New Roman"/>
        </w:rPr>
      </w:pPr>
      <w:r>
        <w:rPr>
          <w:rFonts w:cs="Times New Roman"/>
        </w:rPr>
        <w:t>6个试样单项试验数值中不允许有低于规定的最小单次值的值；</w:t>
      </w:r>
    </w:p>
    <w:p>
      <w:pPr>
        <w:pStyle w:val="45"/>
        <w:numPr>
          <w:ilvl w:val="0"/>
          <w:numId w:val="7"/>
        </w:numPr>
        <w:ind w:firstLineChars="0"/>
        <w:rPr>
          <w:rFonts w:cs="Times New Roman"/>
        </w:rPr>
      </w:pPr>
      <w:r>
        <w:rPr>
          <w:rFonts w:cs="Times New Roman"/>
        </w:rPr>
        <w:t>4）3个重新试验样的每个单独值应不低于最小平均值。</w:t>
      </w:r>
    </w:p>
    <w:p>
      <w:pPr>
        <w:ind w:firstLine="420"/>
        <w:rPr>
          <w:rFonts w:cs="Times New Roman"/>
        </w:rPr>
      </w:pPr>
      <w:r>
        <w:rPr>
          <w:rFonts w:cs="Times New Roman"/>
        </w:rPr>
        <w:t>MPS试料或锻件硬度试验结果不符合规定的要求时，可在接近原有检测位置的地方再检测两个值。如果三个读数的平均值符合要求，且没有单个读数大于规定值的2 HRC，则该锻件合格。</w:t>
      </w:r>
    </w:p>
    <w:p>
      <w:pPr>
        <w:pStyle w:val="42"/>
        <w:numPr>
          <w:ilvl w:val="4"/>
          <w:numId w:val="0"/>
        </w:numPr>
        <w:rPr>
          <w:rFonts w:cs="Times New Roman"/>
          <w:w w:val="100"/>
        </w:rPr>
      </w:pPr>
      <w:r>
        <w:rPr>
          <w:rFonts w:hint="eastAsia" w:cs="Times New Roman"/>
          <w:w w:val="100"/>
        </w:rPr>
        <w:t>4.3.4.6</w:t>
      </w:r>
      <w:r>
        <w:rPr>
          <w:rFonts w:cs="Times New Roman"/>
          <w:w w:val="100"/>
        </w:rPr>
        <w:t>晶粒度</w:t>
      </w:r>
    </w:p>
    <w:p>
      <w:pPr>
        <w:spacing w:line="440" w:lineRule="exact"/>
        <w:ind w:firstLine="420"/>
        <w:rPr>
          <w:rFonts w:cs="Times New Roman"/>
          <w:b/>
          <w:bCs/>
          <w:color w:val="FFFF00"/>
          <w:sz w:val="24"/>
          <w:szCs w:val="24"/>
        </w:rPr>
      </w:pPr>
      <w:r>
        <w:rPr>
          <w:rFonts w:cs="Times New Roman"/>
        </w:rPr>
        <w:t>按ASTM E112进行原始奥氏体晶粒度检测，晶粒度级别应为5级或更</w:t>
      </w:r>
      <w:r>
        <w:rPr>
          <w:rFonts w:cs="Times New Roman"/>
          <w:sz w:val="24"/>
          <w:szCs w:val="24"/>
        </w:rPr>
        <w:t>细。</w:t>
      </w:r>
    </w:p>
    <w:p>
      <w:pPr>
        <w:ind w:firstLine="420"/>
        <w:rPr>
          <w:rFonts w:cs="Times New Roman"/>
        </w:rPr>
      </w:pPr>
      <w:r>
        <w:rPr>
          <w:rFonts w:cs="Times New Roman"/>
        </w:rPr>
        <w:t>取样位置应符合下</w:t>
      </w:r>
      <w:r>
        <w:rPr>
          <w:rFonts w:cs="Times New Roman"/>
        </w:rPr>
        <w:fldChar w:fldCharType="begin"/>
      </w:r>
      <w:r>
        <w:rPr>
          <w:rFonts w:cs="Times New Roman"/>
        </w:rPr>
        <w:instrText xml:space="preserve"> REF _Ref112230041 \h </w:instrText>
      </w:r>
      <w:r>
        <w:rPr>
          <w:rFonts w:cs="Times New Roman"/>
        </w:rPr>
        <w:fldChar w:fldCharType="separate"/>
      </w:r>
      <w:r>
        <w:t>表 10</w:t>
      </w:r>
      <w:r>
        <w:rPr>
          <w:rFonts w:cs="Times New Roman"/>
        </w:rPr>
        <w:fldChar w:fldCharType="end"/>
      </w:r>
      <w:r>
        <w:rPr>
          <w:rFonts w:cs="Times New Roman"/>
        </w:rPr>
        <w:t xml:space="preserve"> 规定。</w:t>
      </w:r>
    </w:p>
    <w:p>
      <w:pPr>
        <w:pStyle w:val="69"/>
      </w:pPr>
      <w:bookmarkStart w:id="100" w:name="_Ref112230041"/>
      <w:r>
        <w:t xml:space="preserve">表 </w:t>
      </w:r>
      <w:r>
        <w:fldChar w:fldCharType="begin"/>
      </w:r>
      <w:r>
        <w:instrText xml:space="preserve"> SEQ 表 \* ARABIC </w:instrText>
      </w:r>
      <w:r>
        <w:fldChar w:fldCharType="separate"/>
      </w:r>
      <w:r>
        <w:t>10</w:t>
      </w:r>
      <w:r>
        <w:fldChar w:fldCharType="end"/>
      </w:r>
      <w:bookmarkEnd w:id="100"/>
      <w:r>
        <w:t xml:space="preserve"> MPQ试料取样部位</w:t>
      </w:r>
    </w:p>
    <w:tbl>
      <w:tblPr>
        <w:tblStyle w:val="26"/>
        <w:tblW w:w="8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0"/>
        <w:gridCol w:w="4150"/>
        <w:gridCol w:w="2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0" w:type="dxa"/>
            <w:tcBorders>
              <w:top w:val="single" w:color="000000" w:sz="4" w:space="0"/>
              <w:left w:val="single" w:color="000000" w:sz="4" w:space="0"/>
              <w:bottom w:val="single" w:color="000000" w:sz="4" w:space="0"/>
              <w:right w:val="single" w:color="000000" w:sz="4" w:space="0"/>
            </w:tcBorders>
            <w:vAlign w:val="center"/>
          </w:tcPr>
          <w:p>
            <w:pPr>
              <w:pStyle w:val="70"/>
            </w:pPr>
            <w:r>
              <w:t>检测项点</w:t>
            </w:r>
          </w:p>
        </w:tc>
        <w:tc>
          <w:tcPr>
            <w:tcW w:w="4150" w:type="dxa"/>
            <w:tcBorders>
              <w:top w:val="single" w:color="000000" w:sz="4" w:space="0"/>
              <w:left w:val="single" w:color="000000" w:sz="4" w:space="0"/>
              <w:bottom w:val="single" w:color="000000" w:sz="4" w:space="0"/>
              <w:right w:val="single" w:color="000000" w:sz="4" w:space="0"/>
            </w:tcBorders>
            <w:vAlign w:val="center"/>
          </w:tcPr>
          <w:p>
            <w:pPr>
              <w:pStyle w:val="70"/>
            </w:pPr>
            <w:r>
              <w:t>延长部分</w:t>
            </w:r>
          </w:p>
        </w:tc>
        <w:tc>
          <w:tcPr>
            <w:tcW w:w="2094" w:type="dxa"/>
            <w:tcBorders>
              <w:top w:val="single" w:color="000000" w:sz="4" w:space="0"/>
              <w:left w:val="single" w:color="000000" w:sz="4" w:space="0"/>
              <w:bottom w:val="single" w:color="000000" w:sz="4" w:space="0"/>
              <w:right w:val="single" w:color="000000" w:sz="4" w:space="0"/>
            </w:tcBorders>
            <w:vAlign w:val="center"/>
          </w:tcPr>
          <w:p>
            <w:pPr>
              <w:pStyle w:val="70"/>
            </w:pPr>
            <w:r>
              <w:t>最厚部分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0" w:type="dxa"/>
            <w:tcBorders>
              <w:top w:val="single" w:color="000000" w:sz="4" w:space="0"/>
              <w:left w:val="single" w:color="000000" w:sz="4" w:space="0"/>
              <w:bottom w:val="single" w:color="000000" w:sz="4" w:space="0"/>
              <w:right w:val="single" w:color="000000" w:sz="4" w:space="0"/>
            </w:tcBorders>
            <w:vAlign w:val="center"/>
          </w:tcPr>
          <w:p>
            <w:pPr>
              <w:pStyle w:val="70"/>
            </w:pPr>
            <w:r>
              <w:t>奥氏体晶粒度</w:t>
            </w:r>
          </w:p>
        </w:tc>
        <w:tc>
          <w:tcPr>
            <w:tcW w:w="4150" w:type="dxa"/>
            <w:tcBorders>
              <w:top w:val="single" w:color="000000" w:sz="4" w:space="0"/>
              <w:left w:val="single" w:color="000000" w:sz="4" w:space="0"/>
              <w:bottom w:val="single" w:color="000000" w:sz="4" w:space="0"/>
              <w:right w:val="single" w:color="000000" w:sz="4" w:space="0"/>
            </w:tcBorders>
            <w:vAlign w:val="center"/>
          </w:tcPr>
          <w:p>
            <w:pPr>
              <w:pStyle w:val="70"/>
              <w:rPr>
                <w:kern w:val="0"/>
              </w:rPr>
            </w:pPr>
            <w:r>
              <w:rPr>
                <w:kern w:val="0"/>
              </w:rPr>
              <w:t>T ≤ 100 mm (4 in)：1/2T</w:t>
            </w:r>
          </w:p>
          <w:p>
            <w:pPr>
              <w:pStyle w:val="70"/>
            </w:pPr>
            <w:r>
              <w:rPr>
                <w:kern w:val="0"/>
              </w:rPr>
              <w:t>T &gt; 100 mm (4 in)：1/4T</w:t>
            </w:r>
          </w:p>
        </w:tc>
        <w:tc>
          <w:tcPr>
            <w:tcW w:w="2094" w:type="dxa"/>
            <w:tcBorders>
              <w:top w:val="single" w:color="000000" w:sz="4" w:space="0"/>
              <w:left w:val="single" w:color="000000" w:sz="4" w:space="0"/>
              <w:bottom w:val="single" w:color="000000" w:sz="4" w:space="0"/>
              <w:right w:val="single" w:color="000000" w:sz="4" w:space="0"/>
            </w:tcBorders>
            <w:vAlign w:val="center"/>
          </w:tcPr>
          <w:p>
            <w:pPr>
              <w:pStyle w:val="70"/>
            </w:pPr>
            <w:r>
              <w:rPr>
                <w:kern w:val="0"/>
              </w:rPr>
              <w:t>1/4Tth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0" w:type="dxa"/>
            <w:tcBorders>
              <w:top w:val="single" w:color="000000" w:sz="4" w:space="0"/>
              <w:left w:val="single" w:color="000000" w:sz="4" w:space="0"/>
              <w:bottom w:val="single" w:color="000000" w:sz="4" w:space="0"/>
              <w:right w:val="single" w:color="000000" w:sz="4" w:space="0"/>
            </w:tcBorders>
            <w:vAlign w:val="center"/>
          </w:tcPr>
          <w:p>
            <w:pPr>
              <w:pStyle w:val="70"/>
            </w:pPr>
            <w:r>
              <w:t>钢材清洁度</w:t>
            </w:r>
          </w:p>
        </w:tc>
        <w:tc>
          <w:tcPr>
            <w:tcW w:w="4150" w:type="dxa"/>
            <w:tcBorders>
              <w:top w:val="single" w:color="000000" w:sz="4" w:space="0"/>
              <w:left w:val="single" w:color="000000" w:sz="4" w:space="0"/>
              <w:bottom w:val="single" w:color="000000" w:sz="4" w:space="0"/>
              <w:right w:val="single" w:color="000000" w:sz="4" w:space="0"/>
            </w:tcBorders>
            <w:vAlign w:val="center"/>
          </w:tcPr>
          <w:p>
            <w:pPr>
              <w:pStyle w:val="70"/>
              <w:rPr>
                <w:kern w:val="0"/>
              </w:rPr>
            </w:pPr>
            <w:r>
              <w:rPr>
                <w:kern w:val="0"/>
              </w:rPr>
              <w:t>T ≤ 100 mm (4 in)：</w:t>
            </w:r>
            <w:r>
              <w:t>接近表面和</w:t>
            </w:r>
            <w:r>
              <w:rPr>
                <w:kern w:val="0"/>
              </w:rPr>
              <w:t>1/2T</w:t>
            </w:r>
          </w:p>
          <w:p>
            <w:pPr>
              <w:pStyle w:val="70"/>
            </w:pPr>
            <w:r>
              <w:rPr>
                <w:kern w:val="0"/>
              </w:rPr>
              <w:t>T &gt; 100 mm (4 in)：</w:t>
            </w:r>
            <w:r>
              <w:t>接近表面和</w:t>
            </w:r>
            <w:r>
              <w:rPr>
                <w:kern w:val="0"/>
              </w:rPr>
              <w:t>1/4T</w:t>
            </w:r>
          </w:p>
        </w:tc>
        <w:tc>
          <w:tcPr>
            <w:tcW w:w="2094" w:type="dxa"/>
            <w:tcBorders>
              <w:top w:val="single" w:color="000000" w:sz="4" w:space="0"/>
              <w:left w:val="single" w:color="000000" w:sz="4" w:space="0"/>
              <w:bottom w:val="single" w:color="000000" w:sz="4" w:space="0"/>
              <w:right w:val="single" w:color="000000" w:sz="4" w:space="0"/>
            </w:tcBorders>
            <w:vAlign w:val="center"/>
          </w:tcPr>
          <w:p>
            <w:pPr>
              <w:pStyle w:val="70"/>
            </w:pPr>
            <w:r>
              <w:t>接近表面和1/4Tth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514" w:type="dxa"/>
            <w:gridSpan w:val="3"/>
            <w:tcBorders>
              <w:top w:val="single" w:color="000000" w:sz="4" w:space="0"/>
              <w:left w:val="single" w:color="000000" w:sz="4" w:space="0"/>
              <w:bottom w:val="single" w:color="000000" w:sz="4" w:space="0"/>
              <w:right w:val="single" w:color="000000" w:sz="4" w:space="0"/>
            </w:tcBorders>
            <w:vAlign w:val="center"/>
          </w:tcPr>
          <w:p>
            <w:pPr>
              <w:pStyle w:val="70"/>
              <w:jc w:val="left"/>
            </w:pPr>
            <w:r>
              <w:rPr>
                <w:rFonts w:hint="eastAsia"/>
              </w:rPr>
              <w:t>注：</w:t>
            </w:r>
          </w:p>
          <w:p>
            <w:pPr>
              <w:pStyle w:val="70"/>
              <w:jc w:val="left"/>
            </w:pPr>
            <w:r>
              <w:t>厚度(T)是热处理时关键截面的厚度。</w:t>
            </w:r>
          </w:p>
          <w:p>
            <w:pPr>
              <w:pStyle w:val="70"/>
              <w:jc w:val="left"/>
            </w:pPr>
            <w:r>
              <w:t>厚度(Tth)是热处理时最厚部分的厚度</w:t>
            </w:r>
          </w:p>
        </w:tc>
      </w:tr>
    </w:tbl>
    <w:p>
      <w:pPr>
        <w:ind w:firstLine="420"/>
        <w:rPr>
          <w:rFonts w:cs="Times New Roman"/>
        </w:rPr>
      </w:pPr>
    </w:p>
    <w:p>
      <w:pPr>
        <w:ind w:firstLine="420"/>
        <w:rPr>
          <w:rFonts w:cs="Times New Roman"/>
        </w:rPr>
      </w:pPr>
      <w:r>
        <w:rPr>
          <w:rFonts w:cs="Times New Roman"/>
        </w:rPr>
        <w:t>T小于等于100 mm (4 in)MPS试料或零件的，取样位置应在1/2T，且对于T大于100 mm (4 in)的，取样位置应在1/4T。且对于实心锻件，取样位置距试料或零件端面的距离应至少为1/2 T。对于空心锻件，取样位置距试料或零件端面的距离应至少为T。</w:t>
      </w:r>
    </w:p>
    <w:p>
      <w:pPr>
        <w:pStyle w:val="42"/>
        <w:numPr>
          <w:ilvl w:val="4"/>
          <w:numId w:val="0"/>
        </w:numPr>
        <w:rPr>
          <w:rFonts w:cs="Times New Roman"/>
          <w:w w:val="100"/>
        </w:rPr>
      </w:pPr>
      <w:r>
        <w:rPr>
          <w:rFonts w:hint="eastAsia" w:cs="Times New Roman"/>
          <w:w w:val="100"/>
        </w:rPr>
        <w:t>4.3.4.7</w:t>
      </w:r>
      <w:r>
        <w:rPr>
          <w:rFonts w:cs="Times New Roman"/>
          <w:w w:val="100"/>
        </w:rPr>
        <w:t>非金属夹杂</w:t>
      </w:r>
    </w:p>
    <w:p>
      <w:pPr>
        <w:ind w:firstLine="420"/>
        <w:rPr>
          <w:rFonts w:cs="Times New Roman"/>
        </w:rPr>
      </w:pPr>
      <w:r>
        <w:rPr>
          <w:rFonts w:cs="Times New Roman"/>
        </w:rPr>
        <w:t>MPS试料不需要进行非金属夹杂检测。</w:t>
      </w:r>
    </w:p>
    <w:p>
      <w:pPr>
        <w:ind w:firstLine="420"/>
        <w:rPr>
          <w:rFonts w:cs="Times New Roman"/>
        </w:rPr>
      </w:pPr>
      <w:r>
        <w:rPr>
          <w:rFonts w:cs="Times New Roman"/>
        </w:rPr>
        <w:t>MPQ试料应按照ASTM E45进行纵向非金属夹杂检测，评级结果应符合</w:t>
      </w:r>
      <w:r>
        <w:rPr>
          <w:rFonts w:cs="Times New Roman"/>
        </w:rPr>
        <w:fldChar w:fldCharType="begin"/>
      </w:r>
      <w:r>
        <w:rPr>
          <w:rFonts w:cs="Times New Roman"/>
        </w:rPr>
        <w:instrText xml:space="preserve"> REF _Ref112230119 \h  \* MERGEFORMAT </w:instrText>
      </w:r>
      <w:r>
        <w:rPr>
          <w:rFonts w:cs="Times New Roman"/>
        </w:rPr>
        <w:fldChar w:fldCharType="separate"/>
      </w:r>
      <w:r>
        <w:rPr>
          <w:rFonts w:cs="Times New Roman"/>
        </w:rPr>
        <w:t>表 11</w:t>
      </w:r>
      <w:r>
        <w:rPr>
          <w:rFonts w:cs="Times New Roman"/>
        </w:rPr>
        <w:fldChar w:fldCharType="end"/>
      </w:r>
      <w:r>
        <w:rPr>
          <w:rFonts w:cs="Times New Roman"/>
        </w:rPr>
        <w:t xml:space="preserve"> 要求。取样位置按</w:t>
      </w:r>
      <w:r>
        <w:rPr>
          <w:rFonts w:cs="Times New Roman"/>
        </w:rPr>
        <w:fldChar w:fldCharType="begin"/>
      </w:r>
      <w:r>
        <w:rPr>
          <w:rFonts w:cs="Times New Roman"/>
        </w:rPr>
        <w:instrText xml:space="preserve"> REF _Ref112230041 \h </w:instrText>
      </w:r>
      <w:r>
        <w:rPr>
          <w:rFonts w:cs="Times New Roman"/>
        </w:rPr>
        <w:fldChar w:fldCharType="separate"/>
      </w:r>
      <w:r>
        <w:t>表 10</w:t>
      </w:r>
      <w:r>
        <w:rPr>
          <w:rFonts w:cs="Times New Roman"/>
        </w:rPr>
        <w:fldChar w:fldCharType="end"/>
      </w:r>
      <w:r>
        <w:rPr>
          <w:rFonts w:cs="Times New Roman"/>
        </w:rPr>
        <w:t xml:space="preserve"> 执行。</w:t>
      </w:r>
    </w:p>
    <w:p>
      <w:pPr>
        <w:pStyle w:val="69"/>
      </w:pPr>
      <w:bookmarkStart w:id="101" w:name="_Ref112230119"/>
      <w:r>
        <w:t xml:space="preserve">表 </w:t>
      </w:r>
      <w:r>
        <w:fldChar w:fldCharType="begin"/>
      </w:r>
      <w:r>
        <w:instrText xml:space="preserve"> SEQ 表 \* ARABIC </w:instrText>
      </w:r>
      <w:r>
        <w:fldChar w:fldCharType="separate"/>
      </w:r>
      <w:r>
        <w:t>11</w:t>
      </w:r>
      <w:r>
        <w:fldChar w:fldCharType="end"/>
      </w:r>
      <w:bookmarkEnd w:id="101"/>
      <w:r>
        <w:t xml:space="preserve"> ASTM E45方法A夹杂物比率限值 </w:t>
      </w:r>
    </w:p>
    <w:tbl>
      <w:tblPr>
        <w:tblStyle w:val="2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2856"/>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夹杂物类型</w:t>
            </w:r>
          </w:p>
        </w:tc>
        <w:tc>
          <w:tcPr>
            <w:tcW w:w="285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细系</w:t>
            </w:r>
          </w:p>
        </w:tc>
        <w:tc>
          <w:tcPr>
            <w:tcW w:w="280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粗系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A类硫化物</w:t>
            </w:r>
          </w:p>
        </w:tc>
        <w:tc>
          <w:tcPr>
            <w:tcW w:w="285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2</w:t>
            </w:r>
          </w:p>
        </w:tc>
        <w:tc>
          <w:tcPr>
            <w:tcW w:w="280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B类氧化铝</w:t>
            </w:r>
          </w:p>
        </w:tc>
        <w:tc>
          <w:tcPr>
            <w:tcW w:w="285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2</w:t>
            </w:r>
          </w:p>
        </w:tc>
        <w:tc>
          <w:tcPr>
            <w:tcW w:w="280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C类硅酸盐</w:t>
            </w:r>
          </w:p>
        </w:tc>
        <w:tc>
          <w:tcPr>
            <w:tcW w:w="285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2</w:t>
            </w:r>
          </w:p>
        </w:tc>
        <w:tc>
          <w:tcPr>
            <w:tcW w:w="280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D类球状氧化物</w:t>
            </w:r>
          </w:p>
        </w:tc>
        <w:tc>
          <w:tcPr>
            <w:tcW w:w="285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1.5</w:t>
            </w:r>
          </w:p>
        </w:tc>
        <w:tc>
          <w:tcPr>
            <w:tcW w:w="280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rPr>
            </w:pPr>
            <w:r>
              <w:rPr>
                <w:rFonts w:cs="Times New Roman"/>
              </w:rPr>
              <w:t>1.5</w:t>
            </w:r>
          </w:p>
        </w:tc>
      </w:tr>
    </w:tbl>
    <w:p>
      <w:pPr>
        <w:pStyle w:val="42"/>
        <w:numPr>
          <w:ilvl w:val="4"/>
          <w:numId w:val="0"/>
        </w:numPr>
        <w:rPr>
          <w:rFonts w:cs="Times New Roman"/>
          <w:w w:val="100"/>
        </w:rPr>
      </w:pPr>
      <w:r>
        <w:rPr>
          <w:rFonts w:hint="eastAsia" w:cs="Times New Roman"/>
          <w:w w:val="100"/>
        </w:rPr>
        <w:t>4.3.4.8</w:t>
      </w:r>
      <w:r>
        <w:rPr>
          <w:rFonts w:cs="Times New Roman"/>
          <w:w w:val="100"/>
        </w:rPr>
        <w:t>低倍组织</w:t>
      </w:r>
    </w:p>
    <w:p>
      <w:pPr>
        <w:ind w:firstLine="420"/>
        <w:rPr>
          <w:rFonts w:cs="Times New Roman"/>
        </w:rPr>
      </w:pPr>
      <w:r>
        <w:rPr>
          <w:rFonts w:cs="Times New Roman"/>
        </w:rPr>
        <w:t>MPS试料不需要进行低倍组织检测。</w:t>
      </w:r>
    </w:p>
    <w:p>
      <w:pPr>
        <w:ind w:firstLine="420"/>
        <w:rPr>
          <w:rFonts w:cs="Times New Roman"/>
        </w:rPr>
      </w:pPr>
      <w:r>
        <w:rPr>
          <w:rFonts w:cs="Times New Roman"/>
        </w:rPr>
        <w:t>MPQ试料按照ASTM E381方法进行低倍检测，对试片进行宏观酸浸，不允许存在有害的偏析或疏松。接收要求应符合ASTM E381的S1-R1-C1，且应出具对应的低倍照片。</w:t>
      </w:r>
    </w:p>
    <w:p>
      <w:pPr>
        <w:ind w:firstLine="420"/>
        <w:rPr>
          <w:rFonts w:cs="Times New Roman"/>
        </w:rPr>
      </w:pPr>
      <w:r>
        <w:rPr>
          <w:rFonts w:cs="Times New Roman"/>
        </w:rPr>
        <w:t>取样部位应分别在MPQ鉴定试样延长段和最厚截面处各切取1个全横断面试片。</w:t>
      </w:r>
    </w:p>
    <w:p>
      <w:pPr>
        <w:pStyle w:val="42"/>
        <w:numPr>
          <w:ilvl w:val="4"/>
          <w:numId w:val="0"/>
        </w:numPr>
        <w:rPr>
          <w:rFonts w:cs="Times New Roman"/>
          <w:w w:val="100"/>
        </w:rPr>
      </w:pPr>
      <w:r>
        <w:rPr>
          <w:rFonts w:hint="eastAsia" w:cs="Times New Roman"/>
          <w:w w:val="100"/>
        </w:rPr>
        <w:t>4.3.4.9</w:t>
      </w:r>
      <w:r>
        <w:rPr>
          <w:rFonts w:cs="Times New Roman"/>
          <w:w w:val="100"/>
        </w:rPr>
        <w:t>无损检测</w:t>
      </w:r>
    </w:p>
    <w:p>
      <w:pPr>
        <w:ind w:firstLine="420"/>
        <w:rPr>
          <w:rFonts w:cs="Times New Roman"/>
        </w:rPr>
      </w:pPr>
      <w:r>
        <w:rPr>
          <w:rFonts w:cs="Times New Roman"/>
        </w:rPr>
        <w:t>所有锻件在最终热处理后和必要的不影响无损检测的机加工之后，进行内部超声检测（UT）。锻件在最终热处理以及必要的表面清理后，进行目视检测（VT）。</w:t>
      </w:r>
    </w:p>
    <w:p>
      <w:pPr>
        <w:pStyle w:val="42"/>
        <w:numPr>
          <w:ilvl w:val="4"/>
          <w:numId w:val="0"/>
        </w:numPr>
        <w:rPr>
          <w:rFonts w:cs="Times New Roman"/>
          <w:w w:val="100"/>
        </w:rPr>
      </w:pPr>
      <w:r>
        <w:rPr>
          <w:rFonts w:hint="eastAsia" w:cs="Times New Roman"/>
          <w:w w:val="100"/>
        </w:rPr>
        <w:t>4.3.4.10</w:t>
      </w:r>
      <w:r>
        <w:rPr>
          <w:rFonts w:cs="Times New Roman"/>
          <w:w w:val="100"/>
        </w:rPr>
        <w:t>外形、尺寸及表面粗糙度</w:t>
      </w:r>
    </w:p>
    <w:p>
      <w:pPr>
        <w:ind w:firstLine="420"/>
        <w:rPr>
          <w:rFonts w:cs="Times New Roman"/>
        </w:rPr>
      </w:pPr>
      <w:r>
        <w:rPr>
          <w:rFonts w:cs="Times New Roman"/>
        </w:rPr>
        <w:t>锻件外形、尺寸与表面粗糙度应符合图纸要求。</w:t>
      </w:r>
    </w:p>
    <w:p>
      <w:pPr>
        <w:pStyle w:val="42"/>
        <w:numPr>
          <w:ilvl w:val="4"/>
          <w:numId w:val="0"/>
        </w:numPr>
        <w:rPr>
          <w:rFonts w:cs="Times New Roman"/>
          <w:w w:val="100"/>
        </w:rPr>
      </w:pPr>
      <w:r>
        <w:rPr>
          <w:rFonts w:hint="eastAsia" w:cs="Times New Roman"/>
          <w:w w:val="100"/>
        </w:rPr>
        <w:t>4.3.4.11</w:t>
      </w:r>
      <w:r>
        <w:rPr>
          <w:rFonts w:cs="Times New Roman"/>
          <w:w w:val="100"/>
        </w:rPr>
        <w:t>修复</w:t>
      </w:r>
    </w:p>
    <w:p>
      <w:pPr>
        <w:ind w:firstLine="420"/>
        <w:rPr>
          <w:rFonts w:cs="Times New Roman"/>
        </w:rPr>
      </w:pPr>
      <w:r>
        <w:rPr>
          <w:rFonts w:cs="Times New Roman"/>
        </w:rPr>
        <w:t>在保证锻件尺寸公差的情况下，可以通过磨削或加工来消除表面缺陷，产生的凹槽底部半径大约为深度的三倍，以避免任何尖锐的轮廓。材料缺陷的完全消除应通过无损检测进行验证。不允许对锻件进行补焊修复。</w:t>
      </w:r>
    </w:p>
    <w:bookmarkEnd w:id="94"/>
    <w:p>
      <w:pPr>
        <w:pStyle w:val="39"/>
      </w:pPr>
      <w:bookmarkStart w:id="102" w:name="_Toc112190672"/>
      <w:bookmarkStart w:id="103" w:name="_Toc112341741"/>
      <w:r>
        <w:t>焊接</w:t>
      </w:r>
      <w:bookmarkEnd w:id="102"/>
      <w:bookmarkEnd w:id="103"/>
    </w:p>
    <w:bookmarkEnd w:id="86"/>
    <w:bookmarkEnd w:id="87"/>
    <w:bookmarkEnd w:id="88"/>
    <w:p>
      <w:pPr>
        <w:pStyle w:val="40"/>
      </w:pPr>
      <w:bookmarkStart w:id="104" w:name="_Toc95911842"/>
      <w:r>
        <w:t>承压/控压件</w:t>
      </w:r>
      <w:bookmarkEnd w:id="104"/>
      <w:r>
        <w:rPr>
          <w:rFonts w:hint="eastAsia"/>
        </w:rPr>
        <w:t>组焊</w:t>
      </w:r>
    </w:p>
    <w:p>
      <w:pPr>
        <w:pStyle w:val="41"/>
        <w:rPr>
          <w:rFonts w:eastAsia="宋体" w:cs="Times New Roman"/>
        </w:rPr>
      </w:pPr>
      <w:r>
        <w:rPr>
          <w:rFonts w:hint="eastAsia" w:cs="Times New Roman"/>
        </w:rPr>
        <w:t>总则</w:t>
      </w:r>
    </w:p>
    <w:p>
      <w:pPr>
        <w:ind w:firstLine="420"/>
        <w:rPr>
          <w:rFonts w:cs="Times New Roman"/>
        </w:rPr>
      </w:pPr>
      <w:r>
        <w:rPr>
          <w:rFonts w:cs="Times New Roman"/>
        </w:rPr>
        <w:t>承压/控压件的</w:t>
      </w:r>
      <w:r>
        <w:rPr>
          <w:rFonts w:hint="eastAsia" w:cs="Times New Roman"/>
        </w:rPr>
        <w:t>组焊</w:t>
      </w:r>
      <w:r>
        <w:rPr>
          <w:rFonts w:cs="Times New Roman"/>
        </w:rPr>
        <w:t xml:space="preserve">应符合 </w:t>
      </w:r>
      <w:r>
        <w:rPr>
          <w:rFonts w:cs="Times New Roman"/>
          <w:spacing w:val="-1"/>
        </w:rPr>
        <w:t>ISO 10423</w:t>
      </w:r>
      <w:r>
        <w:rPr>
          <w:rFonts w:cs="Times New Roman"/>
        </w:rPr>
        <w:t xml:space="preserve"> 规定的 </w:t>
      </w:r>
      <w:r>
        <w:rPr>
          <w:rFonts w:cs="Times New Roman"/>
          <w:spacing w:val="-2"/>
        </w:rPr>
        <w:t>PSL2</w:t>
      </w:r>
      <w:r>
        <w:rPr>
          <w:rFonts w:cs="Times New Roman"/>
        </w:rPr>
        <w:t xml:space="preserve">或 </w:t>
      </w:r>
      <w:r>
        <w:rPr>
          <w:rFonts w:cs="Times New Roman"/>
          <w:spacing w:val="-1"/>
        </w:rPr>
        <w:t>PSL</w:t>
      </w:r>
      <w:r>
        <w:rPr>
          <w:rFonts w:cs="Times New Roman"/>
        </w:rPr>
        <w:t xml:space="preserve"> </w:t>
      </w:r>
      <w:r>
        <w:rPr>
          <w:rFonts w:cs="Times New Roman"/>
          <w:spacing w:val="-1"/>
        </w:rPr>
        <w:t>3/3G</w:t>
      </w:r>
      <w:r>
        <w:rPr>
          <w:rFonts w:cs="Times New Roman"/>
        </w:rPr>
        <w:t xml:space="preserve"> 要求。</w:t>
      </w:r>
    </w:p>
    <w:p>
      <w:pPr>
        <w:ind w:firstLine="420"/>
        <w:rPr>
          <w:rFonts w:cs="Times New Roman"/>
        </w:rPr>
      </w:pPr>
      <w:r>
        <w:rPr>
          <w:rFonts w:cs="Times New Roman"/>
        </w:rPr>
        <w:t>对于PSL1、PSL2、PSL3承压/控压件的</w:t>
      </w:r>
      <w:r>
        <w:rPr>
          <w:rFonts w:hint="eastAsia" w:cs="Times New Roman"/>
        </w:rPr>
        <w:t>组焊</w:t>
      </w:r>
      <w:r>
        <w:rPr>
          <w:rFonts w:cs="Times New Roman"/>
        </w:rPr>
        <w:t>，坡口和角焊缝</w:t>
      </w:r>
      <w:r>
        <w:rPr>
          <w:rFonts w:hint="eastAsia" w:cs="Times New Roman"/>
        </w:rPr>
        <w:t>的公差</w:t>
      </w:r>
      <w:r>
        <w:rPr>
          <w:rFonts w:cs="Times New Roman"/>
        </w:rPr>
        <w:t>设计应记录在制造商规范中。</w:t>
      </w:r>
    </w:p>
    <w:p>
      <w:pPr>
        <w:ind w:firstLine="420"/>
        <w:rPr>
          <w:rFonts w:cs="Times New Roman"/>
        </w:rPr>
      </w:pPr>
      <w:r>
        <w:rPr>
          <w:rFonts w:cs="Times New Roman"/>
        </w:rPr>
        <w:t>承压件的补焊</w:t>
      </w:r>
      <w:r>
        <w:rPr>
          <w:rFonts w:hint="eastAsia" w:cs="Times New Roman"/>
        </w:rPr>
        <w:t>工艺</w:t>
      </w:r>
      <w:r>
        <w:rPr>
          <w:rFonts w:cs="Times New Roman"/>
        </w:rPr>
        <w:t>应规定WPS和NDE要求。焊接应按规定的焊接工艺规程进行。</w:t>
      </w:r>
    </w:p>
    <w:p>
      <w:pPr>
        <w:pStyle w:val="41"/>
        <w:rPr>
          <w:rFonts w:cs="Times New Roman"/>
        </w:rPr>
      </w:pPr>
      <w:r>
        <w:rPr>
          <w:rFonts w:cs="Times New Roman"/>
        </w:rPr>
        <w:t>承压/控压件</w:t>
      </w:r>
      <w:r>
        <w:rPr>
          <w:rFonts w:hint="eastAsia" w:cs="Times New Roman"/>
        </w:rPr>
        <w:t>焊缝补焊的一般要求</w:t>
      </w:r>
    </w:p>
    <w:p>
      <w:pPr>
        <w:ind w:firstLine="420"/>
        <w:rPr>
          <w:rFonts w:cs="Times New Roman"/>
        </w:rPr>
      </w:pPr>
      <w:r>
        <w:rPr>
          <w:rFonts w:hint="eastAsia" w:cs="Times New Roman"/>
        </w:rPr>
        <w:t>在选择合格的补焊焊接工艺规范之前，应了解母材金属关于材料成分、本标准规定的材</w:t>
      </w:r>
      <w:r>
        <w:rPr>
          <w:rFonts w:cs="Times New Roman"/>
        </w:rPr>
        <w:t>料代号、冲击韧性（如果需要）和热处理状态的要求。</w:t>
      </w:r>
    </w:p>
    <w:p>
      <w:pPr>
        <w:ind w:firstLine="420"/>
        <w:rPr>
          <w:rFonts w:cs="Times New Roman"/>
        </w:rPr>
      </w:pPr>
      <w:r>
        <w:rPr>
          <w:rFonts w:cs="Times New Roman"/>
        </w:rPr>
        <w:t>选择的焊接工艺规范和修补的方法应确认完全熔接。</w:t>
      </w:r>
    </w:p>
    <w:p>
      <w:pPr>
        <w:pStyle w:val="41"/>
        <w:rPr>
          <w:rFonts w:cs="Times New Roman"/>
        </w:rPr>
      </w:pPr>
      <w:bookmarkStart w:id="105" w:name="_Toc106978437"/>
      <w:r>
        <w:rPr>
          <w:rFonts w:cs="Times New Roman"/>
        </w:rPr>
        <w:t>螺栓孔、锥孔和机加工盲孔的补焊</w:t>
      </w:r>
      <w:bookmarkEnd w:id="105"/>
    </w:p>
    <w:p>
      <w:pPr>
        <w:ind w:firstLine="420"/>
        <w:rPr>
          <w:rFonts w:cs="Times New Roman"/>
        </w:rPr>
      </w:pPr>
      <w:r>
        <w:rPr>
          <w:rFonts w:cs="Times New Roman"/>
        </w:rPr>
        <w:t>对于PSL2和PSL3，</w:t>
      </w:r>
      <w:r>
        <w:rPr>
          <w:rFonts w:hint="eastAsia" w:cs="Times New Roman"/>
        </w:rPr>
        <w:t>应满足</w:t>
      </w:r>
      <w:r>
        <w:rPr>
          <w:rFonts w:cs="Times New Roman"/>
        </w:rPr>
        <w:t>以下</w:t>
      </w:r>
      <w:r>
        <w:rPr>
          <w:rFonts w:hint="eastAsia" w:cs="Times New Roman"/>
        </w:rPr>
        <w:t>要求</w:t>
      </w:r>
      <w:r>
        <w:rPr>
          <w:rFonts w:cs="Times New Roman"/>
        </w:rPr>
        <w:t>。</w:t>
      </w:r>
    </w:p>
    <w:p>
      <w:pPr>
        <w:ind w:firstLine="420"/>
        <w:rPr>
          <w:rFonts w:cs="Times New Roman"/>
        </w:rPr>
      </w:pPr>
      <w:r>
        <w:rPr>
          <w:rFonts w:cs="Times New Roman"/>
        </w:rPr>
        <w:t>焊工和焊机操作者应使用模拟孔进行辅加的补焊性能鉴定试验。</w:t>
      </w:r>
    </w:p>
    <w:p>
      <w:pPr>
        <w:ind w:firstLine="420"/>
        <w:rPr>
          <w:rFonts w:cs="Times New Roman"/>
        </w:rPr>
      </w:pPr>
      <w:r>
        <w:rPr>
          <w:rFonts w:cs="Times New Roman"/>
        </w:rPr>
        <w:t>补焊评定试验孔应按</w:t>
      </w:r>
      <w:r>
        <w:rPr>
          <w:rFonts w:cs="Times New Roman"/>
          <w:lang w:bidi="ar"/>
        </w:rPr>
        <w:t>ISO</w:t>
      </w:r>
      <w:r>
        <w:rPr>
          <w:rFonts w:hint="eastAsia" w:cs="Times New Roman"/>
          <w:lang w:bidi="ar"/>
        </w:rPr>
        <w:t xml:space="preserve"> </w:t>
      </w:r>
      <w:r>
        <w:rPr>
          <w:rFonts w:cs="Times New Roman"/>
          <w:lang w:bidi="ar"/>
        </w:rPr>
        <w:t>10423中</w:t>
      </w:r>
      <w:r>
        <w:rPr>
          <w:rFonts w:cs="Times New Roman"/>
        </w:rPr>
        <w:t>射线照相探伤进行评定，或在相隔90°的两处沿着孔的中心线十字剖，并宏观浸蚀，以验证完全熔接。四个匹配部分每个的一个表面要进行宏观浸蚀。该评定应涵盖该孔的总深度。</w:t>
      </w:r>
    </w:p>
    <w:p>
      <w:pPr>
        <w:ind w:firstLine="420"/>
        <w:rPr>
          <w:rFonts w:cs="Times New Roman"/>
        </w:rPr>
      </w:pPr>
      <w:r>
        <w:rPr>
          <w:rFonts w:cs="Times New Roman"/>
        </w:rPr>
        <w:t>为进行性能控制，补焊评定应受下列主要因素限制：</w:t>
      </w:r>
    </w:p>
    <w:p>
      <w:pPr>
        <w:ind w:firstLine="420"/>
        <w:rPr>
          <w:rFonts w:cs="Times New Roman"/>
        </w:rPr>
      </w:pPr>
      <w:r>
        <w:rPr>
          <w:rFonts w:cs="Times New Roman"/>
        </w:rPr>
        <w:t>性能鉴定试验所用孔径是合格的最小直径。任何比试验孔直径大的孔应认为合格；</w:t>
      </w:r>
    </w:p>
    <w:p>
      <w:pPr>
        <w:ind w:firstLine="420"/>
        <w:rPr>
          <w:rFonts w:cs="Times New Roman"/>
        </w:rPr>
      </w:pPr>
      <w:r>
        <w:rPr>
          <w:rFonts w:cs="Times New Roman"/>
        </w:rPr>
        <w:t>试验孔的深度直径比，应能鉴定所有具有相同的或较小的深度直径比的补焊孔；</w:t>
      </w:r>
    </w:p>
    <w:p>
      <w:pPr>
        <w:ind w:firstLine="420"/>
        <w:rPr>
          <w:rFonts w:cs="Times New Roman"/>
        </w:rPr>
      </w:pPr>
      <w:r>
        <w:rPr>
          <w:rFonts w:cs="Times New Roman"/>
        </w:rPr>
        <w:t>性能鉴定试验孔应为平行直壁孔。如果使用了任何锥孔、沉孔或其他用来增强性能试验孔结构的辅助物，则结构应被认为是一个主要可变因素。</w:t>
      </w:r>
    </w:p>
    <w:p>
      <w:pPr>
        <w:ind w:firstLine="420"/>
        <w:rPr>
          <w:rFonts w:cs="Times New Roman"/>
        </w:rPr>
      </w:pPr>
      <w:r>
        <w:rPr>
          <w:rFonts w:cs="Times New Roman"/>
        </w:rPr>
        <w:t>注1：PSL2和PSL3的孔的补焊要求不适用于PSL1。</w:t>
      </w:r>
    </w:p>
    <w:p>
      <w:pPr>
        <w:pStyle w:val="40"/>
      </w:pPr>
      <w:bookmarkStart w:id="106" w:name="_Toc95911843"/>
      <w:r>
        <w:rPr>
          <w:rFonts w:hint="eastAsia"/>
        </w:rPr>
        <w:t>除堆焊以外的非</w:t>
      </w:r>
      <w:bookmarkEnd w:id="106"/>
      <w:r>
        <w:t>承压/控压件</w:t>
      </w:r>
      <w:r>
        <w:rPr>
          <w:rFonts w:hint="eastAsia"/>
        </w:rPr>
        <w:t>焊接</w:t>
      </w:r>
    </w:p>
    <w:p>
      <w:pPr>
        <w:ind w:firstLine="420"/>
        <w:rPr>
          <w:rFonts w:cs="Times New Roman"/>
        </w:rPr>
      </w:pPr>
      <w:r>
        <w:rPr>
          <w:rFonts w:cs="Times New Roman"/>
        </w:rPr>
        <w:t>结构</w:t>
      </w:r>
      <w:r>
        <w:rPr>
          <w:rFonts w:hint="eastAsia" w:cs="Times New Roman"/>
        </w:rPr>
        <w:t>件的</w:t>
      </w:r>
      <w:r>
        <w:rPr>
          <w:rFonts w:cs="Times New Roman"/>
        </w:rPr>
        <w:t>焊缝应视为</w:t>
      </w:r>
      <w:r>
        <w:rPr>
          <w:rFonts w:hint="eastAsia" w:cs="Times New Roman"/>
        </w:rPr>
        <w:t>除堆焊以外的非承压/控压件</w:t>
      </w:r>
      <w:r>
        <w:rPr>
          <w:rFonts w:cs="Times New Roman"/>
        </w:rPr>
        <w:t>焊缝，并应符合以下行业标准之一：</w:t>
      </w:r>
    </w:p>
    <w:p>
      <w:pPr>
        <w:pStyle w:val="45"/>
        <w:numPr>
          <w:ilvl w:val="0"/>
          <w:numId w:val="8"/>
        </w:numPr>
        <w:ind w:firstLineChars="0"/>
        <w:rPr>
          <w:rFonts w:cs="Times New Roman"/>
        </w:rPr>
      </w:pPr>
      <w:r>
        <w:rPr>
          <w:rFonts w:cs="Times New Roman"/>
        </w:rPr>
        <w:t>形成文件的结构焊接规范，如AWS D1.1/D1.1M；</w:t>
      </w:r>
    </w:p>
    <w:p>
      <w:pPr>
        <w:pStyle w:val="45"/>
        <w:numPr>
          <w:ilvl w:val="0"/>
          <w:numId w:val="8"/>
        </w:numPr>
        <w:ind w:firstLineChars="0"/>
        <w:rPr>
          <w:rFonts w:cs="Times New Roman"/>
        </w:rPr>
      </w:pPr>
      <w:r>
        <w:rPr>
          <w:rFonts w:cs="Times New Roman"/>
        </w:rPr>
        <w:t>符合</w:t>
      </w:r>
      <w:r>
        <w:t>ISO 13628-15</w:t>
      </w:r>
      <w:r>
        <w:rPr>
          <w:rFonts w:cs="Times New Roman"/>
        </w:rPr>
        <w:t>的焊接设计分类</w:t>
      </w:r>
      <w:r>
        <w:rPr>
          <w:rFonts w:hint="eastAsia" w:cs="Times New Roman"/>
        </w:rPr>
        <w:t>和制造商的设计要求。</w:t>
      </w:r>
    </w:p>
    <w:p>
      <w:pPr>
        <w:ind w:firstLine="420"/>
        <w:rPr>
          <w:rFonts w:cs="Times New Roman"/>
        </w:rPr>
      </w:pPr>
      <w:r>
        <w:rPr>
          <w:rFonts w:cs="Times New Roman"/>
        </w:rPr>
        <w:t>承载后应力超出了焊接应力的 50%或基体材料屈服强度的焊接部位，和吊装用焊接耳板定义为“关键焊缝”，并应根据ISO 10423、PSL 3进行表面无损检测。</w:t>
      </w:r>
    </w:p>
    <w:p>
      <w:pPr>
        <w:ind w:firstLine="420"/>
        <w:rPr>
          <w:rFonts w:cs="Times New Roman"/>
        </w:rPr>
      </w:pPr>
      <w:r>
        <w:rPr>
          <w:rFonts w:hint="eastAsia" w:cs="Times New Roman"/>
        </w:rPr>
        <w:t>应由合格的焊接人员按照合格的程序进行焊接。</w:t>
      </w:r>
    </w:p>
    <w:p>
      <w:pPr>
        <w:pStyle w:val="40"/>
      </w:pPr>
      <w:bookmarkStart w:id="107" w:name="_Toc95911844"/>
      <w:r>
        <w:t>堆焊</w:t>
      </w:r>
      <w:bookmarkEnd w:id="107"/>
    </w:p>
    <w:p>
      <w:pPr>
        <w:pStyle w:val="41"/>
        <w:rPr>
          <w:rFonts w:cs="Times New Roman"/>
        </w:rPr>
      </w:pPr>
      <w:r>
        <w:rPr>
          <w:rFonts w:cs="Times New Roman"/>
        </w:rPr>
        <w:t>耐腐蚀堆焊</w:t>
      </w:r>
      <w:r>
        <w:rPr>
          <w:rFonts w:hint="eastAsia" w:cs="Times New Roman"/>
        </w:rPr>
        <w:t>（包含环槽）</w:t>
      </w:r>
    </w:p>
    <w:p>
      <w:pPr>
        <w:ind w:firstLine="420"/>
        <w:rPr>
          <w:rFonts w:cs="Times New Roman"/>
        </w:rPr>
      </w:pPr>
      <w:r>
        <w:rPr>
          <w:rFonts w:cs="Times New Roman"/>
        </w:rPr>
        <w:t>对于PSL1、PSL2、PSL3，耐腐蚀堆焊层的</w:t>
      </w:r>
      <w:r>
        <w:rPr>
          <w:rFonts w:hint="eastAsia" w:cs="Times New Roman"/>
        </w:rPr>
        <w:t>工艺</w:t>
      </w:r>
      <w:r>
        <w:rPr>
          <w:rFonts w:cs="Times New Roman"/>
        </w:rPr>
        <w:t>评定</w:t>
      </w:r>
      <w:r>
        <w:rPr>
          <w:rFonts w:hint="eastAsia" w:cs="Times New Roman"/>
        </w:rPr>
        <w:t>和技能评定</w:t>
      </w:r>
      <w:r>
        <w:rPr>
          <w:rFonts w:cs="Times New Roman"/>
        </w:rPr>
        <w:t>应符合ASME BPVC 第IX卷堆焊或ISO15614-7的要求</w:t>
      </w:r>
      <w:r>
        <w:rPr>
          <w:rFonts w:hint="eastAsia" w:cs="Times New Roman"/>
        </w:rPr>
        <w:t>；</w:t>
      </w:r>
      <w:r>
        <w:rPr>
          <w:rFonts w:cs="Times New Roman"/>
        </w:rPr>
        <w:t>用于硫化氢环境的焊缝应符合</w:t>
      </w:r>
      <w:r>
        <w:rPr>
          <w:rFonts w:hint="eastAsia" w:cs="Times New Roman"/>
        </w:rPr>
        <w:t>ISO 15156</w:t>
      </w:r>
      <w:r>
        <w:rPr>
          <w:rFonts w:cs="Times New Roman"/>
        </w:rPr>
        <w:t>的要求。</w:t>
      </w:r>
    </w:p>
    <w:p>
      <w:pPr>
        <w:ind w:firstLine="420"/>
        <w:rPr>
          <w:rFonts w:cs="Times New Roman"/>
        </w:rPr>
      </w:pPr>
      <w:r>
        <w:rPr>
          <w:rFonts w:cs="Times New Roman"/>
        </w:rPr>
        <w:t>对于PSL1、PSL2、PSL3，用于材料等级为HH的设备和所有其他全覆盖设备，已完成防腐焊接覆盖层的最小厚度应为3mm。部分覆盖设备的环槽用于部分覆盖设备的已完成耐蚀堆焊层的最小厚度应等于或大于焊接工艺评定确定的厚度要求。</w:t>
      </w:r>
    </w:p>
    <w:p>
      <w:pPr>
        <w:ind w:firstLine="420"/>
        <w:rPr>
          <w:rFonts w:cs="Times New Roman"/>
        </w:rPr>
      </w:pPr>
      <w:r>
        <w:rPr>
          <w:rFonts w:cs="Times New Roman"/>
        </w:rPr>
        <w:t>如果使用涡流法或霍尔效应法测量堆焊层厚度的生产验收标准说明了到近似焊接界面的熔深，则从熔合面测量时，也可接受化学分析。该位置熔敷焊缝金属的化学成分应符合制造商的规定。</w:t>
      </w:r>
    </w:p>
    <w:p>
      <w:pPr>
        <w:ind w:firstLine="420"/>
        <w:rPr>
          <w:rFonts w:cs="Times New Roman"/>
        </w:rPr>
      </w:pPr>
      <w:r>
        <w:rPr>
          <w:rFonts w:cs="Times New Roman"/>
        </w:rPr>
        <w:t>对于镍基合金UNSN06625，化学成分应符合</w:t>
      </w:r>
      <w:r>
        <w:rPr>
          <w:rFonts w:cs="Times New Roman"/>
        </w:rPr>
        <w:fldChar w:fldCharType="begin"/>
      </w:r>
      <w:r>
        <w:rPr>
          <w:rFonts w:cs="Times New Roman"/>
        </w:rPr>
        <w:instrText xml:space="preserve"> REF _Ref112224748 \h  \* MERGEFORMAT </w:instrText>
      </w:r>
      <w:r>
        <w:rPr>
          <w:rFonts w:cs="Times New Roman"/>
        </w:rPr>
        <w:fldChar w:fldCharType="separate"/>
      </w:r>
      <w:r>
        <w:rPr>
          <w:rFonts w:cs="Times New Roman"/>
        </w:rPr>
        <w:t>表 12</w:t>
      </w:r>
      <w:r>
        <w:rPr>
          <w:rFonts w:cs="Times New Roman"/>
        </w:rPr>
        <w:fldChar w:fldCharType="end"/>
      </w:r>
      <w:r>
        <w:rPr>
          <w:rFonts w:cs="Times New Roman"/>
        </w:rPr>
        <w:t xml:space="preserve"> 中给出的其中一个等级。Fe5或Fe10可用于任何材料类别。</w:t>
      </w:r>
    </w:p>
    <w:p>
      <w:pPr>
        <w:pStyle w:val="69"/>
      </w:pPr>
      <w:bookmarkStart w:id="108" w:name="_Ref112224748"/>
      <w:r>
        <w:t xml:space="preserve">表 </w:t>
      </w:r>
      <w:r>
        <w:fldChar w:fldCharType="begin"/>
      </w:r>
      <w:r>
        <w:instrText xml:space="preserve"> SEQ 表 \* ARABIC </w:instrText>
      </w:r>
      <w:r>
        <w:fldChar w:fldCharType="separate"/>
      </w:r>
      <w:r>
        <w:t>12</w:t>
      </w:r>
      <w:r>
        <w:fldChar w:fldCharType="end"/>
      </w:r>
      <w:bookmarkEnd w:id="108"/>
      <w:r>
        <w:t xml:space="preserve"> 镍基合金UNSN06625的化学成分</w:t>
      </w:r>
    </w:p>
    <w:tbl>
      <w:tblPr>
        <w:tblStyle w:val="27"/>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1"/>
        <w:gridCol w:w="2840"/>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1" w:type="dxa"/>
            <w:vAlign w:val="center"/>
          </w:tcPr>
          <w:p>
            <w:pPr>
              <w:pStyle w:val="70"/>
              <w:rPr>
                <w:rFonts w:cs="Times New Roman"/>
                <w:bCs/>
              </w:rPr>
            </w:pPr>
            <w:r>
              <w:rPr>
                <w:rFonts w:cs="Times New Roman"/>
                <w:bCs/>
              </w:rPr>
              <w:t>等级</w:t>
            </w:r>
          </w:p>
        </w:tc>
        <w:tc>
          <w:tcPr>
            <w:tcW w:w="2840" w:type="dxa"/>
            <w:vAlign w:val="center"/>
          </w:tcPr>
          <w:p>
            <w:pPr>
              <w:pStyle w:val="70"/>
              <w:rPr>
                <w:rFonts w:cs="Times New Roman"/>
                <w:bCs/>
              </w:rPr>
            </w:pPr>
            <w:r>
              <w:rPr>
                <w:rFonts w:cs="Times New Roman"/>
                <w:bCs/>
              </w:rPr>
              <w:t>元素</w:t>
            </w:r>
          </w:p>
        </w:tc>
        <w:tc>
          <w:tcPr>
            <w:tcW w:w="2913" w:type="dxa"/>
            <w:vAlign w:val="center"/>
          </w:tcPr>
          <w:p>
            <w:pPr>
              <w:pStyle w:val="70"/>
              <w:rPr>
                <w:rFonts w:cs="Times New Roman"/>
                <w:bCs/>
              </w:rPr>
            </w:pPr>
            <w:r>
              <w:rPr>
                <w:rFonts w:cs="Times New Roman"/>
                <w:bCs/>
              </w:rPr>
              <w:t>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1" w:type="dxa"/>
            <w:vAlign w:val="center"/>
          </w:tcPr>
          <w:p>
            <w:pPr>
              <w:pStyle w:val="70"/>
              <w:rPr>
                <w:rFonts w:cs="Times New Roman"/>
              </w:rPr>
            </w:pPr>
            <w:r>
              <w:rPr>
                <w:rFonts w:cs="Times New Roman"/>
              </w:rPr>
              <w:t>Fe5</w:t>
            </w:r>
          </w:p>
        </w:tc>
        <w:tc>
          <w:tcPr>
            <w:tcW w:w="2840" w:type="dxa"/>
            <w:vAlign w:val="center"/>
          </w:tcPr>
          <w:p>
            <w:pPr>
              <w:pStyle w:val="70"/>
              <w:rPr>
                <w:rFonts w:cs="Times New Roman"/>
              </w:rPr>
            </w:pPr>
            <w:r>
              <w:rPr>
                <w:rFonts w:cs="Times New Roman"/>
              </w:rPr>
              <w:t>铁</w:t>
            </w:r>
          </w:p>
        </w:tc>
        <w:tc>
          <w:tcPr>
            <w:tcW w:w="2913" w:type="dxa"/>
            <w:vAlign w:val="center"/>
          </w:tcPr>
          <w:p>
            <w:pPr>
              <w:pStyle w:val="70"/>
              <w:rPr>
                <w:rFonts w:cs="Times New Roman"/>
              </w:rPr>
            </w:pPr>
            <w:r>
              <w:rPr>
                <w:rFonts w:cs="Times New Roman"/>
              </w:rPr>
              <w:t>5.0max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1" w:type="dxa"/>
            <w:vAlign w:val="center"/>
          </w:tcPr>
          <w:p>
            <w:pPr>
              <w:pStyle w:val="70"/>
              <w:rPr>
                <w:rFonts w:cs="Times New Roman"/>
              </w:rPr>
            </w:pPr>
            <w:r>
              <w:rPr>
                <w:rFonts w:cs="Times New Roman"/>
              </w:rPr>
              <w:t>Fe10</w:t>
            </w:r>
          </w:p>
        </w:tc>
        <w:tc>
          <w:tcPr>
            <w:tcW w:w="2840" w:type="dxa"/>
            <w:vAlign w:val="center"/>
          </w:tcPr>
          <w:p>
            <w:pPr>
              <w:pStyle w:val="70"/>
              <w:rPr>
                <w:rFonts w:cs="Times New Roman"/>
              </w:rPr>
            </w:pPr>
            <w:r>
              <w:rPr>
                <w:rFonts w:cs="Times New Roman"/>
              </w:rPr>
              <w:t>铁</w:t>
            </w:r>
          </w:p>
        </w:tc>
        <w:tc>
          <w:tcPr>
            <w:tcW w:w="2913" w:type="dxa"/>
            <w:vAlign w:val="center"/>
          </w:tcPr>
          <w:p>
            <w:pPr>
              <w:pStyle w:val="70"/>
              <w:rPr>
                <w:rFonts w:cs="Times New Roman"/>
              </w:rPr>
            </w:pPr>
            <w:r>
              <w:rPr>
                <w:rFonts w:cs="Times New Roman"/>
              </w:rPr>
              <w:t>10.0max</w:t>
            </w:r>
          </w:p>
        </w:tc>
      </w:tr>
    </w:tbl>
    <w:p>
      <w:pPr>
        <w:ind w:firstLine="420"/>
        <w:rPr>
          <w:rFonts w:cs="Times New Roman"/>
        </w:rPr>
      </w:pPr>
    </w:p>
    <w:p>
      <w:pPr>
        <w:ind w:firstLine="420"/>
        <w:rPr>
          <w:rFonts w:cs="Times New Roman"/>
        </w:rPr>
      </w:pPr>
      <w:r>
        <w:rPr>
          <w:rFonts w:cs="Times New Roman"/>
        </w:rPr>
        <w:t>对于需要符合</w:t>
      </w:r>
      <w:r>
        <w:rPr>
          <w:rFonts w:hint="eastAsia" w:cs="Times New Roman"/>
        </w:rPr>
        <w:t>ISO 15156</w:t>
      </w:r>
      <w:r>
        <w:rPr>
          <w:rFonts w:cs="Times New Roman"/>
        </w:rPr>
        <w:t>要求的其他成分，堆焊层的化学分析应符合相应的</w:t>
      </w:r>
      <w:r>
        <w:rPr>
          <w:rFonts w:hint="eastAsia" w:cs="Times New Roman"/>
        </w:rPr>
        <w:t>ISO 15156</w:t>
      </w:r>
      <w:r>
        <w:rPr>
          <w:rFonts w:cs="Times New Roman"/>
        </w:rPr>
        <w:t>批准材料的规范限值。</w:t>
      </w:r>
    </w:p>
    <w:p>
      <w:pPr>
        <w:ind w:firstLine="420"/>
        <w:rPr>
          <w:rFonts w:cs="Times New Roman"/>
        </w:rPr>
      </w:pPr>
      <w:r>
        <w:rPr>
          <w:rFonts w:cs="Times New Roman"/>
        </w:rPr>
        <w:t>应控制粗加工公差和精加工公差，以确保暴露层满足通过鉴定确定的稀释度。</w:t>
      </w:r>
    </w:p>
    <w:p>
      <w:pPr>
        <w:ind w:firstLine="420"/>
        <w:rPr>
          <w:rFonts w:cs="Times New Roman"/>
        </w:rPr>
      </w:pPr>
      <w:r>
        <w:rPr>
          <w:rFonts w:cs="Times New Roman"/>
        </w:rPr>
        <w:t>焊后热处理之后，母材金属应保持最低力学性能要求。制造商应规定确定力学性能的方法，结果记录应作为工艺评定记录的一部分。</w:t>
      </w:r>
    </w:p>
    <w:p>
      <w:pPr>
        <w:ind w:firstLine="420"/>
        <w:rPr>
          <w:rFonts w:cs="Times New Roman"/>
        </w:rPr>
      </w:pPr>
      <w:r>
        <w:rPr>
          <w:rFonts w:cs="Times New Roman"/>
        </w:rPr>
        <w:t>如果堆焊层材料不被认为是制造商或本标准的设计准则的组成部分，则不要求对堆焊层进行拉伸试验和冲击试验。除环槽外，如果堆焊层作为制造商的设计标准的部分或其中的产品尺寸都在本标准中规定</w:t>
      </w:r>
      <w:r>
        <w:rPr>
          <w:rFonts w:hint="eastAsia" w:cs="Times New Roman"/>
        </w:rPr>
        <w:t>。</w:t>
      </w:r>
    </w:p>
    <w:p>
      <w:pPr>
        <w:ind w:firstLine="420"/>
        <w:rPr>
          <w:rFonts w:cs="Times New Roman"/>
        </w:rPr>
      </w:pPr>
      <w:r>
        <w:rPr>
          <w:rFonts w:cs="Times New Roman"/>
        </w:rPr>
        <w:t>如果堆焊层材料是制造商设计标准的一部分，堆焊层材料机械性能试验验收标准应根据</w:t>
      </w:r>
      <w:r>
        <w:rPr>
          <w:rFonts w:hint="eastAsia" w:cs="Times New Roman"/>
        </w:rPr>
        <w:t>4.3</w:t>
      </w:r>
      <w:r>
        <w:rPr>
          <w:rFonts w:cs="Times New Roman"/>
        </w:rPr>
        <w:t>中的规定，或由制造商书面规范。</w:t>
      </w:r>
    </w:p>
    <w:p>
      <w:pPr>
        <w:ind w:firstLine="420"/>
        <w:rPr>
          <w:rFonts w:cs="Times New Roman"/>
        </w:rPr>
      </w:pPr>
      <w:r>
        <w:rPr>
          <w:rFonts w:cs="Times New Roman"/>
        </w:rPr>
        <w:t>对于PSL2、PSL3，应在焊接金属上进行硬度试验，作为工艺评定试验的一部分。试验位置应在原母材金属的3mm范围内。三个或三个以上试验结果的平均值应等于或大于92HRBW，并作为PQR的一部分进行记录。注：环槽堆焊硬度试验要求不适用于PSL1。</w:t>
      </w:r>
    </w:p>
    <w:p>
      <w:pPr>
        <w:pStyle w:val="41"/>
        <w:rPr>
          <w:rFonts w:cs="Times New Roman"/>
        </w:rPr>
      </w:pPr>
      <w:r>
        <w:rPr>
          <w:rFonts w:cs="Times New Roman"/>
        </w:rPr>
        <w:t>非耐腐蚀堆焊</w:t>
      </w:r>
    </w:p>
    <w:p>
      <w:pPr>
        <w:ind w:firstLine="420"/>
        <w:rPr>
          <w:rFonts w:cs="Times New Roman"/>
        </w:rPr>
      </w:pPr>
      <w:r>
        <w:rPr>
          <w:rFonts w:cs="Times New Roman"/>
        </w:rPr>
        <w:t>抗腐蚀性以外的耐磨堆焊或其他焊接金属堆焊层应</w:t>
      </w:r>
      <w:r>
        <w:rPr>
          <w:rFonts w:hint="eastAsia" w:cs="Times New Roman"/>
        </w:rPr>
        <w:t>由</w:t>
      </w:r>
      <w:r>
        <w:rPr>
          <w:rFonts w:cs="Times New Roman"/>
        </w:rPr>
        <w:t>制造商</w:t>
      </w:r>
      <w:r>
        <w:rPr>
          <w:rFonts w:hint="eastAsia" w:cs="Times New Roman"/>
        </w:rPr>
        <w:t>按照以下要求形成</w:t>
      </w:r>
      <w:r>
        <w:rPr>
          <w:rFonts w:cs="Times New Roman"/>
        </w:rPr>
        <w:t>书面规范</w:t>
      </w:r>
      <w:r>
        <w:rPr>
          <w:rFonts w:hint="eastAsia" w:cs="Times New Roman"/>
        </w:rPr>
        <w:t>规定</w:t>
      </w:r>
      <w:r>
        <w:rPr>
          <w:rFonts w:cs="Times New Roman"/>
        </w:rPr>
        <w:t>。</w:t>
      </w:r>
    </w:p>
    <w:p>
      <w:pPr>
        <w:ind w:firstLine="420"/>
        <w:rPr>
          <w:rFonts w:cs="Times New Roman"/>
        </w:rPr>
      </w:pPr>
      <w:r>
        <w:rPr>
          <w:rFonts w:cs="Times New Roman"/>
        </w:rPr>
        <w:t>对于PSL1、PSL2、PSL3</w:t>
      </w:r>
      <w:r>
        <w:rPr>
          <w:rFonts w:hint="eastAsia" w:cs="Times New Roman"/>
        </w:rPr>
        <w:t>任一产品规范等级，</w:t>
      </w:r>
      <w:r>
        <w:rPr>
          <w:rFonts w:cs="Times New Roman"/>
        </w:rPr>
        <w:t>堆焊层</w:t>
      </w:r>
      <w:r>
        <w:rPr>
          <w:rFonts w:hint="eastAsia" w:cs="Times New Roman"/>
        </w:rPr>
        <w:t>均</w:t>
      </w:r>
      <w:r>
        <w:rPr>
          <w:rFonts w:cs="Times New Roman"/>
        </w:rPr>
        <w:t>应根据ASME BPVC第IX卷或ISO 15614-7要求对堆焊层进行焊接工艺/性能评定，用于硫化氢环境的硬面或其他类型的堆焊层应符合NACE MR 0175的要求。焊后热处理后，母材应保持最低机械性能要求。制造商应规定确保这些机械性能的方法，并将结果记录在PQR中。</w:t>
      </w:r>
    </w:p>
    <w:p>
      <w:pPr>
        <w:pStyle w:val="41"/>
        <w:rPr>
          <w:rFonts w:cs="Times New Roman"/>
        </w:rPr>
      </w:pPr>
      <w:bookmarkStart w:id="109" w:name="_Toc106978453"/>
      <w:r>
        <w:rPr>
          <w:rFonts w:cs="Times New Roman"/>
        </w:rPr>
        <w:t>堆焊层返修</w:t>
      </w:r>
      <w:bookmarkEnd w:id="109"/>
    </w:p>
    <w:p>
      <w:pPr>
        <w:ind w:firstLine="420"/>
        <w:rPr>
          <w:rFonts w:cs="Times New Roman"/>
        </w:rPr>
      </w:pPr>
      <w:r>
        <w:rPr>
          <w:rFonts w:cs="Times New Roman"/>
        </w:rPr>
        <w:t>对于PSL1、PSL2、PSL3，堆焊层返修包括用堆焊材料堆焊的相连的母材金属的返修，仅在下列情况下可接受：</w:t>
      </w:r>
    </w:p>
    <w:p>
      <w:pPr>
        <w:ind w:firstLine="420"/>
        <w:rPr>
          <w:rFonts w:cs="Times New Roman"/>
        </w:rPr>
      </w:pPr>
      <w:r>
        <w:rPr>
          <w:rFonts w:hint="eastAsia" w:cs="Times New Roman"/>
        </w:rPr>
        <w:t>按照</w:t>
      </w:r>
      <w:r>
        <w:rPr>
          <w:rFonts w:cs="Times New Roman"/>
        </w:rPr>
        <w:t>原</w:t>
      </w:r>
      <w:r>
        <w:rPr>
          <w:rFonts w:hint="eastAsia" w:cs="Times New Roman"/>
        </w:rPr>
        <w:t>焊缝制备工艺的所有</w:t>
      </w:r>
      <w:r>
        <w:rPr>
          <w:rFonts w:cs="Times New Roman"/>
        </w:rPr>
        <w:t>相应要求</w:t>
      </w:r>
      <w:r>
        <w:rPr>
          <w:rFonts w:hint="eastAsia" w:cs="Times New Roman"/>
        </w:rPr>
        <w:t>实施</w:t>
      </w:r>
      <w:r>
        <w:rPr>
          <w:rFonts w:cs="Times New Roman"/>
        </w:rPr>
        <w:t>；</w:t>
      </w:r>
    </w:p>
    <w:p>
      <w:pPr>
        <w:ind w:firstLine="420"/>
        <w:rPr>
          <w:rFonts w:cs="Times New Roman"/>
        </w:rPr>
      </w:pPr>
      <w:r>
        <w:rPr>
          <w:rFonts w:cs="Times New Roman"/>
        </w:rPr>
        <w:t>如果堆焊层的堆焊材料和/或堆焊的母材金属被认为是制造商或本标准设计规范中的组成部分，则应满足设计准则中列出的那些性能；</w:t>
      </w:r>
    </w:p>
    <w:p>
      <w:pPr>
        <w:ind w:firstLine="420"/>
        <w:rPr>
          <w:rFonts w:cs="Times New Roman"/>
        </w:rPr>
      </w:pPr>
      <w:r>
        <w:rPr>
          <w:rFonts w:cs="Times New Roman"/>
        </w:rPr>
        <w:t>用于硫化氢环境的堆焊层修理和堆焊的相连母材金属应符合NACE MR 0175的要求。</w:t>
      </w:r>
    </w:p>
    <w:p>
      <w:pPr>
        <w:pStyle w:val="39"/>
      </w:pPr>
      <w:bookmarkStart w:id="110" w:name="_Toc112341742"/>
      <w:r>
        <w:t>记录</w:t>
      </w:r>
      <w:bookmarkEnd w:id="110"/>
    </w:p>
    <w:p>
      <w:pPr>
        <w:pStyle w:val="40"/>
      </w:pPr>
      <w:r>
        <w:t>总则</w:t>
      </w:r>
    </w:p>
    <w:p>
      <w:pPr>
        <w:ind w:firstLine="420"/>
        <w:rPr>
          <w:rFonts w:cs="Times New Roman"/>
        </w:rPr>
      </w:pPr>
      <w:r>
        <w:rPr>
          <w:rFonts w:cs="Times New Roman"/>
        </w:rPr>
        <w:t>质量控制记录应满足：</w:t>
      </w:r>
    </w:p>
    <w:p>
      <w:pPr>
        <w:pStyle w:val="45"/>
        <w:numPr>
          <w:ilvl w:val="0"/>
          <w:numId w:val="9"/>
        </w:numPr>
        <w:ind w:firstLineChars="0"/>
        <w:rPr>
          <w:rFonts w:cs="Times New Roman"/>
        </w:rPr>
      </w:pPr>
      <w:r>
        <w:rPr>
          <w:rFonts w:cs="Times New Roman"/>
        </w:rPr>
        <w:t>签署并注明日期；</w:t>
      </w:r>
    </w:p>
    <w:p>
      <w:pPr>
        <w:pStyle w:val="45"/>
        <w:numPr>
          <w:ilvl w:val="0"/>
          <w:numId w:val="9"/>
        </w:numPr>
        <w:ind w:firstLineChars="0"/>
        <w:rPr>
          <w:rFonts w:cs="Times New Roman"/>
        </w:rPr>
      </w:pPr>
      <w:r>
        <w:rPr>
          <w:rFonts w:cs="Times New Roman"/>
        </w:rPr>
        <w:t>由制造商保管，其保存期限应从产品制造日期起至少10年；</w:t>
      </w:r>
    </w:p>
    <w:p>
      <w:pPr>
        <w:pStyle w:val="45"/>
        <w:numPr>
          <w:ilvl w:val="0"/>
          <w:numId w:val="9"/>
        </w:numPr>
        <w:ind w:firstLineChars="0"/>
        <w:rPr>
          <w:rFonts w:cs="Times New Roman"/>
        </w:rPr>
      </w:pPr>
      <w:r>
        <w:rPr>
          <w:rFonts w:cs="Times New Roman"/>
        </w:rPr>
        <w:t>清晰、易于识别和可检索，并应避免损坏、变质或遗失。</w:t>
      </w:r>
    </w:p>
    <w:p>
      <w:pPr>
        <w:pStyle w:val="40"/>
      </w:pPr>
      <w:r>
        <w:t>制造商维护的记录</w:t>
      </w:r>
    </w:p>
    <w:p>
      <w:pPr>
        <w:pStyle w:val="41"/>
        <w:rPr>
          <w:rFonts w:cs="Times New Roman"/>
        </w:rPr>
      </w:pPr>
      <w:r>
        <w:rPr>
          <w:rFonts w:cs="Times New Roman"/>
        </w:rPr>
        <w:t>压力试验记录</w:t>
      </w:r>
    </w:p>
    <w:p>
      <w:pPr>
        <w:ind w:left="420" w:firstLine="0" w:firstLineChars="0"/>
        <w:rPr>
          <w:rFonts w:cs="Times New Roman"/>
        </w:rPr>
      </w:pPr>
      <w:r>
        <w:rPr>
          <w:rFonts w:cs="Times New Roman"/>
        </w:rPr>
        <w:t>PSL 3产品，应维护以下记录：</w:t>
      </w:r>
    </w:p>
    <w:p>
      <w:pPr>
        <w:pStyle w:val="45"/>
        <w:numPr>
          <w:ilvl w:val="0"/>
          <w:numId w:val="10"/>
        </w:numPr>
        <w:ind w:firstLineChars="0"/>
        <w:rPr>
          <w:rFonts w:cs="Times New Roman"/>
        </w:rPr>
      </w:pPr>
      <w:r>
        <w:rPr>
          <w:rFonts w:cs="Times New Roman"/>
        </w:rPr>
        <w:t>所有静水压试验应采用压力记录装置。该记录应标明记录装置、注明日期并签署。</w:t>
      </w:r>
    </w:p>
    <w:p>
      <w:pPr>
        <w:pStyle w:val="45"/>
        <w:numPr>
          <w:ilvl w:val="0"/>
          <w:numId w:val="10"/>
        </w:numPr>
        <w:ind w:firstLineChars="0"/>
        <w:rPr>
          <w:rFonts w:cs="Times New Roman"/>
        </w:rPr>
      </w:pPr>
      <w:r>
        <w:rPr>
          <w:rFonts w:cs="Times New Roman"/>
        </w:rPr>
        <w:t>气压试验应书面规定试验参数和验收准则。气压试验不要求使用压力记录装置。</w:t>
      </w:r>
    </w:p>
    <w:p>
      <w:pPr>
        <w:pStyle w:val="45"/>
        <w:numPr>
          <w:ilvl w:val="0"/>
          <w:numId w:val="10"/>
        </w:numPr>
        <w:ind w:firstLineChars="0"/>
        <w:rPr>
          <w:rFonts w:cs="Times New Roman"/>
        </w:rPr>
      </w:pPr>
      <w:r>
        <w:rPr>
          <w:rFonts w:cs="Times New Roman"/>
        </w:rPr>
        <w:t>如果压力记录装置不符合ISO 10423中压力测量装置的要求，则应与校准的压力测量装置一起使用，并且在每个保压期开始和结束时记录压力测量值。</w:t>
      </w:r>
    </w:p>
    <w:p>
      <w:pPr>
        <w:ind w:firstLine="420"/>
        <w:rPr>
          <w:rFonts w:cs="Times New Roman"/>
        </w:rPr>
      </w:pPr>
      <w:r>
        <w:rPr>
          <w:rFonts w:cs="Times New Roman"/>
        </w:rPr>
        <w:t>注1：图形和签名都可以是数字或模拟的。</w:t>
      </w:r>
    </w:p>
    <w:p>
      <w:pPr>
        <w:ind w:firstLine="420"/>
        <w:rPr>
          <w:rFonts w:cs="Times New Roman"/>
        </w:rPr>
      </w:pPr>
      <w:r>
        <w:rPr>
          <w:rFonts w:cs="Times New Roman"/>
        </w:rPr>
        <w:t>注2：压力试验要求不适用于PSL1和PSL2。</w:t>
      </w:r>
    </w:p>
    <w:p>
      <w:pPr>
        <w:pStyle w:val="41"/>
        <w:rPr>
          <w:rFonts w:cs="Times New Roman"/>
        </w:rPr>
      </w:pPr>
      <w:r>
        <w:rPr>
          <w:rFonts w:cs="Times New Roman"/>
        </w:rPr>
        <w:t>PSL1产品</w:t>
      </w:r>
    </w:p>
    <w:p>
      <w:pPr>
        <w:ind w:firstLine="420"/>
        <w:rPr>
          <w:rFonts w:cs="Times New Roman"/>
        </w:rPr>
      </w:pPr>
      <w:r>
        <w:rPr>
          <w:rFonts w:cs="Times New Roman"/>
        </w:rPr>
        <w:t>应维护以下记录：</w:t>
      </w:r>
    </w:p>
    <w:p>
      <w:pPr>
        <w:pStyle w:val="45"/>
        <w:numPr>
          <w:ilvl w:val="0"/>
          <w:numId w:val="11"/>
        </w:numPr>
        <w:ind w:firstLineChars="0"/>
        <w:rPr>
          <w:rFonts w:cs="Times New Roman"/>
        </w:rPr>
      </w:pPr>
      <w:r>
        <w:rPr>
          <w:rFonts w:cs="Times New Roman"/>
        </w:rPr>
        <w:t>材料试验记录：</w:t>
      </w:r>
    </w:p>
    <w:p>
      <w:pPr>
        <w:pStyle w:val="45"/>
        <w:ind w:left="840" w:firstLine="0" w:firstLineChars="0"/>
        <w:rPr>
          <w:rFonts w:cs="Times New Roman"/>
        </w:rPr>
      </w:pPr>
      <w:r>
        <w:rPr>
          <w:rFonts w:cs="Times New Roman"/>
        </w:rPr>
        <w:t>—化学分析</w:t>
      </w:r>
    </w:p>
    <w:p>
      <w:pPr>
        <w:pStyle w:val="45"/>
        <w:ind w:left="840" w:firstLine="0" w:firstLineChars="0"/>
        <w:rPr>
          <w:rFonts w:cs="Times New Roman"/>
        </w:rPr>
      </w:pPr>
      <w:r>
        <w:rPr>
          <w:rFonts w:cs="Times New Roman"/>
        </w:rPr>
        <w:t>—拉伸试验</w:t>
      </w:r>
    </w:p>
    <w:p>
      <w:pPr>
        <w:pStyle w:val="45"/>
        <w:ind w:left="840" w:firstLine="0" w:firstLineChars="0"/>
        <w:rPr>
          <w:rFonts w:cs="Times New Roman"/>
        </w:rPr>
      </w:pPr>
      <w:r>
        <w:rPr>
          <w:rFonts w:cs="Times New Roman"/>
        </w:rPr>
        <w:t>—冲击试验（若需要）</w:t>
      </w:r>
    </w:p>
    <w:p>
      <w:pPr>
        <w:pStyle w:val="45"/>
        <w:ind w:left="840" w:firstLine="0" w:firstLineChars="0"/>
        <w:rPr>
          <w:rFonts w:cs="Times New Roman"/>
        </w:rPr>
      </w:pPr>
      <w:r>
        <w:rPr>
          <w:rFonts w:cs="Times New Roman"/>
        </w:rPr>
        <w:t>—硬度试验；</w:t>
      </w:r>
    </w:p>
    <w:p>
      <w:pPr>
        <w:pStyle w:val="45"/>
        <w:numPr>
          <w:ilvl w:val="0"/>
          <w:numId w:val="11"/>
        </w:numPr>
        <w:ind w:firstLineChars="0"/>
        <w:rPr>
          <w:rFonts w:cs="Times New Roman"/>
        </w:rPr>
      </w:pPr>
      <w:r>
        <w:rPr>
          <w:rFonts w:cs="Times New Roman"/>
        </w:rPr>
        <w:t>焊接工艺记录：</w:t>
      </w:r>
    </w:p>
    <w:p>
      <w:pPr>
        <w:pStyle w:val="45"/>
        <w:ind w:left="840" w:firstLine="0" w:firstLineChars="0"/>
        <w:rPr>
          <w:rFonts w:cs="Times New Roman"/>
        </w:rPr>
      </w:pPr>
      <w:r>
        <w:rPr>
          <w:rFonts w:cs="Times New Roman"/>
        </w:rPr>
        <w:t>—焊接工艺规范；</w:t>
      </w:r>
    </w:p>
    <w:p>
      <w:pPr>
        <w:pStyle w:val="45"/>
        <w:ind w:left="840" w:firstLine="0" w:firstLineChars="0"/>
        <w:rPr>
          <w:rFonts w:cs="Times New Roman"/>
        </w:rPr>
      </w:pPr>
      <w:r>
        <w:rPr>
          <w:rFonts w:cs="Times New Roman"/>
        </w:rPr>
        <w:t>—焊接工艺评定记录；</w:t>
      </w:r>
    </w:p>
    <w:p>
      <w:pPr>
        <w:pStyle w:val="45"/>
        <w:ind w:left="840" w:firstLine="0" w:firstLineChars="0"/>
        <w:rPr>
          <w:rFonts w:cs="Times New Roman"/>
        </w:rPr>
      </w:pPr>
      <w:r>
        <w:rPr>
          <w:rFonts w:cs="Times New Roman"/>
        </w:rPr>
        <w:t>—焊工资质评定记录。</w:t>
      </w:r>
    </w:p>
    <w:p>
      <w:pPr>
        <w:pStyle w:val="45"/>
        <w:numPr>
          <w:ilvl w:val="0"/>
          <w:numId w:val="11"/>
        </w:numPr>
        <w:ind w:firstLineChars="0"/>
        <w:rPr>
          <w:rFonts w:cs="Times New Roman"/>
        </w:rPr>
      </w:pPr>
      <w:r>
        <w:rPr>
          <w:rFonts w:cs="Times New Roman"/>
        </w:rPr>
        <w:t>无损检测人员资格记录（需要无损检测时）。</w:t>
      </w:r>
    </w:p>
    <w:p>
      <w:pPr>
        <w:pStyle w:val="45"/>
        <w:numPr>
          <w:ilvl w:val="0"/>
          <w:numId w:val="11"/>
        </w:numPr>
        <w:ind w:firstLineChars="0"/>
        <w:rPr>
          <w:rFonts w:cs="Times New Roman"/>
        </w:rPr>
      </w:pPr>
      <w:r>
        <w:rPr>
          <w:rFonts w:cs="Times New Roman"/>
        </w:rPr>
        <w:t>硬度试验（如适用）。</w:t>
      </w:r>
    </w:p>
    <w:p>
      <w:pPr>
        <w:pStyle w:val="41"/>
        <w:rPr>
          <w:rFonts w:cs="Times New Roman"/>
        </w:rPr>
      </w:pPr>
      <w:r>
        <w:rPr>
          <w:rFonts w:cs="Times New Roman"/>
        </w:rPr>
        <w:t>PSL2产品</w:t>
      </w:r>
    </w:p>
    <w:p>
      <w:pPr>
        <w:ind w:firstLineChars="0"/>
        <w:rPr>
          <w:rFonts w:cs="Times New Roman"/>
        </w:rPr>
      </w:pPr>
      <w:r>
        <w:rPr>
          <w:rFonts w:cs="Times New Roman"/>
        </w:rPr>
        <w:t>应维护以下记录：</w:t>
      </w:r>
    </w:p>
    <w:p>
      <w:pPr>
        <w:pStyle w:val="45"/>
        <w:numPr>
          <w:ilvl w:val="0"/>
          <w:numId w:val="12"/>
        </w:numPr>
        <w:ind w:firstLineChars="0"/>
        <w:rPr>
          <w:rFonts w:cs="Times New Roman"/>
        </w:rPr>
      </w:pPr>
      <w:r>
        <w:rPr>
          <w:rFonts w:cs="Times New Roman"/>
        </w:rPr>
        <w:t>PSL1 要求的所有记录；</w:t>
      </w:r>
    </w:p>
    <w:p>
      <w:pPr>
        <w:pStyle w:val="45"/>
        <w:ind w:left="840" w:firstLine="0" w:firstLineChars="0"/>
        <w:rPr>
          <w:rFonts w:cs="Times New Roman"/>
        </w:rPr>
      </w:pPr>
      <w:r>
        <w:rPr>
          <w:rFonts w:cs="Times New Roman"/>
        </w:rPr>
        <w:t>—表面无损检测记录；</w:t>
      </w:r>
    </w:p>
    <w:p>
      <w:pPr>
        <w:pStyle w:val="45"/>
        <w:ind w:left="840" w:firstLine="0" w:firstLineChars="0"/>
        <w:rPr>
          <w:rFonts w:cs="Times New Roman"/>
        </w:rPr>
      </w:pPr>
      <w:r>
        <w:rPr>
          <w:rFonts w:cs="Times New Roman"/>
        </w:rPr>
        <w:t>—焊缝内部无损检测记录；</w:t>
      </w:r>
    </w:p>
    <w:p>
      <w:pPr>
        <w:pStyle w:val="45"/>
        <w:ind w:left="840" w:firstLine="0" w:firstLineChars="0"/>
        <w:rPr>
          <w:rFonts w:cs="Times New Roman"/>
        </w:rPr>
      </w:pPr>
      <w:r>
        <w:rPr>
          <w:rFonts w:cs="Times New Roman"/>
        </w:rPr>
        <w:t>— 补焊无损检测记录；</w:t>
      </w:r>
    </w:p>
    <w:p>
      <w:pPr>
        <w:pStyle w:val="45"/>
        <w:numPr>
          <w:ilvl w:val="0"/>
          <w:numId w:val="12"/>
        </w:numPr>
        <w:ind w:firstLineChars="0"/>
        <w:rPr>
          <w:rFonts w:cs="Times New Roman"/>
        </w:rPr>
      </w:pPr>
      <w:r>
        <w:rPr>
          <w:rFonts w:cs="Times New Roman"/>
        </w:rPr>
        <w:t>无损检测记录：</w:t>
      </w:r>
    </w:p>
    <w:p>
      <w:pPr>
        <w:pStyle w:val="45"/>
        <w:numPr>
          <w:ilvl w:val="0"/>
          <w:numId w:val="12"/>
        </w:numPr>
        <w:ind w:firstLineChars="0"/>
        <w:rPr>
          <w:rFonts w:cs="Times New Roman"/>
        </w:rPr>
      </w:pPr>
      <w:r>
        <w:rPr>
          <w:rFonts w:cs="Times New Roman"/>
        </w:rPr>
        <w:t>热处理合格证。</w:t>
      </w:r>
    </w:p>
    <w:p>
      <w:pPr>
        <w:pStyle w:val="41"/>
        <w:rPr>
          <w:rFonts w:cs="Times New Roman"/>
        </w:rPr>
      </w:pPr>
      <w:r>
        <w:rPr>
          <w:rFonts w:cs="Times New Roman"/>
        </w:rPr>
        <w:t>PSL3产品</w:t>
      </w:r>
    </w:p>
    <w:p>
      <w:pPr>
        <w:ind w:firstLine="420"/>
        <w:rPr>
          <w:rFonts w:cs="Times New Roman"/>
        </w:rPr>
      </w:pPr>
      <w:r>
        <w:rPr>
          <w:rFonts w:cs="Times New Roman"/>
        </w:rPr>
        <w:t>应维护以下记录：</w:t>
      </w:r>
    </w:p>
    <w:p>
      <w:pPr>
        <w:pStyle w:val="45"/>
        <w:numPr>
          <w:ilvl w:val="0"/>
          <w:numId w:val="13"/>
        </w:numPr>
        <w:ind w:firstLineChars="0"/>
        <w:rPr>
          <w:rFonts w:cs="Times New Roman"/>
        </w:rPr>
      </w:pPr>
      <w:r>
        <w:rPr>
          <w:rFonts w:cs="Times New Roman"/>
        </w:rPr>
        <w:t>PSL2要求的所有记录；</w:t>
      </w:r>
    </w:p>
    <w:p>
      <w:pPr>
        <w:pStyle w:val="45"/>
        <w:numPr>
          <w:ilvl w:val="0"/>
          <w:numId w:val="13"/>
        </w:numPr>
        <w:ind w:firstLineChars="0"/>
        <w:rPr>
          <w:rFonts w:cs="Times New Roman"/>
        </w:rPr>
      </w:pPr>
      <w:r>
        <w:rPr>
          <w:rFonts w:cs="Times New Roman"/>
        </w:rPr>
        <w:t>所有要求的记录与特定零件的序列号相对应；</w:t>
      </w:r>
    </w:p>
    <w:p>
      <w:pPr>
        <w:pStyle w:val="45"/>
        <w:numPr>
          <w:ilvl w:val="0"/>
          <w:numId w:val="13"/>
        </w:numPr>
        <w:ind w:firstLineChars="0"/>
        <w:rPr>
          <w:rFonts w:cs="Times New Roman"/>
        </w:rPr>
      </w:pPr>
      <w:r>
        <w:rPr>
          <w:rFonts w:cs="Times New Roman"/>
        </w:rPr>
        <w:t>内部无损检测记录；</w:t>
      </w:r>
    </w:p>
    <w:p>
      <w:pPr>
        <w:pStyle w:val="45"/>
        <w:numPr>
          <w:ilvl w:val="0"/>
          <w:numId w:val="13"/>
        </w:numPr>
        <w:ind w:firstLineChars="0"/>
        <w:rPr>
          <w:rFonts w:cs="Times New Roman"/>
        </w:rPr>
      </w:pPr>
      <w:r>
        <w:rPr>
          <w:rFonts w:cs="Times New Roman"/>
        </w:rPr>
        <w:t>热处理记录：</w:t>
      </w:r>
    </w:p>
    <w:p>
      <w:pPr>
        <w:pStyle w:val="45"/>
        <w:numPr>
          <w:ilvl w:val="0"/>
          <w:numId w:val="14"/>
        </w:numPr>
        <w:ind w:firstLineChars="0"/>
        <w:rPr>
          <w:rFonts w:cs="Times New Roman"/>
        </w:rPr>
      </w:pPr>
      <w:r>
        <w:rPr>
          <w:rFonts w:cs="Times New Roman"/>
        </w:rPr>
        <w:t>实际温度；</w:t>
      </w:r>
    </w:p>
    <w:p>
      <w:pPr>
        <w:pStyle w:val="45"/>
        <w:numPr>
          <w:ilvl w:val="0"/>
          <w:numId w:val="14"/>
        </w:numPr>
        <w:ind w:firstLineChars="0"/>
        <w:rPr>
          <w:rFonts w:cs="Times New Roman"/>
        </w:rPr>
      </w:pPr>
      <w:r>
        <w:rPr>
          <w:rFonts w:cs="Times New Roman"/>
        </w:rPr>
        <w:t>实际保温时间；</w:t>
      </w:r>
    </w:p>
    <w:p>
      <w:pPr>
        <w:pStyle w:val="45"/>
        <w:numPr>
          <w:ilvl w:val="0"/>
          <w:numId w:val="14"/>
        </w:numPr>
        <w:ind w:firstLineChars="0"/>
        <w:rPr>
          <w:rFonts w:cs="Times New Roman"/>
        </w:rPr>
      </w:pPr>
      <w:r>
        <w:rPr>
          <w:rFonts w:cs="Times New Roman"/>
        </w:rPr>
        <w:t>不要求合格证；</w:t>
      </w:r>
    </w:p>
    <w:p>
      <w:pPr>
        <w:pStyle w:val="45"/>
        <w:numPr>
          <w:ilvl w:val="0"/>
          <w:numId w:val="13"/>
        </w:numPr>
        <w:ind w:firstLineChars="0"/>
        <w:rPr>
          <w:rFonts w:cs="Times New Roman"/>
        </w:rPr>
      </w:pPr>
      <w:r>
        <w:rPr>
          <w:rFonts w:cs="Times New Roman"/>
        </w:rPr>
        <w:t>硬度试验记录，实际硬度；</w:t>
      </w:r>
    </w:p>
    <w:p>
      <w:pPr>
        <w:pStyle w:val="45"/>
        <w:numPr>
          <w:ilvl w:val="0"/>
          <w:numId w:val="13"/>
        </w:numPr>
        <w:ind w:firstLineChars="0"/>
        <w:rPr>
          <w:rFonts w:cs="Times New Roman"/>
        </w:rPr>
      </w:pPr>
      <w:r>
        <w:rPr>
          <w:rFonts w:cs="Times New Roman"/>
        </w:rPr>
        <w:t>焊接工艺记录：</w:t>
      </w:r>
    </w:p>
    <w:p>
      <w:pPr>
        <w:pStyle w:val="45"/>
        <w:numPr>
          <w:ilvl w:val="0"/>
          <w:numId w:val="14"/>
        </w:numPr>
        <w:ind w:firstLineChars="0"/>
        <w:rPr>
          <w:rFonts w:cs="Times New Roman"/>
        </w:rPr>
      </w:pPr>
      <w:r>
        <w:rPr>
          <w:rFonts w:cs="Times New Roman"/>
        </w:rPr>
        <w:t>焊机标志；</w:t>
      </w:r>
    </w:p>
    <w:p>
      <w:pPr>
        <w:pStyle w:val="45"/>
        <w:numPr>
          <w:ilvl w:val="0"/>
          <w:numId w:val="14"/>
        </w:numPr>
        <w:ind w:firstLineChars="0"/>
        <w:rPr>
          <w:rFonts w:cs="Times New Roman"/>
        </w:rPr>
      </w:pPr>
      <w:r>
        <w:rPr>
          <w:rFonts w:cs="Times New Roman"/>
        </w:rPr>
        <w:t>焊接工艺；</w:t>
      </w:r>
    </w:p>
    <w:p>
      <w:pPr>
        <w:pStyle w:val="45"/>
        <w:numPr>
          <w:ilvl w:val="0"/>
          <w:numId w:val="14"/>
        </w:numPr>
        <w:ind w:firstLineChars="0"/>
        <w:rPr>
          <w:rFonts w:cs="Times New Roman"/>
        </w:rPr>
      </w:pPr>
      <w:r>
        <w:rPr>
          <w:rFonts w:cs="Times New Roman"/>
        </w:rPr>
        <w:t>填充材料类型；</w:t>
      </w:r>
    </w:p>
    <w:p>
      <w:pPr>
        <w:pStyle w:val="45"/>
        <w:numPr>
          <w:ilvl w:val="0"/>
          <w:numId w:val="14"/>
        </w:numPr>
        <w:ind w:firstLineChars="0"/>
        <w:rPr>
          <w:rFonts w:cs="Times New Roman"/>
        </w:rPr>
      </w:pPr>
      <w:r>
        <w:rPr>
          <w:rFonts w:cs="Times New Roman"/>
        </w:rPr>
        <w:t>焊后热处理；</w:t>
      </w:r>
    </w:p>
    <w:p>
      <w:pPr>
        <w:pStyle w:val="45"/>
        <w:numPr>
          <w:ilvl w:val="0"/>
          <w:numId w:val="13"/>
        </w:numPr>
        <w:ind w:firstLineChars="0"/>
        <w:rPr>
          <w:rFonts w:cs="Times New Roman"/>
        </w:rPr>
      </w:pPr>
      <w:r>
        <w:rPr>
          <w:rFonts w:cs="Times New Roman"/>
        </w:rPr>
        <w:t>尺寸检验记录。</w:t>
      </w:r>
    </w:p>
    <w:p>
      <w:pPr>
        <w:pStyle w:val="41"/>
        <w:rPr>
          <w:rFonts w:cs="Times New Roman"/>
        </w:rPr>
      </w:pPr>
      <w:r>
        <w:rPr>
          <w:rFonts w:cs="Times New Roman"/>
        </w:rPr>
        <w:t>总装装置记录</w:t>
      </w:r>
    </w:p>
    <w:p>
      <w:pPr>
        <w:ind w:firstLine="420"/>
        <w:rPr>
          <w:rFonts w:cs="Times New Roman"/>
        </w:rPr>
      </w:pPr>
      <w:r>
        <w:rPr>
          <w:rFonts w:cs="Times New Roman"/>
        </w:rPr>
        <w:t>PSL1不要求记录；</w:t>
      </w:r>
    </w:p>
    <w:p>
      <w:pPr>
        <w:ind w:firstLine="420"/>
        <w:rPr>
          <w:rFonts w:cs="Times New Roman"/>
        </w:rPr>
      </w:pPr>
      <w:r>
        <w:rPr>
          <w:rFonts w:cs="Times New Roman"/>
        </w:rPr>
        <w:t>PSL 2要求以下压力试验记录：</w:t>
      </w:r>
    </w:p>
    <w:p>
      <w:pPr>
        <w:pStyle w:val="45"/>
        <w:numPr>
          <w:ilvl w:val="0"/>
          <w:numId w:val="15"/>
        </w:numPr>
        <w:ind w:firstLineChars="0"/>
        <w:rPr>
          <w:rFonts w:cs="Times New Roman"/>
        </w:rPr>
      </w:pPr>
      <w:r>
        <w:rPr>
          <w:rFonts w:cs="Times New Roman"/>
        </w:rPr>
        <w:t>实际试验压力；</w:t>
      </w:r>
    </w:p>
    <w:p>
      <w:pPr>
        <w:pStyle w:val="45"/>
        <w:numPr>
          <w:ilvl w:val="0"/>
          <w:numId w:val="15"/>
        </w:numPr>
        <w:ind w:firstLineChars="0"/>
        <w:rPr>
          <w:rFonts w:cs="Times New Roman"/>
        </w:rPr>
      </w:pPr>
      <w:r>
        <w:rPr>
          <w:rFonts w:cs="Times New Roman"/>
        </w:rPr>
        <w:t>保压持续时间；</w:t>
      </w:r>
    </w:p>
    <w:p>
      <w:pPr>
        <w:ind w:firstLine="420"/>
        <w:rPr>
          <w:rFonts w:cs="Times New Roman"/>
        </w:rPr>
      </w:pPr>
      <w:r>
        <w:rPr>
          <w:rFonts w:cs="Times New Roman"/>
        </w:rPr>
        <w:t>PSL 3要求以下记录：</w:t>
      </w:r>
    </w:p>
    <w:p>
      <w:pPr>
        <w:pStyle w:val="45"/>
        <w:numPr>
          <w:ilvl w:val="0"/>
          <w:numId w:val="15"/>
        </w:numPr>
        <w:ind w:firstLineChars="0"/>
        <w:rPr>
          <w:rFonts w:cs="Times New Roman"/>
        </w:rPr>
      </w:pPr>
      <w:r>
        <w:rPr>
          <w:rFonts w:cs="Times New Roman"/>
        </w:rPr>
        <w:t>PSL2要求的所有记录；</w:t>
      </w:r>
    </w:p>
    <w:p>
      <w:pPr>
        <w:pStyle w:val="45"/>
        <w:numPr>
          <w:ilvl w:val="0"/>
          <w:numId w:val="15"/>
        </w:numPr>
        <w:ind w:firstLineChars="0"/>
        <w:rPr>
          <w:rFonts w:cs="Times New Roman"/>
        </w:rPr>
      </w:pPr>
      <w:r>
        <w:rPr>
          <w:rFonts w:cs="Times New Roman"/>
        </w:rPr>
        <w:t>可追溯组装记录；</w:t>
      </w:r>
    </w:p>
    <w:p>
      <w:pPr>
        <w:pStyle w:val="45"/>
        <w:numPr>
          <w:ilvl w:val="0"/>
          <w:numId w:val="15"/>
        </w:numPr>
        <w:ind w:firstLineChars="0"/>
        <w:rPr>
          <w:rFonts w:cs="Times New Roman"/>
        </w:rPr>
      </w:pPr>
      <w:r>
        <w:rPr>
          <w:rFonts w:cs="Times New Roman"/>
        </w:rPr>
        <w:t>静水压试验记录；</w:t>
      </w:r>
    </w:p>
    <w:p>
      <w:pPr>
        <w:pStyle w:val="45"/>
        <w:numPr>
          <w:ilvl w:val="0"/>
          <w:numId w:val="15"/>
        </w:numPr>
        <w:ind w:firstLineChars="0"/>
        <w:rPr>
          <w:rFonts w:cs="Times New Roman"/>
        </w:rPr>
      </w:pPr>
      <w:r>
        <w:rPr>
          <w:rFonts w:cs="Times New Roman"/>
        </w:rPr>
        <w:t>PSL3G装置要求气压试验记录：a)实际试验压力；b)实际保压持续时间。</w:t>
      </w:r>
    </w:p>
    <w:p>
      <w:pPr>
        <w:pStyle w:val="40"/>
      </w:pPr>
      <w:r>
        <w:t>提供给购买方的记录</w:t>
      </w:r>
    </w:p>
    <w:p>
      <w:pPr>
        <w:ind w:firstLine="420"/>
        <w:rPr>
          <w:rFonts w:cs="Times New Roman"/>
        </w:rPr>
      </w:pPr>
      <w:r>
        <w:rPr>
          <w:rFonts w:cs="Times New Roman"/>
        </w:rPr>
        <w:t>组装</w:t>
      </w:r>
      <w:r>
        <w:rPr>
          <w:rFonts w:hint="eastAsia" w:cs="Times New Roman"/>
        </w:rPr>
        <w:t>过程</w:t>
      </w:r>
      <w:r>
        <w:rPr>
          <w:rFonts w:cs="Times New Roman"/>
        </w:rPr>
        <w:t>记录：</w:t>
      </w:r>
    </w:p>
    <w:p>
      <w:pPr>
        <w:ind w:firstLine="420"/>
        <w:rPr>
          <w:rFonts w:cs="Times New Roman"/>
        </w:rPr>
      </w:pPr>
      <w:r>
        <w:rPr>
          <w:rFonts w:cs="Times New Roman"/>
        </w:rPr>
        <w:t>PSL1 和PSL 2，不要求记录。</w:t>
      </w:r>
    </w:p>
    <w:p>
      <w:pPr>
        <w:ind w:firstLine="420"/>
        <w:rPr>
          <w:rFonts w:cs="Times New Roman"/>
        </w:rPr>
      </w:pPr>
      <w:r>
        <w:rPr>
          <w:rFonts w:cs="Times New Roman"/>
        </w:rPr>
        <w:t>PSL 3，要求以下记录提供给购买方：</w:t>
      </w:r>
    </w:p>
    <w:p>
      <w:pPr>
        <w:pStyle w:val="45"/>
        <w:numPr>
          <w:ilvl w:val="0"/>
          <w:numId w:val="16"/>
        </w:numPr>
        <w:ind w:firstLineChars="0"/>
        <w:rPr>
          <w:rFonts w:cs="Times New Roman"/>
        </w:rPr>
      </w:pPr>
      <w:r>
        <w:rPr>
          <w:rFonts w:cs="Times New Roman"/>
        </w:rPr>
        <w:t>装置符合本文件PSL3要求，及温度和材料级别的合格证书；</w:t>
      </w:r>
    </w:p>
    <w:p>
      <w:pPr>
        <w:pStyle w:val="45"/>
        <w:numPr>
          <w:ilvl w:val="0"/>
          <w:numId w:val="16"/>
        </w:numPr>
        <w:ind w:firstLineChars="0"/>
        <w:rPr>
          <w:rFonts w:cs="Times New Roman"/>
        </w:rPr>
      </w:pPr>
      <w:r>
        <w:rPr>
          <w:rFonts w:cs="Times New Roman"/>
        </w:rPr>
        <w:t>组装追溯能力记录；</w:t>
      </w:r>
    </w:p>
    <w:p>
      <w:pPr>
        <w:pStyle w:val="45"/>
        <w:numPr>
          <w:ilvl w:val="0"/>
          <w:numId w:val="16"/>
        </w:numPr>
        <w:ind w:firstLineChars="0"/>
        <w:rPr>
          <w:rFonts w:cs="Times New Roman"/>
        </w:rPr>
      </w:pPr>
      <w:r>
        <w:rPr>
          <w:rFonts w:cs="Times New Roman"/>
        </w:rPr>
        <w:t>压力试验记录(见4.5.2.1).。</w:t>
      </w:r>
    </w:p>
    <w:p>
      <w:pPr>
        <w:ind w:firstLine="420"/>
        <w:rPr>
          <w:rFonts w:cs="Times New Roman"/>
        </w:rPr>
      </w:pPr>
      <w:r>
        <w:rPr>
          <w:rFonts w:cs="Times New Roman"/>
        </w:rPr>
        <w:t>PSL3G，要求以下记录提供给购买方：</w:t>
      </w:r>
    </w:p>
    <w:p>
      <w:pPr>
        <w:pStyle w:val="45"/>
        <w:numPr>
          <w:ilvl w:val="0"/>
          <w:numId w:val="17"/>
        </w:numPr>
        <w:ind w:firstLineChars="0"/>
        <w:rPr>
          <w:rFonts w:cs="Times New Roman"/>
        </w:rPr>
      </w:pPr>
      <w:r>
        <w:rPr>
          <w:rFonts w:cs="Times New Roman"/>
        </w:rPr>
        <w:t>PSL3的所有记录/合格证;</w:t>
      </w:r>
    </w:p>
    <w:p>
      <w:pPr>
        <w:pStyle w:val="45"/>
        <w:numPr>
          <w:ilvl w:val="0"/>
          <w:numId w:val="17"/>
        </w:numPr>
        <w:ind w:firstLineChars="0"/>
        <w:rPr>
          <w:rFonts w:cs="Times New Roman"/>
        </w:rPr>
      </w:pPr>
      <w:r>
        <w:rPr>
          <w:rFonts w:cs="Times New Roman"/>
        </w:rPr>
        <w:t>气压试验记录。</w:t>
      </w:r>
    </w:p>
    <w:bookmarkEnd w:id="77"/>
    <w:bookmarkEnd w:id="78"/>
    <w:bookmarkEnd w:id="79"/>
    <w:bookmarkEnd w:id="80"/>
    <w:bookmarkEnd w:id="81"/>
    <w:bookmarkEnd w:id="82"/>
    <w:p>
      <w:pPr>
        <w:pStyle w:val="38"/>
        <w:rPr>
          <w:rFonts w:cs="Times New Roman"/>
          <w:w w:val="100"/>
        </w:rPr>
      </w:pPr>
      <w:bookmarkStart w:id="111" w:name="_Toc112341743"/>
      <w:r>
        <w:rPr>
          <w:rFonts w:cs="Times New Roman"/>
          <w:w w:val="100"/>
        </w:rPr>
        <w:t>水下井口装置</w:t>
      </w:r>
      <w:bookmarkEnd w:id="111"/>
    </w:p>
    <w:p>
      <w:pPr>
        <w:pStyle w:val="39"/>
      </w:pPr>
      <w:bookmarkStart w:id="112" w:name="_Toc112341744"/>
      <w:r>
        <w:t>总则</w:t>
      </w:r>
      <w:bookmarkEnd w:id="112"/>
    </w:p>
    <w:p>
      <w:pPr>
        <w:ind w:firstLine="420"/>
        <w:rPr>
          <w:rFonts w:cs="Times New Roman"/>
        </w:rPr>
      </w:pPr>
      <w:r>
        <w:rPr>
          <w:rFonts w:cs="Times New Roman"/>
        </w:rPr>
        <w:t>本章节规定了水下井口装置各部件的设计、选材及试验等相关要求。包括以下典型部件：</w:t>
      </w:r>
    </w:p>
    <w:p>
      <w:pPr>
        <w:pStyle w:val="45"/>
        <w:numPr>
          <w:ilvl w:val="0"/>
          <w:numId w:val="18"/>
        </w:numPr>
        <w:ind w:firstLineChars="0"/>
        <w:rPr>
          <w:rFonts w:cs="Times New Roman"/>
        </w:rPr>
      </w:pPr>
      <w:r>
        <w:rPr>
          <w:rFonts w:cs="Times New Roman"/>
        </w:rPr>
        <w:t>临时导向基座；</w:t>
      </w:r>
    </w:p>
    <w:p>
      <w:pPr>
        <w:pStyle w:val="45"/>
        <w:numPr>
          <w:ilvl w:val="0"/>
          <w:numId w:val="18"/>
        </w:numPr>
        <w:ind w:firstLineChars="0"/>
        <w:rPr>
          <w:rFonts w:cs="Times New Roman"/>
        </w:rPr>
      </w:pPr>
      <w:r>
        <w:rPr>
          <w:rFonts w:cs="Times New Roman"/>
        </w:rPr>
        <w:t>永久导向基座成；</w:t>
      </w:r>
    </w:p>
    <w:p>
      <w:pPr>
        <w:pStyle w:val="45"/>
        <w:numPr>
          <w:ilvl w:val="0"/>
          <w:numId w:val="18"/>
        </w:numPr>
        <w:ind w:firstLineChars="0"/>
        <w:rPr>
          <w:rFonts w:cs="Times New Roman"/>
        </w:rPr>
      </w:pPr>
      <w:r>
        <w:rPr>
          <w:rFonts w:cs="Times New Roman"/>
        </w:rPr>
        <w:t>导管头；</w:t>
      </w:r>
    </w:p>
    <w:p>
      <w:pPr>
        <w:pStyle w:val="45"/>
        <w:numPr>
          <w:ilvl w:val="0"/>
          <w:numId w:val="18"/>
        </w:numPr>
        <w:ind w:firstLineChars="0"/>
        <w:rPr>
          <w:rFonts w:cs="Times New Roman"/>
        </w:rPr>
      </w:pPr>
      <w:r>
        <w:rPr>
          <w:rFonts w:cs="Times New Roman"/>
        </w:rPr>
        <w:t>高压导管头；</w:t>
      </w:r>
    </w:p>
    <w:p>
      <w:pPr>
        <w:pStyle w:val="45"/>
        <w:numPr>
          <w:ilvl w:val="0"/>
          <w:numId w:val="18"/>
        </w:numPr>
        <w:ind w:firstLineChars="0"/>
        <w:rPr>
          <w:rFonts w:cs="Times New Roman"/>
        </w:rPr>
      </w:pPr>
      <w:r>
        <w:rPr>
          <w:rFonts w:cs="Times New Roman"/>
        </w:rPr>
        <w:t>套管悬挂器；</w:t>
      </w:r>
    </w:p>
    <w:p>
      <w:pPr>
        <w:pStyle w:val="45"/>
        <w:numPr>
          <w:ilvl w:val="0"/>
          <w:numId w:val="18"/>
        </w:numPr>
        <w:ind w:firstLineChars="0"/>
        <w:rPr>
          <w:rFonts w:cs="Times New Roman"/>
        </w:rPr>
      </w:pPr>
      <w:r>
        <w:rPr>
          <w:rFonts w:cs="Times New Roman"/>
        </w:rPr>
        <w:t>环空密封总成；</w:t>
      </w:r>
    </w:p>
    <w:p>
      <w:pPr>
        <w:pStyle w:val="45"/>
        <w:numPr>
          <w:ilvl w:val="0"/>
          <w:numId w:val="18"/>
        </w:numPr>
        <w:ind w:firstLineChars="0"/>
        <w:rPr>
          <w:rFonts w:cs="Times New Roman"/>
        </w:rPr>
      </w:pPr>
      <w:r>
        <w:rPr>
          <w:rFonts w:cs="Times New Roman"/>
        </w:rPr>
        <w:t>防磨套筒和抗磨补芯。</w:t>
      </w:r>
    </w:p>
    <w:p>
      <w:pPr>
        <w:pStyle w:val="39"/>
      </w:pPr>
      <w:bookmarkStart w:id="113" w:name="_Toc95911876"/>
      <w:bookmarkStart w:id="114" w:name="_Toc95909861"/>
      <w:bookmarkStart w:id="115" w:name="_Toc95910603"/>
      <w:bookmarkStart w:id="116" w:name="_Toc112341745"/>
      <w:r>
        <w:t>临时导向基座</w:t>
      </w:r>
      <w:bookmarkEnd w:id="113"/>
      <w:bookmarkEnd w:id="114"/>
      <w:bookmarkEnd w:id="115"/>
      <w:bookmarkEnd w:id="116"/>
    </w:p>
    <w:p>
      <w:pPr>
        <w:pStyle w:val="40"/>
      </w:pPr>
      <w:bookmarkStart w:id="117" w:name="_Toc95911877"/>
      <w:r>
        <w:t>总则</w:t>
      </w:r>
      <w:bookmarkEnd w:id="117"/>
    </w:p>
    <w:p>
      <w:pPr>
        <w:ind w:firstLine="420"/>
        <w:rPr>
          <w:rFonts w:cs="Times New Roman"/>
        </w:rPr>
      </w:pPr>
      <w:r>
        <w:rPr>
          <w:rFonts w:cs="Times New Roman"/>
        </w:rPr>
        <w:t>临时导向基座安装于海底泥线，可强化泥线基础结构支撑力；可为导向绳建立初始定位；若需要，可与永久导向基座一起使用；使用喷射作业钻导管孔时，临时导向基座也可作为防沉板使用。在底盘完井或卫星结构完井场合下，通常不使用临时导向基座。</w:t>
      </w:r>
    </w:p>
    <w:p>
      <w:pPr>
        <w:pStyle w:val="40"/>
      </w:pPr>
      <w:bookmarkStart w:id="118" w:name="_Toc95911878"/>
      <w:r>
        <w:t>设计</w:t>
      </w:r>
      <w:bookmarkEnd w:id="118"/>
    </w:p>
    <w:p>
      <w:pPr>
        <w:pStyle w:val="41"/>
        <w:rPr>
          <w:rFonts w:cs="Times New Roman"/>
        </w:rPr>
      </w:pPr>
      <w:r>
        <w:rPr>
          <w:rFonts w:cs="Times New Roman"/>
        </w:rPr>
        <w:t>设计载荷/条件</w:t>
      </w:r>
    </w:p>
    <w:p>
      <w:pPr>
        <w:ind w:firstLine="420"/>
        <w:rPr>
          <w:rFonts w:cs="Times New Roman"/>
        </w:rPr>
      </w:pPr>
      <w:r>
        <w:rPr>
          <w:rFonts w:cs="Times New Roman"/>
        </w:rPr>
        <w:t>设计宜考虑以下载荷：</w:t>
      </w:r>
    </w:p>
    <w:p>
      <w:pPr>
        <w:pStyle w:val="45"/>
        <w:numPr>
          <w:ilvl w:val="0"/>
          <w:numId w:val="19"/>
        </w:numPr>
        <w:ind w:firstLineChars="0"/>
        <w:rPr>
          <w:rFonts w:cs="Times New Roman"/>
        </w:rPr>
      </w:pPr>
      <w:r>
        <w:rPr>
          <w:rFonts w:cs="Times New Roman"/>
        </w:rPr>
        <w:t>压载；</w:t>
      </w:r>
    </w:p>
    <w:p>
      <w:pPr>
        <w:pStyle w:val="45"/>
        <w:numPr>
          <w:ilvl w:val="0"/>
          <w:numId w:val="19"/>
        </w:numPr>
        <w:ind w:firstLineChars="0"/>
        <w:rPr>
          <w:rFonts w:cs="Times New Roman"/>
        </w:rPr>
      </w:pPr>
      <w:r>
        <w:rPr>
          <w:rFonts w:cs="Times New Roman"/>
        </w:rPr>
        <w:t>导向绳张力；</w:t>
      </w:r>
    </w:p>
    <w:p>
      <w:pPr>
        <w:pStyle w:val="45"/>
        <w:numPr>
          <w:ilvl w:val="0"/>
          <w:numId w:val="19"/>
        </w:numPr>
        <w:ind w:firstLineChars="0"/>
        <w:rPr>
          <w:rFonts w:cs="Times New Roman"/>
        </w:rPr>
      </w:pPr>
      <w:r>
        <w:rPr>
          <w:rFonts w:cs="Times New Roman"/>
        </w:rPr>
        <w:t>导管重量；</w:t>
      </w:r>
    </w:p>
    <w:p>
      <w:pPr>
        <w:pStyle w:val="45"/>
        <w:numPr>
          <w:ilvl w:val="0"/>
          <w:numId w:val="19"/>
        </w:numPr>
        <w:ind w:firstLineChars="0"/>
        <w:rPr>
          <w:rFonts w:cs="Times New Roman"/>
        </w:rPr>
      </w:pPr>
      <w:r>
        <w:rPr>
          <w:rFonts w:cs="Times New Roman"/>
        </w:rPr>
        <w:t>永久导向基座总成重量；</w:t>
      </w:r>
    </w:p>
    <w:p>
      <w:pPr>
        <w:pStyle w:val="45"/>
        <w:numPr>
          <w:ilvl w:val="0"/>
          <w:numId w:val="19"/>
        </w:numPr>
        <w:ind w:firstLineChars="0"/>
        <w:rPr>
          <w:rFonts w:cs="Times New Roman"/>
        </w:rPr>
      </w:pPr>
      <w:r>
        <w:rPr>
          <w:rFonts w:cs="Times New Roman"/>
        </w:rPr>
        <w:t>悬挂载荷；</w:t>
      </w:r>
    </w:p>
    <w:p>
      <w:pPr>
        <w:pStyle w:val="45"/>
        <w:numPr>
          <w:ilvl w:val="0"/>
          <w:numId w:val="19"/>
        </w:numPr>
        <w:ind w:firstLineChars="0"/>
        <w:rPr>
          <w:rFonts w:cs="Times New Roman"/>
        </w:rPr>
      </w:pPr>
      <w:r>
        <w:rPr>
          <w:rFonts w:cs="Times New Roman"/>
        </w:rPr>
        <w:t>土壤反作用力。</w:t>
      </w:r>
    </w:p>
    <w:p>
      <w:pPr>
        <w:ind w:firstLine="420"/>
        <w:rPr>
          <w:rFonts w:cs="Times New Roman"/>
        </w:rPr>
      </w:pPr>
      <w:r>
        <w:rPr>
          <w:rFonts w:cs="Times New Roman"/>
        </w:rPr>
        <w:t xml:space="preserve">当临时导向基座支承在以 </w:t>
      </w:r>
      <w:r>
        <w:rPr>
          <w:rFonts w:cs="Times New Roman"/>
          <w:spacing w:val="-1"/>
        </w:rPr>
        <w:t>90º±2º</w:t>
      </w:r>
      <w:r>
        <w:rPr>
          <w:rFonts w:cs="Times New Roman"/>
        </w:rPr>
        <w:t xml:space="preserve"> 等距均布及距中心最小为 </w:t>
      </w:r>
      <w:r>
        <w:rPr>
          <w:rFonts w:cs="Times New Roman"/>
          <w:spacing w:val="-2"/>
        </w:rPr>
        <w:t>1575</w:t>
      </w:r>
      <w:r>
        <w:rPr>
          <w:rFonts w:cs="Times New Roman"/>
        </w:rPr>
        <w:t xml:space="preserve"> </w:t>
      </w:r>
      <w:r>
        <w:rPr>
          <w:rFonts w:cs="Times New Roman"/>
          <w:spacing w:val="-6"/>
        </w:rPr>
        <w:t>mm</w:t>
      </w:r>
      <w:r>
        <w:rPr>
          <w:rFonts w:cs="Times New Roman"/>
        </w:rPr>
        <w:t>（</w:t>
      </w:r>
      <w:r>
        <w:rPr>
          <w:rFonts w:cs="Times New Roman"/>
          <w:spacing w:val="-2"/>
        </w:rPr>
        <w:t>62</w:t>
      </w:r>
      <w:r>
        <w:rPr>
          <w:rFonts w:cs="Times New Roman"/>
        </w:rPr>
        <w:t xml:space="preserve"> </w:t>
      </w:r>
      <w:r>
        <w:rPr>
          <w:rFonts w:cs="Times New Roman"/>
          <w:spacing w:val="-6"/>
        </w:rPr>
        <w:t>in</w:t>
      </w:r>
      <w:r>
        <w:rPr>
          <w:rFonts w:cs="Times New Roman"/>
        </w:rPr>
        <w:t>）（径向测量）的四个位置上时，在临时导向基座与永久导向基座接口上，临时导向基座至少应能够支承</w:t>
      </w:r>
      <w:r>
        <w:rPr>
          <w:rFonts w:cs="Times New Roman"/>
          <w:spacing w:val="-2"/>
        </w:rPr>
        <w:t>780</w:t>
      </w:r>
      <w:r>
        <w:rPr>
          <w:rFonts w:cs="Times New Roman"/>
        </w:rPr>
        <w:t xml:space="preserve"> </w:t>
      </w:r>
      <w:r>
        <w:rPr>
          <w:rFonts w:cs="Times New Roman"/>
          <w:spacing w:val="-1"/>
        </w:rPr>
        <w:t>kN</w:t>
      </w:r>
      <w:r>
        <w:rPr>
          <w:rFonts w:cs="Times New Roman"/>
        </w:rPr>
        <w:t>（</w:t>
      </w:r>
      <w:r>
        <w:rPr>
          <w:rFonts w:cs="Times New Roman"/>
          <w:spacing w:val="-2"/>
        </w:rPr>
        <w:t>175000</w:t>
      </w:r>
      <w:r>
        <w:rPr>
          <w:rFonts w:cs="Times New Roman"/>
        </w:rPr>
        <w:t xml:space="preserve"> </w:t>
      </w:r>
      <w:r>
        <w:rPr>
          <w:rFonts w:cs="Times New Roman"/>
          <w:spacing w:val="-6"/>
        </w:rPr>
        <w:t>lbf</w:t>
      </w:r>
      <w:r>
        <w:rPr>
          <w:rFonts w:cs="Times New Roman"/>
        </w:rPr>
        <w:t>）的静载荷。</w:t>
      </w:r>
    </w:p>
    <w:p>
      <w:pPr>
        <w:pStyle w:val="41"/>
        <w:rPr>
          <w:rFonts w:cs="Times New Roman"/>
        </w:rPr>
      </w:pPr>
      <w:r>
        <w:rPr>
          <w:rFonts w:cs="Times New Roman"/>
        </w:rPr>
        <w:t>尺寸</w:t>
      </w:r>
    </w:p>
    <w:p>
      <w:pPr>
        <w:pStyle w:val="45"/>
        <w:numPr>
          <w:ilvl w:val="0"/>
          <w:numId w:val="20"/>
        </w:numPr>
        <w:ind w:firstLineChars="0"/>
        <w:rPr>
          <w:rFonts w:cs="Times New Roman"/>
        </w:rPr>
      </w:pPr>
      <w:r>
        <w:rPr>
          <w:rFonts w:cs="Times New Roman"/>
        </w:rPr>
        <w:t>最小支承面积应是</w:t>
      </w:r>
      <w:r>
        <w:rPr>
          <w:rFonts w:cs="Times New Roman"/>
          <w:spacing w:val="-2"/>
        </w:rPr>
        <w:t>7</w:t>
      </w:r>
      <w:r>
        <w:rPr>
          <w:rFonts w:cs="Times New Roman"/>
        </w:rPr>
        <w:t xml:space="preserve"> </w:t>
      </w:r>
      <w:r>
        <w:rPr>
          <w:rFonts w:cs="Times New Roman"/>
          <w:spacing w:val="-6"/>
        </w:rPr>
        <w:t>m</w:t>
      </w:r>
      <w:r>
        <w:rPr>
          <w:rFonts w:cs="Times New Roman"/>
          <w:spacing w:val="-1"/>
          <w:position w:val="5"/>
          <w:sz w:val="12"/>
          <w:vertAlign w:val="superscript"/>
        </w:rPr>
        <w:t>2</w:t>
      </w:r>
      <w:r>
        <w:rPr>
          <w:rFonts w:cs="Times New Roman"/>
        </w:rPr>
        <w:t>（</w:t>
      </w:r>
      <w:r>
        <w:rPr>
          <w:rFonts w:cs="Times New Roman"/>
          <w:spacing w:val="-2"/>
        </w:rPr>
        <w:t>75</w:t>
      </w:r>
      <w:r>
        <w:rPr>
          <w:rFonts w:cs="Times New Roman"/>
        </w:rPr>
        <w:t xml:space="preserve"> </w:t>
      </w:r>
      <w:r>
        <w:rPr>
          <w:rFonts w:cs="Times New Roman"/>
          <w:spacing w:val="-1"/>
        </w:rPr>
        <w:t>ft</w:t>
      </w:r>
      <w:r>
        <w:rPr>
          <w:rFonts w:cs="Times New Roman"/>
          <w:spacing w:val="-1"/>
          <w:position w:val="5"/>
          <w:sz w:val="12"/>
        </w:rPr>
        <w:t>2</w:t>
      </w:r>
      <w:r>
        <w:rPr>
          <w:rFonts w:cs="Times New Roman"/>
        </w:rPr>
        <w:t>）。该面积可采用焊接或拴接的延伸部分予以增大。</w:t>
      </w:r>
    </w:p>
    <w:p>
      <w:pPr>
        <w:pStyle w:val="45"/>
        <w:numPr>
          <w:ilvl w:val="0"/>
          <w:numId w:val="20"/>
        </w:numPr>
        <w:ind w:firstLineChars="0"/>
        <w:rPr>
          <w:rFonts w:cs="Times New Roman"/>
        </w:rPr>
      </w:pPr>
      <w:r>
        <w:rPr>
          <w:rFonts w:cs="Times New Roman"/>
        </w:rPr>
        <w:t>能通过</w:t>
      </w:r>
      <w:r>
        <w:rPr>
          <w:rFonts w:cs="Times New Roman"/>
          <w:spacing w:val="-2"/>
        </w:rPr>
        <w:t>5</w:t>
      </w:r>
      <w:r>
        <w:rPr>
          <w:rFonts w:cs="Times New Roman"/>
        </w:rPr>
        <w:t xml:space="preserve"> </w:t>
      </w:r>
      <w:r>
        <w:rPr>
          <w:rFonts w:cs="Times New Roman"/>
          <w:spacing w:val="-6"/>
        </w:rPr>
        <w:t>m</w:t>
      </w:r>
      <w:r>
        <w:rPr>
          <w:rFonts w:cs="Times New Roman"/>
        </w:rPr>
        <w:t>（</w:t>
      </w:r>
      <w:r>
        <w:rPr>
          <w:rFonts w:cs="Times New Roman"/>
          <w:spacing w:val="-2"/>
        </w:rPr>
        <w:t>16.4</w:t>
      </w:r>
      <w:r>
        <w:rPr>
          <w:rFonts w:cs="Times New Roman"/>
        </w:rPr>
        <w:t xml:space="preserve"> </w:t>
      </w:r>
      <w:r>
        <w:rPr>
          <w:rFonts w:cs="Times New Roman"/>
          <w:spacing w:val="-1"/>
        </w:rPr>
        <w:t>ft</w:t>
      </w:r>
      <w:r>
        <w:rPr>
          <w:rFonts w:cs="Times New Roman"/>
        </w:rPr>
        <w:t>）方口或按照制造商的规定。</w:t>
      </w:r>
    </w:p>
    <w:p>
      <w:pPr>
        <w:pStyle w:val="45"/>
        <w:numPr>
          <w:ilvl w:val="0"/>
          <w:numId w:val="20"/>
        </w:numPr>
        <w:ind w:firstLineChars="0"/>
        <w:rPr>
          <w:rFonts w:cs="Times New Roman"/>
        </w:rPr>
      </w:pPr>
      <w:r>
        <w:rPr>
          <w:rFonts w:cs="Times New Roman"/>
        </w:rPr>
        <w:t>应提供四个导向绳定位点位，以与永久导向基座导向柱相配。</w:t>
      </w:r>
    </w:p>
    <w:p>
      <w:pPr>
        <w:pStyle w:val="45"/>
        <w:numPr>
          <w:ilvl w:val="0"/>
          <w:numId w:val="20"/>
        </w:numPr>
        <w:ind w:firstLineChars="0"/>
        <w:rPr>
          <w:rFonts w:cs="Times New Roman"/>
        </w:rPr>
      </w:pPr>
      <w:r>
        <w:rPr>
          <w:rFonts w:cs="Times New Roman"/>
        </w:rPr>
        <w:t xml:space="preserve">应允许在导管和临时导向基座之间的角度误差最小为 </w:t>
      </w:r>
      <w:r>
        <w:rPr>
          <w:rFonts w:cs="Times New Roman"/>
          <w:spacing w:val="-2"/>
        </w:rPr>
        <w:t>5º</w:t>
      </w:r>
      <w:r>
        <w:rPr>
          <w:rFonts w:cs="Times New Roman"/>
        </w:rPr>
        <w:t>。</w:t>
      </w:r>
    </w:p>
    <w:p>
      <w:pPr>
        <w:pStyle w:val="45"/>
        <w:numPr>
          <w:ilvl w:val="0"/>
          <w:numId w:val="20"/>
        </w:numPr>
        <w:ind w:firstLineChars="0"/>
        <w:rPr>
          <w:rFonts w:cs="Times New Roman"/>
        </w:rPr>
      </w:pPr>
      <w:r>
        <w:rPr>
          <w:rFonts w:cs="Times New Roman"/>
        </w:rPr>
        <w:t>为压载物提供的储存容积最小应为</w:t>
      </w:r>
      <w:r>
        <w:rPr>
          <w:rFonts w:cs="Times New Roman"/>
          <w:spacing w:val="-2"/>
        </w:rPr>
        <w:t>2</w:t>
      </w:r>
      <w:r>
        <w:rPr>
          <w:rFonts w:cs="Times New Roman"/>
        </w:rPr>
        <w:t xml:space="preserve"> m³（</w:t>
      </w:r>
      <w:r>
        <w:rPr>
          <w:rFonts w:cs="Times New Roman"/>
          <w:spacing w:val="-2"/>
        </w:rPr>
        <w:t>75.6</w:t>
      </w:r>
      <w:r>
        <w:rPr>
          <w:rFonts w:cs="Times New Roman"/>
        </w:rPr>
        <w:t xml:space="preserve"> </w:t>
      </w:r>
      <w:r>
        <w:rPr>
          <w:rFonts w:cs="Times New Roman"/>
          <w:spacing w:val="-1"/>
        </w:rPr>
        <w:t>ft</w:t>
      </w:r>
      <w:r>
        <w:rPr>
          <w:rFonts w:cs="Times New Roman"/>
          <w:spacing w:val="-1"/>
          <w:position w:val="5"/>
          <w:sz w:val="12"/>
        </w:rPr>
        <w:t>3</w:t>
      </w:r>
      <w:r>
        <w:rPr>
          <w:rFonts w:cs="Times New Roman"/>
        </w:rPr>
        <w:t>）。</w:t>
      </w:r>
    </w:p>
    <w:p>
      <w:pPr>
        <w:pStyle w:val="39"/>
      </w:pPr>
      <w:bookmarkStart w:id="119" w:name="_Toc95910604"/>
      <w:bookmarkStart w:id="120" w:name="_Toc95909862"/>
      <w:bookmarkStart w:id="121" w:name="_Toc95911879"/>
      <w:bookmarkStart w:id="122" w:name="_Toc112341746"/>
      <w:r>
        <w:t>永久导向基座</w:t>
      </w:r>
      <w:bookmarkEnd w:id="119"/>
      <w:bookmarkEnd w:id="120"/>
      <w:bookmarkEnd w:id="121"/>
      <w:bookmarkEnd w:id="122"/>
    </w:p>
    <w:p>
      <w:pPr>
        <w:pStyle w:val="40"/>
      </w:pPr>
      <w:bookmarkStart w:id="123" w:name="_Toc95911880"/>
      <w:r>
        <w:t>总则</w:t>
      </w:r>
      <w:bookmarkEnd w:id="123"/>
    </w:p>
    <w:p>
      <w:pPr>
        <w:ind w:firstLine="420"/>
        <w:rPr>
          <w:rFonts w:cs="Times New Roman"/>
        </w:rPr>
      </w:pPr>
      <w:r>
        <w:rPr>
          <w:rFonts w:cs="Times New Roman"/>
        </w:rPr>
        <w:t>永久导向基座（PGB）依附在低压导管头上，为钻井和完井设备（表层套管、防喷器、生产采油树、送入工具）提供导向。在安装高压井口头和防喷器之前，PGB为油井提供入口。高压井口头安装后，通过导向绳或无导向绳方法，永久导向基座为防喷器、水下采油树或油管进入井口头提供导向。它可为井口装置系统提供结构支撑和最终对准的定位基准，并为低压导管头提供基座及锁紧。</w:t>
      </w:r>
    </w:p>
    <w:p>
      <w:pPr>
        <w:ind w:firstLine="420"/>
        <w:rPr>
          <w:rFonts w:cs="Times New Roman"/>
        </w:rPr>
      </w:pPr>
      <w:r>
        <w:rPr>
          <w:rFonts w:cs="Times New Roman"/>
        </w:rPr>
        <w:t>为了便于搬运和安装，永久导向基座可制成一个单独的整体或分成两部分。永久导向基座也可以包括回收装置，在钻井结束之后，予以回收。</w:t>
      </w:r>
    </w:p>
    <w:p>
      <w:pPr>
        <w:pStyle w:val="40"/>
      </w:pPr>
      <w:bookmarkStart w:id="124" w:name="_Toc95911881"/>
      <w:r>
        <w:t>设计</w:t>
      </w:r>
      <w:bookmarkEnd w:id="124"/>
    </w:p>
    <w:p>
      <w:pPr>
        <w:pStyle w:val="41"/>
        <w:rPr>
          <w:rFonts w:cs="Times New Roman"/>
        </w:rPr>
      </w:pPr>
      <w:r>
        <w:rPr>
          <w:rFonts w:cs="Times New Roman"/>
        </w:rPr>
        <w:t>载荷</w:t>
      </w:r>
    </w:p>
    <w:p>
      <w:pPr>
        <w:ind w:firstLine="420"/>
        <w:rPr>
          <w:rFonts w:cs="Times New Roman"/>
        </w:rPr>
      </w:pPr>
      <w:r>
        <w:rPr>
          <w:rFonts w:cs="Times New Roman"/>
        </w:rPr>
        <w:t>设计宜考虑以下载荷：</w:t>
      </w:r>
    </w:p>
    <w:p>
      <w:pPr>
        <w:pStyle w:val="45"/>
        <w:numPr>
          <w:ilvl w:val="0"/>
          <w:numId w:val="21"/>
        </w:numPr>
        <w:ind w:firstLineChars="0"/>
        <w:rPr>
          <w:rFonts w:cs="Times New Roman"/>
        </w:rPr>
      </w:pPr>
      <w:r>
        <w:rPr>
          <w:rFonts w:cs="Times New Roman"/>
        </w:rPr>
        <w:t>导管管柱重量；</w:t>
      </w:r>
    </w:p>
    <w:p>
      <w:pPr>
        <w:pStyle w:val="45"/>
        <w:numPr>
          <w:ilvl w:val="0"/>
          <w:numId w:val="21"/>
        </w:numPr>
        <w:ind w:firstLineChars="0"/>
        <w:rPr>
          <w:rFonts w:cs="Times New Roman"/>
        </w:rPr>
      </w:pPr>
      <w:r>
        <w:rPr>
          <w:rFonts w:cs="Times New Roman"/>
        </w:rPr>
        <w:t>低压导管头重量；</w:t>
      </w:r>
    </w:p>
    <w:p>
      <w:pPr>
        <w:pStyle w:val="45"/>
        <w:numPr>
          <w:ilvl w:val="0"/>
          <w:numId w:val="21"/>
        </w:numPr>
        <w:ind w:firstLineChars="0"/>
        <w:rPr>
          <w:rFonts w:cs="Times New Roman"/>
        </w:rPr>
      </w:pPr>
      <w:r>
        <w:rPr>
          <w:rFonts w:cs="Times New Roman"/>
        </w:rPr>
        <w:t>悬挂载荷；</w:t>
      </w:r>
    </w:p>
    <w:p>
      <w:pPr>
        <w:pStyle w:val="45"/>
        <w:numPr>
          <w:ilvl w:val="0"/>
          <w:numId w:val="21"/>
        </w:numPr>
        <w:ind w:firstLineChars="0"/>
        <w:rPr>
          <w:rFonts w:cs="Times New Roman"/>
        </w:rPr>
      </w:pPr>
      <w:r>
        <w:rPr>
          <w:rFonts w:cs="Times New Roman"/>
        </w:rPr>
        <w:t>当支撑在辐式横梁上时的喷射管柱重量；</w:t>
      </w:r>
    </w:p>
    <w:p>
      <w:pPr>
        <w:pStyle w:val="45"/>
        <w:numPr>
          <w:ilvl w:val="0"/>
          <w:numId w:val="21"/>
        </w:numPr>
        <w:ind w:firstLineChars="0"/>
        <w:rPr>
          <w:rFonts w:cs="Times New Roman"/>
        </w:rPr>
      </w:pPr>
      <w:r>
        <w:rPr>
          <w:rFonts w:cs="Times New Roman"/>
        </w:rPr>
        <w:t>导向绳张力；</w:t>
      </w:r>
    </w:p>
    <w:p>
      <w:pPr>
        <w:pStyle w:val="45"/>
        <w:numPr>
          <w:ilvl w:val="0"/>
          <w:numId w:val="21"/>
        </w:numPr>
        <w:ind w:firstLineChars="0"/>
        <w:rPr>
          <w:rFonts w:cs="Times New Roman"/>
        </w:rPr>
      </w:pPr>
      <w:r>
        <w:rPr>
          <w:rFonts w:cs="Times New Roman"/>
        </w:rPr>
        <w:t>出油管线牵引、连接或安装载荷；</w:t>
      </w:r>
    </w:p>
    <w:p>
      <w:pPr>
        <w:pStyle w:val="45"/>
        <w:numPr>
          <w:ilvl w:val="0"/>
          <w:numId w:val="21"/>
        </w:numPr>
        <w:ind w:firstLineChars="0"/>
        <w:rPr>
          <w:rFonts w:cs="Times New Roman"/>
        </w:rPr>
      </w:pPr>
      <w:r>
        <w:rPr>
          <w:rFonts w:cs="Times New Roman"/>
        </w:rPr>
        <w:t>环空通道连接装置载荷；</w:t>
      </w:r>
    </w:p>
    <w:p>
      <w:pPr>
        <w:pStyle w:val="45"/>
        <w:numPr>
          <w:ilvl w:val="0"/>
          <w:numId w:val="21"/>
        </w:numPr>
        <w:ind w:firstLineChars="0"/>
        <w:rPr>
          <w:rFonts w:cs="Times New Roman"/>
        </w:rPr>
      </w:pPr>
      <w:r>
        <w:rPr>
          <w:rFonts w:cs="Times New Roman"/>
        </w:rPr>
        <w:t>环境；</w:t>
      </w:r>
    </w:p>
    <w:p>
      <w:pPr>
        <w:pStyle w:val="45"/>
        <w:numPr>
          <w:ilvl w:val="0"/>
          <w:numId w:val="21"/>
        </w:numPr>
        <w:ind w:firstLineChars="0"/>
        <w:rPr>
          <w:rFonts w:cs="Times New Roman"/>
        </w:rPr>
      </w:pPr>
      <w:r>
        <w:rPr>
          <w:rFonts w:cs="Times New Roman"/>
        </w:rPr>
        <w:t>临时导向基座的反作用载荷；</w:t>
      </w:r>
    </w:p>
    <w:p>
      <w:pPr>
        <w:pStyle w:val="45"/>
        <w:numPr>
          <w:ilvl w:val="0"/>
          <w:numId w:val="21"/>
        </w:numPr>
        <w:ind w:firstLineChars="0"/>
        <w:rPr>
          <w:rFonts w:cs="Times New Roman"/>
        </w:rPr>
      </w:pPr>
      <w:r>
        <w:rPr>
          <w:rFonts w:cs="Times New Roman"/>
        </w:rPr>
        <w:t>安装载荷（包括悬挂在辐式横梁上的导管）；</w:t>
      </w:r>
    </w:p>
    <w:p>
      <w:pPr>
        <w:pStyle w:val="45"/>
        <w:numPr>
          <w:ilvl w:val="0"/>
          <w:numId w:val="21"/>
        </w:numPr>
        <w:ind w:firstLineChars="0"/>
        <w:rPr>
          <w:rFonts w:cs="Times New Roman"/>
        </w:rPr>
      </w:pPr>
      <w:r>
        <w:rPr>
          <w:rFonts w:cs="Times New Roman"/>
        </w:rPr>
        <w:t>阻尼载荷；</w:t>
      </w:r>
    </w:p>
    <w:p>
      <w:pPr>
        <w:pStyle w:val="45"/>
        <w:numPr>
          <w:ilvl w:val="0"/>
          <w:numId w:val="21"/>
        </w:numPr>
        <w:ind w:firstLineChars="0"/>
        <w:rPr>
          <w:rFonts w:cs="Times New Roman"/>
        </w:rPr>
      </w:pPr>
      <w:r>
        <w:rPr>
          <w:rFonts w:cs="Times New Roman"/>
        </w:rPr>
        <w:t>防喷器载荷；</w:t>
      </w:r>
    </w:p>
    <w:p>
      <w:pPr>
        <w:pStyle w:val="45"/>
        <w:numPr>
          <w:ilvl w:val="0"/>
          <w:numId w:val="21"/>
        </w:numPr>
        <w:ind w:firstLineChars="0"/>
        <w:rPr>
          <w:rFonts w:cs="Times New Roman"/>
        </w:rPr>
      </w:pPr>
      <w:r>
        <w:rPr>
          <w:rFonts w:cs="Times New Roman"/>
        </w:rPr>
        <w:t>海水压力（由幅式横梁支撑）。</w:t>
      </w:r>
    </w:p>
    <w:p>
      <w:pPr>
        <w:ind w:firstLine="420"/>
        <w:rPr>
          <w:rFonts w:cs="Times New Roman"/>
        </w:rPr>
      </w:pPr>
      <w:r>
        <w:rPr>
          <w:rFonts w:cs="Times New Roman"/>
        </w:rPr>
        <w:t xml:space="preserve">当永久导向基座支承在以 </w:t>
      </w:r>
      <w:r>
        <w:rPr>
          <w:rFonts w:cs="Times New Roman"/>
          <w:spacing w:val="-1"/>
        </w:rPr>
        <w:t>90º±2º</w:t>
      </w:r>
      <w:r>
        <w:rPr>
          <w:rFonts w:cs="Times New Roman"/>
        </w:rPr>
        <w:t xml:space="preserve"> 等距均布及距中心最小为</w:t>
      </w:r>
      <w:r>
        <w:rPr>
          <w:rFonts w:cs="Times New Roman"/>
          <w:spacing w:val="-2"/>
        </w:rPr>
        <w:t>1525</w:t>
      </w:r>
      <w:r>
        <w:rPr>
          <w:rFonts w:cs="Times New Roman"/>
        </w:rPr>
        <w:t xml:space="preserve"> </w:t>
      </w:r>
      <w:r>
        <w:rPr>
          <w:rFonts w:cs="Times New Roman"/>
          <w:spacing w:val="-6"/>
        </w:rPr>
        <w:t>mm</w:t>
      </w:r>
      <w:r>
        <w:rPr>
          <w:rFonts w:cs="Times New Roman"/>
        </w:rPr>
        <w:t>（</w:t>
      </w:r>
      <w:r>
        <w:rPr>
          <w:rFonts w:cs="Times New Roman"/>
          <w:spacing w:val="-2"/>
        </w:rPr>
        <w:t>60</w:t>
      </w:r>
      <w:r>
        <w:rPr>
          <w:rFonts w:cs="Times New Roman"/>
        </w:rPr>
        <w:t xml:space="preserve"> </w:t>
      </w:r>
      <w:r>
        <w:rPr>
          <w:rFonts w:cs="Times New Roman"/>
          <w:spacing w:val="-6"/>
        </w:rPr>
        <w:t>in</w:t>
      </w:r>
      <w:r>
        <w:rPr>
          <w:rFonts w:cs="Times New Roman"/>
        </w:rPr>
        <w:t>）（径向测量）的四个位置上时，在永久导向基座与导管头的接口上，永久导向基座或无导向绳再入总成至少应能支承</w:t>
      </w:r>
      <w:r>
        <w:rPr>
          <w:rFonts w:cs="Times New Roman"/>
          <w:spacing w:val="-2"/>
        </w:rPr>
        <w:t>780</w:t>
      </w:r>
      <w:r>
        <w:rPr>
          <w:rFonts w:cs="Times New Roman"/>
        </w:rPr>
        <w:t xml:space="preserve"> </w:t>
      </w:r>
      <w:r>
        <w:rPr>
          <w:rFonts w:cs="Times New Roman"/>
          <w:spacing w:val="-1"/>
        </w:rPr>
        <w:t>kN</w:t>
      </w:r>
      <w:r>
        <w:rPr>
          <w:rFonts w:cs="Times New Roman"/>
        </w:rPr>
        <w:t>（</w:t>
      </w:r>
      <w:r>
        <w:rPr>
          <w:rFonts w:cs="Times New Roman"/>
          <w:spacing w:val="-2"/>
        </w:rPr>
        <w:t>175000</w:t>
      </w:r>
      <w:r>
        <w:rPr>
          <w:rFonts w:cs="Times New Roman"/>
        </w:rPr>
        <w:t xml:space="preserve"> </w:t>
      </w:r>
      <w:r>
        <w:rPr>
          <w:rFonts w:cs="Times New Roman"/>
          <w:spacing w:val="-6"/>
        </w:rPr>
        <w:t>lbf</w:t>
      </w:r>
      <w:r>
        <w:rPr>
          <w:rFonts w:cs="Times New Roman"/>
          <w:spacing w:val="-2"/>
        </w:rPr>
        <w:t xml:space="preserve"> </w:t>
      </w:r>
      <w:r>
        <w:rPr>
          <w:rFonts w:cs="Times New Roman"/>
        </w:rPr>
        <w:t>）的静载荷。</w:t>
      </w:r>
      <w:r>
        <w:t>永久导向基座载荷</w:t>
      </w:r>
      <w:r>
        <w:rPr>
          <w:rFonts w:hint="eastAsia"/>
        </w:rPr>
        <w:t>示意见</w:t>
      </w:r>
      <w:r>
        <w:fldChar w:fldCharType="begin"/>
      </w:r>
      <w:r>
        <w:instrText xml:space="preserve"> </w:instrText>
      </w:r>
      <w:r>
        <w:rPr>
          <w:rFonts w:hint="eastAsia"/>
        </w:rPr>
        <w:instrText xml:space="preserve">REF _Ref112327767 \h</w:instrText>
      </w:r>
      <w:r>
        <w:instrText xml:space="preserve"> </w:instrText>
      </w:r>
      <w:r>
        <w:fldChar w:fldCharType="separate"/>
      </w:r>
      <w:r>
        <w:rPr>
          <w:rFonts w:hint="eastAsia"/>
        </w:rPr>
        <w:t xml:space="preserve">图 </w:t>
      </w:r>
      <w:r>
        <w:t>3</w:t>
      </w:r>
      <w:r>
        <w:fldChar w:fldCharType="end"/>
      </w:r>
      <w:r>
        <w:rPr>
          <w:rFonts w:hint="eastAsia"/>
        </w:rPr>
        <w:t>.</w:t>
      </w:r>
    </w:p>
    <w:p>
      <w:pPr>
        <w:pStyle w:val="41"/>
        <w:rPr>
          <w:rFonts w:cs="Times New Roman"/>
        </w:rPr>
      </w:pPr>
      <w:r>
        <w:rPr>
          <w:rFonts w:cs="Times New Roman"/>
        </w:rPr>
        <w:t>永久导向基座尺寸</w:t>
      </w:r>
    </w:p>
    <w:p>
      <w:pPr>
        <w:ind w:firstLine="420"/>
        <w:rPr>
          <w:rFonts w:cs="Times New Roman"/>
        </w:rPr>
      </w:pPr>
      <w:r>
        <w:rPr>
          <w:rFonts w:cs="Times New Roman"/>
        </w:rPr>
        <w:t>永久导向基座尺寸要求如下：</w:t>
      </w:r>
    </w:p>
    <w:p>
      <w:pPr>
        <w:pStyle w:val="45"/>
        <w:numPr>
          <w:ilvl w:val="0"/>
          <w:numId w:val="22"/>
        </w:numPr>
        <w:ind w:firstLineChars="0"/>
        <w:rPr>
          <w:rFonts w:cs="Times New Roman"/>
        </w:rPr>
      </w:pPr>
      <w:r>
        <w:rPr>
          <w:rFonts w:cs="Times New Roman"/>
        </w:rPr>
        <w:t>永久导向基座的尺寸应符合</w:t>
      </w:r>
      <w:r>
        <w:rPr>
          <w:rFonts w:cs="Times New Roman"/>
        </w:rPr>
        <w:fldChar w:fldCharType="begin"/>
      </w:r>
      <w:r>
        <w:rPr>
          <w:rFonts w:cs="Times New Roman"/>
        </w:rPr>
        <w:instrText xml:space="preserve"> REF _Ref112327532 \h </w:instrText>
      </w:r>
      <w:r>
        <w:rPr>
          <w:rFonts w:cs="Times New Roman"/>
        </w:rPr>
        <w:fldChar w:fldCharType="separate"/>
      </w:r>
      <w:r>
        <w:rPr>
          <w:rFonts w:hint="eastAsia"/>
        </w:rPr>
        <w:t xml:space="preserve">图 </w:t>
      </w:r>
      <w:r>
        <w:t>2</w:t>
      </w:r>
      <w:r>
        <w:rPr>
          <w:rFonts w:cs="Times New Roman"/>
        </w:rPr>
        <w:fldChar w:fldCharType="end"/>
      </w:r>
      <w:r>
        <w:rPr>
          <w:rFonts w:cs="Times New Roman"/>
        </w:rPr>
        <w:t>所示的尺寸。</w:t>
      </w:r>
    </w:p>
    <w:p>
      <w:pPr>
        <w:pStyle w:val="45"/>
        <w:numPr>
          <w:ilvl w:val="0"/>
          <w:numId w:val="22"/>
        </w:numPr>
        <w:ind w:firstLineChars="0"/>
        <w:rPr>
          <w:rFonts w:cs="Times New Roman"/>
        </w:rPr>
      </w:pPr>
      <w:r>
        <w:rPr>
          <w:rFonts w:cs="Times New Roman"/>
          <w:position w:val="1"/>
        </w:rPr>
        <w:t>导柱应由外径为</w:t>
      </w:r>
      <w:r>
        <w:rPr>
          <w:rFonts w:cs="Times New Roman"/>
          <w:spacing w:val="-2"/>
        </w:rPr>
        <w:t>219</w:t>
      </w:r>
      <w:r>
        <w:rPr>
          <w:rFonts w:cs="Times New Roman"/>
        </w:rPr>
        <w:t xml:space="preserve"> </w:t>
      </w:r>
      <w:r>
        <w:rPr>
          <w:rFonts w:cs="Times New Roman"/>
          <w:spacing w:val="-6"/>
        </w:rPr>
        <w:t>mm</w:t>
      </w:r>
      <w:r>
        <w:rPr>
          <w:rFonts w:cs="Times New Roman"/>
        </w:rPr>
        <w:t xml:space="preserve"> </w:t>
      </w:r>
      <w:r>
        <w:rPr>
          <w:rFonts w:cs="Times New Roman"/>
          <w:position w:val="1"/>
        </w:rPr>
        <w:t>（</w:t>
      </w:r>
      <w:r>
        <w:rPr>
          <w:rFonts w:cs="Times New Roman"/>
          <w:spacing w:val="-2"/>
        </w:rPr>
        <w:t>8</w:t>
      </w:r>
      <w:r>
        <w:rPr>
          <w:rFonts w:cs="Times New Roman"/>
          <w:spacing w:val="-3"/>
          <w:sz w:val="12"/>
        </w:rPr>
        <w:t xml:space="preserve"> </w:t>
      </w:r>
      <w:r>
        <w:rPr>
          <w:rFonts w:cs="Times New Roman"/>
          <w:spacing w:val="-1"/>
          <w:position w:val="6"/>
          <w:sz w:val="12"/>
        </w:rPr>
        <w:t>5</w:t>
      </w:r>
      <w:r>
        <w:rPr>
          <w:rFonts w:cs="Times New Roman"/>
        </w:rPr>
        <w:t>/</w:t>
      </w:r>
      <w:r>
        <w:rPr>
          <w:rFonts w:cs="Times New Roman"/>
          <w:spacing w:val="-1"/>
          <w:sz w:val="12"/>
        </w:rPr>
        <w:t>8</w:t>
      </w:r>
      <w:r>
        <w:rPr>
          <w:rFonts w:cs="Times New Roman"/>
        </w:rPr>
        <w:t xml:space="preserve"> </w:t>
      </w:r>
      <w:r>
        <w:rPr>
          <w:rFonts w:cs="Times New Roman"/>
          <w:spacing w:val="-6"/>
        </w:rPr>
        <w:t>in</w:t>
      </w:r>
      <w:r>
        <w:rPr>
          <w:rFonts w:cs="Times New Roman"/>
          <w:position w:val="1"/>
        </w:rPr>
        <w:t>）的管子或管材制造。导柱漏斗由外径</w:t>
      </w:r>
      <w:r>
        <w:rPr>
          <w:rFonts w:cs="Times New Roman"/>
          <w:spacing w:val="-2"/>
        </w:rPr>
        <w:t>273</w:t>
      </w:r>
      <w:r>
        <w:rPr>
          <w:rFonts w:cs="Times New Roman"/>
        </w:rPr>
        <w:t xml:space="preserve"> </w:t>
      </w:r>
      <w:r>
        <w:rPr>
          <w:rFonts w:cs="Times New Roman"/>
          <w:spacing w:val="-6"/>
        </w:rPr>
        <w:t>mm×</w:t>
      </w:r>
      <w:r>
        <w:rPr>
          <w:rFonts w:cs="Times New Roman"/>
          <w:position w:val="1"/>
        </w:rPr>
        <w:t>壁厚</w:t>
      </w:r>
      <w:r>
        <w:rPr>
          <w:rFonts w:cs="Times New Roman"/>
        </w:rPr>
        <w:t xml:space="preserve"> </w:t>
      </w:r>
      <w:r>
        <w:rPr>
          <w:rFonts w:cs="Times New Roman"/>
          <w:spacing w:val="-2"/>
        </w:rPr>
        <w:t>13</w:t>
      </w:r>
      <w:r>
        <w:rPr>
          <w:rFonts w:cs="Times New Roman"/>
        </w:rPr>
        <w:t xml:space="preserve"> </w:t>
      </w:r>
      <w:r>
        <w:rPr>
          <w:rFonts w:cs="Times New Roman"/>
          <w:spacing w:val="-6"/>
        </w:rPr>
        <w:t>mm</w:t>
      </w:r>
      <w:r>
        <w:rPr>
          <w:rFonts w:cs="Times New Roman"/>
          <w:position w:val="1"/>
        </w:rPr>
        <w:t>（外径</w:t>
      </w:r>
      <w:r>
        <w:rPr>
          <w:rFonts w:cs="Times New Roman"/>
          <w:spacing w:val="-2"/>
        </w:rPr>
        <w:t>10</w:t>
      </w:r>
      <w:r>
        <w:rPr>
          <w:rFonts w:cs="Times New Roman"/>
          <w:spacing w:val="-1"/>
          <w:sz w:val="12"/>
        </w:rPr>
        <w:t xml:space="preserve"> </w:t>
      </w:r>
      <w:r>
        <w:rPr>
          <w:rFonts w:cs="Times New Roman"/>
          <w:spacing w:val="-1"/>
          <w:position w:val="6"/>
          <w:sz w:val="12"/>
        </w:rPr>
        <w:t>3</w:t>
      </w:r>
      <w:r>
        <w:rPr>
          <w:rFonts w:cs="Times New Roman"/>
        </w:rPr>
        <w:t>/</w:t>
      </w:r>
      <w:r>
        <w:rPr>
          <w:rFonts w:cs="Times New Roman"/>
          <w:spacing w:val="-1"/>
          <w:sz w:val="12"/>
        </w:rPr>
        <w:t>4</w:t>
      </w:r>
      <w:r>
        <w:rPr>
          <w:rFonts w:cs="Times New Roman"/>
          <w:spacing w:val="-3"/>
        </w:rPr>
        <w:t xml:space="preserve"> </w:t>
      </w:r>
      <w:r>
        <w:rPr>
          <w:rFonts w:cs="Times New Roman"/>
          <w:spacing w:val="-2"/>
        </w:rPr>
        <w:t>in×</w:t>
      </w:r>
      <w:r>
        <w:rPr>
          <w:rFonts w:cs="Times New Roman"/>
          <w:position w:val="1"/>
        </w:rPr>
        <w:t>壁厚</w:t>
      </w:r>
      <w:r>
        <w:rPr>
          <w:rFonts w:cs="Times New Roman"/>
        </w:rPr>
        <w:t xml:space="preserve"> </w:t>
      </w:r>
      <w:r>
        <w:rPr>
          <w:rFonts w:cs="Times New Roman"/>
          <w:spacing w:val="-2"/>
        </w:rPr>
        <w:t>0.5</w:t>
      </w:r>
      <w:r>
        <w:rPr>
          <w:rFonts w:cs="Times New Roman"/>
        </w:rPr>
        <w:t xml:space="preserve"> </w:t>
      </w:r>
      <w:r>
        <w:rPr>
          <w:rFonts w:cs="Times New Roman"/>
          <w:spacing w:val="-6"/>
        </w:rPr>
        <w:t>in</w:t>
      </w:r>
      <w:r>
        <w:rPr>
          <w:rFonts w:cs="Times New Roman"/>
          <w:position w:val="1"/>
        </w:rPr>
        <w:t>）的钢管或管件焊接制成。</w:t>
      </w:r>
    </w:p>
    <w:p>
      <w:pPr>
        <w:pStyle w:val="45"/>
        <w:numPr>
          <w:ilvl w:val="0"/>
          <w:numId w:val="22"/>
        </w:numPr>
        <w:ind w:firstLineChars="0"/>
        <w:rPr>
          <w:rFonts w:cs="Times New Roman"/>
        </w:rPr>
      </w:pPr>
      <w:r>
        <w:rPr>
          <w:rFonts w:cs="Times New Roman"/>
        </w:rPr>
        <w:t>钻井所用的导柱（</w:t>
      </w:r>
      <w:r>
        <w:rPr>
          <w:rFonts w:cs="Times New Roman"/>
        </w:rPr>
        <w:fldChar w:fldCharType="begin"/>
      </w:r>
      <w:r>
        <w:rPr>
          <w:rFonts w:cs="Times New Roman"/>
        </w:rPr>
        <w:instrText xml:space="preserve"> REF _Ref112327532 \h </w:instrText>
      </w:r>
      <w:r>
        <w:rPr>
          <w:rFonts w:cs="Times New Roman"/>
        </w:rPr>
        <w:fldChar w:fldCharType="separate"/>
      </w:r>
      <w:r>
        <w:rPr>
          <w:rFonts w:hint="eastAsia"/>
        </w:rPr>
        <w:t xml:space="preserve">图 </w:t>
      </w:r>
      <w:r>
        <w:t>2</w:t>
      </w:r>
      <w:r>
        <w:rPr>
          <w:rFonts w:cs="Times New Roman"/>
        </w:rPr>
        <w:fldChar w:fldCharType="end"/>
      </w:r>
      <w:r>
        <w:rPr>
          <w:rFonts w:cs="Times New Roman"/>
        </w:rPr>
        <w:t xml:space="preserve">）中的条款 </w:t>
      </w:r>
      <w:r>
        <w:rPr>
          <w:rFonts w:cs="Times New Roman"/>
          <w:spacing w:val="-2"/>
        </w:rPr>
        <w:t>1</w:t>
      </w:r>
      <w:r>
        <w:rPr>
          <w:rFonts w:cs="Times New Roman"/>
        </w:rPr>
        <w:t xml:space="preserve">）的长度最小应为 </w:t>
      </w:r>
      <w:r>
        <w:rPr>
          <w:rFonts w:cs="Times New Roman"/>
          <w:spacing w:val="-2"/>
        </w:rPr>
        <w:t>2440</w:t>
      </w:r>
      <w:r>
        <w:rPr>
          <w:rFonts w:cs="Times New Roman"/>
        </w:rPr>
        <w:t xml:space="preserve"> </w:t>
      </w:r>
      <w:r>
        <w:rPr>
          <w:rFonts w:cs="Times New Roman"/>
          <w:spacing w:val="-6"/>
        </w:rPr>
        <w:t>mm</w:t>
      </w:r>
      <w:r>
        <w:rPr>
          <w:rFonts w:cs="Times New Roman"/>
        </w:rPr>
        <w:t>（</w:t>
      </w:r>
      <w:r>
        <w:rPr>
          <w:rFonts w:cs="Times New Roman"/>
          <w:spacing w:val="-2"/>
        </w:rPr>
        <w:t>8</w:t>
      </w:r>
      <w:r>
        <w:rPr>
          <w:rFonts w:cs="Times New Roman"/>
        </w:rPr>
        <w:t xml:space="preserve"> </w:t>
      </w:r>
      <w:r>
        <w:rPr>
          <w:rFonts w:cs="Times New Roman"/>
          <w:spacing w:val="-1"/>
        </w:rPr>
        <w:t>ft</w:t>
      </w:r>
      <w:r>
        <w:rPr>
          <w:rFonts w:cs="Times New Roman"/>
        </w:rPr>
        <w:t>）。导柱可以加长，给修井立管下部组件/采油树帽提供导向。</w:t>
      </w:r>
    </w:p>
    <w:p>
      <w:pPr>
        <w:ind w:firstLineChars="0"/>
        <w:jc w:val="right"/>
        <w:rPr>
          <w:rFonts w:cs="Times New Roman"/>
        </w:rPr>
      </w:pPr>
      <w:r>
        <w:rPr>
          <w:rFonts w:cs="Times New Roman"/>
        </w:rPr>
        <w:t>尺寸mm（in），除另有注明外</w:t>
      </w:r>
    </w:p>
    <w:p>
      <w:pPr>
        <w:ind w:firstLine="0" w:firstLineChars="0"/>
        <w:jc w:val="center"/>
        <w:rPr>
          <w:rFonts w:cs="Times New Roman"/>
        </w:rPr>
      </w:pPr>
      <w:r>
        <w:rPr>
          <w:rFonts w:cs="Times New Roman"/>
        </w:rPr>
        <w:drawing>
          <wp:inline distT="0" distB="0" distL="0" distR="0">
            <wp:extent cx="2529840" cy="3515995"/>
            <wp:effectExtent l="0" t="0" r="3810" b="825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3"/>
                    <a:srcRect r="39050" b="5646"/>
                    <a:stretch>
                      <a:fillRect/>
                    </a:stretch>
                  </pic:blipFill>
                  <pic:spPr>
                    <a:xfrm>
                      <a:off x="0" y="0"/>
                      <a:ext cx="2530025" cy="3516307"/>
                    </a:xfrm>
                    <a:prstGeom prst="rect">
                      <a:avLst/>
                    </a:prstGeom>
                    <a:ln>
                      <a:noFill/>
                    </a:ln>
                  </pic:spPr>
                </pic:pic>
              </a:graphicData>
            </a:graphic>
          </wp:inline>
        </w:drawing>
      </w:r>
    </w:p>
    <w:p>
      <w:pPr>
        <w:ind w:firstLineChars="0"/>
        <w:rPr>
          <w:rFonts w:cs="Times New Roman"/>
        </w:rPr>
      </w:pPr>
      <w:r>
        <w:rPr>
          <w:rFonts w:hint="eastAsia" w:cs="Times New Roman"/>
        </w:rPr>
        <w:t>图中：</w:t>
      </w:r>
    </w:p>
    <w:p>
      <w:pPr>
        <w:pStyle w:val="45"/>
        <w:numPr>
          <w:ilvl w:val="0"/>
          <w:numId w:val="23"/>
        </w:numPr>
        <w:ind w:firstLineChars="0"/>
        <w:rPr>
          <w:rFonts w:cs="Times New Roman"/>
        </w:rPr>
      </w:pPr>
      <w:r>
        <w:rPr>
          <w:rFonts w:cs="Times New Roman"/>
        </w:rPr>
        <w:t>导柱</w:t>
      </w:r>
    </w:p>
    <w:p>
      <w:pPr>
        <w:pStyle w:val="45"/>
        <w:numPr>
          <w:ilvl w:val="0"/>
          <w:numId w:val="23"/>
        </w:numPr>
        <w:ind w:firstLineChars="0"/>
        <w:rPr>
          <w:rFonts w:cs="Times New Roman"/>
        </w:rPr>
      </w:pPr>
      <w:r>
        <w:rPr>
          <w:rFonts w:cs="Times New Roman"/>
        </w:rPr>
        <w:t>井口头</w:t>
      </w:r>
    </w:p>
    <w:p>
      <w:pPr>
        <w:pStyle w:val="45"/>
        <w:numPr>
          <w:ilvl w:val="0"/>
          <w:numId w:val="23"/>
        </w:numPr>
        <w:ind w:firstLineChars="0"/>
        <w:rPr>
          <w:rFonts w:cs="Times New Roman"/>
        </w:rPr>
      </w:pPr>
      <w:r>
        <w:rPr>
          <w:rFonts w:cs="Times New Roman"/>
        </w:rPr>
        <w:t>永久导向基座</w:t>
      </w:r>
    </w:p>
    <w:p>
      <w:pPr>
        <w:pStyle w:val="45"/>
        <w:numPr>
          <w:ilvl w:val="0"/>
          <w:numId w:val="23"/>
        </w:numPr>
        <w:ind w:firstLineChars="0"/>
        <w:rPr>
          <w:rFonts w:cs="Times New Roman"/>
        </w:rPr>
      </w:pPr>
      <w:r>
        <w:rPr>
          <w:rFonts w:cs="Times New Roman"/>
        </w:rPr>
        <w:t>导向漏斗</w:t>
      </w:r>
    </w:p>
    <w:p>
      <w:pPr>
        <w:pStyle w:val="45"/>
        <w:numPr>
          <w:ilvl w:val="0"/>
          <w:numId w:val="23"/>
        </w:numPr>
        <w:ind w:firstLineChars="0"/>
        <w:rPr>
          <w:rFonts w:cs="Times New Roman"/>
        </w:rPr>
      </w:pPr>
      <w:r>
        <w:rPr>
          <w:rFonts w:cs="Times New Roman"/>
        </w:rPr>
        <w:t>井口装置连接装置</w:t>
      </w:r>
    </w:p>
    <w:p>
      <w:pPr>
        <w:ind w:firstLineChars="0"/>
        <w:rPr>
          <w:rFonts w:cs="Times New Roman"/>
        </w:rPr>
      </w:pPr>
      <w:r>
        <w:rPr>
          <w:rFonts w:cs="Times New Roman"/>
        </w:rPr>
        <w:t>注：导向柱的位置公差相对于井口头孔而定（数据A）；测量方法由制造商予以规定。</w:t>
      </w:r>
    </w:p>
    <w:p>
      <w:pPr>
        <w:pStyle w:val="69"/>
      </w:pPr>
      <w:bookmarkStart w:id="125" w:name="_Ref112327532"/>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bookmarkEnd w:id="125"/>
      <w:r>
        <w:rPr>
          <w:rFonts w:hint="eastAsia"/>
        </w:rPr>
        <w:t xml:space="preserve"> </w:t>
      </w:r>
      <w:r>
        <w:t>永久导向基座和导柱</w:t>
      </w:r>
    </w:p>
    <w:p>
      <w:pPr>
        <w:ind w:firstLine="0" w:firstLineChars="0"/>
        <w:jc w:val="center"/>
        <w:rPr>
          <w:rFonts w:cs="Times New Roman"/>
        </w:rPr>
      </w:pPr>
      <w:r>
        <w:rPr>
          <w:rFonts w:cs="Times New Roman"/>
        </w:rPr>
        <w:drawing>
          <wp:inline distT="0" distB="0" distL="0" distR="0">
            <wp:extent cx="2378710" cy="2654935"/>
            <wp:effectExtent l="0" t="0" r="254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2378653" cy="2654905"/>
                    </a:xfrm>
                    <a:prstGeom prst="rect">
                      <a:avLst/>
                    </a:prstGeom>
                  </pic:spPr>
                </pic:pic>
              </a:graphicData>
            </a:graphic>
          </wp:inline>
        </w:drawing>
      </w:r>
    </w:p>
    <w:p>
      <w:pPr>
        <w:ind w:firstLine="0" w:firstLineChars="0"/>
        <w:rPr>
          <w:rFonts w:cs="Times New Roman"/>
        </w:rPr>
      </w:pPr>
      <w:r>
        <w:rPr>
          <w:rFonts w:cs="Times New Roman"/>
        </w:rPr>
        <w:t>图中</w:t>
      </w:r>
      <w:r>
        <w:rPr>
          <w:rFonts w:hint="eastAsia" w:cs="Times New Roman"/>
        </w:rPr>
        <w:t>：</w:t>
      </w:r>
    </w:p>
    <w:p>
      <w:pPr>
        <w:ind w:left="630" w:leftChars="100" w:hanging="420" w:hangingChars="200"/>
        <w:rPr>
          <w:rFonts w:cs="Times New Roman"/>
        </w:rPr>
      </w:pPr>
      <w:r>
        <w:rPr>
          <w:rFonts w:cs="Times New Roman"/>
        </w:rPr>
        <w:t>F 来自导向绳的力</w:t>
      </w:r>
    </w:p>
    <w:p>
      <w:pPr>
        <w:ind w:left="630" w:leftChars="100" w:hanging="420" w:hangingChars="200"/>
        <w:rPr>
          <w:rFonts w:cs="Times New Roman"/>
        </w:rPr>
      </w:pPr>
      <w:r>
        <w:rPr>
          <w:rFonts w:cs="Times New Roman"/>
        </w:rPr>
        <w:t>M1 弯曲扭矩</w:t>
      </w:r>
    </w:p>
    <w:p>
      <w:pPr>
        <w:ind w:left="630" w:leftChars="100" w:hanging="420" w:hangingChars="200"/>
        <w:rPr>
          <w:rFonts w:cs="Times New Roman"/>
        </w:rPr>
      </w:pPr>
      <w:r>
        <w:rPr>
          <w:rFonts w:cs="Times New Roman"/>
        </w:rPr>
        <w:t>M2 弯曲力矩</w:t>
      </w:r>
    </w:p>
    <w:p>
      <w:pPr>
        <w:ind w:left="630" w:leftChars="100" w:hanging="420" w:hangingChars="200"/>
        <w:rPr>
          <w:rFonts w:cs="Times New Roman"/>
        </w:rPr>
      </w:pPr>
      <w:r>
        <w:rPr>
          <w:rFonts w:cs="Times New Roman"/>
        </w:rPr>
        <w:t>T 张力</w:t>
      </w:r>
    </w:p>
    <w:p>
      <w:pPr>
        <w:ind w:left="630" w:leftChars="100" w:hanging="420" w:hangingChars="200"/>
        <w:rPr>
          <w:rFonts w:cs="Times New Roman"/>
        </w:rPr>
      </w:pPr>
      <w:r>
        <w:rPr>
          <w:rFonts w:cs="Times New Roman"/>
        </w:rPr>
        <w:t>θ 导向绳力作用的角度</w:t>
      </w:r>
    </w:p>
    <w:p>
      <w:pPr>
        <w:pStyle w:val="69"/>
      </w:pPr>
      <w:bookmarkStart w:id="126" w:name="_Ref112327767"/>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bookmarkEnd w:id="126"/>
      <w:r>
        <w:rPr>
          <w:rFonts w:hint="eastAsia"/>
        </w:rPr>
        <w:t xml:space="preserve"> </w:t>
      </w:r>
      <w:r>
        <w:t>永久导向基座载荷</w:t>
      </w:r>
    </w:p>
    <w:p>
      <w:pPr>
        <w:pStyle w:val="41"/>
        <w:rPr>
          <w:rFonts w:cs="Times New Roman"/>
        </w:rPr>
      </w:pPr>
      <w:r>
        <w:rPr>
          <w:rFonts w:cs="Times New Roman"/>
        </w:rPr>
        <w:t>功能要求</w:t>
      </w:r>
    </w:p>
    <w:p>
      <w:pPr>
        <w:pStyle w:val="45"/>
        <w:numPr>
          <w:ilvl w:val="0"/>
          <w:numId w:val="24"/>
        </w:numPr>
        <w:ind w:firstLineChars="0"/>
        <w:rPr>
          <w:rFonts w:cs="Times New Roman"/>
        </w:rPr>
      </w:pPr>
      <w:r>
        <w:rPr>
          <w:rFonts w:cs="Times New Roman"/>
        </w:rPr>
        <w:t xml:space="preserve">永久导向基座应允许导管和导向基座之间的角度误差最小为 </w:t>
      </w:r>
      <w:r>
        <w:rPr>
          <w:rFonts w:cs="Times New Roman"/>
          <w:spacing w:val="-2"/>
        </w:rPr>
        <w:t>5º</w:t>
      </w:r>
      <w:r>
        <w:rPr>
          <w:rFonts w:cs="Times New Roman"/>
        </w:rPr>
        <w:t>。</w:t>
      </w:r>
    </w:p>
    <w:p>
      <w:pPr>
        <w:pStyle w:val="45"/>
        <w:numPr>
          <w:ilvl w:val="0"/>
          <w:numId w:val="24"/>
        </w:numPr>
        <w:ind w:firstLineChars="0"/>
        <w:rPr>
          <w:rFonts w:cs="Times New Roman"/>
        </w:rPr>
      </w:pPr>
      <w:r>
        <w:rPr>
          <w:rFonts w:cs="Times New Roman"/>
        </w:rPr>
        <w:t>导向柱在现场应是可更换的，由潜水员、遥控潜水器或远程操作而不采用焊接。锁紧机构不应因钢丝绳、电缆等的阻碍而意外释放。</w:t>
      </w:r>
    </w:p>
    <w:p>
      <w:pPr>
        <w:pStyle w:val="45"/>
        <w:numPr>
          <w:ilvl w:val="0"/>
          <w:numId w:val="24"/>
        </w:numPr>
        <w:ind w:firstLineChars="0"/>
        <w:rPr>
          <w:rFonts w:cs="Times New Roman"/>
        </w:rPr>
      </w:pPr>
      <w:r>
        <w:t>导向柱</w:t>
      </w:r>
      <w:r>
        <w:rPr>
          <w:rFonts w:cs="Times New Roman"/>
        </w:rPr>
        <w:t>可以开槽或不开槽。针对于开槽的</w:t>
      </w:r>
      <w:r>
        <w:t>导向柱</w:t>
      </w:r>
      <w:r>
        <w:rPr>
          <w:rFonts w:cs="Times New Roman"/>
        </w:rPr>
        <w:t>，应制作装置把外径至少</w:t>
      </w:r>
      <w:r>
        <w:rPr>
          <w:rFonts w:cs="Times New Roman"/>
          <w:spacing w:val="-2"/>
        </w:rPr>
        <w:t>19</w:t>
      </w:r>
      <w:r>
        <w:rPr>
          <w:rFonts w:cs="Times New Roman"/>
        </w:rPr>
        <w:t xml:space="preserve"> </w:t>
      </w:r>
      <w:r>
        <w:rPr>
          <w:rFonts w:cs="Times New Roman"/>
          <w:spacing w:val="-6"/>
        </w:rPr>
        <w:t>mm</w:t>
      </w:r>
      <w:r>
        <w:rPr>
          <w:rFonts w:cs="Times New Roman"/>
        </w:rPr>
        <w:t>（</w:t>
      </w:r>
      <w:r>
        <w:rPr>
          <w:rFonts w:cs="Times New Roman"/>
          <w:spacing w:val="-2"/>
        </w:rPr>
        <w:t>3/4</w:t>
      </w:r>
      <w:r>
        <w:rPr>
          <w:rFonts w:cs="Times New Roman"/>
        </w:rPr>
        <w:t xml:space="preserve"> </w:t>
      </w:r>
      <w:r>
        <w:rPr>
          <w:rFonts w:cs="Times New Roman"/>
          <w:spacing w:val="-6"/>
        </w:rPr>
        <w:t>in</w:t>
      </w:r>
      <w:r>
        <w:rPr>
          <w:rFonts w:cs="Times New Roman"/>
        </w:rPr>
        <w:t>）的导向绳插入柱子顶部和底部或底部附近的具有止动器的柱子内。</w:t>
      </w:r>
    </w:p>
    <w:p>
      <w:pPr>
        <w:pStyle w:val="45"/>
        <w:numPr>
          <w:ilvl w:val="0"/>
          <w:numId w:val="24"/>
        </w:numPr>
        <w:ind w:firstLineChars="0"/>
        <w:rPr>
          <w:rFonts w:cs="Times New Roman"/>
        </w:rPr>
      </w:pPr>
      <w:r>
        <w:rPr>
          <w:rFonts w:cs="Times New Roman"/>
        </w:rPr>
        <w:t>应制作装置把导向绳连在</w:t>
      </w:r>
      <w:r>
        <w:t>导向柱</w:t>
      </w:r>
      <w:r>
        <w:rPr>
          <w:rFonts w:cs="Times New Roman"/>
        </w:rPr>
        <w:t>顶部上。这些装置应能够水下拆卸及重新连接。</w:t>
      </w:r>
    </w:p>
    <w:p>
      <w:pPr>
        <w:pStyle w:val="45"/>
        <w:numPr>
          <w:ilvl w:val="0"/>
          <w:numId w:val="24"/>
        </w:numPr>
        <w:ind w:firstLineChars="0"/>
        <w:rPr>
          <w:rFonts w:cs="Times New Roman"/>
        </w:rPr>
      </w:pPr>
      <w:r>
        <w:rPr>
          <w:rFonts w:cs="Times New Roman"/>
        </w:rPr>
        <w:t>永久导向基座和低压导管头之间设有定向装置，防止相对转动。</w:t>
      </w:r>
    </w:p>
    <w:p>
      <w:pPr>
        <w:pStyle w:val="45"/>
        <w:numPr>
          <w:ilvl w:val="0"/>
          <w:numId w:val="24"/>
        </w:numPr>
        <w:ind w:firstLineChars="0"/>
        <w:rPr>
          <w:rFonts w:cs="Times New Roman"/>
        </w:rPr>
      </w:pPr>
      <w:r>
        <w:rPr>
          <w:rFonts w:cs="Times New Roman"/>
        </w:rPr>
        <w:t>永久导向基座宜使用自动锁定装置或承载台肩锁紧导管。</w:t>
      </w:r>
    </w:p>
    <w:p>
      <w:pPr>
        <w:pStyle w:val="45"/>
        <w:numPr>
          <w:ilvl w:val="0"/>
          <w:numId w:val="24"/>
        </w:numPr>
        <w:ind w:firstLineChars="0"/>
        <w:rPr>
          <w:rFonts w:cs="Times New Roman"/>
        </w:rPr>
      </w:pPr>
      <w:r>
        <w:rPr>
          <w:rFonts w:cs="Times New Roman"/>
        </w:rPr>
        <w:t>应提供专用提升点。</w:t>
      </w:r>
    </w:p>
    <w:p>
      <w:pPr>
        <w:pStyle w:val="45"/>
        <w:numPr>
          <w:ilvl w:val="0"/>
          <w:numId w:val="24"/>
        </w:numPr>
        <w:ind w:firstLineChars="0"/>
        <w:rPr>
          <w:rFonts w:cs="Times New Roman"/>
        </w:rPr>
      </w:pPr>
      <w:r>
        <w:rPr>
          <w:rFonts w:hint="eastAsia" w:cs="Times New Roman"/>
        </w:rPr>
        <w:t>永</w:t>
      </w:r>
      <w:r>
        <w:rPr>
          <w:rFonts w:cs="Times New Roman"/>
        </w:rPr>
        <w:t>久导向基座不宜阻碍旁流。</w:t>
      </w:r>
    </w:p>
    <w:p>
      <w:pPr>
        <w:pStyle w:val="45"/>
        <w:numPr>
          <w:ilvl w:val="0"/>
          <w:numId w:val="24"/>
        </w:numPr>
        <w:ind w:firstLineChars="0"/>
        <w:rPr>
          <w:rFonts w:cs="Times New Roman"/>
        </w:rPr>
      </w:pPr>
      <w:r>
        <w:rPr>
          <w:rFonts w:cs="Times New Roman"/>
        </w:rPr>
        <w:t>永久导向基座（应设计成带导管头送入或独立使用送入工具。</w:t>
      </w:r>
    </w:p>
    <w:p>
      <w:pPr>
        <w:pStyle w:val="39"/>
      </w:pPr>
      <w:bookmarkStart w:id="127" w:name="_Toc95909863"/>
      <w:bookmarkStart w:id="128" w:name="_Toc95911882"/>
      <w:bookmarkStart w:id="129" w:name="_Toc95910605"/>
      <w:bookmarkStart w:id="130" w:name="_Toc112341747"/>
      <w:r>
        <w:t>导管头</w:t>
      </w:r>
      <w:bookmarkEnd w:id="127"/>
      <w:bookmarkEnd w:id="128"/>
      <w:bookmarkEnd w:id="129"/>
      <w:bookmarkEnd w:id="130"/>
    </w:p>
    <w:p>
      <w:pPr>
        <w:pStyle w:val="40"/>
      </w:pPr>
      <w:bookmarkStart w:id="131" w:name="_Toc95911883"/>
      <w:r>
        <w:t>总则</w:t>
      </w:r>
      <w:bookmarkEnd w:id="131"/>
    </w:p>
    <w:p>
      <w:pPr>
        <w:ind w:firstLine="420"/>
        <w:rPr>
          <w:rFonts w:cs="Times New Roman"/>
        </w:rPr>
      </w:pPr>
      <w:r>
        <w:rPr>
          <w:rFonts w:cs="Times New Roman"/>
        </w:rPr>
        <w:t>导管头连接在导管的顶部，形成水下井口的基础。通常可与永久导向基座相连接。</w:t>
      </w:r>
    </w:p>
    <w:p>
      <w:pPr>
        <w:ind w:firstLine="420"/>
        <w:rPr>
          <w:rFonts w:cs="Times New Roman"/>
        </w:rPr>
      </w:pPr>
      <w:r>
        <w:rPr>
          <w:rFonts w:cs="Times New Roman"/>
        </w:rPr>
        <w:t>导管头内部设有座放台肩，适合支撑高压井口头和在钻井、完井和修井期间所施加的载荷；外部型面应能支撑在转盘/月池辐式梁内的导管；导管头设有水泥返回通道。</w:t>
      </w:r>
      <w:r>
        <w:rPr>
          <w:rFonts w:cs="Times New Roman"/>
        </w:rPr>
        <w:fldChar w:fldCharType="begin"/>
      </w:r>
      <w:r>
        <w:rPr>
          <w:rFonts w:cs="Times New Roman"/>
        </w:rPr>
        <w:instrText xml:space="preserve"> REF _Ref112327811 \h </w:instrText>
      </w:r>
      <w:r>
        <w:rPr>
          <w:rFonts w:cs="Times New Roman"/>
        </w:rPr>
        <w:fldChar w:fldCharType="separate"/>
      </w:r>
      <w:r>
        <w:rPr>
          <w:rFonts w:hint="eastAsia"/>
        </w:rPr>
        <w:t xml:space="preserve">图 </w:t>
      </w:r>
      <w:r>
        <w:t>4</w:t>
      </w:r>
      <w:r>
        <w:rPr>
          <w:rFonts w:cs="Times New Roman"/>
        </w:rPr>
        <w:fldChar w:fldCharType="end"/>
      </w:r>
      <w:r>
        <w:rPr>
          <w:rFonts w:cs="Times New Roman"/>
        </w:rPr>
        <w:t>所示为典型的导管头型面。</w:t>
      </w:r>
    </w:p>
    <w:p>
      <w:pPr>
        <w:ind w:firstLine="420"/>
        <w:rPr>
          <w:rFonts w:cs="Times New Roman"/>
        </w:rPr>
      </w:pPr>
      <w:r>
        <w:rPr>
          <w:rFonts w:cs="Times New Roman"/>
        </w:rPr>
        <w:t>导管头也可包含其他增强的功能，比如岩屑处理、水泥自动停注、刚性锁定等。下井口装置套管之前，可在导管头内悬挂技术套管。旁流孔内可使用环空截止阀，避免水合物进入导管和井口装置套管柱之间的环空。</w:t>
      </w:r>
    </w:p>
    <w:p>
      <w:pPr>
        <w:pStyle w:val="40"/>
      </w:pPr>
      <w:bookmarkStart w:id="132" w:name="_Toc95911884"/>
      <w:r>
        <w:t>设计</w:t>
      </w:r>
      <w:bookmarkEnd w:id="132"/>
    </w:p>
    <w:p>
      <w:pPr>
        <w:pStyle w:val="41"/>
        <w:rPr>
          <w:rFonts w:cs="Times New Roman"/>
        </w:rPr>
      </w:pPr>
      <w:r>
        <w:rPr>
          <w:rFonts w:cs="Times New Roman"/>
        </w:rPr>
        <w:t>载荷</w:t>
      </w:r>
    </w:p>
    <w:p>
      <w:pPr>
        <w:ind w:firstLine="420"/>
        <w:rPr>
          <w:rFonts w:cs="Times New Roman"/>
        </w:rPr>
      </w:pPr>
      <w:r>
        <w:rPr>
          <w:rFonts w:cs="Times New Roman"/>
        </w:rPr>
        <w:t>设计宜考虑以下载荷：</w:t>
      </w:r>
    </w:p>
    <w:p>
      <w:pPr>
        <w:pStyle w:val="45"/>
        <w:numPr>
          <w:ilvl w:val="0"/>
          <w:numId w:val="25"/>
        </w:numPr>
        <w:ind w:firstLineChars="0"/>
        <w:rPr>
          <w:rFonts w:cs="Times New Roman"/>
        </w:rPr>
      </w:pPr>
      <w:r>
        <w:rPr>
          <w:rFonts w:cs="Times New Roman"/>
        </w:rPr>
        <w:t>井口装置载荷；</w:t>
      </w:r>
    </w:p>
    <w:p>
      <w:pPr>
        <w:pStyle w:val="45"/>
        <w:numPr>
          <w:ilvl w:val="0"/>
          <w:numId w:val="25"/>
        </w:numPr>
        <w:ind w:firstLineChars="0"/>
        <w:rPr>
          <w:rFonts w:cs="Times New Roman"/>
        </w:rPr>
      </w:pPr>
      <w:r>
        <w:rPr>
          <w:rFonts w:cs="Times New Roman"/>
        </w:rPr>
        <w:t>悬吊在月池时的悬挂/拉开载荷；</w:t>
      </w:r>
    </w:p>
    <w:p>
      <w:pPr>
        <w:pStyle w:val="45"/>
        <w:numPr>
          <w:ilvl w:val="0"/>
          <w:numId w:val="25"/>
        </w:numPr>
        <w:ind w:firstLineChars="0"/>
        <w:rPr>
          <w:rFonts w:cs="Times New Roman"/>
        </w:rPr>
      </w:pPr>
      <w:r>
        <w:rPr>
          <w:rFonts w:cs="Times New Roman"/>
        </w:rPr>
        <w:t>立管力；</w:t>
      </w:r>
    </w:p>
    <w:p>
      <w:pPr>
        <w:pStyle w:val="45"/>
        <w:numPr>
          <w:ilvl w:val="0"/>
          <w:numId w:val="25"/>
        </w:numPr>
        <w:ind w:firstLineChars="0"/>
        <w:rPr>
          <w:rFonts w:cs="Times New Roman"/>
        </w:rPr>
      </w:pPr>
      <w:r>
        <w:rPr>
          <w:rFonts w:cs="Times New Roman"/>
        </w:rPr>
        <w:t xml:space="preserve">永久导向基座载荷； </w:t>
      </w:r>
    </w:p>
    <w:p>
      <w:pPr>
        <w:pStyle w:val="45"/>
        <w:numPr>
          <w:ilvl w:val="0"/>
          <w:numId w:val="25"/>
        </w:numPr>
        <w:ind w:firstLineChars="0"/>
        <w:rPr>
          <w:rFonts w:cs="Times New Roman"/>
        </w:rPr>
      </w:pPr>
      <w:r>
        <w:rPr>
          <w:rFonts w:cs="Times New Roman"/>
        </w:rPr>
        <w:t>环境载荷；</w:t>
      </w:r>
    </w:p>
    <w:p>
      <w:pPr>
        <w:pStyle w:val="45"/>
        <w:numPr>
          <w:ilvl w:val="0"/>
          <w:numId w:val="25"/>
        </w:numPr>
        <w:ind w:firstLineChars="0"/>
        <w:rPr>
          <w:rFonts w:cs="Times New Roman"/>
        </w:rPr>
      </w:pPr>
      <w:r>
        <w:rPr>
          <w:rFonts w:cs="Times New Roman"/>
        </w:rPr>
        <w:t>阻尼载荷；</w:t>
      </w:r>
    </w:p>
    <w:p>
      <w:pPr>
        <w:pStyle w:val="45"/>
        <w:numPr>
          <w:ilvl w:val="0"/>
          <w:numId w:val="25"/>
        </w:numPr>
        <w:ind w:firstLineChars="0"/>
        <w:rPr>
          <w:rFonts w:cs="Times New Roman"/>
        </w:rPr>
      </w:pPr>
      <w:r>
        <w:rPr>
          <w:rFonts w:cs="Times New Roman"/>
        </w:rPr>
        <w:t>压力载荷；</w:t>
      </w:r>
    </w:p>
    <w:p>
      <w:pPr>
        <w:pStyle w:val="45"/>
        <w:numPr>
          <w:ilvl w:val="0"/>
          <w:numId w:val="25"/>
        </w:numPr>
        <w:ind w:firstLineChars="0"/>
        <w:rPr>
          <w:rFonts w:cs="Times New Roman"/>
        </w:rPr>
      </w:pPr>
      <w:r>
        <w:rPr>
          <w:rFonts w:cs="Times New Roman"/>
        </w:rPr>
        <w:t>热载荷。</w:t>
      </w:r>
    </w:p>
    <w:p>
      <w:pPr>
        <w:pStyle w:val="45"/>
        <w:numPr>
          <w:ilvl w:val="0"/>
          <w:numId w:val="25"/>
        </w:numPr>
        <w:ind w:firstLineChars="0"/>
        <w:rPr>
          <w:rFonts w:cs="Times New Roman"/>
        </w:rPr>
      </w:pPr>
      <w:r>
        <w:rPr>
          <w:rFonts w:cs="Times New Roman"/>
        </w:rPr>
        <w:t>疲劳载荷</w:t>
      </w:r>
    </w:p>
    <w:p>
      <w:pPr>
        <w:ind w:firstLine="420"/>
        <w:rPr>
          <w:rFonts w:cs="Times New Roman"/>
        </w:rPr>
      </w:pPr>
      <w:r>
        <w:rPr>
          <w:rFonts w:cs="Times New Roman"/>
        </w:rPr>
        <w:t>导管头和永久导向基座之间接口设计的额定载荷至少应为</w:t>
      </w:r>
      <w:r>
        <w:rPr>
          <w:rFonts w:cs="Times New Roman"/>
          <w:spacing w:val="-2"/>
        </w:rPr>
        <w:t>175000</w:t>
      </w:r>
      <w:r>
        <w:rPr>
          <w:rFonts w:cs="Times New Roman"/>
        </w:rPr>
        <w:t xml:space="preserve"> </w:t>
      </w:r>
      <w:r>
        <w:rPr>
          <w:rFonts w:cs="Times New Roman"/>
          <w:spacing w:val="-6"/>
        </w:rPr>
        <w:t>lbf</w:t>
      </w:r>
      <w:r>
        <w:rPr>
          <w:rFonts w:cs="Times New Roman"/>
        </w:rPr>
        <w:t>（</w:t>
      </w:r>
      <w:r>
        <w:rPr>
          <w:rFonts w:cs="Times New Roman"/>
          <w:spacing w:val="-2"/>
        </w:rPr>
        <w:t>780</w:t>
      </w:r>
      <w:r>
        <w:rPr>
          <w:rFonts w:cs="Times New Roman"/>
        </w:rPr>
        <w:t xml:space="preserve"> </w:t>
      </w:r>
      <w:r>
        <w:rPr>
          <w:rFonts w:cs="Times New Roman"/>
          <w:spacing w:val="-1"/>
        </w:rPr>
        <w:t>kN</w:t>
      </w:r>
      <w:r>
        <w:rPr>
          <w:rFonts w:cs="Times New Roman"/>
        </w:rPr>
        <w:t>）。</w:t>
      </w:r>
    </w:p>
    <w:p>
      <w:pPr>
        <w:pStyle w:val="70"/>
        <w:rPr>
          <w:rFonts w:cs="Times New Roman"/>
          <w:color w:val="000000"/>
          <w:sz w:val="20"/>
        </w:rPr>
      </w:pPr>
      <w:r>
        <w:rPr>
          <w:rFonts w:cs="Times New Roman"/>
        </w:rPr>
        <w:drawing>
          <wp:inline distT="0" distB="0" distL="0" distR="0">
            <wp:extent cx="2778760" cy="4617085"/>
            <wp:effectExtent l="0" t="0" r="2540" b="5715"/>
            <wp:docPr id="689" name="图片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89"/>
                    <pic:cNvPicPr>
                      <a:picLocks noChangeAspect="1"/>
                    </pic:cNvPicPr>
                  </pic:nvPicPr>
                  <pic:blipFill>
                    <a:blip r:embed="rId15"/>
                    <a:stretch>
                      <a:fillRect/>
                    </a:stretch>
                  </pic:blipFill>
                  <pic:spPr>
                    <a:xfrm>
                      <a:off x="0" y="0"/>
                      <a:ext cx="2778760" cy="4617085"/>
                    </a:xfrm>
                    <a:prstGeom prst="rect">
                      <a:avLst/>
                    </a:prstGeom>
                  </pic:spPr>
                </pic:pic>
              </a:graphicData>
            </a:graphic>
          </wp:inline>
        </w:drawing>
      </w:r>
      <w:r>
        <w:rPr>
          <w:rFonts w:cs="Times New Roman"/>
        </w:rPr>
        <mc:AlternateContent>
          <mc:Choice Requires="wps">
            <w:drawing>
              <wp:anchor distT="0" distB="0" distL="114300" distR="114300" simplePos="0" relativeHeight="25167769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 name="任意多边形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5648"/>
                            <a:gd name="T1" fmla="*/ 24 h 48"/>
                            <a:gd name="T2" fmla="*/ 0 w 45648"/>
                            <a:gd name="T3" fmla="*/ 24 h 48"/>
                            <a:gd name="T4" fmla="*/ 45648 w 45648"/>
                            <a:gd name="T5" fmla="*/ 24 h 48"/>
                          </a:gdLst>
                          <a:ahLst/>
                          <a:cxnLst>
                            <a:cxn ang="0">
                              <a:pos x="T0" y="T1"/>
                            </a:cxn>
                            <a:cxn ang="0">
                              <a:pos x="T2" y="T3"/>
                            </a:cxn>
                            <a:cxn ang="0">
                              <a:pos x="T4" y="T5"/>
                            </a:cxn>
                          </a:cxnLst>
                          <a:rect l="0" t="0" r="r" b="b"/>
                          <a:pathLst>
                            <a:path w="45648" h="48">
                              <a:moveTo>
                                <a:pt x="0" y="24"/>
                              </a:moveTo>
                              <a:lnTo>
                                <a:pt x="0" y="24"/>
                              </a:lnTo>
                              <a:lnTo>
                                <a:pt x="45648" y="24"/>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77696;mso-width-relative:page;mso-height-relative:page;" fillcolor="#FFFFFF" filled="t" stroked="t" coordsize="45648,48" o:gfxdata="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gjp9U0AAAAAUB&#10;AAAPAAAAAAAAAAEAIAAAACIAAABkcnMvZG93bnJldi54bWxQSwECFAAUAAAACACHTuJA/q1S9wcD&#10;AADpBgAADgAAAAAAAAABACAAAAAfAQAAZHJzL2Uyb0RvYy54bWxQSwUGAAAAAAYABgBZAQAAmAYA&#10;AAAA&#10;" path="m0,24l0,24,45648,24e">
                <v:path o:connectlocs="0,317500;0,317500;635000,3175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7872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 name="任意多边形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78720;mso-width-relative:page;mso-height-relative:page;" fillcolor="#FFFFFF" filled="t" stroked="t" coordsize="250,650" o:gfxdata="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uYxUV0QAAAAUB&#10;AAAPAAAAAAAAAAEAIAAAACIAAABkcnMvZG93bnJldi54bWxQSwECFAAUAAAACACHTuJAipv9qwYD&#10;AADnBgAADgAAAAAAAAABACAAAAAgAQAAZHJzL2Uyb0RvYy54bWxQSwUGAAAAAAYABgBZAQAAmAYA&#10;AAAA&#10;" path="m125,0l125,0,125,650e">
                <v:path o:connectlocs="317500,0;317500,0;317500,635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81792" behindDoc="0" locked="0" layoutInCell="1" allowOverlap="1">
                <wp:simplePos x="0" y="0"/>
                <wp:positionH relativeFrom="page">
                  <wp:posOffset>3760470</wp:posOffset>
                </wp:positionH>
                <wp:positionV relativeFrom="page">
                  <wp:posOffset>10299700</wp:posOffset>
                </wp:positionV>
                <wp:extent cx="31750" cy="82550"/>
                <wp:effectExtent l="0" t="0" r="0" b="6350"/>
                <wp:wrapNone/>
                <wp:docPr id="5" name="任意多边形 5"/>
                <wp:cNvGraphicFramePr/>
                <a:graphic xmlns:a="http://schemas.openxmlformats.org/drawingml/2006/main">
                  <a:graphicData uri="http://schemas.microsoft.com/office/word/2010/wordprocessingShape">
                    <wps:wsp>
                      <wps:cNvSpPr>
                        <a:spLocks noChangeArrowheads="1"/>
                      </wps:cNvSpPr>
                      <wps:spPr bwMode="auto">
                        <a:xfrm>
                          <a:off x="0" y="0"/>
                          <a:ext cx="31750" cy="8255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alpha val="0"/>
                          </a:srgbClr>
                        </a:solidFill>
                        <a:ln w="2540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6.1pt;margin-top:811pt;height:6.5pt;width:2.5pt;mso-position-horizontal-relative:page;mso-position-vertical-relative:page;z-index:251681792;mso-width-relative:page;mso-height-relative:page;" fillcolor="#FFFFFF" filled="t" stroked="t" coordsize="250,650" o:gfxdata="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DAhTuI&#10;2QAAAA0BAAAPAAAAAAAAAAEAIAAAACIAAABkcnMvZG93bnJldi54bWxQSwECFAAUAAAACACHTuJA&#10;p3Lp3gQDAADrBgAADgAAAAAAAAABACAAAAAoAQAAZHJzL2Uyb0RvYy54bWxQSwUGAAAAAAYABgBZ&#10;AQAAngYAAAAA&#10;" path="m125,0l125,0,125,650e">
                <v:path o:connectlocs="15875,0;15875,0;15875,82550" o:connectangles="0,0,0"/>
                <v:fill on="t" opacity="0f" focussize="0,0"/>
                <v:stroke weight="2pt" color="#FFFFFF" miterlimit="8" joinstyle="miter"/>
                <v:imagedata o:title=""/>
                <o:lock v:ext="edit" aspectratio="f"/>
              </v:shape>
            </w:pict>
          </mc:Fallback>
        </mc:AlternateContent>
      </w:r>
      <w:r>
        <w:rPr>
          <w:rFonts w:cs="Times New Roman"/>
        </w:rPr>
        <mc:AlternateContent>
          <mc:Choice Requires="wps">
            <w:drawing>
              <wp:anchor distT="0" distB="0" distL="114300" distR="114300" simplePos="0" relativeHeight="25167974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任意多边形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79744;mso-width-relative:page;mso-height-relative:page;" fillcolor="#FFFFFF" filled="t" stroked="t" coordsize="250,650" o:gfxdata="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bmMVFdEAAAAF&#10;AQAADwAAAAAAAAABACAAAAAiAAAAZHJzL2Rvd25yZXYueG1sUEsBAhQAFAAAAAgAh07iQAoRj8EH&#10;AwAA5wYAAA4AAAAAAAAAAQAgAAAAIAEAAGRycy9lMm9Eb2MueG1sUEsFBgAAAAAGAAYAWQEAAJkG&#10;AAAAAA==&#10;" path="m125,0l125,0,125,650e">
                <v:path o:connectlocs="317500,0;317500,0;317500,635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82816" behindDoc="0" locked="0" layoutInCell="1" allowOverlap="1">
                <wp:simplePos x="0" y="0"/>
                <wp:positionH relativeFrom="page">
                  <wp:posOffset>3760470</wp:posOffset>
                </wp:positionH>
                <wp:positionV relativeFrom="page">
                  <wp:posOffset>10375900</wp:posOffset>
                </wp:positionV>
                <wp:extent cx="31750" cy="82550"/>
                <wp:effectExtent l="0" t="0" r="0" b="6350"/>
                <wp:wrapNone/>
                <wp:docPr id="3" name="任意多边形 3"/>
                <wp:cNvGraphicFramePr/>
                <a:graphic xmlns:a="http://schemas.openxmlformats.org/drawingml/2006/main">
                  <a:graphicData uri="http://schemas.microsoft.com/office/word/2010/wordprocessingShape">
                    <wps:wsp>
                      <wps:cNvSpPr>
                        <a:spLocks noChangeArrowheads="1"/>
                      </wps:cNvSpPr>
                      <wps:spPr bwMode="auto">
                        <a:xfrm>
                          <a:off x="0" y="0"/>
                          <a:ext cx="31750" cy="8255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alpha val="0"/>
                          </a:srgbClr>
                        </a:solidFill>
                        <a:ln w="2540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6.1pt;margin-top:817pt;height:6.5pt;width:2.5pt;mso-position-horizontal-relative:page;mso-position-vertical-relative:page;z-index:251682816;mso-width-relative:page;mso-height-relative:page;" fillcolor="#FFFFFF" filled="t" stroked="t" coordsize="250,650" o:gfxdata="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Dk2BH4&#10;2QAAAA0BAAAPAAAAAAAAAAEAIAAAACIAAABkcnMvZG93bnJldi54bWxQSwECFAAUAAAACACHTuJA&#10;B7km1wQDAADrBgAADgAAAAAAAAABACAAAAAoAQAAZHJzL2Uyb0RvYy54bWxQSwUGAAAAAAYABgBZ&#10;AQAAngYAAAAA&#10;" path="m125,0l125,0,125,650e">
                <v:path o:connectlocs="15875,0;15875,0;15875,82550" o:connectangles="0,0,0"/>
                <v:fill on="t" opacity="0f" focussize="0,0"/>
                <v:stroke weight="2pt" color="#FFFFFF" miterlimit="8" joinstyle="miter"/>
                <v:imagedata o:title=""/>
                <o:lock v:ext="edit" aspectratio="f"/>
              </v:shape>
            </w:pict>
          </mc:Fallback>
        </mc:AlternateContent>
      </w:r>
      <w:r>
        <w:rPr>
          <w:rFonts w:cs="Times New Roman"/>
        </w:rPr>
        <mc:AlternateContent>
          <mc:Choice Requires="wps">
            <w:drawing>
              <wp:anchor distT="0" distB="0" distL="114300" distR="114300" simplePos="0" relativeHeight="25168076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任意多边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330"/>
                            <a:gd name="T1" fmla="*/ 0 h 330"/>
                            <a:gd name="T2" fmla="*/ 330 h 330"/>
                          </a:gdLst>
                          <a:ahLst/>
                          <a:cxnLst>
                            <a:cxn ang="0">
                              <a:pos x="0" y="T0"/>
                            </a:cxn>
                            <a:cxn ang="0">
                              <a:pos x="0" y="T1"/>
                            </a:cxn>
                            <a:cxn ang="0">
                              <a:pos x="0" y="T2"/>
                            </a:cxn>
                          </a:cxnLst>
                          <a:rect l="0" t="0" r="r" b="b"/>
                          <a:pathLst>
                            <a:path h="330">
                              <a:moveTo>
                                <a:pt x="0" y="0"/>
                              </a:moveTo>
                              <a:lnTo>
                                <a:pt x="0" y="0"/>
                              </a:lnTo>
                              <a:lnTo>
                                <a:pt x="0" y="33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80768;mso-width-relative:page;mso-height-relative:page;" fillcolor="#FFFFFF" filled="t" stroked="t" coordsize="1,330" o:gfxdata="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7RtjA0gAAAAUBAAAPAAAAAAAAAAEAIAAAACIAAABkcnMvZG93bnJldi54bWxQSwECFAAU&#10;AAAACACHTuJAeNednNsCAABnBgAADgAAAAAAAAABACAAAAAhAQAAZHJzL2Uyb0RvYy54bWxQSwUG&#10;AAAAAAYABgBZAQAAbgYAAAAA&#10;" path="m0,0l0,0,0,330e">
                <v:path o:connectlocs="0,0;0,0;0,635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83840" behindDoc="0" locked="0" layoutInCell="1" allowOverlap="1">
                <wp:simplePos x="0" y="0"/>
                <wp:positionH relativeFrom="page">
                  <wp:posOffset>4375150</wp:posOffset>
                </wp:positionH>
                <wp:positionV relativeFrom="page">
                  <wp:posOffset>10086340</wp:posOffset>
                </wp:positionV>
                <wp:extent cx="0" cy="41910"/>
                <wp:effectExtent l="4445" t="0" r="8255" b="8890"/>
                <wp:wrapNone/>
                <wp:docPr id="1" name="任意多边形 1"/>
                <wp:cNvGraphicFramePr/>
                <a:graphic xmlns:a="http://schemas.openxmlformats.org/drawingml/2006/main">
                  <a:graphicData uri="http://schemas.microsoft.com/office/word/2010/wordprocessingShape">
                    <wps:wsp>
                      <wps:cNvSpPr>
                        <a:spLocks noChangeArrowheads="1"/>
                      </wps:cNvSpPr>
                      <wps:spPr bwMode="auto">
                        <a:xfrm>
                          <a:off x="0" y="0"/>
                          <a:ext cx="0" cy="41910"/>
                        </a:xfrm>
                        <a:custGeom>
                          <a:avLst/>
                          <a:gdLst>
                            <a:gd name="T0" fmla="*/ 0 h 330"/>
                            <a:gd name="T1" fmla="*/ 0 h 330"/>
                            <a:gd name="T2" fmla="*/ 330 h 330"/>
                          </a:gdLst>
                          <a:ahLst/>
                          <a:cxnLst>
                            <a:cxn ang="0">
                              <a:pos x="0" y="T0"/>
                            </a:cxn>
                            <a:cxn ang="0">
                              <a:pos x="0" y="T1"/>
                            </a:cxn>
                            <a:cxn ang="0">
                              <a:pos x="0" y="T2"/>
                            </a:cxn>
                          </a:cxnLst>
                          <a:rect l="0" t="0" r="r" b="b"/>
                          <a:pathLst>
                            <a:path h="330">
                              <a:moveTo>
                                <a:pt x="0" y="0"/>
                              </a:moveTo>
                              <a:lnTo>
                                <a:pt x="0" y="0"/>
                              </a:lnTo>
                              <a:lnTo>
                                <a:pt x="0" y="330"/>
                              </a:lnTo>
                            </a:path>
                          </a:pathLst>
                        </a:custGeom>
                        <a:solidFill>
                          <a:srgbClr val="FFFFFF">
                            <a:alpha val="0"/>
                          </a:srgbClr>
                        </a:solidFill>
                        <a:ln w="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44.5pt;margin-top:794.2pt;height:3.3pt;width:0pt;mso-position-horizontal-relative:page;mso-position-vertical-relative:page;z-index:251683840;mso-width-relative:page;mso-height-relative:page;" fillcolor="#FFFFFF" filled="t" stroked="t" coordsize="1,330" o:gfxdata="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qYYG&#10;a9kAAAANAQAADwAAAAAAAAABACAAAAAiAAAAZHJzL2Rvd25yZXYueG1sUEsBAhQAFAAAAAgAh07i&#10;QMp8103MAgAAYwYAAA4AAAAAAAAAAQAgAAAAKAEAAGRycy9lMm9Eb2MueG1sUEsFBgAAAAAGAAYA&#10;WQEAAGYGAAAAAA==&#10;" path="m0,0l0,0,0,330e">
                <v:path o:connectlocs="0,0;0,0;0,41910" o:connectangles="0,0,0"/>
                <v:fill on="t" opacity="0f" focussize="0,0"/>
                <v:stroke weight="0pt" color="#FFFFFF" miterlimit="8" joinstyle="miter"/>
                <v:imagedata o:title=""/>
                <o:lock v:ext="edit" aspectratio="f"/>
              </v:shape>
            </w:pict>
          </mc:Fallback>
        </mc:AlternateContent>
      </w:r>
    </w:p>
    <w:p>
      <w:pPr>
        <w:ind w:firstLine="0" w:firstLineChars="0"/>
        <w:rPr>
          <w:rFonts w:cs="Times New Roman"/>
        </w:rPr>
      </w:pPr>
      <w:r>
        <w:rPr>
          <w:rFonts w:cs="Times New Roman"/>
        </w:rPr>
        <w:t>图中</w:t>
      </w:r>
      <w:r>
        <w:rPr>
          <w:rFonts w:hint="eastAsia" w:cs="Times New Roman"/>
        </w:rPr>
        <w:t>：</w:t>
      </w:r>
    </w:p>
    <w:p>
      <w:pPr>
        <w:ind w:firstLine="420"/>
        <w:rPr>
          <w:rFonts w:cs="Times New Roman"/>
        </w:rPr>
      </w:pPr>
      <w:r>
        <w:rPr>
          <w:rFonts w:cs="Times New Roman"/>
        </w:rPr>
        <w:t>1 井口装置锁合</w:t>
      </w:r>
    </w:p>
    <w:p>
      <w:pPr>
        <w:ind w:firstLine="420"/>
        <w:rPr>
          <w:rFonts w:cs="Times New Roman"/>
        </w:rPr>
      </w:pPr>
      <w:r>
        <w:rPr>
          <w:rFonts w:cs="Times New Roman"/>
        </w:rPr>
        <w:t>2 井口装置座放台肩</w:t>
      </w:r>
    </w:p>
    <w:p>
      <w:pPr>
        <w:ind w:firstLine="420"/>
        <w:rPr>
          <w:rFonts w:cs="Times New Roman"/>
        </w:rPr>
      </w:pPr>
      <w:r>
        <w:rPr>
          <w:rFonts w:cs="Times New Roman"/>
        </w:rPr>
        <w:t>3 永久导向基座配件</w:t>
      </w:r>
    </w:p>
    <w:p>
      <w:pPr>
        <w:ind w:firstLine="420"/>
        <w:rPr>
          <w:rFonts w:cs="Times New Roman"/>
        </w:rPr>
      </w:pPr>
      <w:r>
        <w:rPr>
          <w:rFonts w:cs="Times New Roman"/>
        </w:rPr>
        <w:t>4 送入工具和回接连接装置准备</w:t>
      </w:r>
    </w:p>
    <w:p>
      <w:pPr>
        <w:ind w:firstLine="420"/>
        <w:rPr>
          <w:rFonts w:cs="Times New Roman"/>
        </w:rPr>
      </w:pPr>
      <w:r>
        <w:rPr>
          <w:rFonts w:cs="Times New Roman"/>
        </w:rPr>
        <w:t>5 水泥口（可选）</w:t>
      </w:r>
    </w:p>
    <w:p>
      <w:pPr>
        <w:ind w:firstLine="420"/>
        <w:rPr>
          <w:rFonts w:cs="Times New Roman"/>
        </w:rPr>
      </w:pPr>
      <w:r>
        <w:rPr>
          <w:rFonts w:cs="Times New Roman"/>
        </w:rPr>
        <w:t>6 永久导向基座</w:t>
      </w:r>
    </w:p>
    <w:p>
      <w:pPr>
        <w:ind w:firstLine="420"/>
        <w:rPr>
          <w:rFonts w:cs="Times New Roman"/>
        </w:rPr>
      </w:pPr>
      <w:r>
        <w:rPr>
          <w:rFonts w:cs="Times New Roman"/>
        </w:rPr>
        <w:t>7 座放台肩</w:t>
      </w:r>
    </w:p>
    <w:p>
      <w:pPr>
        <w:ind w:firstLine="420"/>
        <w:rPr>
          <w:rFonts w:cs="Times New Roman"/>
        </w:rPr>
      </w:pPr>
      <w:r>
        <w:rPr>
          <w:rFonts w:cs="Times New Roman"/>
        </w:rPr>
        <w:t>8 中心线</w:t>
      </w:r>
    </w:p>
    <w:p>
      <w:pPr>
        <w:ind w:firstLine="420"/>
        <w:rPr>
          <w:rFonts w:cs="Times New Roman"/>
        </w:rPr>
      </w:pPr>
      <w:r>
        <w:rPr>
          <w:rFonts w:cs="Times New Roman"/>
        </w:rPr>
        <w:t>9 导管</w:t>
      </w:r>
    </w:p>
    <w:p>
      <w:pPr>
        <w:pStyle w:val="69"/>
      </w:pPr>
      <w:bookmarkStart w:id="133" w:name="_Ref112327811"/>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w:t>
      </w:r>
      <w:r>
        <w:fldChar w:fldCharType="end"/>
      </w:r>
      <w:bookmarkEnd w:id="133"/>
      <w:r>
        <w:rPr>
          <w:rFonts w:hint="eastAsia"/>
        </w:rPr>
        <w:t xml:space="preserve"> </w:t>
      </w:r>
      <w:r>
        <w:t>典型导管头</w:t>
      </w:r>
    </w:p>
    <w:p>
      <w:pPr>
        <w:pStyle w:val="41"/>
        <w:rPr>
          <w:rFonts w:cs="Times New Roman"/>
        </w:rPr>
      </w:pPr>
      <w:r>
        <w:rPr>
          <w:rFonts w:cs="Times New Roman"/>
        </w:rPr>
        <w:t>底部连接</w:t>
      </w:r>
    </w:p>
    <w:p>
      <w:pPr>
        <w:ind w:firstLine="420"/>
        <w:rPr>
          <w:rFonts w:cs="Times New Roman"/>
        </w:rPr>
      </w:pPr>
      <w:r>
        <w:rPr>
          <w:rFonts w:cs="Times New Roman"/>
        </w:rPr>
        <w:t>底部接头应满足接头型式和套管载荷要求。</w:t>
      </w:r>
    </w:p>
    <w:p>
      <w:pPr>
        <w:ind w:firstLine="420"/>
        <w:rPr>
          <w:rFonts w:cs="Times New Roman"/>
        </w:rPr>
      </w:pPr>
      <w:r>
        <w:rPr>
          <w:rFonts w:cs="Times New Roman"/>
        </w:rPr>
        <w:t>底部焊接端应为全穿透对焊。</w:t>
      </w:r>
    </w:p>
    <w:p>
      <w:pPr>
        <w:pStyle w:val="41"/>
        <w:rPr>
          <w:rFonts w:cs="Times New Roman"/>
        </w:rPr>
      </w:pPr>
      <w:r>
        <w:rPr>
          <w:rFonts w:cs="Times New Roman"/>
        </w:rPr>
        <w:t>短节</w:t>
      </w:r>
    </w:p>
    <w:p>
      <w:pPr>
        <w:ind w:firstLine="420"/>
        <w:rPr>
          <w:rFonts w:cs="Times New Roman"/>
        </w:rPr>
      </w:pPr>
      <w:r>
        <w:rPr>
          <w:rFonts w:cs="Times New Roman"/>
        </w:rPr>
        <w:t>为了便于现场安装，底端连接可在工厂焊接一个短节，用户/购买方和制造商应就短节的设计规范和长度达成一致。</w:t>
      </w:r>
    </w:p>
    <w:p>
      <w:pPr>
        <w:ind w:firstLine="420"/>
        <w:rPr>
          <w:rFonts w:cs="Times New Roman"/>
        </w:rPr>
      </w:pPr>
      <w:r>
        <w:rPr>
          <w:rFonts w:cs="Times New Roman"/>
        </w:rPr>
        <w:t>为了便于在安装期间悬挂及在发运和安装期间搬运，可提供搬运和支承吊耳。</w:t>
      </w:r>
    </w:p>
    <w:p>
      <w:pPr>
        <w:pStyle w:val="40"/>
      </w:pPr>
      <w:bookmarkStart w:id="134" w:name="_Toc95911885"/>
      <w:r>
        <w:t>试验</w:t>
      </w:r>
      <w:bookmarkEnd w:id="134"/>
    </w:p>
    <w:p>
      <w:pPr>
        <w:pStyle w:val="41"/>
        <w:rPr>
          <w:rFonts w:cs="Times New Roman"/>
        </w:rPr>
      </w:pPr>
      <w:r>
        <w:rPr>
          <w:rFonts w:cs="Times New Roman"/>
        </w:rPr>
        <w:t>性能验证</w:t>
      </w:r>
    </w:p>
    <w:p>
      <w:pPr>
        <w:ind w:firstLine="420"/>
        <w:rPr>
          <w:rFonts w:cs="Times New Roman"/>
        </w:rPr>
      </w:pPr>
      <w:r>
        <w:rPr>
          <w:rFonts w:cs="Times New Roman"/>
        </w:rPr>
        <w:t xml:space="preserve">导管头承载性能验证可通过载荷试验或数值分析方式进行验证。 </w:t>
      </w:r>
    </w:p>
    <w:p>
      <w:pPr>
        <w:ind w:firstLine="420"/>
        <w:rPr>
          <w:rFonts w:cs="Times New Roman"/>
        </w:rPr>
      </w:pPr>
      <w:r>
        <w:rPr>
          <w:rFonts w:cs="Times New Roman"/>
        </w:rPr>
        <w:t>试验项点</w:t>
      </w:r>
      <w:r>
        <w:rPr>
          <w:rFonts w:hint="eastAsia" w:cs="Times New Roman"/>
        </w:rPr>
        <w:t>见6.1</w:t>
      </w:r>
      <w:r>
        <w:rPr>
          <w:rFonts w:cs="Times New Roman"/>
        </w:rPr>
        <w:t>。</w:t>
      </w:r>
    </w:p>
    <w:p>
      <w:pPr>
        <w:pStyle w:val="41"/>
        <w:rPr>
          <w:rFonts w:cs="Times New Roman"/>
        </w:rPr>
      </w:pPr>
      <w:r>
        <w:rPr>
          <w:rFonts w:cs="Times New Roman"/>
        </w:rPr>
        <w:t>出厂验收试验</w:t>
      </w:r>
    </w:p>
    <w:p>
      <w:pPr>
        <w:ind w:firstLine="420"/>
        <w:rPr>
          <w:rFonts w:cs="Times New Roman"/>
        </w:rPr>
      </w:pPr>
      <w:r>
        <w:rPr>
          <w:rFonts w:cs="Times New Roman"/>
        </w:rPr>
        <w:t>试验项点</w:t>
      </w:r>
      <w:r>
        <w:rPr>
          <w:rFonts w:hint="eastAsia" w:cs="Times New Roman"/>
        </w:rPr>
        <w:t>见6.1</w:t>
      </w:r>
      <w:r>
        <w:rPr>
          <w:rFonts w:cs="Times New Roman"/>
        </w:rPr>
        <w:t>。</w:t>
      </w:r>
    </w:p>
    <w:p>
      <w:pPr>
        <w:pStyle w:val="39"/>
      </w:pPr>
      <w:bookmarkStart w:id="135" w:name="_Toc112341748"/>
      <w:bookmarkStart w:id="136" w:name="_Toc95909864"/>
      <w:bookmarkStart w:id="137" w:name="_Toc95911887"/>
      <w:bookmarkStart w:id="138" w:name="_Toc95910606"/>
      <w:r>
        <w:t>高压井口头</w:t>
      </w:r>
      <w:bookmarkEnd w:id="135"/>
      <w:bookmarkEnd w:id="136"/>
      <w:bookmarkEnd w:id="137"/>
      <w:bookmarkEnd w:id="138"/>
    </w:p>
    <w:p>
      <w:pPr>
        <w:pStyle w:val="40"/>
      </w:pPr>
      <w:bookmarkStart w:id="139" w:name="_Toc95911888"/>
      <w:r>
        <w:t>总则</w:t>
      </w:r>
      <w:bookmarkEnd w:id="139"/>
    </w:p>
    <w:p>
      <w:pPr>
        <w:ind w:firstLine="420"/>
        <w:rPr>
          <w:rFonts w:cs="Times New Roman"/>
          <w:spacing w:val="-1"/>
        </w:rPr>
      </w:pPr>
      <w:r>
        <w:rPr>
          <w:rFonts w:cs="Times New Roman"/>
        </w:rPr>
        <w:t>高压井口头座放在低压导管头之内，悬挂表层和随后的套管柱及油管悬挂器，以及承受外部载荷。防喷器组或水下采油树可通过相匹配的井口装置连接装置和垫环，连接和</w:t>
      </w:r>
      <w:r>
        <w:rPr>
          <w:rFonts w:cs="Times New Roman"/>
          <w:spacing w:val="-1"/>
        </w:rPr>
        <w:t>密封到高压井口头顶部。</w:t>
      </w:r>
      <w:r>
        <w:t>高压井口头</w:t>
      </w:r>
      <w:r>
        <w:rPr>
          <w:rFonts w:cs="Times New Roman"/>
        </w:rPr>
        <w:t>应视为承压件。</w:t>
      </w:r>
    </w:p>
    <w:p>
      <w:pPr>
        <w:ind w:firstLine="420"/>
        <w:rPr>
          <w:rFonts w:cs="Times New Roman"/>
        </w:rPr>
      </w:pPr>
      <w:r>
        <w:rPr>
          <w:rFonts w:cs="Times New Roman"/>
        </w:rPr>
        <w:fldChar w:fldCharType="begin"/>
      </w:r>
      <w:r>
        <w:rPr>
          <w:rFonts w:cs="Times New Roman"/>
        </w:rPr>
        <w:instrText xml:space="preserve"> REF _Ref112327833 \h </w:instrText>
      </w:r>
      <w:r>
        <w:rPr>
          <w:rFonts w:cs="Times New Roman"/>
        </w:rPr>
        <w:fldChar w:fldCharType="separate"/>
      </w:r>
      <w:r>
        <w:rPr>
          <w:rFonts w:hint="eastAsia"/>
        </w:rPr>
        <w:t xml:space="preserve">图 </w:t>
      </w:r>
      <w:r>
        <w:t>5</w:t>
      </w:r>
      <w:r>
        <w:rPr>
          <w:rFonts w:cs="Times New Roman"/>
        </w:rPr>
        <w:fldChar w:fldCharType="end"/>
      </w:r>
      <w:r>
        <w:rPr>
          <w:rFonts w:hint="eastAsia" w:cs="Times New Roman"/>
        </w:rPr>
        <w:t xml:space="preserve"> </w:t>
      </w:r>
      <w:r>
        <w:rPr>
          <w:rFonts w:cs="Times New Roman"/>
        </w:rPr>
        <w:t>所示为两种型面的典型高压井口头。</w:t>
      </w:r>
    </w:p>
    <w:p>
      <w:pPr>
        <w:pStyle w:val="70"/>
        <w:rPr>
          <w:rFonts w:cs="Times New Roman"/>
        </w:rPr>
      </w:pPr>
      <w:r>
        <w:rPr>
          <w:rFonts w:cs="Times New Roman"/>
        </w:rPr>
        <w:drawing>
          <wp:inline distT="0" distB="0" distL="0" distR="0">
            <wp:extent cx="3204845" cy="3377565"/>
            <wp:effectExtent l="0" t="0" r="8255"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04845" cy="3377565"/>
                    </a:xfrm>
                    <a:prstGeom prst="rect">
                      <a:avLst/>
                    </a:prstGeom>
                    <a:noFill/>
                  </pic:spPr>
                </pic:pic>
              </a:graphicData>
            </a:graphic>
          </wp:inline>
        </w:drawing>
      </w:r>
      <w:r>
        <w:rPr>
          <w:rFonts w:cs="Times New Roman"/>
        </w:rPr>
        <mc:AlternateContent>
          <mc:Choice Requires="wps">
            <w:drawing>
              <wp:anchor distT="0" distB="0" distL="114300" distR="114300" simplePos="0" relativeHeight="2516848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5" name="任意多边形 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5648"/>
                            <a:gd name="T1" fmla="*/ 24 h 48"/>
                            <a:gd name="T2" fmla="*/ 0 w 45648"/>
                            <a:gd name="T3" fmla="*/ 24 h 48"/>
                            <a:gd name="T4" fmla="*/ 45648 w 45648"/>
                            <a:gd name="T5" fmla="*/ 24 h 48"/>
                          </a:gdLst>
                          <a:ahLst/>
                          <a:cxnLst>
                            <a:cxn ang="0">
                              <a:pos x="T0" y="T1"/>
                            </a:cxn>
                            <a:cxn ang="0">
                              <a:pos x="T2" y="T3"/>
                            </a:cxn>
                            <a:cxn ang="0">
                              <a:pos x="T4" y="T5"/>
                            </a:cxn>
                          </a:cxnLst>
                          <a:rect l="0" t="0" r="r" b="b"/>
                          <a:pathLst>
                            <a:path w="45648" h="48">
                              <a:moveTo>
                                <a:pt x="0" y="24"/>
                              </a:moveTo>
                              <a:lnTo>
                                <a:pt x="0" y="24"/>
                              </a:lnTo>
                              <a:lnTo>
                                <a:pt x="45648" y="24"/>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84864;mso-width-relative:page;mso-height-relative:page;" fillcolor="#FFFFFF" filled="t" stroked="t" coordsize="45648,48" o:gfxdata="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KCOn1TQAAAABQEA&#10;AA8AAAAAAAAAAQAgAAAAIgAAAGRycy9kb3ducmV2LnhtbFBLAQIUABQAAAAIAIdO4kBTn253BgMA&#10;AOsGAAAOAAAAAAAAAAEAIAAAAB8BAABkcnMvZTJvRG9jLnhtbFBLBQYAAAAABgAGAFkBAACXBgAA&#10;AAA=&#10;" path="m0,24l0,24,45648,24e">
                <v:path o:connectlocs="0,317500;0,317500;635000,3175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858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4" name="任意多边形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85888;mso-width-relative:page;mso-height-relative:page;" fillcolor="#FFFFFF" filled="t" stroked="t" coordsize="250,650" o:gfxdata="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G5jFRXRAAAA&#10;BQEAAA8AAAAAAAAAAQAgAAAAIgAAAGRycy9kb3ducmV2LnhtbFBLAQIUABQAAAAIAIdO4kDqE4si&#10;CAMAAOkGAAAOAAAAAAAAAAEAIAAAACABAABkcnMvZTJvRG9jLnhtbFBLBQYAAAAABgAGAFkBAACa&#10;BgAAAAA=&#10;" path="m125,0l125,0,125,650e">
                <v:path o:connectlocs="317500,0;317500,0;317500,635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88960" behindDoc="0" locked="0" layoutInCell="1" allowOverlap="1">
                <wp:simplePos x="0" y="0"/>
                <wp:positionH relativeFrom="page">
                  <wp:posOffset>3760470</wp:posOffset>
                </wp:positionH>
                <wp:positionV relativeFrom="page">
                  <wp:posOffset>10299700</wp:posOffset>
                </wp:positionV>
                <wp:extent cx="31750" cy="82550"/>
                <wp:effectExtent l="0" t="0" r="0" b="6350"/>
                <wp:wrapNone/>
                <wp:docPr id="23" name="任意多边形 23"/>
                <wp:cNvGraphicFramePr/>
                <a:graphic xmlns:a="http://schemas.openxmlformats.org/drawingml/2006/main">
                  <a:graphicData uri="http://schemas.microsoft.com/office/word/2010/wordprocessingShape">
                    <wps:wsp>
                      <wps:cNvSpPr>
                        <a:spLocks noChangeArrowheads="1"/>
                      </wps:cNvSpPr>
                      <wps:spPr bwMode="auto">
                        <a:xfrm>
                          <a:off x="0" y="0"/>
                          <a:ext cx="31750" cy="8255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alpha val="0"/>
                          </a:srgbClr>
                        </a:solidFill>
                        <a:ln w="2540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6.1pt;margin-top:811pt;height:6.5pt;width:2.5pt;mso-position-horizontal-relative:page;mso-position-vertical-relative:page;z-index:251688960;mso-width-relative:page;mso-height-relative:page;" fillcolor="#FFFFFF" filled="t" stroked="t" coordsize="250,650" o:gfxdata="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wIU7&#10;iNkAAAANAQAADwAAAAAAAAABACAAAAAiAAAAZHJzL2Rvd25yZXYueG1sUEsBAhQAFAAAAAgAh07i&#10;QHGjXaUFAwAA7QYAAA4AAAAAAAAAAQAgAAAAKAEAAGRycy9lMm9Eb2MueG1sUEsFBgAAAAAGAAYA&#10;WQEAAJ8GAAAAAA==&#10;" path="m125,0l125,0,125,650e">
                <v:path o:connectlocs="15875,0;15875,0;15875,82550" o:connectangles="0,0,0"/>
                <v:fill on="t" opacity="0f" focussize="0,0"/>
                <v:stroke weight="2pt" color="#FFFFFF" miterlimit="8" joinstyle="miter"/>
                <v:imagedata o:title=""/>
                <o:lock v:ext="edit" aspectratio="f"/>
              </v:shape>
            </w:pict>
          </mc:Fallback>
        </mc:AlternateContent>
      </w:r>
      <w:r>
        <w:rPr>
          <w:rFonts w:cs="Times New Roman"/>
        </w:rPr>
        <mc:AlternateContent>
          <mc:Choice Requires="wps">
            <w:drawing>
              <wp:anchor distT="0" distB="0" distL="114300" distR="114300" simplePos="0" relativeHeight="2516869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2" name="任意多边形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86912;mso-width-relative:page;mso-height-relative:page;" fillcolor="#FFFFFF" filled="t" stroked="t" coordsize="250,650" o:gfxdata="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G5jFRXRAAAA&#10;BQEAAA8AAAAAAAAAAQAgAAAAIgAAAGRycy9kb3ducmV2LnhtbFBLAQIUABQAAAAIAIdO4kBjtoMl&#10;CAMAAOkGAAAOAAAAAAAAAAEAIAAAACABAABkcnMvZTJvRG9jLnhtbFBLBQYAAAAABgAGAFkBAACa&#10;BgAAAAA=&#10;" path="m125,0l125,0,125,650e">
                <v:path o:connectlocs="317500,0;317500,0;317500,635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89984" behindDoc="0" locked="0" layoutInCell="1" allowOverlap="1">
                <wp:simplePos x="0" y="0"/>
                <wp:positionH relativeFrom="page">
                  <wp:posOffset>3760470</wp:posOffset>
                </wp:positionH>
                <wp:positionV relativeFrom="page">
                  <wp:posOffset>10375900</wp:posOffset>
                </wp:positionV>
                <wp:extent cx="31750" cy="82550"/>
                <wp:effectExtent l="0" t="0" r="0" b="6350"/>
                <wp:wrapNone/>
                <wp:docPr id="21" name="任意多边形 21"/>
                <wp:cNvGraphicFramePr/>
                <a:graphic xmlns:a="http://schemas.openxmlformats.org/drawingml/2006/main">
                  <a:graphicData uri="http://schemas.microsoft.com/office/word/2010/wordprocessingShape">
                    <wps:wsp>
                      <wps:cNvSpPr>
                        <a:spLocks noChangeArrowheads="1"/>
                      </wps:cNvSpPr>
                      <wps:spPr bwMode="auto">
                        <a:xfrm>
                          <a:off x="0" y="0"/>
                          <a:ext cx="31750" cy="8255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alpha val="0"/>
                          </a:srgbClr>
                        </a:solidFill>
                        <a:ln w="2540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6.1pt;margin-top:817pt;height:6.5pt;width:2.5pt;mso-position-horizontal-relative:page;mso-position-vertical-relative:page;z-index:251689984;mso-width-relative:page;mso-height-relative:page;" fillcolor="#FFFFFF" filled="t" stroked="t" coordsize="250,650" o:gfxdata="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OTYEfjZ&#10;AAAADQEAAA8AAAAAAAAAAQAgAAAAIgAAAGRycy9kb3ducmV2LnhtbFBLAQIUABQAAAAIAIdO4kDB&#10;iUcbAwMAAO0GAAAOAAAAAAAAAAEAIAAAACgBAABkcnMvZTJvRG9jLnhtbFBLBQYAAAAABgAGAFkB&#10;AACdBgAAAAA=&#10;" path="m125,0l125,0,125,650e">
                <v:path o:connectlocs="15875,0;15875,0;15875,82550" o:connectangles="0,0,0"/>
                <v:fill on="t" opacity="0f" focussize="0,0"/>
                <v:stroke weight="2pt" color="#FFFFFF" miterlimit="8" joinstyle="miter"/>
                <v:imagedata o:title=""/>
                <o:lock v:ext="edit" aspectratio="f"/>
              </v:shape>
            </w:pict>
          </mc:Fallback>
        </mc:AlternateContent>
      </w:r>
      <w:r>
        <w:rPr>
          <w:rFonts w:cs="Times New Roman"/>
        </w:rPr>
        <mc:AlternateContent>
          <mc:Choice Requires="wps">
            <w:drawing>
              <wp:anchor distT="0" distB="0" distL="114300" distR="114300" simplePos="0" relativeHeight="2516879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0" name="任意多边形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30"/>
                            <a:gd name="T1" fmla="*/ 0 w 330"/>
                            <a:gd name="T2" fmla="*/ 330 w 330"/>
                          </a:gdLst>
                          <a:ahLst/>
                          <a:cxnLst>
                            <a:cxn ang="0">
                              <a:pos x="T0" y="0"/>
                            </a:cxn>
                            <a:cxn ang="0">
                              <a:pos x="T1" y="0"/>
                            </a:cxn>
                            <a:cxn ang="0">
                              <a:pos x="T2" y="0"/>
                            </a:cxn>
                          </a:cxnLst>
                          <a:rect l="0" t="0" r="r" b="b"/>
                          <a:pathLst>
                            <a:path w="330">
                              <a:moveTo>
                                <a:pt x="0" y="0"/>
                              </a:moveTo>
                              <a:lnTo>
                                <a:pt x="0" y="0"/>
                              </a:lnTo>
                              <a:lnTo>
                                <a:pt x="330" y="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87936;mso-width-relative:page;mso-height-relative:page;" fillcolor="#FFFFFF" filled="t" stroked="t" coordsize="330,1" o:gfxdata="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C2qndrSAAAABQEAAA8AAAAAAAAAAQAgAAAAIgAAAGRycy9kb3ducmV2LnhtbFBLAQIUABQA&#10;AAAIAIdO4kDwu+lA2gIAAGkGAAAOAAAAAAAAAAEAIAAAACEBAABkcnMvZTJvRG9jLnhtbFBLBQYA&#10;AAAABgAGAFkBAABtBgAAAAA=&#10;" path="m0,0l0,0,330,0e">
                <v:path o:connectlocs="0,0;0,0;6350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91008" behindDoc="0" locked="0" layoutInCell="1" allowOverlap="1">
                <wp:simplePos x="0" y="0"/>
                <wp:positionH relativeFrom="page">
                  <wp:posOffset>6934835</wp:posOffset>
                </wp:positionH>
                <wp:positionV relativeFrom="page">
                  <wp:posOffset>8236585</wp:posOffset>
                </wp:positionV>
                <wp:extent cx="41910" cy="0"/>
                <wp:effectExtent l="0" t="0" r="0" b="0"/>
                <wp:wrapNone/>
                <wp:docPr id="19" name="任意多边形 19"/>
                <wp:cNvGraphicFramePr/>
                <a:graphic xmlns:a="http://schemas.openxmlformats.org/drawingml/2006/main">
                  <a:graphicData uri="http://schemas.microsoft.com/office/word/2010/wordprocessingShape">
                    <wps:wsp>
                      <wps:cNvSpPr>
                        <a:spLocks noChangeArrowheads="1"/>
                      </wps:cNvSpPr>
                      <wps:spPr bwMode="auto">
                        <a:xfrm>
                          <a:off x="0" y="0"/>
                          <a:ext cx="41910" cy="0"/>
                        </a:xfrm>
                        <a:custGeom>
                          <a:avLst/>
                          <a:gdLst>
                            <a:gd name="T0" fmla="*/ 0 w 330"/>
                            <a:gd name="T1" fmla="*/ 0 w 330"/>
                            <a:gd name="T2" fmla="*/ 330 w 330"/>
                          </a:gdLst>
                          <a:ahLst/>
                          <a:cxnLst>
                            <a:cxn ang="0">
                              <a:pos x="T0" y="0"/>
                            </a:cxn>
                            <a:cxn ang="0">
                              <a:pos x="T1" y="0"/>
                            </a:cxn>
                            <a:cxn ang="0">
                              <a:pos x="T2" y="0"/>
                            </a:cxn>
                          </a:cxnLst>
                          <a:rect l="0" t="0" r="r" b="b"/>
                          <a:pathLst>
                            <a:path w="330">
                              <a:moveTo>
                                <a:pt x="0" y="0"/>
                              </a:moveTo>
                              <a:lnTo>
                                <a:pt x="0" y="0"/>
                              </a:lnTo>
                              <a:lnTo>
                                <a:pt x="330" y="0"/>
                              </a:lnTo>
                            </a:path>
                          </a:pathLst>
                        </a:custGeom>
                        <a:solidFill>
                          <a:srgbClr val="FFFFFF">
                            <a:alpha val="0"/>
                          </a:srgbClr>
                        </a:solidFill>
                        <a:ln w="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46.05pt;margin-top:648.55pt;height:0pt;width:3.3pt;mso-position-horizontal-relative:page;mso-position-vertical-relative:page;z-index:251691008;mso-width-relative:page;mso-height-relative:page;" fillcolor="#FFFFFF" filled="t" stroked="t" coordsize="330,1" o:gfxdata="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xX/n89gAAAAPAQAADwAAAAAAAAABACAAAAAiAAAAZHJzL2Rvd25yZXYueG1sUEsBAhQAFAAA&#10;AAgAh07iQKeutobTAgAAZQYAAA4AAAAAAAAAAQAgAAAAJwEAAGRycy9lMm9Eb2MueG1sUEsFBgAA&#10;AAAGAAYAWQEAAGwGAAAAAA==&#10;" path="m0,0l0,0,330,0e">
                <v:path o:connectlocs="0,0;0,0;41910,0" o:connectangles="0,0,0"/>
                <v:fill on="t" opacity="0f" focussize="0,0"/>
                <v:stroke weight="0pt" color="#FFFFFF" miterlimit="8" joinstyle="miter"/>
                <v:imagedata o:title=""/>
                <o:lock v:ext="edit" aspectratio="f"/>
              </v:shape>
            </w:pict>
          </mc:Fallback>
        </mc:AlternateContent>
      </w:r>
    </w:p>
    <w:p>
      <w:pPr>
        <w:ind w:firstLine="3024" w:firstLineChars="1800"/>
        <w:rPr>
          <w:rFonts w:cs="Times New Roman"/>
        </w:rPr>
      </w:pPr>
      <w:r>
        <w:rPr>
          <w:rFonts w:hint="eastAsia" w:cs="Times New Roman"/>
          <w:spacing w:val="-6"/>
          <w:sz w:val="18"/>
        </w:rPr>
        <w:t>芯</w:t>
      </w:r>
      <w:r>
        <w:rPr>
          <w:rFonts w:cs="Times New Roman"/>
          <w:spacing w:val="-6"/>
          <w:sz w:val="18"/>
        </w:rPr>
        <w:t>轴式</w:t>
      </w:r>
      <w:r>
        <w:rPr>
          <w:rFonts w:cs="Times New Roman"/>
        </w:rPr>
        <w:t xml:space="preserve">     </w:t>
      </w:r>
      <w:r>
        <w:rPr>
          <w:rFonts w:cs="Times New Roman"/>
          <w:spacing w:val="-6"/>
          <w:sz w:val="18"/>
        </w:rPr>
        <w:t>毂式</w:t>
      </w:r>
    </w:p>
    <w:p>
      <w:pPr>
        <w:spacing w:after="93" w:afterLines="30"/>
        <w:ind w:firstLine="0" w:firstLineChars="0"/>
        <w:rPr>
          <w:rFonts w:cs="Times New Roman"/>
        </w:rPr>
      </w:pPr>
      <w:r>
        <w:rPr>
          <w:rFonts w:cs="Times New Roman"/>
        </w:rPr>
        <w:t>图中：</w:t>
      </w:r>
    </w:p>
    <w:tbl>
      <w:tblPr>
        <w:tblStyle w:val="27"/>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1"/>
        <w:gridCol w:w="4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1" w:type="dxa"/>
          </w:tcPr>
          <w:p>
            <w:pPr>
              <w:pStyle w:val="70"/>
              <w:jc w:val="left"/>
            </w:pPr>
            <w:r>
              <w:t>1、连接装置型面</w:t>
            </w:r>
          </w:p>
        </w:tc>
        <w:tc>
          <w:tcPr>
            <w:tcW w:w="4863" w:type="dxa"/>
          </w:tcPr>
          <w:p>
            <w:pPr>
              <w:pStyle w:val="45"/>
              <w:ind w:firstLine="0" w:firstLineChars="0"/>
              <w:rPr>
                <w:rFonts w:cs="Times New Roman"/>
              </w:rPr>
            </w:pPr>
            <w:r>
              <w:rPr>
                <w:rFonts w:cs="Times New Roman"/>
              </w:rPr>
              <w:t>2、井口头锁合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1" w:type="dxa"/>
          </w:tcPr>
          <w:p>
            <w:pPr>
              <w:pStyle w:val="45"/>
              <w:ind w:firstLine="0" w:firstLineChars="0"/>
              <w:rPr>
                <w:rFonts w:cs="Times New Roman"/>
              </w:rPr>
            </w:pPr>
            <w:r>
              <w:rPr>
                <w:rFonts w:cs="Times New Roman"/>
              </w:rPr>
              <w:t>3、座放台肩</w:t>
            </w:r>
          </w:p>
        </w:tc>
        <w:tc>
          <w:tcPr>
            <w:tcW w:w="4863" w:type="dxa"/>
          </w:tcPr>
          <w:p>
            <w:pPr>
              <w:pStyle w:val="45"/>
              <w:ind w:firstLine="0" w:firstLineChars="0"/>
              <w:rPr>
                <w:rFonts w:cs="Times New Roman"/>
              </w:rPr>
            </w:pPr>
            <w:r>
              <w:rPr>
                <w:rFonts w:cs="Times New Roman"/>
              </w:rPr>
              <w:t>4、垫环型面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1" w:type="dxa"/>
          </w:tcPr>
          <w:p>
            <w:pPr>
              <w:pStyle w:val="45"/>
              <w:ind w:firstLine="0" w:firstLineChars="0"/>
              <w:rPr>
                <w:rFonts w:cs="Times New Roman"/>
              </w:rPr>
            </w:pPr>
            <w:r>
              <w:rPr>
                <w:rFonts w:cs="Times New Roman"/>
              </w:rPr>
              <w:t>5、送入工具准备</w:t>
            </w:r>
          </w:p>
        </w:tc>
        <w:tc>
          <w:tcPr>
            <w:tcW w:w="4863" w:type="dxa"/>
          </w:tcPr>
          <w:p>
            <w:pPr>
              <w:pStyle w:val="45"/>
              <w:ind w:firstLine="0" w:firstLineChars="0"/>
              <w:rPr>
                <w:rFonts w:cs="Times New Roman"/>
              </w:rPr>
            </w:pPr>
            <w:r>
              <w:rPr>
                <w:rFonts w:cs="Times New Roman"/>
              </w:rPr>
              <w:t>6、套管悬挂器</w:t>
            </w:r>
            <w:r>
              <w:rPr>
                <w:rFonts w:cs="Times New Roman"/>
                <w:spacing w:val="-5"/>
              </w:rPr>
              <w:t>/</w:t>
            </w:r>
            <w:r>
              <w:rPr>
                <w:rFonts w:cs="Times New Roman"/>
              </w:rPr>
              <w:t>封隔装置密封区域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51" w:type="dxa"/>
          </w:tcPr>
          <w:p>
            <w:pPr>
              <w:pStyle w:val="70"/>
              <w:jc w:val="left"/>
            </w:pPr>
            <w:r>
              <w:rPr>
                <w:rFonts w:cs="Times New Roman"/>
              </w:rPr>
              <w:t>7、悬挂器锁合型面</w:t>
            </w:r>
          </w:p>
        </w:tc>
        <w:tc>
          <w:tcPr>
            <w:tcW w:w="4863" w:type="dxa"/>
          </w:tcPr>
          <w:p>
            <w:pPr>
              <w:pStyle w:val="45"/>
              <w:ind w:firstLine="0" w:firstLineChars="0"/>
              <w:rPr>
                <w:rFonts w:cs="Times New Roman"/>
              </w:rPr>
            </w:pPr>
            <w:r>
              <w:rPr>
                <w:rFonts w:cs="Times New Roman"/>
              </w:rPr>
              <w:t>8、悬挂器座放台肩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1" w:type="dxa"/>
          </w:tcPr>
          <w:p>
            <w:pPr>
              <w:pStyle w:val="45"/>
              <w:ind w:firstLine="0" w:firstLineChars="0"/>
              <w:rPr>
                <w:rFonts w:cs="Times New Roman"/>
              </w:rPr>
            </w:pPr>
            <w:r>
              <w:rPr>
                <w:rFonts w:cs="Times New Roman"/>
              </w:rPr>
              <w:t>9、最小孔</w:t>
            </w:r>
          </w:p>
        </w:tc>
        <w:tc>
          <w:tcPr>
            <w:tcW w:w="4863" w:type="dxa"/>
          </w:tcPr>
          <w:p>
            <w:pPr>
              <w:pStyle w:val="45"/>
              <w:ind w:firstLine="0" w:firstLineChars="0"/>
              <w:rPr>
                <w:rFonts w:cs="Times New Roman"/>
              </w:rPr>
            </w:pPr>
            <w:r>
              <w:rPr>
                <w:rFonts w:cs="Times New Roman"/>
              </w:rPr>
              <w:t>10、中心线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1" w:type="dxa"/>
          </w:tcPr>
          <w:p>
            <w:pPr>
              <w:pStyle w:val="45"/>
              <w:ind w:firstLine="0" w:firstLineChars="0"/>
              <w:rPr>
                <w:rFonts w:cs="Times New Roman"/>
              </w:rPr>
            </w:pPr>
            <w:r>
              <w:rPr>
                <w:rFonts w:cs="Times New Roman"/>
              </w:rPr>
              <w:t>11、井口头压力边界</w:t>
            </w:r>
          </w:p>
        </w:tc>
        <w:tc>
          <w:tcPr>
            <w:tcW w:w="4863" w:type="dxa"/>
          </w:tcPr>
          <w:p>
            <w:pPr>
              <w:pStyle w:val="45"/>
              <w:ind w:firstLine="0" w:firstLineChars="0"/>
              <w:rPr>
                <w:rFonts w:cs="Times New Roman"/>
              </w:rPr>
            </w:pPr>
            <w:r>
              <w:rPr>
                <w:rFonts w:cs="Times New Roman"/>
              </w:rPr>
              <w:t>12、套管悬挂器密封总成最下部密封元件位置</w:t>
            </w:r>
          </w:p>
        </w:tc>
      </w:tr>
    </w:tbl>
    <w:p>
      <w:pPr>
        <w:pStyle w:val="69"/>
      </w:pPr>
      <w:bookmarkStart w:id="140" w:name="_Ref112327833"/>
      <w:bookmarkStart w:id="141" w:name="_Ref112338870"/>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w:t>
      </w:r>
      <w:r>
        <w:fldChar w:fldCharType="end"/>
      </w:r>
      <w:bookmarkEnd w:id="140"/>
      <w:r>
        <w:rPr>
          <w:rFonts w:hint="eastAsia"/>
        </w:rPr>
        <w:t xml:space="preserve"> </w:t>
      </w:r>
      <w:r>
        <w:t>典型井口头</w:t>
      </w:r>
      <w:bookmarkEnd w:id="141"/>
    </w:p>
    <w:p>
      <w:pPr>
        <w:pStyle w:val="40"/>
      </w:pPr>
      <w:bookmarkStart w:id="142" w:name="_Toc95911889"/>
      <w:r>
        <w:t>设计</w:t>
      </w:r>
      <w:bookmarkEnd w:id="142"/>
    </w:p>
    <w:p>
      <w:pPr>
        <w:pStyle w:val="41"/>
        <w:rPr>
          <w:rFonts w:cs="Times New Roman"/>
        </w:rPr>
      </w:pPr>
      <w:r>
        <w:rPr>
          <w:rFonts w:cs="Times New Roman"/>
        </w:rPr>
        <w:t>设计荷载/条件</w:t>
      </w:r>
    </w:p>
    <w:p>
      <w:pPr>
        <w:ind w:firstLine="420"/>
        <w:rPr>
          <w:rFonts w:cs="Times New Roman"/>
        </w:rPr>
      </w:pPr>
      <w:r>
        <w:rPr>
          <w:rFonts w:cs="Times New Roman"/>
        </w:rPr>
        <w:t>设计宜考虑以下载荷：</w:t>
      </w:r>
    </w:p>
    <w:p>
      <w:pPr>
        <w:pStyle w:val="45"/>
        <w:numPr>
          <w:ilvl w:val="0"/>
          <w:numId w:val="26"/>
        </w:numPr>
        <w:ind w:firstLineChars="0"/>
        <w:rPr>
          <w:rFonts w:cs="Times New Roman"/>
        </w:rPr>
      </w:pPr>
      <w:r>
        <w:rPr>
          <w:rFonts w:cs="Times New Roman"/>
        </w:rPr>
        <w:t>立管力（钻井、生产和修井）；</w:t>
      </w:r>
    </w:p>
    <w:p>
      <w:pPr>
        <w:pStyle w:val="45"/>
        <w:numPr>
          <w:ilvl w:val="0"/>
          <w:numId w:val="26"/>
        </w:numPr>
        <w:ind w:firstLineChars="0"/>
        <w:rPr>
          <w:rFonts w:cs="Times New Roman"/>
        </w:rPr>
      </w:pPr>
      <w:r>
        <w:rPr>
          <w:rFonts w:cs="Times New Roman"/>
        </w:rPr>
        <w:t>防喷器载荷；</w:t>
      </w:r>
    </w:p>
    <w:p>
      <w:pPr>
        <w:pStyle w:val="45"/>
        <w:numPr>
          <w:ilvl w:val="0"/>
          <w:numId w:val="26"/>
        </w:numPr>
        <w:ind w:firstLineChars="0"/>
        <w:rPr>
          <w:rFonts w:cs="Times New Roman"/>
        </w:rPr>
      </w:pPr>
      <w:r>
        <w:rPr>
          <w:rFonts w:cs="Times New Roman"/>
        </w:rPr>
        <w:t>水下采油树载荷；</w:t>
      </w:r>
    </w:p>
    <w:p>
      <w:pPr>
        <w:pStyle w:val="45"/>
        <w:numPr>
          <w:ilvl w:val="0"/>
          <w:numId w:val="26"/>
        </w:numPr>
        <w:ind w:firstLineChars="0"/>
        <w:rPr>
          <w:rFonts w:cs="Times New Roman"/>
        </w:rPr>
      </w:pPr>
      <w:r>
        <w:rPr>
          <w:rFonts w:cs="Times New Roman"/>
        </w:rPr>
        <w:t>压力载荷（内部和外部）；</w:t>
      </w:r>
    </w:p>
    <w:p>
      <w:pPr>
        <w:pStyle w:val="45"/>
        <w:numPr>
          <w:ilvl w:val="0"/>
          <w:numId w:val="26"/>
        </w:numPr>
        <w:ind w:firstLineChars="0"/>
        <w:rPr>
          <w:rFonts w:cs="Times New Roman"/>
        </w:rPr>
      </w:pPr>
      <w:r>
        <w:rPr>
          <w:rFonts w:cs="Times New Roman"/>
        </w:rPr>
        <w:t>径向载荷；</w:t>
      </w:r>
    </w:p>
    <w:p>
      <w:pPr>
        <w:pStyle w:val="45"/>
        <w:numPr>
          <w:ilvl w:val="0"/>
          <w:numId w:val="26"/>
        </w:numPr>
        <w:ind w:firstLineChars="0"/>
        <w:rPr>
          <w:rFonts w:cs="Times New Roman"/>
        </w:rPr>
      </w:pPr>
      <w:r>
        <w:rPr>
          <w:rFonts w:cs="Times New Roman"/>
        </w:rPr>
        <w:t>热载荷；</w:t>
      </w:r>
    </w:p>
    <w:p>
      <w:pPr>
        <w:pStyle w:val="45"/>
        <w:numPr>
          <w:ilvl w:val="0"/>
          <w:numId w:val="26"/>
        </w:numPr>
        <w:ind w:firstLineChars="0"/>
        <w:rPr>
          <w:rFonts w:cs="Times New Roman"/>
        </w:rPr>
      </w:pPr>
      <w:r>
        <w:rPr>
          <w:rFonts w:cs="Times New Roman"/>
        </w:rPr>
        <w:t>环境条件载荷；</w:t>
      </w:r>
    </w:p>
    <w:p>
      <w:pPr>
        <w:pStyle w:val="45"/>
        <w:numPr>
          <w:ilvl w:val="0"/>
          <w:numId w:val="26"/>
        </w:numPr>
        <w:ind w:firstLineChars="0"/>
        <w:rPr>
          <w:rFonts w:cs="Times New Roman"/>
        </w:rPr>
      </w:pPr>
      <w:r>
        <w:rPr>
          <w:rFonts w:cs="Times New Roman"/>
        </w:rPr>
        <w:t>出油管线载荷；</w:t>
      </w:r>
    </w:p>
    <w:p>
      <w:pPr>
        <w:pStyle w:val="45"/>
        <w:numPr>
          <w:ilvl w:val="0"/>
          <w:numId w:val="26"/>
        </w:numPr>
        <w:ind w:firstLineChars="0"/>
        <w:rPr>
          <w:rFonts w:cs="Times New Roman"/>
        </w:rPr>
      </w:pPr>
      <w:r>
        <w:rPr>
          <w:rFonts w:cs="Times New Roman"/>
        </w:rPr>
        <w:t>悬挂的套管载荷；</w:t>
      </w:r>
    </w:p>
    <w:p>
      <w:pPr>
        <w:pStyle w:val="45"/>
        <w:numPr>
          <w:ilvl w:val="0"/>
          <w:numId w:val="26"/>
        </w:numPr>
        <w:ind w:firstLineChars="0"/>
        <w:rPr>
          <w:rFonts w:cs="Times New Roman"/>
        </w:rPr>
      </w:pPr>
      <w:r>
        <w:rPr>
          <w:rFonts w:cs="Times New Roman"/>
        </w:rPr>
        <w:t>导管头反作用载荷（力）；</w:t>
      </w:r>
    </w:p>
    <w:p>
      <w:pPr>
        <w:pStyle w:val="45"/>
        <w:numPr>
          <w:ilvl w:val="0"/>
          <w:numId w:val="26"/>
        </w:numPr>
        <w:ind w:firstLineChars="0"/>
        <w:rPr>
          <w:rFonts w:cs="Times New Roman"/>
        </w:rPr>
      </w:pPr>
      <w:r>
        <w:rPr>
          <w:rFonts w:cs="Times New Roman"/>
        </w:rPr>
        <w:t>油管悬挂器反作用载荷（力）；</w:t>
      </w:r>
    </w:p>
    <w:p>
      <w:pPr>
        <w:pStyle w:val="45"/>
        <w:numPr>
          <w:ilvl w:val="0"/>
          <w:numId w:val="26"/>
        </w:numPr>
        <w:ind w:firstLineChars="0"/>
        <w:rPr>
          <w:rFonts w:cs="Times New Roman"/>
        </w:rPr>
      </w:pPr>
      <w:r>
        <w:rPr>
          <w:rFonts w:cs="Times New Roman"/>
        </w:rPr>
        <w:t>液压连接装置载荷；</w:t>
      </w:r>
    </w:p>
    <w:p>
      <w:pPr>
        <w:pStyle w:val="45"/>
        <w:numPr>
          <w:ilvl w:val="0"/>
          <w:numId w:val="26"/>
        </w:numPr>
        <w:ind w:firstLineChars="0"/>
        <w:rPr>
          <w:rFonts w:cs="Times New Roman"/>
        </w:rPr>
      </w:pPr>
      <w:r>
        <w:rPr>
          <w:rFonts w:cs="Times New Roman"/>
        </w:rPr>
        <w:t>疲劳载荷。</w:t>
      </w:r>
    </w:p>
    <w:p>
      <w:pPr>
        <w:pStyle w:val="41"/>
        <w:rPr>
          <w:rFonts w:cs="Times New Roman"/>
        </w:rPr>
      </w:pPr>
      <w:r>
        <w:rPr>
          <w:rFonts w:cs="Times New Roman"/>
        </w:rPr>
        <w:t>连接</w:t>
      </w:r>
    </w:p>
    <w:p>
      <w:pPr>
        <w:pStyle w:val="42"/>
        <w:rPr>
          <w:rFonts w:cs="Times New Roman"/>
          <w:w w:val="100"/>
        </w:rPr>
      </w:pPr>
      <w:r>
        <w:rPr>
          <w:rFonts w:cs="Times New Roman"/>
          <w:w w:val="100"/>
        </w:rPr>
        <w:t>顶部连接</w:t>
      </w:r>
    </w:p>
    <w:p>
      <w:pPr>
        <w:ind w:firstLine="420"/>
        <w:rPr>
          <w:rFonts w:cs="Times New Roman"/>
        </w:rPr>
      </w:pPr>
      <w:r>
        <w:rPr>
          <w:rFonts w:cs="Times New Roman"/>
        </w:rPr>
        <w:t>顶部连接宜按照用户的规定为毂式或</w:t>
      </w:r>
      <w:r>
        <w:rPr>
          <w:rFonts w:hint="eastAsia" w:cs="Times New Roman"/>
        </w:rPr>
        <w:t>芯</w:t>
      </w:r>
      <w:r>
        <w:rPr>
          <w:rFonts w:cs="Times New Roman"/>
        </w:rPr>
        <w:t>轴式（见</w:t>
      </w:r>
      <w:r>
        <w:rPr>
          <w:rFonts w:cs="Times New Roman"/>
        </w:rPr>
        <w:fldChar w:fldCharType="begin"/>
      </w:r>
      <w:r>
        <w:rPr>
          <w:rFonts w:cs="Times New Roman"/>
        </w:rPr>
        <w:instrText xml:space="preserve"> REF _Ref112327833 \h </w:instrText>
      </w:r>
      <w:r>
        <w:rPr>
          <w:rFonts w:cs="Times New Roman"/>
        </w:rPr>
        <w:fldChar w:fldCharType="separate"/>
      </w:r>
      <w:r>
        <w:rPr>
          <w:rFonts w:hint="eastAsia"/>
        </w:rPr>
        <w:t xml:space="preserve">图 </w:t>
      </w:r>
      <w:r>
        <w:t>5</w:t>
      </w:r>
      <w:r>
        <w:rPr>
          <w:rFonts w:cs="Times New Roman"/>
        </w:rPr>
        <w:fldChar w:fldCharType="end"/>
      </w:r>
      <w:r>
        <w:rPr>
          <w:rFonts w:cs="Times New Roman"/>
        </w:rPr>
        <w:t xml:space="preserve"> ）。垫环型面应用耐腐蚀材料制造或用耐腐蚀材料堆焊。垫环型面应提供主要和次要两道密封。</w:t>
      </w:r>
    </w:p>
    <w:p>
      <w:pPr>
        <w:pStyle w:val="42"/>
        <w:rPr>
          <w:rFonts w:cs="Times New Roman"/>
          <w:w w:val="100"/>
        </w:rPr>
      </w:pPr>
      <w:r>
        <w:rPr>
          <w:rFonts w:cs="Times New Roman"/>
          <w:w w:val="100"/>
        </w:rPr>
        <w:t>底部连接</w:t>
      </w:r>
    </w:p>
    <w:p>
      <w:pPr>
        <w:ind w:firstLine="420"/>
        <w:rPr>
          <w:rFonts w:cs="Times New Roman"/>
        </w:rPr>
      </w:pPr>
      <w:r>
        <w:rPr>
          <w:rFonts w:cs="Times New Roman"/>
        </w:rPr>
        <w:t>底部接头应符合接头型式和套管载荷的采购要求。</w:t>
      </w:r>
    </w:p>
    <w:p>
      <w:pPr>
        <w:ind w:firstLine="420"/>
        <w:rPr>
          <w:rFonts w:cs="Times New Roman"/>
        </w:rPr>
      </w:pPr>
      <w:r>
        <w:rPr>
          <w:rFonts w:cs="Times New Roman"/>
        </w:rPr>
        <w:t>底部焊接端应为全穿透对焊。</w:t>
      </w:r>
    </w:p>
    <w:p>
      <w:pPr>
        <w:pStyle w:val="42"/>
        <w:rPr>
          <w:rFonts w:cs="Times New Roman"/>
          <w:w w:val="100"/>
        </w:rPr>
      </w:pPr>
      <w:r>
        <w:rPr>
          <w:rFonts w:cs="Times New Roman"/>
          <w:w w:val="100"/>
        </w:rPr>
        <w:t>短节</w:t>
      </w:r>
    </w:p>
    <w:p>
      <w:pPr>
        <w:ind w:firstLine="420"/>
        <w:rPr>
          <w:rFonts w:cs="Times New Roman"/>
        </w:rPr>
      </w:pPr>
      <w:r>
        <w:rPr>
          <w:rFonts w:cs="Times New Roman"/>
        </w:rPr>
        <w:t>为了便于现场安装，底端连接可在工厂焊接一个短节，用户/购买方和制造商应就短节的设计规范和长度达成一致。</w:t>
      </w:r>
    </w:p>
    <w:p>
      <w:pPr>
        <w:pStyle w:val="42"/>
        <w:rPr>
          <w:rFonts w:cs="Times New Roman"/>
          <w:w w:val="100"/>
        </w:rPr>
      </w:pPr>
      <w:r>
        <w:rPr>
          <w:rFonts w:cs="Times New Roman"/>
          <w:w w:val="100"/>
        </w:rPr>
        <w:t xml:space="preserve">本体贯穿 </w:t>
      </w:r>
    </w:p>
    <w:p>
      <w:pPr>
        <w:ind w:firstLine="420"/>
        <w:rPr>
          <w:rFonts w:cs="Times New Roman"/>
        </w:rPr>
      </w:pPr>
      <w:r>
        <w:rPr>
          <w:rFonts w:cs="Times New Roman"/>
        </w:rPr>
        <w:t>在井口头压力边界之内，不允许本体贯穿。</w:t>
      </w:r>
    </w:p>
    <w:p>
      <w:pPr>
        <w:pStyle w:val="40"/>
      </w:pPr>
      <w:bookmarkStart w:id="143" w:name="_Toc95911890"/>
      <w:r>
        <w:t>尺寸</w:t>
      </w:r>
      <w:bookmarkEnd w:id="143"/>
    </w:p>
    <w:p>
      <w:pPr>
        <w:ind w:firstLine="420"/>
        <w:rPr>
          <w:rFonts w:cs="Times New Roman"/>
        </w:rPr>
      </w:pPr>
      <w:r>
        <w:rPr>
          <w:rFonts w:cs="Times New Roman"/>
        </w:rPr>
        <w:t>尺寸要求如下：</w:t>
      </w:r>
    </w:p>
    <w:p>
      <w:pPr>
        <w:pStyle w:val="45"/>
        <w:numPr>
          <w:ilvl w:val="0"/>
          <w:numId w:val="27"/>
        </w:numPr>
        <w:ind w:firstLineChars="0"/>
        <w:rPr>
          <w:rFonts w:cs="Times New Roman"/>
        </w:rPr>
      </w:pPr>
      <w:r>
        <w:rPr>
          <w:rFonts w:cs="Times New Roman"/>
        </w:rPr>
        <w:t>井口头最小垂直孔应按照</w:t>
      </w:r>
      <w:r>
        <w:rPr>
          <w:rFonts w:cs="Times New Roman"/>
        </w:rPr>
        <w:fldChar w:fldCharType="begin"/>
      </w:r>
      <w:r>
        <w:rPr>
          <w:rFonts w:cs="Times New Roman"/>
        </w:rPr>
        <w:instrText xml:space="preserve"> REF _Ref112226846 \h  \* MERGEFORMAT </w:instrText>
      </w:r>
      <w:r>
        <w:rPr>
          <w:rFonts w:cs="Times New Roman"/>
        </w:rPr>
        <w:fldChar w:fldCharType="separate"/>
      </w:r>
      <w:r>
        <w:rPr>
          <w:rFonts w:cs="Times New Roman"/>
        </w:rPr>
        <w:t>表 13</w:t>
      </w:r>
      <w:r>
        <w:rPr>
          <w:rFonts w:cs="Times New Roman"/>
        </w:rPr>
        <w:fldChar w:fldCharType="end"/>
      </w:r>
      <w:r>
        <w:rPr>
          <w:rFonts w:cs="Times New Roman"/>
        </w:rPr>
        <w:t xml:space="preserve"> 中的规定。</w:t>
      </w:r>
    </w:p>
    <w:p>
      <w:pPr>
        <w:pStyle w:val="45"/>
        <w:numPr>
          <w:ilvl w:val="0"/>
          <w:numId w:val="27"/>
        </w:numPr>
        <w:ind w:firstLineChars="0"/>
        <w:rPr>
          <w:rFonts w:cs="Times New Roman"/>
        </w:rPr>
      </w:pPr>
      <w:r>
        <w:rPr>
          <w:rFonts w:cs="Times New Roman"/>
        </w:rPr>
        <w:t>井口装置压力边界（见</w:t>
      </w:r>
      <w:r>
        <w:rPr>
          <w:rFonts w:cs="Times New Roman"/>
        </w:rPr>
        <w:fldChar w:fldCharType="begin"/>
      </w:r>
      <w:r>
        <w:rPr>
          <w:rFonts w:cs="Times New Roman"/>
        </w:rPr>
        <w:instrText xml:space="preserve"> REF _Ref112327833 \h </w:instrText>
      </w:r>
      <w:r>
        <w:rPr>
          <w:rFonts w:cs="Times New Roman"/>
        </w:rPr>
        <w:fldChar w:fldCharType="separate"/>
      </w:r>
      <w:r>
        <w:rPr>
          <w:rFonts w:hint="eastAsia"/>
        </w:rPr>
        <w:t xml:space="preserve">图 </w:t>
      </w:r>
      <w:r>
        <w:t>5</w:t>
      </w:r>
      <w:r>
        <w:rPr>
          <w:rFonts w:cs="Times New Roman"/>
        </w:rPr>
        <w:fldChar w:fldCharType="end"/>
      </w:r>
      <w:r>
        <w:rPr>
          <w:rFonts w:cs="Times New Roman"/>
        </w:rPr>
        <w:t>）的尺寸应按照制造商的书面规范。</w:t>
      </w:r>
    </w:p>
    <w:p>
      <w:pPr>
        <w:pStyle w:val="69"/>
      </w:pPr>
      <w:bookmarkStart w:id="144" w:name="_Ref112226846"/>
      <w:bookmarkStart w:id="145" w:name="_Ref112226842"/>
      <w:r>
        <w:t xml:space="preserve">表 </w:t>
      </w:r>
      <w:r>
        <w:fldChar w:fldCharType="begin"/>
      </w:r>
      <w:r>
        <w:instrText xml:space="preserve"> SEQ 表 \* ARABIC </w:instrText>
      </w:r>
      <w:r>
        <w:fldChar w:fldCharType="separate"/>
      </w:r>
      <w:r>
        <w:t>13</w:t>
      </w:r>
      <w:r>
        <w:fldChar w:fldCharType="end"/>
      </w:r>
      <w:bookmarkEnd w:id="144"/>
      <w:r>
        <w:t>井口装置系统—标准尺寸和</w:t>
      </w:r>
      <w:bookmarkEnd w:id="145"/>
      <w:r>
        <w:t>型式</w:t>
      </w:r>
    </w:p>
    <w:tbl>
      <w:tblPr>
        <w:tblStyle w:val="27"/>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8"/>
        <w:gridCol w:w="942"/>
        <w:gridCol w:w="1186"/>
        <w:gridCol w:w="138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509" w:type="dxa"/>
            <w:gridSpan w:val="2"/>
            <w:vAlign w:val="center"/>
          </w:tcPr>
          <w:p>
            <w:pPr>
              <w:pStyle w:val="70"/>
              <w:rPr>
                <w:rFonts w:cs="Times New Roman"/>
              </w:rPr>
            </w:pPr>
            <w:r>
              <w:rPr>
                <w:rFonts w:cs="Times New Roman"/>
              </w:rPr>
              <w:t>系统公称标识</w:t>
            </w:r>
          </w:p>
        </w:tc>
        <w:tc>
          <w:tcPr>
            <w:tcW w:w="2128" w:type="dxa"/>
            <w:gridSpan w:val="2"/>
            <w:vAlign w:val="center"/>
          </w:tcPr>
          <w:p>
            <w:pPr>
              <w:pStyle w:val="70"/>
              <w:rPr>
                <w:rFonts w:cs="Times New Roman"/>
              </w:rPr>
            </w:pPr>
            <w:r>
              <w:rPr>
                <w:rFonts w:cs="Times New Roman"/>
              </w:rPr>
              <w:t>高压井口头工作压力</w:t>
            </w:r>
          </w:p>
        </w:tc>
        <w:tc>
          <w:tcPr>
            <w:tcW w:w="2877" w:type="dxa"/>
            <w:gridSpan w:val="2"/>
            <w:vAlign w:val="center"/>
          </w:tcPr>
          <w:p>
            <w:pPr>
              <w:pStyle w:val="70"/>
              <w:rPr>
                <w:rFonts w:cs="Times New Roman"/>
              </w:rPr>
            </w:pPr>
            <w:r>
              <w:rPr>
                <w:rFonts w:cs="Times New Roman"/>
              </w:rPr>
              <w:t>最小垂直通径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vAlign w:val="center"/>
          </w:tcPr>
          <w:p>
            <w:pPr>
              <w:pStyle w:val="70"/>
              <w:rPr>
                <w:rFonts w:cs="Times New Roman"/>
              </w:rPr>
            </w:pPr>
            <w:r>
              <w:rPr>
                <w:rFonts w:cs="Times New Roman"/>
              </w:rPr>
              <w:t>in；psi</w:t>
            </w:r>
          </w:p>
        </w:tc>
        <w:tc>
          <w:tcPr>
            <w:tcW w:w="1558" w:type="dxa"/>
            <w:vAlign w:val="center"/>
          </w:tcPr>
          <w:p>
            <w:pPr>
              <w:pStyle w:val="70"/>
              <w:rPr>
                <w:rFonts w:cs="Times New Roman"/>
              </w:rPr>
            </w:pPr>
            <w:r>
              <w:rPr>
                <w:rFonts w:cs="Times New Roman"/>
              </w:rPr>
              <w:t>（mm-MPa）</w:t>
            </w:r>
          </w:p>
        </w:tc>
        <w:tc>
          <w:tcPr>
            <w:tcW w:w="942" w:type="dxa"/>
            <w:vAlign w:val="center"/>
          </w:tcPr>
          <w:p>
            <w:pPr>
              <w:pStyle w:val="70"/>
              <w:rPr>
                <w:rFonts w:cs="Times New Roman"/>
              </w:rPr>
            </w:pPr>
            <w:r>
              <w:rPr>
                <w:rFonts w:cs="Times New Roman"/>
              </w:rPr>
              <w:t>psi</w:t>
            </w:r>
          </w:p>
        </w:tc>
        <w:tc>
          <w:tcPr>
            <w:tcW w:w="1186" w:type="dxa"/>
            <w:vAlign w:val="center"/>
          </w:tcPr>
          <w:p>
            <w:pPr>
              <w:pStyle w:val="70"/>
              <w:rPr>
                <w:rFonts w:cs="Times New Roman"/>
              </w:rPr>
            </w:pPr>
            <w:r>
              <w:rPr>
                <w:rFonts w:cs="Times New Roman"/>
              </w:rPr>
              <w:t>（MPa）</w:t>
            </w:r>
          </w:p>
        </w:tc>
        <w:tc>
          <w:tcPr>
            <w:tcW w:w="1380" w:type="dxa"/>
            <w:vAlign w:val="center"/>
          </w:tcPr>
          <w:p>
            <w:pPr>
              <w:pStyle w:val="70"/>
              <w:rPr>
                <w:rFonts w:cs="Times New Roman"/>
              </w:rPr>
            </w:pPr>
            <w:r>
              <w:rPr>
                <w:rFonts w:cs="Times New Roman"/>
              </w:rPr>
              <w:t>in</w:t>
            </w:r>
          </w:p>
        </w:tc>
        <w:tc>
          <w:tcPr>
            <w:tcW w:w="1497" w:type="dxa"/>
            <w:vAlign w:val="center"/>
          </w:tcPr>
          <w:p>
            <w:pPr>
              <w:pStyle w:val="70"/>
              <w:rPr>
                <w:rFonts w:cs="Times New Roman"/>
              </w:rPr>
            </w:pPr>
            <w:r>
              <w:rPr>
                <w:rFonts w:cs="Times New Roma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vAlign w:val="center"/>
          </w:tcPr>
          <w:p>
            <w:pPr>
              <w:pStyle w:val="70"/>
              <w:rPr>
                <w:rFonts w:cs="Times New Roman"/>
              </w:rPr>
            </w:pPr>
            <w:r>
              <w:rPr>
                <w:rFonts w:cs="Times New Roman"/>
              </w:rPr>
              <w:t>13</w:t>
            </w:r>
            <w:r>
              <w:rPr>
                <w:rFonts w:cs="Times New Roman"/>
                <w:vertAlign w:val="superscript"/>
              </w:rPr>
              <w:t>5</w:t>
            </w:r>
            <w:r>
              <w:rPr>
                <w:rFonts w:cs="Times New Roman"/>
              </w:rPr>
              <w:t>/</w:t>
            </w:r>
            <w:r>
              <w:rPr>
                <w:rFonts w:cs="Times New Roman"/>
                <w:vertAlign w:val="subscript"/>
              </w:rPr>
              <w:t>8</w:t>
            </w:r>
            <w:r>
              <w:rPr>
                <w:rFonts w:cs="Times New Roman"/>
              </w:rPr>
              <w:t>;10000</w:t>
            </w:r>
          </w:p>
        </w:tc>
        <w:tc>
          <w:tcPr>
            <w:tcW w:w="1558" w:type="dxa"/>
            <w:vAlign w:val="center"/>
          </w:tcPr>
          <w:p>
            <w:pPr>
              <w:pStyle w:val="70"/>
              <w:rPr>
                <w:rFonts w:cs="Times New Roman"/>
              </w:rPr>
            </w:pPr>
            <w:r>
              <w:rPr>
                <w:rFonts w:cs="Times New Roman"/>
              </w:rPr>
              <w:t>(346-69)</w:t>
            </w:r>
          </w:p>
        </w:tc>
        <w:tc>
          <w:tcPr>
            <w:tcW w:w="942" w:type="dxa"/>
            <w:vAlign w:val="center"/>
          </w:tcPr>
          <w:p>
            <w:pPr>
              <w:pStyle w:val="70"/>
              <w:rPr>
                <w:rFonts w:cs="Times New Roman"/>
              </w:rPr>
            </w:pPr>
            <w:r>
              <w:rPr>
                <w:rFonts w:cs="Times New Roman"/>
              </w:rPr>
              <w:t>10000</w:t>
            </w:r>
          </w:p>
        </w:tc>
        <w:tc>
          <w:tcPr>
            <w:tcW w:w="1186" w:type="dxa"/>
            <w:vAlign w:val="center"/>
          </w:tcPr>
          <w:p>
            <w:pPr>
              <w:pStyle w:val="70"/>
              <w:rPr>
                <w:rFonts w:cs="Times New Roman"/>
              </w:rPr>
            </w:pPr>
            <w:r>
              <w:rPr>
                <w:rFonts w:cs="Times New Roman"/>
              </w:rPr>
              <w:t>（69.0）</w:t>
            </w:r>
          </w:p>
        </w:tc>
        <w:tc>
          <w:tcPr>
            <w:tcW w:w="1380" w:type="dxa"/>
            <w:vAlign w:val="center"/>
          </w:tcPr>
          <w:p>
            <w:pPr>
              <w:pStyle w:val="70"/>
              <w:rPr>
                <w:rFonts w:cs="Times New Roman"/>
              </w:rPr>
            </w:pPr>
            <w:r>
              <w:rPr>
                <w:rFonts w:cs="Times New Roman"/>
              </w:rPr>
              <w:t>12.31</w:t>
            </w:r>
          </w:p>
        </w:tc>
        <w:tc>
          <w:tcPr>
            <w:tcW w:w="1497" w:type="dxa"/>
            <w:vAlign w:val="center"/>
          </w:tcPr>
          <w:p>
            <w:pPr>
              <w:pStyle w:val="70"/>
              <w:rPr>
                <w:rFonts w:cs="Times New Roman"/>
              </w:rPr>
            </w:pPr>
            <w:r>
              <w:rPr>
                <w:rFonts w:cs="Times New Roman"/>
                <w:kern w:val="0"/>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vAlign w:val="center"/>
          </w:tcPr>
          <w:p>
            <w:pPr>
              <w:pStyle w:val="70"/>
              <w:rPr>
                <w:rFonts w:cs="Times New Roman"/>
              </w:rPr>
            </w:pPr>
            <w:r>
              <w:rPr>
                <w:rFonts w:cs="Times New Roman"/>
              </w:rPr>
              <w:t>13</w:t>
            </w:r>
            <w:r>
              <w:rPr>
                <w:rFonts w:cs="Times New Roman"/>
                <w:vertAlign w:val="superscript"/>
              </w:rPr>
              <w:t>5</w:t>
            </w:r>
            <w:r>
              <w:rPr>
                <w:rFonts w:cs="Times New Roman"/>
              </w:rPr>
              <w:t>/</w:t>
            </w:r>
            <w:r>
              <w:rPr>
                <w:rFonts w:cs="Times New Roman"/>
                <w:vertAlign w:val="subscript"/>
              </w:rPr>
              <w:t>8</w:t>
            </w:r>
            <w:r>
              <w:rPr>
                <w:rFonts w:cs="Times New Roman"/>
              </w:rPr>
              <w:t>;15000</w:t>
            </w:r>
          </w:p>
        </w:tc>
        <w:tc>
          <w:tcPr>
            <w:tcW w:w="1558" w:type="dxa"/>
            <w:vAlign w:val="center"/>
          </w:tcPr>
          <w:p>
            <w:pPr>
              <w:pStyle w:val="70"/>
              <w:rPr>
                <w:rFonts w:cs="Times New Roman"/>
              </w:rPr>
            </w:pPr>
            <w:r>
              <w:rPr>
                <w:rFonts w:cs="Times New Roman"/>
              </w:rPr>
              <w:t>(346-103)</w:t>
            </w:r>
          </w:p>
        </w:tc>
        <w:tc>
          <w:tcPr>
            <w:tcW w:w="942" w:type="dxa"/>
            <w:vAlign w:val="center"/>
          </w:tcPr>
          <w:p>
            <w:pPr>
              <w:pStyle w:val="70"/>
              <w:rPr>
                <w:rFonts w:cs="Times New Roman"/>
              </w:rPr>
            </w:pPr>
            <w:r>
              <w:rPr>
                <w:rFonts w:cs="Times New Roman"/>
              </w:rPr>
              <w:t>15000</w:t>
            </w:r>
          </w:p>
        </w:tc>
        <w:tc>
          <w:tcPr>
            <w:tcW w:w="1186" w:type="dxa"/>
            <w:vAlign w:val="center"/>
          </w:tcPr>
          <w:p>
            <w:pPr>
              <w:pStyle w:val="70"/>
              <w:rPr>
                <w:rFonts w:cs="Times New Roman"/>
              </w:rPr>
            </w:pPr>
            <w:r>
              <w:rPr>
                <w:rFonts w:cs="Times New Roman"/>
              </w:rPr>
              <w:t>（</w:t>
            </w:r>
            <w:r>
              <w:rPr>
                <w:rFonts w:cs="Times New Roman"/>
                <w:kern w:val="0"/>
              </w:rPr>
              <w:t>103.5</w:t>
            </w:r>
            <w:r>
              <w:rPr>
                <w:rFonts w:cs="Times New Roman"/>
              </w:rPr>
              <w:t>）</w:t>
            </w:r>
          </w:p>
        </w:tc>
        <w:tc>
          <w:tcPr>
            <w:tcW w:w="1380" w:type="dxa"/>
            <w:vAlign w:val="center"/>
          </w:tcPr>
          <w:p>
            <w:pPr>
              <w:pStyle w:val="70"/>
              <w:rPr>
                <w:rFonts w:cs="Times New Roman"/>
              </w:rPr>
            </w:pPr>
            <w:r>
              <w:rPr>
                <w:rFonts w:cs="Times New Roman"/>
              </w:rPr>
              <w:t>12.31</w:t>
            </w:r>
          </w:p>
        </w:tc>
        <w:tc>
          <w:tcPr>
            <w:tcW w:w="1497" w:type="dxa"/>
            <w:vAlign w:val="center"/>
          </w:tcPr>
          <w:p>
            <w:pPr>
              <w:pStyle w:val="70"/>
              <w:rPr>
                <w:rFonts w:cs="Times New Roman"/>
              </w:rPr>
            </w:pPr>
            <w:r>
              <w:rPr>
                <w:rFonts w:cs="Times New Roman"/>
                <w:kern w:val="0"/>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vAlign w:val="center"/>
          </w:tcPr>
          <w:p>
            <w:pPr>
              <w:pStyle w:val="70"/>
              <w:rPr>
                <w:rFonts w:cs="Times New Roman"/>
              </w:rPr>
            </w:pPr>
            <w:r>
              <w:rPr>
                <w:rFonts w:cs="Times New Roman"/>
              </w:rPr>
              <w:t>16</w:t>
            </w:r>
            <w:r>
              <w:rPr>
                <w:rFonts w:cs="Times New Roman"/>
                <w:vertAlign w:val="superscript"/>
              </w:rPr>
              <w:t>3</w:t>
            </w:r>
            <w:r>
              <w:rPr>
                <w:rFonts w:cs="Times New Roman"/>
              </w:rPr>
              <w:t>/</w:t>
            </w:r>
            <w:r>
              <w:rPr>
                <w:rFonts w:cs="Times New Roman"/>
                <w:vertAlign w:val="subscript"/>
              </w:rPr>
              <w:t>4</w:t>
            </w:r>
            <w:r>
              <w:rPr>
                <w:rFonts w:cs="Times New Roman"/>
              </w:rPr>
              <w:t>;5000</w:t>
            </w:r>
          </w:p>
        </w:tc>
        <w:tc>
          <w:tcPr>
            <w:tcW w:w="1558" w:type="dxa"/>
            <w:vAlign w:val="center"/>
          </w:tcPr>
          <w:p>
            <w:pPr>
              <w:pStyle w:val="70"/>
              <w:rPr>
                <w:rFonts w:cs="Times New Roman"/>
              </w:rPr>
            </w:pPr>
            <w:r>
              <w:rPr>
                <w:rFonts w:cs="Times New Roman"/>
              </w:rPr>
              <w:t>(425-35)</w:t>
            </w:r>
          </w:p>
        </w:tc>
        <w:tc>
          <w:tcPr>
            <w:tcW w:w="942" w:type="dxa"/>
            <w:vAlign w:val="center"/>
          </w:tcPr>
          <w:p>
            <w:pPr>
              <w:pStyle w:val="70"/>
              <w:rPr>
                <w:rFonts w:cs="Times New Roman"/>
              </w:rPr>
            </w:pPr>
            <w:r>
              <w:rPr>
                <w:rFonts w:cs="Times New Roman"/>
              </w:rPr>
              <w:t>5000</w:t>
            </w:r>
          </w:p>
        </w:tc>
        <w:tc>
          <w:tcPr>
            <w:tcW w:w="1186" w:type="dxa"/>
            <w:vAlign w:val="center"/>
          </w:tcPr>
          <w:p>
            <w:pPr>
              <w:pStyle w:val="70"/>
              <w:rPr>
                <w:rFonts w:cs="Times New Roman"/>
              </w:rPr>
            </w:pPr>
            <w:r>
              <w:rPr>
                <w:rFonts w:cs="Times New Roman"/>
                <w:kern w:val="0"/>
              </w:rPr>
              <w:t>（34.5）</w:t>
            </w:r>
          </w:p>
        </w:tc>
        <w:tc>
          <w:tcPr>
            <w:tcW w:w="1380" w:type="dxa"/>
            <w:vAlign w:val="center"/>
          </w:tcPr>
          <w:p>
            <w:pPr>
              <w:pStyle w:val="70"/>
              <w:rPr>
                <w:rFonts w:cs="Times New Roman"/>
              </w:rPr>
            </w:pPr>
            <w:r>
              <w:rPr>
                <w:rFonts w:cs="Times New Roman"/>
                <w:kern w:val="0"/>
              </w:rPr>
              <w:t>15.12</w:t>
            </w:r>
          </w:p>
        </w:tc>
        <w:tc>
          <w:tcPr>
            <w:tcW w:w="1497" w:type="dxa"/>
            <w:vAlign w:val="center"/>
          </w:tcPr>
          <w:p>
            <w:pPr>
              <w:pStyle w:val="70"/>
              <w:rPr>
                <w:rFonts w:cs="Times New Roman"/>
              </w:rPr>
            </w:pPr>
            <w:r>
              <w:rPr>
                <w:rFonts w:cs="Times New Roman"/>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vAlign w:val="center"/>
          </w:tcPr>
          <w:p>
            <w:pPr>
              <w:pStyle w:val="70"/>
              <w:rPr>
                <w:rFonts w:cs="Times New Roman"/>
              </w:rPr>
            </w:pPr>
            <w:r>
              <w:rPr>
                <w:rFonts w:cs="Times New Roman"/>
              </w:rPr>
              <w:t>16</w:t>
            </w:r>
            <w:r>
              <w:rPr>
                <w:rFonts w:cs="Times New Roman"/>
                <w:vertAlign w:val="superscript"/>
              </w:rPr>
              <w:t>3</w:t>
            </w:r>
            <w:r>
              <w:rPr>
                <w:rFonts w:cs="Times New Roman"/>
              </w:rPr>
              <w:t>/</w:t>
            </w:r>
            <w:r>
              <w:rPr>
                <w:rFonts w:cs="Times New Roman"/>
                <w:vertAlign w:val="subscript"/>
              </w:rPr>
              <w:t>4</w:t>
            </w:r>
            <w:r>
              <w:rPr>
                <w:rFonts w:cs="Times New Roman"/>
              </w:rPr>
              <w:t>;10000</w:t>
            </w:r>
          </w:p>
        </w:tc>
        <w:tc>
          <w:tcPr>
            <w:tcW w:w="1558" w:type="dxa"/>
            <w:vAlign w:val="center"/>
          </w:tcPr>
          <w:p>
            <w:pPr>
              <w:pStyle w:val="70"/>
              <w:rPr>
                <w:rFonts w:cs="Times New Roman"/>
              </w:rPr>
            </w:pPr>
            <w:r>
              <w:rPr>
                <w:rFonts w:cs="Times New Roman"/>
              </w:rPr>
              <w:t>(425-69)</w:t>
            </w:r>
          </w:p>
        </w:tc>
        <w:tc>
          <w:tcPr>
            <w:tcW w:w="942" w:type="dxa"/>
            <w:vAlign w:val="center"/>
          </w:tcPr>
          <w:p>
            <w:pPr>
              <w:pStyle w:val="70"/>
              <w:rPr>
                <w:rFonts w:cs="Times New Roman"/>
              </w:rPr>
            </w:pPr>
            <w:r>
              <w:rPr>
                <w:rFonts w:cs="Times New Roman"/>
              </w:rPr>
              <w:t>10000</w:t>
            </w:r>
          </w:p>
        </w:tc>
        <w:tc>
          <w:tcPr>
            <w:tcW w:w="1186" w:type="dxa"/>
            <w:vAlign w:val="center"/>
          </w:tcPr>
          <w:p>
            <w:pPr>
              <w:pStyle w:val="70"/>
              <w:rPr>
                <w:rFonts w:cs="Times New Roman"/>
              </w:rPr>
            </w:pPr>
            <w:r>
              <w:rPr>
                <w:rFonts w:cs="Times New Roman"/>
              </w:rPr>
              <w:t>（69.0）</w:t>
            </w:r>
          </w:p>
        </w:tc>
        <w:tc>
          <w:tcPr>
            <w:tcW w:w="1380" w:type="dxa"/>
            <w:vAlign w:val="center"/>
          </w:tcPr>
          <w:p>
            <w:pPr>
              <w:pStyle w:val="70"/>
              <w:rPr>
                <w:rFonts w:cs="Times New Roman"/>
              </w:rPr>
            </w:pPr>
            <w:r>
              <w:rPr>
                <w:rFonts w:cs="Times New Roman"/>
                <w:kern w:val="0"/>
              </w:rPr>
              <w:t>15.12</w:t>
            </w:r>
          </w:p>
        </w:tc>
        <w:tc>
          <w:tcPr>
            <w:tcW w:w="1497" w:type="dxa"/>
            <w:vAlign w:val="center"/>
          </w:tcPr>
          <w:p>
            <w:pPr>
              <w:pStyle w:val="70"/>
              <w:rPr>
                <w:rFonts w:cs="Times New Roman"/>
              </w:rPr>
            </w:pPr>
            <w:r>
              <w:rPr>
                <w:rFonts w:cs="Times New Roman"/>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vAlign w:val="center"/>
          </w:tcPr>
          <w:p>
            <w:pPr>
              <w:pStyle w:val="70"/>
              <w:rPr>
                <w:rFonts w:cs="Times New Roman"/>
              </w:rPr>
            </w:pPr>
            <w:r>
              <w:rPr>
                <w:rFonts w:cs="Times New Roman"/>
              </w:rPr>
              <w:t>18</w:t>
            </w:r>
            <w:r>
              <w:rPr>
                <w:rFonts w:cs="Times New Roman"/>
                <w:vertAlign w:val="superscript"/>
              </w:rPr>
              <w:t>3</w:t>
            </w:r>
            <w:r>
              <w:rPr>
                <w:rFonts w:cs="Times New Roman"/>
              </w:rPr>
              <w:t>/</w:t>
            </w:r>
            <w:r>
              <w:rPr>
                <w:rFonts w:cs="Times New Roman"/>
                <w:vertAlign w:val="subscript"/>
              </w:rPr>
              <w:t>4</w:t>
            </w:r>
            <w:r>
              <w:rPr>
                <w:rFonts w:cs="Times New Roman"/>
              </w:rPr>
              <w:t>;10000</w:t>
            </w:r>
          </w:p>
        </w:tc>
        <w:tc>
          <w:tcPr>
            <w:tcW w:w="1558" w:type="dxa"/>
            <w:vAlign w:val="center"/>
          </w:tcPr>
          <w:p>
            <w:pPr>
              <w:pStyle w:val="70"/>
              <w:rPr>
                <w:rFonts w:cs="Times New Roman"/>
              </w:rPr>
            </w:pPr>
            <w:r>
              <w:rPr>
                <w:rFonts w:cs="Times New Roman"/>
              </w:rPr>
              <w:t>(476-69)</w:t>
            </w:r>
          </w:p>
        </w:tc>
        <w:tc>
          <w:tcPr>
            <w:tcW w:w="942" w:type="dxa"/>
            <w:vAlign w:val="center"/>
          </w:tcPr>
          <w:p>
            <w:pPr>
              <w:pStyle w:val="70"/>
              <w:rPr>
                <w:rFonts w:cs="Times New Roman"/>
              </w:rPr>
            </w:pPr>
            <w:r>
              <w:rPr>
                <w:rFonts w:cs="Times New Roman"/>
              </w:rPr>
              <w:t>10000</w:t>
            </w:r>
          </w:p>
        </w:tc>
        <w:tc>
          <w:tcPr>
            <w:tcW w:w="1186" w:type="dxa"/>
            <w:vAlign w:val="center"/>
          </w:tcPr>
          <w:p>
            <w:pPr>
              <w:pStyle w:val="70"/>
              <w:rPr>
                <w:rFonts w:cs="Times New Roman"/>
              </w:rPr>
            </w:pPr>
            <w:r>
              <w:rPr>
                <w:rFonts w:cs="Times New Roman"/>
              </w:rPr>
              <w:t>（69.0）</w:t>
            </w:r>
          </w:p>
        </w:tc>
        <w:tc>
          <w:tcPr>
            <w:tcW w:w="1380" w:type="dxa"/>
            <w:vAlign w:val="center"/>
          </w:tcPr>
          <w:p>
            <w:pPr>
              <w:pStyle w:val="70"/>
              <w:rPr>
                <w:rFonts w:cs="Times New Roman"/>
              </w:rPr>
            </w:pPr>
            <w:r>
              <w:rPr>
                <w:rFonts w:cs="Times New Roman"/>
                <w:kern w:val="0"/>
              </w:rPr>
              <w:t>17.56</w:t>
            </w:r>
          </w:p>
        </w:tc>
        <w:tc>
          <w:tcPr>
            <w:tcW w:w="1497" w:type="dxa"/>
            <w:vAlign w:val="center"/>
          </w:tcPr>
          <w:p>
            <w:pPr>
              <w:pStyle w:val="70"/>
              <w:rPr>
                <w:rFonts w:cs="Times New Roman"/>
              </w:rPr>
            </w:pPr>
            <w:r>
              <w:rPr>
                <w:rFonts w:cs="Times New Roman"/>
              </w:rPr>
              <w:t>（</w:t>
            </w:r>
            <w:r>
              <w:rPr>
                <w:rFonts w:cs="Times New Roman"/>
                <w:kern w:val="0"/>
              </w:rPr>
              <w:t>446</w:t>
            </w: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vAlign w:val="center"/>
          </w:tcPr>
          <w:p>
            <w:pPr>
              <w:pStyle w:val="70"/>
              <w:rPr>
                <w:rFonts w:cs="Times New Roman"/>
              </w:rPr>
            </w:pPr>
            <w:r>
              <w:rPr>
                <w:rFonts w:cs="Times New Roman"/>
              </w:rPr>
              <w:t>18</w:t>
            </w:r>
            <w:r>
              <w:rPr>
                <w:rFonts w:cs="Times New Roman"/>
                <w:vertAlign w:val="superscript"/>
              </w:rPr>
              <w:t>3</w:t>
            </w:r>
            <w:r>
              <w:rPr>
                <w:rFonts w:cs="Times New Roman"/>
              </w:rPr>
              <w:t>/</w:t>
            </w:r>
            <w:r>
              <w:rPr>
                <w:rFonts w:cs="Times New Roman"/>
                <w:vertAlign w:val="subscript"/>
              </w:rPr>
              <w:t>4</w:t>
            </w:r>
            <w:r>
              <w:rPr>
                <w:rFonts w:cs="Times New Roman"/>
              </w:rPr>
              <w:t>;15000</w:t>
            </w:r>
          </w:p>
        </w:tc>
        <w:tc>
          <w:tcPr>
            <w:tcW w:w="1558" w:type="dxa"/>
            <w:vAlign w:val="center"/>
          </w:tcPr>
          <w:p>
            <w:pPr>
              <w:pStyle w:val="70"/>
              <w:rPr>
                <w:rFonts w:cs="Times New Roman"/>
              </w:rPr>
            </w:pPr>
            <w:r>
              <w:rPr>
                <w:rFonts w:cs="Times New Roman"/>
              </w:rPr>
              <w:t>(476-103)</w:t>
            </w:r>
          </w:p>
        </w:tc>
        <w:tc>
          <w:tcPr>
            <w:tcW w:w="942" w:type="dxa"/>
            <w:vAlign w:val="center"/>
          </w:tcPr>
          <w:p>
            <w:pPr>
              <w:pStyle w:val="70"/>
              <w:rPr>
                <w:rFonts w:cs="Times New Roman"/>
              </w:rPr>
            </w:pPr>
            <w:r>
              <w:rPr>
                <w:rFonts w:cs="Times New Roman"/>
              </w:rPr>
              <w:t>15000</w:t>
            </w:r>
          </w:p>
        </w:tc>
        <w:tc>
          <w:tcPr>
            <w:tcW w:w="1186" w:type="dxa"/>
            <w:vAlign w:val="center"/>
          </w:tcPr>
          <w:p>
            <w:pPr>
              <w:pStyle w:val="70"/>
              <w:rPr>
                <w:rFonts w:cs="Times New Roman"/>
              </w:rPr>
            </w:pPr>
            <w:r>
              <w:rPr>
                <w:rFonts w:cs="Times New Roman"/>
              </w:rPr>
              <w:t>（</w:t>
            </w:r>
            <w:r>
              <w:rPr>
                <w:rFonts w:cs="Times New Roman"/>
                <w:kern w:val="0"/>
              </w:rPr>
              <w:t>103.5</w:t>
            </w:r>
            <w:r>
              <w:rPr>
                <w:rFonts w:cs="Times New Roman"/>
              </w:rPr>
              <w:t>）</w:t>
            </w:r>
          </w:p>
        </w:tc>
        <w:tc>
          <w:tcPr>
            <w:tcW w:w="1380" w:type="dxa"/>
            <w:vAlign w:val="center"/>
          </w:tcPr>
          <w:p>
            <w:pPr>
              <w:pStyle w:val="70"/>
              <w:rPr>
                <w:rFonts w:cs="Times New Roman"/>
              </w:rPr>
            </w:pPr>
            <w:r>
              <w:rPr>
                <w:rFonts w:cs="Times New Roman"/>
                <w:kern w:val="0"/>
              </w:rPr>
              <w:t>17.56</w:t>
            </w:r>
          </w:p>
        </w:tc>
        <w:tc>
          <w:tcPr>
            <w:tcW w:w="1497" w:type="dxa"/>
            <w:vAlign w:val="center"/>
          </w:tcPr>
          <w:p>
            <w:pPr>
              <w:pStyle w:val="70"/>
              <w:rPr>
                <w:rFonts w:cs="Times New Roman"/>
              </w:rPr>
            </w:pPr>
            <w:r>
              <w:rPr>
                <w:rFonts w:cs="Times New Roman"/>
              </w:rPr>
              <w:t>（</w:t>
            </w:r>
            <w:r>
              <w:rPr>
                <w:rFonts w:cs="Times New Roman"/>
                <w:kern w:val="0"/>
              </w:rPr>
              <w:t>446</w:t>
            </w: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vAlign w:val="center"/>
          </w:tcPr>
          <w:p>
            <w:pPr>
              <w:pStyle w:val="70"/>
              <w:rPr>
                <w:rFonts w:cs="Times New Roman"/>
              </w:rPr>
            </w:pPr>
            <w:r>
              <w:rPr>
                <w:rFonts w:cs="Times New Roman"/>
              </w:rPr>
              <w:t>20</w:t>
            </w:r>
            <w:r>
              <w:rPr>
                <w:rFonts w:cs="Times New Roman"/>
                <w:vertAlign w:val="superscript"/>
              </w:rPr>
              <w:t>3</w:t>
            </w:r>
            <w:r>
              <w:rPr>
                <w:rFonts w:cs="Times New Roman"/>
              </w:rPr>
              <w:t>/</w:t>
            </w:r>
            <w:r>
              <w:rPr>
                <w:rFonts w:cs="Times New Roman"/>
                <w:vertAlign w:val="subscript"/>
              </w:rPr>
              <w:t>4</w:t>
            </w:r>
            <w:r>
              <w:rPr>
                <w:rFonts w:cs="Times New Roman"/>
              </w:rPr>
              <w:t>; 21</w:t>
            </w:r>
            <w:r>
              <w:rPr>
                <w:rFonts w:cs="Times New Roman"/>
                <w:vertAlign w:val="superscript"/>
              </w:rPr>
              <w:t>1</w:t>
            </w:r>
            <w:r>
              <w:rPr>
                <w:rFonts w:cs="Times New Roman"/>
              </w:rPr>
              <w:t>/</w:t>
            </w:r>
            <w:r>
              <w:rPr>
                <w:rFonts w:cs="Times New Roman"/>
                <w:vertAlign w:val="subscript"/>
              </w:rPr>
              <w:t>4</w:t>
            </w:r>
            <w:r>
              <w:rPr>
                <w:rFonts w:cs="Times New Roman"/>
              </w:rPr>
              <w:t>;2000</w:t>
            </w:r>
          </w:p>
        </w:tc>
        <w:tc>
          <w:tcPr>
            <w:tcW w:w="1558" w:type="dxa"/>
            <w:vAlign w:val="center"/>
          </w:tcPr>
          <w:p>
            <w:pPr>
              <w:pStyle w:val="70"/>
              <w:rPr>
                <w:rFonts w:cs="Times New Roman"/>
              </w:rPr>
            </w:pPr>
            <w:r>
              <w:rPr>
                <w:rFonts w:cs="Times New Roman"/>
              </w:rPr>
              <w:t>(527-540-14)</w:t>
            </w:r>
          </w:p>
        </w:tc>
        <w:tc>
          <w:tcPr>
            <w:tcW w:w="942" w:type="dxa"/>
            <w:vAlign w:val="center"/>
          </w:tcPr>
          <w:p>
            <w:pPr>
              <w:pStyle w:val="70"/>
              <w:rPr>
                <w:rFonts w:cs="Times New Roman"/>
              </w:rPr>
            </w:pPr>
            <w:r>
              <w:rPr>
                <w:rFonts w:cs="Times New Roman"/>
              </w:rPr>
              <w:t>15000</w:t>
            </w:r>
          </w:p>
        </w:tc>
        <w:tc>
          <w:tcPr>
            <w:tcW w:w="1186" w:type="dxa"/>
            <w:vAlign w:val="center"/>
          </w:tcPr>
          <w:p>
            <w:pPr>
              <w:pStyle w:val="70"/>
              <w:rPr>
                <w:rFonts w:cs="Times New Roman"/>
              </w:rPr>
            </w:pPr>
            <w:r>
              <w:rPr>
                <w:rFonts w:cs="Times New Roman"/>
              </w:rPr>
              <w:t>（</w:t>
            </w:r>
            <w:r>
              <w:rPr>
                <w:rFonts w:cs="Times New Roman"/>
                <w:kern w:val="0"/>
              </w:rPr>
              <w:t>13.8</w:t>
            </w:r>
            <w:r>
              <w:rPr>
                <w:rFonts w:cs="Times New Roman"/>
              </w:rPr>
              <w:t>）</w:t>
            </w:r>
          </w:p>
        </w:tc>
        <w:tc>
          <w:tcPr>
            <w:tcW w:w="1380" w:type="dxa"/>
            <w:vAlign w:val="center"/>
          </w:tcPr>
          <w:p>
            <w:pPr>
              <w:pStyle w:val="70"/>
              <w:rPr>
                <w:rFonts w:cs="Times New Roman"/>
              </w:rPr>
            </w:pPr>
            <w:r>
              <w:rPr>
                <w:rFonts w:cs="Times New Roman"/>
                <w:kern w:val="0"/>
              </w:rPr>
              <w:t>18.59</w:t>
            </w:r>
          </w:p>
        </w:tc>
        <w:tc>
          <w:tcPr>
            <w:tcW w:w="1497" w:type="dxa"/>
            <w:vAlign w:val="center"/>
          </w:tcPr>
          <w:p>
            <w:pPr>
              <w:pStyle w:val="70"/>
              <w:rPr>
                <w:rFonts w:cs="Times New Roman"/>
              </w:rPr>
            </w:pPr>
            <w:r>
              <w:rPr>
                <w:rFonts w:cs="Times New Roman"/>
              </w:rPr>
              <w:t>（</w:t>
            </w:r>
            <w:r>
              <w:rPr>
                <w:rFonts w:cs="Times New Roman"/>
                <w:kern w:val="0"/>
              </w:rPr>
              <w:t>472</w:t>
            </w: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vAlign w:val="center"/>
          </w:tcPr>
          <w:p>
            <w:pPr>
              <w:pStyle w:val="70"/>
              <w:rPr>
                <w:rFonts w:cs="Times New Roman"/>
              </w:rPr>
            </w:pPr>
            <w:r>
              <w:rPr>
                <w:rFonts w:cs="Times New Roman"/>
              </w:rPr>
              <w:t>21</w:t>
            </w:r>
            <w:r>
              <w:rPr>
                <w:rFonts w:cs="Times New Roman"/>
                <w:vertAlign w:val="superscript"/>
              </w:rPr>
              <w:t>1</w:t>
            </w:r>
            <w:r>
              <w:rPr>
                <w:rFonts w:cs="Times New Roman"/>
              </w:rPr>
              <w:t>/</w:t>
            </w:r>
            <w:r>
              <w:rPr>
                <w:rFonts w:cs="Times New Roman"/>
                <w:vertAlign w:val="subscript"/>
              </w:rPr>
              <w:t>4</w:t>
            </w:r>
            <w:r>
              <w:rPr>
                <w:rFonts w:cs="Times New Roman"/>
              </w:rPr>
              <w:t>;5000</w:t>
            </w:r>
          </w:p>
        </w:tc>
        <w:tc>
          <w:tcPr>
            <w:tcW w:w="1558" w:type="dxa"/>
            <w:vAlign w:val="center"/>
          </w:tcPr>
          <w:p>
            <w:pPr>
              <w:pStyle w:val="70"/>
              <w:rPr>
                <w:rFonts w:cs="Times New Roman"/>
              </w:rPr>
            </w:pPr>
            <w:r>
              <w:rPr>
                <w:rFonts w:cs="Times New Roman"/>
              </w:rPr>
              <w:t>540-35</w:t>
            </w:r>
          </w:p>
        </w:tc>
        <w:tc>
          <w:tcPr>
            <w:tcW w:w="942" w:type="dxa"/>
            <w:vAlign w:val="center"/>
          </w:tcPr>
          <w:p>
            <w:pPr>
              <w:pStyle w:val="70"/>
              <w:rPr>
                <w:rFonts w:cs="Times New Roman"/>
              </w:rPr>
            </w:pPr>
            <w:r>
              <w:rPr>
                <w:rFonts w:cs="Times New Roman"/>
              </w:rPr>
              <w:t>5000</w:t>
            </w:r>
          </w:p>
        </w:tc>
        <w:tc>
          <w:tcPr>
            <w:tcW w:w="1186" w:type="dxa"/>
            <w:vAlign w:val="center"/>
          </w:tcPr>
          <w:p>
            <w:pPr>
              <w:pStyle w:val="70"/>
              <w:rPr>
                <w:rFonts w:cs="Times New Roman"/>
              </w:rPr>
            </w:pPr>
            <w:r>
              <w:rPr>
                <w:rFonts w:cs="Times New Roman"/>
                <w:kern w:val="0"/>
              </w:rPr>
              <w:t>（34.5）</w:t>
            </w:r>
          </w:p>
        </w:tc>
        <w:tc>
          <w:tcPr>
            <w:tcW w:w="1380" w:type="dxa"/>
            <w:vAlign w:val="center"/>
          </w:tcPr>
          <w:p>
            <w:pPr>
              <w:pStyle w:val="70"/>
              <w:rPr>
                <w:rFonts w:cs="Times New Roman"/>
              </w:rPr>
            </w:pPr>
            <w:r>
              <w:rPr>
                <w:rFonts w:cs="Times New Roman"/>
                <w:kern w:val="0"/>
              </w:rPr>
              <w:t>18.59</w:t>
            </w:r>
          </w:p>
        </w:tc>
        <w:tc>
          <w:tcPr>
            <w:tcW w:w="1497" w:type="dxa"/>
            <w:vAlign w:val="center"/>
          </w:tcPr>
          <w:p>
            <w:pPr>
              <w:pStyle w:val="70"/>
              <w:rPr>
                <w:rFonts w:cs="Times New Roman"/>
              </w:rPr>
            </w:pPr>
            <w:r>
              <w:rPr>
                <w:rFonts w:cs="Times New Roman"/>
              </w:rPr>
              <w:t>（</w:t>
            </w:r>
            <w:r>
              <w:rPr>
                <w:rFonts w:cs="Times New Roman"/>
                <w:kern w:val="0"/>
              </w:rPr>
              <w:t>472</w:t>
            </w:r>
            <w:r>
              <w:rPr>
                <w:rFonts w:cs="Times New Roman"/>
              </w:rPr>
              <w:t>）</w:t>
            </w:r>
          </w:p>
        </w:tc>
      </w:tr>
    </w:tbl>
    <w:p>
      <w:pPr>
        <w:pStyle w:val="40"/>
      </w:pPr>
      <w:bookmarkStart w:id="146" w:name="_Toc95911891"/>
      <w:r>
        <w:t>额定工作压力</w:t>
      </w:r>
      <w:bookmarkEnd w:id="146"/>
    </w:p>
    <w:p>
      <w:pPr>
        <w:ind w:firstLine="420"/>
        <w:rPr>
          <w:rFonts w:cs="Times New Roman"/>
        </w:rPr>
      </w:pPr>
      <w:r>
        <w:rPr>
          <w:rFonts w:cs="Times New Roman"/>
        </w:rPr>
        <w:t>井口头压力边界（见</w:t>
      </w:r>
      <w:r>
        <w:rPr>
          <w:rFonts w:cs="Times New Roman"/>
        </w:rPr>
        <w:fldChar w:fldCharType="begin"/>
      </w:r>
      <w:r>
        <w:rPr>
          <w:rFonts w:cs="Times New Roman"/>
        </w:rPr>
        <w:instrText xml:space="preserve"> REF _Ref112327833 \h </w:instrText>
      </w:r>
      <w:r>
        <w:rPr>
          <w:rFonts w:cs="Times New Roman"/>
        </w:rPr>
        <w:fldChar w:fldCharType="separate"/>
      </w:r>
      <w:r>
        <w:rPr>
          <w:rFonts w:hint="eastAsia"/>
        </w:rPr>
        <w:t xml:space="preserve">图 </w:t>
      </w:r>
      <w:r>
        <w:t>5</w:t>
      </w:r>
      <w:r>
        <w:rPr>
          <w:rFonts w:cs="Times New Roman"/>
        </w:rPr>
        <w:fldChar w:fldCharType="end"/>
      </w:r>
      <w:r>
        <w:rPr>
          <w:rFonts w:hint="eastAsia" w:cs="Times New Roman"/>
        </w:rPr>
        <w:t xml:space="preserve"> </w:t>
      </w:r>
      <w:r>
        <w:rPr>
          <w:rFonts w:cs="Times New Roman"/>
        </w:rPr>
        <w:t>）的额定工作压力应为</w:t>
      </w:r>
      <w:r>
        <w:rPr>
          <w:rFonts w:cs="Times New Roman"/>
          <w:spacing w:val="-2"/>
        </w:rPr>
        <w:t>5000</w:t>
      </w:r>
      <w:r>
        <w:rPr>
          <w:rFonts w:cs="Times New Roman"/>
        </w:rPr>
        <w:t xml:space="preserve"> psi（</w:t>
      </w:r>
      <w:r>
        <w:rPr>
          <w:rFonts w:cs="Times New Roman"/>
          <w:spacing w:val="-2"/>
        </w:rPr>
        <w:t>34.5</w:t>
      </w:r>
      <w:r>
        <w:rPr>
          <w:rFonts w:cs="Times New Roman"/>
        </w:rPr>
        <w:t xml:space="preserve"> </w:t>
      </w:r>
      <w:r>
        <w:rPr>
          <w:rFonts w:cs="Times New Roman"/>
          <w:spacing w:val="-6"/>
        </w:rPr>
        <w:t>MPa</w:t>
      </w:r>
      <w:r>
        <w:rPr>
          <w:rFonts w:cs="Times New Roman"/>
        </w:rPr>
        <w:t>）、</w:t>
      </w:r>
      <w:r>
        <w:rPr>
          <w:rFonts w:cs="Times New Roman"/>
          <w:spacing w:val="-2"/>
        </w:rPr>
        <w:t>10000</w:t>
      </w:r>
      <w:r>
        <w:rPr>
          <w:rFonts w:cs="Times New Roman"/>
        </w:rPr>
        <w:t xml:space="preserve"> psi（</w:t>
      </w:r>
      <w:r>
        <w:rPr>
          <w:rFonts w:cs="Times New Roman"/>
          <w:spacing w:val="-2"/>
        </w:rPr>
        <w:t>69.0</w:t>
      </w:r>
      <w:r>
        <w:rPr>
          <w:rFonts w:cs="Times New Roman"/>
        </w:rPr>
        <w:t xml:space="preserve"> </w:t>
      </w:r>
      <w:r>
        <w:rPr>
          <w:rFonts w:cs="Times New Roman"/>
          <w:spacing w:val="-6"/>
        </w:rPr>
        <w:t>MPa</w:t>
      </w:r>
      <w:r>
        <w:rPr>
          <w:rFonts w:cs="Times New Roman"/>
        </w:rPr>
        <w:t>）或</w:t>
      </w:r>
      <w:r>
        <w:rPr>
          <w:rFonts w:cs="Times New Roman"/>
          <w:spacing w:val="-2"/>
        </w:rPr>
        <w:t>15000</w:t>
      </w:r>
      <w:r>
        <w:rPr>
          <w:rFonts w:cs="Times New Roman"/>
        </w:rPr>
        <w:t xml:space="preserve"> psi（</w:t>
      </w:r>
      <w:r>
        <w:rPr>
          <w:rFonts w:cs="Times New Roman"/>
          <w:spacing w:val="-2"/>
        </w:rPr>
        <w:t>103.5</w:t>
      </w:r>
      <w:r>
        <w:rPr>
          <w:rFonts w:cs="Times New Roman"/>
        </w:rPr>
        <w:t xml:space="preserve"> </w:t>
      </w:r>
      <w:r>
        <w:rPr>
          <w:rFonts w:cs="Times New Roman"/>
          <w:spacing w:val="-6"/>
        </w:rPr>
        <w:t>MPa</w:t>
      </w:r>
      <w:r>
        <w:rPr>
          <w:rFonts w:cs="Times New Roman"/>
          <w:spacing w:val="-1"/>
        </w:rPr>
        <w:t>）。</w:t>
      </w:r>
    </w:p>
    <w:p>
      <w:pPr>
        <w:pStyle w:val="40"/>
      </w:pPr>
      <w:bookmarkStart w:id="147" w:name="_Toc95911892"/>
      <w:r>
        <w:t>试验</w:t>
      </w:r>
      <w:bookmarkEnd w:id="147"/>
    </w:p>
    <w:p>
      <w:pPr>
        <w:pStyle w:val="41"/>
        <w:rPr>
          <w:rFonts w:cs="Times New Roman"/>
        </w:rPr>
      </w:pPr>
      <w:r>
        <w:rPr>
          <w:rFonts w:cs="Times New Roman"/>
        </w:rPr>
        <w:t>性能鉴定试验</w:t>
      </w:r>
    </w:p>
    <w:p>
      <w:pPr>
        <w:ind w:firstLine="420"/>
        <w:rPr>
          <w:rFonts w:cs="Times New Roman"/>
        </w:rPr>
      </w:pPr>
      <w:r>
        <w:rPr>
          <w:rFonts w:cs="Times New Roman"/>
        </w:rPr>
        <w:t>高压井口头应满足</w:t>
      </w:r>
      <w:r>
        <w:rPr>
          <w:rFonts w:cs="Times New Roman"/>
        </w:rPr>
        <w:fldChar w:fldCharType="begin"/>
      </w:r>
      <w:r>
        <w:rPr>
          <w:rFonts w:cs="Times New Roman"/>
        </w:rPr>
        <w:instrText xml:space="preserve"> REF _Ref112341018 \n \h </w:instrText>
      </w:r>
      <w:r>
        <w:rPr>
          <w:rFonts w:cs="Times New Roman"/>
        </w:rPr>
        <w:fldChar w:fldCharType="separate"/>
      </w:r>
      <w:r>
        <w:rPr>
          <w:rFonts w:cs="Times New Roman"/>
        </w:rPr>
        <w:t>4.2.6</w:t>
      </w:r>
      <w:r>
        <w:rPr>
          <w:rFonts w:cs="Times New Roman"/>
        </w:rPr>
        <w:fldChar w:fldCharType="end"/>
      </w:r>
      <w:r>
        <w:rPr>
          <w:rFonts w:cs="Times New Roman"/>
        </w:rPr>
        <w:t>中承载、承压性能鉴定试验要求，以验证其结构完整性。</w:t>
      </w:r>
    </w:p>
    <w:p>
      <w:pPr>
        <w:ind w:firstLine="420"/>
        <w:rPr>
          <w:rFonts w:cs="Times New Roman"/>
        </w:rPr>
      </w:pPr>
      <w:r>
        <w:rPr>
          <w:rFonts w:cs="Times New Roman"/>
        </w:rPr>
        <w:t>试验项点</w:t>
      </w:r>
      <w:r>
        <w:rPr>
          <w:rFonts w:hint="eastAsia" w:cs="Times New Roman"/>
        </w:rPr>
        <w:t>见6.1</w:t>
      </w:r>
      <w:r>
        <w:rPr>
          <w:rFonts w:cs="Times New Roman"/>
        </w:rPr>
        <w:t>。</w:t>
      </w:r>
    </w:p>
    <w:p>
      <w:pPr>
        <w:pStyle w:val="41"/>
        <w:rPr>
          <w:rFonts w:cs="Times New Roman"/>
        </w:rPr>
      </w:pPr>
      <w:r>
        <w:rPr>
          <w:rFonts w:cs="Times New Roman"/>
        </w:rPr>
        <w:t>出厂验收试验</w:t>
      </w:r>
    </w:p>
    <w:p>
      <w:pPr>
        <w:ind w:firstLine="420"/>
        <w:rPr>
          <w:rFonts w:cs="Times New Roman"/>
        </w:rPr>
      </w:pPr>
      <w:r>
        <w:rPr>
          <w:rFonts w:cs="Times New Roman"/>
        </w:rPr>
        <w:t>试验项点</w:t>
      </w:r>
      <w:r>
        <w:rPr>
          <w:rFonts w:hint="eastAsia" w:cs="Times New Roman"/>
        </w:rPr>
        <w:t>见6.1</w:t>
      </w:r>
      <w:r>
        <w:rPr>
          <w:rFonts w:cs="Times New Roman"/>
        </w:rPr>
        <w:t>。</w:t>
      </w:r>
    </w:p>
    <w:p>
      <w:pPr>
        <w:pStyle w:val="39"/>
      </w:pPr>
      <w:bookmarkStart w:id="148" w:name="_Toc95909865"/>
      <w:bookmarkStart w:id="149" w:name="_Toc112341749"/>
      <w:bookmarkStart w:id="150" w:name="_Toc95911893"/>
      <w:bookmarkStart w:id="151" w:name="_Toc95910607"/>
      <w:r>
        <w:t>套管悬挂器</w:t>
      </w:r>
      <w:bookmarkEnd w:id="148"/>
      <w:bookmarkEnd w:id="149"/>
      <w:bookmarkEnd w:id="150"/>
      <w:bookmarkEnd w:id="151"/>
    </w:p>
    <w:p>
      <w:pPr>
        <w:pStyle w:val="40"/>
      </w:pPr>
      <w:bookmarkStart w:id="152" w:name="_Toc95911894"/>
      <w:r>
        <w:t>总则</w:t>
      </w:r>
      <w:bookmarkEnd w:id="152"/>
    </w:p>
    <w:p>
      <w:pPr>
        <w:pStyle w:val="41"/>
        <w:rPr>
          <w:rFonts w:cs="Times New Roman"/>
        </w:rPr>
      </w:pPr>
      <w:r>
        <w:rPr>
          <w:rFonts w:cs="Times New Roman"/>
        </w:rPr>
        <w:t>压力</w:t>
      </w:r>
    </w:p>
    <w:p>
      <w:pPr>
        <w:ind w:firstLine="420"/>
        <w:rPr>
          <w:rFonts w:cs="Times New Roman"/>
        </w:rPr>
      </w:pPr>
      <w:r>
        <w:rPr>
          <w:rFonts w:cs="Times New Roman"/>
        </w:rPr>
        <w:t>水下套管悬挂器安装在每层套管柱上部面，座入高压井口头，悬挂、支承各层管柱。水下套管悬挂器应设计成能通过钻井立管和水下防喷器组，并能支承要求的套管载荷，以及上部防喷器试压所产生的载荷。水下套管悬挂器应视为控压件。</w:t>
      </w:r>
    </w:p>
    <w:p>
      <w:pPr>
        <w:ind w:firstLine="420"/>
        <w:rPr>
          <w:rFonts w:cs="Times New Roman"/>
        </w:rPr>
      </w:pPr>
      <w:r>
        <w:rPr>
          <w:rFonts w:cs="Times New Roman"/>
        </w:rPr>
        <w:t>水下套管悬挂器应提供方法把套管载荷和防喷器试验压力载荷传递到高压井口头或已经安装的下部套管悬挂器上。</w:t>
      </w:r>
    </w:p>
    <w:p>
      <w:pPr>
        <w:ind w:firstLine="420"/>
        <w:rPr>
          <w:rFonts w:cs="Times New Roman"/>
        </w:rPr>
      </w:pPr>
      <w:r>
        <w:rPr>
          <w:rFonts w:cs="Times New Roman"/>
        </w:rPr>
        <w:t>如有需要，应使用锁合机构来限制套管悬挂器的移动。锁合机构可为环空密封总成或独立总成的一部分。</w:t>
      </w:r>
    </w:p>
    <w:p>
      <w:pPr>
        <w:pStyle w:val="40"/>
      </w:pPr>
      <w:bookmarkStart w:id="153" w:name="_Toc95911895"/>
      <w:r>
        <w:t>设计</w:t>
      </w:r>
      <w:bookmarkEnd w:id="153"/>
    </w:p>
    <w:p>
      <w:pPr>
        <w:pStyle w:val="41"/>
        <w:rPr>
          <w:rFonts w:cs="Times New Roman"/>
        </w:rPr>
      </w:pPr>
      <w:r>
        <w:rPr>
          <w:rFonts w:cs="Times New Roman"/>
        </w:rPr>
        <w:t>载荷</w:t>
      </w:r>
    </w:p>
    <w:p>
      <w:pPr>
        <w:ind w:firstLine="420"/>
        <w:rPr>
          <w:rFonts w:cs="Times New Roman"/>
        </w:rPr>
      </w:pPr>
      <w:r>
        <w:rPr>
          <w:rFonts w:cs="Times New Roman"/>
        </w:rPr>
        <w:t>设计时宜考虑以下载荷：</w:t>
      </w:r>
    </w:p>
    <w:p>
      <w:pPr>
        <w:pStyle w:val="45"/>
        <w:numPr>
          <w:ilvl w:val="0"/>
          <w:numId w:val="28"/>
        </w:numPr>
        <w:ind w:firstLineChars="0"/>
        <w:rPr>
          <w:rFonts w:cs="Times New Roman"/>
        </w:rPr>
      </w:pPr>
      <w:r>
        <w:rPr>
          <w:rFonts w:cs="Times New Roman"/>
        </w:rPr>
        <w:t>悬挂重量；</w:t>
      </w:r>
    </w:p>
    <w:p>
      <w:pPr>
        <w:pStyle w:val="45"/>
        <w:numPr>
          <w:ilvl w:val="0"/>
          <w:numId w:val="28"/>
        </w:numPr>
        <w:ind w:firstLineChars="0"/>
        <w:rPr>
          <w:rFonts w:cs="Times New Roman"/>
        </w:rPr>
      </w:pPr>
      <w:r>
        <w:rPr>
          <w:rFonts w:cs="Times New Roman"/>
        </w:rPr>
        <w:t>超载提升载荷；</w:t>
      </w:r>
    </w:p>
    <w:p>
      <w:pPr>
        <w:pStyle w:val="45"/>
        <w:numPr>
          <w:ilvl w:val="0"/>
          <w:numId w:val="28"/>
        </w:numPr>
        <w:ind w:firstLineChars="0"/>
        <w:rPr>
          <w:rFonts w:cs="Times New Roman"/>
        </w:rPr>
      </w:pPr>
      <w:r>
        <w:rPr>
          <w:rFonts w:cs="Times New Roman"/>
        </w:rPr>
        <w:t>内部和外部压力载荷；</w:t>
      </w:r>
    </w:p>
    <w:p>
      <w:pPr>
        <w:pStyle w:val="45"/>
        <w:numPr>
          <w:ilvl w:val="0"/>
          <w:numId w:val="28"/>
        </w:numPr>
        <w:ind w:firstLineChars="0"/>
        <w:rPr>
          <w:rFonts w:cs="Times New Roman"/>
        </w:rPr>
      </w:pPr>
      <w:r>
        <w:rPr>
          <w:rFonts w:cs="Times New Roman"/>
        </w:rPr>
        <w:t>热载荷；</w:t>
      </w:r>
    </w:p>
    <w:p>
      <w:pPr>
        <w:pStyle w:val="45"/>
        <w:numPr>
          <w:ilvl w:val="0"/>
          <w:numId w:val="28"/>
        </w:numPr>
        <w:ind w:firstLineChars="0"/>
        <w:rPr>
          <w:rFonts w:cs="Times New Roman"/>
        </w:rPr>
      </w:pPr>
      <w:r>
        <w:rPr>
          <w:rFonts w:cs="Times New Roman"/>
        </w:rPr>
        <w:t>扭转载荷；</w:t>
      </w:r>
    </w:p>
    <w:p>
      <w:pPr>
        <w:pStyle w:val="45"/>
        <w:numPr>
          <w:ilvl w:val="0"/>
          <w:numId w:val="28"/>
        </w:numPr>
        <w:ind w:firstLineChars="0"/>
        <w:rPr>
          <w:rFonts w:cs="Times New Roman"/>
        </w:rPr>
      </w:pPr>
      <w:r>
        <w:rPr>
          <w:rFonts w:cs="Times New Roman"/>
        </w:rPr>
        <w:t>径向载荷；</w:t>
      </w:r>
    </w:p>
    <w:p>
      <w:pPr>
        <w:pStyle w:val="45"/>
        <w:numPr>
          <w:ilvl w:val="0"/>
          <w:numId w:val="28"/>
        </w:numPr>
        <w:ind w:firstLineChars="0"/>
        <w:rPr>
          <w:rFonts w:cs="Times New Roman"/>
        </w:rPr>
      </w:pPr>
      <w:r>
        <w:rPr>
          <w:rFonts w:cs="Times New Roman"/>
        </w:rPr>
        <w:t>冲击载荷。</w:t>
      </w:r>
    </w:p>
    <w:p>
      <w:pPr>
        <w:pStyle w:val="41"/>
        <w:rPr>
          <w:rFonts w:cs="Times New Roman"/>
        </w:rPr>
      </w:pPr>
      <w:r>
        <w:rPr>
          <w:rFonts w:cs="Times New Roman"/>
        </w:rPr>
        <w:t>螺纹式连接</w:t>
      </w:r>
    </w:p>
    <w:p>
      <w:pPr>
        <w:ind w:firstLine="420"/>
        <w:rPr>
          <w:rFonts w:cs="Times New Roman"/>
        </w:rPr>
      </w:pPr>
      <w:r>
        <w:rPr>
          <w:rFonts w:cs="Times New Roman"/>
        </w:rPr>
        <w:t>套管悬挂器下部套管连接螺纹类型应由用户/购买方指定。</w:t>
      </w:r>
    </w:p>
    <w:p>
      <w:pPr>
        <w:ind w:firstLine="420"/>
        <w:rPr>
          <w:rFonts w:cs="Times New Roman"/>
        </w:rPr>
      </w:pPr>
      <w:r>
        <w:rPr>
          <w:rFonts w:cs="Times New Roman"/>
        </w:rPr>
        <w:t>如果螺纹类型或材料有要求，套管螺纹宜加涂层以防粘扣，且制造商宜对此作出规定。</w:t>
      </w:r>
    </w:p>
    <w:p>
      <w:pPr>
        <w:pStyle w:val="41"/>
        <w:rPr>
          <w:rFonts w:cs="Times New Roman"/>
        </w:rPr>
      </w:pPr>
      <w:r>
        <w:rPr>
          <w:rFonts w:cs="Times New Roman"/>
        </w:rPr>
        <w:t>套管悬挂器额定值</w:t>
      </w:r>
    </w:p>
    <w:p>
      <w:pPr>
        <w:ind w:firstLine="420"/>
        <w:rPr>
          <w:rFonts w:cs="Times New Roman"/>
        </w:rPr>
      </w:pPr>
      <w:r>
        <w:rPr>
          <w:rFonts w:cs="Times New Roman"/>
        </w:rPr>
        <w:t>用户/购买方应负责选择套管的重量、等级和螺纹。</w:t>
      </w:r>
    </w:p>
    <w:p>
      <w:pPr>
        <w:ind w:firstLine="420"/>
        <w:rPr>
          <w:rFonts w:cs="Times New Roman"/>
        </w:rPr>
      </w:pPr>
      <w:r>
        <w:rPr>
          <w:rFonts w:cs="Times New Roman"/>
        </w:rPr>
        <w:t>制造商应基于用户/购买方需求并按照下面的规定，确定套管悬挂器的额定载荷值/额定压力值并。</w:t>
      </w:r>
    </w:p>
    <w:p>
      <w:pPr>
        <w:pStyle w:val="45"/>
        <w:numPr>
          <w:ilvl w:val="0"/>
          <w:numId w:val="29"/>
        </w:numPr>
        <w:ind w:firstLineChars="0"/>
        <w:rPr>
          <w:rFonts w:cs="Times New Roman"/>
        </w:rPr>
      </w:pPr>
      <w:r>
        <w:rPr>
          <w:rFonts w:cs="Times New Roman"/>
        </w:rPr>
        <w:t>悬挂能力：</w:t>
      </w:r>
    </w:p>
    <w:p>
      <w:pPr>
        <w:ind w:firstLine="420"/>
        <w:rPr>
          <w:rFonts w:cs="Times New Roman"/>
        </w:rPr>
      </w:pPr>
      <w:r>
        <w:rPr>
          <w:rFonts w:cs="Times New Roman"/>
        </w:rPr>
        <w:t>包括悬挂器主体连接的套管螺纹（通常是内螺纹）。</w:t>
      </w:r>
    </w:p>
    <w:p>
      <w:pPr>
        <w:pStyle w:val="45"/>
        <w:numPr>
          <w:ilvl w:val="0"/>
          <w:numId w:val="29"/>
        </w:numPr>
        <w:ind w:firstLineChars="0"/>
        <w:rPr>
          <w:rFonts w:cs="Times New Roman"/>
        </w:rPr>
      </w:pPr>
      <w:r>
        <w:rPr>
          <w:rFonts w:cs="Times New Roman"/>
        </w:rPr>
        <w:t>额定压力值：</w:t>
      </w:r>
    </w:p>
    <w:p>
      <w:pPr>
        <w:ind w:firstLine="420"/>
        <w:rPr>
          <w:rFonts w:cs="Times New Roman"/>
        </w:rPr>
      </w:pPr>
      <w:r>
        <w:rPr>
          <w:rFonts w:cs="Times New Roman"/>
        </w:rPr>
        <w:t>包括悬挂器主体和悬挂器下端连接的套管螺纹（通常是内螺纹）。</w:t>
      </w:r>
    </w:p>
    <w:p>
      <w:pPr>
        <w:pStyle w:val="45"/>
        <w:numPr>
          <w:ilvl w:val="0"/>
          <w:numId w:val="29"/>
        </w:numPr>
        <w:ind w:firstLineChars="0"/>
        <w:rPr>
          <w:rFonts w:cs="Times New Roman"/>
        </w:rPr>
      </w:pPr>
      <w:r>
        <w:rPr>
          <w:rFonts w:cs="Times New Roman"/>
        </w:rPr>
        <w:t>防喷器试验压力：</w:t>
      </w:r>
    </w:p>
    <w:p>
      <w:pPr>
        <w:ind w:firstLine="420"/>
        <w:rPr>
          <w:rFonts w:cs="Times New Roman"/>
        </w:rPr>
      </w:pPr>
      <w:r>
        <w:rPr>
          <w:rFonts w:cs="Times New Roman"/>
        </w:rPr>
        <w:t>悬挂器主体上部和环空密封总成可以施加的最大压力。该额定值不包括套管悬挂器下端的套管连接。</w:t>
      </w:r>
    </w:p>
    <w:p>
      <w:pPr>
        <w:pStyle w:val="45"/>
        <w:numPr>
          <w:ilvl w:val="0"/>
          <w:numId w:val="29"/>
        </w:numPr>
        <w:ind w:firstLineChars="0"/>
        <w:rPr>
          <w:rFonts w:cs="Times New Roman"/>
        </w:rPr>
      </w:pPr>
      <w:r>
        <w:rPr>
          <w:rFonts w:cs="Times New Roman"/>
        </w:rPr>
        <w:t>支承能力：</w:t>
      </w:r>
    </w:p>
    <w:p>
      <w:pPr>
        <w:ind w:firstLine="420"/>
        <w:rPr>
          <w:rFonts w:cs="Times New Roman"/>
        </w:rPr>
      </w:pPr>
      <w:r>
        <w:rPr>
          <w:rFonts w:cs="Times New Roman"/>
        </w:rPr>
        <w:t>套管悬挂器能够传递到高压井口头或下部套管悬挂器的额定载荷。。</w:t>
      </w:r>
    </w:p>
    <w:p>
      <w:pPr>
        <w:pStyle w:val="41"/>
        <w:rPr>
          <w:rFonts w:cs="Times New Roman"/>
        </w:rPr>
      </w:pPr>
      <w:r>
        <w:rPr>
          <w:rFonts w:cs="Times New Roman"/>
        </w:rPr>
        <w:t>返流通道</w:t>
      </w:r>
    </w:p>
    <w:p>
      <w:pPr>
        <w:ind w:firstLine="420"/>
        <w:rPr>
          <w:rFonts w:cs="Times New Roman"/>
        </w:rPr>
      </w:pPr>
      <w:r>
        <w:rPr>
          <w:rFonts w:cs="Times New Roman"/>
        </w:rPr>
        <w:t>设计外部返流通道，以允许固井作业过程中流体经过悬挂器，压降最小，且颗粒度尽可能大。应将每个套管悬挂器返流通道内径、数量及截面总面积形成文件并保存。</w:t>
      </w:r>
    </w:p>
    <w:p>
      <w:pPr>
        <w:pStyle w:val="40"/>
      </w:pPr>
      <w:bookmarkStart w:id="154" w:name="_Toc95911896"/>
      <w:r>
        <w:t>试验</w:t>
      </w:r>
      <w:bookmarkEnd w:id="154"/>
    </w:p>
    <w:p>
      <w:pPr>
        <w:pStyle w:val="41"/>
        <w:rPr>
          <w:rFonts w:cs="Times New Roman"/>
        </w:rPr>
      </w:pPr>
      <w:r>
        <w:rPr>
          <w:rFonts w:cs="Times New Roman"/>
        </w:rPr>
        <w:t>性能鉴定试验</w:t>
      </w:r>
    </w:p>
    <w:p>
      <w:pPr>
        <w:ind w:firstLine="420"/>
        <w:rPr>
          <w:rFonts w:cs="Times New Roman"/>
        </w:rPr>
      </w:pPr>
      <w:r>
        <w:rPr>
          <w:rFonts w:cs="Times New Roman"/>
        </w:rPr>
        <w:t>应满足</w:t>
      </w:r>
      <w:r>
        <w:rPr>
          <w:rFonts w:cs="Times New Roman"/>
        </w:rPr>
        <w:fldChar w:fldCharType="begin"/>
      </w:r>
      <w:r>
        <w:rPr>
          <w:rFonts w:cs="Times New Roman"/>
        </w:rPr>
        <w:instrText xml:space="preserve"> REF _Ref112341037 \n \h </w:instrText>
      </w:r>
      <w:r>
        <w:rPr>
          <w:rFonts w:cs="Times New Roman"/>
        </w:rPr>
        <w:fldChar w:fldCharType="separate"/>
      </w:r>
      <w:r>
        <w:rPr>
          <w:rFonts w:cs="Times New Roman"/>
        </w:rPr>
        <w:t>4.2.6</w:t>
      </w:r>
      <w:r>
        <w:rPr>
          <w:rFonts w:cs="Times New Roman"/>
        </w:rPr>
        <w:fldChar w:fldCharType="end"/>
      </w:r>
      <w:r>
        <w:rPr>
          <w:rFonts w:cs="Times New Roman"/>
        </w:rPr>
        <w:t>中承载、承压性能鉴定试验要求，以验证其结构完整性，以验证悬挂器的结构完整性，该试验不应受套管钢级和螺纹的限制。</w:t>
      </w:r>
    </w:p>
    <w:p>
      <w:pPr>
        <w:ind w:firstLine="420"/>
        <w:rPr>
          <w:rFonts w:cs="Times New Roman"/>
        </w:rPr>
      </w:pPr>
      <w:r>
        <w:rPr>
          <w:rFonts w:hint="eastAsia" w:cs="Times New Roman"/>
        </w:rPr>
        <w:t>试验项点见6.1</w:t>
      </w:r>
      <w:r>
        <w:rPr>
          <w:rFonts w:cs="Times New Roman"/>
        </w:rPr>
        <w:t>。</w:t>
      </w:r>
    </w:p>
    <w:p>
      <w:pPr>
        <w:pStyle w:val="41"/>
        <w:rPr>
          <w:rFonts w:cs="Times New Roman"/>
        </w:rPr>
      </w:pPr>
      <w:r>
        <w:rPr>
          <w:rFonts w:cs="Times New Roman"/>
        </w:rPr>
        <w:t>出厂验收试验</w:t>
      </w:r>
    </w:p>
    <w:p>
      <w:pPr>
        <w:ind w:firstLine="420"/>
        <w:rPr>
          <w:rFonts w:cs="Times New Roman"/>
        </w:rPr>
      </w:pPr>
      <w:r>
        <w:rPr>
          <w:rFonts w:hint="eastAsia" w:cs="Times New Roman"/>
        </w:rPr>
        <w:t>试验项点</w:t>
      </w:r>
      <w:r>
        <w:rPr>
          <w:rFonts w:hint="eastAsia"/>
        </w:rPr>
        <w:t>见6.1</w:t>
      </w:r>
      <w:r>
        <w:t>。</w:t>
      </w:r>
    </w:p>
    <w:p>
      <w:pPr>
        <w:pStyle w:val="39"/>
      </w:pPr>
      <w:bookmarkStart w:id="155" w:name="_Toc95909866"/>
      <w:bookmarkStart w:id="156" w:name="_Toc95910608"/>
      <w:bookmarkStart w:id="157" w:name="_Toc95911897"/>
      <w:bookmarkStart w:id="158" w:name="_Toc112341750"/>
      <w:r>
        <w:t>环空密封总成</w:t>
      </w:r>
      <w:bookmarkEnd w:id="155"/>
      <w:bookmarkEnd w:id="156"/>
      <w:bookmarkEnd w:id="157"/>
      <w:bookmarkEnd w:id="158"/>
    </w:p>
    <w:p>
      <w:pPr>
        <w:pStyle w:val="40"/>
      </w:pPr>
      <w:bookmarkStart w:id="159" w:name="_Toc95911898"/>
      <w:r>
        <w:t>总则</w:t>
      </w:r>
      <w:bookmarkEnd w:id="159"/>
    </w:p>
    <w:p>
      <w:pPr>
        <w:ind w:firstLine="420"/>
        <w:rPr>
          <w:rFonts w:cs="Times New Roman"/>
        </w:rPr>
      </w:pPr>
      <w:r>
        <w:rPr>
          <w:rFonts w:cs="Times New Roman"/>
        </w:rPr>
        <w:t>水下环空密封总成应视为控压件。</w:t>
      </w:r>
    </w:p>
    <w:p>
      <w:pPr>
        <w:pStyle w:val="40"/>
      </w:pPr>
      <w:bookmarkStart w:id="160" w:name="_Toc95911899"/>
      <w:r>
        <w:t>设计</w:t>
      </w:r>
      <w:bookmarkEnd w:id="160"/>
    </w:p>
    <w:p>
      <w:pPr>
        <w:pStyle w:val="41"/>
        <w:rPr>
          <w:rFonts w:cs="Times New Roman"/>
        </w:rPr>
      </w:pPr>
      <w:r>
        <w:rPr>
          <w:rFonts w:cs="Times New Roman"/>
        </w:rPr>
        <w:t>载荷</w:t>
      </w:r>
    </w:p>
    <w:p>
      <w:pPr>
        <w:ind w:firstLine="420"/>
        <w:rPr>
          <w:rFonts w:cs="Times New Roman"/>
        </w:rPr>
      </w:pPr>
      <w:r>
        <w:rPr>
          <w:rFonts w:cs="Times New Roman"/>
        </w:rPr>
        <w:t>产品设计宜考虑以下载荷：</w:t>
      </w:r>
    </w:p>
    <w:p>
      <w:pPr>
        <w:pStyle w:val="45"/>
        <w:numPr>
          <w:ilvl w:val="0"/>
          <w:numId w:val="30"/>
        </w:numPr>
        <w:ind w:firstLineChars="0"/>
        <w:rPr>
          <w:rFonts w:cs="Times New Roman"/>
        </w:rPr>
      </w:pPr>
      <w:r>
        <w:rPr>
          <w:rFonts w:cs="Times New Roman"/>
        </w:rPr>
        <w:t>固定载荷；</w:t>
      </w:r>
    </w:p>
    <w:p>
      <w:pPr>
        <w:pStyle w:val="45"/>
        <w:numPr>
          <w:ilvl w:val="0"/>
          <w:numId w:val="30"/>
        </w:numPr>
        <w:ind w:firstLineChars="0"/>
        <w:rPr>
          <w:rFonts w:cs="Times New Roman"/>
        </w:rPr>
      </w:pPr>
      <w:r>
        <w:rPr>
          <w:rFonts w:cs="Times New Roman"/>
        </w:rPr>
        <w:t>热载荷；</w:t>
      </w:r>
    </w:p>
    <w:p>
      <w:pPr>
        <w:pStyle w:val="45"/>
        <w:numPr>
          <w:ilvl w:val="0"/>
          <w:numId w:val="30"/>
        </w:numPr>
        <w:ind w:firstLineChars="0"/>
        <w:rPr>
          <w:rFonts w:cs="Times New Roman"/>
        </w:rPr>
      </w:pPr>
      <w:r>
        <w:rPr>
          <w:rFonts w:cs="Times New Roman"/>
        </w:rPr>
        <w:t>压力载荷；</w:t>
      </w:r>
    </w:p>
    <w:p>
      <w:pPr>
        <w:pStyle w:val="45"/>
        <w:numPr>
          <w:ilvl w:val="0"/>
          <w:numId w:val="30"/>
        </w:numPr>
        <w:ind w:firstLineChars="0"/>
        <w:rPr>
          <w:rFonts w:cs="Times New Roman"/>
        </w:rPr>
      </w:pPr>
      <w:r>
        <w:rPr>
          <w:rFonts w:cs="Times New Roman"/>
        </w:rPr>
        <w:t>释放和/或回收载荷。</w:t>
      </w:r>
    </w:p>
    <w:p>
      <w:pPr>
        <w:pStyle w:val="41"/>
        <w:rPr>
          <w:rFonts w:cs="Times New Roman"/>
        </w:rPr>
      </w:pPr>
      <w:r>
        <w:rPr>
          <w:rFonts w:cs="Times New Roman"/>
        </w:rPr>
        <w:t>额定工作压力</w:t>
      </w:r>
    </w:p>
    <w:p>
      <w:pPr>
        <w:ind w:firstLine="420"/>
        <w:rPr>
          <w:rFonts w:cs="Times New Roman"/>
        </w:rPr>
      </w:pPr>
      <w:r>
        <w:rPr>
          <w:rFonts w:cs="Times New Roman"/>
        </w:rPr>
        <w:t>环空密封总成应具备井筒、环空两个方向密封能力。</w:t>
      </w:r>
    </w:p>
    <w:p>
      <w:pPr>
        <w:ind w:firstLine="420"/>
        <w:rPr>
          <w:rFonts w:cs="Times New Roman"/>
        </w:rPr>
      </w:pPr>
      <w:r>
        <w:rPr>
          <w:rFonts w:cs="Times New Roman"/>
        </w:rPr>
        <w:t>井筒方向承压能力定义为环空密封总成额定工作压力，应不低于与其配合的套管悬挂器额定工作压力。</w:t>
      </w:r>
    </w:p>
    <w:p>
      <w:pPr>
        <w:ind w:firstLine="420"/>
        <w:rPr>
          <w:rFonts w:cs="Times New Roman"/>
        </w:rPr>
      </w:pPr>
      <w:r>
        <w:rPr>
          <w:rFonts w:cs="Times New Roman"/>
        </w:rPr>
        <w:t>环空方向承压等级可以低于井筒方向承压等级，按照4.1.2.1规定，一般环空方向承压能力可以较井筒方向低一等级。</w:t>
      </w:r>
    </w:p>
    <w:p>
      <w:pPr>
        <w:pStyle w:val="41"/>
        <w:rPr>
          <w:rFonts w:cs="Times New Roman"/>
        </w:rPr>
      </w:pPr>
      <w:r>
        <w:rPr>
          <w:rFonts w:cs="Times New Roman"/>
        </w:rPr>
        <w:t>锁合</w:t>
      </w:r>
    </w:p>
    <w:p>
      <w:pPr>
        <w:ind w:firstLine="420"/>
        <w:rPr>
          <w:rFonts w:cs="Times New Roman"/>
        </w:rPr>
      </w:pPr>
      <w:r>
        <w:rPr>
          <w:rFonts w:cs="Times New Roman"/>
        </w:rPr>
        <w:t>环空密封总成应锁定在套管悬挂器和/或高压井口头上。</w:t>
      </w:r>
    </w:p>
    <w:p>
      <w:pPr>
        <w:pStyle w:val="40"/>
      </w:pPr>
      <w:bookmarkStart w:id="161" w:name="_Toc95911900"/>
      <w:r>
        <w:t>应急环空密封总成</w:t>
      </w:r>
      <w:bookmarkEnd w:id="161"/>
    </w:p>
    <w:p>
      <w:pPr>
        <w:ind w:firstLine="420"/>
        <w:rPr>
          <w:rFonts w:cs="Times New Roman"/>
        </w:rPr>
      </w:pPr>
      <w:r>
        <w:rPr>
          <w:rFonts w:cs="Times New Roman"/>
        </w:rPr>
        <w:t>应急环空密封总成承压性能要求与环空密封总成一致，密封区域应与正常密封区域不同。</w:t>
      </w:r>
    </w:p>
    <w:p>
      <w:pPr>
        <w:pStyle w:val="40"/>
      </w:pPr>
      <w:bookmarkStart w:id="162" w:name="_Toc95911901"/>
      <w:r>
        <w:t>试验</w:t>
      </w:r>
      <w:bookmarkEnd w:id="162"/>
    </w:p>
    <w:p>
      <w:pPr>
        <w:pStyle w:val="41"/>
        <w:rPr>
          <w:rFonts w:cs="Times New Roman"/>
        </w:rPr>
      </w:pPr>
      <w:r>
        <w:rPr>
          <w:rFonts w:cs="Times New Roman"/>
        </w:rPr>
        <w:t>性能鉴定试验</w:t>
      </w:r>
    </w:p>
    <w:p>
      <w:pPr>
        <w:ind w:firstLine="420"/>
        <w:rPr>
          <w:rFonts w:cs="Times New Roman"/>
        </w:rPr>
      </w:pPr>
      <w:r>
        <w:rPr>
          <w:rFonts w:cs="Times New Roman"/>
        </w:rPr>
        <w:t>环空密封总成和应急环空密封总成的性能鉴定试验均应满足</w:t>
      </w:r>
      <w:r>
        <w:rPr>
          <w:rFonts w:cs="Times New Roman"/>
        </w:rPr>
        <w:fldChar w:fldCharType="begin"/>
      </w:r>
      <w:r>
        <w:rPr>
          <w:rFonts w:cs="Times New Roman"/>
        </w:rPr>
        <w:instrText xml:space="preserve"> REF _Ref112341066 \n \h </w:instrText>
      </w:r>
      <w:r>
        <w:rPr>
          <w:rFonts w:cs="Times New Roman"/>
        </w:rPr>
        <w:fldChar w:fldCharType="separate"/>
      </w:r>
      <w:r>
        <w:rPr>
          <w:rFonts w:cs="Times New Roman"/>
        </w:rPr>
        <w:t>4.2.6</w:t>
      </w:r>
      <w:r>
        <w:rPr>
          <w:rFonts w:cs="Times New Roman"/>
        </w:rPr>
        <w:fldChar w:fldCharType="end"/>
      </w:r>
      <w:r>
        <w:rPr>
          <w:rFonts w:cs="Times New Roman"/>
        </w:rPr>
        <w:t>中承压及压力温度循环性能鉴定试验要求，以验证其密封及承载性。</w:t>
      </w:r>
    </w:p>
    <w:p>
      <w:pPr>
        <w:ind w:firstLine="420"/>
        <w:rPr>
          <w:rFonts w:cs="Times New Roman"/>
        </w:rPr>
      </w:pPr>
      <w:r>
        <w:rPr>
          <w:rFonts w:cs="Times New Roman"/>
        </w:rPr>
        <w:t>环空密封总成井筒方向、环空方向的压力试验，应分别按其设计压力等级进行试验。</w:t>
      </w:r>
    </w:p>
    <w:p>
      <w:pPr>
        <w:ind w:firstLine="420"/>
        <w:rPr>
          <w:rFonts w:cs="Times New Roman"/>
        </w:rPr>
      </w:pPr>
      <w:r>
        <w:rPr>
          <w:rFonts w:hint="eastAsia" w:cs="Times New Roman"/>
        </w:rPr>
        <w:t>试验项点见6.1</w:t>
      </w:r>
      <w:r>
        <w:rPr>
          <w:rFonts w:cs="Times New Roman"/>
        </w:rPr>
        <w:t>。</w:t>
      </w:r>
    </w:p>
    <w:p>
      <w:pPr>
        <w:pStyle w:val="41"/>
        <w:rPr>
          <w:rFonts w:cs="Times New Roman"/>
        </w:rPr>
      </w:pPr>
      <w:r>
        <w:rPr>
          <w:rFonts w:cs="Times New Roman"/>
        </w:rPr>
        <w:t>出厂验收试验</w:t>
      </w:r>
    </w:p>
    <w:p>
      <w:pPr>
        <w:ind w:firstLine="420"/>
        <w:rPr>
          <w:rFonts w:cs="Times New Roman"/>
        </w:rPr>
      </w:pPr>
      <w:r>
        <w:rPr>
          <w:rFonts w:hint="eastAsia" w:cs="Times New Roman"/>
        </w:rPr>
        <w:t>试验项点见6.1</w:t>
      </w:r>
      <w:r>
        <w:rPr>
          <w:rFonts w:cs="Times New Roman"/>
        </w:rPr>
        <w:t>。</w:t>
      </w:r>
    </w:p>
    <w:p>
      <w:pPr>
        <w:pStyle w:val="39"/>
      </w:pPr>
      <w:bookmarkStart w:id="163" w:name="_Toc95909867"/>
      <w:bookmarkStart w:id="164" w:name="_Toc95910609"/>
      <w:bookmarkStart w:id="165" w:name="_Toc95911902"/>
      <w:bookmarkStart w:id="166" w:name="_Toc112341751"/>
      <w:r>
        <w:t>套管悬挂器锁合衬套</w:t>
      </w:r>
      <w:bookmarkEnd w:id="163"/>
      <w:bookmarkEnd w:id="164"/>
      <w:bookmarkEnd w:id="165"/>
      <w:bookmarkEnd w:id="166"/>
    </w:p>
    <w:p>
      <w:pPr>
        <w:pStyle w:val="40"/>
      </w:pPr>
      <w:bookmarkStart w:id="167" w:name="_Toc95911903"/>
      <w:r>
        <w:t>总则</w:t>
      </w:r>
      <w:bookmarkEnd w:id="167"/>
    </w:p>
    <w:p>
      <w:pPr>
        <w:ind w:firstLine="420"/>
        <w:rPr>
          <w:rFonts w:cs="Times New Roman"/>
        </w:rPr>
      </w:pPr>
      <w:r>
        <w:rPr>
          <w:rFonts w:cs="Times New Roman"/>
        </w:rPr>
        <w:t>套管悬挂器锁合衬套安装在套管悬挂器最顶端，提供以下功能中的一项或多项：</w:t>
      </w:r>
    </w:p>
    <w:p>
      <w:pPr>
        <w:pStyle w:val="45"/>
        <w:numPr>
          <w:ilvl w:val="0"/>
          <w:numId w:val="31"/>
        </w:numPr>
        <w:ind w:firstLineChars="0"/>
        <w:rPr>
          <w:rFonts w:cs="Times New Roman"/>
        </w:rPr>
      </w:pPr>
      <w:r>
        <w:rPr>
          <w:rFonts w:cs="Times New Roman"/>
        </w:rPr>
        <w:t>对套管悬挂器和环空密封总成加固并防止其垂直移动，从而提高环空密封总成长期密封完整性；</w:t>
      </w:r>
    </w:p>
    <w:p>
      <w:pPr>
        <w:pStyle w:val="45"/>
        <w:numPr>
          <w:ilvl w:val="0"/>
          <w:numId w:val="31"/>
        </w:numPr>
        <w:ind w:firstLineChars="0"/>
        <w:rPr>
          <w:rFonts w:cs="Times New Roman"/>
        </w:rPr>
      </w:pPr>
      <w:r>
        <w:rPr>
          <w:rFonts w:cs="Times New Roman"/>
        </w:rPr>
        <w:t>提升环空密封总成锁合装置承载能力，比如抵制生产套管热膨胀载荷；</w:t>
      </w:r>
    </w:p>
    <w:p>
      <w:pPr>
        <w:pStyle w:val="45"/>
        <w:numPr>
          <w:ilvl w:val="0"/>
          <w:numId w:val="31"/>
        </w:numPr>
        <w:ind w:firstLineChars="0"/>
        <w:rPr>
          <w:rFonts w:cs="Times New Roman"/>
        </w:rPr>
      </w:pPr>
      <w:r>
        <w:rPr>
          <w:rFonts w:cs="Times New Roman"/>
        </w:rPr>
        <w:t>将最上部环空密封总成与生产油管和生产套管悬挂器之间的环空隔离；</w:t>
      </w:r>
    </w:p>
    <w:p>
      <w:pPr>
        <w:pStyle w:val="45"/>
        <w:numPr>
          <w:ilvl w:val="0"/>
          <w:numId w:val="31"/>
        </w:numPr>
        <w:ind w:firstLineChars="0"/>
        <w:rPr>
          <w:rFonts w:cs="Times New Roman"/>
        </w:rPr>
      </w:pPr>
      <w:r>
        <w:rPr>
          <w:rFonts w:cs="Times New Roman"/>
        </w:rPr>
        <w:t>为水下采油树、油管悬挂器或油管头提供密封型面；</w:t>
      </w:r>
    </w:p>
    <w:p>
      <w:pPr>
        <w:pStyle w:val="45"/>
        <w:numPr>
          <w:ilvl w:val="0"/>
          <w:numId w:val="31"/>
        </w:numPr>
        <w:ind w:firstLineChars="0"/>
        <w:rPr>
          <w:rFonts w:cs="Times New Roman"/>
        </w:rPr>
      </w:pPr>
      <w:r>
        <w:rPr>
          <w:rFonts w:cs="Times New Roman"/>
        </w:rPr>
        <w:t>为油管悬挂器提供锁定型面。</w:t>
      </w:r>
    </w:p>
    <w:p>
      <w:pPr>
        <w:ind w:left="420" w:firstLine="0" w:firstLineChars="0"/>
        <w:rPr>
          <w:rFonts w:cs="Times New Roman"/>
        </w:rPr>
      </w:pPr>
      <w:r>
        <w:rPr>
          <w:rFonts w:cs="Times New Roman"/>
        </w:rPr>
        <w:t>锁合衬套应视为控压件。</w:t>
      </w:r>
    </w:p>
    <w:p>
      <w:pPr>
        <w:ind w:firstLine="420"/>
        <w:rPr>
          <w:rFonts w:cs="Times New Roman"/>
        </w:rPr>
      </w:pPr>
      <w:r>
        <w:rPr>
          <w:rFonts w:cs="Times New Roman"/>
        </w:rPr>
        <w:t>锁定套管的设计应能够通过钻井/完井立管和水下防喷器送入。</w:t>
      </w:r>
    </w:p>
    <w:p>
      <w:pPr>
        <w:pStyle w:val="40"/>
      </w:pPr>
      <w:bookmarkStart w:id="168" w:name="_Toc95911904"/>
      <w:r>
        <w:t>设计</w:t>
      </w:r>
      <w:bookmarkEnd w:id="168"/>
    </w:p>
    <w:p>
      <w:pPr>
        <w:pStyle w:val="41"/>
        <w:rPr>
          <w:rFonts w:cs="Times New Roman"/>
        </w:rPr>
      </w:pPr>
      <w:r>
        <w:rPr>
          <w:rFonts w:cs="Times New Roman"/>
        </w:rPr>
        <w:t>设计载荷/条件</w:t>
      </w:r>
    </w:p>
    <w:p>
      <w:pPr>
        <w:ind w:firstLine="420"/>
        <w:rPr>
          <w:rFonts w:cs="Times New Roman"/>
        </w:rPr>
      </w:pPr>
      <w:r>
        <w:rPr>
          <w:rFonts w:cs="Times New Roman"/>
        </w:rPr>
        <w:t>设计宜考虑以下载荷：</w:t>
      </w:r>
    </w:p>
    <w:p>
      <w:pPr>
        <w:pStyle w:val="45"/>
        <w:numPr>
          <w:ilvl w:val="0"/>
          <w:numId w:val="32"/>
        </w:numPr>
        <w:ind w:firstLineChars="0"/>
        <w:rPr>
          <w:rFonts w:cs="Times New Roman"/>
        </w:rPr>
      </w:pPr>
      <w:r>
        <w:rPr>
          <w:rFonts w:cs="Times New Roman"/>
        </w:rPr>
        <w:t>固定载荷；</w:t>
      </w:r>
    </w:p>
    <w:p>
      <w:pPr>
        <w:pStyle w:val="45"/>
        <w:numPr>
          <w:ilvl w:val="0"/>
          <w:numId w:val="32"/>
        </w:numPr>
        <w:ind w:firstLineChars="0"/>
        <w:rPr>
          <w:rFonts w:cs="Times New Roman"/>
        </w:rPr>
      </w:pPr>
      <w:r>
        <w:rPr>
          <w:rFonts w:cs="Times New Roman"/>
        </w:rPr>
        <w:t>过载提升；</w:t>
      </w:r>
    </w:p>
    <w:p>
      <w:pPr>
        <w:pStyle w:val="45"/>
        <w:numPr>
          <w:ilvl w:val="0"/>
          <w:numId w:val="32"/>
        </w:numPr>
        <w:ind w:firstLineChars="0"/>
        <w:rPr>
          <w:rFonts w:cs="Times New Roman"/>
        </w:rPr>
      </w:pPr>
      <w:r>
        <w:rPr>
          <w:rFonts w:cs="Times New Roman"/>
        </w:rPr>
        <w:t>内部和外部压力（包括套管膨胀载荷）；</w:t>
      </w:r>
    </w:p>
    <w:p>
      <w:pPr>
        <w:pStyle w:val="45"/>
        <w:numPr>
          <w:ilvl w:val="0"/>
          <w:numId w:val="32"/>
        </w:numPr>
        <w:ind w:firstLineChars="0"/>
        <w:rPr>
          <w:rFonts w:cs="Times New Roman"/>
        </w:rPr>
      </w:pPr>
      <w:r>
        <w:rPr>
          <w:rFonts w:cs="Times New Roman"/>
        </w:rPr>
        <w:t>热载荷（包括套管膨胀载荷）；</w:t>
      </w:r>
    </w:p>
    <w:p>
      <w:pPr>
        <w:pStyle w:val="45"/>
        <w:numPr>
          <w:ilvl w:val="0"/>
          <w:numId w:val="32"/>
        </w:numPr>
        <w:ind w:firstLineChars="0"/>
        <w:rPr>
          <w:rFonts w:cs="Times New Roman"/>
        </w:rPr>
      </w:pPr>
      <w:r>
        <w:rPr>
          <w:rFonts w:cs="Times New Roman"/>
        </w:rPr>
        <w:t>扭转载荷；</w:t>
      </w:r>
    </w:p>
    <w:p>
      <w:pPr>
        <w:pStyle w:val="45"/>
        <w:numPr>
          <w:ilvl w:val="0"/>
          <w:numId w:val="32"/>
        </w:numPr>
        <w:ind w:firstLineChars="0"/>
        <w:rPr>
          <w:rFonts w:cs="Times New Roman"/>
        </w:rPr>
      </w:pPr>
      <w:r>
        <w:rPr>
          <w:rFonts w:cs="Times New Roman"/>
        </w:rPr>
        <w:t>冲击载荷；</w:t>
      </w:r>
    </w:p>
    <w:p>
      <w:pPr>
        <w:pStyle w:val="45"/>
        <w:numPr>
          <w:ilvl w:val="0"/>
          <w:numId w:val="32"/>
        </w:numPr>
        <w:ind w:firstLineChars="0"/>
        <w:rPr>
          <w:rFonts w:cs="Times New Roman"/>
        </w:rPr>
      </w:pPr>
      <w:r>
        <w:rPr>
          <w:rFonts w:cs="Times New Roman"/>
        </w:rPr>
        <w:t>释放和/或回收载荷；</w:t>
      </w:r>
    </w:p>
    <w:p>
      <w:pPr>
        <w:pStyle w:val="45"/>
        <w:numPr>
          <w:ilvl w:val="0"/>
          <w:numId w:val="32"/>
        </w:numPr>
        <w:ind w:firstLineChars="0"/>
        <w:rPr>
          <w:rFonts w:cs="Times New Roman"/>
        </w:rPr>
      </w:pPr>
      <w:r>
        <w:rPr>
          <w:rFonts w:cs="Times New Roman"/>
        </w:rPr>
        <w:t>油管悬挂器压力端载荷；</w:t>
      </w:r>
    </w:p>
    <w:p>
      <w:pPr>
        <w:pStyle w:val="45"/>
        <w:numPr>
          <w:ilvl w:val="0"/>
          <w:numId w:val="32"/>
        </w:numPr>
        <w:ind w:firstLineChars="0"/>
        <w:rPr>
          <w:rFonts w:cs="Times New Roman"/>
        </w:rPr>
      </w:pPr>
      <w:r>
        <w:rPr>
          <w:rFonts w:cs="Times New Roman"/>
        </w:rPr>
        <w:t>油管柱悬挂载荷；</w:t>
      </w:r>
    </w:p>
    <w:p>
      <w:pPr>
        <w:pStyle w:val="45"/>
        <w:numPr>
          <w:ilvl w:val="0"/>
          <w:numId w:val="32"/>
        </w:numPr>
        <w:ind w:firstLineChars="0"/>
        <w:rPr>
          <w:rFonts w:cs="Times New Roman"/>
        </w:rPr>
      </w:pPr>
      <w:r>
        <w:rPr>
          <w:rFonts w:cs="Times New Roman"/>
        </w:rPr>
        <w:t>防喷器试验载荷。</w:t>
      </w:r>
    </w:p>
    <w:p>
      <w:pPr>
        <w:pStyle w:val="41"/>
        <w:rPr>
          <w:rFonts w:cs="Times New Roman"/>
        </w:rPr>
      </w:pPr>
      <w:r>
        <w:rPr>
          <w:rFonts w:cs="Times New Roman"/>
        </w:rPr>
        <w:t>垂直孔</w:t>
      </w:r>
    </w:p>
    <w:p>
      <w:pPr>
        <w:ind w:firstLine="420"/>
        <w:rPr>
          <w:rFonts w:cs="Times New Roman"/>
        </w:rPr>
      </w:pPr>
      <w:r>
        <w:rPr>
          <w:rFonts w:cs="Times New Roman"/>
        </w:rPr>
        <w:t>制造商应确定并记录密封锁合衬套的内部和外部压力等级。</w:t>
      </w:r>
    </w:p>
    <w:p>
      <w:pPr>
        <w:ind w:firstLine="420"/>
        <w:rPr>
          <w:rFonts w:cs="Times New Roman"/>
        </w:rPr>
      </w:pPr>
      <w:r>
        <w:rPr>
          <w:rFonts w:cs="Times New Roman"/>
        </w:rPr>
        <w:t>注：有些锁合衬套不能密封。</w:t>
      </w:r>
    </w:p>
    <w:p>
      <w:pPr>
        <w:pStyle w:val="40"/>
      </w:pPr>
      <w:bookmarkStart w:id="169" w:name="_Toc95911905"/>
      <w:r>
        <w:t>试验</w:t>
      </w:r>
      <w:bookmarkEnd w:id="169"/>
    </w:p>
    <w:p>
      <w:pPr>
        <w:pStyle w:val="41"/>
        <w:rPr>
          <w:rFonts w:cs="Times New Roman"/>
        </w:rPr>
      </w:pPr>
      <w:r>
        <w:rPr>
          <w:rFonts w:cs="Times New Roman"/>
        </w:rPr>
        <w:t>性能鉴定试验</w:t>
      </w:r>
    </w:p>
    <w:p>
      <w:pPr>
        <w:ind w:firstLine="420"/>
        <w:rPr>
          <w:rFonts w:cs="Times New Roman"/>
        </w:rPr>
      </w:pPr>
      <w:r>
        <w:rPr>
          <w:rFonts w:cs="Times New Roman"/>
        </w:rPr>
        <w:t>应满足</w:t>
      </w:r>
      <w:r>
        <w:rPr>
          <w:rFonts w:cs="Times New Roman"/>
        </w:rPr>
        <w:fldChar w:fldCharType="begin"/>
      </w:r>
      <w:r>
        <w:rPr>
          <w:rFonts w:cs="Times New Roman"/>
        </w:rPr>
        <w:instrText xml:space="preserve"> REF _Ref112341074 \n \h </w:instrText>
      </w:r>
      <w:r>
        <w:rPr>
          <w:rFonts w:cs="Times New Roman"/>
        </w:rPr>
        <w:fldChar w:fldCharType="separate"/>
      </w:r>
      <w:r>
        <w:rPr>
          <w:rFonts w:cs="Times New Roman"/>
        </w:rPr>
        <w:t>4.2.6</w:t>
      </w:r>
      <w:r>
        <w:rPr>
          <w:rFonts w:cs="Times New Roman"/>
        </w:rPr>
        <w:fldChar w:fldCharType="end"/>
      </w:r>
      <w:r>
        <w:rPr>
          <w:rFonts w:cs="Times New Roman"/>
        </w:rPr>
        <w:t>中承压、承载性能鉴定试验要求，以验证其结构完整性。</w:t>
      </w:r>
    </w:p>
    <w:p>
      <w:pPr>
        <w:ind w:firstLine="420"/>
        <w:rPr>
          <w:rFonts w:cs="Times New Roman"/>
        </w:rPr>
      </w:pPr>
      <w:r>
        <w:rPr>
          <w:rFonts w:cs="Times New Roman"/>
        </w:rPr>
        <w:t>轴向承载试验可以验证锁合衬套承载能力，包括向上和向下负载试验。</w:t>
      </w:r>
    </w:p>
    <w:p>
      <w:pPr>
        <w:ind w:firstLine="420"/>
        <w:rPr>
          <w:rFonts w:cs="Times New Roman"/>
        </w:rPr>
      </w:pPr>
      <w:r>
        <w:rPr>
          <w:rFonts w:cs="Times New Roman"/>
        </w:rPr>
        <w:t>若设计具有密封能力，则锁合衬套应进行相应承压能力试验。验证可以组合进行（轴向载荷与压力），也可以单独进行（轴向载荷和压力）。</w:t>
      </w:r>
    </w:p>
    <w:p>
      <w:pPr>
        <w:ind w:firstLine="420"/>
        <w:rPr>
          <w:rFonts w:cs="Times New Roman"/>
        </w:rPr>
      </w:pPr>
      <w:r>
        <w:rPr>
          <w:rFonts w:hint="eastAsia" w:cs="Times New Roman"/>
        </w:rPr>
        <w:t>试验项点见6.1</w:t>
      </w:r>
      <w:r>
        <w:rPr>
          <w:rFonts w:cs="Times New Roman"/>
        </w:rPr>
        <w:t>。</w:t>
      </w:r>
    </w:p>
    <w:p>
      <w:pPr>
        <w:pStyle w:val="41"/>
        <w:rPr>
          <w:rFonts w:cs="Times New Roman"/>
        </w:rPr>
      </w:pPr>
      <w:r>
        <w:rPr>
          <w:rFonts w:cs="Times New Roman"/>
        </w:rPr>
        <w:t>出厂验收试验</w:t>
      </w:r>
    </w:p>
    <w:p>
      <w:pPr>
        <w:ind w:firstLine="420"/>
        <w:rPr>
          <w:rFonts w:cs="Times New Roman"/>
        </w:rPr>
      </w:pPr>
      <w:r>
        <w:rPr>
          <w:rFonts w:hint="eastAsia" w:cs="Times New Roman"/>
        </w:rPr>
        <w:t>试验项点见6.1</w:t>
      </w:r>
      <w:r>
        <w:rPr>
          <w:rFonts w:cs="Times New Roman"/>
        </w:rPr>
        <w:t>。</w:t>
      </w:r>
    </w:p>
    <w:p>
      <w:pPr>
        <w:pStyle w:val="39"/>
      </w:pPr>
      <w:bookmarkStart w:id="170" w:name="_Toc95911906"/>
      <w:bookmarkStart w:id="171" w:name="_Toc95910610"/>
      <w:bookmarkStart w:id="172" w:name="_Toc95909868"/>
      <w:bookmarkStart w:id="173" w:name="_Toc112341752"/>
      <w:r>
        <w:t>防磨套筒和</w:t>
      </w:r>
      <w:bookmarkEnd w:id="170"/>
      <w:bookmarkEnd w:id="171"/>
      <w:bookmarkEnd w:id="172"/>
      <w:r>
        <w:t>抗磨补芯</w:t>
      </w:r>
      <w:bookmarkEnd w:id="173"/>
    </w:p>
    <w:p>
      <w:pPr>
        <w:pStyle w:val="40"/>
      </w:pPr>
      <w:bookmarkStart w:id="174" w:name="_Toc95911907"/>
      <w:r>
        <w:t>总则</w:t>
      </w:r>
      <w:bookmarkEnd w:id="174"/>
    </w:p>
    <w:p>
      <w:pPr>
        <w:ind w:firstLine="420"/>
        <w:rPr>
          <w:rFonts w:cs="Times New Roman"/>
        </w:rPr>
      </w:pPr>
      <w:r>
        <w:rPr>
          <w:rFonts w:cs="Times New Roman"/>
        </w:rPr>
        <w:t>在套管悬挂器安装之前，防磨套筒主要用于保护井口头内壁，防止钻井及起下钻过程中划伤关键密封面。在套管悬挂器下入之后，安装相应尺寸的抗磨补芯可保护剩余的环空密封面及已安装的环空密封总成/套管悬挂器。</w:t>
      </w:r>
    </w:p>
    <w:p>
      <w:pPr>
        <w:ind w:firstLine="420"/>
        <w:rPr>
          <w:rFonts w:cs="Times New Roman"/>
        </w:rPr>
      </w:pPr>
      <w:r>
        <w:rPr>
          <w:rFonts w:cs="Times New Roman"/>
        </w:rPr>
        <w:t>防磨套筒和抗磨补芯通常都不是保压装置。</w:t>
      </w:r>
    </w:p>
    <w:p>
      <w:pPr>
        <w:pStyle w:val="40"/>
      </w:pPr>
      <w:bookmarkStart w:id="175" w:name="_Toc95911908"/>
      <w:r>
        <w:t>设计</w:t>
      </w:r>
      <w:bookmarkEnd w:id="175"/>
    </w:p>
    <w:p>
      <w:pPr>
        <w:pStyle w:val="41"/>
        <w:rPr>
          <w:rFonts w:cs="Times New Roman"/>
        </w:rPr>
      </w:pPr>
      <w:r>
        <w:rPr>
          <w:rFonts w:cs="Times New Roman"/>
        </w:rPr>
        <w:t>设计载荷/条件</w:t>
      </w:r>
    </w:p>
    <w:p>
      <w:pPr>
        <w:ind w:firstLine="420"/>
        <w:rPr>
          <w:rFonts w:cs="Times New Roman"/>
        </w:rPr>
      </w:pPr>
      <w:r>
        <w:rPr>
          <w:rFonts w:cs="Times New Roman"/>
        </w:rPr>
        <w:t>设计宜考虑以下载荷：</w:t>
      </w:r>
    </w:p>
    <w:p>
      <w:pPr>
        <w:pStyle w:val="45"/>
        <w:numPr>
          <w:ilvl w:val="0"/>
          <w:numId w:val="33"/>
        </w:numPr>
        <w:ind w:firstLineChars="0"/>
        <w:rPr>
          <w:rFonts w:cs="Times New Roman"/>
        </w:rPr>
      </w:pPr>
      <w:r>
        <w:rPr>
          <w:rFonts w:cs="Times New Roman"/>
        </w:rPr>
        <w:t>防喷器压力试验载荷；</w:t>
      </w:r>
    </w:p>
    <w:p>
      <w:pPr>
        <w:pStyle w:val="45"/>
        <w:numPr>
          <w:ilvl w:val="0"/>
          <w:numId w:val="33"/>
        </w:numPr>
        <w:ind w:firstLineChars="0"/>
        <w:rPr>
          <w:rFonts w:cs="Times New Roman"/>
        </w:rPr>
      </w:pPr>
      <w:r>
        <w:rPr>
          <w:rFonts w:cs="Times New Roman"/>
        </w:rPr>
        <w:t>径向载荷；</w:t>
      </w:r>
    </w:p>
    <w:p>
      <w:pPr>
        <w:pStyle w:val="45"/>
        <w:numPr>
          <w:ilvl w:val="0"/>
          <w:numId w:val="33"/>
        </w:numPr>
        <w:ind w:firstLineChars="0"/>
        <w:rPr>
          <w:rFonts w:cs="Times New Roman"/>
        </w:rPr>
      </w:pPr>
      <w:r>
        <w:rPr>
          <w:rFonts w:cs="Times New Roman"/>
        </w:rPr>
        <w:t>钻杆悬挂载荷；</w:t>
      </w:r>
    </w:p>
    <w:p>
      <w:pPr>
        <w:pStyle w:val="45"/>
        <w:numPr>
          <w:ilvl w:val="0"/>
          <w:numId w:val="33"/>
        </w:numPr>
        <w:ind w:firstLineChars="0"/>
        <w:rPr>
          <w:rFonts w:cs="Times New Roman"/>
        </w:rPr>
      </w:pPr>
      <w:r>
        <w:rPr>
          <w:rFonts w:cs="Times New Roman"/>
        </w:rPr>
        <w:t>回收负荷；</w:t>
      </w:r>
    </w:p>
    <w:p>
      <w:pPr>
        <w:pStyle w:val="45"/>
        <w:numPr>
          <w:ilvl w:val="0"/>
          <w:numId w:val="33"/>
        </w:numPr>
        <w:ind w:firstLineChars="0"/>
        <w:rPr>
          <w:rFonts w:cs="Times New Roman"/>
        </w:rPr>
      </w:pPr>
      <w:r>
        <w:rPr>
          <w:rFonts w:cs="Times New Roman"/>
        </w:rPr>
        <w:t>抗旋转负载。</w:t>
      </w:r>
    </w:p>
    <w:p>
      <w:pPr>
        <w:pStyle w:val="41"/>
        <w:rPr>
          <w:rFonts w:cs="Times New Roman"/>
        </w:rPr>
      </w:pPr>
      <w:r>
        <w:rPr>
          <w:rFonts w:cs="Times New Roman"/>
        </w:rPr>
        <w:t>最小垂直孔</w:t>
      </w:r>
    </w:p>
    <w:p>
      <w:pPr>
        <w:ind w:firstLine="420"/>
        <w:rPr>
          <w:rFonts w:cs="Times New Roman"/>
        </w:rPr>
      </w:pPr>
      <w:r>
        <w:rPr>
          <w:rFonts w:cs="Times New Roman"/>
        </w:rPr>
        <w:t>用于全开井眼保护装置和抗磨补芯的最小垂直孔应按照</w:t>
      </w:r>
      <w:r>
        <w:rPr>
          <w:rFonts w:cs="Times New Roman"/>
        </w:rPr>
        <w:fldChar w:fldCharType="begin"/>
      </w:r>
      <w:r>
        <w:rPr>
          <w:rFonts w:cs="Times New Roman"/>
        </w:rPr>
        <w:instrText xml:space="preserve"> REF _Ref112224928 \h  \* MERGEFORMAT </w:instrText>
      </w:r>
      <w:r>
        <w:rPr>
          <w:rFonts w:cs="Times New Roman"/>
        </w:rPr>
        <w:fldChar w:fldCharType="separate"/>
      </w:r>
      <w:r>
        <w:rPr>
          <w:rFonts w:cs="Times New Roman"/>
        </w:rPr>
        <w:t>表 14</w:t>
      </w:r>
      <w:r>
        <w:rPr>
          <w:rFonts w:cs="Times New Roman"/>
        </w:rPr>
        <w:fldChar w:fldCharType="end"/>
      </w:r>
      <w:r>
        <w:rPr>
          <w:rFonts w:cs="Times New Roman"/>
        </w:rPr>
        <w:t xml:space="preserve"> 的规定。符合该要求的防磨套筒和抗磨补芯应称作全开孔设备。也可提供更小的垂直井眼。</w:t>
      </w:r>
    </w:p>
    <w:p>
      <w:pPr>
        <w:pStyle w:val="41"/>
        <w:rPr>
          <w:rFonts w:cs="Times New Roman"/>
        </w:rPr>
      </w:pPr>
      <w:r>
        <w:rPr>
          <w:rFonts w:cs="Times New Roman"/>
        </w:rPr>
        <w:t>剖面</w:t>
      </w:r>
    </w:p>
    <w:p>
      <w:pPr>
        <w:ind w:firstLine="420"/>
        <w:rPr>
          <w:rFonts w:cs="Times New Roman"/>
        </w:rPr>
      </w:pPr>
      <w:r>
        <w:rPr>
          <w:rFonts w:cs="Times New Roman"/>
        </w:rPr>
        <w:t>抗磨补芯和孔保护器的顶部和底部应设有导向斜面，以避免钻头或工具起下时挂住。防旋转为可选功能。</w:t>
      </w:r>
    </w:p>
    <w:p>
      <w:pPr>
        <w:pStyle w:val="69"/>
      </w:pPr>
      <w:bookmarkStart w:id="176" w:name="_Ref112224871"/>
      <w:bookmarkStart w:id="177" w:name="_Ref112224928"/>
      <w:r>
        <mc:AlternateContent>
          <mc:Choice Requires="wps">
            <w:drawing>
              <wp:anchor distT="0" distB="0" distL="114300" distR="114300" simplePos="0" relativeHeight="25169203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7" name="文本框 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pt;height:50pt;width:50pt;visibility:hidden;z-index:251692032;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&#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Q/qy0AAAAAUBAAAPAAAAAAAAAAEAIAAAACIAAABk&#10;cnMvZG93bnJldi54bWxQSwECFAAUAAAACACHTuJAgnIUD0cCAACVBAAADgAAAAAAAAABACAAAAAf&#10;AQAAZHJzL2Uyb0RvYy54bWxQSwUGAAAAAAYABgBZAQAA2AUAAAAA&#10;">
                <v:fill on="t" focussize="0,0"/>
                <v:stroke color="#000000" miterlimit="8" joinstyle="miter"/>
                <v:imagedata o:title=""/>
                <o:lock v:ext="edit" selection="t" aspectratio="f"/>
              </v:shape>
            </w:pict>
          </mc:Fallback>
        </mc:AlternateContent>
      </w:r>
      <w:r>
        <mc:AlternateContent>
          <mc:Choice Requires="wps">
            <w:drawing>
              <wp:anchor distT="0" distB="0" distL="114300" distR="114300" simplePos="0" relativeHeight="25169305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4" name="任意多边形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5648"/>
                            <a:gd name="T1" fmla="*/ 24 h 48"/>
                            <a:gd name="T2" fmla="*/ 0 w 45648"/>
                            <a:gd name="T3" fmla="*/ 24 h 48"/>
                            <a:gd name="T4" fmla="*/ 45648 w 45648"/>
                            <a:gd name="T5" fmla="*/ 24 h 48"/>
                          </a:gdLst>
                          <a:ahLst/>
                          <a:cxnLst>
                            <a:cxn ang="0">
                              <a:pos x="T0" y="T1"/>
                            </a:cxn>
                            <a:cxn ang="0">
                              <a:pos x="T2" y="T3"/>
                            </a:cxn>
                            <a:cxn ang="0">
                              <a:pos x="T4" y="T5"/>
                            </a:cxn>
                          </a:cxnLst>
                          <a:rect l="0" t="0" r="r" b="b"/>
                          <a:pathLst>
                            <a:path w="45648" h="48">
                              <a:moveTo>
                                <a:pt x="0" y="24"/>
                              </a:moveTo>
                              <a:lnTo>
                                <a:pt x="0" y="24"/>
                              </a:lnTo>
                              <a:lnTo>
                                <a:pt x="45648" y="24"/>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93056;mso-width-relative:page;mso-height-relative:page;" fillcolor="#FFFFFF" filled="t" stroked="t" coordsize="45648,48" o:gfxdata="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KCOn1TQAAAA&#10;BQEAAA8AAAAAAAAAAQAgAAAAIgAAAGRycy9kb3ducmV2LnhtbFBLAQIUABQAAAAIAIdO4kAn256P&#10;CQMAAOsGAAAOAAAAAAAAAAEAIAAAAB8BAABkcnMvZTJvRG9jLnhtbFBLBQYAAAAABgAGAFkBAACa&#10;BgAAAAA=&#10;" path="m0,24l0,24,45648,24e">
                <v:path o:connectlocs="0,317500;0,317500;635000,317500" o:connectangles="0,0,0"/>
                <v:fill on="t" focussize="0,0"/>
                <v:stroke color="#000000" miterlimit="8" joinstyle="miter"/>
                <v:imagedata o:title=""/>
                <o:lock v:ext="edit" selection="t" aspectratio="f"/>
              </v:shape>
            </w:pict>
          </mc:Fallback>
        </mc:AlternateContent>
      </w:r>
      <w:r>
        <mc:AlternateContent>
          <mc:Choice Requires="wps">
            <w:drawing>
              <wp:anchor distT="0" distB="0" distL="114300" distR="114300" simplePos="0" relativeHeight="25169408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3" name="任意多边形 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94080;mso-width-relative:page;mso-height-relative:page;" fillcolor="#FFFFFF" filled="t" stroked="t" coordsize="250,650" o:gfxdata="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uYxUV0QAAAAUB&#10;AAAPAAAAAAAAAAEAIAAAACIAAABkcnMvZG93bnJldi54bWxQSwECFAAUAAAACACHTuJAr/AQHQYD&#10;AADpBgAADgAAAAAAAAABACAAAAAgAQAAZHJzL2Uyb0RvYy54bWxQSwUGAAAAAAYABgBZAQAAmAYA&#10;AAAA&#10;" path="m125,0l125,0,125,650e">
                <v:path o:connectlocs="317500,0;317500,0;317500,635000" o:connectangles="0,0,0"/>
                <v:fill on="t" focussize="0,0"/>
                <v:stroke color="#000000" miterlimit="8" joinstyle="miter"/>
                <v:imagedata o:title=""/>
                <o:lock v:ext="edit" selection="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page">
                  <wp:posOffset>3760470</wp:posOffset>
                </wp:positionH>
                <wp:positionV relativeFrom="page">
                  <wp:posOffset>10299700</wp:posOffset>
                </wp:positionV>
                <wp:extent cx="31750" cy="82550"/>
                <wp:effectExtent l="0" t="0" r="0" b="6350"/>
                <wp:wrapNone/>
                <wp:docPr id="32" name="任意多边形 32"/>
                <wp:cNvGraphicFramePr/>
                <a:graphic xmlns:a="http://schemas.openxmlformats.org/drawingml/2006/main">
                  <a:graphicData uri="http://schemas.microsoft.com/office/word/2010/wordprocessingShape">
                    <wps:wsp>
                      <wps:cNvSpPr>
                        <a:spLocks noChangeArrowheads="1"/>
                      </wps:cNvSpPr>
                      <wps:spPr bwMode="auto">
                        <a:xfrm>
                          <a:off x="0" y="0"/>
                          <a:ext cx="31750" cy="8255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alpha val="0"/>
                          </a:srgbClr>
                        </a:solidFill>
                        <a:ln w="2540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6.1pt;margin-top:811pt;height:6.5pt;width:2.5pt;mso-position-horizontal-relative:page;mso-position-vertical-relative:page;z-index:251697152;mso-width-relative:page;mso-height-relative:page;" fillcolor="#FFFFFF" filled="t" stroked="t" coordsize="250,650" o:gfxdata="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MCFO4jZ&#10;AAAADQEAAA8AAAAAAAAAAQAgAAAAIgAAAGRycy9kb3ducmV2LnhtbFBLAQIUABQAAAAIAIdO4kD6&#10;Yr+fAwMAAO0GAAAOAAAAAAAAAAEAIAAAACgBAABkcnMvZTJvRG9jLnhtbFBLBQYAAAAABgAGAFkB&#10;AACdBgAAAAA=&#10;" path="m125,0l125,0,125,650e">
                <v:path o:connectlocs="15875,0;15875,0;15875,82550" o:connectangles="0,0,0"/>
                <v:fill on="t" opacity="0f" focussize="0,0"/>
                <v:stroke weight="2pt" color="#FFFFFF" miterlimit="8" joinstyle="miter"/>
                <v:imagedata o:title=""/>
                <o:lock v:ext="edit" aspectratio="f"/>
              </v:shape>
            </w:pict>
          </mc:Fallback>
        </mc:AlternateContent>
      </w:r>
      <w:r>
        <mc:AlternateContent>
          <mc:Choice Requires="wps">
            <w:drawing>
              <wp:anchor distT="0" distB="0" distL="114300" distR="114300" simplePos="0" relativeHeight="25169510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1" name="任意多边形 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95104;mso-width-relative:page;mso-height-relative:page;" fillcolor="#FFFFFF" filled="t" stroked="t" coordsize="250,650" o:gfxdata="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uYxUV0QAAAAUB&#10;AAAPAAAAAAAAAAEAIAAAACIAAABkcnMvZG93bnJldi54bWxQSwECFAAUAAAACACHTuJAF244qQYD&#10;AADpBgAADgAAAAAAAAABACAAAAAgAQAAZHJzL2Uyb0RvYy54bWxQSwUGAAAAAAYABgBZAQAAmAYA&#10;AAAA&#10;" path="m125,0l125,0,125,650e">
                <v:path o:connectlocs="317500,0;317500,0;317500,635000" o:connectangles="0,0,0"/>
                <v:fill on="t" focussize="0,0"/>
                <v:stroke color="#000000" miterlimit="8" joinstyle="miter"/>
                <v:imagedata o:title=""/>
                <o:lock v:ext="edit" selection="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page">
                  <wp:posOffset>3760470</wp:posOffset>
                </wp:positionH>
                <wp:positionV relativeFrom="page">
                  <wp:posOffset>10375900</wp:posOffset>
                </wp:positionV>
                <wp:extent cx="31750" cy="82550"/>
                <wp:effectExtent l="0" t="0" r="0" b="6350"/>
                <wp:wrapNone/>
                <wp:docPr id="30" name="任意多边形 30"/>
                <wp:cNvGraphicFramePr/>
                <a:graphic xmlns:a="http://schemas.openxmlformats.org/drawingml/2006/main">
                  <a:graphicData uri="http://schemas.microsoft.com/office/word/2010/wordprocessingShape">
                    <wps:wsp>
                      <wps:cNvSpPr>
                        <a:spLocks noChangeArrowheads="1"/>
                      </wps:cNvSpPr>
                      <wps:spPr bwMode="auto">
                        <a:xfrm>
                          <a:off x="0" y="0"/>
                          <a:ext cx="31750" cy="8255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alpha val="0"/>
                          </a:srgbClr>
                        </a:solidFill>
                        <a:ln w="2540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6.1pt;margin-top:817pt;height:6.5pt;width:2.5pt;mso-position-horizontal-relative:page;mso-position-vertical-relative:page;z-index:251698176;mso-width-relative:page;mso-height-relative:page;" fillcolor="#FFFFFF" filled="t" stroked="t" coordsize="250,650" o:gfxdata="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5NgR+NkA&#10;AAANAQAADwAAAAAAAAABACAAAAAiAAAAZHJzL2Rvd25yZXYueG1sUEsBAhQAFAAAAAgAh07iQEpI&#10;pSECAwAA7QYAAA4AAAAAAAAAAQAgAAAAKAEAAGRycy9lMm9Eb2MueG1sUEsFBgAAAAAGAAYAWQEA&#10;AJwGAAAAAA==&#10;" path="m125,0l125,0,125,650e">
                <v:path o:connectlocs="15875,0;15875,0;15875,82550" o:connectangles="0,0,0"/>
                <v:fill on="t" opacity="0f" focussize="0,0"/>
                <v:stroke weight="2pt" color="#FFFFFF" miterlimit="8" joinstyle="miter"/>
                <v:imagedata o:title=""/>
                <o:lock v:ext="edit" aspectratio="f"/>
              </v:shape>
            </w:pict>
          </mc:Fallback>
        </mc:AlternateContent>
      </w:r>
      <w:r>
        <mc:AlternateContent>
          <mc:Choice Requires="wps">
            <w:drawing>
              <wp:anchor distT="0" distB="0" distL="114300" distR="114300" simplePos="0" relativeHeight="25169612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9" name="任意多边形 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30"/>
                            <a:gd name="T1" fmla="*/ 0 w 330"/>
                            <a:gd name="T2" fmla="*/ 330 w 330"/>
                          </a:gdLst>
                          <a:ahLst/>
                          <a:cxnLst>
                            <a:cxn ang="0">
                              <a:pos x="T0" y="0"/>
                            </a:cxn>
                            <a:cxn ang="0">
                              <a:pos x="T1" y="0"/>
                            </a:cxn>
                            <a:cxn ang="0">
                              <a:pos x="T2" y="0"/>
                            </a:cxn>
                          </a:cxnLst>
                          <a:rect l="0" t="0" r="r" b="b"/>
                          <a:pathLst>
                            <a:path w="330">
                              <a:moveTo>
                                <a:pt x="0" y="0"/>
                              </a:moveTo>
                              <a:lnTo>
                                <a:pt x="0" y="0"/>
                              </a:lnTo>
                              <a:lnTo>
                                <a:pt x="330" y="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96128;mso-width-relative:page;mso-height-relative:page;" fillcolor="#FFFFFF" filled="t" stroked="t" coordsize="330,1" o:gfxdata="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tqp3a0gAAAAUBAAAPAAAAAAAAAAEAIAAAACIAAABkcnMvZG93bnJldi54bWxQSwECFAAU&#10;AAAACACHTuJAoh/1C9sCAABpBgAADgAAAAAAAAABACAAAAAhAQAAZHJzL2Uyb0RvYy54bWxQSwUG&#10;AAAAAAYABgBZAQAAbgYAAAAA&#10;" path="m0,0l0,0,330,0e">
                <v:path o:connectlocs="0,0;0,0;635000,0" o:connectangles="0,0,0"/>
                <v:fill on="t" focussize="0,0"/>
                <v:stroke color="#000000" miterlimit="8" joinstyle="miter"/>
                <v:imagedata o:title=""/>
                <o:lock v:ext="edit" selection="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page">
                  <wp:posOffset>862330</wp:posOffset>
                </wp:positionH>
                <wp:positionV relativeFrom="page">
                  <wp:posOffset>10208895</wp:posOffset>
                </wp:positionV>
                <wp:extent cx="41910" cy="0"/>
                <wp:effectExtent l="0" t="0" r="0" b="0"/>
                <wp:wrapNone/>
                <wp:docPr id="28" name="任意多边形 28"/>
                <wp:cNvGraphicFramePr/>
                <a:graphic xmlns:a="http://schemas.openxmlformats.org/drawingml/2006/main">
                  <a:graphicData uri="http://schemas.microsoft.com/office/word/2010/wordprocessingShape">
                    <wps:wsp>
                      <wps:cNvSpPr>
                        <a:spLocks noChangeArrowheads="1"/>
                      </wps:cNvSpPr>
                      <wps:spPr bwMode="auto">
                        <a:xfrm>
                          <a:off x="0" y="0"/>
                          <a:ext cx="41910" cy="0"/>
                        </a:xfrm>
                        <a:custGeom>
                          <a:avLst/>
                          <a:gdLst>
                            <a:gd name="T0" fmla="*/ 0 w 330"/>
                            <a:gd name="T1" fmla="*/ 0 w 330"/>
                            <a:gd name="T2" fmla="*/ 330 w 330"/>
                          </a:gdLst>
                          <a:ahLst/>
                          <a:cxnLst>
                            <a:cxn ang="0">
                              <a:pos x="T0" y="0"/>
                            </a:cxn>
                            <a:cxn ang="0">
                              <a:pos x="T1" y="0"/>
                            </a:cxn>
                            <a:cxn ang="0">
                              <a:pos x="T2" y="0"/>
                            </a:cxn>
                          </a:cxnLst>
                          <a:rect l="0" t="0" r="r" b="b"/>
                          <a:pathLst>
                            <a:path w="330">
                              <a:moveTo>
                                <a:pt x="0" y="0"/>
                              </a:moveTo>
                              <a:lnTo>
                                <a:pt x="0" y="0"/>
                              </a:lnTo>
                              <a:lnTo>
                                <a:pt x="330" y="0"/>
                              </a:lnTo>
                            </a:path>
                          </a:pathLst>
                        </a:custGeom>
                        <a:solidFill>
                          <a:srgbClr val="FFFFFF">
                            <a:alpha val="0"/>
                          </a:srgbClr>
                        </a:solidFill>
                        <a:ln w="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67.9pt;margin-top:803.85pt;height:0pt;width:3.3pt;mso-position-horizontal-relative:page;mso-position-vertical-relative:page;z-index:251699200;mso-width-relative:page;mso-height-relative:page;" fillcolor="#FFFFFF" filled="t" stroked="t" coordsize="330,1" o:gfxdata="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9rgXB9gAAAANAQAADwAAAAAAAAABACAAAAAiAAAAZHJzL2Rvd25yZXYueG1sUEsBAhQAFAAA&#10;AAgAh07iQGQ/g1PTAgAAZQYAAA4AAAAAAAAAAQAgAAAAJwEAAGRycy9lMm9Eb2MueG1sUEsFBgAA&#10;AAAGAAYAWQEAAGwGAAAAAA==&#10;" path="m0,0l0,0,330,0e">
                <v:path o:connectlocs="0,0;0,0;41910,0" o:connectangles="0,0,0"/>
                <v:fill on="t" opacity="0f" focussize="0,0"/>
                <v:stroke weight="0pt" color="#FFFFFF" miterlimit="8" joinstyle="miter"/>
                <v:imagedata o:title=""/>
                <o:lock v:ext="edit" aspectratio="f"/>
              </v:shape>
            </w:pict>
          </mc:Fallback>
        </mc:AlternateContent>
      </w:r>
      <w:bookmarkEnd w:id="176"/>
      <w:r>
        <w:t xml:space="preserve">表 </w:t>
      </w:r>
      <w:r>
        <w:fldChar w:fldCharType="begin"/>
      </w:r>
      <w:r>
        <w:instrText xml:space="preserve"> SEQ 表 \* ARABIC </w:instrText>
      </w:r>
      <w:r>
        <w:fldChar w:fldCharType="separate"/>
      </w:r>
      <w:r>
        <w:t>14</w:t>
      </w:r>
      <w:r>
        <w:fldChar w:fldCharType="end"/>
      </w:r>
      <w:bookmarkEnd w:id="177"/>
      <w:r>
        <w:t xml:space="preserve"> 防磨套筒的最小垂直孔</w:t>
      </w:r>
    </w:p>
    <w:tbl>
      <w:tblPr>
        <w:tblStyle w:val="27"/>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4"/>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44" w:type="dxa"/>
            <w:vAlign w:val="center"/>
          </w:tcPr>
          <w:p>
            <w:pPr>
              <w:pStyle w:val="70"/>
              <w:rPr>
                <w:rFonts w:cs="Times New Roman"/>
              </w:rPr>
            </w:pPr>
            <w:r>
              <w:rPr>
                <w:rFonts w:cs="Times New Roman"/>
              </w:rPr>
              <w:t>防喷器组尺寸</w:t>
            </w:r>
          </w:p>
        </w:tc>
        <w:tc>
          <w:tcPr>
            <w:tcW w:w="4144" w:type="dxa"/>
            <w:vAlign w:val="center"/>
          </w:tcPr>
          <w:p>
            <w:pPr>
              <w:pStyle w:val="70"/>
              <w:rPr>
                <w:rFonts w:cs="Times New Roman"/>
              </w:rPr>
            </w:pPr>
            <w:r>
              <w:rPr>
                <w:rFonts w:cs="Times New Roman"/>
              </w:rPr>
              <w:t>最小垂直孔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44" w:type="dxa"/>
            <w:vAlign w:val="center"/>
          </w:tcPr>
          <w:p>
            <w:pPr>
              <w:pStyle w:val="70"/>
              <w:rPr>
                <w:rFonts w:cs="Times New Roman"/>
              </w:rPr>
            </w:pPr>
            <w:r>
              <w:rPr>
                <w:rFonts w:cs="Times New Roman"/>
              </w:rPr>
              <w:t>mm（in）</w:t>
            </w:r>
          </w:p>
        </w:tc>
        <w:tc>
          <w:tcPr>
            <w:tcW w:w="4144" w:type="dxa"/>
            <w:vAlign w:val="center"/>
          </w:tcPr>
          <w:p>
            <w:pPr>
              <w:pStyle w:val="70"/>
              <w:rPr>
                <w:rFonts w:cs="Times New Roman"/>
              </w:rPr>
            </w:pPr>
            <w:r>
              <w:rPr>
                <w:rFonts w:cs="Times New Roman"/>
              </w:rPr>
              <w:t>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44" w:type="dxa"/>
            <w:vAlign w:val="center"/>
          </w:tcPr>
          <w:p>
            <w:pPr>
              <w:pStyle w:val="70"/>
              <w:rPr>
                <w:rFonts w:cs="Times New Roman"/>
              </w:rPr>
            </w:pPr>
            <w:r>
              <w:rPr>
                <w:rFonts w:cs="Times New Roman"/>
              </w:rPr>
              <w:t>346（13</w:t>
            </w:r>
            <w:r>
              <w:rPr>
                <w:rFonts w:cs="Times New Roman"/>
                <w:vertAlign w:val="superscript"/>
              </w:rPr>
              <w:t>5</w:t>
            </w:r>
            <w:r>
              <w:rPr>
                <w:rFonts w:cs="Times New Roman"/>
              </w:rPr>
              <w:t>/</w:t>
            </w:r>
            <w:r>
              <w:rPr>
                <w:rFonts w:cs="Times New Roman"/>
                <w:sz w:val="12"/>
                <w:szCs w:val="12"/>
              </w:rPr>
              <w:t>8</w:t>
            </w:r>
            <w:r>
              <w:rPr>
                <w:rFonts w:cs="Times New Roman"/>
              </w:rPr>
              <w:t>）</w:t>
            </w:r>
          </w:p>
        </w:tc>
        <w:tc>
          <w:tcPr>
            <w:tcW w:w="4144" w:type="dxa"/>
            <w:vAlign w:val="center"/>
          </w:tcPr>
          <w:p>
            <w:pPr>
              <w:pStyle w:val="70"/>
              <w:rPr>
                <w:rFonts w:cs="Times New Roman"/>
              </w:rPr>
            </w:pPr>
            <w:r>
              <w:rPr>
                <w:rFonts w:cs="Times New Roman"/>
              </w:rPr>
              <w:t>312（12.31）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44" w:type="dxa"/>
            <w:vAlign w:val="center"/>
          </w:tcPr>
          <w:p>
            <w:pPr>
              <w:pStyle w:val="70"/>
              <w:rPr>
                <w:rFonts w:cs="Times New Roman"/>
              </w:rPr>
            </w:pPr>
            <w:r>
              <w:rPr>
                <w:rFonts w:cs="Times New Roman"/>
              </w:rPr>
              <w:t>425（16</w:t>
            </w:r>
            <w:r>
              <w:rPr>
                <w:rFonts w:cs="Times New Roman"/>
                <w:vertAlign w:val="superscript"/>
              </w:rPr>
              <w:t>3</w:t>
            </w:r>
            <w:r>
              <w:rPr>
                <w:rFonts w:cs="Times New Roman"/>
              </w:rPr>
              <w:t>/</w:t>
            </w:r>
            <w:r>
              <w:rPr>
                <w:rFonts w:cs="Times New Roman"/>
                <w:sz w:val="12"/>
                <w:szCs w:val="12"/>
              </w:rPr>
              <w:t>4</w:t>
            </w:r>
            <w:r>
              <w:rPr>
                <w:rFonts w:cs="Times New Roman"/>
              </w:rPr>
              <w:t>）</w:t>
            </w:r>
          </w:p>
        </w:tc>
        <w:tc>
          <w:tcPr>
            <w:tcW w:w="4144" w:type="dxa"/>
            <w:vAlign w:val="center"/>
          </w:tcPr>
          <w:p>
            <w:pPr>
              <w:pStyle w:val="70"/>
              <w:rPr>
                <w:rFonts w:cs="Times New Roman"/>
              </w:rPr>
            </w:pPr>
            <w:r>
              <w:rPr>
                <w:rFonts w:cs="Times New Roman"/>
              </w:rPr>
              <w:t>384（15.12）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44" w:type="dxa"/>
            <w:vAlign w:val="center"/>
          </w:tcPr>
          <w:p>
            <w:pPr>
              <w:pStyle w:val="70"/>
              <w:rPr>
                <w:rFonts w:cs="Times New Roman"/>
              </w:rPr>
            </w:pPr>
            <w:r>
              <w:rPr>
                <w:rFonts w:cs="Times New Roman"/>
              </w:rPr>
              <w:t>476（18</w:t>
            </w:r>
            <w:r>
              <w:rPr>
                <w:rFonts w:cs="Times New Roman"/>
                <w:vertAlign w:val="superscript"/>
              </w:rPr>
              <w:t>3</w:t>
            </w:r>
            <w:r>
              <w:rPr>
                <w:rFonts w:cs="Times New Roman"/>
              </w:rPr>
              <w:t>/</w:t>
            </w:r>
            <w:r>
              <w:rPr>
                <w:rFonts w:cs="Times New Roman"/>
                <w:sz w:val="12"/>
                <w:szCs w:val="12"/>
              </w:rPr>
              <w:t>4</w:t>
            </w:r>
            <w:r>
              <w:rPr>
                <w:rFonts w:cs="Times New Roman"/>
              </w:rPr>
              <w:t>）</w:t>
            </w:r>
          </w:p>
        </w:tc>
        <w:tc>
          <w:tcPr>
            <w:tcW w:w="4144" w:type="dxa"/>
            <w:vAlign w:val="center"/>
          </w:tcPr>
          <w:p>
            <w:pPr>
              <w:pStyle w:val="70"/>
              <w:rPr>
                <w:rFonts w:cs="Times New Roman"/>
              </w:rPr>
            </w:pPr>
            <w:r>
              <w:rPr>
                <w:rFonts w:cs="Times New Roman"/>
              </w:rPr>
              <w:t>446（17.56）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44" w:type="dxa"/>
            <w:vAlign w:val="center"/>
          </w:tcPr>
          <w:p>
            <w:pPr>
              <w:pStyle w:val="70"/>
              <w:rPr>
                <w:rFonts w:cs="Times New Roman"/>
                <w:color w:val="000000"/>
                <w:sz w:val="20"/>
              </w:rPr>
            </w:pPr>
            <w:r>
              <w:rPr>
                <w:rFonts w:cs="Times New Roman"/>
              </w:rPr>
              <w:t>527～540（20</w:t>
            </w:r>
            <w:r>
              <w:rPr>
                <w:rFonts w:cs="Times New Roman"/>
                <w:vertAlign w:val="superscript"/>
              </w:rPr>
              <w:t>3</w:t>
            </w:r>
            <w:r>
              <w:rPr>
                <w:rFonts w:cs="Times New Roman"/>
              </w:rPr>
              <w:t>/</w:t>
            </w:r>
            <w:r>
              <w:rPr>
                <w:rFonts w:cs="Times New Roman"/>
                <w:sz w:val="12"/>
                <w:szCs w:val="12"/>
              </w:rPr>
              <w:t xml:space="preserve">4 </w:t>
            </w:r>
            <w:r>
              <w:rPr>
                <w:rFonts w:cs="Times New Roman"/>
              </w:rPr>
              <w:t>～21</w:t>
            </w:r>
            <w:r>
              <w:rPr>
                <w:rFonts w:cs="Times New Roman"/>
                <w:vertAlign w:val="superscript"/>
              </w:rPr>
              <w:t>1</w:t>
            </w:r>
            <w:r>
              <w:rPr>
                <w:rFonts w:cs="Times New Roman"/>
              </w:rPr>
              <w:t>/</w:t>
            </w:r>
            <w:r>
              <w:rPr>
                <w:rFonts w:cs="Times New Roman"/>
                <w:sz w:val="12"/>
                <w:szCs w:val="12"/>
              </w:rPr>
              <w:t>4</w:t>
            </w:r>
            <w:r>
              <w:rPr>
                <w:rFonts w:cs="Times New Roman"/>
              </w:rPr>
              <w:t>）</w:t>
            </w:r>
          </w:p>
        </w:tc>
        <w:tc>
          <w:tcPr>
            <w:tcW w:w="4144" w:type="dxa"/>
            <w:vAlign w:val="center"/>
          </w:tcPr>
          <w:p>
            <w:pPr>
              <w:pStyle w:val="70"/>
              <w:rPr>
                <w:rFonts w:cs="Times New Roman"/>
                <w:color w:val="000000"/>
                <w:sz w:val="20"/>
              </w:rPr>
            </w:pPr>
            <w:r>
              <w:rPr>
                <w:rFonts w:cs="Times New Roman"/>
              </w:rPr>
              <w:t>472（18.59）</w:t>
            </w:r>
          </w:p>
        </w:tc>
      </w:tr>
    </w:tbl>
    <w:p>
      <w:pPr>
        <w:pStyle w:val="41"/>
        <w:rPr>
          <w:rFonts w:cs="Times New Roman"/>
        </w:rPr>
      </w:pPr>
      <w:r>
        <w:rPr>
          <w:rFonts w:cs="Times New Roman"/>
        </w:rPr>
        <w:t>额定工作压力</w:t>
      </w:r>
    </w:p>
    <w:p>
      <w:pPr>
        <w:ind w:firstLine="420"/>
        <w:rPr>
          <w:rFonts w:cs="Times New Roman"/>
        </w:rPr>
      </w:pPr>
      <w:r>
        <w:rPr>
          <w:rFonts w:cs="Times New Roman"/>
        </w:rPr>
        <w:t>防磨套筒和抗磨补芯通常不设计为承压件。</w:t>
      </w:r>
    </w:p>
    <w:p>
      <w:pPr>
        <w:pStyle w:val="41"/>
        <w:rPr>
          <w:rFonts w:cs="Times New Roman"/>
        </w:rPr>
      </w:pPr>
      <w:r>
        <w:rPr>
          <w:rFonts w:cs="Times New Roman"/>
        </w:rPr>
        <w:t>锁合/防旋转</w:t>
      </w:r>
    </w:p>
    <w:p>
      <w:pPr>
        <w:ind w:firstLine="420"/>
        <w:rPr>
          <w:rFonts w:cs="Times New Roman"/>
        </w:rPr>
      </w:pPr>
      <w:r>
        <w:rPr>
          <w:rFonts w:cs="Times New Roman"/>
        </w:rPr>
        <w:t>抗磨补芯和防磨套筒应设计为锁合到位且按要求防旋转。制造商应书面规定锁合、回收和防旋转设计载荷。</w:t>
      </w:r>
    </w:p>
    <w:p>
      <w:pPr>
        <w:pStyle w:val="40"/>
      </w:pPr>
      <w:bookmarkStart w:id="178" w:name="_Toc95911909"/>
      <w:r>
        <w:t>材料</w:t>
      </w:r>
      <w:bookmarkEnd w:id="178"/>
    </w:p>
    <w:p>
      <w:pPr>
        <w:ind w:firstLine="420"/>
        <w:rPr>
          <w:rFonts w:cs="Times New Roman"/>
        </w:rPr>
      </w:pPr>
      <w:r>
        <w:rPr>
          <w:rFonts w:cs="Times New Roman"/>
        </w:rPr>
        <w:t>防磨套筒和抗磨补芯所用的材料应符合制造商的书面规范。</w:t>
      </w:r>
    </w:p>
    <w:p>
      <w:pPr>
        <w:pStyle w:val="40"/>
      </w:pPr>
      <w:r>
        <w:t>出厂验收试验</w:t>
      </w:r>
    </w:p>
    <w:p>
      <w:pPr>
        <w:ind w:firstLine="420"/>
        <w:rPr>
          <w:rFonts w:cs="Times New Roman"/>
        </w:rPr>
      </w:pPr>
      <w:r>
        <w:rPr>
          <w:rFonts w:hint="eastAsia" w:cs="Times New Roman"/>
        </w:rPr>
        <w:t>试验项点见6.1</w:t>
      </w:r>
      <w:r>
        <w:rPr>
          <w:rFonts w:cs="Times New Roman"/>
        </w:rPr>
        <w:t>。</w:t>
      </w:r>
    </w:p>
    <w:p>
      <w:pPr>
        <w:spacing w:after="200"/>
        <w:ind w:firstLine="0" w:firstLineChars="0"/>
        <w:rPr>
          <w:rFonts w:cs="Times New Roman" w:eastAsiaTheme="majorEastAsia"/>
          <w:b/>
          <w:color w:val="000000"/>
        </w:rPr>
      </w:pPr>
      <w:r>
        <w:rPr>
          <w:rFonts w:cs="Times New Roman"/>
        </w:rPr>
        <w:br w:type="page"/>
      </w:r>
    </w:p>
    <w:bookmarkEnd w:id="53"/>
    <w:bookmarkEnd w:id="54"/>
    <w:bookmarkEnd w:id="55"/>
    <w:bookmarkEnd w:id="56"/>
    <w:bookmarkEnd w:id="57"/>
    <w:bookmarkEnd w:id="58"/>
    <w:p>
      <w:pPr>
        <w:pStyle w:val="38"/>
        <w:rPr>
          <w:rFonts w:cs="Times New Roman"/>
          <w:w w:val="100"/>
        </w:rPr>
      </w:pPr>
      <w:bookmarkStart w:id="179" w:name="_Toc112341753"/>
      <w:r>
        <w:rPr>
          <w:rFonts w:cs="Times New Roman"/>
          <w:w w:val="100"/>
        </w:rPr>
        <w:t>工厂试验</w:t>
      </w:r>
      <w:bookmarkEnd w:id="179"/>
    </w:p>
    <w:p>
      <w:pPr>
        <w:pStyle w:val="39"/>
      </w:pPr>
      <w:bookmarkStart w:id="180" w:name="_Toc112341754"/>
      <w:r>
        <w:t>总则</w:t>
      </w:r>
      <w:bookmarkEnd w:id="180"/>
    </w:p>
    <w:p>
      <w:pPr>
        <w:ind w:firstLine="420"/>
        <w:rPr>
          <w:rFonts w:cs="Times New Roman"/>
        </w:rPr>
      </w:pPr>
      <w:r>
        <w:rPr>
          <w:rFonts w:cs="Times New Roman"/>
        </w:rPr>
        <w:t>本章节规定了水下井口装置典型部件工厂试验相关要求，可用于性能鉴定试验或出厂验收试验。</w:t>
      </w:r>
    </w:p>
    <w:p>
      <w:pPr>
        <w:ind w:firstLine="420"/>
        <w:rPr>
          <w:rFonts w:cs="Times New Roman"/>
          <w:highlight w:val="yellow"/>
        </w:rPr>
      </w:pPr>
      <w:r>
        <w:rPr>
          <w:rFonts w:cs="Times New Roman"/>
        </w:rPr>
        <w:t>水下井口装置试验应满足</w:t>
      </w:r>
      <w:r>
        <w:rPr>
          <w:rFonts w:cs="Times New Roman"/>
        </w:rPr>
        <w:fldChar w:fldCharType="begin"/>
      </w:r>
      <w:r>
        <w:rPr>
          <w:rFonts w:cs="Times New Roman"/>
        </w:rPr>
        <w:instrText xml:space="preserve"> REF _Ref112327210 \h </w:instrText>
      </w:r>
      <w:r>
        <w:rPr>
          <w:rFonts w:cs="Times New Roman"/>
        </w:rPr>
        <w:fldChar w:fldCharType="separate"/>
      </w:r>
      <w:r>
        <w:rPr>
          <w:rFonts w:hint="eastAsia"/>
        </w:rPr>
        <w:t xml:space="preserve">表 </w:t>
      </w:r>
      <w:r>
        <w:t>15</w:t>
      </w:r>
      <w:r>
        <w:rPr>
          <w:rFonts w:cs="Times New Roman"/>
        </w:rPr>
        <w:fldChar w:fldCharType="end"/>
      </w:r>
      <w:r>
        <w:rPr>
          <w:rFonts w:cs="Times New Roman"/>
        </w:rPr>
        <w:t xml:space="preserve"> 规定。</w:t>
      </w:r>
    </w:p>
    <w:p>
      <w:pPr>
        <w:pStyle w:val="69"/>
        <w:rPr>
          <w:rFonts w:cs="Times New Roman"/>
        </w:rPr>
      </w:pPr>
      <w:bookmarkStart w:id="181" w:name="_Ref112327210"/>
      <w:bookmarkStart w:id="182" w:name="_Ref112327209"/>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15</w:t>
      </w:r>
      <w:r>
        <w:fldChar w:fldCharType="end"/>
      </w:r>
      <w:bookmarkEnd w:id="181"/>
      <w:r>
        <w:t xml:space="preserve"> </w:t>
      </w:r>
      <w:r>
        <w:rPr>
          <w:rFonts w:cs="Times New Roman"/>
        </w:rPr>
        <w:t>水下井口装置试验项点要求</w:t>
      </w:r>
      <w:bookmarkEnd w:id="182"/>
    </w:p>
    <w:tbl>
      <w:tblPr>
        <w:tblStyle w:val="27"/>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903"/>
        <w:gridCol w:w="3254"/>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8" w:type="dxa"/>
          </w:tcPr>
          <w:p>
            <w:pPr>
              <w:ind w:firstLine="0" w:firstLineChars="0"/>
              <w:rPr>
                <w:rFonts w:cs="Times New Roman"/>
              </w:rPr>
            </w:pPr>
            <w:r>
              <w:rPr>
                <w:rFonts w:hint="eastAsia" w:cs="Times New Roman"/>
              </w:rPr>
              <w:t>序号</w:t>
            </w:r>
          </w:p>
        </w:tc>
        <w:tc>
          <w:tcPr>
            <w:tcW w:w="1903" w:type="dxa"/>
          </w:tcPr>
          <w:p>
            <w:pPr>
              <w:ind w:firstLine="0" w:firstLineChars="0"/>
              <w:rPr>
                <w:rFonts w:cs="Times New Roman"/>
              </w:rPr>
            </w:pPr>
            <w:r>
              <w:rPr>
                <w:rFonts w:cs="Times New Roman"/>
              </w:rPr>
              <w:t>部件名称</w:t>
            </w:r>
          </w:p>
        </w:tc>
        <w:tc>
          <w:tcPr>
            <w:tcW w:w="3254" w:type="dxa"/>
          </w:tcPr>
          <w:p>
            <w:pPr>
              <w:ind w:firstLine="420"/>
              <w:rPr>
                <w:rFonts w:cs="Times New Roman"/>
              </w:rPr>
            </w:pPr>
            <w:r>
              <w:rPr>
                <w:rFonts w:cs="Times New Roman"/>
              </w:rPr>
              <w:t>性能</w:t>
            </w:r>
            <w:r>
              <w:rPr>
                <w:rFonts w:hint="eastAsia" w:cs="Times New Roman"/>
              </w:rPr>
              <w:t>鉴定</w:t>
            </w:r>
            <w:r>
              <w:rPr>
                <w:rFonts w:cs="Times New Roman"/>
              </w:rPr>
              <w:t>试验</w:t>
            </w:r>
          </w:p>
        </w:tc>
        <w:tc>
          <w:tcPr>
            <w:tcW w:w="2699" w:type="dxa"/>
          </w:tcPr>
          <w:p>
            <w:pPr>
              <w:ind w:firstLine="420"/>
              <w:rPr>
                <w:rFonts w:cs="Times New Roman"/>
              </w:rPr>
            </w:pPr>
            <w:r>
              <w:rPr>
                <w:rFonts w:cs="Times New Roman"/>
              </w:rPr>
              <w:t>出厂验收试验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8" w:type="dxa"/>
          </w:tcPr>
          <w:p>
            <w:pPr>
              <w:ind w:firstLine="0" w:firstLineChars="0"/>
              <w:rPr>
                <w:rFonts w:cs="Times New Roman"/>
              </w:rPr>
            </w:pPr>
            <w:r>
              <w:rPr>
                <w:rFonts w:cs="Times New Roman"/>
              </w:rPr>
              <w:t>1</w:t>
            </w:r>
          </w:p>
        </w:tc>
        <w:tc>
          <w:tcPr>
            <w:tcW w:w="1903" w:type="dxa"/>
          </w:tcPr>
          <w:p>
            <w:pPr>
              <w:ind w:firstLine="0" w:firstLineChars="0"/>
              <w:rPr>
                <w:rFonts w:cs="Times New Roman"/>
              </w:rPr>
            </w:pPr>
            <w:r>
              <w:rPr>
                <w:rFonts w:cs="Times New Roman"/>
              </w:rPr>
              <w:t>临时导向基座</w:t>
            </w:r>
          </w:p>
        </w:tc>
        <w:tc>
          <w:tcPr>
            <w:tcW w:w="3254"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c>
          <w:tcPr>
            <w:tcW w:w="2699"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ind w:firstLine="0" w:firstLineChars="0"/>
              <w:rPr>
                <w:rFonts w:cs="Times New Roman"/>
              </w:rPr>
            </w:pPr>
            <w:r>
              <w:rPr>
                <w:rFonts w:cs="Times New Roman"/>
              </w:rPr>
              <w:t>2</w:t>
            </w:r>
          </w:p>
        </w:tc>
        <w:tc>
          <w:tcPr>
            <w:tcW w:w="1903" w:type="dxa"/>
          </w:tcPr>
          <w:p>
            <w:pPr>
              <w:ind w:firstLine="0" w:firstLineChars="0"/>
              <w:rPr>
                <w:rFonts w:cs="Times New Roman"/>
              </w:rPr>
            </w:pPr>
            <w:r>
              <w:rPr>
                <w:rFonts w:cs="Times New Roman"/>
              </w:rPr>
              <w:t>永久导向基座</w:t>
            </w:r>
          </w:p>
        </w:tc>
        <w:tc>
          <w:tcPr>
            <w:tcW w:w="3254"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c>
          <w:tcPr>
            <w:tcW w:w="2699"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ind w:firstLine="0" w:firstLineChars="0"/>
              <w:rPr>
                <w:rFonts w:cs="Times New Roman"/>
              </w:rPr>
            </w:pPr>
            <w:r>
              <w:rPr>
                <w:rFonts w:cs="Times New Roman"/>
              </w:rPr>
              <w:t>3</w:t>
            </w:r>
          </w:p>
        </w:tc>
        <w:tc>
          <w:tcPr>
            <w:tcW w:w="1903" w:type="dxa"/>
          </w:tcPr>
          <w:p>
            <w:pPr>
              <w:ind w:firstLine="0" w:firstLineChars="0"/>
              <w:rPr>
                <w:rFonts w:cs="Times New Roman"/>
              </w:rPr>
            </w:pPr>
            <w:r>
              <w:rPr>
                <w:rFonts w:cs="Times New Roman"/>
              </w:rPr>
              <w:t>导管头</w:t>
            </w:r>
          </w:p>
        </w:tc>
        <w:tc>
          <w:tcPr>
            <w:tcW w:w="3254"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p>
            <w:pPr>
              <w:ind w:firstLine="0" w:firstLineChars="0"/>
              <w:rPr>
                <w:rFonts w:cs="Times New Roman"/>
              </w:rPr>
            </w:pPr>
            <w:r>
              <w:rPr>
                <w:rFonts w:cs="Times New Roman"/>
              </w:rPr>
              <w:t>载荷试验（或工程分析）</w:t>
            </w:r>
          </w:p>
        </w:tc>
        <w:tc>
          <w:tcPr>
            <w:tcW w:w="2699"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p>
            <w:pPr>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ind w:firstLine="0" w:firstLineChars="0"/>
              <w:rPr>
                <w:rFonts w:cs="Times New Roman"/>
              </w:rPr>
            </w:pPr>
            <w:r>
              <w:rPr>
                <w:rFonts w:cs="Times New Roman"/>
              </w:rPr>
              <w:t>4</w:t>
            </w:r>
          </w:p>
        </w:tc>
        <w:tc>
          <w:tcPr>
            <w:tcW w:w="1903" w:type="dxa"/>
          </w:tcPr>
          <w:p>
            <w:pPr>
              <w:ind w:firstLine="0" w:firstLineChars="0"/>
              <w:rPr>
                <w:rFonts w:cs="Times New Roman"/>
              </w:rPr>
            </w:pPr>
            <w:r>
              <w:rPr>
                <w:rFonts w:cs="Times New Roman"/>
              </w:rPr>
              <w:t>高压井口头</w:t>
            </w:r>
          </w:p>
        </w:tc>
        <w:tc>
          <w:tcPr>
            <w:tcW w:w="3254" w:type="dxa"/>
          </w:tcPr>
          <w:p>
            <w:pPr>
              <w:ind w:firstLine="0" w:firstLineChars="0"/>
              <w:rPr>
                <w:rFonts w:cs="Times New Roman"/>
              </w:rPr>
            </w:pPr>
            <w:r>
              <w:rPr>
                <w:rFonts w:cs="Times New Roman"/>
              </w:rPr>
              <w:t>静水压试验（6.6）</w:t>
            </w:r>
          </w:p>
          <w:p>
            <w:pPr>
              <w:ind w:firstLine="0" w:firstLineChars="0"/>
              <w:rPr>
                <w:rFonts w:cs="Times New Roman"/>
              </w:rPr>
            </w:pPr>
            <w:r>
              <w:rPr>
                <w:rFonts w:cs="Times New Roman"/>
              </w:rPr>
              <w:t>压力循环试验（6.7）</w:t>
            </w:r>
          </w:p>
          <w:p>
            <w:pPr>
              <w:ind w:firstLine="0" w:firstLineChars="0"/>
              <w:rPr>
                <w:rFonts w:cs="Times New Roman"/>
              </w:rPr>
            </w:pPr>
            <w:r>
              <w:rPr>
                <w:rFonts w:cs="Times New Roman"/>
              </w:rPr>
              <w:t>气密试验（PSL3G，6.8）</w:t>
            </w:r>
          </w:p>
          <w:p>
            <w:pPr>
              <w:ind w:firstLine="0" w:firstLineChars="0"/>
              <w:rPr>
                <w:rFonts w:cs="Times New Roman"/>
              </w:rPr>
            </w:pPr>
            <w:r>
              <w:rPr>
                <w:rFonts w:cs="Times New Roman"/>
              </w:rPr>
              <w:t>载荷试验（或工程分析）</w:t>
            </w:r>
          </w:p>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c>
          <w:tcPr>
            <w:tcW w:w="2699"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p>
            <w:pPr>
              <w:ind w:firstLine="0" w:firstLineChars="0"/>
              <w:rPr>
                <w:rFonts w:cs="Times New Roman"/>
              </w:rPr>
            </w:pPr>
            <w:r>
              <w:rPr>
                <w:rFonts w:cs="Times New Roman"/>
              </w:rPr>
              <w:t>静水压试验（6.6）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ind w:firstLine="0" w:firstLineChars="0"/>
              <w:rPr>
                <w:rFonts w:cs="Times New Roman"/>
              </w:rPr>
            </w:pPr>
            <w:r>
              <w:rPr>
                <w:rFonts w:cs="Times New Roman"/>
              </w:rPr>
              <w:t>5</w:t>
            </w:r>
          </w:p>
        </w:tc>
        <w:tc>
          <w:tcPr>
            <w:tcW w:w="1903" w:type="dxa"/>
          </w:tcPr>
          <w:p>
            <w:pPr>
              <w:ind w:firstLine="0" w:firstLineChars="0"/>
              <w:rPr>
                <w:rFonts w:cs="Times New Roman"/>
              </w:rPr>
            </w:pPr>
            <w:r>
              <w:rPr>
                <w:rFonts w:cs="Times New Roman"/>
              </w:rPr>
              <w:t>套管悬挂器</w:t>
            </w:r>
          </w:p>
        </w:tc>
        <w:tc>
          <w:tcPr>
            <w:tcW w:w="3254" w:type="dxa"/>
          </w:tcPr>
          <w:p>
            <w:pPr>
              <w:ind w:firstLine="0" w:firstLineChars="0"/>
              <w:rPr>
                <w:rFonts w:cs="Times New Roman"/>
              </w:rPr>
            </w:pPr>
            <w:r>
              <w:rPr>
                <w:rFonts w:cs="Times New Roman"/>
              </w:rPr>
              <w:t>静水压试验（6.6）</w:t>
            </w:r>
          </w:p>
          <w:p>
            <w:pPr>
              <w:ind w:firstLine="0" w:firstLineChars="0"/>
              <w:rPr>
                <w:rFonts w:cs="Times New Roman"/>
              </w:rPr>
            </w:pPr>
            <w:r>
              <w:rPr>
                <w:rFonts w:cs="Times New Roman"/>
              </w:rPr>
              <w:t>压力循环试验（6.7）</w:t>
            </w:r>
          </w:p>
          <w:p>
            <w:pPr>
              <w:ind w:firstLine="0" w:firstLineChars="0"/>
              <w:rPr>
                <w:rFonts w:cs="Times New Roman"/>
              </w:rPr>
            </w:pPr>
            <w:r>
              <w:rPr>
                <w:rFonts w:cs="Times New Roman"/>
              </w:rPr>
              <w:t>气密试验（PSL3G，6.8）</w:t>
            </w:r>
          </w:p>
          <w:p>
            <w:pPr>
              <w:ind w:firstLine="0" w:firstLineChars="0"/>
              <w:rPr>
                <w:rFonts w:cs="Times New Roman"/>
              </w:rPr>
            </w:pPr>
            <w:r>
              <w:rPr>
                <w:rFonts w:cs="Times New Roman"/>
              </w:rPr>
              <w:t>载荷试验（或工程分析）</w:t>
            </w:r>
          </w:p>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c>
          <w:tcPr>
            <w:tcW w:w="2699"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8" w:type="dxa"/>
          </w:tcPr>
          <w:p>
            <w:pPr>
              <w:ind w:firstLine="0" w:firstLineChars="0"/>
              <w:rPr>
                <w:rFonts w:cs="Times New Roman"/>
              </w:rPr>
            </w:pPr>
            <w:r>
              <w:rPr>
                <w:rFonts w:cs="Times New Roman"/>
              </w:rPr>
              <w:t>6</w:t>
            </w:r>
          </w:p>
        </w:tc>
        <w:tc>
          <w:tcPr>
            <w:tcW w:w="1903" w:type="dxa"/>
          </w:tcPr>
          <w:p>
            <w:pPr>
              <w:ind w:firstLine="0" w:firstLineChars="0"/>
              <w:rPr>
                <w:rFonts w:cs="Times New Roman"/>
              </w:rPr>
            </w:pPr>
            <w:r>
              <w:rPr>
                <w:rFonts w:cs="Times New Roman"/>
              </w:rPr>
              <w:t>环空密封总成</w:t>
            </w:r>
          </w:p>
        </w:tc>
        <w:tc>
          <w:tcPr>
            <w:tcW w:w="3254" w:type="dxa"/>
          </w:tcPr>
          <w:p>
            <w:pPr>
              <w:ind w:firstLine="0" w:firstLineChars="0"/>
              <w:rPr>
                <w:rFonts w:cs="Times New Roman"/>
              </w:rPr>
            </w:pPr>
            <w:r>
              <w:rPr>
                <w:rFonts w:cs="Times New Roman"/>
              </w:rPr>
              <w:t>静水压试验（6.6）</w:t>
            </w:r>
          </w:p>
          <w:p>
            <w:pPr>
              <w:ind w:firstLine="0" w:firstLineChars="0"/>
              <w:rPr>
                <w:rFonts w:cs="Times New Roman"/>
              </w:rPr>
            </w:pPr>
            <w:r>
              <w:rPr>
                <w:rFonts w:cs="Times New Roman"/>
              </w:rPr>
              <w:t>压力循环试验（6.7）</w:t>
            </w:r>
          </w:p>
          <w:p>
            <w:pPr>
              <w:ind w:firstLine="0" w:firstLineChars="0"/>
              <w:rPr>
                <w:rFonts w:cs="Times New Roman"/>
              </w:rPr>
            </w:pPr>
            <w:r>
              <w:rPr>
                <w:rFonts w:cs="Times New Roman"/>
              </w:rPr>
              <w:t>气密试验（PSL3G，6.8）</w:t>
            </w:r>
          </w:p>
          <w:p>
            <w:pPr>
              <w:ind w:firstLine="0" w:firstLineChars="0"/>
              <w:rPr>
                <w:rFonts w:cs="Times New Roman"/>
              </w:rPr>
            </w:pPr>
            <w:r>
              <w:rPr>
                <w:rFonts w:cs="Times New Roman"/>
              </w:rPr>
              <w:t>温度及压力循环试验（6.9）</w:t>
            </w:r>
          </w:p>
          <w:p>
            <w:pPr>
              <w:ind w:firstLine="0" w:firstLineChars="0"/>
              <w:rPr>
                <w:rFonts w:cs="Times New Roman"/>
              </w:rPr>
            </w:pPr>
            <w:r>
              <w:rPr>
                <w:rFonts w:cs="Times New Roman"/>
              </w:rPr>
              <w:t>载荷试验（或工程分析）</w:t>
            </w:r>
          </w:p>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c>
          <w:tcPr>
            <w:tcW w:w="2699"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ind w:firstLine="0" w:firstLineChars="0"/>
              <w:rPr>
                <w:rFonts w:cs="Times New Roman"/>
              </w:rPr>
            </w:pPr>
            <w:r>
              <w:rPr>
                <w:rFonts w:cs="Times New Roman"/>
              </w:rPr>
              <w:t>7</w:t>
            </w:r>
          </w:p>
        </w:tc>
        <w:tc>
          <w:tcPr>
            <w:tcW w:w="1903" w:type="dxa"/>
          </w:tcPr>
          <w:p>
            <w:pPr>
              <w:ind w:firstLine="0" w:firstLineChars="0"/>
              <w:rPr>
                <w:rFonts w:cs="Times New Roman"/>
              </w:rPr>
            </w:pPr>
            <w:r>
              <w:rPr>
                <w:rFonts w:cs="Times New Roman"/>
              </w:rPr>
              <w:t>应急环空密封总成</w:t>
            </w:r>
          </w:p>
        </w:tc>
        <w:tc>
          <w:tcPr>
            <w:tcW w:w="3254" w:type="dxa"/>
          </w:tcPr>
          <w:p>
            <w:pPr>
              <w:ind w:firstLine="0" w:firstLineChars="0"/>
              <w:rPr>
                <w:rFonts w:cs="Times New Roman"/>
              </w:rPr>
            </w:pPr>
            <w:r>
              <w:rPr>
                <w:rFonts w:cs="Times New Roman"/>
              </w:rPr>
              <w:t>静水压试验（6.6）</w:t>
            </w:r>
          </w:p>
          <w:p>
            <w:pPr>
              <w:ind w:firstLine="0" w:firstLineChars="0"/>
              <w:rPr>
                <w:rFonts w:cs="Times New Roman"/>
              </w:rPr>
            </w:pPr>
            <w:r>
              <w:rPr>
                <w:rFonts w:cs="Times New Roman"/>
              </w:rPr>
              <w:t>压力循环试验（6.7）</w:t>
            </w:r>
          </w:p>
          <w:p>
            <w:pPr>
              <w:ind w:firstLine="0" w:firstLineChars="0"/>
              <w:rPr>
                <w:rFonts w:cs="Times New Roman"/>
              </w:rPr>
            </w:pPr>
            <w:r>
              <w:rPr>
                <w:rFonts w:cs="Times New Roman"/>
              </w:rPr>
              <w:t>气密试验（PSL3G，6.8）</w:t>
            </w:r>
          </w:p>
          <w:p>
            <w:pPr>
              <w:ind w:firstLine="0" w:firstLineChars="0"/>
              <w:rPr>
                <w:rFonts w:cs="Times New Roman"/>
              </w:rPr>
            </w:pPr>
            <w:r>
              <w:rPr>
                <w:rFonts w:cs="Times New Roman"/>
              </w:rPr>
              <w:t>温度及压力循环试验（6.9）</w:t>
            </w:r>
          </w:p>
          <w:p>
            <w:pPr>
              <w:ind w:firstLine="0" w:firstLineChars="0"/>
              <w:rPr>
                <w:rFonts w:cs="Times New Roman"/>
              </w:rPr>
            </w:pPr>
            <w:r>
              <w:rPr>
                <w:rFonts w:cs="Times New Roman"/>
              </w:rPr>
              <w:t>载荷试验（或工程分析）</w:t>
            </w:r>
          </w:p>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c>
          <w:tcPr>
            <w:tcW w:w="2699"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ind w:firstLine="0" w:firstLineChars="0"/>
              <w:rPr>
                <w:rFonts w:cs="Times New Roman"/>
              </w:rPr>
            </w:pPr>
            <w:r>
              <w:rPr>
                <w:rFonts w:cs="Times New Roman"/>
              </w:rPr>
              <w:t>8</w:t>
            </w:r>
          </w:p>
        </w:tc>
        <w:tc>
          <w:tcPr>
            <w:tcW w:w="1903" w:type="dxa"/>
          </w:tcPr>
          <w:p>
            <w:pPr>
              <w:ind w:firstLine="0" w:firstLineChars="0"/>
              <w:rPr>
                <w:rFonts w:cs="Times New Roman"/>
              </w:rPr>
            </w:pPr>
            <w:r>
              <w:rPr>
                <w:rFonts w:hint="eastAsia" w:cs="Times New Roman"/>
              </w:rPr>
              <w:t>套管悬挂器锁合衬套</w:t>
            </w:r>
          </w:p>
        </w:tc>
        <w:tc>
          <w:tcPr>
            <w:tcW w:w="3254" w:type="dxa"/>
          </w:tcPr>
          <w:p>
            <w:pPr>
              <w:ind w:firstLine="0" w:firstLineChars="0"/>
              <w:rPr>
                <w:rFonts w:cs="Times New Roman"/>
              </w:rPr>
            </w:pPr>
            <w:r>
              <w:rPr>
                <w:rFonts w:cs="Times New Roman"/>
              </w:rPr>
              <w:t>静水压试验（6.6）</w:t>
            </w:r>
          </w:p>
          <w:p>
            <w:pPr>
              <w:ind w:firstLine="0" w:firstLineChars="0"/>
              <w:rPr>
                <w:rFonts w:cs="Times New Roman"/>
              </w:rPr>
            </w:pPr>
            <w:r>
              <w:rPr>
                <w:rFonts w:cs="Times New Roman"/>
              </w:rPr>
              <w:t>压力循环试验（6.7）</w:t>
            </w:r>
          </w:p>
          <w:p>
            <w:pPr>
              <w:ind w:firstLine="0" w:firstLineChars="0"/>
              <w:rPr>
                <w:rFonts w:cs="Times New Roman"/>
              </w:rPr>
            </w:pPr>
            <w:r>
              <w:rPr>
                <w:rFonts w:cs="Times New Roman"/>
              </w:rPr>
              <w:t>气密试验（PSL3G，6.8）</w:t>
            </w:r>
          </w:p>
          <w:p>
            <w:pPr>
              <w:ind w:firstLine="0" w:firstLineChars="0"/>
              <w:rPr>
                <w:rFonts w:cs="Times New Roman"/>
              </w:rPr>
            </w:pPr>
            <w:r>
              <w:rPr>
                <w:rFonts w:cs="Times New Roman"/>
              </w:rPr>
              <w:t>载荷试验（或工程分析）</w:t>
            </w:r>
          </w:p>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c>
          <w:tcPr>
            <w:tcW w:w="2699"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p>
            <w:pPr>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ind w:firstLine="0" w:firstLineChars="0"/>
              <w:rPr>
                <w:rFonts w:cs="Times New Roman"/>
              </w:rPr>
            </w:pPr>
            <w:r>
              <w:rPr>
                <w:rFonts w:cs="Times New Roman"/>
              </w:rPr>
              <w:t>9</w:t>
            </w:r>
          </w:p>
        </w:tc>
        <w:tc>
          <w:tcPr>
            <w:tcW w:w="1903" w:type="dxa"/>
          </w:tcPr>
          <w:p>
            <w:pPr>
              <w:ind w:firstLine="0" w:firstLineChars="0"/>
              <w:rPr>
                <w:rFonts w:cs="Times New Roman"/>
              </w:rPr>
            </w:pPr>
            <w:r>
              <w:rPr>
                <w:rFonts w:cs="Times New Roman"/>
              </w:rPr>
              <w:t>防磨套筒</w:t>
            </w:r>
          </w:p>
        </w:tc>
        <w:tc>
          <w:tcPr>
            <w:tcW w:w="3254" w:type="dxa"/>
          </w:tcPr>
          <w:p>
            <w:pPr>
              <w:ind w:firstLine="0" w:firstLineChars="0"/>
              <w:rPr>
                <w:rFonts w:cs="Times New Roman"/>
              </w:rPr>
            </w:pPr>
            <w:r>
              <w:rPr>
                <w:rFonts w:cs="Times New Roman"/>
              </w:rPr>
              <w:t>载荷试验（或工程分析）</w:t>
            </w:r>
          </w:p>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c>
          <w:tcPr>
            <w:tcW w:w="2699"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p>
            <w:pPr>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ind w:firstLine="0" w:firstLineChars="0"/>
              <w:rPr>
                <w:rFonts w:cs="Times New Roman"/>
              </w:rPr>
            </w:pPr>
            <w:r>
              <w:rPr>
                <w:rFonts w:cs="Times New Roman"/>
              </w:rPr>
              <w:t>10</w:t>
            </w:r>
          </w:p>
        </w:tc>
        <w:tc>
          <w:tcPr>
            <w:tcW w:w="1903" w:type="dxa"/>
          </w:tcPr>
          <w:p>
            <w:pPr>
              <w:ind w:firstLine="0" w:firstLineChars="0"/>
              <w:rPr>
                <w:rFonts w:cs="Times New Roman"/>
              </w:rPr>
            </w:pPr>
            <w:r>
              <w:rPr>
                <w:rFonts w:cs="Times New Roman"/>
              </w:rPr>
              <w:t>抗磨补芯</w:t>
            </w:r>
          </w:p>
        </w:tc>
        <w:tc>
          <w:tcPr>
            <w:tcW w:w="3254" w:type="dxa"/>
          </w:tcPr>
          <w:p>
            <w:pPr>
              <w:ind w:firstLine="0" w:firstLineChars="0"/>
              <w:rPr>
                <w:rFonts w:cs="Times New Roman"/>
              </w:rPr>
            </w:pPr>
            <w:r>
              <w:rPr>
                <w:rFonts w:cs="Times New Roman"/>
              </w:rPr>
              <w:t>载荷试验（或工程分析）</w:t>
            </w:r>
          </w:p>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c>
          <w:tcPr>
            <w:tcW w:w="2699" w:type="dxa"/>
          </w:tcPr>
          <w:p>
            <w:pPr>
              <w:ind w:firstLine="0" w:firstLineChars="0"/>
              <w:rPr>
                <w:rFonts w:cs="Times New Roman"/>
              </w:rPr>
            </w:pPr>
            <w:r>
              <w:rPr>
                <w:rFonts w:cs="Times New Roman"/>
              </w:rPr>
              <w:t>通径试验（6.10）</w:t>
            </w:r>
          </w:p>
          <w:p>
            <w:pPr>
              <w:ind w:firstLine="0" w:firstLineChars="0"/>
              <w:rPr>
                <w:rFonts w:cs="Times New Roman"/>
              </w:rPr>
            </w:pPr>
            <w:r>
              <w:rPr>
                <w:rFonts w:cs="Times New Roman"/>
              </w:rPr>
              <w:t>层叠试验</w:t>
            </w:r>
          </w:p>
        </w:tc>
      </w:tr>
    </w:tbl>
    <w:p>
      <w:pPr>
        <w:ind w:firstLine="0" w:firstLineChars="0"/>
        <w:rPr>
          <w:rFonts w:cs="Times New Roman"/>
        </w:rPr>
      </w:pPr>
    </w:p>
    <w:p>
      <w:pPr>
        <w:pStyle w:val="39"/>
      </w:pPr>
      <w:bookmarkStart w:id="183" w:name="_Toc112341755"/>
      <w:r>
        <w:t>试验顺序</w:t>
      </w:r>
      <w:bookmarkEnd w:id="183"/>
    </w:p>
    <w:p>
      <w:pPr>
        <w:ind w:firstLine="420"/>
        <w:rPr>
          <w:rFonts w:cs="Times New Roman"/>
        </w:rPr>
      </w:pPr>
      <w:r>
        <w:rPr>
          <w:rFonts w:cs="Times New Roman"/>
        </w:rPr>
        <w:t>本节规定的试验顺序应按符合下列要求：</w:t>
      </w:r>
    </w:p>
    <w:p>
      <w:pPr>
        <w:ind w:firstLine="420"/>
        <w:rPr>
          <w:rFonts w:cs="Times New Roman"/>
        </w:rPr>
      </w:pPr>
      <w:r>
        <w:rPr>
          <w:rFonts w:cs="Times New Roman"/>
        </w:rPr>
        <w:t>a)</w:t>
      </w:r>
      <w:r>
        <w:rPr>
          <w:rFonts w:cs="Times New Roman"/>
        </w:rPr>
        <w:tab/>
      </w:r>
      <w:r>
        <w:rPr>
          <w:rFonts w:cs="Times New Roman"/>
        </w:rPr>
        <w:t>第一项压力试验应是本体静水压试验；</w:t>
      </w:r>
    </w:p>
    <w:p>
      <w:pPr>
        <w:ind w:firstLine="420"/>
        <w:rPr>
          <w:rFonts w:cs="Times New Roman"/>
        </w:rPr>
      </w:pPr>
      <w:r>
        <w:rPr>
          <w:rFonts w:cs="Times New Roman"/>
        </w:rPr>
        <w:t>b)</w:t>
      </w:r>
      <w:r>
        <w:rPr>
          <w:rFonts w:cs="Times New Roman"/>
        </w:rPr>
        <w:tab/>
      </w:r>
      <w:r>
        <w:rPr>
          <w:rFonts w:cs="Times New Roman"/>
        </w:rPr>
        <w:t>气压试验应在静水压试验通过之后且试验装置不重新拆装的情况下进行；</w:t>
      </w:r>
    </w:p>
    <w:p>
      <w:pPr>
        <w:ind w:firstLine="420"/>
        <w:rPr>
          <w:rFonts w:cs="Times New Roman"/>
        </w:rPr>
      </w:pPr>
      <w:r>
        <w:rPr>
          <w:rFonts w:cs="Times New Roman"/>
        </w:rPr>
        <w:t>c)</w:t>
      </w:r>
      <w:r>
        <w:rPr>
          <w:rFonts w:cs="Times New Roman"/>
        </w:rPr>
        <w:tab/>
      </w:r>
      <w:r>
        <w:rPr>
          <w:rFonts w:cs="Times New Roman"/>
        </w:rPr>
        <w:t>通径试验应在所有规定压力试验和功能试验完成之后进行。</w:t>
      </w:r>
    </w:p>
    <w:p>
      <w:pPr>
        <w:pStyle w:val="39"/>
      </w:pPr>
      <w:bookmarkStart w:id="184" w:name="_Toc112341756"/>
      <w:r>
        <w:t>泄漏检测</w:t>
      </w:r>
      <w:bookmarkEnd w:id="184"/>
    </w:p>
    <w:p>
      <w:pPr>
        <w:ind w:firstLine="420"/>
        <w:rPr>
          <w:rFonts w:cs="Times New Roman"/>
        </w:rPr>
      </w:pPr>
      <w:r>
        <w:rPr>
          <w:rFonts w:cs="Times New Roman"/>
        </w:rPr>
        <w:t>对于静水压或气体试验，可见泄漏应是在保压期间观察到的任；</w:t>
      </w:r>
      <w:r>
        <w:rPr>
          <w:rFonts w:hint="eastAsia" w:cs="Times New Roman"/>
        </w:rPr>
        <w:t>任何</w:t>
      </w:r>
      <w:r>
        <w:rPr>
          <w:rFonts w:cs="Times New Roman"/>
        </w:rPr>
        <w:t>试验流体释放，在升压或泄压期间释放的流体不应视为可见泄漏。</w:t>
      </w:r>
    </w:p>
    <w:p>
      <w:pPr>
        <w:ind w:firstLine="420"/>
        <w:rPr>
          <w:rFonts w:cs="Times New Roman"/>
        </w:rPr>
      </w:pPr>
      <w:r>
        <w:rPr>
          <w:rFonts w:cs="Times New Roman"/>
        </w:rPr>
        <w:t>可见泄漏应直接观察，包括通过窗口或视频设备。如果使用视频设备，应保持足够的分辨率和亮度，以确定可能发生的泄漏。</w:t>
      </w:r>
    </w:p>
    <w:p>
      <w:pPr>
        <w:pStyle w:val="39"/>
        <w:rPr>
          <w:color w:val="000000" w:themeColor="text1"/>
          <w14:textFill>
            <w14:solidFill>
              <w14:schemeClr w14:val="tx1"/>
            </w14:solidFill>
          </w14:textFill>
        </w:rPr>
      </w:pPr>
      <w:bookmarkStart w:id="185" w:name="_Toc112341757"/>
      <w:r>
        <w:rPr>
          <w:color w:val="000000" w:themeColor="text1"/>
          <w14:textFill>
            <w14:solidFill>
              <w14:schemeClr w14:val="tx1"/>
            </w14:solidFill>
          </w14:textFill>
        </w:rPr>
        <w:t>文件要求</w:t>
      </w:r>
      <w:bookmarkEnd w:id="185"/>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设计确认试验档案应包含或参照下列资料：</w:t>
      </w:r>
    </w:p>
    <w:p>
      <w:pPr>
        <w:numPr>
          <w:ilvl w:val="0"/>
          <w:numId w:val="34"/>
        </w:num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被试验产品的完整标志或信息；</w:t>
      </w:r>
    </w:p>
    <w:p>
      <w:pPr>
        <w:numPr>
          <w:ilvl w:val="0"/>
          <w:numId w:val="34"/>
        </w:num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 试验方案或程序；</w:t>
      </w:r>
    </w:p>
    <w:p>
      <w:pPr>
        <w:numPr>
          <w:ilvl w:val="0"/>
          <w:numId w:val="34"/>
        </w:num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 试验装置信息，校准及维护记录；</w:t>
      </w:r>
    </w:p>
    <w:p>
      <w:pPr>
        <w:numPr>
          <w:ilvl w:val="0"/>
          <w:numId w:val="34"/>
        </w:num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 试验装置、产品和密封件或试样尺寸及材料信息，宜标明测量温度和压力的位置；</w:t>
      </w:r>
    </w:p>
    <w:p>
      <w:pPr>
        <w:numPr>
          <w:ilvl w:val="0"/>
          <w:numId w:val="34"/>
        </w:num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 所有试验数据，包括试验完成日期、试验次数、试验介质、实际试验条件（压力、温度等）、可见泄漏或其他验收参数；</w:t>
      </w:r>
    </w:p>
    <w:p>
      <w:pPr>
        <w:numPr>
          <w:ilvl w:val="0"/>
          <w:numId w:val="34"/>
        </w:num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 试验结果和试验后的检查结论。</w:t>
      </w:r>
    </w:p>
    <w:p>
      <w:pPr>
        <w:pStyle w:val="39"/>
      </w:pPr>
      <w:bookmarkStart w:id="186" w:name="_Toc112341758"/>
      <w:r>
        <w:t>静水压试验</w:t>
      </w:r>
      <w:bookmarkEnd w:id="186"/>
    </w:p>
    <w:p>
      <w:pPr>
        <w:pStyle w:val="40"/>
      </w:pPr>
      <w:r>
        <w:t>一般要求</w:t>
      </w:r>
    </w:p>
    <w:p>
      <w:pPr>
        <w:ind w:firstLine="420"/>
        <w:rPr>
          <w:rFonts w:cs="Times New Roman"/>
        </w:rPr>
      </w:pPr>
      <w:r>
        <w:rPr>
          <w:rFonts w:cs="Times New Roman"/>
        </w:rPr>
        <w:t>所有静水压试验都应符合本节的要求。</w:t>
      </w:r>
    </w:p>
    <w:p>
      <w:pPr>
        <w:ind w:firstLine="420"/>
        <w:rPr>
          <w:rFonts w:cs="Times New Roman"/>
        </w:rPr>
      </w:pPr>
      <w:r>
        <w:rPr>
          <w:rFonts w:cs="Times New Roman"/>
        </w:rPr>
        <w:t>试验介质应为水或带添加剂的水。</w:t>
      </w:r>
    </w:p>
    <w:p>
      <w:pPr>
        <w:ind w:firstLine="420"/>
        <w:rPr>
          <w:rFonts w:cs="Times New Roman"/>
        </w:rPr>
      </w:pPr>
      <w:r>
        <w:rPr>
          <w:rFonts w:cs="Times New Roman"/>
        </w:rPr>
        <w:t>保压期应在试件和压力测量/记录装置已经与压力源隔离，以及本体外表面已经完全干燥以后开始。</w:t>
      </w:r>
    </w:p>
    <w:p>
      <w:pPr>
        <w:ind w:firstLine="420"/>
        <w:rPr>
          <w:rFonts w:cs="Times New Roman"/>
        </w:rPr>
      </w:pPr>
      <w:r>
        <w:rPr>
          <w:rFonts w:cs="Times New Roman"/>
        </w:rPr>
        <w:t>压力试验应在待测产品充填油脂之前进行。装配中允许使用润滑剂。</w:t>
      </w:r>
    </w:p>
    <w:p>
      <w:pPr>
        <w:ind w:firstLine="420"/>
        <w:rPr>
          <w:rFonts w:cs="Times New Roman"/>
        </w:rPr>
      </w:pPr>
      <w:r>
        <w:rPr>
          <w:rFonts w:cs="Times New Roman"/>
        </w:rPr>
        <w:t>压力试验应在待测产品涂漆前进行，但如果本体和其他承压件是由锻造材料制成的，则试验可在涂漆后完成。</w:t>
      </w:r>
    </w:p>
    <w:p>
      <w:pPr>
        <w:pStyle w:val="40"/>
      </w:pPr>
      <w:r>
        <w:t>试验压力</w:t>
      </w:r>
    </w:p>
    <w:p>
      <w:pPr>
        <w:ind w:firstLine="420"/>
        <w:rPr>
          <w:rFonts w:cs="Times New Roman"/>
        </w:rPr>
      </w:pPr>
      <w:r>
        <w:rPr>
          <w:rFonts w:cs="Times New Roman"/>
        </w:rPr>
        <w:t>所有静水压试验压力值应为1.5倍产品额定压力。</w:t>
      </w:r>
    </w:p>
    <w:p>
      <w:pPr>
        <w:pStyle w:val="40"/>
      </w:pPr>
      <w:r>
        <w:t>试验程序</w:t>
      </w:r>
    </w:p>
    <w:p>
      <w:pPr>
        <w:ind w:firstLine="420"/>
        <w:rPr>
          <w:rFonts w:cs="Times New Roman"/>
        </w:rPr>
      </w:pPr>
      <w:r>
        <w:rPr>
          <w:rFonts w:cs="Times New Roman"/>
        </w:rPr>
        <w:t>本体静水压试验应包括三部分：</w:t>
      </w:r>
    </w:p>
    <w:p>
      <w:pPr>
        <w:ind w:firstLine="420"/>
        <w:rPr>
          <w:rFonts w:cs="Times New Roman"/>
        </w:rPr>
      </w:pPr>
      <w:r>
        <w:rPr>
          <w:rFonts w:cs="Times New Roman"/>
        </w:rPr>
        <w:t>a)</w:t>
      </w:r>
      <w:r>
        <w:rPr>
          <w:rFonts w:cs="Times New Roman"/>
        </w:rPr>
        <w:tab/>
      </w:r>
      <w:r>
        <w:rPr>
          <w:rFonts w:cs="Times New Roman"/>
        </w:rPr>
        <w:t>待测装置加压至试验压力，初始保压期；</w:t>
      </w:r>
    </w:p>
    <w:p>
      <w:pPr>
        <w:ind w:firstLine="420"/>
        <w:rPr>
          <w:rFonts w:cs="Times New Roman"/>
        </w:rPr>
      </w:pPr>
      <w:r>
        <w:rPr>
          <w:rFonts w:cs="Times New Roman"/>
        </w:rPr>
        <w:t>b)</w:t>
      </w:r>
      <w:r>
        <w:rPr>
          <w:rFonts w:cs="Times New Roman"/>
        </w:rPr>
        <w:tab/>
      </w:r>
      <w:r>
        <w:rPr>
          <w:rFonts w:cs="Times New Roman"/>
        </w:rPr>
        <w:t>压力降至零；</w:t>
      </w:r>
    </w:p>
    <w:p>
      <w:pPr>
        <w:ind w:firstLine="420"/>
        <w:rPr>
          <w:rFonts w:cs="Times New Roman"/>
        </w:rPr>
      </w:pPr>
      <w:r>
        <w:rPr>
          <w:rFonts w:cs="Times New Roman"/>
        </w:rPr>
        <w:t>c)</w:t>
      </w:r>
      <w:r>
        <w:rPr>
          <w:rFonts w:cs="Times New Roman"/>
        </w:rPr>
        <w:tab/>
      </w:r>
      <w:r>
        <w:rPr>
          <w:rFonts w:cs="Times New Roman"/>
        </w:rPr>
        <w:t>待测装置加压至试验压力，第二次保压期。</w:t>
      </w:r>
    </w:p>
    <w:p>
      <w:pPr>
        <w:ind w:firstLine="420"/>
        <w:rPr>
          <w:rFonts w:cs="Times New Roman"/>
        </w:rPr>
      </w:pPr>
      <w:r>
        <w:rPr>
          <w:rFonts w:cs="Times New Roman"/>
        </w:rPr>
        <w:t>试验结束后，试件的压力应降至零。</w:t>
      </w:r>
    </w:p>
    <w:p>
      <w:pPr>
        <w:ind w:firstLine="420"/>
        <w:rPr>
          <w:rFonts w:cs="Times New Roman"/>
        </w:rPr>
      </w:pPr>
      <w:r>
        <w:rPr>
          <w:rFonts w:cs="Times New Roman"/>
        </w:rPr>
        <w:t>保压期的持续时间应按</w:t>
      </w:r>
      <w:r>
        <w:rPr>
          <w:rFonts w:cs="Times New Roman"/>
        </w:rPr>
        <w:fldChar w:fldCharType="begin"/>
      </w:r>
      <w:r>
        <w:rPr>
          <w:rFonts w:cs="Times New Roman"/>
        </w:rPr>
        <w:instrText xml:space="preserve"> REF _Ref112224961 \h  \* MERGEFORMAT </w:instrText>
      </w:r>
      <w:r>
        <w:rPr>
          <w:rFonts w:cs="Times New Roman"/>
        </w:rPr>
        <w:fldChar w:fldCharType="separate"/>
      </w:r>
      <w:r>
        <w:rPr>
          <w:rFonts w:cs="Times New Roman"/>
        </w:rPr>
        <w:t>表 16</w:t>
      </w:r>
      <w:r>
        <w:rPr>
          <w:rFonts w:cs="Times New Roman"/>
        </w:rPr>
        <w:fldChar w:fldCharType="end"/>
      </w:r>
      <w:r>
        <w:rPr>
          <w:rFonts w:cs="Times New Roman"/>
        </w:rPr>
        <w:t xml:space="preserve"> 的规定。</w:t>
      </w:r>
    </w:p>
    <w:p>
      <w:pPr>
        <w:pStyle w:val="69"/>
      </w:pPr>
      <w:bookmarkStart w:id="187" w:name="_Ref112224961"/>
      <w:r>
        <w:t xml:space="preserve">表 </w:t>
      </w:r>
      <w:r>
        <w:fldChar w:fldCharType="begin"/>
      </w:r>
      <w:r>
        <w:instrText xml:space="preserve"> SEQ 表 \* ARABIC </w:instrText>
      </w:r>
      <w:r>
        <w:fldChar w:fldCharType="separate"/>
      </w:r>
      <w:r>
        <w:t>16</w:t>
      </w:r>
      <w:r>
        <w:fldChar w:fldCharType="end"/>
      </w:r>
      <w:bookmarkEnd w:id="187"/>
      <w:r>
        <w:t xml:space="preserve"> 静水压试验的保压期</w:t>
      </w:r>
    </w:p>
    <w:tbl>
      <w:tblPr>
        <w:tblStyle w:val="27"/>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725"/>
        <w:gridCol w:w="1365"/>
        <w:gridCol w:w="1309"/>
        <w:gridCol w:w="1283"/>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971" w:type="dxa"/>
            <w:gridSpan w:val="2"/>
            <w:vAlign w:val="center"/>
          </w:tcPr>
          <w:p>
            <w:pPr>
              <w:pStyle w:val="70"/>
              <w:rPr>
                <w:rFonts w:cs="Times New Roman"/>
              </w:rPr>
            </w:pPr>
          </w:p>
        </w:tc>
        <w:tc>
          <w:tcPr>
            <w:tcW w:w="1365" w:type="dxa"/>
            <w:vAlign w:val="center"/>
          </w:tcPr>
          <w:p>
            <w:pPr>
              <w:pStyle w:val="70"/>
              <w:rPr>
                <w:rFonts w:cs="Times New Roman"/>
              </w:rPr>
            </w:pPr>
            <w:r>
              <w:rPr>
                <w:rFonts w:cs="Times New Roman"/>
              </w:rPr>
              <w:t>PSL1</w:t>
            </w:r>
          </w:p>
        </w:tc>
        <w:tc>
          <w:tcPr>
            <w:tcW w:w="1309" w:type="dxa"/>
            <w:vAlign w:val="center"/>
          </w:tcPr>
          <w:p>
            <w:pPr>
              <w:pStyle w:val="70"/>
              <w:rPr>
                <w:rFonts w:cs="Times New Roman"/>
              </w:rPr>
            </w:pPr>
            <w:r>
              <w:rPr>
                <w:rFonts w:cs="Times New Roman"/>
              </w:rPr>
              <w:t>PSL</w:t>
            </w:r>
            <w:r>
              <w:rPr>
                <w:rFonts w:cs="Times New Roman"/>
                <w:color w:val="000000"/>
                <w:spacing w:val="-18"/>
              </w:rPr>
              <w:t xml:space="preserve"> </w:t>
            </w:r>
            <w:r>
              <w:rPr>
                <w:rFonts w:cs="Times New Roman"/>
                <w:color w:val="1F1F1F"/>
              </w:rPr>
              <w:t>2</w:t>
            </w:r>
          </w:p>
        </w:tc>
        <w:tc>
          <w:tcPr>
            <w:tcW w:w="1283" w:type="dxa"/>
            <w:vAlign w:val="center"/>
          </w:tcPr>
          <w:p>
            <w:pPr>
              <w:pStyle w:val="70"/>
              <w:rPr>
                <w:rFonts w:cs="Times New Roman"/>
              </w:rPr>
            </w:pPr>
            <w:r>
              <w:rPr>
                <w:rFonts w:cs="Times New Roman"/>
              </w:rPr>
              <w:t>PSL</w:t>
            </w:r>
            <w:r>
              <w:rPr>
                <w:rFonts w:cs="Times New Roman"/>
                <w:color w:val="000000"/>
              </w:rPr>
              <w:t xml:space="preserve"> </w:t>
            </w:r>
            <w:r>
              <w:rPr>
                <w:rFonts w:cs="Times New Roman"/>
                <w:color w:val="1F1F1F"/>
              </w:rPr>
              <w:t>3</w:t>
            </w:r>
          </w:p>
        </w:tc>
        <w:tc>
          <w:tcPr>
            <w:tcW w:w="1551" w:type="dxa"/>
            <w:vAlign w:val="center"/>
          </w:tcPr>
          <w:p>
            <w:pPr>
              <w:pStyle w:val="70"/>
              <w:rPr>
                <w:rFonts w:cs="Times New Roman"/>
              </w:rPr>
            </w:pPr>
            <w:r>
              <w:rPr>
                <w:rFonts w:cs="Times New Roman"/>
              </w:rPr>
              <w:t>PSL3G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6" w:type="dxa"/>
            <w:vAlign w:val="center"/>
          </w:tcPr>
          <w:p>
            <w:pPr>
              <w:pStyle w:val="70"/>
              <w:rPr>
                <w:rFonts w:cs="Times New Roman"/>
              </w:rPr>
            </w:pPr>
            <w:r>
              <w:rPr>
                <w:rFonts w:cs="Times New Roman"/>
              </w:rPr>
              <w:t>本体静水压试验</w:t>
            </w:r>
          </w:p>
        </w:tc>
        <w:tc>
          <w:tcPr>
            <w:tcW w:w="1725" w:type="dxa"/>
            <w:vAlign w:val="center"/>
          </w:tcPr>
          <w:p>
            <w:pPr>
              <w:pStyle w:val="70"/>
              <w:rPr>
                <w:rFonts w:cs="Times New Roman"/>
              </w:rPr>
            </w:pPr>
            <w:r>
              <w:rPr>
                <w:rFonts w:cs="Times New Roman"/>
              </w:rPr>
              <w:t>初始保压期</w:t>
            </w:r>
          </w:p>
          <w:p>
            <w:pPr>
              <w:pStyle w:val="70"/>
              <w:rPr>
                <w:rFonts w:cs="Times New Roman"/>
              </w:rPr>
            </w:pPr>
            <w:r>
              <w:rPr>
                <w:rFonts w:cs="Times New Roman"/>
              </w:rPr>
              <w:t>第二次保压期</w:t>
            </w:r>
          </w:p>
        </w:tc>
        <w:tc>
          <w:tcPr>
            <w:tcW w:w="1365" w:type="dxa"/>
            <w:vAlign w:val="center"/>
          </w:tcPr>
          <w:p>
            <w:pPr>
              <w:pStyle w:val="70"/>
              <w:rPr>
                <w:rFonts w:cs="Times New Roman"/>
              </w:rPr>
            </w:pPr>
            <w:r>
              <w:rPr>
                <w:rFonts w:cs="Times New Roman"/>
              </w:rPr>
              <w:t>3</w:t>
            </w:r>
            <w:r>
              <w:rPr>
                <w:rFonts w:cs="Times New Roman"/>
                <w:color w:val="000000"/>
              </w:rPr>
              <w:t>min</w:t>
            </w:r>
          </w:p>
          <w:p>
            <w:pPr>
              <w:pStyle w:val="70"/>
              <w:rPr>
                <w:rFonts w:cs="Times New Roman"/>
              </w:rPr>
            </w:pPr>
            <w:r>
              <w:rPr>
                <w:rFonts w:cs="Times New Roman"/>
              </w:rPr>
              <w:t>3</w:t>
            </w:r>
            <w:r>
              <w:rPr>
                <w:rFonts w:cs="Times New Roman"/>
                <w:color w:val="000000"/>
              </w:rPr>
              <w:t>min</w:t>
            </w:r>
          </w:p>
        </w:tc>
        <w:tc>
          <w:tcPr>
            <w:tcW w:w="1309" w:type="dxa"/>
            <w:vAlign w:val="center"/>
          </w:tcPr>
          <w:p>
            <w:pPr>
              <w:pStyle w:val="70"/>
              <w:rPr>
                <w:rFonts w:cs="Times New Roman"/>
              </w:rPr>
            </w:pPr>
            <w:r>
              <w:rPr>
                <w:rFonts w:cs="Times New Roman"/>
              </w:rPr>
              <w:t>3</w:t>
            </w:r>
            <w:r>
              <w:rPr>
                <w:rFonts w:cs="Times New Roman"/>
                <w:color w:val="000000"/>
                <w:spacing w:val="-28"/>
              </w:rPr>
              <w:t>min</w:t>
            </w:r>
          </w:p>
          <w:p>
            <w:pPr>
              <w:pStyle w:val="70"/>
              <w:rPr>
                <w:rFonts w:cs="Times New Roman"/>
              </w:rPr>
            </w:pPr>
            <w:r>
              <w:rPr>
                <w:rFonts w:cs="Times New Roman"/>
              </w:rPr>
              <w:t>3</w:t>
            </w:r>
            <w:r>
              <w:rPr>
                <w:rFonts w:cs="Times New Roman"/>
                <w:color w:val="000000"/>
                <w:spacing w:val="-21"/>
              </w:rPr>
              <w:t>min</w:t>
            </w:r>
          </w:p>
        </w:tc>
        <w:tc>
          <w:tcPr>
            <w:tcW w:w="1283" w:type="dxa"/>
            <w:vAlign w:val="center"/>
          </w:tcPr>
          <w:p>
            <w:pPr>
              <w:pStyle w:val="70"/>
              <w:rPr>
                <w:rFonts w:cs="Times New Roman"/>
              </w:rPr>
            </w:pPr>
            <w:r>
              <w:rPr>
                <w:rFonts w:cs="Times New Roman"/>
              </w:rPr>
              <w:t>3</w:t>
            </w:r>
            <w:r>
              <w:rPr>
                <w:rFonts w:cs="Times New Roman"/>
                <w:color w:val="000000"/>
                <w:spacing w:val="-21"/>
              </w:rPr>
              <w:t>min</w:t>
            </w:r>
          </w:p>
          <w:p>
            <w:pPr>
              <w:pStyle w:val="70"/>
              <w:rPr>
                <w:rFonts w:cs="Times New Roman"/>
              </w:rPr>
            </w:pPr>
            <w:r>
              <w:rPr>
                <w:rFonts w:cs="Times New Roman"/>
                <w:color w:val="464646"/>
              </w:rPr>
              <w:t>15</w:t>
            </w:r>
            <w:r>
              <w:rPr>
                <w:rFonts w:cs="Times New Roman"/>
                <w:color w:val="000000"/>
                <w:spacing w:val="-28"/>
              </w:rPr>
              <w:t>min</w:t>
            </w:r>
          </w:p>
        </w:tc>
        <w:tc>
          <w:tcPr>
            <w:tcW w:w="1551" w:type="dxa"/>
            <w:vAlign w:val="center"/>
          </w:tcPr>
          <w:p>
            <w:pPr>
              <w:pStyle w:val="70"/>
              <w:rPr>
                <w:rFonts w:cs="Times New Roman"/>
              </w:rPr>
            </w:pPr>
            <w:r>
              <w:rPr>
                <w:rFonts w:cs="Times New Roman"/>
              </w:rPr>
              <w:t>3</w:t>
            </w:r>
            <w:r>
              <w:rPr>
                <w:rFonts w:cs="Times New Roman"/>
                <w:color w:val="000000"/>
              </w:rPr>
              <w:t>min</w:t>
            </w:r>
          </w:p>
          <w:p>
            <w:pPr>
              <w:pStyle w:val="70"/>
              <w:rPr>
                <w:rFonts w:cs="Times New Roman"/>
              </w:rPr>
            </w:pPr>
            <w:r>
              <w:rPr>
                <w:rFonts w:cs="Times New Roman"/>
              </w:rPr>
              <w:t>15</w:t>
            </w:r>
            <w:r>
              <w:rPr>
                <w:rFonts w:cs="Times New Roman"/>
                <w:color w:val="000000"/>
                <w:spacing w:val="-12"/>
              </w:rPr>
              <w:t>min</w:t>
            </w:r>
          </w:p>
        </w:tc>
      </w:tr>
    </w:tbl>
    <w:p>
      <w:pPr>
        <w:pStyle w:val="40"/>
      </w:pPr>
      <w:r>
        <w:t>验收准则</w:t>
      </w:r>
    </w:p>
    <w:p>
      <w:pPr>
        <w:ind w:firstLine="420"/>
        <w:rPr>
          <w:rFonts w:cs="Times New Roman"/>
        </w:rPr>
      </w:pPr>
      <w:r>
        <w:rPr>
          <w:rFonts w:cs="Times New Roman"/>
        </w:rPr>
        <w:t>a)</w:t>
      </w:r>
      <w:r>
        <w:rPr>
          <w:rFonts w:cs="Times New Roman"/>
        </w:rPr>
        <w:tab/>
      </w:r>
      <w:r>
        <w:rPr>
          <w:rFonts w:cs="Times New Roman"/>
        </w:rPr>
        <w:t>保压期间，装置不应有可见渗漏。</w:t>
      </w:r>
    </w:p>
    <w:p>
      <w:pPr>
        <w:ind w:firstLine="420"/>
        <w:rPr>
          <w:rFonts w:cs="Times New Roman"/>
        </w:rPr>
      </w:pPr>
      <w:r>
        <w:rPr>
          <w:rFonts w:cs="Times New Roman"/>
        </w:rPr>
        <w:t>b)</w:t>
      </w:r>
      <w:r>
        <w:rPr>
          <w:rFonts w:cs="Times New Roman"/>
        </w:rPr>
        <w:tab/>
      </w:r>
      <w:r>
        <w:rPr>
          <w:rFonts w:cs="Times New Roman"/>
        </w:rPr>
        <w:t>保压期间，每小时压降不得超过3%或3.45MPa(500psi)，取其较小者。初始试验压力不得大于规定的试验压力的5%。在整个保压期，监测压力不应低于规定的压力。</w:t>
      </w:r>
    </w:p>
    <w:p>
      <w:pPr>
        <w:ind w:firstLine="420"/>
        <w:rPr>
          <w:rFonts w:cs="Times New Roman"/>
        </w:rPr>
      </w:pPr>
      <w:r>
        <w:rPr>
          <w:rFonts w:cs="Times New Roman"/>
        </w:rPr>
        <w:t>c)  压力试验结束后，试验产品不应有不符合其他性能要求的永久变形。管柱型部件最小内径不应小于设计通径。</w:t>
      </w:r>
    </w:p>
    <w:p>
      <w:pPr>
        <w:pStyle w:val="39"/>
      </w:pPr>
      <w:bookmarkStart w:id="188" w:name="_Toc112341759"/>
      <w:r>
        <w:t>压力循环试验</w:t>
      </w:r>
      <w:bookmarkEnd w:id="188"/>
    </w:p>
    <w:p>
      <w:pPr>
        <w:pStyle w:val="40"/>
      </w:pPr>
      <w:r>
        <w:t>一般要求</w:t>
      </w:r>
    </w:p>
    <w:p>
      <w:pPr>
        <w:ind w:firstLine="420"/>
        <w:rPr>
          <w:rFonts w:cs="Times New Roman"/>
        </w:rPr>
      </w:pPr>
      <w:r>
        <w:rPr>
          <w:rFonts w:cs="Times New Roman"/>
        </w:rPr>
        <w:t>试验介质应为水或带添加剂的水。</w:t>
      </w:r>
    </w:p>
    <w:p>
      <w:pPr>
        <w:ind w:firstLine="420"/>
        <w:rPr>
          <w:rFonts w:cs="Times New Roman"/>
        </w:rPr>
      </w:pPr>
      <w:r>
        <w:rPr>
          <w:rFonts w:hint="eastAsia" w:cs="Times New Roman"/>
        </w:rPr>
        <w:t>压力循环试验</w:t>
      </w:r>
      <w:r>
        <w:rPr>
          <w:rFonts w:cs="Times New Roman"/>
        </w:rPr>
        <w:t>应在静水压试验通过以后再进行。</w:t>
      </w:r>
    </w:p>
    <w:p>
      <w:pPr>
        <w:ind w:firstLine="420"/>
        <w:rPr>
          <w:rFonts w:cs="Times New Roman"/>
        </w:rPr>
      </w:pPr>
      <w:r>
        <w:rPr>
          <w:rFonts w:cs="Times New Roman"/>
        </w:rPr>
        <w:t>压力</w:t>
      </w:r>
      <w:r>
        <w:rPr>
          <w:rFonts w:hint="eastAsia" w:cs="Times New Roman"/>
        </w:rPr>
        <w:t>循环</w:t>
      </w:r>
      <w:r>
        <w:rPr>
          <w:rFonts w:cs="Times New Roman"/>
        </w:rPr>
        <w:t>试验应在待测产品充填油脂之前进行。装配中允许使用润滑剂。</w:t>
      </w:r>
    </w:p>
    <w:p>
      <w:pPr>
        <w:ind w:firstLine="420"/>
        <w:rPr>
          <w:rFonts w:cs="Times New Roman"/>
        </w:rPr>
      </w:pPr>
      <w:r>
        <w:rPr>
          <w:rFonts w:cs="Times New Roman"/>
        </w:rPr>
        <w:t>压力</w:t>
      </w:r>
      <w:r>
        <w:rPr>
          <w:rFonts w:hint="eastAsia" w:cs="Times New Roman"/>
        </w:rPr>
        <w:t>循环</w:t>
      </w:r>
      <w:r>
        <w:rPr>
          <w:rFonts w:cs="Times New Roman"/>
        </w:rPr>
        <w:t>试验应在待测产品涂漆前进行，但如果本体和其他承压件是由锻造材料制成的，则试验可在涂漆后完成。</w:t>
      </w:r>
    </w:p>
    <w:p>
      <w:pPr>
        <w:pStyle w:val="40"/>
      </w:pPr>
      <w:r>
        <w:t>试验压力</w:t>
      </w:r>
    </w:p>
    <w:p>
      <w:pPr>
        <w:ind w:firstLine="420"/>
        <w:rPr>
          <w:rFonts w:cs="Times New Roman"/>
        </w:rPr>
      </w:pPr>
      <w:r>
        <w:rPr>
          <w:rFonts w:cs="Times New Roman"/>
        </w:rPr>
        <w:t>压力循环试验应包括两大部分：</w:t>
      </w:r>
    </w:p>
    <w:p>
      <w:pPr>
        <w:ind w:firstLine="420"/>
        <w:rPr>
          <w:rFonts w:cs="Times New Roman"/>
        </w:rPr>
      </w:pPr>
      <w:r>
        <w:rPr>
          <w:rFonts w:cs="Times New Roman"/>
        </w:rPr>
        <w:t>静水压试验环节，试验压力应为1.5倍产品额定工作压力；</w:t>
      </w:r>
    </w:p>
    <w:p>
      <w:pPr>
        <w:ind w:firstLine="420"/>
        <w:rPr>
          <w:rFonts w:cs="Times New Roman"/>
        </w:rPr>
      </w:pPr>
      <w:r>
        <w:rPr>
          <w:rFonts w:cs="Times New Roman"/>
        </w:rPr>
        <w:t>压力循环试验环节，试验压力应为产品额定工作压力。</w:t>
      </w:r>
    </w:p>
    <w:p>
      <w:pPr>
        <w:pStyle w:val="40"/>
      </w:pPr>
      <w:r>
        <w:t>试验程序</w:t>
      </w:r>
    </w:p>
    <w:p>
      <w:pPr>
        <w:ind w:firstLine="420"/>
        <w:rPr>
          <w:rFonts w:cs="Times New Roman"/>
        </w:rPr>
      </w:pPr>
      <w:r>
        <w:rPr>
          <w:rFonts w:cs="Times New Roman"/>
        </w:rPr>
        <w:t>压力循环试验应包括三个步骤：</w:t>
      </w:r>
    </w:p>
    <w:p>
      <w:pPr>
        <w:ind w:firstLine="420"/>
        <w:rPr>
          <w:rFonts w:cs="Times New Roman"/>
        </w:rPr>
      </w:pPr>
      <w:r>
        <w:rPr>
          <w:rFonts w:cs="Times New Roman"/>
        </w:rPr>
        <w:t>a)</w:t>
      </w:r>
      <w:r>
        <w:rPr>
          <w:rFonts w:cs="Times New Roman"/>
        </w:rPr>
        <w:tab/>
      </w:r>
      <w:r>
        <w:rPr>
          <w:rFonts w:cs="Times New Roman"/>
        </w:rPr>
        <w:t xml:space="preserve"> 一次静水压试验（6.6）；</w:t>
      </w:r>
    </w:p>
    <w:p>
      <w:pPr>
        <w:ind w:firstLine="420"/>
        <w:rPr>
          <w:rFonts w:cs="Times New Roman"/>
        </w:rPr>
      </w:pPr>
      <w:r>
        <w:rPr>
          <w:rFonts w:cs="Times New Roman"/>
        </w:rPr>
        <w:t>b）压力循环试验，待测装置加压至额定工作压力，然后减压至试验压力的1%或以下，如此循环3次，每个压力循环无需保压；</w:t>
      </w:r>
    </w:p>
    <w:p>
      <w:pPr>
        <w:ind w:firstLine="420"/>
        <w:rPr>
          <w:rFonts w:cs="Times New Roman"/>
        </w:rPr>
      </w:pPr>
      <w:r>
        <w:rPr>
          <w:rFonts w:cs="Times New Roman"/>
        </w:rPr>
        <w:t>c)</w:t>
      </w:r>
      <w:r>
        <w:rPr>
          <w:rFonts w:cs="Times New Roman"/>
        </w:rPr>
        <w:tab/>
      </w:r>
      <w:r>
        <w:rPr>
          <w:rFonts w:cs="Times New Roman"/>
        </w:rPr>
        <w:t xml:space="preserve"> 一次静水压试验（6.6）。</w:t>
      </w:r>
    </w:p>
    <w:p>
      <w:pPr>
        <w:pStyle w:val="40"/>
      </w:pPr>
      <w:r>
        <w:t>验收准则</w:t>
      </w:r>
    </w:p>
    <w:p>
      <w:pPr>
        <w:ind w:firstLine="420"/>
        <w:rPr>
          <w:rFonts w:cs="Times New Roman"/>
        </w:rPr>
      </w:pPr>
      <w:r>
        <w:rPr>
          <w:rFonts w:cs="Times New Roman"/>
        </w:rPr>
        <w:t>a)</w:t>
      </w:r>
      <w:r>
        <w:rPr>
          <w:rFonts w:cs="Times New Roman"/>
        </w:rPr>
        <w:tab/>
      </w:r>
      <w:r>
        <w:rPr>
          <w:rFonts w:cs="Times New Roman"/>
        </w:rPr>
        <w:t>保压及压力循环期间，装置不应有可见的渗漏。</w:t>
      </w:r>
    </w:p>
    <w:p>
      <w:pPr>
        <w:ind w:firstLine="420"/>
        <w:rPr>
          <w:rFonts w:cs="Times New Roman"/>
        </w:rPr>
      </w:pPr>
      <w:r>
        <w:rPr>
          <w:rFonts w:cs="Times New Roman"/>
        </w:rPr>
        <w:t>b)</w:t>
      </w:r>
      <w:r>
        <w:rPr>
          <w:rFonts w:cs="Times New Roman"/>
        </w:rPr>
        <w:tab/>
      </w:r>
      <w:r>
        <w:rPr>
          <w:rFonts w:cs="Times New Roman"/>
        </w:rPr>
        <w:t>保压期间，每小时压降不得超过3%或3.45MPa(500psi)，取其较小者。初始试验压力不得大于规定的试验压力的5%。在整个保压期，监测压力不应低于规定的压力。</w:t>
      </w:r>
    </w:p>
    <w:p>
      <w:pPr>
        <w:ind w:firstLine="420"/>
        <w:rPr>
          <w:rFonts w:cs="Times New Roman"/>
        </w:rPr>
      </w:pPr>
      <w:r>
        <w:rPr>
          <w:rFonts w:cs="Times New Roman"/>
        </w:rPr>
        <w:t>c) 压力试验结束后，试验产品不应有不符合其他性能要求的永久变形。管柱型部件最小内径不应小于设计通径。</w:t>
      </w:r>
    </w:p>
    <w:p>
      <w:pPr>
        <w:pStyle w:val="39"/>
      </w:pPr>
      <w:bookmarkStart w:id="189" w:name="_Toc112341760"/>
      <w:r>
        <w:t>气压试验</w:t>
      </w:r>
      <w:bookmarkEnd w:id="189"/>
    </w:p>
    <w:p>
      <w:pPr>
        <w:pStyle w:val="40"/>
      </w:pPr>
      <w:r>
        <w:t>一般要求</w:t>
      </w:r>
    </w:p>
    <w:p>
      <w:pPr>
        <w:ind w:firstLine="420"/>
        <w:rPr>
          <w:rFonts w:cs="Times New Roman"/>
        </w:rPr>
      </w:pPr>
      <w:r>
        <w:rPr>
          <w:rFonts w:cs="Times New Roman"/>
        </w:rPr>
        <w:t>所有的气压试验应符合本章节的要求。</w:t>
      </w:r>
    </w:p>
    <w:p>
      <w:pPr>
        <w:ind w:firstLine="420"/>
        <w:rPr>
          <w:rFonts w:cs="Times New Roman"/>
        </w:rPr>
      </w:pPr>
      <w:r>
        <w:rPr>
          <w:rFonts w:cs="Times New Roman"/>
        </w:rPr>
        <w:t>本体气压试验要求不适用于 PSL1 和 PSL2级产品。</w:t>
      </w:r>
    </w:p>
    <w:p>
      <w:pPr>
        <w:ind w:firstLine="420"/>
        <w:rPr>
          <w:rFonts w:cs="Times New Roman"/>
        </w:rPr>
      </w:pPr>
      <w:r>
        <w:rPr>
          <w:rFonts w:cs="Times New Roman"/>
        </w:rPr>
        <w:t>试验介质应是空气、氮气或在试验压力下保持在气相中的气体混合物。</w:t>
      </w:r>
    </w:p>
    <w:p>
      <w:pPr>
        <w:ind w:firstLine="420"/>
        <w:rPr>
          <w:rFonts w:cs="Times New Roman"/>
        </w:rPr>
      </w:pPr>
      <w:r>
        <w:rPr>
          <w:rFonts w:cs="Times New Roman"/>
        </w:rPr>
        <w:t>气压试验应在环境温度下且实验装置（或所有潜在泄漏点/排气孔）完全浸没在水中进行。</w:t>
      </w:r>
    </w:p>
    <w:p>
      <w:pPr>
        <w:ind w:firstLine="420"/>
        <w:rPr>
          <w:rFonts w:cs="Times New Roman"/>
        </w:rPr>
      </w:pPr>
      <w:r>
        <w:rPr>
          <w:rFonts w:cs="Times New Roman"/>
        </w:rPr>
        <w:t>保压开始前，试件和压力测量/记录</w:t>
      </w:r>
      <w:r>
        <w:rPr>
          <w:rFonts w:hint="eastAsia" w:cs="Times New Roman"/>
        </w:rPr>
        <w:t>仪器</w:t>
      </w:r>
      <w:r>
        <w:rPr>
          <w:rFonts w:cs="Times New Roman"/>
        </w:rPr>
        <w:t>应与压力源完成隔离。</w:t>
      </w:r>
    </w:p>
    <w:p>
      <w:pPr>
        <w:ind w:firstLine="420"/>
        <w:rPr>
          <w:rFonts w:cs="Times New Roman"/>
        </w:rPr>
      </w:pPr>
      <w:r>
        <w:rPr>
          <w:rFonts w:cs="Times New Roman"/>
        </w:rPr>
        <w:t>压力试验应在待测产品充填油脂之前进行。装配中允许使用润滑剂。</w:t>
      </w:r>
    </w:p>
    <w:p>
      <w:pPr>
        <w:ind w:firstLine="420"/>
        <w:rPr>
          <w:rFonts w:cs="Times New Roman"/>
        </w:rPr>
      </w:pPr>
      <w:r>
        <w:rPr>
          <w:rFonts w:cs="Times New Roman"/>
        </w:rPr>
        <w:t>压力试验应在待测产品涂漆前进行，但如果本体和其他承压件是由锻造材料制成的，则试验可在涂漆后完成。</w:t>
      </w:r>
    </w:p>
    <w:p>
      <w:pPr>
        <w:pStyle w:val="40"/>
      </w:pPr>
      <w:r>
        <w:t>试验压力</w:t>
      </w:r>
    </w:p>
    <w:p>
      <w:pPr>
        <w:ind w:firstLine="420"/>
        <w:rPr>
          <w:rFonts w:cs="Times New Roman"/>
        </w:rPr>
      </w:pPr>
      <w:r>
        <w:rPr>
          <w:rFonts w:cs="Times New Roman"/>
        </w:rPr>
        <w:t>所有气压试验压力值应为产品额定压力。</w:t>
      </w:r>
    </w:p>
    <w:p>
      <w:pPr>
        <w:pStyle w:val="40"/>
      </w:pPr>
      <w:r>
        <w:t>试验程序</w:t>
      </w:r>
    </w:p>
    <w:p>
      <w:pPr>
        <w:ind w:firstLine="420"/>
        <w:rPr>
          <w:rFonts w:cs="Times New Roman"/>
        </w:rPr>
      </w:pPr>
      <w:r>
        <w:rPr>
          <w:rFonts w:cs="Times New Roman"/>
        </w:rPr>
        <w:t>气压试验应包括一次不少于 15min 的保压期。</w:t>
      </w:r>
    </w:p>
    <w:p>
      <w:pPr>
        <w:pStyle w:val="40"/>
      </w:pPr>
      <w:r>
        <w:t>验收准则</w:t>
      </w:r>
    </w:p>
    <w:p>
      <w:pPr>
        <w:ind w:firstLine="420"/>
        <w:rPr>
          <w:rFonts w:cs="Times New Roman"/>
        </w:rPr>
      </w:pPr>
      <w:r>
        <w:rPr>
          <w:rFonts w:cs="Times New Roman"/>
        </w:rPr>
        <w:t>a)</w:t>
      </w:r>
      <w:r>
        <w:rPr>
          <w:rFonts w:cs="Times New Roman"/>
        </w:rPr>
        <w:tab/>
      </w:r>
      <w:r>
        <w:rPr>
          <w:rFonts w:cs="Times New Roman"/>
        </w:rPr>
        <w:t>保压期间，水中应无任何可见泄露（气泡）。。</w:t>
      </w:r>
    </w:p>
    <w:p>
      <w:pPr>
        <w:ind w:firstLine="420"/>
        <w:rPr>
          <w:rFonts w:cs="Times New Roman"/>
        </w:rPr>
      </w:pPr>
      <w:r>
        <w:rPr>
          <w:rFonts w:cs="Times New Roman"/>
        </w:rPr>
        <w:t>b)</w:t>
      </w:r>
      <w:r>
        <w:rPr>
          <w:rFonts w:cs="Times New Roman"/>
        </w:rPr>
        <w:tab/>
      </w:r>
      <w:r>
        <w:rPr>
          <w:rFonts w:cs="Times New Roman"/>
        </w:rPr>
        <w:t>保压期间，每小时压降不得超过3%或3.45MPa(500psi)，取其较小者。初始试验压力不得大于规定的试验压力的5%。在整个保压期，监测压力不应低于规定的压力。</w:t>
      </w:r>
    </w:p>
    <w:p>
      <w:pPr>
        <w:ind w:firstLine="420"/>
        <w:rPr>
          <w:rFonts w:cs="Times New Roman"/>
        </w:rPr>
      </w:pPr>
      <w:r>
        <w:rPr>
          <w:rFonts w:cs="Times New Roman"/>
        </w:rPr>
        <w:t>c)  压力试验结束后，试验产品不应有不符合其他性能要求的永久变形。管柱型产品最小内径不应小于设计通径。</w:t>
      </w:r>
    </w:p>
    <w:p>
      <w:pPr>
        <w:pStyle w:val="39"/>
      </w:pPr>
      <w:bookmarkStart w:id="190" w:name="_Toc112341761"/>
      <w:r>
        <w:t>压力温度循环试验</w:t>
      </w:r>
      <w:bookmarkEnd w:id="190"/>
    </w:p>
    <w:p>
      <w:pPr>
        <w:pStyle w:val="40"/>
      </w:pPr>
      <w:r>
        <w:t>一般要求</w:t>
      </w:r>
    </w:p>
    <w:p>
      <w:pPr>
        <w:ind w:firstLine="420"/>
        <w:rPr>
          <w:rFonts w:cs="Times New Roman"/>
        </w:rPr>
      </w:pPr>
      <w:r>
        <w:rPr>
          <w:rFonts w:cs="Times New Roman"/>
        </w:rPr>
        <w:t>本试验程序主要用于PR2级产品试验。</w:t>
      </w:r>
    </w:p>
    <w:p>
      <w:pPr>
        <w:ind w:firstLine="420"/>
        <w:rPr>
          <w:rFonts w:cs="Times New Roman"/>
        </w:rPr>
      </w:pPr>
      <w:r>
        <w:rPr>
          <w:rFonts w:cs="Times New Roman"/>
        </w:rPr>
        <w:t>试验介质应是空气、氮气或在试验压力下保持在气相中的气体混合物。</w:t>
      </w:r>
    </w:p>
    <w:p>
      <w:pPr>
        <w:ind w:firstLine="420"/>
        <w:rPr>
          <w:rFonts w:cs="Times New Roman"/>
        </w:rPr>
      </w:pPr>
      <w:r>
        <w:rPr>
          <w:rFonts w:cs="Times New Roman"/>
        </w:rPr>
        <w:t>温度测量设备应安装于试验装置的13mm（0.5in）通孔内，与试验装置接触且距封闭腔体流体润湿表面距离不超过13mm（0.5in）。</w:t>
      </w:r>
    </w:p>
    <w:p>
      <w:pPr>
        <w:ind w:firstLine="420"/>
        <w:rPr>
          <w:rFonts w:cs="Times New Roman"/>
        </w:rPr>
      </w:pPr>
      <w:r>
        <w:rPr>
          <w:rFonts w:cs="Times New Roman"/>
        </w:rPr>
        <w:t>试验环境温度范围应介于4</w:t>
      </w:r>
      <w:r>
        <w:rPr>
          <w:rFonts w:hint="eastAsia" w:ascii="宋体" w:hAnsi="宋体" w:cs="宋体"/>
        </w:rPr>
        <w:t>℃</w:t>
      </w:r>
      <w:r>
        <w:rPr>
          <w:rFonts w:cs="Times New Roman"/>
        </w:rPr>
        <w:t>-50</w:t>
      </w:r>
      <w:r>
        <w:rPr>
          <w:rFonts w:hint="eastAsia" w:ascii="宋体" w:hAnsi="宋体" w:cs="宋体"/>
        </w:rPr>
        <w:t>℃</w:t>
      </w:r>
      <w:r>
        <w:rPr>
          <w:rFonts w:cs="Times New Roman"/>
        </w:rPr>
        <w:t>（40</w:t>
      </w:r>
      <w:r>
        <w:rPr>
          <w:rFonts w:hint="eastAsia" w:ascii="宋体" w:hAnsi="宋体" w:cs="宋体"/>
        </w:rPr>
        <w:t>℉</w:t>
      </w:r>
      <w:r>
        <w:rPr>
          <w:rFonts w:cs="Times New Roman"/>
        </w:rPr>
        <w:t>-120</w:t>
      </w:r>
      <w:r>
        <w:rPr>
          <w:rFonts w:hint="eastAsia" w:ascii="宋体" w:hAnsi="宋体" w:cs="宋体"/>
        </w:rPr>
        <w:t>℉</w:t>
      </w:r>
      <w:r>
        <w:rPr>
          <w:rFonts w:cs="Times New Roman"/>
        </w:rPr>
        <w:t>）。</w:t>
      </w:r>
    </w:p>
    <w:p>
      <w:pPr>
        <w:ind w:firstLine="420"/>
        <w:rPr>
          <w:rFonts w:cs="Times New Roman"/>
        </w:rPr>
      </w:pPr>
      <w:r>
        <w:rPr>
          <w:rFonts w:cs="Times New Roman"/>
        </w:rPr>
        <w:t>如适用，设计确认试验应在全尺寸产品，或代表被验证最终产品的相关元件所规定尺寸的装置上进行。</w:t>
      </w:r>
    </w:p>
    <w:p>
      <w:pPr>
        <w:pStyle w:val="40"/>
      </w:pPr>
      <w:r>
        <w:t>试验压力及温度</w:t>
      </w:r>
    </w:p>
    <w:p>
      <w:pPr>
        <w:ind w:firstLine="420"/>
        <w:rPr>
          <w:rFonts w:cs="Times New Roman"/>
        </w:rPr>
      </w:pPr>
      <w:r>
        <w:rPr>
          <w:rFonts w:cs="Times New Roman"/>
        </w:rPr>
        <w:t>试验压力应为产品额定压力。</w:t>
      </w:r>
    </w:p>
    <w:p>
      <w:pPr>
        <w:ind w:firstLine="420"/>
        <w:rPr>
          <w:rFonts w:cs="Times New Roman"/>
        </w:rPr>
      </w:pPr>
      <w:r>
        <w:rPr>
          <w:rFonts w:cs="Times New Roman"/>
        </w:rPr>
        <w:t>试验温度范围应依据产品额定温度等级确定，高、低温度分别为设计温度等级上、下限。</w:t>
      </w:r>
    </w:p>
    <w:p>
      <w:pPr>
        <w:pStyle w:val="40"/>
      </w:pPr>
      <w:r>
        <w:t>试验程序</w:t>
      </w:r>
    </w:p>
    <w:p>
      <w:pPr>
        <w:ind w:firstLine="420"/>
        <w:rPr>
          <w:rFonts w:cs="Times New Roman"/>
        </w:rPr>
      </w:pPr>
      <w:r>
        <w:rPr>
          <w:rFonts w:cs="Times New Roman"/>
        </w:rPr>
        <w:t>压力温度循环试验应遵循下列程序</w:t>
      </w:r>
      <w:r>
        <w:rPr>
          <w:rFonts w:hint="eastAsia" w:cs="Times New Roman"/>
        </w:rPr>
        <w:t>（见</w:t>
      </w:r>
      <w:r>
        <w:rPr>
          <w:rFonts w:cs="Times New Roman"/>
        </w:rPr>
        <w:fldChar w:fldCharType="begin"/>
      </w:r>
      <w:r>
        <w:rPr>
          <w:rFonts w:cs="Times New Roman"/>
        </w:rPr>
        <w:instrText xml:space="preserve"> </w:instrText>
      </w:r>
      <w:r>
        <w:rPr>
          <w:rFonts w:hint="eastAsia" w:cs="Times New Roman"/>
        </w:rPr>
        <w:instrText xml:space="preserve">REF _Ref112328854 \h</w:instrText>
      </w:r>
      <w:r>
        <w:rPr>
          <w:rFonts w:cs="Times New Roman"/>
        </w:rPr>
        <w:instrText xml:space="preserve"> </w:instrText>
      </w:r>
      <w:r>
        <w:rPr>
          <w:rFonts w:cs="Times New Roman"/>
        </w:rPr>
        <w:fldChar w:fldCharType="separate"/>
      </w:r>
      <w:r>
        <w:rPr>
          <w:rFonts w:hint="eastAsia"/>
        </w:rPr>
        <w:t xml:space="preserve">图 </w:t>
      </w:r>
      <w:r>
        <w:t>6</w:t>
      </w:r>
      <w:r>
        <w:rPr>
          <w:rFonts w:cs="Times New Roman"/>
        </w:rPr>
        <w:fldChar w:fldCharType="end"/>
      </w:r>
      <w:r>
        <w:rPr>
          <w:rFonts w:hint="eastAsia" w:cs="Times New Roman"/>
        </w:rPr>
        <w:t xml:space="preserve"> ）</w:t>
      </w:r>
      <w:r>
        <w:rPr>
          <w:rFonts w:cs="Times New Roman"/>
        </w:rPr>
        <w:t>，共包括三次热循环：第一次温度循环是步骤a）到e）；第二次热循环是步骤f）到j）；第三次热循环是步骤k）到o）。</w:t>
      </w:r>
    </w:p>
    <w:p>
      <w:pPr>
        <w:ind w:firstLine="420"/>
        <w:rPr>
          <w:rFonts w:cs="Times New Roman"/>
        </w:rPr>
      </w:pPr>
      <w:r>
        <w:rPr>
          <w:rFonts w:cs="Times New Roman"/>
        </w:rPr>
        <w:drawing>
          <wp:inline distT="0" distB="0" distL="0" distR="0">
            <wp:extent cx="4448175" cy="2205990"/>
            <wp:effectExtent l="0" t="0" r="952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54653" cy="2209603"/>
                    </a:xfrm>
                    <a:prstGeom prst="rect">
                      <a:avLst/>
                    </a:prstGeom>
                    <a:noFill/>
                    <a:ln>
                      <a:noFill/>
                    </a:ln>
                  </pic:spPr>
                </pic:pic>
              </a:graphicData>
            </a:graphic>
          </wp:inline>
        </w:drawing>
      </w:r>
    </w:p>
    <w:p>
      <w:pPr>
        <w:pStyle w:val="69"/>
      </w:pPr>
      <w:bookmarkStart w:id="191" w:name="_Ref112328854"/>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6</w:t>
      </w:r>
      <w:r>
        <w:fldChar w:fldCharType="end"/>
      </w:r>
      <w:bookmarkEnd w:id="191"/>
      <w:r>
        <w:rPr>
          <w:rFonts w:hint="eastAsia"/>
        </w:rPr>
        <w:t xml:space="preserve"> </w:t>
      </w:r>
      <w:r>
        <w:t>试验程序</w:t>
      </w:r>
    </w:p>
    <w:p>
      <w:pPr>
        <w:ind w:firstLine="420"/>
        <w:rPr>
          <w:rFonts w:cs="Times New Roman"/>
        </w:rPr>
      </w:pPr>
      <w:r>
        <w:rPr>
          <w:rFonts w:cs="Times New Roman"/>
        </w:rPr>
        <w:t>a)</w:t>
      </w:r>
      <w:r>
        <w:rPr>
          <w:rFonts w:cs="Times New Roman"/>
        </w:rPr>
        <w:tab/>
      </w:r>
      <w:r>
        <w:rPr>
          <w:rFonts w:cs="Times New Roman"/>
        </w:rPr>
        <w:t>试验开始，在环境温度和大气压力下开始升温至最高温度。</w:t>
      </w:r>
    </w:p>
    <w:p>
      <w:pPr>
        <w:ind w:firstLine="420"/>
        <w:rPr>
          <w:rFonts w:cs="Times New Roman"/>
        </w:rPr>
      </w:pPr>
      <w:r>
        <w:rPr>
          <w:rFonts w:cs="Times New Roman"/>
        </w:rPr>
        <w:t>b)</w:t>
      </w:r>
      <w:r>
        <w:rPr>
          <w:rFonts w:cs="Times New Roman"/>
        </w:rPr>
        <w:tab/>
      </w:r>
      <w:r>
        <w:rPr>
          <w:rFonts w:cs="Times New Roman"/>
        </w:rPr>
        <w:t>施加试验压力，至少保压1h，而后泄压。</w:t>
      </w:r>
    </w:p>
    <w:p>
      <w:pPr>
        <w:ind w:firstLine="420"/>
        <w:rPr>
          <w:rFonts w:cs="Times New Roman"/>
        </w:rPr>
      </w:pPr>
      <w:r>
        <w:rPr>
          <w:rFonts w:cs="Times New Roman"/>
        </w:rPr>
        <w:t>c)</w:t>
      </w:r>
      <w:r>
        <w:rPr>
          <w:rFonts w:cs="Times New Roman"/>
        </w:rPr>
        <w:tab/>
      </w:r>
      <w:r>
        <w:rPr>
          <w:rFonts w:cs="Times New Roman"/>
        </w:rPr>
        <w:t>降温至最低温度。</w:t>
      </w:r>
    </w:p>
    <w:p>
      <w:pPr>
        <w:ind w:firstLine="420"/>
        <w:rPr>
          <w:rFonts w:cs="Times New Roman"/>
        </w:rPr>
      </w:pPr>
      <w:r>
        <w:rPr>
          <w:rFonts w:cs="Times New Roman"/>
        </w:rPr>
        <w:t>d)</w:t>
      </w:r>
      <w:r>
        <w:rPr>
          <w:rFonts w:cs="Times New Roman"/>
        </w:rPr>
        <w:tab/>
      </w:r>
      <w:r>
        <w:rPr>
          <w:rFonts w:cs="Times New Roman"/>
        </w:rPr>
        <w:t>施加试验压力，至少保压1h，而后泄压。</w:t>
      </w:r>
    </w:p>
    <w:p>
      <w:pPr>
        <w:ind w:firstLine="420"/>
        <w:rPr>
          <w:rFonts w:cs="Times New Roman"/>
        </w:rPr>
      </w:pPr>
      <w:r>
        <w:rPr>
          <w:rFonts w:cs="Times New Roman"/>
        </w:rPr>
        <w:t>e)</w:t>
      </w:r>
      <w:r>
        <w:rPr>
          <w:rFonts w:cs="Times New Roman"/>
        </w:rPr>
        <w:tab/>
      </w:r>
      <w:r>
        <w:rPr>
          <w:rFonts w:cs="Times New Roman"/>
        </w:rPr>
        <w:t>升温至</w:t>
      </w:r>
      <w:r>
        <w:rPr>
          <w:rFonts w:cs="Times New Roman"/>
          <w:spacing w:val="-2"/>
        </w:rPr>
        <w:t>4</w:t>
      </w:r>
      <w:r>
        <w:rPr>
          <w:rFonts w:hint="eastAsia" w:ascii="宋体" w:hAnsi="宋体" w:cs="宋体"/>
        </w:rPr>
        <w:t>℃</w:t>
      </w:r>
      <w:r>
        <w:rPr>
          <w:rFonts w:cs="Times New Roman"/>
          <w:spacing w:val="-1"/>
        </w:rPr>
        <w:t>-</w:t>
      </w:r>
      <w:r>
        <w:rPr>
          <w:rFonts w:cs="Times New Roman"/>
          <w:spacing w:val="-6"/>
        </w:rPr>
        <w:t>50</w:t>
      </w:r>
      <w:r>
        <w:rPr>
          <w:rFonts w:hint="eastAsia" w:ascii="宋体" w:hAnsi="宋体" w:cs="宋体"/>
        </w:rPr>
        <w:t>℃</w:t>
      </w:r>
      <w:r>
        <w:rPr>
          <w:rFonts w:cs="Times New Roman"/>
        </w:rPr>
        <w:t>（</w:t>
      </w:r>
      <w:r>
        <w:rPr>
          <w:rFonts w:cs="Times New Roman"/>
          <w:spacing w:val="-6"/>
        </w:rPr>
        <w:t>40</w:t>
      </w:r>
      <w:r>
        <w:rPr>
          <w:rFonts w:hint="eastAsia" w:ascii="宋体" w:hAnsi="宋体" w:cs="宋体"/>
        </w:rPr>
        <w:t>℉</w:t>
      </w:r>
      <w:r>
        <w:rPr>
          <w:rFonts w:cs="Times New Roman"/>
          <w:spacing w:val="-1"/>
        </w:rPr>
        <w:t>-120</w:t>
      </w:r>
      <w:r>
        <w:rPr>
          <w:rFonts w:hint="eastAsia" w:ascii="宋体" w:hAnsi="宋体" w:cs="宋体"/>
        </w:rPr>
        <w:t>℉</w:t>
      </w:r>
      <w:r>
        <w:rPr>
          <w:rFonts w:cs="Times New Roman"/>
        </w:rPr>
        <w:t>）。</w:t>
      </w:r>
    </w:p>
    <w:p>
      <w:pPr>
        <w:ind w:firstLine="420"/>
        <w:rPr>
          <w:rFonts w:cs="Times New Roman"/>
        </w:rPr>
      </w:pPr>
      <w:r>
        <w:rPr>
          <w:rFonts w:cs="Times New Roman"/>
        </w:rPr>
        <w:t>f)</w:t>
      </w:r>
      <w:r>
        <w:rPr>
          <w:rFonts w:cs="Times New Roman"/>
        </w:rPr>
        <w:tab/>
      </w:r>
      <w:r>
        <w:rPr>
          <w:rFonts w:cs="Times New Roman"/>
        </w:rPr>
        <w:t>在</w:t>
      </w:r>
      <w:r>
        <w:rPr>
          <w:rFonts w:cs="Times New Roman"/>
          <w:spacing w:val="-2"/>
        </w:rPr>
        <w:t>4</w:t>
      </w:r>
      <w:r>
        <w:rPr>
          <w:rFonts w:hint="eastAsia" w:ascii="宋体" w:hAnsi="宋体" w:cs="宋体"/>
        </w:rPr>
        <w:t>℃</w:t>
      </w:r>
      <w:r>
        <w:rPr>
          <w:rFonts w:cs="Times New Roman"/>
          <w:spacing w:val="-1"/>
        </w:rPr>
        <w:t>-50</w:t>
      </w:r>
      <w:r>
        <w:rPr>
          <w:rFonts w:hint="eastAsia" w:ascii="宋体" w:hAnsi="宋体" w:cs="宋体"/>
        </w:rPr>
        <w:t>℃</w:t>
      </w:r>
      <w:r>
        <w:rPr>
          <w:rFonts w:cs="Times New Roman"/>
        </w:rPr>
        <w:t>（</w:t>
      </w:r>
      <w:r>
        <w:rPr>
          <w:rFonts w:cs="Times New Roman"/>
          <w:spacing w:val="-2"/>
        </w:rPr>
        <w:t>40</w:t>
      </w:r>
      <w:r>
        <w:rPr>
          <w:rFonts w:hint="eastAsia" w:ascii="宋体" w:hAnsi="宋体" w:cs="宋体"/>
        </w:rPr>
        <w:t>℉</w:t>
      </w:r>
      <w:r>
        <w:rPr>
          <w:rFonts w:cs="Times New Roman"/>
          <w:spacing w:val="-1"/>
        </w:rPr>
        <w:t>-120</w:t>
      </w:r>
      <w:r>
        <w:rPr>
          <w:rFonts w:hint="eastAsia" w:ascii="宋体" w:hAnsi="宋体" w:cs="宋体"/>
        </w:rPr>
        <w:t>℉</w:t>
      </w:r>
      <w:r>
        <w:rPr>
          <w:rFonts w:cs="Times New Roman"/>
        </w:rPr>
        <w:t xml:space="preserve">）下施加试验压力，并且在升至最高温度期间，保持压力在试验压力的 </w:t>
      </w:r>
      <w:r>
        <w:rPr>
          <w:rFonts w:cs="Times New Roman"/>
          <w:spacing w:val="-6"/>
        </w:rPr>
        <w:t>50</w:t>
      </w:r>
      <w:r>
        <w:rPr>
          <w:rFonts w:cs="Times New Roman"/>
        </w:rPr>
        <w:t>％～</w:t>
      </w:r>
      <w:r>
        <w:rPr>
          <w:rFonts w:cs="Times New Roman"/>
          <w:spacing w:val="-2"/>
        </w:rPr>
        <w:t>100</w:t>
      </w:r>
      <w:r>
        <w:rPr>
          <w:rFonts w:cs="Times New Roman"/>
        </w:rPr>
        <w:t>％。</w:t>
      </w:r>
    </w:p>
    <w:p>
      <w:pPr>
        <w:ind w:firstLine="420"/>
        <w:rPr>
          <w:rFonts w:cs="Times New Roman"/>
        </w:rPr>
      </w:pPr>
      <w:r>
        <w:rPr>
          <w:rFonts w:cs="Times New Roman"/>
        </w:rPr>
        <w:t>g)</w:t>
      </w:r>
      <w:r>
        <w:rPr>
          <w:rFonts w:cs="Times New Roman"/>
        </w:rPr>
        <w:tab/>
      </w:r>
      <w:r>
        <w:rPr>
          <w:rFonts w:cs="Times New Roman"/>
        </w:rPr>
        <w:t>在试验压力下至少保压1h。</w:t>
      </w:r>
    </w:p>
    <w:p>
      <w:pPr>
        <w:ind w:firstLine="420"/>
        <w:rPr>
          <w:rFonts w:cs="Times New Roman"/>
        </w:rPr>
      </w:pPr>
      <w:r>
        <w:rPr>
          <w:rFonts w:cs="Times New Roman"/>
        </w:rPr>
        <w:t>h)</w:t>
      </w:r>
      <w:r>
        <w:rPr>
          <w:rFonts w:cs="Times New Roman"/>
        </w:rPr>
        <w:tab/>
      </w:r>
      <w:r>
        <w:rPr>
          <w:rFonts w:cs="Times New Roman"/>
        </w:rPr>
        <w:t>在保持试验压力的 50％～100％时，降低温度至最低温度。</w:t>
      </w:r>
    </w:p>
    <w:p>
      <w:pPr>
        <w:ind w:firstLine="416"/>
        <w:rPr>
          <w:rFonts w:cs="Times New Roman"/>
        </w:rPr>
      </w:pPr>
      <w:r>
        <w:rPr>
          <w:rFonts w:cs="Times New Roman"/>
          <w:spacing w:val="-1"/>
        </w:rPr>
        <w:t>i)</w:t>
      </w:r>
      <w:r>
        <w:rPr>
          <w:rFonts w:cs="Times New Roman"/>
        </w:rPr>
        <w:tab/>
      </w:r>
      <w:r>
        <w:rPr>
          <w:rFonts w:cs="Times New Roman"/>
        </w:rPr>
        <w:t>在试验压力下至少保压1h。</w:t>
      </w:r>
    </w:p>
    <w:p>
      <w:pPr>
        <w:ind w:firstLine="416"/>
        <w:rPr>
          <w:rFonts w:cs="Times New Roman"/>
        </w:rPr>
      </w:pPr>
      <w:r>
        <w:rPr>
          <w:rFonts w:cs="Times New Roman"/>
          <w:spacing w:val="-1"/>
        </w:rPr>
        <w:t>j)</w:t>
      </w:r>
      <w:r>
        <w:rPr>
          <w:rFonts w:cs="Times New Roman"/>
        </w:rPr>
        <w:tab/>
      </w:r>
      <w:r>
        <w:rPr>
          <w:rFonts w:cs="Times New Roman"/>
        </w:rPr>
        <w:t>升温至</w:t>
      </w:r>
      <w:r>
        <w:rPr>
          <w:rFonts w:cs="Times New Roman"/>
          <w:spacing w:val="-2"/>
        </w:rPr>
        <w:t>4</w:t>
      </w:r>
      <w:r>
        <w:rPr>
          <w:rFonts w:hint="eastAsia" w:ascii="宋体" w:hAnsi="宋体" w:cs="宋体"/>
        </w:rPr>
        <w:t>℃</w:t>
      </w:r>
      <w:r>
        <w:rPr>
          <w:rFonts w:cs="Times New Roman"/>
          <w:spacing w:val="-1"/>
        </w:rPr>
        <w:t>-50</w:t>
      </w:r>
      <w:r>
        <w:rPr>
          <w:rFonts w:hint="eastAsia" w:ascii="宋体" w:hAnsi="宋体" w:cs="宋体"/>
        </w:rPr>
        <w:t>℃</w:t>
      </w:r>
      <w:r>
        <w:rPr>
          <w:rFonts w:cs="Times New Roman"/>
        </w:rPr>
        <w:t>（</w:t>
      </w:r>
      <w:r>
        <w:rPr>
          <w:rFonts w:cs="Times New Roman"/>
          <w:spacing w:val="-2"/>
        </w:rPr>
        <w:t>40</w:t>
      </w:r>
      <w:r>
        <w:rPr>
          <w:rFonts w:hint="eastAsia" w:ascii="宋体" w:hAnsi="宋体" w:cs="宋体"/>
        </w:rPr>
        <w:t>℉</w:t>
      </w:r>
      <w:r>
        <w:rPr>
          <w:rFonts w:cs="Times New Roman"/>
          <w:spacing w:val="-1"/>
        </w:rPr>
        <w:t>-120</w:t>
      </w:r>
      <w:r>
        <w:rPr>
          <w:rFonts w:hint="eastAsia" w:ascii="宋体" w:hAnsi="宋体" w:cs="宋体"/>
        </w:rPr>
        <w:t>℉</w:t>
      </w:r>
      <w:r>
        <w:rPr>
          <w:rFonts w:cs="Times New Roman"/>
        </w:rPr>
        <w:t>），升温期间保持试验压力的</w:t>
      </w:r>
      <w:r>
        <w:rPr>
          <w:rFonts w:cs="Times New Roman"/>
          <w:spacing w:val="-6"/>
        </w:rPr>
        <w:t>50</w:t>
      </w:r>
      <w:r>
        <w:rPr>
          <w:rFonts w:cs="Times New Roman"/>
        </w:rPr>
        <w:t>％～</w:t>
      </w:r>
      <w:r>
        <w:rPr>
          <w:rFonts w:cs="Times New Roman"/>
          <w:spacing w:val="-6"/>
        </w:rPr>
        <w:t>100</w:t>
      </w:r>
      <w:r>
        <w:rPr>
          <w:rFonts w:cs="Times New Roman"/>
        </w:rPr>
        <w:t>％。</w:t>
      </w:r>
    </w:p>
    <w:p>
      <w:pPr>
        <w:ind w:firstLine="416"/>
        <w:rPr>
          <w:rFonts w:cs="Times New Roman"/>
        </w:rPr>
      </w:pPr>
      <w:r>
        <w:rPr>
          <w:rFonts w:cs="Times New Roman"/>
          <w:spacing w:val="-1"/>
        </w:rPr>
        <w:t>k)</w:t>
      </w:r>
      <w:r>
        <w:rPr>
          <w:rFonts w:cs="Times New Roman"/>
        </w:rPr>
        <w:tab/>
      </w:r>
      <w:r>
        <w:rPr>
          <w:rFonts w:cs="Times New Roman"/>
        </w:rPr>
        <w:t>泄压，再升温至最高温度。</w:t>
      </w:r>
    </w:p>
    <w:p>
      <w:pPr>
        <w:ind w:firstLine="416"/>
        <w:rPr>
          <w:rFonts w:cs="Times New Roman"/>
        </w:rPr>
      </w:pPr>
      <w:r>
        <w:rPr>
          <w:rFonts w:cs="Times New Roman"/>
          <w:spacing w:val="-1"/>
        </w:rPr>
        <w:t>l)</w:t>
      </w:r>
      <w:r>
        <w:rPr>
          <w:rFonts w:cs="Times New Roman"/>
        </w:rPr>
        <w:tab/>
      </w:r>
      <w:r>
        <w:rPr>
          <w:rFonts w:cs="Times New Roman"/>
        </w:rPr>
        <w:t>施加试验压力，至少保压1h，而后泄压。</w:t>
      </w:r>
    </w:p>
    <w:p>
      <w:pPr>
        <w:ind w:firstLine="420"/>
        <w:rPr>
          <w:rFonts w:cs="Times New Roman"/>
        </w:rPr>
      </w:pPr>
      <w:r>
        <w:rPr>
          <w:rFonts w:cs="Times New Roman"/>
        </w:rPr>
        <w:t>m)</w:t>
      </w:r>
      <w:r>
        <w:rPr>
          <w:rFonts w:cs="Times New Roman"/>
        </w:rPr>
        <w:tab/>
      </w:r>
      <w:r>
        <w:rPr>
          <w:rFonts w:cs="Times New Roman"/>
        </w:rPr>
        <w:t>降温至最低温度。</w:t>
      </w:r>
    </w:p>
    <w:p>
      <w:pPr>
        <w:ind w:firstLine="420"/>
        <w:rPr>
          <w:rFonts w:cs="Times New Roman"/>
        </w:rPr>
      </w:pPr>
      <w:r>
        <w:rPr>
          <w:rFonts w:cs="Times New Roman"/>
        </w:rPr>
        <w:t>n)</w:t>
      </w:r>
      <w:r>
        <w:rPr>
          <w:rFonts w:cs="Times New Roman"/>
        </w:rPr>
        <w:tab/>
      </w:r>
      <w:r>
        <w:rPr>
          <w:rFonts w:cs="Times New Roman"/>
        </w:rPr>
        <w:t>施加试验压力，至少保压 1 h，而后泄压。</w:t>
      </w:r>
    </w:p>
    <w:p>
      <w:pPr>
        <w:ind w:firstLine="420"/>
        <w:rPr>
          <w:rFonts w:cs="Times New Roman"/>
        </w:rPr>
      </w:pPr>
      <w:r>
        <w:rPr>
          <w:rFonts w:cs="Times New Roman"/>
        </w:rPr>
        <w:t>o)</w:t>
      </w:r>
      <w:r>
        <w:rPr>
          <w:rFonts w:cs="Times New Roman"/>
        </w:rPr>
        <w:tab/>
      </w:r>
      <w:r>
        <w:rPr>
          <w:rFonts w:cs="Times New Roman"/>
        </w:rPr>
        <w:t>升温至4</w:t>
      </w:r>
      <w:r>
        <w:rPr>
          <w:rFonts w:hint="eastAsia" w:ascii="宋体" w:hAnsi="宋体" w:cs="宋体"/>
        </w:rPr>
        <w:t>℃</w:t>
      </w:r>
      <w:r>
        <w:rPr>
          <w:rFonts w:cs="Times New Roman"/>
        </w:rPr>
        <w:t>-50</w:t>
      </w:r>
      <w:r>
        <w:rPr>
          <w:rFonts w:hint="eastAsia" w:ascii="宋体" w:hAnsi="宋体" w:cs="宋体"/>
        </w:rPr>
        <w:t>℃</w:t>
      </w:r>
      <w:r>
        <w:rPr>
          <w:rFonts w:cs="Times New Roman"/>
        </w:rPr>
        <w:t>（40</w:t>
      </w:r>
      <w:r>
        <w:rPr>
          <w:rFonts w:hint="eastAsia" w:ascii="宋体" w:hAnsi="宋体" w:cs="宋体"/>
        </w:rPr>
        <w:t>℉</w:t>
      </w:r>
      <w:r>
        <w:rPr>
          <w:rFonts w:cs="Times New Roman"/>
        </w:rPr>
        <w:t>-120</w:t>
      </w:r>
      <w:r>
        <w:rPr>
          <w:rFonts w:hint="eastAsia" w:ascii="宋体" w:hAnsi="宋体" w:cs="宋体"/>
        </w:rPr>
        <w:t>℉</w:t>
      </w:r>
      <w:r>
        <w:rPr>
          <w:rFonts w:cs="Times New Roman"/>
        </w:rPr>
        <w:t>）。</w:t>
      </w:r>
    </w:p>
    <w:p>
      <w:pPr>
        <w:ind w:firstLine="420"/>
        <w:rPr>
          <w:rFonts w:cs="Times New Roman"/>
        </w:rPr>
      </w:pPr>
      <w:r>
        <w:rPr>
          <w:rFonts w:cs="Times New Roman"/>
        </w:rPr>
        <w:t>p)</w:t>
      </w:r>
      <w:r>
        <w:rPr>
          <w:rFonts w:cs="Times New Roman"/>
        </w:rPr>
        <w:tab/>
      </w:r>
      <w:r>
        <w:rPr>
          <w:rFonts w:cs="Times New Roman"/>
        </w:rPr>
        <w:t>施加试验压力，至少保压 1 h，而后泄压。</w:t>
      </w:r>
    </w:p>
    <w:p>
      <w:pPr>
        <w:ind w:firstLine="420"/>
        <w:rPr>
          <w:rFonts w:cs="Times New Roman"/>
        </w:rPr>
      </w:pPr>
      <w:r>
        <w:rPr>
          <w:rFonts w:cs="Times New Roman"/>
        </w:rPr>
        <w:t>q)</w:t>
      </w:r>
      <w:r>
        <w:rPr>
          <w:rFonts w:cs="Times New Roman"/>
        </w:rPr>
        <w:tab/>
      </w:r>
      <w:r>
        <w:rPr>
          <w:rFonts w:cs="Times New Roman"/>
        </w:rPr>
        <w:t>施加5％～10％的试验压力，至少保压 1 h，而后泄压，试验结束。</w:t>
      </w:r>
    </w:p>
    <w:p>
      <w:pPr>
        <w:ind w:firstLine="420"/>
        <w:rPr>
          <w:rFonts w:cs="Times New Roman"/>
        </w:rPr>
      </w:pPr>
      <w:r>
        <w:rPr>
          <w:rFonts w:cs="Times New Roman"/>
        </w:rPr>
        <w:t>规定的保压期应是最少的保压时间。保压期应在压力和温度已呈稳定、试验装置与压力源隔离以后开始计时：</w:t>
      </w:r>
    </w:p>
    <w:p>
      <w:pPr>
        <w:pStyle w:val="45"/>
        <w:numPr>
          <w:ilvl w:val="0"/>
          <w:numId w:val="35"/>
        </w:numPr>
        <w:ind w:firstLineChars="0"/>
        <w:rPr>
          <w:rFonts w:cs="Times New Roman"/>
        </w:rPr>
      </w:pPr>
      <w:r>
        <w:rPr>
          <w:rFonts w:cs="Times New Roman"/>
        </w:rPr>
        <w:t>压力稳定：每小时压力的变化不大于试验压力的 5％或 3.45MPa/h（500 psi/h）时（取其较小者），应认为压力稳定。</w:t>
      </w:r>
    </w:p>
    <w:p>
      <w:pPr>
        <w:pStyle w:val="45"/>
        <w:numPr>
          <w:ilvl w:val="0"/>
          <w:numId w:val="35"/>
        </w:numPr>
        <w:ind w:firstLineChars="0"/>
        <w:rPr>
          <w:rFonts w:cs="Times New Roman"/>
        </w:rPr>
      </w:pPr>
      <w:r>
        <w:rPr>
          <w:rFonts w:cs="Times New Roman"/>
        </w:rPr>
        <w:t>温度稳定：每分钟的温度变化值小于 0.5</w:t>
      </w:r>
      <w:r>
        <w:rPr>
          <w:rFonts w:hint="eastAsia" w:ascii="宋体" w:hAnsi="宋体" w:cs="宋体"/>
        </w:rPr>
        <w:t>℃</w:t>
      </w:r>
      <w:r>
        <w:rPr>
          <w:rFonts w:cs="Times New Roman"/>
        </w:rPr>
        <w:t xml:space="preserve">/min（1 </w:t>
      </w:r>
      <w:r>
        <w:rPr>
          <w:rFonts w:hint="eastAsia" w:ascii="宋体" w:hAnsi="宋体" w:cs="宋体"/>
        </w:rPr>
        <w:t>℉</w:t>
      </w:r>
      <w:r>
        <w:rPr>
          <w:rFonts w:cs="Times New Roman"/>
        </w:rPr>
        <w:t>/min）时，应认为温度稳定。</w:t>
      </w:r>
    </w:p>
    <w:p>
      <w:pPr>
        <w:pStyle w:val="40"/>
        <w:rPr>
          <w:rFonts w:eastAsia="宋体"/>
        </w:rPr>
      </w:pPr>
      <w:r>
        <w:t>验收准则</w:t>
      </w:r>
    </w:p>
    <w:p>
      <w:pPr>
        <w:ind w:firstLine="420"/>
        <w:rPr>
          <w:rFonts w:cs="Times New Roman"/>
        </w:rPr>
      </w:pPr>
      <w:r>
        <w:rPr>
          <w:rFonts w:cs="Times New Roman"/>
        </w:rPr>
        <w:t>保压期间，每小时压降应小于试验压力的 5％或 3.45MPa（500 psi），择其小者。初始试验压力不得大于规定的试验压力的5%；整个保压期内，监测压力不应低于规定的压力，温度应保持或超过规定值，但不应超过规定值 11</w:t>
      </w:r>
      <w:r>
        <w:rPr>
          <w:rFonts w:hint="eastAsia" w:ascii="宋体" w:hAnsi="宋体" w:cs="宋体"/>
        </w:rPr>
        <w:t>℃</w:t>
      </w:r>
      <w:r>
        <w:rPr>
          <w:rFonts w:cs="Times New Roman"/>
        </w:rPr>
        <w:t xml:space="preserve">（20 </w:t>
      </w:r>
      <w:r>
        <w:rPr>
          <w:rFonts w:hint="eastAsia" w:ascii="宋体" w:hAnsi="宋体" w:cs="宋体"/>
        </w:rPr>
        <w:t>℉</w:t>
      </w:r>
      <w:r>
        <w:rPr>
          <w:rFonts w:cs="Times New Roman"/>
        </w:rPr>
        <w:t>）以上</w:t>
      </w:r>
    </w:p>
    <w:p>
      <w:pPr>
        <w:ind w:firstLine="420"/>
        <w:rPr>
          <w:rFonts w:cs="Times New Roman"/>
        </w:rPr>
      </w:pPr>
      <w:r>
        <w:rPr>
          <w:rFonts w:cs="Times New Roman"/>
        </w:rPr>
        <w:t>整个试验过程连续且所有保压环节均满足验收要求，任一保压环节不满足要求，则试验不予通过。</w:t>
      </w:r>
    </w:p>
    <w:p>
      <w:pPr>
        <w:pStyle w:val="39"/>
      </w:pPr>
      <w:bookmarkStart w:id="192" w:name="_Toc112341762"/>
      <w:r>
        <w:t>通径试验</w:t>
      </w:r>
      <w:bookmarkEnd w:id="192"/>
    </w:p>
    <w:p>
      <w:pPr>
        <w:ind w:firstLine="420"/>
        <w:rPr>
          <w:rFonts w:cs="Times New Roman"/>
        </w:rPr>
      </w:pPr>
      <w:r>
        <w:rPr>
          <w:rFonts w:cs="Times New Roman"/>
        </w:rPr>
        <w:t>压力试验完成后进行通径试验。</w:t>
      </w:r>
    </w:p>
    <w:p>
      <w:pPr>
        <w:ind w:firstLine="420"/>
        <w:rPr>
          <w:rFonts w:cs="Times New Roman"/>
        </w:rPr>
      </w:pPr>
      <w:r>
        <w:rPr>
          <w:rFonts w:cs="Times New Roman"/>
        </w:rPr>
        <w:t>井筒工具通过的垂直管段应使用满足 ISO10423 规定的通径规验证。</w:t>
      </w:r>
    </w:p>
    <w:p>
      <w:pPr>
        <w:ind w:firstLine="420"/>
        <w:rPr>
          <w:rFonts w:cs="Times New Roman"/>
        </w:rPr>
      </w:pPr>
      <w:r>
        <w:rPr>
          <w:rFonts w:cs="Times New Roman"/>
        </w:rPr>
        <w:t>其他不允许使用通径规的结构可以用其他方法验证通径，比如使用通过校准的内窥镜和目测。</w:t>
      </w:r>
    </w:p>
    <w:p>
      <w:pPr>
        <w:ind w:firstLine="420"/>
        <w:rPr>
          <w:rFonts w:cs="Times New Roman"/>
        </w:rPr>
      </w:pPr>
    </w:p>
    <w:p>
      <w:pPr>
        <w:widowControl/>
        <w:spacing w:line="240" w:lineRule="auto"/>
        <w:ind w:firstLine="0" w:firstLineChars="0"/>
        <w:rPr>
          <w:rFonts w:cs="Times New Roman"/>
        </w:rPr>
      </w:pPr>
      <w:r>
        <w:rPr>
          <w:rFonts w:cs="Times New Roman"/>
        </w:rPr>
        <w:br w:type="page"/>
      </w:r>
    </w:p>
    <w:p>
      <w:pPr>
        <w:pStyle w:val="38"/>
      </w:pPr>
      <w:bookmarkStart w:id="193" w:name="_Toc112341763"/>
      <w:bookmarkStart w:id="194" w:name="_Toc95911918"/>
      <w:bookmarkStart w:id="195" w:name="_Toc95909874"/>
      <w:bookmarkStart w:id="196" w:name="_Toc95910616"/>
      <w:r>
        <w:t>装置标识</w:t>
      </w:r>
      <w:bookmarkEnd w:id="193"/>
    </w:p>
    <w:p>
      <w:pPr>
        <w:pStyle w:val="39"/>
      </w:pPr>
      <w:bookmarkStart w:id="197" w:name="_Toc112341764"/>
      <w:r>
        <w:t>标识要求</w:t>
      </w:r>
      <w:bookmarkEnd w:id="197"/>
    </w:p>
    <w:p>
      <w:pPr>
        <w:ind w:firstLine="420"/>
        <w:rPr>
          <w:rFonts w:cs="Times New Roman"/>
        </w:rPr>
      </w:pPr>
      <w:r>
        <w:rPr>
          <w:rFonts w:cs="Times New Roman"/>
        </w:rPr>
        <w:t>应在水下井口装置外表面予以标识。标识信息包括：</w:t>
      </w:r>
    </w:p>
    <w:p>
      <w:pPr>
        <w:pStyle w:val="45"/>
        <w:numPr>
          <w:ilvl w:val="0"/>
          <w:numId w:val="36"/>
        </w:numPr>
        <w:ind w:firstLineChars="0"/>
        <w:rPr>
          <w:rFonts w:cs="Times New Roman"/>
        </w:rPr>
      </w:pPr>
      <w:r>
        <w:rPr>
          <w:rFonts w:cs="Times New Roman"/>
        </w:rPr>
        <w:t>装置名称或编号；</w:t>
      </w:r>
    </w:p>
    <w:p>
      <w:pPr>
        <w:pStyle w:val="45"/>
        <w:numPr>
          <w:ilvl w:val="0"/>
          <w:numId w:val="36"/>
        </w:numPr>
        <w:ind w:firstLineChars="0"/>
        <w:rPr>
          <w:rFonts w:cs="Times New Roman"/>
        </w:rPr>
      </w:pPr>
      <w:r>
        <w:rPr>
          <w:rFonts w:cs="Times New Roman"/>
        </w:rPr>
        <w:t>生产序列号；</w:t>
      </w:r>
    </w:p>
    <w:p>
      <w:pPr>
        <w:pStyle w:val="45"/>
        <w:numPr>
          <w:ilvl w:val="0"/>
          <w:numId w:val="36"/>
        </w:numPr>
        <w:ind w:firstLineChars="0"/>
        <w:rPr>
          <w:rFonts w:cs="Times New Roman"/>
        </w:rPr>
      </w:pPr>
      <w:r>
        <w:rPr>
          <w:rFonts w:cs="Times New Roman"/>
        </w:rPr>
        <w:t>规格型号；</w:t>
      </w:r>
    </w:p>
    <w:p>
      <w:pPr>
        <w:pStyle w:val="45"/>
        <w:numPr>
          <w:ilvl w:val="0"/>
          <w:numId w:val="36"/>
        </w:numPr>
        <w:ind w:firstLineChars="0"/>
        <w:rPr>
          <w:rFonts w:cs="Times New Roman"/>
        </w:rPr>
      </w:pPr>
      <w:r>
        <w:rPr>
          <w:rFonts w:cs="Times New Roman"/>
        </w:rPr>
        <w:t>性能等级（如需要）；</w:t>
      </w:r>
    </w:p>
    <w:p>
      <w:pPr>
        <w:pStyle w:val="45"/>
        <w:numPr>
          <w:ilvl w:val="0"/>
          <w:numId w:val="36"/>
        </w:numPr>
        <w:ind w:firstLineChars="0"/>
        <w:rPr>
          <w:rFonts w:cs="Times New Roman"/>
        </w:rPr>
      </w:pPr>
      <w:r>
        <w:rPr>
          <w:rFonts w:cs="Times New Roman"/>
        </w:rPr>
        <w:t>净重（如需要）；</w:t>
      </w:r>
    </w:p>
    <w:p>
      <w:pPr>
        <w:pStyle w:val="45"/>
        <w:numPr>
          <w:ilvl w:val="0"/>
          <w:numId w:val="36"/>
        </w:numPr>
        <w:ind w:firstLineChars="0"/>
        <w:rPr>
          <w:rFonts w:cs="Times New Roman"/>
        </w:rPr>
      </w:pPr>
      <w:r>
        <w:rPr>
          <w:rFonts w:cs="Times New Roman"/>
        </w:rPr>
        <w:t>尺寸（如需要）；</w:t>
      </w:r>
    </w:p>
    <w:p>
      <w:pPr>
        <w:pStyle w:val="45"/>
        <w:numPr>
          <w:ilvl w:val="0"/>
          <w:numId w:val="36"/>
        </w:numPr>
        <w:ind w:firstLineChars="0"/>
        <w:rPr>
          <w:rFonts w:cs="Times New Roman"/>
        </w:rPr>
      </w:pPr>
      <w:r>
        <w:rPr>
          <w:rFonts w:cs="Times New Roman"/>
        </w:rPr>
        <w:t>连接螺纹扣型（如需要）。</w:t>
      </w:r>
    </w:p>
    <w:p>
      <w:pPr>
        <w:ind w:firstLine="420"/>
        <w:rPr>
          <w:rFonts w:cs="Times New Roman"/>
        </w:rPr>
      </w:pPr>
      <w:r>
        <w:rPr>
          <w:rFonts w:cs="Times New Roman"/>
        </w:rPr>
        <w:t>应在水下井口装置运输包装外表面予以标识。标识信息包括：</w:t>
      </w:r>
    </w:p>
    <w:p>
      <w:pPr>
        <w:pStyle w:val="45"/>
        <w:numPr>
          <w:ilvl w:val="0"/>
          <w:numId w:val="37"/>
        </w:numPr>
        <w:ind w:firstLineChars="0"/>
        <w:rPr>
          <w:rFonts w:cs="Times New Roman"/>
        </w:rPr>
      </w:pPr>
      <w:r>
        <w:rPr>
          <w:rFonts w:cs="Times New Roman"/>
        </w:rPr>
        <w:t>用户/采购方信息；</w:t>
      </w:r>
    </w:p>
    <w:p>
      <w:pPr>
        <w:pStyle w:val="45"/>
        <w:numPr>
          <w:ilvl w:val="0"/>
          <w:numId w:val="37"/>
        </w:numPr>
        <w:ind w:firstLineChars="0"/>
        <w:rPr>
          <w:rFonts w:cs="Times New Roman"/>
        </w:rPr>
      </w:pPr>
      <w:r>
        <w:rPr>
          <w:rFonts w:cs="Times New Roman"/>
        </w:rPr>
        <w:t>装置名称或编号</w:t>
      </w:r>
    </w:p>
    <w:p>
      <w:pPr>
        <w:pStyle w:val="45"/>
        <w:numPr>
          <w:ilvl w:val="0"/>
          <w:numId w:val="37"/>
        </w:numPr>
        <w:ind w:firstLineChars="0"/>
        <w:rPr>
          <w:rFonts w:cs="Times New Roman"/>
        </w:rPr>
      </w:pPr>
      <w:r>
        <w:rPr>
          <w:rFonts w:cs="Times New Roman"/>
        </w:rPr>
        <w:t>生产序列号；</w:t>
      </w:r>
    </w:p>
    <w:p>
      <w:pPr>
        <w:pStyle w:val="45"/>
        <w:numPr>
          <w:ilvl w:val="0"/>
          <w:numId w:val="37"/>
        </w:numPr>
        <w:ind w:firstLineChars="0"/>
        <w:rPr>
          <w:rFonts w:cs="Times New Roman"/>
        </w:rPr>
      </w:pPr>
      <w:r>
        <w:rPr>
          <w:rFonts w:cs="Times New Roman"/>
        </w:rPr>
        <w:t>出厂编号或日期；</w:t>
      </w:r>
    </w:p>
    <w:p>
      <w:pPr>
        <w:pStyle w:val="45"/>
        <w:numPr>
          <w:ilvl w:val="0"/>
          <w:numId w:val="37"/>
        </w:numPr>
        <w:ind w:firstLineChars="0"/>
        <w:rPr>
          <w:rFonts w:cs="Times New Roman"/>
        </w:rPr>
      </w:pPr>
      <w:r>
        <w:rPr>
          <w:rFonts w:cs="Times New Roman"/>
        </w:rPr>
        <w:t>规格型号（如需要）；</w:t>
      </w:r>
    </w:p>
    <w:p>
      <w:pPr>
        <w:pStyle w:val="45"/>
        <w:numPr>
          <w:ilvl w:val="0"/>
          <w:numId w:val="37"/>
        </w:numPr>
        <w:ind w:firstLineChars="0"/>
        <w:rPr>
          <w:rFonts w:cs="Times New Roman"/>
        </w:rPr>
      </w:pPr>
      <w:r>
        <w:rPr>
          <w:rFonts w:cs="Times New Roman"/>
        </w:rPr>
        <w:t>净重（如需要）；</w:t>
      </w:r>
    </w:p>
    <w:p>
      <w:pPr>
        <w:pStyle w:val="45"/>
        <w:numPr>
          <w:ilvl w:val="0"/>
          <w:numId w:val="37"/>
        </w:numPr>
        <w:ind w:firstLineChars="0"/>
        <w:rPr>
          <w:rFonts w:cs="Times New Roman"/>
        </w:rPr>
      </w:pPr>
      <w:r>
        <w:rPr>
          <w:rFonts w:cs="Times New Roman"/>
        </w:rPr>
        <w:t>尺寸（如需要）。</w:t>
      </w:r>
    </w:p>
    <w:p>
      <w:pPr>
        <w:ind w:firstLine="420"/>
        <w:rPr>
          <w:rFonts w:cs="Times New Roman"/>
        </w:rPr>
      </w:pPr>
      <w:r>
        <w:rPr>
          <w:rFonts w:cs="Times New Roman"/>
        </w:rPr>
        <w:t>注：通过气压试验的PSL3级装置可以标记 “PSL3G”。</w:t>
      </w:r>
    </w:p>
    <w:p>
      <w:pPr>
        <w:pStyle w:val="39"/>
      </w:pPr>
      <w:bookmarkStart w:id="198" w:name="_Toc112341765"/>
      <w:r>
        <w:t>标识方法</w:t>
      </w:r>
      <w:bookmarkEnd w:id="198"/>
    </w:p>
    <w:p>
      <w:pPr>
        <w:ind w:firstLine="420"/>
        <w:rPr>
          <w:rFonts w:cs="Times New Roman"/>
        </w:rPr>
      </w:pPr>
      <w:r>
        <w:rPr>
          <w:rFonts w:cs="Times New Roman"/>
        </w:rPr>
        <w:t>水下井口装置外表面标识应在指定区域制作，可使用低应力钢印制作（圆点、虚线或圆头V 形），普通尖头V 形钢印只在低应力区使用；也可使用激光打印或喷涂方式制作。</w:t>
      </w:r>
    </w:p>
    <w:p>
      <w:pPr>
        <w:ind w:firstLine="420"/>
        <w:rPr>
          <w:rFonts w:cs="Times New Roman"/>
        </w:rPr>
      </w:pPr>
      <w:r>
        <w:rPr>
          <w:rFonts w:cs="Times New Roman"/>
        </w:rPr>
        <w:t>水下井口装置外包装标识应采用印制、喷涂方式，也可直接粘贴具备防水功能的信息单。</w:t>
      </w:r>
    </w:p>
    <w:p>
      <w:pPr>
        <w:pStyle w:val="39"/>
      </w:pPr>
      <w:bookmarkStart w:id="199" w:name="_Toc112341766"/>
      <w:r>
        <w:t>螺纹标识</w:t>
      </w:r>
      <w:bookmarkEnd w:id="199"/>
    </w:p>
    <w:p>
      <w:pPr>
        <w:ind w:firstLine="420"/>
        <w:rPr>
          <w:rFonts w:cs="Times New Roman"/>
        </w:rPr>
      </w:pPr>
      <w:r>
        <w:rPr>
          <w:rFonts w:cs="Times New Roman"/>
        </w:rPr>
        <w:t>螺纹类型标识应包括以下内容：</w:t>
      </w:r>
    </w:p>
    <w:p>
      <w:pPr>
        <w:pStyle w:val="45"/>
        <w:numPr>
          <w:ilvl w:val="0"/>
          <w:numId w:val="38"/>
        </w:numPr>
        <w:ind w:firstLineChars="0"/>
        <w:rPr>
          <w:rFonts w:cs="Times New Roman"/>
        </w:rPr>
      </w:pPr>
      <w:r>
        <w:rPr>
          <w:rFonts w:cs="Times New Roman"/>
        </w:rPr>
        <w:t>管线管： LP</w:t>
      </w:r>
    </w:p>
    <w:p>
      <w:pPr>
        <w:pStyle w:val="45"/>
        <w:numPr>
          <w:ilvl w:val="0"/>
          <w:numId w:val="38"/>
        </w:numPr>
        <w:ind w:firstLineChars="0"/>
        <w:rPr>
          <w:rFonts w:cs="Times New Roman"/>
        </w:rPr>
      </w:pPr>
      <w:r>
        <w:rPr>
          <w:rFonts w:cs="Times New Roman"/>
        </w:rPr>
        <w:t>套管(短圆螺纹)： STC</w:t>
      </w:r>
    </w:p>
    <w:p>
      <w:pPr>
        <w:pStyle w:val="45"/>
        <w:numPr>
          <w:ilvl w:val="0"/>
          <w:numId w:val="38"/>
        </w:numPr>
        <w:ind w:firstLineChars="0"/>
        <w:rPr>
          <w:rFonts w:cs="Times New Roman"/>
        </w:rPr>
      </w:pPr>
      <w:r>
        <w:rPr>
          <w:rFonts w:cs="Times New Roman"/>
        </w:rPr>
        <w:t>套管(长圆螺纹)： LC</w:t>
      </w:r>
    </w:p>
    <w:p>
      <w:pPr>
        <w:pStyle w:val="45"/>
        <w:numPr>
          <w:ilvl w:val="0"/>
          <w:numId w:val="38"/>
        </w:numPr>
        <w:ind w:firstLineChars="0"/>
        <w:rPr>
          <w:rFonts w:cs="Times New Roman"/>
        </w:rPr>
      </w:pPr>
      <w:r>
        <w:rPr>
          <w:rFonts w:cs="Times New Roman"/>
        </w:rPr>
        <w:t>套管(偏梯形螺纹)： BC</w:t>
      </w:r>
    </w:p>
    <w:p>
      <w:pPr>
        <w:pStyle w:val="45"/>
        <w:numPr>
          <w:ilvl w:val="0"/>
          <w:numId w:val="38"/>
        </w:numPr>
        <w:ind w:firstLineChars="0"/>
        <w:rPr>
          <w:rFonts w:cs="Times New Roman"/>
        </w:rPr>
      </w:pPr>
      <w:r>
        <w:rPr>
          <w:rFonts w:cs="Times New Roman"/>
        </w:rPr>
        <w:t>套管(直连型)： XC</w:t>
      </w:r>
    </w:p>
    <w:p>
      <w:pPr>
        <w:pStyle w:val="45"/>
        <w:numPr>
          <w:ilvl w:val="0"/>
          <w:numId w:val="38"/>
        </w:numPr>
        <w:ind w:firstLineChars="0"/>
        <w:rPr>
          <w:rFonts w:cs="Times New Roman"/>
        </w:rPr>
      </w:pPr>
      <w:r>
        <w:rPr>
          <w:rFonts w:cs="Times New Roman"/>
        </w:rPr>
        <w:t>油管(不加厚)： NU</w:t>
      </w:r>
    </w:p>
    <w:p>
      <w:pPr>
        <w:pStyle w:val="45"/>
        <w:numPr>
          <w:ilvl w:val="0"/>
          <w:numId w:val="38"/>
        </w:numPr>
        <w:ind w:firstLineChars="0"/>
        <w:rPr>
          <w:rFonts w:cs="Times New Roman"/>
        </w:rPr>
      </w:pPr>
      <w:r>
        <w:rPr>
          <w:rFonts w:cs="Times New Roman"/>
        </w:rPr>
        <w:t>油管(外加厚)： EUs</w:t>
      </w:r>
    </w:p>
    <w:p>
      <w:pPr>
        <w:pStyle w:val="39"/>
      </w:pPr>
      <w:bookmarkStart w:id="200" w:name="_Toc112341767"/>
      <w:r>
        <w:t>硬度标识</w:t>
      </w:r>
      <w:bookmarkEnd w:id="200"/>
    </w:p>
    <w:p>
      <w:pPr>
        <w:ind w:firstLine="420"/>
        <w:rPr>
          <w:rFonts w:cs="Times New Roman"/>
        </w:rPr>
      </w:pPr>
      <w:r>
        <w:rPr>
          <w:rFonts w:cs="Times New Roman"/>
        </w:rPr>
        <w:t>若端部及出口连接需要进行硬度检测，实际硬度检测值应打印在靠近试验位置的零件上或由制造商记录。</w:t>
      </w:r>
    </w:p>
    <w:p>
      <w:pPr>
        <w:ind w:firstLine="420"/>
        <w:rPr>
          <w:rFonts w:cs="Times New Roman"/>
        </w:rPr>
      </w:pPr>
      <w:r>
        <w:rPr>
          <w:rFonts w:cs="Times New Roman"/>
        </w:rPr>
        <w:br w:type="page"/>
      </w:r>
    </w:p>
    <w:p>
      <w:pPr>
        <w:pStyle w:val="38"/>
      </w:pPr>
      <w:bookmarkStart w:id="201" w:name="_Toc112341768"/>
      <w:bookmarkStart w:id="202" w:name="_Toc95909858"/>
      <w:bookmarkStart w:id="203" w:name="_Toc95911859"/>
      <w:bookmarkStart w:id="204" w:name="_Toc95910600"/>
      <w:r>
        <w:t>贮存和发运</w:t>
      </w:r>
      <w:bookmarkEnd w:id="201"/>
      <w:bookmarkEnd w:id="202"/>
      <w:bookmarkEnd w:id="203"/>
      <w:bookmarkEnd w:id="204"/>
    </w:p>
    <w:p>
      <w:pPr>
        <w:pStyle w:val="39"/>
      </w:pPr>
      <w:bookmarkStart w:id="205" w:name="_Toc112341769"/>
      <w:bookmarkStart w:id="206" w:name="_Toc95911860"/>
      <w:r>
        <w:t>清洁</w:t>
      </w:r>
      <w:bookmarkEnd w:id="205"/>
      <w:bookmarkEnd w:id="206"/>
    </w:p>
    <w:p>
      <w:pPr>
        <w:ind w:firstLine="420"/>
        <w:rPr>
          <w:rFonts w:cs="Times New Roman"/>
        </w:rPr>
      </w:pPr>
      <w:r>
        <w:rPr>
          <w:rFonts w:cs="Times New Roman"/>
        </w:rPr>
        <w:t>所有装置贮存与运输前，应按照制造商的书面规范清洁干净并予以润滑。</w:t>
      </w:r>
    </w:p>
    <w:p>
      <w:pPr>
        <w:pStyle w:val="39"/>
      </w:pPr>
      <w:bookmarkStart w:id="207" w:name="_Toc95911861"/>
      <w:bookmarkStart w:id="208" w:name="_Toc112341770"/>
      <w:r>
        <w:t>防锈</w:t>
      </w:r>
      <w:bookmarkEnd w:id="207"/>
      <w:bookmarkEnd w:id="208"/>
    </w:p>
    <w:p>
      <w:pPr>
        <w:ind w:firstLine="424" w:firstLineChars="202"/>
        <w:rPr>
          <w:rFonts w:cs="Times New Roman"/>
        </w:rPr>
      </w:pPr>
      <w:r>
        <w:rPr>
          <w:rFonts w:cs="Times New Roman"/>
        </w:rPr>
        <w:t>在发运之前，装置外露金属表面（除非另有规定，如阳极或铭牌）应按照ISO 10423进行保护。CRA表面不需要防腐蚀。</w:t>
      </w:r>
    </w:p>
    <w:p>
      <w:pPr>
        <w:ind w:firstLine="420"/>
        <w:rPr>
          <w:rFonts w:cs="Times New Roman"/>
        </w:rPr>
      </w:pPr>
      <w:r>
        <w:rPr>
          <w:rFonts w:cs="Times New Roman"/>
        </w:rPr>
        <w:t>若试验之后部件涂层有损伤，宜在贮存或发运之前对涂层进行修补。</w:t>
      </w:r>
    </w:p>
    <w:p>
      <w:pPr>
        <w:pStyle w:val="39"/>
      </w:pPr>
      <w:bookmarkStart w:id="209" w:name="_Toc95911862"/>
      <w:bookmarkStart w:id="210" w:name="_Toc112341771"/>
      <w:r>
        <w:t>密封面保护</w:t>
      </w:r>
      <w:bookmarkEnd w:id="209"/>
      <w:bookmarkEnd w:id="210"/>
    </w:p>
    <w:p>
      <w:pPr>
        <w:ind w:firstLine="420"/>
        <w:rPr>
          <w:rFonts w:cs="Times New Roman"/>
        </w:rPr>
      </w:pPr>
      <w:r>
        <w:rPr>
          <w:rFonts w:cs="Times New Roman"/>
        </w:rPr>
        <w:t>装置发运过程中，应防护裸露密封件、密封表面。运输箱的设计应确保在发运或贮存期间设备不会被搁在任何密封件或密封表面上。单件密封件应单独装箱或包装。</w:t>
      </w:r>
    </w:p>
    <w:p>
      <w:pPr>
        <w:pStyle w:val="39"/>
      </w:pPr>
      <w:bookmarkStart w:id="211" w:name="_Toc95911864"/>
      <w:bookmarkStart w:id="212" w:name="_Toc112341772"/>
      <w:r>
        <w:t>合成橡胶老化控制</w:t>
      </w:r>
      <w:bookmarkEnd w:id="211"/>
      <w:bookmarkEnd w:id="212"/>
    </w:p>
    <w:p>
      <w:pPr>
        <w:ind w:firstLine="420"/>
        <w:rPr>
          <w:rFonts w:cs="Times New Roman"/>
        </w:rPr>
      </w:pPr>
      <w:r>
        <w:rPr>
          <w:rFonts w:cs="Times New Roman"/>
        </w:rPr>
        <w:t>应将合成橡胶材料适宜的贮存环境、老化控制程序和防护方面有关的说明形成文件。设备上不得使用过期橡胶配件。</w:t>
      </w:r>
    </w:p>
    <w:p>
      <w:pPr>
        <w:pStyle w:val="39"/>
      </w:pPr>
      <w:bookmarkStart w:id="213" w:name="_Toc112341773"/>
      <w:bookmarkStart w:id="214" w:name="_Toc95911867"/>
      <w:r>
        <w:t>发运</w:t>
      </w:r>
      <w:bookmarkEnd w:id="213"/>
      <w:bookmarkEnd w:id="214"/>
    </w:p>
    <w:p>
      <w:pPr>
        <w:ind w:firstLine="420"/>
        <w:rPr>
          <w:rFonts w:cs="Times New Roman"/>
        </w:rPr>
      </w:pPr>
      <w:r>
        <w:rPr>
          <w:rFonts w:cs="Times New Roman"/>
        </w:rPr>
        <w:t>应制定并提供文件化的程序以确保装置的运输安全。</w:t>
      </w:r>
    </w:p>
    <w:p>
      <w:pPr>
        <w:pStyle w:val="39"/>
      </w:pPr>
      <w:bookmarkStart w:id="215" w:name="_Toc112341774"/>
      <w:bookmarkStart w:id="216" w:name="_Toc95911868"/>
      <w:r>
        <w:t>装配、安装和维护说明书</w:t>
      </w:r>
      <w:bookmarkEnd w:id="215"/>
      <w:bookmarkEnd w:id="216"/>
    </w:p>
    <w:p>
      <w:pPr>
        <w:ind w:firstLine="420"/>
        <w:rPr>
          <w:rFonts w:cs="Times New Roman"/>
        </w:rPr>
      </w:pPr>
      <w:r>
        <w:rPr>
          <w:rFonts w:cs="Times New Roman"/>
        </w:rPr>
        <w:t>应将装置现场装配、安装和维护有关说明形成文件，规定安全操作程序和作法。</w:t>
      </w:r>
    </w:p>
    <w:p>
      <w:pPr>
        <w:ind w:firstLine="420"/>
        <w:rPr>
          <w:rFonts w:cs="Times New Roman"/>
        </w:rPr>
      </w:pPr>
      <w:r>
        <w:rPr>
          <w:rFonts w:cs="Times New Roman"/>
        </w:rPr>
        <w:br w:type="page"/>
      </w:r>
    </w:p>
    <w:bookmarkEnd w:id="194"/>
    <w:bookmarkEnd w:id="195"/>
    <w:bookmarkEnd w:id="196"/>
    <w:p>
      <w:pPr>
        <w:pStyle w:val="66"/>
        <w:ind w:left="-1" w:leftChars="-52" w:hanging="108" w:hangingChars="45"/>
        <w:rPr>
          <w:sz w:val="21"/>
          <w:szCs w:val="21"/>
        </w:rPr>
      </w:pPr>
      <w:bookmarkStart w:id="217" w:name="_Toc112341775"/>
      <w:r>
        <w:t>采购指南</w:t>
      </w:r>
      <w:bookmarkEnd w:id="217"/>
    </w:p>
    <w:p>
      <w:pPr>
        <w:ind w:firstLine="422"/>
        <w:jc w:val="center"/>
        <w:rPr>
          <w:rFonts w:cs="Times New Roman"/>
          <w:b/>
        </w:rPr>
      </w:pPr>
      <w:r>
        <w:rPr>
          <w:rFonts w:cs="Times New Roman"/>
          <w:b/>
        </w:rPr>
        <w:t>（资料性）</w:t>
      </w:r>
    </w:p>
    <w:p>
      <w:pPr>
        <w:pStyle w:val="59"/>
        <w:rPr>
          <w:w w:val="100"/>
        </w:rPr>
      </w:pPr>
      <w:bookmarkStart w:id="218" w:name="_Toc110240543"/>
      <w:bookmarkStart w:id="219" w:name="_Toc107241820"/>
      <w:bookmarkStart w:id="220" w:name="_Toc108707079"/>
      <w:bookmarkStart w:id="221" w:name="_Toc109824159"/>
      <w:bookmarkStart w:id="222" w:name="_Toc109737148"/>
      <w:bookmarkStart w:id="223" w:name="_Toc107236138"/>
      <w:bookmarkStart w:id="224" w:name="_Toc106978335"/>
      <w:bookmarkStart w:id="225" w:name="_Toc109830226"/>
      <w:bookmarkStart w:id="226" w:name="_Toc109750181"/>
      <w:bookmarkStart w:id="227" w:name="_Toc112341776"/>
      <w:bookmarkStart w:id="228" w:name="_Toc107236143"/>
      <w:r>
        <w:rPr>
          <w:w w:val="100"/>
        </w:rPr>
        <w:t>总则</w:t>
      </w:r>
      <w:bookmarkEnd w:id="218"/>
      <w:bookmarkEnd w:id="219"/>
      <w:bookmarkEnd w:id="220"/>
      <w:bookmarkEnd w:id="221"/>
      <w:bookmarkEnd w:id="222"/>
      <w:bookmarkEnd w:id="223"/>
      <w:bookmarkEnd w:id="224"/>
      <w:bookmarkEnd w:id="225"/>
      <w:bookmarkEnd w:id="226"/>
      <w:bookmarkEnd w:id="227"/>
    </w:p>
    <w:p>
      <w:pPr>
        <w:ind w:firstLine="420"/>
        <w:rPr>
          <w:rFonts w:cs="Times New Roman"/>
        </w:rPr>
      </w:pPr>
      <w:r>
        <w:rPr>
          <w:rFonts w:hint="eastAsia" w:cs="Times New Roman"/>
        </w:rPr>
        <w:t>附录A</w:t>
      </w:r>
      <w:r>
        <w:rPr>
          <w:rFonts w:cs="Times New Roman"/>
        </w:rPr>
        <w:t>为水下井口装置的查询和购买提供指导和建议。</w:t>
      </w:r>
    </w:p>
    <w:p>
      <w:pPr>
        <w:pStyle w:val="59"/>
        <w:rPr>
          <w:w w:val="100"/>
        </w:rPr>
      </w:pPr>
      <w:bookmarkStart w:id="229" w:name="_Toc112341777"/>
      <w:r>
        <w:rPr>
          <w:w w:val="100"/>
        </w:rPr>
        <w:t>产品规范等级</w:t>
      </w:r>
      <w:bookmarkEnd w:id="229"/>
    </w:p>
    <w:p>
      <w:pPr>
        <w:ind w:firstLine="420"/>
        <w:rPr>
          <w:rFonts w:cs="Times New Roman"/>
        </w:rPr>
      </w:pPr>
      <w:r>
        <w:rPr>
          <w:rFonts w:cs="Times New Roman"/>
        </w:rPr>
        <w:t>产品规范等级适用于本文件规定的所有承压、控压件和成套装置。采购方负责确定产品规范等级。产品规范等级的选择取决于设备是ISO 10423中定义的主要设备还是次要设备。本文件中主要设备至少应包含：高压井口头、套管悬挂器、环空密封总成等。</w:t>
      </w:r>
    </w:p>
    <w:p>
      <w:pPr>
        <w:ind w:firstLine="420"/>
        <w:rPr>
          <w:rFonts w:cs="Times New Roman"/>
        </w:rPr>
      </w:pPr>
      <w:r>
        <w:rPr>
          <w:rFonts w:cs="Times New Roman"/>
        </w:rPr>
        <w:t>选择的推荐作法如图A.1所示。</w:t>
      </w:r>
    </w:p>
    <w:p>
      <w:pPr>
        <w:ind w:firstLine="420"/>
        <w:rPr>
          <w:rFonts w:cs="Times New Roman"/>
        </w:rPr>
      </w:pPr>
      <w:r>
        <w:rPr>
          <w:rFonts w:cs="Times New Roman"/>
        </w:rPr>
        <w:t>—</w:t>
      </w:r>
      <w:r>
        <w:rPr>
          <w:rFonts w:cs="Times New Roman"/>
        </w:rPr>
        <w:tab/>
      </w:r>
      <w:r>
        <w:rPr>
          <w:rFonts w:cs="Times New Roman"/>
        </w:rPr>
        <w:t>PSL 2：推荐用于一般（非酸性）用途，工作压力不超过34.5 MPa（5000 psi）。推荐用于工作压力不超过69.0MPa（10000 psi）的次要设备；</w:t>
      </w:r>
    </w:p>
    <w:p>
      <w:pPr>
        <w:ind w:firstLine="420"/>
        <w:rPr>
          <w:rFonts w:cs="Times New Roman"/>
          <w:color w:val="000000"/>
          <w:spacing w:val="-1"/>
        </w:rPr>
      </w:pPr>
      <w:r>
        <w:rPr>
          <w:rFonts w:cs="Times New Roman"/>
        </w:rPr>
        <w:t>—</w:t>
      </w:r>
      <w:r>
        <w:rPr>
          <w:rFonts w:cs="Times New Roman"/>
        </w:rPr>
        <w:tab/>
      </w:r>
      <w:r>
        <w:rPr>
          <w:rFonts w:cs="Times New Roman"/>
        </w:rPr>
        <w:t>PSL 3：推荐用于酸性环境、所有工作压</w:t>
      </w:r>
      <w:r>
        <w:rPr>
          <w:rFonts w:cs="Times New Roman"/>
          <w:color w:val="000000"/>
          <w:spacing w:val="-1"/>
        </w:rPr>
        <w:t>力的主要设备和压力超过 34.5MPa（5000 psi）一般用途的主要设备；推荐用于酸性或一般用途，压力超过 69MPa（10000 psi）或最高温度等级超过121</w:t>
      </w:r>
      <w:r>
        <w:rPr>
          <w:rFonts w:hint="eastAsia" w:ascii="宋体" w:hAnsi="宋体" w:cs="宋体"/>
          <w:color w:val="000000"/>
          <w:spacing w:val="-1"/>
        </w:rPr>
        <w:t>℃</w:t>
      </w:r>
      <w:r>
        <w:rPr>
          <w:rFonts w:cs="Times New Roman"/>
          <w:color w:val="000000"/>
          <w:spacing w:val="-1"/>
        </w:rPr>
        <w:t>（250</w:t>
      </w:r>
      <w:r>
        <w:rPr>
          <w:rFonts w:hint="eastAsia" w:ascii="宋体" w:hAnsi="宋体" w:cs="宋体"/>
          <w:color w:val="000000"/>
          <w:spacing w:val="-1"/>
        </w:rPr>
        <w:t>℉</w:t>
      </w:r>
      <w:r>
        <w:rPr>
          <w:rFonts w:cs="Times New Roman"/>
          <w:color w:val="000000"/>
          <w:spacing w:val="-1"/>
        </w:rPr>
        <w:t>）的主要和次要设备。导致用户考虑PSL3而不是PSL2的其他因素包括水深、封存流体或注入流体的成分、现场基础设施、维修难度、危险验收、环境的敏感性、现场有效寿命等。</w:t>
      </w:r>
    </w:p>
    <w:p>
      <w:pPr>
        <w:ind w:firstLine="416"/>
        <w:rPr>
          <w:rFonts w:cs="Times New Roman"/>
          <w:color w:val="000000"/>
          <w:spacing w:val="-1"/>
        </w:rPr>
      </w:pPr>
      <w:r>
        <w:rPr>
          <w:rFonts w:cs="Times New Roman"/>
          <w:color w:val="000000"/>
          <w:spacing w:val="-1"/>
        </w:rPr>
        <w:t>—</w:t>
      </w:r>
      <w:r>
        <w:rPr>
          <w:rFonts w:cs="Times New Roman"/>
          <w:color w:val="000000"/>
          <w:spacing w:val="-1"/>
        </w:rPr>
        <w:tab/>
      </w:r>
      <w:r>
        <w:rPr>
          <w:rFonts w:cs="Times New Roman"/>
          <w:color w:val="000000"/>
          <w:spacing w:val="-1"/>
        </w:rPr>
        <w:t>PSL3G：与PSL3推荐作法相同，另外还包括产气、具有高气油比或用于注气的井。</w:t>
      </w:r>
    </w:p>
    <w:p>
      <w:pPr>
        <w:ind w:firstLine="420"/>
        <w:rPr>
          <w:rFonts w:cs="Times New Roman"/>
        </w:rPr>
      </w:pPr>
      <w:r>
        <w:rPr>
          <w:rFonts w:cs="Times New Roman"/>
        </w:rPr>
        <w:t>—</w:t>
      </w:r>
      <w:r>
        <w:rPr>
          <w:rFonts w:cs="Times New Roman"/>
        </w:rPr>
        <w:tab/>
      </w:r>
      <w:r>
        <w:rPr>
          <w:rFonts w:cs="Times New Roman"/>
        </w:rPr>
        <w:t>PSL4S：预留给高温高压设备使用。</w:t>
      </w:r>
    </w:p>
    <w:p>
      <w:pPr>
        <w:pStyle w:val="70"/>
        <w:rPr>
          <w:rFonts w:cs="Times New Roman"/>
        </w:rPr>
      </w:pPr>
      <w:r>
        <w:drawing>
          <wp:inline distT="0" distB="0" distL="0" distR="0">
            <wp:extent cx="4333240" cy="3380105"/>
            <wp:effectExtent l="0" t="0" r="0" b="0"/>
            <wp:docPr id="687" name="图片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7"/>
                    <pic:cNvPicPr>
                      <a:picLocks noChangeAspect="1"/>
                    </pic:cNvPicPr>
                  </pic:nvPicPr>
                  <pic:blipFill>
                    <a:blip r:embed="rId18"/>
                    <a:stretch>
                      <a:fillRect/>
                    </a:stretch>
                  </pic:blipFill>
                  <pic:spPr>
                    <a:xfrm>
                      <a:off x="0" y="0"/>
                      <a:ext cx="4336229" cy="3382660"/>
                    </a:xfrm>
                    <a:prstGeom prst="rect">
                      <a:avLst/>
                    </a:prstGeom>
                  </pic:spPr>
                </pic:pic>
              </a:graphicData>
            </a:graphic>
          </wp:inline>
        </w:drawing>
      </w:r>
      <w:r>
        <w:rPr>
          <w:rStyle w:val="29"/>
          <w:rFonts w:cs="Times New Roman"/>
        </w:rPr>
        <w:endnoteReference w:id="1"/>
      </w:r>
    </w:p>
    <w:p>
      <w:pPr>
        <w:pStyle w:val="69"/>
      </w:pPr>
      <w:bookmarkStart w:id="230" w:name="1"/>
      <w:bookmarkEnd w:id="230"/>
      <w:r>
        <w:t>图 A</w:t>
      </w:r>
      <w:r>
        <w:rPr>
          <w:spacing w:val="-2"/>
        </w:rPr>
        <w:t xml:space="preserve">.1 </w:t>
      </w:r>
      <w:r>
        <w:tab/>
      </w:r>
      <w:r>
        <w:t>水下设备的产品规范等级决策图</w:t>
      </w:r>
    </w:p>
    <w:p>
      <w:pPr>
        <w:pStyle w:val="59"/>
        <w:rPr>
          <w:w w:val="100"/>
        </w:rPr>
      </w:pPr>
      <w:bookmarkStart w:id="231" w:name="_Toc109737151"/>
      <w:bookmarkStart w:id="232" w:name="_Toc107236141"/>
      <w:bookmarkStart w:id="233" w:name="_Toc109830229"/>
      <w:bookmarkStart w:id="234" w:name="_Toc106978338"/>
      <w:bookmarkStart w:id="235" w:name="_Toc109750184"/>
      <w:bookmarkStart w:id="236" w:name="_Toc110240546"/>
      <w:bookmarkStart w:id="237" w:name="_Toc109824162"/>
      <w:bookmarkStart w:id="238" w:name="_Toc112190701"/>
      <w:bookmarkStart w:id="239" w:name="_Toc107241823"/>
      <w:bookmarkStart w:id="240" w:name="_Toc108707082"/>
      <w:bookmarkStart w:id="241" w:name="_Toc112341778"/>
      <w:r>
        <w:rPr>
          <w:w w:val="100"/>
        </w:rPr>
        <w:t>材料级别</w:t>
      </w:r>
      <w:bookmarkEnd w:id="231"/>
      <w:bookmarkEnd w:id="232"/>
      <w:bookmarkEnd w:id="233"/>
      <w:bookmarkEnd w:id="234"/>
      <w:bookmarkEnd w:id="235"/>
      <w:bookmarkEnd w:id="236"/>
      <w:bookmarkEnd w:id="237"/>
      <w:bookmarkEnd w:id="238"/>
      <w:bookmarkEnd w:id="239"/>
      <w:bookmarkEnd w:id="240"/>
      <w:bookmarkEnd w:id="241"/>
    </w:p>
    <w:p>
      <w:pPr>
        <w:ind w:firstLine="420"/>
        <w:rPr>
          <w:rFonts w:cs="Times New Roman"/>
        </w:rPr>
      </w:pPr>
      <w:r>
        <w:rPr>
          <w:rFonts w:cs="Times New Roman"/>
        </w:rPr>
        <w:t>采购方可通过考虑下面列出的各种环境因素和生产参数，确定材料级别：</w:t>
      </w:r>
    </w:p>
    <w:p>
      <w:pPr>
        <w:ind w:firstLine="412"/>
        <w:rPr>
          <w:rFonts w:cs="Times New Roman"/>
        </w:rPr>
      </w:pPr>
      <w:r>
        <w:rPr>
          <w:rFonts w:cs="Times New Roman"/>
          <w:spacing w:val="-2"/>
        </w:rPr>
        <w:t>a</w:t>
      </w:r>
      <w:r>
        <w:rPr>
          <w:rFonts w:cs="Times New Roman"/>
        </w:rPr>
        <w:t>） 压力；</w:t>
      </w:r>
    </w:p>
    <w:p>
      <w:pPr>
        <w:ind w:firstLine="412"/>
        <w:rPr>
          <w:rFonts w:cs="Times New Roman"/>
        </w:rPr>
      </w:pPr>
      <w:r>
        <w:rPr>
          <w:rFonts w:cs="Times New Roman"/>
          <w:spacing w:val="-2"/>
        </w:rPr>
        <w:t>b</w:t>
      </w:r>
      <w:r>
        <w:rPr>
          <w:rFonts w:cs="Times New Roman"/>
        </w:rPr>
        <w:t>） 温度；</w:t>
      </w:r>
    </w:p>
    <w:p>
      <w:pPr>
        <w:ind w:firstLine="420"/>
        <w:rPr>
          <w:rFonts w:cs="Times New Roman"/>
        </w:rPr>
      </w:pPr>
      <w:r>
        <w:rPr>
          <w:rFonts w:cs="Times New Roman"/>
        </w:rPr>
        <w:t>c） 产出（注入）液组成（尤其是CO</w:t>
      </w:r>
      <w:r>
        <w:rPr>
          <w:rFonts w:cs="Times New Roman"/>
          <w:vertAlign w:val="subscript"/>
        </w:rPr>
        <w:t>2</w:t>
      </w:r>
      <w:r>
        <w:rPr>
          <w:rFonts w:cs="Times New Roman"/>
        </w:rPr>
        <w:t>、H</w:t>
      </w:r>
      <w:r>
        <w:rPr>
          <w:rFonts w:cs="Times New Roman"/>
          <w:vertAlign w:val="subscript"/>
        </w:rPr>
        <w:t>2</w:t>
      </w:r>
      <w:r>
        <w:rPr>
          <w:rFonts w:cs="Times New Roman"/>
        </w:rPr>
        <w:t>S、氯化物等）；</w:t>
      </w:r>
    </w:p>
    <w:p>
      <w:pPr>
        <w:ind w:firstLine="420"/>
        <w:rPr>
          <w:rFonts w:cs="Times New Roman"/>
        </w:rPr>
      </w:pPr>
      <w:r>
        <w:rPr>
          <w:rFonts w:cs="Times New Roman"/>
        </w:rPr>
        <w:t>d） 水或海水的 pH；</w:t>
      </w:r>
    </w:p>
    <w:p>
      <w:pPr>
        <w:ind w:firstLine="420"/>
        <w:rPr>
          <w:rFonts w:cs="Times New Roman"/>
        </w:rPr>
      </w:pPr>
      <w:r>
        <w:rPr>
          <w:rFonts w:cs="Times New Roman"/>
        </w:rPr>
        <w:t>e） 安装或操作过程中在海水中裸露；</w:t>
      </w:r>
    </w:p>
    <w:p>
      <w:pPr>
        <w:ind w:firstLine="420"/>
        <w:rPr>
          <w:rFonts w:cs="Times New Roman"/>
        </w:rPr>
      </w:pPr>
      <w:r>
        <w:rPr>
          <w:rFonts w:cs="Times New Roman"/>
        </w:rPr>
        <w:t>f） 使用防垢剂、防蜡剂、耐腐蚀剂或其他型式的抑制剂；</w:t>
      </w:r>
    </w:p>
    <w:p>
      <w:pPr>
        <w:ind w:firstLine="420"/>
        <w:rPr>
          <w:rFonts w:cs="Times New Roman"/>
        </w:rPr>
      </w:pPr>
      <w:r>
        <w:rPr>
          <w:rFonts w:cs="Times New Roman"/>
        </w:rPr>
        <w:t>g） 酸化处理的可能性和酸溶液浓度；</w:t>
      </w:r>
    </w:p>
    <w:p>
      <w:pPr>
        <w:ind w:firstLine="420"/>
        <w:rPr>
          <w:rFonts w:cs="Times New Roman"/>
        </w:rPr>
      </w:pPr>
      <w:r>
        <w:rPr>
          <w:rFonts w:cs="Times New Roman"/>
        </w:rPr>
        <w:t>h） 预期产量；</w:t>
      </w:r>
    </w:p>
    <w:p>
      <w:pPr>
        <w:ind w:firstLine="420"/>
        <w:rPr>
          <w:rFonts w:cs="Times New Roman"/>
        </w:rPr>
      </w:pPr>
      <w:r>
        <w:rPr>
          <w:rFonts w:cs="Times New Roman"/>
        </w:rPr>
        <w:t>i） 出砂和其他潜在的侵蚀；</w:t>
      </w:r>
    </w:p>
    <w:p>
      <w:pPr>
        <w:ind w:firstLine="420"/>
        <w:rPr>
          <w:rFonts w:cs="Times New Roman"/>
        </w:rPr>
      </w:pPr>
      <w:r>
        <w:rPr>
          <w:rFonts w:cs="Times New Roman"/>
        </w:rPr>
        <w:t>j） 预期的使用寿命；</w:t>
      </w:r>
    </w:p>
    <w:p>
      <w:pPr>
        <w:ind w:firstLine="420"/>
        <w:rPr>
          <w:rFonts w:cs="Times New Roman"/>
        </w:rPr>
      </w:pPr>
      <w:r>
        <w:rPr>
          <w:rFonts w:cs="Times New Roman"/>
        </w:rPr>
        <w:t>k） 会影响压力、温度或流体含量的将来操作；</w:t>
      </w:r>
    </w:p>
    <w:p>
      <w:pPr>
        <w:ind w:firstLine="396"/>
        <w:rPr>
          <w:rFonts w:cs="Times New Roman"/>
        </w:rPr>
      </w:pPr>
      <w:r>
        <w:rPr>
          <w:rFonts w:cs="Times New Roman"/>
          <w:spacing w:val="-6"/>
        </w:rPr>
        <w:t>l</w:t>
      </w:r>
      <w:r>
        <w:rPr>
          <w:rFonts w:cs="Times New Roman"/>
        </w:rPr>
        <w:t>） 风险分析。</w:t>
      </w:r>
    </w:p>
    <w:p>
      <w:pPr>
        <w:ind w:firstLine="420"/>
        <w:rPr>
          <w:rFonts w:cs="Times New Roman"/>
        </w:rPr>
      </w:pPr>
      <w:r>
        <w:rPr>
          <w:rFonts w:cs="Times New Roman"/>
        </w:rPr>
        <w:t>注：腐蚀、应力腐蚀开裂、侵蚀腐蚀和硫化物应力开裂均受到环境因素和生产参数相互作用的影响。未列出的其他因素也会影响流体腐蚀性。</w:t>
      </w:r>
    </w:p>
    <w:p>
      <w:pPr>
        <w:pStyle w:val="59"/>
        <w:rPr>
          <w:w w:val="100"/>
        </w:rPr>
      </w:pPr>
      <w:bookmarkStart w:id="242" w:name="_Toc110240547"/>
      <w:bookmarkStart w:id="243" w:name="_Toc107236142"/>
      <w:bookmarkStart w:id="244" w:name="_Ref112326753"/>
      <w:bookmarkStart w:id="245" w:name="_Toc107241824"/>
      <w:bookmarkStart w:id="246" w:name="_Toc109737152"/>
      <w:bookmarkStart w:id="247" w:name="_Toc109750185"/>
      <w:bookmarkStart w:id="248" w:name="_Ref112326747"/>
      <w:bookmarkStart w:id="249" w:name="_Toc109824163"/>
      <w:bookmarkStart w:id="250" w:name="_Toc108707083"/>
      <w:bookmarkStart w:id="251" w:name="_Toc112190702"/>
      <w:bookmarkStart w:id="252" w:name="_Toc109830230"/>
      <w:bookmarkStart w:id="253" w:name="_Toc106978339"/>
      <w:bookmarkStart w:id="254" w:name="_Toc112341779"/>
      <w:r>
        <w:rPr>
          <w:w w:val="100"/>
        </w:rPr>
        <w:t>数据表</w:t>
      </w:r>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67"/>
        <w:rPr>
          <w:w w:val="100"/>
        </w:rPr>
      </w:pPr>
      <w:r>
        <w:rPr>
          <w:w w:val="100"/>
        </w:rPr>
        <w:t>总则</w:t>
      </w:r>
    </w:p>
    <w:p>
      <w:pPr>
        <w:ind w:firstLine="420"/>
        <w:rPr>
          <w:rFonts w:cs="Times New Roman"/>
        </w:rPr>
      </w:pPr>
      <w:r>
        <w:rPr>
          <w:rFonts w:cs="Times New Roman"/>
          <w:spacing w:val="-2"/>
        </w:rPr>
        <w:fldChar w:fldCharType="begin"/>
      </w:r>
      <w:r>
        <w:rPr>
          <w:rFonts w:cs="Times New Roman"/>
          <w:spacing w:val="-2"/>
        </w:rPr>
        <w:instrText xml:space="preserve"> REF _Ref112326753 \n \h </w:instrText>
      </w:r>
      <w:r>
        <w:rPr>
          <w:rFonts w:cs="Times New Roman"/>
          <w:spacing w:val="-2"/>
        </w:rPr>
        <w:fldChar w:fldCharType="separate"/>
      </w:r>
      <w:r>
        <w:rPr>
          <w:rFonts w:cs="Times New Roman"/>
          <w:spacing w:val="-2"/>
        </w:rPr>
        <w:t>A.4</w:t>
      </w:r>
      <w:r>
        <w:rPr>
          <w:rFonts w:cs="Times New Roman"/>
          <w:spacing w:val="-2"/>
        </w:rPr>
        <w:fldChar w:fldCharType="end"/>
      </w:r>
      <w:r>
        <w:rPr>
          <w:rFonts w:cs="Times New Roman"/>
        </w:rPr>
        <w:t>为水下井口装置的查询和购买提供了推荐的数据表。</w:t>
      </w:r>
    </w:p>
    <w:p>
      <w:pPr>
        <w:ind w:firstLine="420"/>
        <w:rPr>
          <w:rFonts w:cs="Times New Roman"/>
        </w:rPr>
      </w:pPr>
      <w:r>
        <w:rPr>
          <w:rFonts w:cs="Times New Roman"/>
        </w:rPr>
        <w:t>该数据表是为了收集使用水下井口装置的主要信息，其目标包括：</w:t>
      </w:r>
    </w:p>
    <w:p>
      <w:pPr>
        <w:pStyle w:val="45"/>
        <w:numPr>
          <w:ilvl w:val="0"/>
          <w:numId w:val="39"/>
        </w:numPr>
        <w:ind w:firstLineChars="0"/>
        <w:rPr>
          <w:rFonts w:cs="Times New Roman"/>
        </w:rPr>
      </w:pPr>
      <w:r>
        <w:rPr>
          <w:rFonts w:cs="Times New Roman"/>
        </w:rPr>
        <w:t>帮助采购方决定合适的设备；</w:t>
      </w:r>
    </w:p>
    <w:p>
      <w:pPr>
        <w:pStyle w:val="45"/>
        <w:numPr>
          <w:ilvl w:val="0"/>
          <w:numId w:val="39"/>
        </w:numPr>
        <w:ind w:firstLineChars="0"/>
        <w:rPr>
          <w:rFonts w:cs="Times New Roman"/>
        </w:rPr>
      </w:pPr>
      <w:r>
        <w:rPr>
          <w:rFonts w:cs="Times New Roman"/>
        </w:rPr>
        <w:t>协助用户/采购商向制造商传达设计、生产设备的需求和要求；</w:t>
      </w:r>
    </w:p>
    <w:p>
      <w:pPr>
        <w:pStyle w:val="45"/>
        <w:numPr>
          <w:ilvl w:val="0"/>
          <w:numId w:val="39"/>
        </w:numPr>
        <w:ind w:firstLineChars="0"/>
        <w:rPr>
          <w:rFonts w:cs="Times New Roman"/>
        </w:rPr>
      </w:pPr>
      <w:r>
        <w:rPr>
          <w:rFonts w:cs="Times New Roman"/>
        </w:rPr>
        <w:t>促进关于用户/购买方需求的沟通，以及供应商优选。</w:t>
      </w:r>
    </w:p>
    <w:p>
      <w:pPr>
        <w:pStyle w:val="67"/>
        <w:rPr>
          <w:w w:val="100"/>
        </w:rPr>
      </w:pPr>
      <w:r>
        <w:rPr>
          <w:w w:val="100"/>
        </w:rPr>
        <w:t>井口装置数据表</w:t>
      </w:r>
    </w:p>
    <w:p>
      <w:pPr>
        <w:spacing w:line="360" w:lineRule="auto"/>
        <w:ind w:firstLine="0" w:firstLineChars="0"/>
        <w:rPr>
          <w:rFonts w:cs="Times New Roman"/>
        </w:rPr>
      </w:pPr>
      <w:r>
        <w:rPr>
          <w:rFonts w:cs="Times New Roman"/>
        </w:rPr>
        <mc:AlternateContent>
          <mc:Choice Requires="wps">
            <w:drawing>
              <wp:anchor distT="0" distB="0" distL="114300" distR="114300" simplePos="0" relativeHeight="251668480" behindDoc="0" locked="0" layoutInCell="1" hidden="1" allowOverlap="1">
                <wp:simplePos x="0" y="0"/>
                <wp:positionH relativeFrom="column">
                  <wp:posOffset>0</wp:posOffset>
                </wp:positionH>
                <wp:positionV relativeFrom="paragraph">
                  <wp:posOffset>0</wp:posOffset>
                </wp:positionV>
                <wp:extent cx="635000" cy="635000"/>
                <wp:effectExtent l="9525" t="9525" r="12700" b="12700"/>
                <wp:wrapNone/>
                <wp:docPr id="106" name="文本框 1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pt;height:50pt;width:50pt;visibility:hidden;z-index:251668480;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Q/qy0AAAAAUBAAAPAAAAAAAAAAEAIAAAACIAAABk&#10;cnMvZG93bnJldi54bWxQSwECFAAUAAAACACHTuJA32aNOUcCAACXBAAADgAAAAAAAAABACAAAAAf&#10;AQAAZHJzL2Uyb0RvYy54bWxQSwUGAAAAAAYABgBZAQAA2AUAAAAA&#1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72576" behindDoc="0" locked="0" layoutInCell="1" hidden="1" allowOverlap="1">
                <wp:simplePos x="0" y="0"/>
                <wp:positionH relativeFrom="column">
                  <wp:posOffset>0</wp:posOffset>
                </wp:positionH>
                <wp:positionV relativeFrom="paragraph">
                  <wp:posOffset>0</wp:posOffset>
                </wp:positionV>
                <wp:extent cx="635000" cy="635000"/>
                <wp:effectExtent l="9525" t="9525" r="12700" b="12700"/>
                <wp:wrapNone/>
                <wp:docPr id="105" name="文本框 1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pt;height:50pt;width:50pt;visibility:hidden;z-index:251672576;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&#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Q/qy0AAAAAUBAAAPAAAAAAAAAAEAIAAAACIAAABk&#10;cnMvZG93bnJldi54bWxQSwECFAAUAAAACACHTuJALad+H0cCAACXBAAADgAAAAAAAAABACAAAAAf&#10;AQAAZHJzL2Uyb0RvYy54bWxQSwUGAAAAAAYABgBZAQAA2AUAAAAA&#1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73600" behindDoc="0" locked="0" layoutInCell="1" hidden="1" allowOverlap="1">
                <wp:simplePos x="0" y="0"/>
                <wp:positionH relativeFrom="column">
                  <wp:posOffset>0</wp:posOffset>
                </wp:positionH>
                <wp:positionV relativeFrom="paragraph">
                  <wp:posOffset>0</wp:posOffset>
                </wp:positionV>
                <wp:extent cx="635000" cy="635000"/>
                <wp:effectExtent l="9525" t="0" r="12700" b="0"/>
                <wp:wrapNone/>
                <wp:docPr id="104" name="任意多边形 1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5942"/>
                            <a:gd name="T1" fmla="*/ 24 h 48"/>
                            <a:gd name="T2" fmla="*/ 0 w 45942"/>
                            <a:gd name="T3" fmla="*/ 24 h 48"/>
                            <a:gd name="T4" fmla="*/ 45942 w 45942"/>
                            <a:gd name="T5" fmla="*/ 24 h 48"/>
                          </a:gdLst>
                          <a:ahLst/>
                          <a:cxnLst>
                            <a:cxn ang="0">
                              <a:pos x="T0" y="T1"/>
                            </a:cxn>
                            <a:cxn ang="0">
                              <a:pos x="T2" y="T3"/>
                            </a:cxn>
                            <a:cxn ang="0">
                              <a:pos x="T4" y="T5"/>
                            </a:cxn>
                          </a:cxnLst>
                          <a:rect l="0" t="0" r="r" b="b"/>
                          <a:pathLst>
                            <a:path w="45942" h="48">
                              <a:moveTo>
                                <a:pt x="0" y="24"/>
                              </a:moveTo>
                              <a:lnTo>
                                <a:pt x="0" y="24"/>
                              </a:lnTo>
                              <a:lnTo>
                                <a:pt x="45942" y="24"/>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73600;mso-width-relative:page;mso-height-relative:page;" fillcolor="#FFFFFF" filled="t" stroked="t" coordsize="45942,48" o:gfxdata="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r/wGjdEA&#10;AAAFAQAADwAAAAAAAAABACAAAAAiAAAAZHJzL2Rvd25yZXYueG1sUEsBAhQAFAAAAAgAh07iQI7m&#10;+QkKAwAA7QYAAA4AAAAAAAAAAQAgAAAAIAEAAGRycy9lMm9Eb2MueG1sUEsFBgAAAAAGAAYAWQEA&#10;AJwGAAAAAA==&#10;" path="m0,24l0,24,45942,24e">
                <v:path o:connectlocs="0,317500;0,317500;635000,3175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69504" behindDoc="0" locked="0" layoutInCell="1" hidden="1" allowOverlap="1">
                <wp:simplePos x="0" y="0"/>
                <wp:positionH relativeFrom="column">
                  <wp:posOffset>0</wp:posOffset>
                </wp:positionH>
                <wp:positionV relativeFrom="paragraph">
                  <wp:posOffset>0</wp:posOffset>
                </wp:positionV>
                <wp:extent cx="635000" cy="635000"/>
                <wp:effectExtent l="0" t="9525" r="0" b="12700"/>
                <wp:wrapNone/>
                <wp:docPr id="103" name="任意多边形 1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69504;mso-width-relative:page;mso-height-relative:page;" fillcolor="#FFFFFF" filled="t" stroked="t" coordsize="250,650" o:gfxdata="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uYxUV0QAAAAUB&#10;AAAPAAAAAAAAAAEAIAAAACIAAABkcnMvZG93bnJldi54bWxQSwECFAAUAAAACACHTuJAqm4iewYD&#10;AADrBgAADgAAAAAAAAABACAAAAAgAQAAZHJzL2Uyb0RvYy54bWxQSwUGAAAAAAYABgBZAQAAmAYA&#10;AAAA&#10;" path="m125,0l125,0,125,650e">
                <v:path o:connectlocs="317500,0;317500,0;317500,635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74624" behindDoc="0" locked="0" layoutInCell="1" allowOverlap="1">
                <wp:simplePos x="0" y="0"/>
                <wp:positionH relativeFrom="page">
                  <wp:posOffset>3760470</wp:posOffset>
                </wp:positionH>
                <wp:positionV relativeFrom="page">
                  <wp:posOffset>10299700</wp:posOffset>
                </wp:positionV>
                <wp:extent cx="31750" cy="82550"/>
                <wp:effectExtent l="17145" t="12700" r="0" b="0"/>
                <wp:wrapNone/>
                <wp:docPr id="102" name="任意多边形 102"/>
                <wp:cNvGraphicFramePr/>
                <a:graphic xmlns:a="http://schemas.openxmlformats.org/drawingml/2006/main">
                  <a:graphicData uri="http://schemas.microsoft.com/office/word/2010/wordprocessingShape">
                    <wps:wsp>
                      <wps:cNvSpPr>
                        <a:spLocks noChangeArrowheads="1"/>
                      </wps:cNvSpPr>
                      <wps:spPr bwMode="auto">
                        <a:xfrm>
                          <a:off x="0" y="0"/>
                          <a:ext cx="31750" cy="82550"/>
                        </a:xfrm>
                        <a:custGeom>
                          <a:avLst/>
                          <a:gdLst>
                            <a:gd name="T0" fmla="*/ 125 w 21600"/>
                            <a:gd name="T1" fmla="*/ 0 h 21600"/>
                            <a:gd name="T2" fmla="*/ 125 w 21600"/>
                            <a:gd name="T3" fmla="*/ 0 h 21600"/>
                            <a:gd name="T4" fmla="*/ 125 w 21600"/>
                            <a:gd name="T5" fmla="*/ 650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125" y="0"/>
                              </a:moveTo>
                              <a:lnTo>
                                <a:pt x="125" y="0"/>
                              </a:lnTo>
                              <a:lnTo>
                                <a:pt x="125" y="650"/>
                              </a:lnTo>
                            </a:path>
                          </a:pathLst>
                        </a:custGeom>
                        <a:solidFill>
                          <a:srgbClr val="FFFFFF">
                            <a:alpha val="0"/>
                          </a:srgbClr>
                        </a:solidFill>
                        <a:ln w="2540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6.1pt;margin-top:811pt;height:6.5pt;width:2.5pt;mso-position-horizontal-relative:page;mso-position-vertical-relative:page;z-index:251674624;mso-width-relative:page;mso-height-relative:page;" fillcolor="#FFFFFF" filled="t" stroked="t" coordsize="21600,21600" o:gfxdata="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P52d8PdAAAADQEAAA8AAAAA&#10;AAAAAQAgAAAAIgAAAGRycy9kb3ducmV2LnhtbFBLAQIUABQAAAAIAIdO4kD8dbH8LAMAAKUHAAAO&#10;AAAAAAAAAAEAIAAAACwBAABkcnMvZTJvRG9jLnhtbFBLBQYAAAAABgAGAFkBAADKBgAAAAA=&#10;" path="m125,0l125,0,125,650e">
                <v:path o:connectlocs="183,0;183,0;183,2484" o:connectangles="0,0,0"/>
                <v:fill on="t" opacity="0f" focussize="0,0"/>
                <v:stroke weight="2pt" color="#FFFFFF" miterlimit="8" joinstyle="miter"/>
                <v:imagedata o:title=""/>
                <o:lock v:ext="edit" aspectratio="f"/>
              </v:shape>
            </w:pict>
          </mc:Fallback>
        </mc:AlternateContent>
      </w:r>
      <w:r>
        <w:rPr>
          <w:rFonts w:cs="Times New Roman"/>
        </w:rPr>
        <mc:AlternateContent>
          <mc:Choice Requires="wps">
            <w:drawing>
              <wp:anchor distT="0" distB="0" distL="114300" distR="114300" simplePos="0" relativeHeight="251670528" behindDoc="0" locked="0" layoutInCell="1" hidden="1" allowOverlap="1">
                <wp:simplePos x="0" y="0"/>
                <wp:positionH relativeFrom="column">
                  <wp:posOffset>0</wp:posOffset>
                </wp:positionH>
                <wp:positionV relativeFrom="paragraph">
                  <wp:posOffset>0</wp:posOffset>
                </wp:positionV>
                <wp:extent cx="635000" cy="635000"/>
                <wp:effectExtent l="0" t="9525" r="0" b="12700"/>
                <wp:wrapNone/>
                <wp:docPr id="101" name="任意多边形 1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70528;mso-width-relative:page;mso-height-relative:page;" fillcolor="#FFFFFF" filled="t" stroked="t" coordsize="250,650" o:gfxdata="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G5jFRXRAAAA&#10;BQEAAA8AAAAAAAAAAQAgAAAAIgAAAGRycy9kb3ducmV2LnhtbFBLAQIUABQAAAAIAIdO4kCYEtbn&#10;CAMAAOsGAAAOAAAAAAAAAAEAIAAAACABAABkcnMvZTJvRG9jLnhtbFBLBQYAAAAABgAGAFkBAACa&#10;BgAAAAA=&#10;" path="m125,0l125,0,125,650e">
                <v:path o:connectlocs="317500,0;317500,0;317500,635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75648" behindDoc="0" locked="0" layoutInCell="1" allowOverlap="1">
                <wp:simplePos x="0" y="0"/>
                <wp:positionH relativeFrom="page">
                  <wp:posOffset>3760470</wp:posOffset>
                </wp:positionH>
                <wp:positionV relativeFrom="page">
                  <wp:posOffset>10375900</wp:posOffset>
                </wp:positionV>
                <wp:extent cx="31750" cy="82550"/>
                <wp:effectExtent l="17145" t="12700" r="0" b="0"/>
                <wp:wrapNone/>
                <wp:docPr id="100" name="任意多边形 100"/>
                <wp:cNvGraphicFramePr/>
                <a:graphic xmlns:a="http://schemas.openxmlformats.org/drawingml/2006/main">
                  <a:graphicData uri="http://schemas.microsoft.com/office/word/2010/wordprocessingShape">
                    <wps:wsp>
                      <wps:cNvSpPr>
                        <a:spLocks noChangeArrowheads="1"/>
                      </wps:cNvSpPr>
                      <wps:spPr bwMode="auto">
                        <a:xfrm>
                          <a:off x="0" y="0"/>
                          <a:ext cx="31750" cy="82550"/>
                        </a:xfrm>
                        <a:custGeom>
                          <a:avLst/>
                          <a:gdLst>
                            <a:gd name="T0" fmla="*/ 125 w 21600"/>
                            <a:gd name="T1" fmla="*/ 0 h 21600"/>
                            <a:gd name="T2" fmla="*/ 125 w 21600"/>
                            <a:gd name="T3" fmla="*/ 0 h 21600"/>
                            <a:gd name="T4" fmla="*/ 125 w 21600"/>
                            <a:gd name="T5" fmla="*/ 650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125" y="0"/>
                              </a:moveTo>
                              <a:lnTo>
                                <a:pt x="125" y="0"/>
                              </a:lnTo>
                              <a:lnTo>
                                <a:pt x="125" y="650"/>
                              </a:lnTo>
                            </a:path>
                          </a:pathLst>
                        </a:custGeom>
                        <a:solidFill>
                          <a:srgbClr val="FFFFFF">
                            <a:alpha val="0"/>
                          </a:srgbClr>
                        </a:solidFill>
                        <a:ln w="2540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6.1pt;margin-top:817pt;height:6.5pt;width:2.5pt;mso-position-horizontal-relative:page;mso-position-vertical-relative:page;z-index:251675648;mso-width-relative:page;mso-height-relative:page;" fillcolor="#FFFFFF" filled="t" stroked="t" coordsize="21600,21600" o:gfxdata="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NorXbPdAAAADQEAAA8AAAAA&#10;AAAAAQAgAAAAIgAAAGRycy9kb3ducmV2LnhtbFBLAQIUABQAAAAIAIdO4kAyz0DpLAMAAKUHAAAO&#10;AAAAAAAAAAEAIAAAACwBAABkcnMvZTJvRG9jLnhtbFBLBQYAAAAABgAGAFkBAADKBgAAAAA=&#10;" path="m125,0l125,0,125,650e">
                <v:path o:connectlocs="183,0;183,0;183,2484" o:connectangles="0,0,0"/>
                <v:fill on="t" opacity="0f" focussize="0,0"/>
                <v:stroke weight="2pt" color="#FFFFFF" miterlimit="8" joinstyle="miter"/>
                <v:imagedata o:title=""/>
                <o:lock v:ext="edit" aspectratio="f"/>
              </v:shape>
            </w:pict>
          </mc:Fallback>
        </mc:AlternateContent>
      </w:r>
      <w:r>
        <w:rPr>
          <w:rFonts w:cs="Times New Roman"/>
        </w:rPr>
        <mc:AlternateContent>
          <mc:Choice Requires="wps">
            <w:drawing>
              <wp:anchor distT="0" distB="0" distL="114300" distR="114300" simplePos="0" relativeHeight="251671552" behindDoc="0" locked="0" layoutInCell="1" hidden="1" allowOverlap="1">
                <wp:simplePos x="0" y="0"/>
                <wp:positionH relativeFrom="column">
                  <wp:posOffset>0</wp:posOffset>
                </wp:positionH>
                <wp:positionV relativeFrom="paragraph">
                  <wp:posOffset>0</wp:posOffset>
                </wp:positionV>
                <wp:extent cx="635000" cy="635000"/>
                <wp:effectExtent l="9525" t="9525" r="0" b="12700"/>
                <wp:wrapNone/>
                <wp:docPr id="99" name="任意多边形 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330"/>
                            <a:gd name="T1" fmla="*/ 0 h 330"/>
                            <a:gd name="T2" fmla="*/ 330 h 330"/>
                          </a:gdLst>
                          <a:ahLst/>
                          <a:cxnLst>
                            <a:cxn ang="0">
                              <a:pos x="0" y="T0"/>
                            </a:cxn>
                            <a:cxn ang="0">
                              <a:pos x="0" y="T1"/>
                            </a:cxn>
                            <a:cxn ang="0">
                              <a:pos x="0" y="T2"/>
                            </a:cxn>
                          </a:cxnLst>
                          <a:rect l="0" t="0" r="r" b="b"/>
                          <a:pathLst>
                            <a:path h="330">
                              <a:moveTo>
                                <a:pt x="0" y="0"/>
                              </a:moveTo>
                              <a:lnTo>
                                <a:pt x="0" y="0"/>
                              </a:lnTo>
                              <a:lnTo>
                                <a:pt x="0" y="33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71552;mso-width-relative:page;mso-height-relative:page;" fillcolor="#FFFFFF" filled="t" stroked="t" coordsize="1,330" o:gfxdata="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7RtjA0gAAAAUBAAAPAAAAAAAAAAEAIAAAACIAAABkcnMvZG93bnJldi54bWxQSwECFAAU&#10;AAAACACHTuJAA8nBHtsCAABpBgAADgAAAAAAAAABACAAAAAhAQAAZHJzL2Uyb0RvYy54bWxQSwUG&#10;AAAAAAYABgBZAQAAbgYAAAAA&#10;" path="m0,0l0,0,0,330e">
                <v:path o:connectlocs="0,0;0,0;0,635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76672" behindDoc="0" locked="0" layoutInCell="1" allowOverlap="1">
                <wp:simplePos x="0" y="0"/>
                <wp:positionH relativeFrom="page">
                  <wp:posOffset>3395980</wp:posOffset>
                </wp:positionH>
                <wp:positionV relativeFrom="page">
                  <wp:posOffset>10126980</wp:posOffset>
                </wp:positionV>
                <wp:extent cx="0" cy="41910"/>
                <wp:effectExtent l="5080" t="11430" r="13970" b="0"/>
                <wp:wrapNone/>
                <wp:docPr id="98" name="任意多边形 98"/>
                <wp:cNvGraphicFramePr/>
                <a:graphic xmlns:a="http://schemas.openxmlformats.org/drawingml/2006/main">
                  <a:graphicData uri="http://schemas.microsoft.com/office/word/2010/wordprocessingShape">
                    <wps:wsp>
                      <wps:cNvSpPr>
                        <a:spLocks noChangeArrowheads="1"/>
                      </wps:cNvSpPr>
                      <wps:spPr bwMode="auto">
                        <a:xfrm>
                          <a:off x="0" y="0"/>
                          <a:ext cx="0" cy="41910"/>
                        </a:xfrm>
                        <a:custGeom>
                          <a:avLst/>
                          <a:gdLst>
                            <a:gd name="T0" fmla="*/ 0 w 21600"/>
                            <a:gd name="T1" fmla="*/ 0 h 21600"/>
                            <a:gd name="T2" fmla="*/ 0 w 21600"/>
                            <a:gd name="T3" fmla="*/ 0 h 21600"/>
                            <a:gd name="T4" fmla="*/ 0 w 21600"/>
                            <a:gd name="T5" fmla="*/ 330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0"/>
                              </a:moveTo>
                              <a:lnTo>
                                <a:pt x="0" y="0"/>
                              </a:lnTo>
                              <a:lnTo>
                                <a:pt x="0" y="330"/>
                              </a:lnTo>
                            </a:path>
                          </a:pathLst>
                        </a:custGeom>
                        <a:solidFill>
                          <a:srgbClr val="FFFFFF">
                            <a:alpha val="0"/>
                          </a:srgbClr>
                        </a:solidFill>
                        <a:ln w="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67.4pt;margin-top:797.4pt;height:3.3pt;width:0pt;mso-position-horizontal-relative:page;mso-position-vertical-relative:page;z-index:251676672;mso-width-relative:page;mso-height-relative:page;" fillcolor="#FFFFFF" filled="t" stroked="t" coordsize="21600,21600" o:gfxdata="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bIEoMdoAAAANAQAADwAAAAAAAAABACAAAAAiAAAAZHJz&#10;L2Rvd25yZXYueG1sUEsBAhQAFAAAAAgAh07iQAMjub0fAwAAjwcAAA4AAAAAAAAAAQAgAAAAKQEA&#10;AGRycy9lMm9Eb2MueG1sUEsFBgAAAAAGAAYAWQEAALoGAAAAAA==&#10;" path="m0,0l0,0,0,330e">
                <v:path o:connectlocs="0,0;0,0;0,640" o:connectangles="0,0,0"/>
                <v:fill on="t" opacity="0f" focussize="0,0"/>
                <v:stroke weight="0pt" color="#FFFFFF" miterlimit="8" joinstyle="miter"/>
                <v:imagedata o:title=""/>
                <o:lock v:ext="edit" aspectratio="f"/>
              </v:shape>
            </w:pict>
          </mc:Fallback>
        </mc:AlternateContent>
      </w:r>
      <w:r>
        <w:rPr>
          <w:rFonts w:hint="eastAsia" w:cs="Times New Roman"/>
        </w:rPr>
        <w:t>a）水位与水深</w:t>
      </w:r>
    </w:p>
    <w:tbl>
      <w:tblPr>
        <w:tblStyle w:val="27"/>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2737"/>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2832" w:type="dxa"/>
          </w:tcPr>
          <w:p>
            <w:pPr>
              <w:spacing w:after="200" w:line="268" w:lineRule="exact"/>
              <w:ind w:firstLine="0" w:firstLineChars="0"/>
              <w:rPr>
                <w:rFonts w:cs="Times New Roman"/>
              </w:rPr>
            </w:pPr>
          </w:p>
        </w:tc>
        <w:tc>
          <w:tcPr>
            <w:tcW w:w="2737" w:type="dxa"/>
          </w:tcPr>
          <w:p>
            <w:pPr>
              <w:ind w:firstLine="0" w:firstLineChars="0"/>
              <w:rPr>
                <w:rFonts w:cs="Times New Roman"/>
              </w:rPr>
            </w:pPr>
            <w:r>
              <w:rPr>
                <w:rFonts w:cs="Times New Roman"/>
              </w:rPr>
              <w:t>描述</w:t>
            </w:r>
          </w:p>
        </w:tc>
        <w:tc>
          <w:tcPr>
            <w:tcW w:w="2745" w:type="dxa"/>
          </w:tcPr>
          <w:p>
            <w:pPr>
              <w:ind w:firstLine="0" w:firstLineChars="0"/>
              <w:rPr>
                <w:rFonts w:cs="Times New Roman"/>
              </w:rPr>
            </w:pPr>
            <w:r>
              <w:rPr>
                <w:rFonts w:cs="Times New Roman"/>
              </w:rPr>
              <w:t>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2832" w:type="dxa"/>
          </w:tcPr>
          <w:p>
            <w:pPr>
              <w:ind w:firstLine="0" w:firstLineChars="0"/>
              <w:rPr>
                <w:rFonts w:cs="Times New Roman"/>
              </w:rPr>
            </w:pPr>
            <w:r>
              <w:rPr>
                <w:rFonts w:cs="Times New Roman"/>
              </w:rPr>
              <w:t>井数</w:t>
            </w:r>
          </w:p>
        </w:tc>
        <w:tc>
          <w:tcPr>
            <w:tcW w:w="2737" w:type="dxa"/>
          </w:tcPr>
          <w:p>
            <w:pPr>
              <w:spacing w:after="200" w:line="258" w:lineRule="exact"/>
              <w:ind w:firstLine="0" w:firstLineChars="0"/>
              <w:rPr>
                <w:rFonts w:cs="Times New Roman"/>
              </w:rPr>
            </w:pPr>
          </w:p>
        </w:tc>
        <w:tc>
          <w:tcPr>
            <w:tcW w:w="2745" w:type="dxa"/>
          </w:tcPr>
          <w:p>
            <w:pPr>
              <w:spacing w:after="200" w:line="258" w:lineRule="exa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2832" w:type="dxa"/>
          </w:tcPr>
          <w:p>
            <w:pPr>
              <w:ind w:firstLine="0" w:firstLineChars="0"/>
              <w:rPr>
                <w:rFonts w:cs="Times New Roman"/>
              </w:rPr>
            </w:pPr>
            <w:r>
              <w:rPr>
                <w:rFonts w:cs="Times New Roman"/>
              </w:rPr>
              <w:t>井标识</w:t>
            </w:r>
          </w:p>
        </w:tc>
        <w:tc>
          <w:tcPr>
            <w:tcW w:w="2737" w:type="dxa"/>
          </w:tcPr>
          <w:p>
            <w:pPr>
              <w:spacing w:after="200" w:line="258" w:lineRule="exact"/>
              <w:ind w:firstLine="0" w:firstLineChars="0"/>
              <w:rPr>
                <w:rFonts w:cs="Times New Roman"/>
              </w:rPr>
            </w:pPr>
          </w:p>
        </w:tc>
        <w:tc>
          <w:tcPr>
            <w:tcW w:w="2745" w:type="dxa"/>
          </w:tcPr>
          <w:p>
            <w:pPr>
              <w:spacing w:after="200" w:line="258" w:lineRule="exa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2832" w:type="dxa"/>
          </w:tcPr>
          <w:p>
            <w:pPr>
              <w:ind w:firstLine="0" w:firstLineChars="0"/>
              <w:rPr>
                <w:rFonts w:cs="Times New Roman"/>
              </w:rPr>
            </w:pPr>
            <w:r>
              <w:rPr>
                <w:rFonts w:cs="Times New Roman"/>
              </w:rPr>
              <w:t>井位</w:t>
            </w:r>
          </w:p>
        </w:tc>
        <w:tc>
          <w:tcPr>
            <w:tcW w:w="2737" w:type="dxa"/>
          </w:tcPr>
          <w:p>
            <w:pPr>
              <w:ind w:firstLine="0" w:firstLineChars="0"/>
              <w:rPr>
                <w:rFonts w:cs="Times New Roman"/>
              </w:rPr>
            </w:pPr>
            <w:r>
              <w:rPr>
                <w:rFonts w:cs="Times New Roman"/>
              </w:rPr>
              <w:t>区块：</w:t>
            </w:r>
          </w:p>
          <w:p>
            <w:pPr>
              <w:ind w:firstLine="0" w:firstLineChars="0"/>
              <w:rPr>
                <w:rFonts w:cs="Times New Roman"/>
              </w:rPr>
            </w:pPr>
            <w:r>
              <w:rPr>
                <w:rFonts w:cs="Times New Roman"/>
                <w:spacing w:val="-1"/>
              </w:rPr>
              <w:t>X</w:t>
            </w:r>
            <w:r>
              <w:rPr>
                <w:rFonts w:cs="Times New Roman"/>
              </w:rPr>
              <w:t xml:space="preserve"> 坐标：</w:t>
            </w:r>
          </w:p>
          <w:p>
            <w:pPr>
              <w:ind w:firstLine="0" w:firstLineChars="0"/>
              <w:rPr>
                <w:rFonts w:cs="Times New Roman"/>
              </w:rPr>
            </w:pPr>
            <w:r>
              <w:rPr>
                <w:rFonts w:cs="Times New Roman"/>
                <w:spacing w:val="-6"/>
              </w:rPr>
              <w:t>Y</w:t>
            </w:r>
            <w:r>
              <w:rPr>
                <w:rFonts w:cs="Times New Roman"/>
              </w:rPr>
              <w:t xml:space="preserve"> 坐标：</w:t>
            </w:r>
          </w:p>
        </w:tc>
        <w:tc>
          <w:tcPr>
            <w:tcW w:w="2745" w:type="dxa"/>
          </w:tcPr>
          <w:p>
            <w:pPr>
              <w:ind w:firstLine="0" w:firstLineChars="0"/>
              <w:rPr>
                <w:rFonts w:cs="Times New Roman"/>
              </w:rPr>
            </w:pPr>
            <w:r>
              <w:rPr>
                <w:rFonts w:cs="Times New Roman"/>
              </w:rPr>
              <w:t>纬度：</w:t>
            </w:r>
          </w:p>
          <w:p>
            <w:pPr>
              <w:ind w:firstLine="0" w:firstLineChars="0"/>
              <w:rPr>
                <w:rFonts w:cs="Times New Roman"/>
              </w:rPr>
            </w:pPr>
            <w:r>
              <w:rPr>
                <w:rFonts w:cs="Times New Roman"/>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2832" w:type="dxa"/>
          </w:tcPr>
          <w:p>
            <w:pPr>
              <w:ind w:firstLine="0" w:firstLineChars="0"/>
              <w:rPr>
                <w:rFonts w:cs="Times New Roman"/>
              </w:rPr>
            </w:pPr>
            <w:r>
              <w:rPr>
                <w:rFonts w:cs="Times New Roman"/>
              </w:rPr>
              <w:t>水深</w:t>
            </w:r>
          </w:p>
        </w:tc>
        <w:tc>
          <w:tcPr>
            <w:tcW w:w="2737" w:type="dxa"/>
          </w:tcPr>
          <w:p>
            <w:pPr>
              <w:ind w:firstLine="0" w:firstLineChars="0"/>
              <w:rPr>
                <w:rFonts w:cs="Times New Roman"/>
              </w:rPr>
            </w:pPr>
            <w:r>
              <w:rPr>
                <w:rFonts w:cs="Times New Roman"/>
              </w:rPr>
              <w:t>m（ft）</w:t>
            </w:r>
          </w:p>
        </w:tc>
        <w:tc>
          <w:tcPr>
            <w:tcW w:w="2745" w:type="dxa"/>
          </w:tcPr>
          <w:p>
            <w:pPr>
              <w:spacing w:after="200" w:line="258" w:lineRule="exa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2832" w:type="dxa"/>
          </w:tcPr>
          <w:p>
            <w:pPr>
              <w:ind w:firstLine="0" w:firstLineChars="0"/>
              <w:rPr>
                <w:rFonts w:cs="Times New Roman"/>
              </w:rPr>
            </w:pPr>
            <w:r>
              <w:rPr>
                <w:rFonts w:cs="Times New Roman"/>
              </w:rPr>
              <w:t>海床温度</w:t>
            </w:r>
          </w:p>
        </w:tc>
        <w:tc>
          <w:tcPr>
            <w:tcW w:w="2737" w:type="dxa"/>
          </w:tcPr>
          <w:p>
            <w:pPr>
              <w:ind w:firstLine="0" w:firstLineChars="0"/>
              <w:rPr>
                <w:rFonts w:cs="Times New Roman"/>
              </w:rPr>
            </w:pPr>
            <w:r>
              <w:rPr>
                <w:rFonts w:hint="eastAsia" w:ascii="宋体" w:hAnsi="宋体" w:cs="宋体"/>
              </w:rPr>
              <w:t>℃</w:t>
            </w:r>
            <w:r>
              <w:rPr>
                <w:rFonts w:cs="Times New Roman"/>
              </w:rPr>
              <w:t>（</w:t>
            </w:r>
            <w:r>
              <w:rPr>
                <w:rFonts w:hint="eastAsia" w:ascii="宋体" w:hAnsi="宋体" w:cs="宋体"/>
              </w:rPr>
              <w:t>℉</w:t>
            </w:r>
            <w:r>
              <w:rPr>
                <w:rFonts w:cs="Times New Roman"/>
              </w:rPr>
              <w:t>）</w:t>
            </w:r>
          </w:p>
        </w:tc>
        <w:tc>
          <w:tcPr>
            <w:tcW w:w="2745" w:type="dxa"/>
          </w:tcPr>
          <w:p>
            <w:pPr>
              <w:spacing w:after="200" w:line="258" w:lineRule="exact"/>
              <w:ind w:firstLine="0" w:firstLineChars="0"/>
              <w:rPr>
                <w:rFonts w:cs="Times New Roman"/>
              </w:rPr>
            </w:pPr>
          </w:p>
        </w:tc>
      </w:tr>
    </w:tbl>
    <w:p>
      <w:pPr>
        <w:spacing w:line="360" w:lineRule="auto"/>
        <w:ind w:firstLine="0" w:firstLineChars="0"/>
        <w:rPr>
          <w:rFonts w:cs="Times New Roman"/>
        </w:rPr>
      </w:pPr>
      <w:r>
        <w:rPr>
          <w:rFonts w:cs="Times New Roman"/>
        </w:rPr>
        <w:t>b）油藏流量和压力</w:t>
      </w:r>
    </w:p>
    <w:tbl>
      <w:tblPr>
        <w:tblStyle w:val="27"/>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2690"/>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trPr>
        <w:tc>
          <w:tcPr>
            <w:tcW w:w="2950" w:type="dxa"/>
          </w:tcPr>
          <w:p>
            <w:pPr>
              <w:spacing w:after="200"/>
              <w:ind w:firstLine="0" w:firstLineChars="0"/>
              <w:rPr>
                <w:rFonts w:cs="Times New Roman"/>
              </w:rPr>
            </w:pPr>
          </w:p>
        </w:tc>
        <w:tc>
          <w:tcPr>
            <w:tcW w:w="2690" w:type="dxa"/>
          </w:tcPr>
          <w:p>
            <w:pPr>
              <w:ind w:firstLine="0" w:firstLineChars="0"/>
              <w:rPr>
                <w:rFonts w:cs="Times New Roman"/>
              </w:rPr>
            </w:pPr>
            <w:r>
              <w:rPr>
                <w:rFonts w:cs="Times New Roman"/>
              </w:rPr>
              <w:t>描述</w:t>
            </w:r>
          </w:p>
        </w:tc>
        <w:tc>
          <w:tcPr>
            <w:tcW w:w="2674" w:type="dxa"/>
          </w:tcPr>
          <w:p>
            <w:pPr>
              <w:ind w:firstLine="0" w:firstLineChars="0"/>
              <w:rPr>
                <w:rFonts w:cs="Times New Roman"/>
              </w:rPr>
            </w:pPr>
            <w:r>
              <w:rPr>
                <w:rFonts w:cs="Times New Roman"/>
              </w:rPr>
              <w:t>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trPr>
        <w:tc>
          <w:tcPr>
            <w:tcW w:w="2950" w:type="dxa"/>
          </w:tcPr>
          <w:p>
            <w:pPr>
              <w:ind w:firstLine="0" w:firstLineChars="0"/>
              <w:rPr>
                <w:rFonts w:cs="Times New Roman"/>
              </w:rPr>
            </w:pPr>
            <w:r>
              <w:rPr>
                <w:rFonts w:cs="Times New Roman"/>
              </w:rPr>
              <w:t>井口流压（所有井口装置）</w:t>
            </w:r>
          </w:p>
        </w:tc>
        <w:tc>
          <w:tcPr>
            <w:tcW w:w="2690" w:type="dxa"/>
          </w:tcPr>
          <w:p>
            <w:pPr>
              <w:ind w:firstLine="0" w:firstLineChars="0"/>
              <w:rPr>
                <w:rFonts w:cs="Times New Roman"/>
              </w:rPr>
            </w:pPr>
            <w:r>
              <w:rPr>
                <w:rFonts w:cs="Times New Roman"/>
              </w:rPr>
              <w:t>MPa（psi）</w:t>
            </w:r>
          </w:p>
        </w:tc>
        <w:tc>
          <w:tcPr>
            <w:tcW w:w="2674" w:type="dxa"/>
          </w:tcPr>
          <w:p>
            <w:pPr>
              <w:spacing w:after="200"/>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2950" w:type="dxa"/>
          </w:tcPr>
          <w:p>
            <w:pPr>
              <w:ind w:firstLine="0" w:firstLineChars="0"/>
              <w:rPr>
                <w:rFonts w:cs="Times New Roman"/>
              </w:rPr>
            </w:pPr>
            <w:r>
              <w:rPr>
                <w:rFonts w:cs="Times New Roman"/>
              </w:rPr>
              <w:t>井口温度</w:t>
            </w:r>
          </w:p>
        </w:tc>
        <w:tc>
          <w:tcPr>
            <w:tcW w:w="2690" w:type="dxa"/>
          </w:tcPr>
          <w:p>
            <w:pPr>
              <w:ind w:firstLine="0" w:firstLineChars="0"/>
              <w:rPr>
                <w:rFonts w:cs="Times New Roman"/>
              </w:rPr>
            </w:pPr>
            <w:r>
              <w:rPr>
                <w:rFonts w:hint="eastAsia" w:ascii="宋体" w:hAnsi="宋体" w:cs="宋体"/>
              </w:rPr>
              <w:t>℃</w:t>
            </w:r>
            <w:r>
              <w:rPr>
                <w:rFonts w:cs="Times New Roman"/>
              </w:rPr>
              <w:t>（</w:t>
            </w:r>
            <w:r>
              <w:rPr>
                <w:rFonts w:hint="eastAsia" w:ascii="宋体" w:hAnsi="宋体" w:cs="宋体"/>
              </w:rPr>
              <w:t>℉</w:t>
            </w:r>
            <w:r>
              <w:rPr>
                <w:rFonts w:cs="Times New Roman"/>
              </w:rPr>
              <w:t>）</w:t>
            </w:r>
          </w:p>
        </w:tc>
        <w:tc>
          <w:tcPr>
            <w:tcW w:w="2674" w:type="dxa"/>
          </w:tcPr>
          <w:p>
            <w:pPr>
              <w:spacing w:after="200"/>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2950" w:type="dxa"/>
          </w:tcPr>
          <w:p>
            <w:pPr>
              <w:ind w:firstLine="0" w:firstLineChars="0"/>
              <w:rPr>
                <w:rFonts w:cs="Times New Roman"/>
              </w:rPr>
            </w:pPr>
            <w:r>
              <w:rPr>
                <w:rFonts w:cs="Times New Roman"/>
              </w:rPr>
              <w:t>SIWP</w:t>
            </w:r>
          </w:p>
        </w:tc>
        <w:tc>
          <w:tcPr>
            <w:tcW w:w="2690" w:type="dxa"/>
          </w:tcPr>
          <w:p>
            <w:pPr>
              <w:ind w:firstLine="0" w:firstLineChars="0"/>
              <w:rPr>
                <w:rFonts w:cs="Times New Roman"/>
              </w:rPr>
            </w:pPr>
            <w:r>
              <w:rPr>
                <w:rFonts w:cs="Times New Roman"/>
              </w:rPr>
              <w:t>MPa（psi）</w:t>
            </w:r>
          </w:p>
        </w:tc>
        <w:tc>
          <w:tcPr>
            <w:tcW w:w="2674" w:type="dxa"/>
          </w:tcPr>
          <w:p>
            <w:pPr>
              <w:spacing w:after="200"/>
              <w:ind w:firstLine="0" w:firstLineChars="0"/>
              <w:rPr>
                <w:rFonts w:cs="Times New Roman"/>
              </w:rPr>
            </w:pPr>
          </w:p>
        </w:tc>
      </w:tr>
    </w:tbl>
    <w:p>
      <w:pPr>
        <w:spacing w:line="360" w:lineRule="auto"/>
        <w:ind w:firstLine="0" w:firstLineChars="0"/>
        <w:rPr>
          <w:rFonts w:cs="Times New Roman"/>
        </w:rPr>
      </w:pPr>
      <w:r>
        <w:rPr>
          <w:rFonts w:cs="Times New Roman"/>
        </w:rPr>
        <w:t>c）海洋数据</w:t>
      </w:r>
    </w:p>
    <w:tbl>
      <w:tblPr>
        <w:tblStyle w:val="27"/>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2742"/>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2813" w:type="dxa"/>
          </w:tcPr>
          <w:p>
            <w:pPr>
              <w:spacing w:after="200" w:line="240" w:lineRule="exact"/>
              <w:ind w:firstLine="0" w:firstLineChars="0"/>
              <w:rPr>
                <w:rFonts w:cs="Times New Roman"/>
              </w:rPr>
            </w:pPr>
          </w:p>
        </w:tc>
        <w:tc>
          <w:tcPr>
            <w:tcW w:w="2742" w:type="dxa"/>
          </w:tcPr>
          <w:p>
            <w:pPr>
              <w:ind w:firstLine="0" w:firstLineChars="0"/>
              <w:rPr>
                <w:rFonts w:cs="Times New Roman"/>
              </w:rPr>
            </w:pPr>
            <w:r>
              <w:rPr>
                <w:rFonts w:cs="Times New Roman"/>
              </w:rPr>
              <w:t>描述</w:t>
            </w:r>
          </w:p>
        </w:tc>
        <w:tc>
          <w:tcPr>
            <w:tcW w:w="2759" w:type="dxa"/>
          </w:tcPr>
          <w:p>
            <w:pPr>
              <w:ind w:firstLine="0" w:firstLineChars="0"/>
              <w:rPr>
                <w:rFonts w:cs="Times New Roman"/>
              </w:rPr>
            </w:pPr>
            <w:r>
              <w:rPr>
                <w:rFonts w:cs="Times New Roman"/>
              </w:rPr>
              <w:t>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trPr>
        <w:tc>
          <w:tcPr>
            <w:tcW w:w="2813" w:type="dxa"/>
          </w:tcPr>
          <w:p>
            <w:pPr>
              <w:ind w:firstLine="0" w:firstLineChars="0"/>
              <w:rPr>
                <w:rFonts w:cs="Times New Roman"/>
              </w:rPr>
            </w:pPr>
            <w:r>
              <w:rPr>
                <w:rFonts w:cs="Times New Roman"/>
              </w:rPr>
              <w:t>流速与水深</w:t>
            </w:r>
          </w:p>
        </w:tc>
        <w:tc>
          <w:tcPr>
            <w:tcW w:w="2742" w:type="dxa"/>
          </w:tcPr>
          <w:p>
            <w:pPr>
              <w:ind w:firstLine="0" w:firstLineChars="0"/>
              <w:rPr>
                <w:rFonts w:cs="Times New Roman"/>
              </w:rPr>
            </w:pPr>
            <w:r>
              <w:rPr>
                <w:rFonts w:cs="Times New Roman"/>
              </w:rPr>
              <w:t>水深  速度</w:t>
            </w:r>
          </w:p>
          <w:p>
            <w:pPr>
              <w:ind w:firstLine="0" w:firstLineChars="0"/>
              <w:rPr>
                <w:rFonts w:cs="Times New Roman"/>
              </w:rPr>
            </w:pPr>
            <w:r>
              <w:rPr>
                <w:rFonts w:cs="Times New Roman"/>
              </w:rPr>
              <w:t>m（</w:t>
            </w:r>
            <w:r>
              <w:rPr>
                <w:rFonts w:cs="Times New Roman"/>
                <w:spacing w:val="-6"/>
              </w:rPr>
              <w:t>ft</w:t>
            </w:r>
            <w:r>
              <w:rPr>
                <w:rFonts w:cs="Times New Roman"/>
              </w:rPr>
              <w:t>）  m/s（ft/s）</w:t>
            </w:r>
          </w:p>
        </w:tc>
        <w:tc>
          <w:tcPr>
            <w:tcW w:w="2759" w:type="dxa"/>
          </w:tcPr>
          <w:p>
            <w:pPr>
              <w:spacing w:after="200" w:line="295" w:lineRule="exa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2813" w:type="dxa"/>
          </w:tcPr>
          <w:p>
            <w:pPr>
              <w:ind w:firstLine="0" w:firstLineChars="0"/>
              <w:rPr>
                <w:rFonts w:cs="Times New Roman"/>
              </w:rPr>
            </w:pPr>
            <w:r>
              <w:rPr>
                <w:rFonts w:cs="Times New Roman"/>
              </w:rPr>
              <w:t>流向</w:t>
            </w:r>
          </w:p>
        </w:tc>
        <w:tc>
          <w:tcPr>
            <w:tcW w:w="2742" w:type="dxa"/>
          </w:tcPr>
          <w:p>
            <w:pPr>
              <w:ind w:firstLine="0" w:firstLineChars="0"/>
              <w:rPr>
                <w:rFonts w:cs="Times New Roman"/>
              </w:rPr>
            </w:pPr>
            <w:r>
              <w:rPr>
                <w:rFonts w:cs="Times New Roman"/>
                <w:spacing w:val="-1"/>
              </w:rPr>
              <w:t>□</w:t>
            </w:r>
            <w:r>
              <w:rPr>
                <w:rFonts w:cs="Times New Roman"/>
              </w:rPr>
              <w:t xml:space="preserve"> 沿着波浪</w:t>
            </w:r>
          </w:p>
          <w:p>
            <w:pPr>
              <w:ind w:firstLine="0" w:firstLineChars="0"/>
              <w:rPr>
                <w:rFonts w:cs="Times New Roman"/>
              </w:rPr>
            </w:pPr>
            <w:r>
              <w:rPr>
                <w:rFonts w:cs="Times New Roman"/>
                <w:spacing w:val="-1"/>
              </w:rPr>
              <w:t>□</w:t>
            </w:r>
            <w:r>
              <w:rPr>
                <w:rFonts w:cs="Times New Roman"/>
              </w:rPr>
              <w:t xml:space="preserve"> 其他说明：</w:t>
            </w:r>
          </w:p>
        </w:tc>
        <w:tc>
          <w:tcPr>
            <w:tcW w:w="2759" w:type="dxa"/>
          </w:tcPr>
          <w:p>
            <w:pPr>
              <w:spacing w:after="200" w:line="282" w:lineRule="exa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2813" w:type="dxa"/>
          </w:tcPr>
          <w:p>
            <w:pPr>
              <w:ind w:firstLine="0" w:firstLineChars="0"/>
              <w:rPr>
                <w:rFonts w:cs="Times New Roman"/>
              </w:rPr>
            </w:pPr>
            <w:r>
              <w:rPr>
                <w:rFonts w:cs="Times New Roman"/>
              </w:rPr>
              <w:t>有效波高和最大波高</w:t>
            </w:r>
          </w:p>
        </w:tc>
        <w:tc>
          <w:tcPr>
            <w:tcW w:w="2742" w:type="dxa"/>
          </w:tcPr>
          <w:p>
            <w:pPr>
              <w:ind w:firstLine="0" w:firstLineChars="0"/>
              <w:rPr>
                <w:rFonts w:cs="Times New Roman"/>
              </w:rPr>
            </w:pPr>
            <w:r>
              <w:rPr>
                <w:rFonts w:cs="Times New Roman"/>
                <w:i/>
                <w:spacing w:val="-5"/>
              </w:rPr>
              <w:t>H</w:t>
            </w:r>
            <w:r>
              <w:rPr>
                <w:rFonts w:cs="Times New Roman"/>
                <w:sz w:val="12"/>
              </w:rPr>
              <w:t>S</w:t>
            </w:r>
            <w:r>
              <w:rPr>
                <w:rFonts w:cs="Times New Roman"/>
                <w:position w:val="1"/>
              </w:rPr>
              <w:t>：</w:t>
            </w:r>
            <w:r>
              <w:rPr>
                <w:rFonts w:cs="Times New Roman"/>
              </w:rPr>
              <w:t xml:space="preserve"> </w:t>
            </w:r>
            <w:r>
              <w:rPr>
                <w:rFonts w:cs="Times New Roman"/>
                <w:spacing w:val="-5"/>
              </w:rPr>
              <w:t>m</w:t>
            </w:r>
            <w:r>
              <w:rPr>
                <w:rFonts w:cs="Times New Roman"/>
                <w:position w:val="1"/>
              </w:rPr>
              <w:t>（</w:t>
            </w:r>
            <w:r>
              <w:rPr>
                <w:rFonts w:cs="Times New Roman"/>
                <w:spacing w:val="-6"/>
              </w:rPr>
              <w:t>ft</w:t>
            </w:r>
            <w:r>
              <w:rPr>
                <w:rFonts w:cs="Times New Roman"/>
                <w:position w:val="1"/>
              </w:rPr>
              <w:t>）</w:t>
            </w:r>
          </w:p>
          <w:p>
            <w:pPr>
              <w:ind w:firstLine="0" w:firstLineChars="0"/>
              <w:rPr>
                <w:rFonts w:cs="Times New Roman"/>
              </w:rPr>
            </w:pPr>
            <w:r>
              <w:rPr>
                <w:rFonts w:cs="Times New Roman"/>
                <w:i/>
                <w:spacing w:val="-5"/>
              </w:rPr>
              <w:t>H</w:t>
            </w:r>
            <w:r>
              <w:rPr>
                <w:rFonts w:cs="Times New Roman"/>
                <w:sz w:val="12"/>
              </w:rPr>
              <w:t>max</w:t>
            </w:r>
            <w:r>
              <w:rPr>
                <w:rFonts w:cs="Times New Roman"/>
                <w:position w:val="1"/>
              </w:rPr>
              <w:t>：</w:t>
            </w:r>
            <w:r>
              <w:rPr>
                <w:rFonts w:cs="Times New Roman"/>
              </w:rPr>
              <w:t xml:space="preserve"> </w:t>
            </w:r>
            <w:r>
              <w:rPr>
                <w:rFonts w:cs="Times New Roman"/>
                <w:spacing w:val="-5"/>
              </w:rPr>
              <w:t>m</w:t>
            </w:r>
            <w:r>
              <w:rPr>
                <w:rFonts w:cs="Times New Roman"/>
                <w:position w:val="1"/>
              </w:rPr>
              <w:t>（</w:t>
            </w:r>
            <w:r>
              <w:rPr>
                <w:rFonts w:cs="Times New Roman"/>
                <w:spacing w:val="-6"/>
              </w:rPr>
              <w:t>ft</w:t>
            </w:r>
            <w:r>
              <w:rPr>
                <w:rFonts w:cs="Times New Roman"/>
                <w:position w:val="1"/>
              </w:rPr>
              <w:t>）</w:t>
            </w:r>
          </w:p>
        </w:tc>
        <w:tc>
          <w:tcPr>
            <w:tcW w:w="2759" w:type="dxa"/>
          </w:tcPr>
          <w:p>
            <w:pPr>
              <w:spacing w:after="200" w:line="282" w:lineRule="exa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2813" w:type="dxa"/>
          </w:tcPr>
          <w:p>
            <w:pPr>
              <w:ind w:firstLine="0" w:firstLineChars="0"/>
              <w:rPr>
                <w:rFonts w:cs="Times New Roman"/>
              </w:rPr>
            </w:pPr>
            <w:r>
              <w:rPr>
                <w:rFonts w:cs="Times New Roman"/>
              </w:rPr>
              <w:t>波的周期</w:t>
            </w:r>
          </w:p>
        </w:tc>
        <w:tc>
          <w:tcPr>
            <w:tcW w:w="2742" w:type="dxa"/>
          </w:tcPr>
          <w:p>
            <w:pPr>
              <w:ind w:firstLine="0" w:firstLineChars="0"/>
              <w:rPr>
                <w:rFonts w:cs="Times New Roman"/>
              </w:rPr>
            </w:pPr>
            <w:r>
              <w:rPr>
                <w:rFonts w:cs="Times New Roman"/>
                <w:i/>
              </w:rPr>
              <w:t>T</w:t>
            </w:r>
            <w:r>
              <w:rPr>
                <w:rFonts w:cs="Times New Roman"/>
                <w:sz w:val="12"/>
              </w:rPr>
              <w:t>P</w:t>
            </w:r>
            <w:r>
              <w:rPr>
                <w:rFonts w:cs="Times New Roman"/>
                <w:position w:val="1"/>
              </w:rPr>
              <w:t>：</w:t>
            </w:r>
            <w:r>
              <w:rPr>
                <w:rFonts w:cs="Times New Roman"/>
              </w:rPr>
              <w:t xml:space="preserve"> sec</w:t>
            </w:r>
          </w:p>
        </w:tc>
        <w:tc>
          <w:tcPr>
            <w:tcW w:w="2759" w:type="dxa"/>
          </w:tcPr>
          <w:p>
            <w:pPr>
              <w:spacing w:after="200" w:line="279" w:lineRule="exa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813" w:type="dxa"/>
          </w:tcPr>
          <w:p>
            <w:pPr>
              <w:ind w:firstLine="0" w:firstLineChars="0"/>
              <w:rPr>
                <w:rFonts w:cs="Times New Roman"/>
              </w:rPr>
            </w:pPr>
            <w:r>
              <w:rPr>
                <w:rFonts w:cs="Times New Roman"/>
              </w:rPr>
              <w:t>波谱</w:t>
            </w:r>
          </w:p>
        </w:tc>
        <w:tc>
          <w:tcPr>
            <w:tcW w:w="2742" w:type="dxa"/>
          </w:tcPr>
          <w:p>
            <w:pPr>
              <w:ind w:firstLine="0" w:firstLineChars="0"/>
              <w:rPr>
                <w:rFonts w:cs="Times New Roman"/>
              </w:rPr>
            </w:pPr>
            <w:r>
              <w:rPr>
                <w:rFonts w:cs="Times New Roman"/>
                <w:spacing w:val="-1"/>
              </w:rPr>
              <w:t>□</w:t>
            </w:r>
            <w:r>
              <w:rPr>
                <w:rFonts w:cs="Times New Roman"/>
              </w:rPr>
              <w:t xml:space="preserve"> Jonswap</w:t>
            </w:r>
          </w:p>
          <w:p>
            <w:pPr>
              <w:ind w:firstLine="0" w:firstLineChars="0"/>
              <w:rPr>
                <w:rFonts w:cs="Times New Roman"/>
              </w:rPr>
            </w:pPr>
            <w:r>
              <w:rPr>
                <w:rFonts w:cs="Times New Roman"/>
                <w:spacing w:val="-1"/>
              </w:rPr>
              <w:t>□</w:t>
            </w:r>
            <w:r>
              <w:rPr>
                <w:rFonts w:cs="Times New Roman"/>
              </w:rPr>
              <w:t xml:space="preserve"> Pierson—Moskowitz</w:t>
            </w:r>
          </w:p>
          <w:p>
            <w:pPr>
              <w:ind w:firstLine="0" w:firstLineChars="0"/>
              <w:rPr>
                <w:rFonts w:cs="Times New Roman"/>
              </w:rPr>
            </w:pPr>
            <w:r>
              <w:rPr>
                <w:rFonts w:cs="Times New Roman"/>
                <w:spacing w:val="-1"/>
              </w:rPr>
              <w:t>□</w:t>
            </w:r>
            <w:r>
              <w:rPr>
                <w:rFonts w:cs="Times New Roman"/>
              </w:rPr>
              <w:t xml:space="preserve"> 其他说明：</w:t>
            </w:r>
          </w:p>
        </w:tc>
        <w:tc>
          <w:tcPr>
            <w:tcW w:w="2759" w:type="dxa"/>
          </w:tcPr>
          <w:p>
            <w:pPr>
              <w:spacing w:after="200" w:line="269" w:lineRule="exact"/>
              <w:ind w:firstLine="0" w:firstLineChars="0"/>
              <w:rPr>
                <w:rFonts w:cs="Times New Roman"/>
              </w:rPr>
            </w:pPr>
          </w:p>
        </w:tc>
      </w:tr>
    </w:tbl>
    <w:p>
      <w:pPr>
        <w:spacing w:line="360" w:lineRule="auto"/>
        <w:ind w:firstLine="0" w:firstLineChars="0"/>
        <w:rPr>
          <w:rFonts w:cs="Times New Roman"/>
        </w:rPr>
      </w:pPr>
      <w:r>
        <w:rPr>
          <w:rFonts w:cs="Times New Roman"/>
        </w:rPr>
        <w:t>d）钻探方案</w:t>
      </w:r>
    </w:p>
    <w:tbl>
      <w:tblPr>
        <w:tblStyle w:val="27"/>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2"/>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102" w:type="dxa"/>
          </w:tcPr>
          <w:p>
            <w:pPr>
              <w:ind w:firstLine="0" w:firstLineChars="0"/>
              <w:rPr>
                <w:rFonts w:cs="Times New Roman"/>
              </w:rPr>
            </w:pPr>
            <w:r>
              <w:rPr>
                <w:rFonts w:cs="Times New Roman"/>
              </w:rPr>
              <w:t>钻井船类型</w:t>
            </w:r>
          </w:p>
        </w:tc>
        <w:tc>
          <w:tcPr>
            <w:tcW w:w="4212" w:type="dxa"/>
          </w:tcPr>
          <w:p>
            <w:pPr>
              <w:ind w:firstLine="0" w:firstLineChars="0"/>
              <w:rPr>
                <w:rFonts w:cs="Times New Roman"/>
              </w:rPr>
            </w:pPr>
            <w:r>
              <w:rPr>
                <w:rFonts w:cs="Times New Roman"/>
              </w:rPr>
              <w:t>完井方案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exact"/>
        </w:trPr>
        <w:tc>
          <w:tcPr>
            <w:tcW w:w="4102" w:type="dxa"/>
          </w:tcPr>
          <w:p>
            <w:pPr>
              <w:ind w:firstLine="0" w:firstLineChars="0"/>
              <w:rPr>
                <w:rFonts w:cs="Times New Roman"/>
              </w:rPr>
            </w:pPr>
            <w:r>
              <w:rPr>
                <w:rFonts w:cs="Times New Roman"/>
                <w:spacing w:val="-1"/>
              </w:rPr>
              <w:t>□</w:t>
            </w:r>
            <w:r>
              <w:rPr>
                <w:rFonts w:cs="Times New Roman"/>
              </w:rPr>
              <w:t xml:space="preserve"> 自升式钻井平台</w:t>
            </w:r>
          </w:p>
          <w:p>
            <w:pPr>
              <w:ind w:firstLine="0" w:firstLineChars="0"/>
              <w:rPr>
                <w:rFonts w:cs="Times New Roman"/>
              </w:rPr>
            </w:pPr>
            <w:r>
              <w:rPr>
                <w:rFonts w:cs="Times New Roman"/>
                <w:spacing w:val="-1"/>
              </w:rPr>
              <w:t>□</w:t>
            </w:r>
            <w:r>
              <w:rPr>
                <w:rFonts w:cs="Times New Roman"/>
              </w:rPr>
              <w:t xml:space="preserve"> 锚泊半潜式</w:t>
            </w:r>
          </w:p>
          <w:p>
            <w:pPr>
              <w:ind w:firstLine="0" w:firstLineChars="0"/>
              <w:rPr>
                <w:rFonts w:cs="Times New Roman"/>
              </w:rPr>
            </w:pPr>
            <w:r>
              <w:rPr>
                <w:rFonts w:cs="Times New Roman"/>
                <w:spacing w:val="-1"/>
              </w:rPr>
              <w:t>□</w:t>
            </w:r>
            <w:r>
              <w:rPr>
                <w:rFonts w:cs="Times New Roman"/>
              </w:rPr>
              <w:t xml:space="preserve"> 半潜式动力定位</w:t>
            </w:r>
          </w:p>
          <w:p>
            <w:pPr>
              <w:ind w:firstLine="0" w:firstLineChars="0"/>
              <w:rPr>
                <w:rFonts w:cs="Times New Roman"/>
              </w:rPr>
            </w:pPr>
            <w:r>
              <w:rPr>
                <w:rFonts w:cs="Times New Roman"/>
                <w:spacing w:val="-1"/>
              </w:rPr>
              <w:t>□</w:t>
            </w:r>
            <w:r>
              <w:rPr>
                <w:rFonts w:cs="Times New Roman"/>
              </w:rPr>
              <w:t xml:space="preserve"> 锚泊式钻井船</w:t>
            </w:r>
          </w:p>
          <w:p>
            <w:pPr>
              <w:ind w:firstLine="0" w:firstLineChars="0"/>
              <w:rPr>
                <w:rFonts w:cs="Times New Roman"/>
              </w:rPr>
            </w:pPr>
            <w:r>
              <w:rPr>
                <w:rFonts w:cs="Times New Roman"/>
                <w:spacing w:val="-1"/>
              </w:rPr>
              <w:t>□</w:t>
            </w:r>
            <w:r>
              <w:rPr>
                <w:rFonts w:cs="Times New Roman"/>
              </w:rPr>
              <w:t xml:space="preserve"> 动力定位钻井船</w:t>
            </w:r>
          </w:p>
          <w:p>
            <w:pPr>
              <w:ind w:firstLine="0" w:firstLineChars="0"/>
              <w:rPr>
                <w:rFonts w:cs="Times New Roman"/>
              </w:rPr>
            </w:pPr>
            <w:r>
              <w:rPr>
                <w:rFonts w:cs="Times New Roman"/>
                <w:spacing w:val="-1"/>
              </w:rPr>
              <w:t>□</w:t>
            </w:r>
            <w:r>
              <w:rPr>
                <w:rFonts w:cs="Times New Roman"/>
              </w:rPr>
              <w:t xml:space="preserve"> 轻型修井</w:t>
            </w:r>
          </w:p>
          <w:p>
            <w:pPr>
              <w:ind w:firstLine="0" w:firstLineChars="0"/>
              <w:rPr>
                <w:rFonts w:cs="Times New Roman"/>
              </w:rPr>
            </w:pPr>
            <w:r>
              <w:rPr>
                <w:rFonts w:cs="Times New Roman"/>
              </w:rPr>
              <w:t>其他说明：</w:t>
            </w:r>
          </w:p>
        </w:tc>
        <w:tc>
          <w:tcPr>
            <w:tcW w:w="4212" w:type="dxa"/>
          </w:tcPr>
          <w:p>
            <w:pPr>
              <w:ind w:firstLine="0" w:firstLineChars="0"/>
              <w:rPr>
                <w:rFonts w:cs="Times New Roman"/>
              </w:rPr>
            </w:pPr>
            <w:r>
              <w:rPr>
                <w:rFonts w:cs="Times New Roman"/>
                <w:spacing w:val="-1"/>
              </w:rPr>
              <w:t>□</w:t>
            </w:r>
            <w:r>
              <w:rPr>
                <w:rFonts w:cs="Times New Roman"/>
              </w:rPr>
              <w:t xml:space="preserve"> 钻井和完井</w:t>
            </w:r>
          </w:p>
          <w:p>
            <w:pPr>
              <w:ind w:firstLine="0" w:firstLineChars="0"/>
              <w:rPr>
                <w:rFonts w:cs="Times New Roman"/>
              </w:rPr>
            </w:pPr>
            <w:r>
              <w:rPr>
                <w:rFonts w:cs="Times New Roman"/>
                <w:spacing w:val="-1"/>
              </w:rPr>
              <w:t>□</w:t>
            </w:r>
            <w:r>
              <w:rPr>
                <w:rFonts w:cs="Times New Roman"/>
              </w:rPr>
              <w:t xml:space="preserve"> 钻井、弃井和完井</w:t>
            </w:r>
          </w:p>
          <w:p>
            <w:pPr>
              <w:ind w:firstLine="0" w:firstLineChars="0"/>
              <w:rPr>
                <w:rFonts w:cs="Times New Roman"/>
              </w:rPr>
            </w:pPr>
            <w:r>
              <w:rPr>
                <w:rFonts w:cs="Times New Roman"/>
                <w:spacing w:val="-1"/>
              </w:rPr>
              <w:t>□</w:t>
            </w:r>
            <w:r>
              <w:rPr>
                <w:rFonts w:cs="Times New Roman"/>
              </w:rPr>
              <w:t xml:space="preserve"> 对以前钻的井进行完井</w:t>
            </w:r>
          </w:p>
          <w:p>
            <w:pPr>
              <w:ind w:firstLine="0" w:firstLineChars="0"/>
              <w:rPr>
                <w:rFonts w:cs="Times New Roman"/>
              </w:rPr>
            </w:pPr>
            <w:r>
              <w:rPr>
                <w:rFonts w:cs="Times New Roman"/>
              </w:rPr>
              <w:t>其他说明：</w:t>
            </w:r>
          </w:p>
        </w:tc>
      </w:tr>
    </w:tbl>
    <w:p>
      <w:pPr>
        <w:spacing w:line="360" w:lineRule="auto"/>
        <w:ind w:firstLine="0" w:firstLineChars="0"/>
        <w:rPr>
          <w:rFonts w:cs="Times New Roman"/>
        </w:rPr>
      </w:pPr>
      <w:r>
        <w:rPr>
          <w:rFonts w:cs="Times New Roman"/>
        </w:rPr>
        <w:t>e）井口装置接口</w:t>
      </w:r>
    </w:p>
    <w:tbl>
      <w:tblPr>
        <w:tblStyle w:val="27"/>
        <w:tblW w:w="8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2873"/>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exact"/>
        </w:trPr>
        <w:tc>
          <w:tcPr>
            <w:tcW w:w="2813" w:type="dxa"/>
          </w:tcPr>
          <w:p>
            <w:pPr>
              <w:spacing w:after="200" w:line="271" w:lineRule="exact"/>
              <w:ind w:firstLine="0" w:firstLineChars="0"/>
              <w:rPr>
                <w:rFonts w:cs="Times New Roman"/>
              </w:rPr>
            </w:pPr>
          </w:p>
        </w:tc>
        <w:tc>
          <w:tcPr>
            <w:tcW w:w="2873" w:type="dxa"/>
          </w:tcPr>
          <w:p>
            <w:pPr>
              <w:ind w:firstLine="0" w:firstLineChars="0"/>
              <w:rPr>
                <w:rFonts w:cs="Times New Roman"/>
              </w:rPr>
            </w:pPr>
            <w:r>
              <w:rPr>
                <w:rFonts w:cs="Times New Roman"/>
              </w:rPr>
              <w:t>基本要求</w:t>
            </w:r>
          </w:p>
        </w:tc>
        <w:tc>
          <w:tcPr>
            <w:tcW w:w="2658" w:type="dxa"/>
          </w:tcPr>
          <w:p>
            <w:pPr>
              <w:ind w:firstLine="0" w:firstLineChars="0"/>
              <w:rPr>
                <w:rFonts w:cs="Times New Roman"/>
              </w:rPr>
            </w:pPr>
            <w:r>
              <w:rPr>
                <w:rFonts w:cs="Times New Roman"/>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813" w:type="dxa"/>
          </w:tcPr>
          <w:p>
            <w:pPr>
              <w:ind w:firstLine="0" w:firstLineChars="0"/>
              <w:rPr>
                <w:rFonts w:cs="Times New Roman"/>
              </w:rPr>
            </w:pPr>
            <w:r>
              <w:rPr>
                <w:rFonts w:cs="Times New Roman"/>
              </w:rPr>
              <w:t>井口装置类型</w:t>
            </w:r>
          </w:p>
        </w:tc>
        <w:tc>
          <w:tcPr>
            <w:tcW w:w="2873" w:type="dxa"/>
          </w:tcPr>
          <w:p>
            <w:pPr>
              <w:ind w:firstLine="0" w:firstLineChars="0"/>
              <w:rPr>
                <w:rFonts w:cs="Times New Roman"/>
              </w:rPr>
            </w:pPr>
            <w:r>
              <w:rPr>
                <w:rFonts w:cs="Times New Roman"/>
                <w:spacing w:val="-1"/>
              </w:rPr>
              <w:t>□</w:t>
            </w:r>
            <w:r>
              <w:rPr>
                <w:rFonts w:cs="Times New Roman"/>
              </w:rPr>
              <w:t xml:space="preserve"> 泥线悬挂</w:t>
            </w:r>
          </w:p>
          <w:p>
            <w:pPr>
              <w:ind w:firstLine="0" w:firstLineChars="0"/>
              <w:rPr>
                <w:rFonts w:cs="Times New Roman"/>
              </w:rPr>
            </w:pPr>
            <w:r>
              <w:rPr>
                <w:rFonts w:cs="Times New Roman"/>
                <w:spacing w:val="-1"/>
              </w:rPr>
              <w:t>□</w:t>
            </w:r>
            <w:r>
              <w:rPr>
                <w:rFonts w:cs="Times New Roman"/>
              </w:rPr>
              <w:t xml:space="preserve"> 水下</w:t>
            </w:r>
          </w:p>
        </w:tc>
        <w:tc>
          <w:tcPr>
            <w:tcW w:w="2658" w:type="dxa"/>
          </w:tcPr>
          <w:p>
            <w:pPr>
              <w:ind w:firstLine="0" w:firstLineChars="0"/>
              <w:rPr>
                <w:rFonts w:cs="Times New Roman"/>
              </w:rPr>
            </w:pPr>
            <w:r>
              <w:rPr>
                <w:rFonts w:cs="Times New Roman"/>
                <w:spacing w:val="-1"/>
              </w:rPr>
              <w:t>□</w:t>
            </w:r>
            <w:r>
              <w:rPr>
                <w:rFonts w:cs="Times New Roman"/>
              </w:rPr>
              <w:t xml:space="preserve">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2813" w:type="dxa"/>
          </w:tcPr>
          <w:p>
            <w:pPr>
              <w:ind w:firstLine="0" w:firstLineChars="0"/>
              <w:rPr>
                <w:rFonts w:cs="Times New Roman"/>
              </w:rPr>
            </w:pPr>
            <w:r>
              <w:rPr>
                <w:rFonts w:cs="Times New Roman"/>
              </w:rPr>
              <w:t>井口装置尺寸</w:t>
            </w:r>
          </w:p>
        </w:tc>
        <w:tc>
          <w:tcPr>
            <w:tcW w:w="2873" w:type="dxa"/>
          </w:tcPr>
          <w:p>
            <w:pPr>
              <w:ind w:firstLine="0" w:firstLineChars="0"/>
              <w:rPr>
                <w:rFonts w:cs="Times New Roman"/>
              </w:rPr>
            </w:pPr>
            <w:r>
              <w:rPr>
                <w:rFonts w:cs="Times New Roman"/>
                <w:spacing w:val="-1"/>
              </w:rPr>
              <w:t>□</w:t>
            </w:r>
            <w:r>
              <w:rPr>
                <w:rFonts w:cs="Times New Roman"/>
              </w:rPr>
              <w:t xml:space="preserve"> 18-3/4</w:t>
            </w:r>
            <w:r>
              <w:rPr>
                <w:rFonts w:cs="Times New Roman"/>
                <w:spacing w:val="-1"/>
              </w:rPr>
              <w:t>″</w:t>
            </w:r>
          </w:p>
        </w:tc>
        <w:tc>
          <w:tcPr>
            <w:tcW w:w="2658" w:type="dxa"/>
          </w:tcPr>
          <w:p>
            <w:pPr>
              <w:ind w:firstLine="0" w:firstLineChars="0"/>
              <w:rPr>
                <w:rFonts w:cs="Times New Roman"/>
              </w:rPr>
            </w:pPr>
            <w:r>
              <w:rPr>
                <w:rFonts w:cs="Times New Roman"/>
                <w:spacing w:val="-1"/>
              </w:rPr>
              <w:t>□</w:t>
            </w:r>
            <w:r>
              <w:rPr>
                <w:rFonts w:cs="Times New Roman"/>
              </w:rPr>
              <w:t xml:space="preserve"> 16-3/4</w:t>
            </w:r>
            <w:r>
              <w:rPr>
                <w:rFonts w:cs="Times New Roman"/>
                <w:spacing w:val="-1"/>
              </w:rPr>
              <w:t>″</w:t>
            </w:r>
          </w:p>
          <w:p>
            <w:pPr>
              <w:ind w:firstLine="0" w:firstLineChars="0"/>
              <w:rPr>
                <w:rFonts w:cs="Times New Roman"/>
              </w:rPr>
            </w:pPr>
            <w:r>
              <w:rPr>
                <w:rFonts w:cs="Times New Roman"/>
                <w:spacing w:val="-1"/>
              </w:rPr>
              <w:t>□</w:t>
            </w:r>
            <w:r>
              <w:rPr>
                <w:rFonts w:cs="Times New Roman"/>
              </w:rPr>
              <w:t xml:space="preserve">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2813" w:type="dxa"/>
          </w:tcPr>
          <w:p>
            <w:pPr>
              <w:ind w:firstLine="0" w:firstLineChars="0"/>
              <w:rPr>
                <w:rFonts w:cs="Times New Roman"/>
              </w:rPr>
            </w:pPr>
            <w:r>
              <w:rPr>
                <w:rFonts w:cs="Times New Roman"/>
              </w:rPr>
              <w:t>井口装置的额定工作压力</w:t>
            </w:r>
          </w:p>
        </w:tc>
        <w:tc>
          <w:tcPr>
            <w:tcW w:w="2873" w:type="dxa"/>
          </w:tcPr>
          <w:p>
            <w:pPr>
              <w:ind w:firstLine="0" w:firstLineChars="0"/>
              <w:rPr>
                <w:rFonts w:cs="Times New Roman"/>
              </w:rPr>
            </w:pPr>
            <w:r>
              <w:rPr>
                <w:rFonts w:cs="Times New Roman"/>
                <w:spacing w:val="-1"/>
              </w:rPr>
              <w:t>□</w:t>
            </w:r>
            <w:r>
              <w:rPr>
                <w:rFonts w:cs="Times New Roman"/>
              </w:rPr>
              <w:t xml:space="preserve"> 69.05MPa（10000 psi）</w:t>
            </w:r>
          </w:p>
          <w:p>
            <w:pPr>
              <w:ind w:firstLine="0" w:firstLineChars="0"/>
              <w:rPr>
                <w:rFonts w:cs="Times New Roman"/>
              </w:rPr>
            </w:pPr>
            <w:r>
              <w:rPr>
                <w:rFonts w:cs="Times New Roman"/>
                <w:spacing w:val="-1"/>
              </w:rPr>
              <w:t>□</w:t>
            </w:r>
            <w:r>
              <w:rPr>
                <w:rFonts w:cs="Times New Roman"/>
              </w:rPr>
              <w:t xml:space="preserve"> 103.5MPa（15000 psi）</w:t>
            </w:r>
          </w:p>
        </w:tc>
        <w:tc>
          <w:tcPr>
            <w:tcW w:w="2658" w:type="dxa"/>
          </w:tcPr>
          <w:p>
            <w:pPr>
              <w:ind w:firstLine="0" w:firstLineChars="0"/>
              <w:rPr>
                <w:rFonts w:cs="Times New Roman"/>
              </w:rPr>
            </w:pPr>
            <w:r>
              <w:rPr>
                <w:rFonts w:cs="Times New Roman"/>
                <w:spacing w:val="-1"/>
              </w:rPr>
              <w:t>□</w:t>
            </w:r>
            <w:r>
              <w:rPr>
                <w:rFonts w:cs="Times New Roman"/>
              </w:rPr>
              <w:t xml:space="preserve">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2813" w:type="dxa"/>
          </w:tcPr>
          <w:p>
            <w:pPr>
              <w:ind w:firstLine="0" w:firstLineChars="0"/>
              <w:rPr>
                <w:rFonts w:cs="Times New Roman"/>
              </w:rPr>
            </w:pPr>
            <w:r>
              <w:rPr>
                <w:rFonts w:cs="Times New Roman"/>
              </w:rPr>
              <w:t>井口装置顶部型面</w:t>
            </w:r>
          </w:p>
        </w:tc>
        <w:tc>
          <w:tcPr>
            <w:tcW w:w="2873" w:type="dxa"/>
          </w:tcPr>
          <w:p>
            <w:pPr>
              <w:ind w:firstLine="0" w:firstLineChars="0"/>
              <w:rPr>
                <w:rFonts w:cs="Times New Roman"/>
                <w:spacing w:val="-1"/>
              </w:rPr>
            </w:pPr>
            <w:r>
              <w:rPr>
                <w:rFonts w:cs="Times New Roman"/>
                <w:spacing w:val="-1"/>
              </w:rPr>
              <w:t>具体说明</w:t>
            </w:r>
          </w:p>
        </w:tc>
        <w:tc>
          <w:tcPr>
            <w:tcW w:w="2658" w:type="dxa"/>
          </w:tcPr>
          <w:p>
            <w:pPr>
              <w:ind w:firstLine="0" w:firstLineChars="0"/>
              <w:rPr>
                <w:rFonts w:cs="Times New Roman"/>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13" w:type="dxa"/>
          </w:tcPr>
          <w:p>
            <w:pPr>
              <w:ind w:firstLine="0" w:firstLineChars="0"/>
              <w:rPr>
                <w:rFonts w:cs="Times New Roman"/>
              </w:rPr>
            </w:pPr>
            <w:r>
              <w:rPr>
                <w:rFonts w:cs="Times New Roman"/>
              </w:rPr>
              <w:t>井口头密封圈类型</w:t>
            </w:r>
          </w:p>
        </w:tc>
        <w:tc>
          <w:tcPr>
            <w:tcW w:w="2873" w:type="dxa"/>
          </w:tcPr>
          <w:p>
            <w:pPr>
              <w:ind w:firstLine="0" w:firstLineChars="0"/>
              <w:rPr>
                <w:rFonts w:cs="Times New Roman"/>
                <w:spacing w:val="-1"/>
              </w:rPr>
            </w:pPr>
            <w:r>
              <w:rPr>
                <w:rFonts w:cs="Times New Roman"/>
                <w:spacing w:val="-1"/>
              </w:rPr>
              <w:t>具体说明</w:t>
            </w:r>
          </w:p>
        </w:tc>
        <w:tc>
          <w:tcPr>
            <w:tcW w:w="2658" w:type="dxa"/>
          </w:tcPr>
          <w:p>
            <w:pPr>
              <w:ind w:firstLine="0" w:firstLineChars="0"/>
              <w:rPr>
                <w:rFonts w:cs="Times New Roman"/>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13" w:type="dxa"/>
          </w:tcPr>
          <w:p>
            <w:pPr>
              <w:ind w:firstLine="0" w:firstLineChars="0"/>
              <w:rPr>
                <w:rFonts w:cs="Times New Roman"/>
              </w:rPr>
            </w:pPr>
            <w:r>
              <w:rPr>
                <w:rFonts w:cs="Times New Roman"/>
              </w:rPr>
              <w:t>浅水流动系统？</w:t>
            </w:r>
          </w:p>
        </w:tc>
        <w:tc>
          <w:tcPr>
            <w:tcW w:w="2873" w:type="dxa"/>
          </w:tcPr>
          <w:p>
            <w:pPr>
              <w:ind w:firstLine="0" w:firstLineChars="0"/>
              <w:rPr>
                <w:rFonts w:cs="Times New Roman"/>
              </w:rPr>
            </w:pPr>
            <w:r>
              <w:rPr>
                <w:rFonts w:cs="Times New Roman"/>
                <w:spacing w:val="-1"/>
              </w:rPr>
              <w:t>□</w:t>
            </w:r>
            <w:r>
              <w:rPr>
                <w:rFonts w:cs="Times New Roman"/>
              </w:rPr>
              <w:t xml:space="preserve"> 否</w:t>
            </w:r>
          </w:p>
        </w:tc>
        <w:tc>
          <w:tcPr>
            <w:tcW w:w="2658" w:type="dxa"/>
          </w:tcPr>
          <w:p>
            <w:pPr>
              <w:ind w:firstLine="0" w:firstLineChars="0"/>
              <w:rPr>
                <w:rFonts w:cs="Times New Roman"/>
              </w:rPr>
            </w:pPr>
            <w:r>
              <w:rPr>
                <w:rFonts w:cs="Times New Roman"/>
                <w:spacing w:val="-1"/>
              </w:rPr>
              <w:t>□</w:t>
            </w:r>
            <w:r>
              <w:rPr>
                <w:rFonts w:cs="Times New Roman"/>
              </w:rPr>
              <w:t xml:space="preserve"> 是。规定的表层套管尺寸：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13" w:type="dxa"/>
          </w:tcPr>
          <w:p>
            <w:pPr>
              <w:ind w:firstLine="0" w:firstLineChars="0"/>
              <w:rPr>
                <w:rFonts w:cs="Times New Roman"/>
              </w:rPr>
            </w:pPr>
            <w:r>
              <w:rPr>
                <w:rFonts w:cs="Times New Roman"/>
              </w:rPr>
              <w:t>刚性锁紧</w:t>
            </w:r>
            <w:r>
              <w:rPr>
                <w:rFonts w:cs="Times New Roman"/>
                <w:spacing w:val="-5"/>
              </w:rPr>
              <w:t>/</w:t>
            </w:r>
            <w:r>
              <w:rPr>
                <w:rFonts w:cs="Times New Roman"/>
              </w:rPr>
              <w:t>预载高压本体</w:t>
            </w:r>
          </w:p>
        </w:tc>
        <w:tc>
          <w:tcPr>
            <w:tcW w:w="2873" w:type="dxa"/>
          </w:tcPr>
          <w:p>
            <w:pPr>
              <w:ind w:firstLine="0" w:firstLineChars="0"/>
              <w:rPr>
                <w:rFonts w:cs="Times New Roman"/>
              </w:rPr>
            </w:pPr>
            <w:r>
              <w:rPr>
                <w:rFonts w:cs="Times New Roman"/>
                <w:spacing w:val="-1"/>
              </w:rPr>
              <w:t>□</w:t>
            </w:r>
            <w:r>
              <w:rPr>
                <w:rFonts w:cs="Times New Roman"/>
              </w:rPr>
              <w:t xml:space="preserve"> 否</w:t>
            </w:r>
          </w:p>
        </w:tc>
        <w:tc>
          <w:tcPr>
            <w:tcW w:w="2658" w:type="dxa"/>
          </w:tcPr>
          <w:p>
            <w:pPr>
              <w:ind w:firstLine="0" w:firstLineChars="0"/>
              <w:rPr>
                <w:rFonts w:cs="Times New Roman"/>
              </w:rPr>
            </w:pPr>
            <w:r>
              <w:rPr>
                <w:rFonts w:cs="Times New Roman"/>
                <w:spacing w:val="-1"/>
              </w:rPr>
              <w:t>□</w:t>
            </w:r>
            <w:r>
              <w:rPr>
                <w:rFonts w:cs="Times New Roman"/>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exact"/>
        </w:trPr>
        <w:tc>
          <w:tcPr>
            <w:tcW w:w="2813" w:type="dxa"/>
          </w:tcPr>
          <w:p>
            <w:pPr>
              <w:ind w:firstLine="0" w:firstLineChars="0"/>
              <w:rPr>
                <w:rFonts w:cs="Times New Roman"/>
              </w:rPr>
            </w:pPr>
            <w:r>
              <w:rPr>
                <w:rFonts w:cs="Times New Roman"/>
              </w:rPr>
              <w:t>导向</w:t>
            </w:r>
          </w:p>
        </w:tc>
        <w:tc>
          <w:tcPr>
            <w:tcW w:w="2873" w:type="dxa"/>
          </w:tcPr>
          <w:p>
            <w:pPr>
              <w:ind w:firstLine="0" w:firstLineChars="0"/>
              <w:rPr>
                <w:rFonts w:cs="Times New Roman"/>
              </w:rPr>
            </w:pPr>
            <w:r>
              <w:rPr>
                <w:rFonts w:cs="Times New Roman"/>
                <w:spacing w:val="-1"/>
              </w:rPr>
              <w:t>□</w:t>
            </w:r>
            <w:r>
              <w:rPr>
                <w:rFonts w:cs="Times New Roman"/>
              </w:rPr>
              <w:t xml:space="preserve"> 导向绳（GL）</w:t>
            </w:r>
          </w:p>
        </w:tc>
        <w:tc>
          <w:tcPr>
            <w:tcW w:w="2658" w:type="dxa"/>
          </w:tcPr>
          <w:p>
            <w:pPr>
              <w:ind w:firstLine="0" w:firstLineChars="0"/>
              <w:rPr>
                <w:rFonts w:cs="Times New Roman"/>
              </w:rPr>
            </w:pPr>
            <w:r>
              <w:rPr>
                <w:rFonts w:cs="Times New Roman"/>
                <w:spacing w:val="-1"/>
              </w:rPr>
              <w:t>□</w:t>
            </w:r>
            <w:r>
              <w:rPr>
                <w:rFonts w:cs="Times New Roman"/>
              </w:rPr>
              <w:t xml:space="preserve"> 无导向绳（GLL）</w:t>
            </w:r>
          </w:p>
          <w:p>
            <w:pPr>
              <w:ind w:firstLine="0" w:firstLineChars="0"/>
              <w:rPr>
                <w:rFonts w:cs="Times New Roman"/>
              </w:rPr>
            </w:pPr>
            <w:r>
              <w:rPr>
                <w:rFonts w:cs="Times New Roman"/>
                <w:spacing w:val="-1"/>
              </w:rPr>
              <w:t>□</w:t>
            </w:r>
            <w:r>
              <w:rPr>
                <w:rFonts w:cs="Times New Roman"/>
              </w:rPr>
              <w:t xml:space="preserve"> 漏斗向上（GLL）</w:t>
            </w:r>
          </w:p>
          <w:p>
            <w:pPr>
              <w:ind w:firstLine="0" w:firstLineChars="0"/>
              <w:rPr>
                <w:rFonts w:cs="Times New Roman"/>
              </w:rPr>
            </w:pPr>
            <w:r>
              <w:rPr>
                <w:rFonts w:cs="Times New Roman"/>
                <w:spacing w:val="-1"/>
              </w:rPr>
              <w:t>□</w:t>
            </w:r>
            <w:r>
              <w:rPr>
                <w:rFonts w:cs="Times New Roman"/>
              </w:rPr>
              <w:t xml:space="preserve"> 漏斗向下（GLL）</w:t>
            </w:r>
          </w:p>
          <w:p>
            <w:pPr>
              <w:ind w:firstLine="0" w:firstLineChars="0"/>
              <w:rPr>
                <w:rFonts w:cs="Times New Roman"/>
              </w:rPr>
            </w:pPr>
            <w:r>
              <w:rPr>
                <w:rFonts w:cs="Times New Roman"/>
                <w:spacing w:val="-1"/>
              </w:rPr>
              <w:t>□</w:t>
            </w:r>
            <w:r>
              <w:rPr>
                <w:rFonts w:cs="Times New Roman"/>
              </w:rPr>
              <w:t xml:space="preserve"> 无导向绳定位，说明：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exact"/>
        </w:trPr>
        <w:tc>
          <w:tcPr>
            <w:tcW w:w="2813" w:type="dxa"/>
          </w:tcPr>
          <w:p>
            <w:pPr>
              <w:ind w:firstLine="0" w:firstLineChars="0"/>
              <w:rPr>
                <w:rFonts w:cs="Times New Roman"/>
              </w:rPr>
            </w:pPr>
            <w:r>
              <w:rPr>
                <w:rFonts w:cs="Times New Roman"/>
              </w:rPr>
              <w:t>表层套管的安装</w:t>
            </w:r>
          </w:p>
        </w:tc>
        <w:tc>
          <w:tcPr>
            <w:tcW w:w="2873" w:type="dxa"/>
          </w:tcPr>
          <w:p>
            <w:pPr>
              <w:ind w:firstLine="0" w:firstLineChars="0"/>
              <w:rPr>
                <w:rFonts w:cs="Times New Roman"/>
              </w:rPr>
            </w:pPr>
            <w:r>
              <w:rPr>
                <w:rFonts w:cs="Times New Roman"/>
                <w:spacing w:val="-1"/>
              </w:rPr>
              <w:t>□</w:t>
            </w:r>
            <w:r>
              <w:rPr>
                <w:rFonts w:cs="Times New Roman"/>
              </w:rPr>
              <w:t xml:space="preserve"> 钻孔，要求临时导向基座</w:t>
            </w:r>
          </w:p>
          <w:p>
            <w:pPr>
              <w:ind w:firstLine="0" w:firstLineChars="0"/>
              <w:rPr>
                <w:rFonts w:cs="Times New Roman"/>
              </w:rPr>
            </w:pPr>
            <w:r>
              <w:rPr>
                <w:rFonts w:cs="Times New Roman"/>
                <w:spacing w:val="-1"/>
              </w:rPr>
              <w:t>□</w:t>
            </w:r>
            <w:r>
              <w:rPr>
                <w:rFonts w:cs="Times New Roman"/>
              </w:rPr>
              <w:t xml:space="preserve"> 射孔，要求喷射工具</w:t>
            </w:r>
          </w:p>
          <w:p>
            <w:pPr>
              <w:ind w:firstLine="0" w:firstLineChars="0"/>
              <w:rPr>
                <w:rFonts w:cs="Times New Roman"/>
              </w:rPr>
            </w:pPr>
            <w:r>
              <w:rPr>
                <w:rFonts w:cs="Times New Roman"/>
                <w:spacing w:val="-1"/>
              </w:rPr>
              <w:t>□</w:t>
            </w:r>
            <w:r>
              <w:rPr>
                <w:rFonts w:cs="Times New Roman"/>
              </w:rPr>
              <w:t xml:space="preserve"> 继续钻进工具</w:t>
            </w:r>
          </w:p>
        </w:tc>
        <w:tc>
          <w:tcPr>
            <w:tcW w:w="2658" w:type="dxa"/>
          </w:tcPr>
          <w:p>
            <w:pPr>
              <w:ind w:firstLine="0" w:firstLineChars="0"/>
              <w:rPr>
                <w:rFonts w:cs="Times New Roman"/>
              </w:rPr>
            </w:pPr>
            <w:r>
              <w:rPr>
                <w:rFonts w:cs="Times New Roman"/>
                <w:spacing w:val="-1"/>
              </w:rPr>
              <w:t>□</w:t>
            </w:r>
            <w:r>
              <w:rPr>
                <w:rFonts w:cs="Times New Roman"/>
              </w:rPr>
              <w:t xml:space="preserve"> 其他说明：</w:t>
            </w:r>
          </w:p>
          <w:p>
            <w:pPr>
              <w:ind w:firstLine="0" w:firstLineChars="0"/>
              <w:rPr>
                <w:rFonts w:cs="Times New Roman"/>
              </w:rPr>
            </w:pPr>
            <w:r>
              <w:rPr>
                <w:rFonts w:cs="Times New Roman"/>
                <w:spacing w:val="-1"/>
              </w:rPr>
              <w:t>□</w:t>
            </w:r>
            <w:r>
              <w:rPr>
                <w:rFonts w:cs="Times New Roman"/>
              </w:rPr>
              <w:t xml:space="preserve"> 尺寸（外径</w:t>
            </w:r>
            <w:r>
              <w:rPr>
                <w:rFonts w:cs="Times New Roman"/>
                <w:spacing w:val="-5"/>
              </w:rPr>
              <w:t>/</w:t>
            </w:r>
            <w:r>
              <w:rPr>
                <w:rFonts w:cs="Times New Roman"/>
              </w:rPr>
              <w:t>壁厚）</w:t>
            </w:r>
          </w:p>
          <w:p>
            <w:pPr>
              <w:ind w:firstLine="0" w:firstLineChars="0"/>
              <w:rPr>
                <w:rFonts w:cs="Times New Roman"/>
              </w:rPr>
            </w:pPr>
            <w:r>
              <w:rPr>
                <w:rFonts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2813" w:type="dxa"/>
          </w:tcPr>
          <w:p>
            <w:pPr>
              <w:ind w:firstLine="0" w:firstLineChars="0"/>
              <w:rPr>
                <w:rFonts w:cs="Times New Roman"/>
              </w:rPr>
            </w:pPr>
            <w:r>
              <w:rPr>
                <w:rFonts w:cs="Times New Roman"/>
              </w:rPr>
              <w:t>在底盘上？</w:t>
            </w:r>
          </w:p>
        </w:tc>
        <w:tc>
          <w:tcPr>
            <w:tcW w:w="2873" w:type="dxa"/>
          </w:tcPr>
          <w:p>
            <w:pPr>
              <w:ind w:firstLine="0" w:firstLineChars="0"/>
              <w:rPr>
                <w:rFonts w:cs="Times New Roman"/>
              </w:rPr>
            </w:pPr>
            <w:r>
              <w:rPr>
                <w:rFonts w:cs="Times New Roman"/>
                <w:spacing w:val="-1"/>
              </w:rPr>
              <w:t>□</w:t>
            </w:r>
            <w:r>
              <w:rPr>
                <w:rFonts w:cs="Times New Roman"/>
              </w:rPr>
              <w:t xml:space="preserve"> 否</w:t>
            </w:r>
          </w:p>
        </w:tc>
        <w:tc>
          <w:tcPr>
            <w:tcW w:w="2658" w:type="dxa"/>
          </w:tcPr>
          <w:p>
            <w:pPr>
              <w:ind w:firstLine="0" w:firstLineChars="0"/>
              <w:rPr>
                <w:rFonts w:cs="Times New Roman"/>
              </w:rPr>
            </w:pPr>
            <w:r>
              <w:rPr>
                <w:rFonts w:cs="Times New Roman"/>
                <w:spacing w:val="-1"/>
              </w:rPr>
              <w:t>□</w:t>
            </w:r>
            <w:r>
              <w:rPr>
                <w:rFonts w:cs="Times New Roman"/>
              </w:rPr>
              <w:t xml:space="preserve"> 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trPr>
        <w:tc>
          <w:tcPr>
            <w:tcW w:w="2813" w:type="dxa"/>
          </w:tcPr>
          <w:p>
            <w:pPr>
              <w:ind w:firstLine="0" w:firstLineChars="0"/>
              <w:rPr>
                <w:rFonts w:cs="Times New Roman"/>
              </w:rPr>
            </w:pPr>
            <w:r>
              <w:rPr>
                <w:rFonts w:cs="Times New Roman"/>
              </w:rPr>
              <w:t>套管组</w:t>
            </w:r>
          </w:p>
        </w:tc>
        <w:tc>
          <w:tcPr>
            <w:tcW w:w="2873" w:type="dxa"/>
          </w:tcPr>
          <w:p>
            <w:pPr>
              <w:ind w:firstLine="0" w:firstLineChars="0"/>
              <w:rPr>
                <w:rFonts w:cs="Times New Roman"/>
                <w:spacing w:val="-1"/>
              </w:rPr>
            </w:pPr>
            <w:r>
              <w:rPr>
                <w:rFonts w:cs="Times New Roman"/>
                <w:spacing w:val="-1"/>
              </w:rPr>
              <w:t xml:space="preserve">□ </w:t>
            </w:r>
            <w:r>
              <w:rPr>
                <w:rFonts w:cs="Times New Roman"/>
              </w:rPr>
              <w:t>20</w:t>
            </w:r>
            <w:r>
              <w:rPr>
                <w:rFonts w:cs="Times New Roman"/>
                <w:spacing w:val="-1"/>
              </w:rPr>
              <w:t>″</w:t>
            </w:r>
            <w:r>
              <w:rPr>
                <w:rFonts w:cs="Times New Roman"/>
              </w:rPr>
              <w:t>×13-3/8</w:t>
            </w:r>
            <w:r>
              <w:rPr>
                <w:rFonts w:cs="Times New Roman"/>
                <w:spacing w:val="-1"/>
              </w:rPr>
              <w:t>″</w:t>
            </w:r>
            <w:r>
              <w:rPr>
                <w:rFonts w:cs="Times New Roman"/>
              </w:rPr>
              <w:t>×9-5/8</w:t>
            </w:r>
            <w:r>
              <w:rPr>
                <w:rFonts w:cs="Times New Roman"/>
                <w:spacing w:val="-1"/>
              </w:rPr>
              <w:t>″</w:t>
            </w:r>
          </w:p>
          <w:p>
            <w:pPr>
              <w:ind w:firstLine="0" w:firstLineChars="0"/>
              <w:rPr>
                <w:rFonts w:cs="Times New Roman"/>
              </w:rPr>
            </w:pPr>
            <w:r>
              <w:rPr>
                <w:rFonts w:cs="Times New Roman"/>
                <w:spacing w:val="-1"/>
              </w:rPr>
              <w:t xml:space="preserve">□ </w:t>
            </w:r>
            <w:r>
              <w:rPr>
                <w:rFonts w:cs="Times New Roman"/>
              </w:rPr>
              <w:t>20</w:t>
            </w:r>
            <w:r>
              <w:rPr>
                <w:rFonts w:cs="Times New Roman"/>
                <w:spacing w:val="-1"/>
              </w:rPr>
              <w:t>″</w:t>
            </w:r>
            <w:r>
              <w:rPr>
                <w:rFonts w:cs="Times New Roman"/>
              </w:rPr>
              <w:t>×13-3/8</w:t>
            </w:r>
            <w:r>
              <w:rPr>
                <w:rFonts w:cs="Times New Roman"/>
                <w:spacing w:val="-1"/>
              </w:rPr>
              <w:t>″</w:t>
            </w:r>
            <w:r>
              <w:rPr>
                <w:rFonts w:cs="Times New Roman"/>
              </w:rPr>
              <w:t>×10-3/4</w:t>
            </w:r>
            <w:r>
              <w:rPr>
                <w:rFonts w:cs="Times New Roman"/>
                <w:spacing w:val="-1"/>
              </w:rPr>
              <w:t>″</w:t>
            </w:r>
          </w:p>
          <w:p>
            <w:pPr>
              <w:ind w:firstLine="0" w:firstLineChars="0"/>
              <w:rPr>
                <w:rFonts w:cs="Times New Roman"/>
              </w:rPr>
            </w:pPr>
            <w:r>
              <w:rPr>
                <w:rFonts w:cs="Times New Roman"/>
                <w:spacing w:val="-1"/>
              </w:rPr>
              <w:t xml:space="preserve">□ </w:t>
            </w:r>
            <w:r>
              <w:rPr>
                <w:rFonts w:cs="Times New Roman"/>
                <w:spacing w:val="-5"/>
              </w:rPr>
              <w:t>提供井口图</w:t>
            </w:r>
          </w:p>
        </w:tc>
        <w:tc>
          <w:tcPr>
            <w:tcW w:w="2658" w:type="dxa"/>
          </w:tcPr>
          <w:p>
            <w:pPr>
              <w:ind w:firstLine="0" w:firstLineChars="0"/>
              <w:rPr>
                <w:rFonts w:cs="Times New Roman"/>
              </w:rPr>
            </w:pPr>
            <w:r>
              <w:rPr>
                <w:rFonts w:cs="Times New Roman"/>
                <w:spacing w:val="-1"/>
              </w:rPr>
              <w:t>□</w:t>
            </w:r>
            <w:r>
              <w:rPr>
                <w:rFonts w:cs="Times New Roman"/>
              </w:rPr>
              <w:t xml:space="preserve"> 其他说明：</w:t>
            </w:r>
          </w:p>
          <w:p>
            <w:pPr>
              <w:ind w:firstLine="0" w:firstLineChars="0"/>
              <w:rPr>
                <w:rFonts w:cs="Times New Roman"/>
              </w:rPr>
            </w:pPr>
            <w:r>
              <w:rPr>
                <w:rFonts w:cs="Times New Roman"/>
              </w:rPr>
              <w:t>说明生产套管尺寸：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2813" w:type="dxa"/>
          </w:tcPr>
          <w:p>
            <w:pPr>
              <w:ind w:firstLine="0" w:firstLineChars="0"/>
              <w:rPr>
                <w:rFonts w:cs="Times New Roman"/>
              </w:rPr>
            </w:pPr>
            <w:r>
              <w:rPr>
                <w:rFonts w:cs="Times New Roman"/>
              </w:rPr>
              <w:t>套管螺纹轮廓（类型）</w:t>
            </w:r>
          </w:p>
        </w:tc>
        <w:tc>
          <w:tcPr>
            <w:tcW w:w="2873" w:type="dxa"/>
          </w:tcPr>
          <w:p>
            <w:pPr>
              <w:ind w:firstLine="0" w:firstLineChars="0"/>
              <w:rPr>
                <w:rFonts w:cs="Times New Roman"/>
                <w:spacing w:val="-1"/>
              </w:rPr>
            </w:pPr>
            <w:r>
              <w:rPr>
                <w:rFonts w:cs="Times New Roman"/>
                <w:spacing w:val="-1"/>
              </w:rPr>
              <w:t xml:space="preserve">□ </w:t>
            </w:r>
            <w:r>
              <w:rPr>
                <w:rFonts w:cs="Times New Roman"/>
                <w:color w:val="333333"/>
                <w:sz w:val="20"/>
                <w:szCs w:val="20"/>
                <w:shd w:val="clear" w:color="auto" w:fill="FFFFFF"/>
              </w:rPr>
              <w:t>偏梯形</w:t>
            </w:r>
          </w:p>
        </w:tc>
        <w:tc>
          <w:tcPr>
            <w:tcW w:w="2658" w:type="dxa"/>
          </w:tcPr>
          <w:p>
            <w:pPr>
              <w:ind w:firstLine="0" w:firstLineChars="0"/>
              <w:rPr>
                <w:rFonts w:cs="Times New Roman"/>
              </w:rPr>
            </w:pPr>
            <w:r>
              <w:rPr>
                <w:rFonts w:cs="Times New Roman"/>
                <w:spacing w:val="-1"/>
              </w:rPr>
              <w:t>□</w:t>
            </w:r>
            <w:r>
              <w:rPr>
                <w:rFonts w:cs="Times New Roman"/>
              </w:rPr>
              <w:t xml:space="preserve">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2813" w:type="dxa"/>
          </w:tcPr>
          <w:p>
            <w:pPr>
              <w:ind w:firstLine="0" w:firstLineChars="0"/>
              <w:rPr>
                <w:rFonts w:cs="Times New Roman"/>
              </w:rPr>
            </w:pPr>
            <w:r>
              <w:rPr>
                <w:rFonts w:cs="Times New Roman"/>
              </w:rPr>
              <w:t>悬挂在井口的水下泥线悬挂器的数量和尺寸</w:t>
            </w:r>
          </w:p>
        </w:tc>
        <w:tc>
          <w:tcPr>
            <w:tcW w:w="2873" w:type="dxa"/>
          </w:tcPr>
          <w:p>
            <w:pPr>
              <w:ind w:firstLine="0" w:firstLineChars="0"/>
              <w:rPr>
                <w:rFonts w:cs="Times New Roman"/>
              </w:rPr>
            </w:pPr>
            <w:r>
              <w:rPr>
                <w:rFonts w:cs="Times New Roman"/>
                <w:spacing w:val="-1"/>
              </w:rPr>
              <w:t xml:space="preserve">□ </w:t>
            </w:r>
            <w:r>
              <w:rPr>
                <w:rFonts w:cs="Times New Roman"/>
                <w:spacing w:val="-5"/>
              </w:rPr>
              <w:t>提供井口图</w:t>
            </w:r>
          </w:p>
        </w:tc>
        <w:tc>
          <w:tcPr>
            <w:tcW w:w="2658" w:type="dxa"/>
          </w:tcPr>
          <w:p>
            <w:pPr>
              <w:ind w:firstLine="0" w:firstLineChars="0"/>
              <w:rPr>
                <w:rFonts w:cs="Times New Roman"/>
                <w:spacing w:val="-1"/>
              </w:rPr>
            </w:pPr>
            <w:r>
              <w:rPr>
                <w:rFonts w:cs="Times New Roman"/>
                <w:spacing w:val="-1"/>
              </w:rPr>
              <w:t>□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2813" w:type="dxa"/>
          </w:tcPr>
          <w:p>
            <w:pPr>
              <w:ind w:firstLine="0" w:firstLineChars="0"/>
              <w:rPr>
                <w:rFonts w:cs="Times New Roman"/>
              </w:rPr>
            </w:pPr>
            <w:r>
              <w:rPr>
                <w:rFonts w:cs="Times New Roman"/>
              </w:rPr>
              <w:t>悬挂在井下的衬管悬挂器的数量和尺寸</w:t>
            </w:r>
          </w:p>
        </w:tc>
        <w:tc>
          <w:tcPr>
            <w:tcW w:w="2873" w:type="dxa"/>
          </w:tcPr>
          <w:p>
            <w:pPr>
              <w:ind w:firstLine="0" w:firstLineChars="0"/>
              <w:rPr>
                <w:rFonts w:cs="Times New Roman"/>
              </w:rPr>
            </w:pPr>
            <w:r>
              <w:rPr>
                <w:rFonts w:cs="Times New Roman"/>
                <w:spacing w:val="-1"/>
              </w:rPr>
              <w:t xml:space="preserve">□ </w:t>
            </w:r>
            <w:r>
              <w:rPr>
                <w:rFonts w:cs="Times New Roman"/>
                <w:spacing w:val="-5"/>
              </w:rPr>
              <w:t>提供井口图</w:t>
            </w:r>
          </w:p>
        </w:tc>
        <w:tc>
          <w:tcPr>
            <w:tcW w:w="2658" w:type="dxa"/>
          </w:tcPr>
          <w:p>
            <w:pPr>
              <w:ind w:firstLine="0" w:firstLineChars="0"/>
              <w:rPr>
                <w:rFonts w:cs="Times New Roman"/>
                <w:spacing w:val="-1"/>
              </w:rPr>
            </w:pPr>
            <w:r>
              <w:rPr>
                <w:rFonts w:cs="Times New Roman"/>
                <w:spacing w:val="-1"/>
              </w:rPr>
              <w:t>□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2813" w:type="dxa"/>
          </w:tcPr>
          <w:p>
            <w:pPr>
              <w:ind w:firstLine="0" w:firstLineChars="0"/>
              <w:rPr>
                <w:rFonts w:cs="Times New Roman"/>
              </w:rPr>
            </w:pPr>
            <w:r>
              <w:rPr>
                <w:rFonts w:cs="Times New Roman"/>
              </w:rPr>
              <w:t>套管悬挂器锁合衬套？</w:t>
            </w:r>
          </w:p>
        </w:tc>
        <w:tc>
          <w:tcPr>
            <w:tcW w:w="2873" w:type="dxa"/>
          </w:tcPr>
          <w:p>
            <w:pPr>
              <w:ind w:firstLine="0" w:firstLineChars="0"/>
              <w:rPr>
                <w:rFonts w:cs="Times New Roman"/>
              </w:rPr>
            </w:pPr>
            <w:r>
              <w:rPr>
                <w:rFonts w:cs="Times New Roman"/>
                <w:spacing w:val="-1"/>
              </w:rPr>
              <w:t>□</w:t>
            </w:r>
            <w:r>
              <w:rPr>
                <w:rFonts w:cs="Times New Roman"/>
              </w:rPr>
              <w:t xml:space="preserve"> 是</w:t>
            </w:r>
          </w:p>
          <w:p>
            <w:pPr>
              <w:ind w:firstLine="0" w:firstLineChars="0"/>
              <w:rPr>
                <w:rFonts w:cs="Times New Roman"/>
              </w:rPr>
            </w:pPr>
            <w:r>
              <w:rPr>
                <w:rFonts w:cs="Times New Roman"/>
                <w:spacing w:val="-1"/>
              </w:rPr>
              <w:t xml:space="preserve">□ </w:t>
            </w:r>
            <w:r>
              <w:rPr>
                <w:rFonts w:cs="Times New Roman"/>
                <w:position w:val="1"/>
              </w:rPr>
              <w:t>否</w:t>
            </w:r>
          </w:p>
        </w:tc>
        <w:tc>
          <w:tcPr>
            <w:tcW w:w="2658" w:type="dxa"/>
          </w:tcPr>
          <w:p>
            <w:pPr>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trPr>
        <w:tc>
          <w:tcPr>
            <w:tcW w:w="2813" w:type="dxa"/>
          </w:tcPr>
          <w:p>
            <w:pPr>
              <w:ind w:firstLine="0" w:firstLineChars="0"/>
              <w:rPr>
                <w:rFonts w:cs="Times New Roman"/>
              </w:rPr>
            </w:pPr>
            <w:r>
              <w:rPr>
                <w:rFonts w:cs="Times New Roman"/>
              </w:rPr>
              <w:t>预期的油管悬挂器完井</w:t>
            </w:r>
          </w:p>
        </w:tc>
        <w:tc>
          <w:tcPr>
            <w:tcW w:w="2873" w:type="dxa"/>
          </w:tcPr>
          <w:p>
            <w:pPr>
              <w:ind w:firstLine="0" w:firstLineChars="0"/>
              <w:rPr>
                <w:rFonts w:cs="Times New Roman"/>
              </w:rPr>
            </w:pPr>
            <w:r>
              <w:rPr>
                <w:rFonts w:cs="Times New Roman"/>
                <w:spacing w:val="-1"/>
              </w:rPr>
              <w:t>□</w:t>
            </w:r>
            <w:r>
              <w:rPr>
                <w:rFonts w:cs="Times New Roman"/>
              </w:rPr>
              <w:t xml:space="preserve"> 井口装置内</w:t>
            </w:r>
          </w:p>
          <w:p>
            <w:pPr>
              <w:ind w:firstLine="0" w:firstLineChars="0"/>
              <w:rPr>
                <w:rFonts w:cs="Times New Roman"/>
              </w:rPr>
            </w:pPr>
            <w:r>
              <w:rPr>
                <w:rFonts w:cs="Times New Roman"/>
                <w:spacing w:val="-1"/>
              </w:rPr>
              <w:t xml:space="preserve">□ </w:t>
            </w:r>
            <w:r>
              <w:rPr>
                <w:rFonts w:cs="Times New Roman"/>
              </w:rPr>
              <w:t>单独的油管头</w:t>
            </w:r>
          </w:p>
          <w:p>
            <w:pPr>
              <w:ind w:firstLine="0" w:firstLineChars="0"/>
              <w:rPr>
                <w:rFonts w:cs="Times New Roman"/>
              </w:rPr>
            </w:pPr>
            <w:r>
              <w:rPr>
                <w:rFonts w:cs="Times New Roman"/>
                <w:spacing w:val="-1"/>
              </w:rPr>
              <w:t xml:space="preserve">□ </w:t>
            </w:r>
            <w:r>
              <w:rPr>
                <w:rFonts w:cs="Times New Roman"/>
              </w:rPr>
              <w:t>锁合衬套</w:t>
            </w:r>
          </w:p>
        </w:tc>
        <w:tc>
          <w:tcPr>
            <w:tcW w:w="2658" w:type="dxa"/>
          </w:tcPr>
          <w:p>
            <w:pPr>
              <w:ind w:firstLine="0" w:firstLineChars="0"/>
              <w:rPr>
                <w:rFonts w:cs="Times New Roman"/>
              </w:rPr>
            </w:pPr>
            <w:r>
              <w:rPr>
                <w:rFonts w:cs="Times New Roman"/>
                <w:spacing w:val="-1"/>
              </w:rPr>
              <w:t>□</w:t>
            </w:r>
            <w:r>
              <w:rPr>
                <w:rFonts w:cs="Times New Roman"/>
              </w:rPr>
              <w:t xml:space="preserve"> 卧式采油树</w:t>
            </w:r>
          </w:p>
          <w:p>
            <w:pPr>
              <w:ind w:firstLine="0" w:firstLineChars="0"/>
              <w:rPr>
                <w:rFonts w:cs="Times New Roman"/>
              </w:rPr>
            </w:pPr>
            <w:r>
              <w:rPr>
                <w:rFonts w:cs="Times New Roman"/>
                <w:spacing w:val="-1"/>
              </w:rPr>
              <w:t>□</w:t>
            </w:r>
            <w:r>
              <w:rPr>
                <w:rFonts w:cs="Times New Roman"/>
              </w:rPr>
              <w:t xml:space="preserve">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813" w:type="dxa"/>
          </w:tcPr>
          <w:p>
            <w:pPr>
              <w:ind w:firstLine="0" w:firstLineChars="0"/>
              <w:rPr>
                <w:rFonts w:cs="Times New Roman"/>
              </w:rPr>
            </w:pPr>
            <w:r>
              <w:rPr>
                <w:rFonts w:cs="Times New Roman"/>
              </w:rPr>
              <w:t>井口偏移角度（</w:t>
            </w:r>
            <w:r>
              <w:rPr>
                <w:rFonts w:cs="Times New Roman"/>
                <w:color w:val="333333"/>
                <w:shd w:val="clear" w:color="auto" w:fill="F7F8FA"/>
              </w:rPr>
              <w:t>垂直方向</w:t>
            </w:r>
            <w:r>
              <w:rPr>
                <w:rFonts w:cs="Times New Roman"/>
              </w:rPr>
              <w:t>）</w:t>
            </w:r>
          </w:p>
        </w:tc>
        <w:tc>
          <w:tcPr>
            <w:tcW w:w="2873" w:type="dxa"/>
          </w:tcPr>
          <w:p>
            <w:pPr>
              <w:ind w:firstLine="0" w:firstLineChars="0"/>
              <w:rPr>
                <w:rFonts w:cs="Times New Roman"/>
              </w:rPr>
            </w:pPr>
            <w:r>
              <w:rPr>
                <w:rFonts w:cs="Times New Roman"/>
                <w:spacing w:val="-1"/>
              </w:rPr>
              <w:t xml:space="preserve">□ </w:t>
            </w:r>
            <w:r>
              <w:rPr>
                <w:rFonts w:cs="Times New Roman"/>
                <w:spacing w:val="-5"/>
              </w:rPr>
              <w:t>提供井口图</w:t>
            </w:r>
          </w:p>
        </w:tc>
        <w:tc>
          <w:tcPr>
            <w:tcW w:w="2658" w:type="dxa"/>
          </w:tcPr>
          <w:p>
            <w:pPr>
              <w:ind w:firstLine="0" w:firstLineChars="0"/>
              <w:rPr>
                <w:rFonts w:cs="Times New Roman"/>
              </w:rPr>
            </w:pPr>
            <w:r>
              <w:rPr>
                <w:rFonts w:cs="Times New Roman"/>
                <w:spacing w:val="-1"/>
              </w:rPr>
              <w:t>□</w:t>
            </w:r>
            <w:r>
              <w:rPr>
                <w:rFonts w:cs="Times New Roman"/>
              </w:rPr>
              <w:t xml:space="preserve">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2813" w:type="dxa"/>
          </w:tcPr>
          <w:p>
            <w:pPr>
              <w:ind w:firstLine="0" w:firstLineChars="0"/>
              <w:rPr>
                <w:rFonts w:cs="Times New Roman"/>
              </w:rPr>
            </w:pPr>
            <w:r>
              <w:rPr>
                <w:rFonts w:cs="Times New Roman"/>
              </w:rPr>
              <w:t>从泥线至表层套管或高压井口头顶部的距离</w:t>
            </w:r>
          </w:p>
        </w:tc>
        <w:tc>
          <w:tcPr>
            <w:tcW w:w="2873" w:type="dxa"/>
          </w:tcPr>
          <w:p>
            <w:pPr>
              <w:ind w:firstLine="0" w:firstLineChars="0"/>
              <w:rPr>
                <w:rFonts w:cs="Times New Roman"/>
              </w:rPr>
            </w:pPr>
            <w:r>
              <w:rPr>
                <w:rFonts w:cs="Times New Roman"/>
                <w:spacing w:val="-1"/>
              </w:rPr>
              <w:t xml:space="preserve">□ </w:t>
            </w:r>
            <w:r>
              <w:rPr>
                <w:rFonts w:cs="Times New Roman"/>
              </w:rPr>
              <w:t>TGB堆叠高度</w:t>
            </w:r>
          </w:p>
          <w:p>
            <w:pPr>
              <w:ind w:firstLine="0" w:firstLineChars="0"/>
              <w:rPr>
                <w:rFonts w:cs="Times New Roman"/>
              </w:rPr>
            </w:pPr>
            <w:r>
              <w:rPr>
                <w:rFonts w:cs="Times New Roman"/>
                <w:spacing w:val="-1"/>
              </w:rPr>
              <w:t>□ 10-15ft（3-4.6m）</w:t>
            </w:r>
          </w:p>
        </w:tc>
        <w:tc>
          <w:tcPr>
            <w:tcW w:w="2658" w:type="dxa"/>
          </w:tcPr>
          <w:p>
            <w:pPr>
              <w:ind w:firstLine="0" w:firstLineChars="0"/>
              <w:rPr>
                <w:rFonts w:cs="Times New Roman"/>
              </w:rPr>
            </w:pPr>
            <w:r>
              <w:rPr>
                <w:rFonts w:cs="Times New Roman"/>
                <w:spacing w:val="-1"/>
              </w:rPr>
              <w:t>□</w:t>
            </w:r>
            <w:r>
              <w:rPr>
                <w:rFonts w:cs="Times New Roman"/>
              </w:rPr>
              <w:t xml:space="preserve">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813" w:type="dxa"/>
          </w:tcPr>
          <w:p>
            <w:pPr>
              <w:ind w:firstLine="0" w:firstLineChars="0"/>
              <w:rPr>
                <w:rFonts w:cs="Times New Roman"/>
              </w:rPr>
            </w:pPr>
            <w:r>
              <w:rPr>
                <w:rFonts w:cs="Times New Roman"/>
              </w:rPr>
              <w:t>预期的海底水合物</w:t>
            </w:r>
          </w:p>
        </w:tc>
        <w:tc>
          <w:tcPr>
            <w:tcW w:w="2873" w:type="dxa"/>
          </w:tcPr>
          <w:p>
            <w:pPr>
              <w:ind w:firstLine="0" w:firstLineChars="0"/>
              <w:rPr>
                <w:rFonts w:cs="Times New Roman"/>
                <w:spacing w:val="-1"/>
              </w:rPr>
            </w:pPr>
            <w:r>
              <w:rPr>
                <w:rFonts w:cs="Times New Roman"/>
                <w:spacing w:val="-1"/>
              </w:rPr>
              <w:t>□</w:t>
            </w:r>
            <w:r>
              <w:rPr>
                <w:rFonts w:cs="Times New Roman"/>
              </w:rPr>
              <w:t xml:space="preserve"> 是</w:t>
            </w:r>
          </w:p>
          <w:p>
            <w:pPr>
              <w:ind w:firstLine="0" w:firstLineChars="0"/>
              <w:rPr>
                <w:rFonts w:cs="Times New Roman"/>
              </w:rPr>
            </w:pPr>
            <w:r>
              <w:rPr>
                <w:rFonts w:cs="Times New Roman"/>
                <w:spacing w:val="-1"/>
              </w:rPr>
              <w:t>□</w:t>
            </w:r>
            <w:r>
              <w:rPr>
                <w:rFonts w:cs="Times New Roman"/>
              </w:rPr>
              <w:t xml:space="preserve"> 否</w:t>
            </w:r>
          </w:p>
        </w:tc>
        <w:tc>
          <w:tcPr>
            <w:tcW w:w="2658" w:type="dxa"/>
          </w:tcPr>
          <w:p>
            <w:pPr>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2813" w:type="dxa"/>
          </w:tcPr>
          <w:p>
            <w:pPr>
              <w:ind w:firstLine="0" w:firstLineChars="0"/>
              <w:rPr>
                <w:rFonts w:cs="Times New Roman"/>
              </w:rPr>
            </w:pPr>
            <w:r>
              <w:rPr>
                <w:rFonts w:cs="Times New Roman"/>
              </w:rPr>
              <w:t>低压出口延伸</w:t>
            </w:r>
          </w:p>
        </w:tc>
        <w:tc>
          <w:tcPr>
            <w:tcW w:w="2873" w:type="dxa"/>
          </w:tcPr>
          <w:p>
            <w:pPr>
              <w:ind w:firstLine="0" w:firstLineChars="0"/>
              <w:rPr>
                <w:rFonts w:cs="Times New Roman"/>
                <w:spacing w:val="-1"/>
              </w:rPr>
            </w:pPr>
            <w:r>
              <w:rPr>
                <w:rFonts w:cs="Times New Roman"/>
                <w:spacing w:val="-1"/>
              </w:rPr>
              <w:t>□</w:t>
            </w:r>
            <w:r>
              <w:rPr>
                <w:rFonts w:cs="Times New Roman"/>
              </w:rPr>
              <w:t xml:space="preserve"> 是</w:t>
            </w:r>
          </w:p>
          <w:p>
            <w:pPr>
              <w:ind w:firstLine="0" w:firstLineChars="0"/>
              <w:rPr>
                <w:rFonts w:cs="Times New Roman"/>
              </w:rPr>
            </w:pPr>
            <w:r>
              <w:rPr>
                <w:rFonts w:cs="Times New Roman"/>
                <w:spacing w:val="-1"/>
              </w:rPr>
              <w:t>□</w:t>
            </w:r>
            <w:r>
              <w:rPr>
                <w:rFonts w:cs="Times New Roman"/>
              </w:rPr>
              <w:t xml:space="preserve"> 否</w:t>
            </w:r>
          </w:p>
        </w:tc>
        <w:tc>
          <w:tcPr>
            <w:tcW w:w="2658" w:type="dxa"/>
          </w:tcPr>
          <w:p>
            <w:pPr>
              <w:ind w:firstLine="0" w:firstLineChars="0"/>
              <w:rPr>
                <w:rFonts w:cs="Times New Roman"/>
              </w:rPr>
            </w:pPr>
            <w:r>
              <w:rPr>
                <w:rFonts w:cs="Times New Roman"/>
                <w:spacing w:val="-1"/>
              </w:rPr>
              <w:t>□ 有</w:t>
            </w:r>
            <w:r>
              <w:rPr>
                <w:rFonts w:cs="Times New Roman"/>
              </w:rPr>
              <w:t>关闭阀</w:t>
            </w:r>
          </w:p>
          <w:p>
            <w:pPr>
              <w:ind w:firstLine="0" w:firstLineChars="0"/>
              <w:rPr>
                <w:rFonts w:cs="Times New Roman"/>
              </w:rPr>
            </w:pPr>
            <w:r>
              <w:rPr>
                <w:rFonts w:cs="Times New Roman"/>
                <w:spacing w:val="-1"/>
              </w:rPr>
              <w:t>□</w:t>
            </w:r>
            <w:r>
              <w:rPr>
                <w:rFonts w:cs="Times New Roman"/>
              </w:rPr>
              <w:t xml:space="preserve"> 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2813" w:type="dxa"/>
          </w:tcPr>
          <w:p>
            <w:pPr>
              <w:ind w:firstLine="0" w:firstLineChars="0"/>
              <w:rPr>
                <w:rFonts w:cs="Times New Roman"/>
              </w:rPr>
            </w:pPr>
            <w:r>
              <w:rPr>
                <w:rFonts w:cs="Times New Roman"/>
              </w:rPr>
              <w:t>海洋钻井立管载荷（如：常规、极端、事故及疲劳）及负荷组合</w:t>
            </w:r>
          </w:p>
        </w:tc>
        <w:tc>
          <w:tcPr>
            <w:tcW w:w="2873" w:type="dxa"/>
          </w:tcPr>
          <w:p>
            <w:pPr>
              <w:spacing w:after="200" w:line="295" w:lineRule="exact"/>
              <w:ind w:firstLine="0" w:firstLineChars="0"/>
              <w:rPr>
                <w:rFonts w:cs="Times New Roman"/>
              </w:rPr>
            </w:pPr>
          </w:p>
        </w:tc>
        <w:tc>
          <w:tcPr>
            <w:tcW w:w="2658" w:type="dxa"/>
          </w:tcPr>
          <w:p>
            <w:pPr>
              <w:spacing w:after="200" w:line="295" w:lineRule="exact"/>
              <w:ind w:firstLine="0" w:firstLineChars="0"/>
              <w:rPr>
                <w:rFonts w:cs="Times New Roman"/>
              </w:rPr>
            </w:pPr>
          </w:p>
        </w:tc>
      </w:tr>
    </w:tbl>
    <w:p>
      <w:pPr>
        <w:spacing w:after="200"/>
        <w:ind w:firstLine="0" w:firstLineChars="0"/>
        <w:rPr>
          <w:rFonts w:cs="Times New Roman"/>
        </w:rPr>
      </w:pPr>
      <w:r>
        <w:rPr>
          <w:rFonts w:cs="Times New Roman"/>
        </w:rPr>
        <mc:AlternateContent>
          <mc:Choice Requires="wps">
            <w:drawing>
              <wp:anchor distT="0" distB="0" distL="114300" distR="114300" simplePos="0" relativeHeight="251665408" behindDoc="1" locked="0" layoutInCell="1" allowOverlap="1">
                <wp:simplePos x="0" y="0"/>
                <wp:positionH relativeFrom="page">
                  <wp:posOffset>6950710</wp:posOffset>
                </wp:positionH>
                <wp:positionV relativeFrom="page">
                  <wp:posOffset>7886700</wp:posOffset>
                </wp:positionV>
                <wp:extent cx="283845" cy="840740"/>
                <wp:effectExtent l="0" t="0" r="4445"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283845" cy="840740"/>
                        </a:xfrm>
                        <a:prstGeom prst="rect">
                          <a:avLst/>
                        </a:prstGeom>
                        <a:noFill/>
                        <a:ln>
                          <a:noFill/>
                        </a:ln>
                      </wps:spPr>
                      <wps:txbx>
                        <w:txbxContent>
                          <w:p>
                            <w:pPr>
                              <w:autoSpaceDE w:val="0"/>
                              <w:autoSpaceDN w:val="0"/>
                              <w:adjustRightInd w:val="0"/>
                              <w:spacing w:line="47" w:lineRule="exact"/>
                              <w:ind w:firstLine="60"/>
                            </w:pPr>
                            <w:r>
                              <w:rPr>
                                <w:rFonts w:ascii="Courier" w:hAnsi="Courier" w:cs="Courier"/>
                                <w:color w:val="000000"/>
                                <w:w w:val="50"/>
                                <w:sz w:val="6"/>
                              </w:rPr>
                              <w:t>--`,,```,,,,````-`-`,,`,,`,`,,`---</w:t>
                            </w:r>
                          </w:p>
                        </w:txbxContent>
                      </wps:txbx>
                      <wps:bodyPr rot="0" vert="vert270" wrap="square" lIns="0" tIns="0" rIns="0" bIns="0" anchor="t" anchorCtr="0" upright="1">
                        <a:noAutofit/>
                      </wps:bodyPr>
                    </wps:wsp>
                  </a:graphicData>
                </a:graphic>
              </wp:anchor>
            </w:drawing>
          </mc:Choice>
          <mc:Fallback>
            <w:pict>
              <v:shape id="_x0000_s1026" o:spid="_x0000_s1026" o:spt="202" type="#_x0000_t202" style="position:absolute;left:0pt;margin-left:547.3pt;margin-top:621pt;height:66.2pt;width:22.35pt;mso-position-horizontal-relative:page;mso-position-vertical-relative:page;z-index:-251651072;mso-width-relative:page;mso-height-relative:page;" filled="f" stroked="f" coordsize="21600,21600" o:gfxdata="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6ld+2gAAAA8BAAAPAAAAAAAA&#10;AAEAIAAAACIAAABkcnMvZG93bnJldi54bWxQSwECFAAUAAAACACHTuJAVII3KRACAAALBAAADgAA&#10;AAAAAAABACAAAAApAQAAZHJzL2Uyb0RvYy54bWxQSwUGAAAAAAYABgBZAQAAqwUAAAAA&#10;">
                <v:fill on="f" focussize="0,0"/>
                <v:stroke on="f"/>
                <v:imagedata o:title=""/>
                <o:lock v:ext="edit" aspectratio="f"/>
                <v:textbox inset="0mm,0mm,0mm,0mm" style="layout-flow:vertical;mso-layout-flow-alt:bottom-to-top;">
                  <w:txbxContent>
                    <w:p>
                      <w:pPr>
                        <w:autoSpaceDE w:val="0"/>
                        <w:autoSpaceDN w:val="0"/>
                        <w:adjustRightInd w:val="0"/>
                        <w:spacing w:line="47" w:lineRule="exact"/>
                        <w:ind w:firstLine="60"/>
                      </w:pPr>
                      <w:r>
                        <w:rPr>
                          <w:rFonts w:ascii="Courier" w:hAnsi="Courier" w:cs="Courier"/>
                          <w:color w:val="000000"/>
                          <w:w w:val="50"/>
                          <w:sz w:val="6"/>
                        </w:rPr>
                        <w:t>--`,,```,,,,````-`-`,,`,,`,`,,`---</w:t>
                      </w:r>
                    </w:p>
                  </w:txbxContent>
                </v:textbox>
              </v:shape>
            </w:pict>
          </mc:Fallback>
        </mc:AlternateContent>
      </w:r>
      <w:r>
        <w:rPr>
          <w:rFonts w:cs="Times New Roman"/>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9525" r="0" b="12700"/>
                <wp:wrapNone/>
                <wp:docPr id="284" name="任意多边形 2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59264;mso-width-relative:page;mso-height-relative:page;" fillcolor="#FFFFFF" filled="t" stroked="t" coordsize="250,650" o:gfxdata="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uYxUV0QAA&#10;AAUBAAAPAAAAAAAAAAEAIAAAACIAAABkcnMvZG93bnJldi54bWxQSwECFAAUAAAACACHTuJAjUZb&#10;MgkDAADrBgAADgAAAAAAAAABACAAAAAgAQAAZHJzL2Uyb0RvYy54bWxQSwUGAAAAAAYABgBZAQAA&#10;mwYAAAAA&#10;" path="m125,0l125,0,125,650e">
                <v:path o:connectlocs="317500,0;317500,0;317500,635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62336" behindDoc="0" locked="0" layoutInCell="1" allowOverlap="1">
                <wp:simplePos x="0" y="0"/>
                <wp:positionH relativeFrom="page">
                  <wp:posOffset>3760470</wp:posOffset>
                </wp:positionH>
                <wp:positionV relativeFrom="page">
                  <wp:posOffset>10299700</wp:posOffset>
                </wp:positionV>
                <wp:extent cx="31750" cy="82550"/>
                <wp:effectExtent l="0" t="12700" r="0" b="19050"/>
                <wp:wrapNone/>
                <wp:docPr id="283" name="任意多边形 283"/>
                <wp:cNvGraphicFramePr/>
                <a:graphic xmlns:a="http://schemas.openxmlformats.org/drawingml/2006/main">
                  <a:graphicData uri="http://schemas.microsoft.com/office/word/2010/wordprocessingShape">
                    <wps:wsp>
                      <wps:cNvSpPr>
                        <a:spLocks noChangeArrowheads="1"/>
                      </wps:cNvSpPr>
                      <wps:spPr bwMode="auto">
                        <a:xfrm>
                          <a:off x="0" y="0"/>
                          <a:ext cx="31750" cy="8255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alpha val="0"/>
                          </a:srgbClr>
                        </a:solidFill>
                        <a:ln w="2540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6.1pt;margin-top:811pt;height:6.5pt;width:2.5pt;mso-position-horizontal-relative:page;mso-position-vertical-relative:page;z-index:251662336;mso-width-relative:page;mso-height-relative:page;" fillcolor="#FFFFFF" filled="t" stroked="t" coordsize="250,650" o:gfxdata="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A&#10;hTuI2QAAAA0BAAAPAAAAAAAAAAEAIAAAACIAAABkcnMvZG93bnJldi54bWxQSwECFAAUAAAACACH&#10;TuJAX/3HvAcDAADvBgAADgAAAAAAAAABACAAAAAoAQAAZHJzL2Uyb0RvYy54bWxQSwUGAAAAAAYA&#10;BgBZAQAAoQYAAAAA&#10;" path="m125,0l125,0,125,650e">
                <v:path o:connectlocs="15875,0;15875,0;15875,82550" o:connectangles="0,0,0"/>
                <v:fill on="t" opacity="0f" focussize="0,0"/>
                <v:stroke weight="2pt" color="#FFFFFF" miterlimit="8" joinstyle="miter"/>
                <v:imagedata o:title=""/>
                <o:lock v:ext="edit" aspectratio="f"/>
              </v:shape>
            </w:pict>
          </mc:Fallback>
        </mc:AlternateContent>
      </w:r>
      <w:r>
        <w:rPr>
          <w:rFonts w:cs="Times New Roman"/>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9525" r="0" b="12700"/>
                <wp:wrapNone/>
                <wp:docPr id="282" name="任意多边形 2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60288;mso-width-relative:page;mso-height-relative:page;" fillcolor="#FFFFFF" filled="t" stroked="t" coordsize="250,650" o:gfxdata="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uYxUV0QAA&#10;AAUBAAAPAAAAAAAAAAEAIAAAACIAAABkcnMvZG93bnJldi54bWxQSwECFAAUAAAACACHTuJAmsQ2&#10;TAkDAADrBgAADgAAAAAAAAABACAAAAAgAQAAZHJzL2Uyb0RvYy54bWxQSwUGAAAAAAYABgBZAQAA&#10;mwYAAAAA&#10;" path="m125,0l125,0,125,650e">
                <v:path o:connectlocs="317500,0;317500,0;317500,635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63360" behindDoc="0" locked="0" layoutInCell="1" allowOverlap="1">
                <wp:simplePos x="0" y="0"/>
                <wp:positionH relativeFrom="page">
                  <wp:posOffset>3760470</wp:posOffset>
                </wp:positionH>
                <wp:positionV relativeFrom="page">
                  <wp:posOffset>10375900</wp:posOffset>
                </wp:positionV>
                <wp:extent cx="31750" cy="82550"/>
                <wp:effectExtent l="0" t="12700" r="0" b="19050"/>
                <wp:wrapNone/>
                <wp:docPr id="281" name="任意多边形 281"/>
                <wp:cNvGraphicFramePr/>
                <a:graphic xmlns:a="http://schemas.openxmlformats.org/drawingml/2006/main">
                  <a:graphicData uri="http://schemas.microsoft.com/office/word/2010/wordprocessingShape">
                    <wps:wsp>
                      <wps:cNvSpPr>
                        <a:spLocks noChangeArrowheads="1"/>
                      </wps:cNvSpPr>
                      <wps:spPr bwMode="auto">
                        <a:xfrm>
                          <a:off x="0" y="0"/>
                          <a:ext cx="31750" cy="82550"/>
                        </a:xfrm>
                        <a:custGeom>
                          <a:avLst/>
                          <a:gdLst>
                            <a:gd name="T0" fmla="*/ 125 w 250"/>
                            <a:gd name="T1" fmla="*/ 0 h 650"/>
                            <a:gd name="T2" fmla="*/ 125 w 250"/>
                            <a:gd name="T3" fmla="*/ 0 h 650"/>
                            <a:gd name="T4" fmla="*/ 125 w 250"/>
                            <a:gd name="T5" fmla="*/ 650 h 650"/>
                          </a:gdLst>
                          <a:ahLst/>
                          <a:cxnLst>
                            <a:cxn ang="0">
                              <a:pos x="T0" y="T1"/>
                            </a:cxn>
                            <a:cxn ang="0">
                              <a:pos x="T2" y="T3"/>
                            </a:cxn>
                            <a:cxn ang="0">
                              <a:pos x="T4" y="T5"/>
                            </a:cxn>
                          </a:cxnLst>
                          <a:rect l="0" t="0" r="r" b="b"/>
                          <a:pathLst>
                            <a:path w="250" h="650">
                              <a:moveTo>
                                <a:pt x="125" y="0"/>
                              </a:moveTo>
                              <a:lnTo>
                                <a:pt x="125" y="0"/>
                              </a:lnTo>
                              <a:lnTo>
                                <a:pt x="125" y="650"/>
                              </a:lnTo>
                            </a:path>
                          </a:pathLst>
                        </a:custGeom>
                        <a:solidFill>
                          <a:srgbClr val="FFFFFF">
                            <a:alpha val="0"/>
                          </a:srgbClr>
                        </a:solidFill>
                        <a:ln w="2540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6.1pt;margin-top:817pt;height:6.5pt;width:2.5pt;mso-position-horizontal-relative:page;mso-position-vertical-relative:page;z-index:251663360;mso-width-relative:page;mso-height-relative:page;" fillcolor="#FFFFFF" filled="t" stroked="t" coordsize="250,650" o:gfxdata="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5NgR&#10;+NkAAAANAQAADwAAAAAAAAABACAAAAAiAAAAZHJzL2Rvd25yZXYueG1sUEsBAhQAFAAAAAgAh07i&#10;QJenZzIFAwAA7wYAAA4AAAAAAAAAAQAgAAAAKAEAAGRycy9lMm9Eb2MueG1sUEsFBgAAAAAGAAYA&#10;WQEAAJ8GAAAAAA==&#10;" path="m125,0l125,0,125,650e">
                <v:path o:connectlocs="15875,0;15875,0;15875,82550" o:connectangles="0,0,0"/>
                <v:fill on="t" opacity="0f" focussize="0,0"/>
                <v:stroke weight="2pt" color="#FFFFFF" miterlimit="8" joinstyle="miter"/>
                <v:imagedata o:title=""/>
                <o:lock v:ext="edit" aspectratio="f"/>
              </v:shape>
            </w:pict>
          </mc:Fallback>
        </mc:AlternateContent>
      </w:r>
      <w:r>
        <w:rPr>
          <w:rFonts w:cs="Times New Roman"/>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9525" t="9525" r="12700" b="0"/>
                <wp:wrapNone/>
                <wp:docPr id="280" name="任意多边形 2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30"/>
                            <a:gd name="T1" fmla="*/ 0 w 330"/>
                            <a:gd name="T2" fmla="*/ 330 w 330"/>
                          </a:gdLst>
                          <a:ahLst/>
                          <a:cxnLst>
                            <a:cxn ang="0">
                              <a:pos x="T0" y="0"/>
                            </a:cxn>
                            <a:cxn ang="0">
                              <a:pos x="T1" y="0"/>
                            </a:cxn>
                            <a:cxn ang="0">
                              <a:pos x="T2" y="0"/>
                            </a:cxn>
                          </a:cxnLst>
                          <a:rect l="0" t="0" r="r" b="b"/>
                          <a:pathLst>
                            <a:path w="330">
                              <a:moveTo>
                                <a:pt x="0" y="0"/>
                              </a:moveTo>
                              <a:lnTo>
                                <a:pt x="0" y="0"/>
                              </a:lnTo>
                              <a:lnTo>
                                <a:pt x="330" y="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61312;mso-width-relative:page;mso-height-relative:page;" fillcolor="#FFFFFF" filled="t" stroked="t" coordsize="330,1" o:gfxdata="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tqp3a0gAAAAUBAAAPAAAAAAAAAAEAIAAAACIAAABkcnMvZG93bnJldi54bWxQSwECFAAU&#10;AAAACACHTuJAcWTl3NsCAABrBgAADgAAAAAAAAABACAAAAAhAQAAZHJzL2Uyb0RvYy54bWxQSwUG&#10;AAAAAAYABgBZAQAAbgYAAAAA&#10;" path="m0,0l0,0,330,0e">
                <v:path o:connectlocs="0,0;0,0;635000,0" o:connectangles="0,0,0"/>
                <v:fill on="t" focussize="0,0"/>
                <v:stroke color="#000000" miterlimit="8" joinstyle="miter"/>
                <v:imagedata o:title=""/>
                <o:lock v:ext="edit" selection="t" aspectratio="f"/>
              </v:shape>
            </w:pict>
          </mc:Fallback>
        </mc:AlternateContent>
      </w:r>
      <w:r>
        <w:rPr>
          <w:rFonts w:cs="Times New Roman"/>
        </w:rPr>
        <mc:AlternateContent>
          <mc:Choice Requires="wps">
            <w:drawing>
              <wp:anchor distT="0" distB="0" distL="114300" distR="114300" simplePos="0" relativeHeight="251664384" behindDoc="0" locked="0" layoutInCell="1" allowOverlap="1">
                <wp:simplePos x="0" y="0"/>
                <wp:positionH relativeFrom="page">
                  <wp:posOffset>6944360</wp:posOffset>
                </wp:positionH>
                <wp:positionV relativeFrom="page">
                  <wp:posOffset>8675370</wp:posOffset>
                </wp:positionV>
                <wp:extent cx="41910" cy="0"/>
                <wp:effectExtent l="10160" t="7620" r="5080" b="11430"/>
                <wp:wrapNone/>
                <wp:docPr id="279" name="任意多边形 279"/>
                <wp:cNvGraphicFramePr/>
                <a:graphic xmlns:a="http://schemas.openxmlformats.org/drawingml/2006/main">
                  <a:graphicData uri="http://schemas.microsoft.com/office/word/2010/wordprocessingShape">
                    <wps:wsp>
                      <wps:cNvSpPr>
                        <a:spLocks noChangeArrowheads="1"/>
                      </wps:cNvSpPr>
                      <wps:spPr bwMode="auto">
                        <a:xfrm>
                          <a:off x="0" y="0"/>
                          <a:ext cx="41910" cy="0"/>
                        </a:xfrm>
                        <a:custGeom>
                          <a:avLst/>
                          <a:gdLst>
                            <a:gd name="T0" fmla="*/ 0 w 330"/>
                            <a:gd name="T1" fmla="*/ 0 w 330"/>
                            <a:gd name="T2" fmla="*/ 330 w 330"/>
                          </a:gdLst>
                          <a:ahLst/>
                          <a:cxnLst>
                            <a:cxn ang="0">
                              <a:pos x="T0" y="0"/>
                            </a:cxn>
                            <a:cxn ang="0">
                              <a:pos x="T1" y="0"/>
                            </a:cxn>
                            <a:cxn ang="0">
                              <a:pos x="T2" y="0"/>
                            </a:cxn>
                          </a:cxnLst>
                          <a:rect l="0" t="0" r="r" b="b"/>
                          <a:pathLst>
                            <a:path w="330">
                              <a:moveTo>
                                <a:pt x="0" y="0"/>
                              </a:moveTo>
                              <a:lnTo>
                                <a:pt x="0" y="0"/>
                              </a:lnTo>
                              <a:lnTo>
                                <a:pt x="330" y="0"/>
                              </a:lnTo>
                            </a:path>
                          </a:pathLst>
                        </a:custGeom>
                        <a:solidFill>
                          <a:srgbClr val="FFFFFF">
                            <a:alpha val="0"/>
                          </a:srgbClr>
                        </a:solidFill>
                        <a:ln w="0">
                          <a:solidFill>
                            <a:srgbClr val="FFFFFF"/>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46.8pt;margin-top:683.1pt;height:0pt;width:3.3pt;mso-position-horizontal-relative:page;mso-position-vertical-relative:page;z-index:251664384;mso-width-relative:page;mso-height-relative:page;" fillcolor="#FFFFFF" filled="t" stroked="t" coordsize="330,1" o:gfxdata="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zkMZx2AAAAA8BAAAPAAAAAAAAAAEAIAAAACIAAABkcnMvZG93bnJldi54bWxQSwECFAAU&#10;AAAACACHTuJAcADGK9UCAABnBgAADgAAAAAAAAABACAAAAAnAQAAZHJzL2Uyb0RvYy54bWxQSwUG&#10;AAAAAAYABgBZAQAAbgYAAAAA&#10;" path="m0,0l0,0,330,0e">
                <v:path o:connectlocs="0,0;0,0;41910,0" o:connectangles="0,0,0"/>
                <v:fill on="t" opacity="0f" focussize="0,0"/>
                <v:stroke weight="0pt" color="#FFFFFF" miterlimit="8" joinstyle="miter"/>
                <v:imagedata o:title=""/>
                <o:lock v:ext="edit" aspectratio="f"/>
              </v:shape>
            </w:pict>
          </mc:Fallback>
        </mc:AlternateContent>
      </w:r>
      <w:bookmarkEnd w:id="228"/>
    </w:p>
    <w:sectPr>
      <w:type w:val="continuous"/>
      <w:pgSz w:w="11904" w:h="16841"/>
      <w:pgMar w:top="1440" w:right="1803" w:bottom="1440" w:left="1803" w:header="0" w:footer="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
    <w:p>
      <w:pPr>
        <w:spacing w:line="240" w:lineRule="auto"/>
        <w:ind w:firstLine="420"/>
      </w:pPr>
      <w:r>
        <w:separator/>
      </w:r>
    </w:p>
  </w:endnote>
  <w:endnote w:type="continuationSeparator" w:id="5">
    <w:p>
      <w:pPr>
        <w:spacing w:line="240" w:lineRule="auto"/>
        <w:ind w:firstLine="420"/>
      </w:pPr>
      <w:r>
        <w:continuationSeparator/>
      </w:r>
    </w:p>
  </w:endnote>
  <w:endnote w:id="0">
    <w:p>
      <w:pPr>
        <w:pStyle w:val="15"/>
        <w:ind w:firstLine="0" w:firstLineChars="0"/>
      </w:pPr>
    </w:p>
  </w:endnote>
  <w:endnote w:id="1">
    <w:p>
      <w:pPr>
        <w:pStyle w:val="15"/>
        <w:ind w:firstLine="0" w:firstLineChars="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6848315"/>
    </w:sdtPr>
    <w:sdtContent>
      <w:p>
        <w:pPr>
          <w:pStyle w:val="17"/>
          <w:ind w:firstLine="360"/>
          <w:jc w:val="center"/>
        </w:pPr>
        <w:r>
          <w:fldChar w:fldCharType="begin"/>
        </w:r>
        <w:r>
          <w:instrText xml:space="preserve">PAGE   \* MERGEFORMAT</w:instrText>
        </w:r>
        <w:r>
          <w:fldChar w:fldCharType="separate"/>
        </w:r>
        <w:r>
          <w:rPr>
            <w:lang w:val="zh-CN"/>
          </w:rPr>
          <w:t>II</w:t>
        </w:r>
        <w:r>
          <w:fldChar w:fldCharType="end"/>
        </w:r>
      </w:p>
    </w:sdtContent>
  </w:sdt>
  <w:p>
    <w:pPr>
      <w:pStyle w:val="17"/>
      <w:ind w:left="359" w:leftChars="171"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420"/>
      </w:pPr>
      <w:r>
        <w:separator/>
      </w:r>
    </w:p>
  </w:footnote>
  <w:footnote w:type="continuationSeparator" w:id="1">
    <w:p>
      <w:pPr>
        <w:spacing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E4E2F"/>
    <w:multiLevelType w:val="singleLevel"/>
    <w:tmpl w:val="AC0E4E2F"/>
    <w:lvl w:ilvl="0" w:tentative="0">
      <w:start w:val="1"/>
      <w:numFmt w:val="lowerLetter"/>
      <w:suff w:val="space"/>
      <w:lvlText w:val="%1)"/>
      <w:lvlJc w:val="left"/>
    </w:lvl>
  </w:abstractNum>
  <w:abstractNum w:abstractNumId="1">
    <w:nsid w:val="0326010F"/>
    <w:multiLevelType w:val="multilevel"/>
    <w:tmpl w:val="0326010F"/>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7A6169D"/>
    <w:multiLevelType w:val="multilevel"/>
    <w:tmpl w:val="07A6169D"/>
    <w:lvl w:ilvl="0" w:tentative="0">
      <w:start w:val="1"/>
      <w:numFmt w:val="decimal"/>
      <w:pStyle w:val="38"/>
      <w:lvlText w:val="%1"/>
      <w:lvlJc w:val="left"/>
      <w:pPr>
        <w:ind w:left="0" w:firstLine="0"/>
      </w:pPr>
      <w:rPr>
        <w:rFonts w:hint="default" w:ascii="Times New Roman" w:hAnsi="Times New Roman" w:eastAsia="宋体"/>
        <w:b/>
        <w:i w:val="0"/>
      </w:rPr>
    </w:lvl>
    <w:lvl w:ilvl="1" w:tentative="0">
      <w:start w:val="1"/>
      <w:numFmt w:val="decimal"/>
      <w:pStyle w:val="39"/>
      <w:lvlText w:val="%1.%2"/>
      <w:lvlJc w:val="left"/>
      <w:pPr>
        <w:ind w:left="0" w:firstLine="0"/>
      </w:pPr>
      <w:rPr>
        <w:rFonts w:hint="default" w:ascii="Times New Roman" w:hAnsi="Times New Roman" w:eastAsia="宋体"/>
        <w:b/>
        <w:bCs w:val="0"/>
        <w:i w:val="0"/>
        <w:iCs w:val="0"/>
        <w:caps w:val="0"/>
        <w:smallCaps w:val="0"/>
        <w:strike w:val="0"/>
        <w:dstrike w:val="0"/>
        <w:vanish w:val="0"/>
        <w:color w:val="auto"/>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40"/>
      <w:lvlText w:val="%1.%2.%3"/>
      <w:lvlJc w:val="left"/>
      <w:pPr>
        <w:ind w:left="0" w:firstLine="0"/>
      </w:pPr>
      <w:rPr>
        <w:rFonts w:hint="eastAsia"/>
        <w:b/>
        <w:i w:val="0"/>
      </w:rPr>
    </w:lvl>
    <w:lvl w:ilvl="3" w:tentative="0">
      <w:start w:val="1"/>
      <w:numFmt w:val="decimal"/>
      <w:pStyle w:val="41"/>
      <w:lvlText w:val="%1.%2.%3.%4"/>
      <w:lvlJc w:val="left"/>
      <w:pPr>
        <w:ind w:left="0" w:firstLine="0"/>
      </w:pPr>
      <w:rPr>
        <w:rFonts w:hint="eastAsia"/>
        <w:b/>
        <w:i w:val="0"/>
      </w:rPr>
    </w:lvl>
    <w:lvl w:ilvl="4" w:tentative="0">
      <w:start w:val="1"/>
      <w:numFmt w:val="decimal"/>
      <w:pStyle w:val="42"/>
      <w:lvlText w:val="%1.%2.%3.%4.%5"/>
      <w:lvlJc w:val="left"/>
      <w:pPr>
        <w:ind w:left="0" w:firstLine="0"/>
      </w:pPr>
      <w:rPr>
        <w:rFonts w:hint="eastAsia"/>
        <w:b/>
        <w:i w:val="0"/>
      </w:rPr>
    </w:lvl>
    <w:lvl w:ilvl="5" w:tentative="0">
      <w:start w:val="1"/>
      <w:numFmt w:val="decimal"/>
      <w:pStyle w:val="74"/>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08FD151E"/>
    <w:multiLevelType w:val="multilevel"/>
    <w:tmpl w:val="08FD151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9400153"/>
    <w:multiLevelType w:val="multilevel"/>
    <w:tmpl w:val="0940015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9E83F2D"/>
    <w:multiLevelType w:val="multilevel"/>
    <w:tmpl w:val="09E83F2D"/>
    <w:lvl w:ilvl="0" w:tentative="0">
      <w:start w:val="12"/>
      <w:numFmt w:val="bullet"/>
      <w:lvlText w:val="—"/>
      <w:lvlJc w:val="left"/>
      <w:pPr>
        <w:ind w:left="840" w:hanging="420"/>
      </w:pPr>
      <w:rPr>
        <w:rFonts w:hint="eastAsia" w:ascii="宋体" w:hAnsi="宋体" w:eastAsia="宋体" w:cstheme="minorBidi"/>
      </w:rPr>
    </w:lvl>
    <w:lvl w:ilvl="1" w:tentative="0">
      <w:start w:val="12"/>
      <w:numFmt w:val="bullet"/>
      <w:lvlText w:val="—"/>
      <w:lvlJc w:val="left"/>
      <w:pPr>
        <w:ind w:left="1260" w:hanging="420"/>
      </w:pPr>
      <w:rPr>
        <w:rFonts w:hint="eastAsia" w:ascii="宋体" w:hAnsi="宋体" w:eastAsia="宋体" w:cstheme="minorBidi"/>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AE11355"/>
    <w:multiLevelType w:val="multilevel"/>
    <w:tmpl w:val="0AE1135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E806BCB"/>
    <w:multiLevelType w:val="multilevel"/>
    <w:tmpl w:val="0E806BCB"/>
    <w:lvl w:ilvl="0" w:tentative="0">
      <w:start w:val="1"/>
      <w:numFmt w:val="lowerLetter"/>
      <w:lvlText w:val="%1)"/>
      <w:lvlJc w:val="left"/>
      <w:pPr>
        <w:ind w:left="832" w:hanging="420"/>
      </w:p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10BD574A"/>
    <w:multiLevelType w:val="multilevel"/>
    <w:tmpl w:val="10BD574A"/>
    <w:lvl w:ilvl="0" w:tentative="0">
      <w:start w:val="12"/>
      <w:numFmt w:val="bullet"/>
      <w:lvlText w:val="—"/>
      <w:lvlJc w:val="left"/>
      <w:pPr>
        <w:ind w:left="840" w:hanging="42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11F941DA"/>
    <w:multiLevelType w:val="multilevel"/>
    <w:tmpl w:val="11F941DA"/>
    <w:lvl w:ilvl="0" w:tentative="0">
      <w:start w:val="12"/>
      <w:numFmt w:val="bullet"/>
      <w:lvlText w:val="—"/>
      <w:lvlJc w:val="left"/>
      <w:pPr>
        <w:ind w:left="840" w:hanging="42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13F970C3"/>
    <w:multiLevelType w:val="multilevel"/>
    <w:tmpl w:val="13F970C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75413EC"/>
    <w:multiLevelType w:val="multilevel"/>
    <w:tmpl w:val="175413E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A404F45"/>
    <w:multiLevelType w:val="multilevel"/>
    <w:tmpl w:val="1A404F4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1E043BAA"/>
    <w:multiLevelType w:val="multilevel"/>
    <w:tmpl w:val="1E043BA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29560F0"/>
    <w:multiLevelType w:val="multilevel"/>
    <w:tmpl w:val="229560F0"/>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2A2B64DC"/>
    <w:multiLevelType w:val="multilevel"/>
    <w:tmpl w:val="2A2B64DC"/>
    <w:lvl w:ilvl="0" w:tentative="0">
      <w:start w:val="12"/>
      <w:numFmt w:val="bullet"/>
      <w:lvlText w:val="—"/>
      <w:lvlJc w:val="left"/>
      <w:pPr>
        <w:ind w:left="840" w:hanging="42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2B0932A3"/>
    <w:multiLevelType w:val="multilevel"/>
    <w:tmpl w:val="2B0932A3"/>
    <w:lvl w:ilvl="0" w:tentative="0">
      <w:start w:val="12"/>
      <w:numFmt w:val="bullet"/>
      <w:lvlText w:val="—"/>
      <w:lvlJc w:val="left"/>
      <w:pPr>
        <w:ind w:left="840" w:hanging="42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2B786289"/>
    <w:multiLevelType w:val="multilevel"/>
    <w:tmpl w:val="2B786289"/>
    <w:lvl w:ilvl="0" w:tentative="0">
      <w:start w:val="12"/>
      <w:numFmt w:val="bullet"/>
      <w:lvlText w:val="—"/>
      <w:lvlJc w:val="left"/>
      <w:pPr>
        <w:ind w:left="840" w:hanging="42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2D705F09"/>
    <w:multiLevelType w:val="multilevel"/>
    <w:tmpl w:val="2D705F09"/>
    <w:lvl w:ilvl="0" w:tentative="0">
      <w:start w:val="1"/>
      <w:numFmt w:val="bullet"/>
      <w:lvlText w:val="―"/>
      <w:lvlJc w:val="left"/>
      <w:pPr>
        <w:ind w:left="830" w:hanging="420"/>
      </w:pPr>
      <w:rPr>
        <w:rFonts w:hint="eastAsia" w:ascii="宋体" w:hAnsi="宋体" w:eastAsia="宋体"/>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9">
    <w:nsid w:val="307656EF"/>
    <w:multiLevelType w:val="multilevel"/>
    <w:tmpl w:val="307656EF"/>
    <w:lvl w:ilvl="0" w:tentative="0">
      <w:start w:val="1"/>
      <w:numFmt w:val="bullet"/>
      <w:lvlText w:val="―"/>
      <w:lvlJc w:val="left"/>
      <w:pPr>
        <w:ind w:left="840" w:hanging="420"/>
      </w:pPr>
      <w:rPr>
        <w:rFonts w:hint="eastAsia" w:ascii="宋体" w:hAnsi="宋体" w:eastAsia="宋体"/>
      </w:rPr>
    </w:lvl>
    <w:lvl w:ilvl="1" w:tentative="0">
      <w:start w:val="12"/>
      <w:numFmt w:val="bullet"/>
      <w:lvlText w:val="—"/>
      <w:lvlJc w:val="left"/>
      <w:pPr>
        <w:ind w:left="1260" w:hanging="420"/>
      </w:pPr>
      <w:rPr>
        <w:rFonts w:hint="eastAsia" w:ascii="宋体" w:hAnsi="宋体" w:eastAsia="宋体" w:cstheme="minorBidi"/>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41231175"/>
    <w:multiLevelType w:val="multilevel"/>
    <w:tmpl w:val="4123117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423A5FE0"/>
    <w:multiLevelType w:val="multilevel"/>
    <w:tmpl w:val="423A5FE0"/>
    <w:lvl w:ilvl="0" w:tentative="0">
      <w:start w:val="12"/>
      <w:numFmt w:val="bullet"/>
      <w:lvlText w:val="—"/>
      <w:lvlJc w:val="left"/>
      <w:pPr>
        <w:ind w:left="840" w:hanging="420"/>
      </w:pPr>
      <w:rPr>
        <w:rFonts w:hint="eastAsia" w:ascii="宋体" w:hAnsi="宋体" w:eastAsia="宋体" w:cstheme="minorBidi"/>
      </w:rPr>
    </w:lvl>
    <w:lvl w:ilvl="1" w:tentative="0">
      <w:start w:val="12"/>
      <w:numFmt w:val="bullet"/>
      <w:lvlText w:val="—"/>
      <w:lvlJc w:val="left"/>
      <w:pPr>
        <w:ind w:left="1260" w:hanging="420"/>
      </w:pPr>
      <w:rPr>
        <w:rFonts w:hint="eastAsia" w:ascii="宋体" w:hAnsi="宋体" w:eastAsia="宋体" w:cstheme="minorBidi"/>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436C55AA"/>
    <w:multiLevelType w:val="multilevel"/>
    <w:tmpl w:val="436C55AA"/>
    <w:lvl w:ilvl="0" w:tentative="0">
      <w:start w:val="12"/>
      <w:numFmt w:val="bullet"/>
      <w:lvlText w:val="—"/>
      <w:lvlJc w:val="left"/>
      <w:pPr>
        <w:ind w:left="840" w:hanging="420"/>
      </w:pPr>
      <w:rPr>
        <w:rFonts w:hint="eastAsia" w:ascii="宋体" w:hAnsi="宋体" w:eastAsia="宋体" w:cstheme="minorBidi"/>
      </w:rPr>
    </w:lvl>
    <w:lvl w:ilvl="1" w:tentative="0">
      <w:start w:val="12"/>
      <w:numFmt w:val="bullet"/>
      <w:lvlText w:val="—"/>
      <w:lvlJc w:val="left"/>
      <w:pPr>
        <w:ind w:left="1260" w:hanging="420"/>
      </w:pPr>
      <w:rPr>
        <w:rFonts w:hint="eastAsia" w:ascii="宋体" w:hAnsi="宋体" w:eastAsia="宋体" w:cstheme="minorBidi"/>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45953131"/>
    <w:multiLevelType w:val="multilevel"/>
    <w:tmpl w:val="45953131"/>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52652A91"/>
    <w:multiLevelType w:val="multilevel"/>
    <w:tmpl w:val="52652A91"/>
    <w:lvl w:ilvl="0" w:tentative="0">
      <w:start w:val="1"/>
      <w:numFmt w:val="bullet"/>
      <w:lvlText w:val="―"/>
      <w:lvlJc w:val="left"/>
      <w:pPr>
        <w:ind w:left="830" w:hanging="420"/>
      </w:pPr>
      <w:rPr>
        <w:rFonts w:hint="eastAsia" w:ascii="宋体" w:hAnsi="宋体" w:eastAsia="宋体"/>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25">
    <w:nsid w:val="52A24612"/>
    <w:multiLevelType w:val="multilevel"/>
    <w:tmpl w:val="52A2461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530648F6"/>
    <w:multiLevelType w:val="multilevel"/>
    <w:tmpl w:val="530648F6"/>
    <w:lvl w:ilvl="0" w:tentative="0">
      <w:start w:val="1"/>
      <w:numFmt w:val="lowerLetter"/>
      <w:lvlText w:val="%1)"/>
      <w:lvlJc w:val="left"/>
      <w:pPr>
        <w:ind w:left="832" w:hanging="420"/>
      </w:pPr>
    </w:lvl>
    <w:lvl w:ilvl="1" w:tentative="0">
      <w:start w:val="1"/>
      <w:numFmt w:val="lowerLetter"/>
      <w:lvlText w:val="%2）"/>
      <w:lvlJc w:val="left"/>
      <w:pPr>
        <w:ind w:left="1240" w:hanging="408"/>
      </w:pPr>
      <w:rPr>
        <w:rFonts w:hint="default"/>
      </w:r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7">
    <w:nsid w:val="5BAA45F5"/>
    <w:multiLevelType w:val="multilevel"/>
    <w:tmpl w:val="5BAA45F5"/>
    <w:lvl w:ilvl="0" w:tentative="0">
      <w:start w:val="12"/>
      <w:numFmt w:val="bullet"/>
      <w:lvlText w:val="—"/>
      <w:lvlJc w:val="left"/>
      <w:pPr>
        <w:ind w:left="840" w:hanging="42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5FBF6F7F"/>
    <w:multiLevelType w:val="multilevel"/>
    <w:tmpl w:val="5FBF6F7F"/>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9">
    <w:nsid w:val="67AB49A0"/>
    <w:multiLevelType w:val="multilevel"/>
    <w:tmpl w:val="67AB49A0"/>
    <w:lvl w:ilvl="0" w:tentative="0">
      <w:start w:val="12"/>
      <w:numFmt w:val="bullet"/>
      <w:lvlText w:val="—"/>
      <w:lvlJc w:val="left"/>
      <w:pPr>
        <w:ind w:left="840" w:hanging="1"/>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0">
    <w:nsid w:val="6AC25E58"/>
    <w:multiLevelType w:val="multilevel"/>
    <w:tmpl w:val="6AC25E58"/>
    <w:lvl w:ilvl="0" w:tentative="0">
      <w:start w:val="12"/>
      <w:numFmt w:val="bullet"/>
      <w:lvlText w:val="—"/>
      <w:lvlJc w:val="left"/>
      <w:pPr>
        <w:ind w:left="840" w:hanging="42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6D29056F"/>
    <w:multiLevelType w:val="multilevel"/>
    <w:tmpl w:val="6D29056F"/>
    <w:lvl w:ilvl="0" w:tentative="0">
      <w:start w:val="1"/>
      <w:numFmt w:val="upperLetter"/>
      <w:pStyle w:val="66"/>
      <w:lvlText w:val="附录 %1"/>
      <w:lvlJc w:val="left"/>
      <w:pPr>
        <w:ind w:left="2520" w:firstLine="0"/>
      </w:pPr>
      <w:rPr>
        <w:rFonts w:hint="default" w:ascii="Times New Roman" w:hAnsi="Times New Roman" w:eastAsia="宋体"/>
        <w:b/>
        <w:i w:val="0"/>
      </w:rPr>
    </w:lvl>
    <w:lvl w:ilvl="1" w:tentative="0">
      <w:start w:val="1"/>
      <w:numFmt w:val="decimal"/>
      <w:pStyle w:val="59"/>
      <w:lvlText w:val="%1.%2"/>
      <w:lvlJc w:val="left"/>
      <w:pPr>
        <w:ind w:left="0" w:firstLine="0"/>
      </w:pPr>
      <w:rPr>
        <w:rFonts w:hint="eastAsia"/>
        <w:b/>
        <w:bCs w:val="0"/>
        <w:i w:val="0"/>
        <w:iCs w:val="0"/>
        <w:caps w:val="0"/>
        <w:smallCaps w:val="0"/>
        <w:strike w:val="0"/>
        <w:dstrike w:val="0"/>
        <w:vanish w:val="0"/>
        <w:color w:val="auto"/>
        <w:spacing w:val="0"/>
        <w:position w:val="0"/>
        <w:u w:val="none"/>
        <w:vertAlign w:val="baseline"/>
        <w14:shadow w14:blurRad="0" w14:dist="0" w14:dir="0" w14:sx="0" w14:sy="0" w14:kx="0" w14:ky="0" w14:algn="none">
          <w14:srgbClr w14:val="000000"/>
        </w14:shadow>
        <w14:ligatures w14:val="none"/>
        <w14:numForm w14:val="default"/>
        <w14:numSpacing w14:val="default"/>
      </w:rPr>
    </w:lvl>
    <w:lvl w:ilvl="2" w:tentative="0">
      <w:start w:val="1"/>
      <w:numFmt w:val="decimal"/>
      <w:pStyle w:val="67"/>
      <w:lvlText w:val="%1.%2.%3"/>
      <w:lvlJc w:val="left"/>
      <w:pPr>
        <w:ind w:left="0" w:firstLine="0"/>
      </w:pPr>
      <w:rPr>
        <w:rFonts w:hint="eastAsia"/>
        <w:b/>
        <w:i w:val="0"/>
      </w:rPr>
    </w:lvl>
    <w:lvl w:ilvl="3" w:tentative="0">
      <w:start w:val="1"/>
      <w:numFmt w:val="decimal"/>
      <w:lvlText w:val="%1.%2.%3.%4"/>
      <w:lvlJc w:val="left"/>
      <w:pPr>
        <w:ind w:left="0" w:firstLine="0"/>
      </w:pPr>
      <w:rPr>
        <w:rFonts w:hint="eastAsia"/>
        <w:b/>
        <w:i w:val="0"/>
      </w:rPr>
    </w:lvl>
    <w:lvl w:ilvl="4" w:tentative="0">
      <w:start w:val="1"/>
      <w:numFmt w:val="decimal"/>
      <w:lvlText w:val="%1.%2.%3.%4.%5"/>
      <w:lvlJc w:val="left"/>
      <w:pPr>
        <w:ind w:left="0" w:firstLine="0"/>
      </w:pPr>
      <w:rPr>
        <w:rFonts w:hint="eastAsia"/>
        <w:b/>
        <w:i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2">
    <w:nsid w:val="6E160C09"/>
    <w:multiLevelType w:val="multilevel"/>
    <w:tmpl w:val="6E160C09"/>
    <w:lvl w:ilvl="0" w:tentative="0">
      <w:start w:val="12"/>
      <w:numFmt w:val="bullet"/>
      <w:lvlText w:val="—"/>
      <w:lvlJc w:val="left"/>
      <w:pPr>
        <w:ind w:left="840" w:hanging="42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3">
    <w:nsid w:val="6FAC6DC9"/>
    <w:multiLevelType w:val="multilevel"/>
    <w:tmpl w:val="6FAC6DC9"/>
    <w:lvl w:ilvl="0" w:tentative="0">
      <w:start w:val="12"/>
      <w:numFmt w:val="bullet"/>
      <w:lvlText w:val="—"/>
      <w:lvlJc w:val="left"/>
      <w:pPr>
        <w:ind w:left="840" w:hanging="42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70F36CF2"/>
    <w:multiLevelType w:val="multilevel"/>
    <w:tmpl w:val="70F36CF2"/>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71274405"/>
    <w:multiLevelType w:val="multilevel"/>
    <w:tmpl w:val="7127440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78A1095D"/>
    <w:multiLevelType w:val="multilevel"/>
    <w:tmpl w:val="78A1095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7BECBB09"/>
    <w:multiLevelType w:val="multilevel"/>
    <w:tmpl w:val="7BECBB09"/>
    <w:lvl w:ilvl="0" w:tentative="0">
      <w:start w:val="1"/>
      <w:numFmt w:val="lowerLetter"/>
      <w:lvlText w:val="%1)"/>
      <w:lvlJc w:val="left"/>
      <w:pPr>
        <w:ind w:left="0" w:firstLine="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1"/>
  </w:num>
  <w:num w:numId="3">
    <w:abstractNumId w:val="24"/>
  </w:num>
  <w:num w:numId="4">
    <w:abstractNumId w:val="3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18"/>
  </w:num>
  <w:num w:numId="9">
    <w:abstractNumId w:val="3"/>
  </w:num>
  <w:num w:numId="10">
    <w:abstractNumId w:val="17"/>
  </w:num>
  <w:num w:numId="11">
    <w:abstractNumId w:val="35"/>
  </w:num>
  <w:num w:numId="12">
    <w:abstractNumId w:val="36"/>
  </w:num>
  <w:num w:numId="13">
    <w:abstractNumId w:val="11"/>
  </w:num>
  <w:num w:numId="14">
    <w:abstractNumId w:val="29"/>
  </w:num>
  <w:num w:numId="15">
    <w:abstractNumId w:val="32"/>
  </w:num>
  <w:num w:numId="16">
    <w:abstractNumId w:val="27"/>
  </w:num>
  <w:num w:numId="17">
    <w:abstractNumId w:val="30"/>
  </w:num>
  <w:num w:numId="18">
    <w:abstractNumId w:val="14"/>
  </w:num>
  <w:num w:numId="19">
    <w:abstractNumId w:val="19"/>
  </w:num>
  <w:num w:numId="20">
    <w:abstractNumId w:val="25"/>
  </w:num>
  <w:num w:numId="21">
    <w:abstractNumId w:val="5"/>
  </w:num>
  <w:num w:numId="22">
    <w:abstractNumId w:val="28"/>
  </w:num>
  <w:num w:numId="23">
    <w:abstractNumId w:val="10"/>
  </w:num>
  <w:num w:numId="24">
    <w:abstractNumId w:val="6"/>
  </w:num>
  <w:num w:numId="25">
    <w:abstractNumId w:val="21"/>
  </w:num>
  <w:num w:numId="26">
    <w:abstractNumId w:val="15"/>
  </w:num>
  <w:num w:numId="27">
    <w:abstractNumId w:val="26"/>
  </w:num>
  <w:num w:numId="28">
    <w:abstractNumId w:val="8"/>
  </w:num>
  <w:num w:numId="29">
    <w:abstractNumId w:val="7"/>
  </w:num>
  <w:num w:numId="30">
    <w:abstractNumId w:val="33"/>
  </w:num>
  <w:num w:numId="31">
    <w:abstractNumId w:val="23"/>
  </w:num>
  <w:num w:numId="32">
    <w:abstractNumId w:val="9"/>
  </w:num>
  <w:num w:numId="33">
    <w:abstractNumId w:val="16"/>
  </w:num>
  <w:num w:numId="34">
    <w:abstractNumId w:val="0"/>
  </w:num>
  <w:num w:numId="35">
    <w:abstractNumId w:val="20"/>
  </w:num>
  <w:num w:numId="36">
    <w:abstractNumId w:val="12"/>
  </w:num>
  <w:num w:numId="37">
    <w:abstractNumId w:val="34"/>
  </w:num>
  <w:num w:numId="38">
    <w:abstractNumId w:val="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4"/>
    <w:endnote w:id="5"/>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jI5ZTg1YzIzZDQ2MTRlNWY4Y2ExN2M0MTdjNmMifQ=="/>
  </w:docVars>
  <w:rsids>
    <w:rsidRoot w:val="00325E2F"/>
    <w:rsid w:val="0000073C"/>
    <w:rsid w:val="00000ADE"/>
    <w:rsid w:val="00001B9B"/>
    <w:rsid w:val="00001BDF"/>
    <w:rsid w:val="00001F1C"/>
    <w:rsid w:val="0000223F"/>
    <w:rsid w:val="00003ADA"/>
    <w:rsid w:val="00005C4D"/>
    <w:rsid w:val="00005DA7"/>
    <w:rsid w:val="00006355"/>
    <w:rsid w:val="00006E65"/>
    <w:rsid w:val="00007D6B"/>
    <w:rsid w:val="00007E01"/>
    <w:rsid w:val="00010461"/>
    <w:rsid w:val="0001109A"/>
    <w:rsid w:val="0001224A"/>
    <w:rsid w:val="00012532"/>
    <w:rsid w:val="00013168"/>
    <w:rsid w:val="000154F4"/>
    <w:rsid w:val="0001589B"/>
    <w:rsid w:val="000160C0"/>
    <w:rsid w:val="00016D52"/>
    <w:rsid w:val="000172B6"/>
    <w:rsid w:val="00017E80"/>
    <w:rsid w:val="00020368"/>
    <w:rsid w:val="000205C8"/>
    <w:rsid w:val="00020701"/>
    <w:rsid w:val="0002072B"/>
    <w:rsid w:val="00020A1B"/>
    <w:rsid w:val="00020E39"/>
    <w:rsid w:val="000211F8"/>
    <w:rsid w:val="00021666"/>
    <w:rsid w:val="00021ECE"/>
    <w:rsid w:val="0002298B"/>
    <w:rsid w:val="0002326F"/>
    <w:rsid w:val="0002497A"/>
    <w:rsid w:val="00025400"/>
    <w:rsid w:val="00025812"/>
    <w:rsid w:val="00025FE2"/>
    <w:rsid w:val="00027D96"/>
    <w:rsid w:val="00030AF7"/>
    <w:rsid w:val="00030B91"/>
    <w:rsid w:val="00031242"/>
    <w:rsid w:val="000314A6"/>
    <w:rsid w:val="00031FD2"/>
    <w:rsid w:val="0003215E"/>
    <w:rsid w:val="00032244"/>
    <w:rsid w:val="000327AD"/>
    <w:rsid w:val="000332AB"/>
    <w:rsid w:val="000334D3"/>
    <w:rsid w:val="00033577"/>
    <w:rsid w:val="00033F53"/>
    <w:rsid w:val="000344D7"/>
    <w:rsid w:val="0003450A"/>
    <w:rsid w:val="0003452D"/>
    <w:rsid w:val="00034CA7"/>
    <w:rsid w:val="00036097"/>
    <w:rsid w:val="000366C4"/>
    <w:rsid w:val="000369B5"/>
    <w:rsid w:val="00036BAB"/>
    <w:rsid w:val="00037AFC"/>
    <w:rsid w:val="000404CB"/>
    <w:rsid w:val="0004066E"/>
    <w:rsid w:val="00041280"/>
    <w:rsid w:val="00041A1F"/>
    <w:rsid w:val="0004210B"/>
    <w:rsid w:val="000421C6"/>
    <w:rsid w:val="000426B3"/>
    <w:rsid w:val="000427C9"/>
    <w:rsid w:val="00042C20"/>
    <w:rsid w:val="00043E53"/>
    <w:rsid w:val="000453D1"/>
    <w:rsid w:val="000454DE"/>
    <w:rsid w:val="00046D79"/>
    <w:rsid w:val="00047389"/>
    <w:rsid w:val="00047472"/>
    <w:rsid w:val="00047969"/>
    <w:rsid w:val="00047989"/>
    <w:rsid w:val="00047A4D"/>
    <w:rsid w:val="00047DF5"/>
    <w:rsid w:val="00047E69"/>
    <w:rsid w:val="00047EB1"/>
    <w:rsid w:val="00050452"/>
    <w:rsid w:val="0005086C"/>
    <w:rsid w:val="00050CF7"/>
    <w:rsid w:val="000516BE"/>
    <w:rsid w:val="00052063"/>
    <w:rsid w:val="000522CA"/>
    <w:rsid w:val="00052DCE"/>
    <w:rsid w:val="00054252"/>
    <w:rsid w:val="00054269"/>
    <w:rsid w:val="0005428A"/>
    <w:rsid w:val="00054B99"/>
    <w:rsid w:val="00055656"/>
    <w:rsid w:val="0005602F"/>
    <w:rsid w:val="00056599"/>
    <w:rsid w:val="000577FF"/>
    <w:rsid w:val="00060E60"/>
    <w:rsid w:val="00060FAD"/>
    <w:rsid w:val="000613ED"/>
    <w:rsid w:val="00061513"/>
    <w:rsid w:val="00061D73"/>
    <w:rsid w:val="00062917"/>
    <w:rsid w:val="00062E3F"/>
    <w:rsid w:val="00062EA0"/>
    <w:rsid w:val="000638A5"/>
    <w:rsid w:val="00064569"/>
    <w:rsid w:val="0006481E"/>
    <w:rsid w:val="00065361"/>
    <w:rsid w:val="000654E8"/>
    <w:rsid w:val="00065597"/>
    <w:rsid w:val="0006563F"/>
    <w:rsid w:val="00065995"/>
    <w:rsid w:val="00065F2B"/>
    <w:rsid w:val="00066217"/>
    <w:rsid w:val="0006738C"/>
    <w:rsid w:val="0006783F"/>
    <w:rsid w:val="0007012B"/>
    <w:rsid w:val="00070A1D"/>
    <w:rsid w:val="00070E2F"/>
    <w:rsid w:val="00071C5B"/>
    <w:rsid w:val="00072C9D"/>
    <w:rsid w:val="00074665"/>
    <w:rsid w:val="0007504E"/>
    <w:rsid w:val="000770AC"/>
    <w:rsid w:val="00077958"/>
    <w:rsid w:val="00080E03"/>
    <w:rsid w:val="00080E90"/>
    <w:rsid w:val="000815FA"/>
    <w:rsid w:val="00081718"/>
    <w:rsid w:val="00081ACC"/>
    <w:rsid w:val="00081B2D"/>
    <w:rsid w:val="000829C6"/>
    <w:rsid w:val="00082FD9"/>
    <w:rsid w:val="0008347D"/>
    <w:rsid w:val="0008477E"/>
    <w:rsid w:val="000851FF"/>
    <w:rsid w:val="00085424"/>
    <w:rsid w:val="00085A70"/>
    <w:rsid w:val="00086799"/>
    <w:rsid w:val="000867B8"/>
    <w:rsid w:val="0008794C"/>
    <w:rsid w:val="00090145"/>
    <w:rsid w:val="00090230"/>
    <w:rsid w:val="000907EB"/>
    <w:rsid w:val="00091198"/>
    <w:rsid w:val="000915BA"/>
    <w:rsid w:val="00091AF2"/>
    <w:rsid w:val="00091DC1"/>
    <w:rsid w:val="000923A3"/>
    <w:rsid w:val="000925DE"/>
    <w:rsid w:val="00092763"/>
    <w:rsid w:val="00092851"/>
    <w:rsid w:val="0009382F"/>
    <w:rsid w:val="000949ED"/>
    <w:rsid w:val="0009575A"/>
    <w:rsid w:val="00095EB5"/>
    <w:rsid w:val="00096B3C"/>
    <w:rsid w:val="000A11B6"/>
    <w:rsid w:val="000A12CF"/>
    <w:rsid w:val="000A2341"/>
    <w:rsid w:val="000A25B9"/>
    <w:rsid w:val="000A27FF"/>
    <w:rsid w:val="000A338D"/>
    <w:rsid w:val="000A3426"/>
    <w:rsid w:val="000A3F98"/>
    <w:rsid w:val="000A46B3"/>
    <w:rsid w:val="000A4D27"/>
    <w:rsid w:val="000A5A59"/>
    <w:rsid w:val="000A6AD2"/>
    <w:rsid w:val="000A6B00"/>
    <w:rsid w:val="000A6E35"/>
    <w:rsid w:val="000A750B"/>
    <w:rsid w:val="000A7B5C"/>
    <w:rsid w:val="000B01BE"/>
    <w:rsid w:val="000B1064"/>
    <w:rsid w:val="000B12C5"/>
    <w:rsid w:val="000B295C"/>
    <w:rsid w:val="000B37E3"/>
    <w:rsid w:val="000B46C5"/>
    <w:rsid w:val="000B497D"/>
    <w:rsid w:val="000B4DF1"/>
    <w:rsid w:val="000B50DA"/>
    <w:rsid w:val="000B5693"/>
    <w:rsid w:val="000B5C74"/>
    <w:rsid w:val="000B5EF9"/>
    <w:rsid w:val="000B62AD"/>
    <w:rsid w:val="000B6445"/>
    <w:rsid w:val="000B6456"/>
    <w:rsid w:val="000B655F"/>
    <w:rsid w:val="000B6AA1"/>
    <w:rsid w:val="000B7000"/>
    <w:rsid w:val="000B7B71"/>
    <w:rsid w:val="000C0C83"/>
    <w:rsid w:val="000C1326"/>
    <w:rsid w:val="000C1462"/>
    <w:rsid w:val="000C2DA7"/>
    <w:rsid w:val="000C2E3D"/>
    <w:rsid w:val="000C31A7"/>
    <w:rsid w:val="000C3349"/>
    <w:rsid w:val="000C3709"/>
    <w:rsid w:val="000C3F80"/>
    <w:rsid w:val="000C48F8"/>
    <w:rsid w:val="000C4B95"/>
    <w:rsid w:val="000C59A1"/>
    <w:rsid w:val="000C6733"/>
    <w:rsid w:val="000D1C02"/>
    <w:rsid w:val="000D3B42"/>
    <w:rsid w:val="000D3EC5"/>
    <w:rsid w:val="000D4034"/>
    <w:rsid w:val="000D4D93"/>
    <w:rsid w:val="000D5194"/>
    <w:rsid w:val="000D537B"/>
    <w:rsid w:val="000D5927"/>
    <w:rsid w:val="000D716C"/>
    <w:rsid w:val="000D7E2C"/>
    <w:rsid w:val="000E0A27"/>
    <w:rsid w:val="000E0B1C"/>
    <w:rsid w:val="000E1274"/>
    <w:rsid w:val="000E2375"/>
    <w:rsid w:val="000E34DD"/>
    <w:rsid w:val="000E394E"/>
    <w:rsid w:val="000E3FF9"/>
    <w:rsid w:val="000E43A5"/>
    <w:rsid w:val="000E5133"/>
    <w:rsid w:val="000E576F"/>
    <w:rsid w:val="000E7534"/>
    <w:rsid w:val="000E7EC9"/>
    <w:rsid w:val="000F1BA9"/>
    <w:rsid w:val="000F1F48"/>
    <w:rsid w:val="000F42FA"/>
    <w:rsid w:val="000F4495"/>
    <w:rsid w:val="000F4703"/>
    <w:rsid w:val="000F5C7E"/>
    <w:rsid w:val="000F6172"/>
    <w:rsid w:val="000F7106"/>
    <w:rsid w:val="000F7214"/>
    <w:rsid w:val="00100595"/>
    <w:rsid w:val="00102A11"/>
    <w:rsid w:val="00102B99"/>
    <w:rsid w:val="00103118"/>
    <w:rsid w:val="0010352E"/>
    <w:rsid w:val="00103AD9"/>
    <w:rsid w:val="001050F1"/>
    <w:rsid w:val="001056EB"/>
    <w:rsid w:val="00106C52"/>
    <w:rsid w:val="001074B9"/>
    <w:rsid w:val="0011027F"/>
    <w:rsid w:val="00111219"/>
    <w:rsid w:val="00112499"/>
    <w:rsid w:val="00112B98"/>
    <w:rsid w:val="00112DFE"/>
    <w:rsid w:val="0011342B"/>
    <w:rsid w:val="001140BF"/>
    <w:rsid w:val="00114F22"/>
    <w:rsid w:val="00114F76"/>
    <w:rsid w:val="00115570"/>
    <w:rsid w:val="00115746"/>
    <w:rsid w:val="00115ABE"/>
    <w:rsid w:val="00117077"/>
    <w:rsid w:val="001176C0"/>
    <w:rsid w:val="00117B25"/>
    <w:rsid w:val="00120054"/>
    <w:rsid w:val="00120862"/>
    <w:rsid w:val="00120ACF"/>
    <w:rsid w:val="00121CD3"/>
    <w:rsid w:val="00121EA4"/>
    <w:rsid w:val="001221B8"/>
    <w:rsid w:val="00122203"/>
    <w:rsid w:val="00122E5A"/>
    <w:rsid w:val="00124D1E"/>
    <w:rsid w:val="0012523D"/>
    <w:rsid w:val="00125338"/>
    <w:rsid w:val="00125C75"/>
    <w:rsid w:val="0012634F"/>
    <w:rsid w:val="00126BF5"/>
    <w:rsid w:val="00126D73"/>
    <w:rsid w:val="00126FBF"/>
    <w:rsid w:val="00127389"/>
    <w:rsid w:val="001276C8"/>
    <w:rsid w:val="00130561"/>
    <w:rsid w:val="0013092D"/>
    <w:rsid w:val="00130B8A"/>
    <w:rsid w:val="00131635"/>
    <w:rsid w:val="00133157"/>
    <w:rsid w:val="001332F5"/>
    <w:rsid w:val="00133AAE"/>
    <w:rsid w:val="001344CA"/>
    <w:rsid w:val="00136D5F"/>
    <w:rsid w:val="00141CFE"/>
    <w:rsid w:val="0014328D"/>
    <w:rsid w:val="0014377D"/>
    <w:rsid w:val="00143EC0"/>
    <w:rsid w:val="001445E7"/>
    <w:rsid w:val="00144771"/>
    <w:rsid w:val="00144D1A"/>
    <w:rsid w:val="0014587E"/>
    <w:rsid w:val="00145BB1"/>
    <w:rsid w:val="00146596"/>
    <w:rsid w:val="0014672A"/>
    <w:rsid w:val="0014673F"/>
    <w:rsid w:val="001469C7"/>
    <w:rsid w:val="00146EA0"/>
    <w:rsid w:val="001478E8"/>
    <w:rsid w:val="00147FDB"/>
    <w:rsid w:val="0015024E"/>
    <w:rsid w:val="001505CD"/>
    <w:rsid w:val="001516E9"/>
    <w:rsid w:val="00151BA3"/>
    <w:rsid w:val="00151D27"/>
    <w:rsid w:val="00152963"/>
    <w:rsid w:val="0015474A"/>
    <w:rsid w:val="00155069"/>
    <w:rsid w:val="0015570D"/>
    <w:rsid w:val="001559FF"/>
    <w:rsid w:val="00156979"/>
    <w:rsid w:val="00156BC6"/>
    <w:rsid w:val="001604DF"/>
    <w:rsid w:val="00161654"/>
    <w:rsid w:val="00161754"/>
    <w:rsid w:val="001621AD"/>
    <w:rsid w:val="001632B3"/>
    <w:rsid w:val="001632B4"/>
    <w:rsid w:val="001639F1"/>
    <w:rsid w:val="00163C45"/>
    <w:rsid w:val="00164007"/>
    <w:rsid w:val="00164105"/>
    <w:rsid w:val="00164CA5"/>
    <w:rsid w:val="00165F6B"/>
    <w:rsid w:val="00170BEB"/>
    <w:rsid w:val="00170C08"/>
    <w:rsid w:val="00170DE5"/>
    <w:rsid w:val="00171707"/>
    <w:rsid w:val="00171EE8"/>
    <w:rsid w:val="00172A0D"/>
    <w:rsid w:val="00172E88"/>
    <w:rsid w:val="00172F58"/>
    <w:rsid w:val="0017302A"/>
    <w:rsid w:val="001730A1"/>
    <w:rsid w:val="00173490"/>
    <w:rsid w:val="00173F9C"/>
    <w:rsid w:val="00175913"/>
    <w:rsid w:val="00175BD1"/>
    <w:rsid w:val="001765CA"/>
    <w:rsid w:val="00176ECB"/>
    <w:rsid w:val="00180F33"/>
    <w:rsid w:val="001821E9"/>
    <w:rsid w:val="001824A2"/>
    <w:rsid w:val="00183106"/>
    <w:rsid w:val="00183ED9"/>
    <w:rsid w:val="00184603"/>
    <w:rsid w:val="001846DB"/>
    <w:rsid w:val="00184B12"/>
    <w:rsid w:val="001850F7"/>
    <w:rsid w:val="001851D2"/>
    <w:rsid w:val="0018596D"/>
    <w:rsid w:val="00185A66"/>
    <w:rsid w:val="001866A7"/>
    <w:rsid w:val="00187507"/>
    <w:rsid w:val="0019040C"/>
    <w:rsid w:val="0019116A"/>
    <w:rsid w:val="001911DF"/>
    <w:rsid w:val="001917ED"/>
    <w:rsid w:val="00191B9D"/>
    <w:rsid w:val="00191C57"/>
    <w:rsid w:val="00192FD5"/>
    <w:rsid w:val="00192FE4"/>
    <w:rsid w:val="00193F9A"/>
    <w:rsid w:val="00194063"/>
    <w:rsid w:val="00194A22"/>
    <w:rsid w:val="00194A32"/>
    <w:rsid w:val="0019538E"/>
    <w:rsid w:val="00195B04"/>
    <w:rsid w:val="001960C7"/>
    <w:rsid w:val="001961D1"/>
    <w:rsid w:val="001964EA"/>
    <w:rsid w:val="00197D6D"/>
    <w:rsid w:val="001A04BC"/>
    <w:rsid w:val="001A079F"/>
    <w:rsid w:val="001A0B63"/>
    <w:rsid w:val="001A107D"/>
    <w:rsid w:val="001A1651"/>
    <w:rsid w:val="001A222F"/>
    <w:rsid w:val="001A2A0F"/>
    <w:rsid w:val="001A2AD6"/>
    <w:rsid w:val="001A3150"/>
    <w:rsid w:val="001A34F6"/>
    <w:rsid w:val="001A454B"/>
    <w:rsid w:val="001A4C95"/>
    <w:rsid w:val="001A4D8C"/>
    <w:rsid w:val="001A4FB4"/>
    <w:rsid w:val="001A5775"/>
    <w:rsid w:val="001A6099"/>
    <w:rsid w:val="001A661E"/>
    <w:rsid w:val="001A6658"/>
    <w:rsid w:val="001A6AB0"/>
    <w:rsid w:val="001A6EA5"/>
    <w:rsid w:val="001A7466"/>
    <w:rsid w:val="001B1136"/>
    <w:rsid w:val="001B1AFE"/>
    <w:rsid w:val="001B2678"/>
    <w:rsid w:val="001B2DB2"/>
    <w:rsid w:val="001B2DCC"/>
    <w:rsid w:val="001B35AE"/>
    <w:rsid w:val="001B543B"/>
    <w:rsid w:val="001B551D"/>
    <w:rsid w:val="001B6C16"/>
    <w:rsid w:val="001B7A41"/>
    <w:rsid w:val="001C005E"/>
    <w:rsid w:val="001C1BA7"/>
    <w:rsid w:val="001C1F66"/>
    <w:rsid w:val="001C298E"/>
    <w:rsid w:val="001C3220"/>
    <w:rsid w:val="001C3328"/>
    <w:rsid w:val="001C34FE"/>
    <w:rsid w:val="001C3781"/>
    <w:rsid w:val="001C4108"/>
    <w:rsid w:val="001C48B1"/>
    <w:rsid w:val="001C505D"/>
    <w:rsid w:val="001C559F"/>
    <w:rsid w:val="001C5EDC"/>
    <w:rsid w:val="001C62D9"/>
    <w:rsid w:val="001C6309"/>
    <w:rsid w:val="001C6806"/>
    <w:rsid w:val="001C6CA1"/>
    <w:rsid w:val="001C6EC7"/>
    <w:rsid w:val="001C77E9"/>
    <w:rsid w:val="001C7D00"/>
    <w:rsid w:val="001D05F6"/>
    <w:rsid w:val="001D064E"/>
    <w:rsid w:val="001D1455"/>
    <w:rsid w:val="001D1C41"/>
    <w:rsid w:val="001D1F75"/>
    <w:rsid w:val="001D2462"/>
    <w:rsid w:val="001D257E"/>
    <w:rsid w:val="001D27FB"/>
    <w:rsid w:val="001D43CD"/>
    <w:rsid w:val="001D448A"/>
    <w:rsid w:val="001D4650"/>
    <w:rsid w:val="001D569A"/>
    <w:rsid w:val="001D5759"/>
    <w:rsid w:val="001D5A22"/>
    <w:rsid w:val="001D5BF7"/>
    <w:rsid w:val="001D662B"/>
    <w:rsid w:val="001D6862"/>
    <w:rsid w:val="001D70B2"/>
    <w:rsid w:val="001D7255"/>
    <w:rsid w:val="001D7266"/>
    <w:rsid w:val="001E027F"/>
    <w:rsid w:val="001E02F0"/>
    <w:rsid w:val="001E05AC"/>
    <w:rsid w:val="001E06A9"/>
    <w:rsid w:val="001E1DD5"/>
    <w:rsid w:val="001E218C"/>
    <w:rsid w:val="001E23E9"/>
    <w:rsid w:val="001E3366"/>
    <w:rsid w:val="001E4B08"/>
    <w:rsid w:val="001E4D60"/>
    <w:rsid w:val="001E4EED"/>
    <w:rsid w:val="001E5D6A"/>
    <w:rsid w:val="001E63A0"/>
    <w:rsid w:val="001E67BB"/>
    <w:rsid w:val="001E6A60"/>
    <w:rsid w:val="001E740B"/>
    <w:rsid w:val="001E7B6E"/>
    <w:rsid w:val="001E7E16"/>
    <w:rsid w:val="001F03F5"/>
    <w:rsid w:val="001F0480"/>
    <w:rsid w:val="001F0B3D"/>
    <w:rsid w:val="001F0CFC"/>
    <w:rsid w:val="001F0D3C"/>
    <w:rsid w:val="001F139D"/>
    <w:rsid w:val="001F152C"/>
    <w:rsid w:val="001F1BBF"/>
    <w:rsid w:val="001F26A2"/>
    <w:rsid w:val="001F2E4F"/>
    <w:rsid w:val="001F351B"/>
    <w:rsid w:val="001F3560"/>
    <w:rsid w:val="001F37E5"/>
    <w:rsid w:val="001F4E3E"/>
    <w:rsid w:val="001F6123"/>
    <w:rsid w:val="001F6B5C"/>
    <w:rsid w:val="001F6FA7"/>
    <w:rsid w:val="001F7496"/>
    <w:rsid w:val="001F79A3"/>
    <w:rsid w:val="001F7C56"/>
    <w:rsid w:val="001F7DD9"/>
    <w:rsid w:val="002000D8"/>
    <w:rsid w:val="00201296"/>
    <w:rsid w:val="00201423"/>
    <w:rsid w:val="002018A4"/>
    <w:rsid w:val="0020265E"/>
    <w:rsid w:val="002032E8"/>
    <w:rsid w:val="00203A49"/>
    <w:rsid w:val="00204564"/>
    <w:rsid w:val="00210436"/>
    <w:rsid w:val="002118A0"/>
    <w:rsid w:val="00211CC4"/>
    <w:rsid w:val="00212517"/>
    <w:rsid w:val="002128CB"/>
    <w:rsid w:val="002128DD"/>
    <w:rsid w:val="00212F1F"/>
    <w:rsid w:val="002147DD"/>
    <w:rsid w:val="002151EF"/>
    <w:rsid w:val="00215AEC"/>
    <w:rsid w:val="00217673"/>
    <w:rsid w:val="0022042A"/>
    <w:rsid w:val="00221DF5"/>
    <w:rsid w:val="00221E8C"/>
    <w:rsid w:val="00222141"/>
    <w:rsid w:val="00223B69"/>
    <w:rsid w:val="0022428D"/>
    <w:rsid w:val="00224359"/>
    <w:rsid w:val="002252C1"/>
    <w:rsid w:val="002253D7"/>
    <w:rsid w:val="0022542B"/>
    <w:rsid w:val="002263D8"/>
    <w:rsid w:val="00226520"/>
    <w:rsid w:val="00226B15"/>
    <w:rsid w:val="00227C8A"/>
    <w:rsid w:val="002323AC"/>
    <w:rsid w:val="00232663"/>
    <w:rsid w:val="00232E13"/>
    <w:rsid w:val="00233657"/>
    <w:rsid w:val="002339B0"/>
    <w:rsid w:val="00233B33"/>
    <w:rsid w:val="0023443C"/>
    <w:rsid w:val="0023487D"/>
    <w:rsid w:val="00235AE7"/>
    <w:rsid w:val="00236203"/>
    <w:rsid w:val="002365E8"/>
    <w:rsid w:val="0023740D"/>
    <w:rsid w:val="00237451"/>
    <w:rsid w:val="002374B5"/>
    <w:rsid w:val="00237BB4"/>
    <w:rsid w:val="00237E94"/>
    <w:rsid w:val="00241918"/>
    <w:rsid w:val="00241C64"/>
    <w:rsid w:val="00241D77"/>
    <w:rsid w:val="0024266B"/>
    <w:rsid w:val="00242959"/>
    <w:rsid w:val="00242F64"/>
    <w:rsid w:val="00243310"/>
    <w:rsid w:val="00244816"/>
    <w:rsid w:val="002450D5"/>
    <w:rsid w:val="00246855"/>
    <w:rsid w:val="00247F2A"/>
    <w:rsid w:val="00250BD7"/>
    <w:rsid w:val="0025146C"/>
    <w:rsid w:val="00251E6C"/>
    <w:rsid w:val="00252369"/>
    <w:rsid w:val="00252889"/>
    <w:rsid w:val="00252945"/>
    <w:rsid w:val="00252B7E"/>
    <w:rsid w:val="00252BEE"/>
    <w:rsid w:val="002533E3"/>
    <w:rsid w:val="002539A7"/>
    <w:rsid w:val="00253EFC"/>
    <w:rsid w:val="00253F04"/>
    <w:rsid w:val="0025498C"/>
    <w:rsid w:val="0025525C"/>
    <w:rsid w:val="00255D8C"/>
    <w:rsid w:val="00255E7B"/>
    <w:rsid w:val="00256247"/>
    <w:rsid w:val="0025628E"/>
    <w:rsid w:val="00256E87"/>
    <w:rsid w:val="002600BF"/>
    <w:rsid w:val="002604C8"/>
    <w:rsid w:val="00260964"/>
    <w:rsid w:val="00260FFE"/>
    <w:rsid w:val="00261456"/>
    <w:rsid w:val="00261BDB"/>
    <w:rsid w:val="00262F6D"/>
    <w:rsid w:val="0026310A"/>
    <w:rsid w:val="00263147"/>
    <w:rsid w:val="002641D9"/>
    <w:rsid w:val="00265648"/>
    <w:rsid w:val="002667CB"/>
    <w:rsid w:val="00267D3B"/>
    <w:rsid w:val="00267DB6"/>
    <w:rsid w:val="002703FA"/>
    <w:rsid w:val="002713FE"/>
    <w:rsid w:val="00272627"/>
    <w:rsid w:val="002747A7"/>
    <w:rsid w:val="00275FAB"/>
    <w:rsid w:val="00276508"/>
    <w:rsid w:val="00277380"/>
    <w:rsid w:val="00280A6B"/>
    <w:rsid w:val="002819BF"/>
    <w:rsid w:val="0028264E"/>
    <w:rsid w:val="00282FBE"/>
    <w:rsid w:val="0028380D"/>
    <w:rsid w:val="002838D9"/>
    <w:rsid w:val="00283E7E"/>
    <w:rsid w:val="00283FB1"/>
    <w:rsid w:val="00284B2E"/>
    <w:rsid w:val="00286E59"/>
    <w:rsid w:val="00287163"/>
    <w:rsid w:val="00287FBC"/>
    <w:rsid w:val="0029024F"/>
    <w:rsid w:val="00290755"/>
    <w:rsid w:val="002927D7"/>
    <w:rsid w:val="002932C8"/>
    <w:rsid w:val="00293305"/>
    <w:rsid w:val="00295463"/>
    <w:rsid w:val="002962B4"/>
    <w:rsid w:val="00296457"/>
    <w:rsid w:val="0029686C"/>
    <w:rsid w:val="00297452"/>
    <w:rsid w:val="0029749A"/>
    <w:rsid w:val="00297E63"/>
    <w:rsid w:val="002A0625"/>
    <w:rsid w:val="002A06DB"/>
    <w:rsid w:val="002A074D"/>
    <w:rsid w:val="002A145A"/>
    <w:rsid w:val="002A30ED"/>
    <w:rsid w:val="002A46ED"/>
    <w:rsid w:val="002A6104"/>
    <w:rsid w:val="002A7487"/>
    <w:rsid w:val="002B063E"/>
    <w:rsid w:val="002B0C96"/>
    <w:rsid w:val="002B121E"/>
    <w:rsid w:val="002B1F9F"/>
    <w:rsid w:val="002B23BB"/>
    <w:rsid w:val="002B3573"/>
    <w:rsid w:val="002B5B63"/>
    <w:rsid w:val="002B5F62"/>
    <w:rsid w:val="002B659C"/>
    <w:rsid w:val="002B6A55"/>
    <w:rsid w:val="002B6C32"/>
    <w:rsid w:val="002B712D"/>
    <w:rsid w:val="002B7462"/>
    <w:rsid w:val="002C000C"/>
    <w:rsid w:val="002C012B"/>
    <w:rsid w:val="002C0785"/>
    <w:rsid w:val="002C07D5"/>
    <w:rsid w:val="002C07EE"/>
    <w:rsid w:val="002C09C1"/>
    <w:rsid w:val="002C0C7C"/>
    <w:rsid w:val="002C10D0"/>
    <w:rsid w:val="002C1E94"/>
    <w:rsid w:val="002C27AD"/>
    <w:rsid w:val="002C2EA6"/>
    <w:rsid w:val="002C438E"/>
    <w:rsid w:val="002C4E25"/>
    <w:rsid w:val="002C60B4"/>
    <w:rsid w:val="002C6374"/>
    <w:rsid w:val="002C6458"/>
    <w:rsid w:val="002C65FB"/>
    <w:rsid w:val="002C707C"/>
    <w:rsid w:val="002C76E7"/>
    <w:rsid w:val="002C7885"/>
    <w:rsid w:val="002D025F"/>
    <w:rsid w:val="002D05B7"/>
    <w:rsid w:val="002D067A"/>
    <w:rsid w:val="002D18C7"/>
    <w:rsid w:val="002D1966"/>
    <w:rsid w:val="002D1A87"/>
    <w:rsid w:val="002D3B02"/>
    <w:rsid w:val="002D4402"/>
    <w:rsid w:val="002D4A53"/>
    <w:rsid w:val="002D5602"/>
    <w:rsid w:val="002D678E"/>
    <w:rsid w:val="002D6BE6"/>
    <w:rsid w:val="002D7371"/>
    <w:rsid w:val="002D7901"/>
    <w:rsid w:val="002E04D4"/>
    <w:rsid w:val="002E05FA"/>
    <w:rsid w:val="002E0AD1"/>
    <w:rsid w:val="002E12F1"/>
    <w:rsid w:val="002E1749"/>
    <w:rsid w:val="002E1773"/>
    <w:rsid w:val="002E238C"/>
    <w:rsid w:val="002E2444"/>
    <w:rsid w:val="002E284F"/>
    <w:rsid w:val="002E2D23"/>
    <w:rsid w:val="002E2EDD"/>
    <w:rsid w:val="002E3622"/>
    <w:rsid w:val="002E3E66"/>
    <w:rsid w:val="002E46B2"/>
    <w:rsid w:val="002E49FF"/>
    <w:rsid w:val="002E64E3"/>
    <w:rsid w:val="002E6C12"/>
    <w:rsid w:val="002E70F1"/>
    <w:rsid w:val="002E7D4E"/>
    <w:rsid w:val="002F08B4"/>
    <w:rsid w:val="002F09A6"/>
    <w:rsid w:val="002F09F9"/>
    <w:rsid w:val="002F13F6"/>
    <w:rsid w:val="002F208D"/>
    <w:rsid w:val="002F22F1"/>
    <w:rsid w:val="002F27A5"/>
    <w:rsid w:val="002F39AD"/>
    <w:rsid w:val="002F3F43"/>
    <w:rsid w:val="002F451C"/>
    <w:rsid w:val="002F5B90"/>
    <w:rsid w:val="002F687F"/>
    <w:rsid w:val="002F7437"/>
    <w:rsid w:val="002F7E79"/>
    <w:rsid w:val="00300C4C"/>
    <w:rsid w:val="00302047"/>
    <w:rsid w:val="00302EF0"/>
    <w:rsid w:val="003047CB"/>
    <w:rsid w:val="00304F04"/>
    <w:rsid w:val="00304F30"/>
    <w:rsid w:val="0030526A"/>
    <w:rsid w:val="0030632D"/>
    <w:rsid w:val="003069A7"/>
    <w:rsid w:val="00307293"/>
    <w:rsid w:val="003078DB"/>
    <w:rsid w:val="00310694"/>
    <w:rsid w:val="00310F07"/>
    <w:rsid w:val="0031165C"/>
    <w:rsid w:val="00311AF7"/>
    <w:rsid w:val="0031254D"/>
    <w:rsid w:val="00314B82"/>
    <w:rsid w:val="00314EA7"/>
    <w:rsid w:val="00314EF0"/>
    <w:rsid w:val="00315629"/>
    <w:rsid w:val="0031566F"/>
    <w:rsid w:val="003161E5"/>
    <w:rsid w:val="00317164"/>
    <w:rsid w:val="003178D6"/>
    <w:rsid w:val="00317FCA"/>
    <w:rsid w:val="00321FF8"/>
    <w:rsid w:val="00323557"/>
    <w:rsid w:val="00324757"/>
    <w:rsid w:val="00325E2F"/>
    <w:rsid w:val="00326623"/>
    <w:rsid w:val="00327217"/>
    <w:rsid w:val="003273FC"/>
    <w:rsid w:val="00327B67"/>
    <w:rsid w:val="00330D85"/>
    <w:rsid w:val="00331098"/>
    <w:rsid w:val="00331564"/>
    <w:rsid w:val="00331FA0"/>
    <w:rsid w:val="00332343"/>
    <w:rsid w:val="00333051"/>
    <w:rsid w:val="003330CD"/>
    <w:rsid w:val="003332A1"/>
    <w:rsid w:val="003339C1"/>
    <w:rsid w:val="00333BDC"/>
    <w:rsid w:val="00333DB5"/>
    <w:rsid w:val="003342C8"/>
    <w:rsid w:val="00334A6B"/>
    <w:rsid w:val="003359BC"/>
    <w:rsid w:val="0033637D"/>
    <w:rsid w:val="00337BB6"/>
    <w:rsid w:val="003400EE"/>
    <w:rsid w:val="0034049D"/>
    <w:rsid w:val="00340679"/>
    <w:rsid w:val="003419F1"/>
    <w:rsid w:val="00342D38"/>
    <w:rsid w:val="00342EA3"/>
    <w:rsid w:val="003434BD"/>
    <w:rsid w:val="00344556"/>
    <w:rsid w:val="003453DE"/>
    <w:rsid w:val="00345635"/>
    <w:rsid w:val="0034591F"/>
    <w:rsid w:val="003466AC"/>
    <w:rsid w:val="003467E2"/>
    <w:rsid w:val="003469A0"/>
    <w:rsid w:val="00350A44"/>
    <w:rsid w:val="00350F25"/>
    <w:rsid w:val="0035245E"/>
    <w:rsid w:val="00352C82"/>
    <w:rsid w:val="00352F4B"/>
    <w:rsid w:val="0035445F"/>
    <w:rsid w:val="00354871"/>
    <w:rsid w:val="00354B3B"/>
    <w:rsid w:val="00355861"/>
    <w:rsid w:val="00355864"/>
    <w:rsid w:val="0035681C"/>
    <w:rsid w:val="003601E8"/>
    <w:rsid w:val="0036097F"/>
    <w:rsid w:val="00361CCD"/>
    <w:rsid w:val="0036208C"/>
    <w:rsid w:val="00362B10"/>
    <w:rsid w:val="00363E7F"/>
    <w:rsid w:val="003650D7"/>
    <w:rsid w:val="003656D1"/>
    <w:rsid w:val="0036640E"/>
    <w:rsid w:val="00366652"/>
    <w:rsid w:val="00366D7D"/>
    <w:rsid w:val="00367A6E"/>
    <w:rsid w:val="00370E31"/>
    <w:rsid w:val="00371331"/>
    <w:rsid w:val="00371682"/>
    <w:rsid w:val="00371F19"/>
    <w:rsid w:val="00371F22"/>
    <w:rsid w:val="003720BF"/>
    <w:rsid w:val="00372DD0"/>
    <w:rsid w:val="00374E07"/>
    <w:rsid w:val="0037586C"/>
    <w:rsid w:val="00375A06"/>
    <w:rsid w:val="00375C43"/>
    <w:rsid w:val="00376783"/>
    <w:rsid w:val="003768BD"/>
    <w:rsid w:val="003768F9"/>
    <w:rsid w:val="003777DE"/>
    <w:rsid w:val="0037788D"/>
    <w:rsid w:val="00380912"/>
    <w:rsid w:val="00380FA1"/>
    <w:rsid w:val="00381401"/>
    <w:rsid w:val="003818F2"/>
    <w:rsid w:val="00381D5B"/>
    <w:rsid w:val="00382098"/>
    <w:rsid w:val="00382F91"/>
    <w:rsid w:val="00384086"/>
    <w:rsid w:val="003844CA"/>
    <w:rsid w:val="003844D8"/>
    <w:rsid w:val="003845ED"/>
    <w:rsid w:val="00385945"/>
    <w:rsid w:val="0038651E"/>
    <w:rsid w:val="003912D3"/>
    <w:rsid w:val="00391331"/>
    <w:rsid w:val="00391521"/>
    <w:rsid w:val="00391ADD"/>
    <w:rsid w:val="00392108"/>
    <w:rsid w:val="003929F2"/>
    <w:rsid w:val="003952E6"/>
    <w:rsid w:val="00395913"/>
    <w:rsid w:val="0039728D"/>
    <w:rsid w:val="00397D9A"/>
    <w:rsid w:val="003A0381"/>
    <w:rsid w:val="003A04F4"/>
    <w:rsid w:val="003A16A2"/>
    <w:rsid w:val="003A3F61"/>
    <w:rsid w:val="003A4301"/>
    <w:rsid w:val="003A44A9"/>
    <w:rsid w:val="003A47DA"/>
    <w:rsid w:val="003A5A17"/>
    <w:rsid w:val="003A6115"/>
    <w:rsid w:val="003A690C"/>
    <w:rsid w:val="003A750E"/>
    <w:rsid w:val="003B0213"/>
    <w:rsid w:val="003B0EE2"/>
    <w:rsid w:val="003B1013"/>
    <w:rsid w:val="003B1370"/>
    <w:rsid w:val="003B1AFA"/>
    <w:rsid w:val="003B2427"/>
    <w:rsid w:val="003B26A1"/>
    <w:rsid w:val="003B279D"/>
    <w:rsid w:val="003B2B71"/>
    <w:rsid w:val="003B2B75"/>
    <w:rsid w:val="003B3539"/>
    <w:rsid w:val="003B39FD"/>
    <w:rsid w:val="003B43B3"/>
    <w:rsid w:val="003B4661"/>
    <w:rsid w:val="003B5805"/>
    <w:rsid w:val="003B5839"/>
    <w:rsid w:val="003B5FC0"/>
    <w:rsid w:val="003B6167"/>
    <w:rsid w:val="003B7630"/>
    <w:rsid w:val="003C0175"/>
    <w:rsid w:val="003C050B"/>
    <w:rsid w:val="003C064E"/>
    <w:rsid w:val="003C068E"/>
    <w:rsid w:val="003C06BC"/>
    <w:rsid w:val="003C21E6"/>
    <w:rsid w:val="003C2C71"/>
    <w:rsid w:val="003C3E6D"/>
    <w:rsid w:val="003C4277"/>
    <w:rsid w:val="003C4819"/>
    <w:rsid w:val="003C5C7D"/>
    <w:rsid w:val="003C636E"/>
    <w:rsid w:val="003C6DFC"/>
    <w:rsid w:val="003C6EEA"/>
    <w:rsid w:val="003D00E3"/>
    <w:rsid w:val="003D0130"/>
    <w:rsid w:val="003D02BD"/>
    <w:rsid w:val="003D0638"/>
    <w:rsid w:val="003D1DDB"/>
    <w:rsid w:val="003D1E32"/>
    <w:rsid w:val="003D1F3B"/>
    <w:rsid w:val="003D240F"/>
    <w:rsid w:val="003D249D"/>
    <w:rsid w:val="003D2504"/>
    <w:rsid w:val="003D2CC6"/>
    <w:rsid w:val="003D3144"/>
    <w:rsid w:val="003D3E8C"/>
    <w:rsid w:val="003D477D"/>
    <w:rsid w:val="003D4E0C"/>
    <w:rsid w:val="003D519B"/>
    <w:rsid w:val="003D5989"/>
    <w:rsid w:val="003D5E24"/>
    <w:rsid w:val="003D604D"/>
    <w:rsid w:val="003D67BB"/>
    <w:rsid w:val="003D701A"/>
    <w:rsid w:val="003D7C25"/>
    <w:rsid w:val="003E029B"/>
    <w:rsid w:val="003E091B"/>
    <w:rsid w:val="003E18DE"/>
    <w:rsid w:val="003E1ABC"/>
    <w:rsid w:val="003E1B32"/>
    <w:rsid w:val="003E1EB6"/>
    <w:rsid w:val="003E240A"/>
    <w:rsid w:val="003E4150"/>
    <w:rsid w:val="003E4DCA"/>
    <w:rsid w:val="003E4EF9"/>
    <w:rsid w:val="003E50BD"/>
    <w:rsid w:val="003E66AE"/>
    <w:rsid w:val="003E7976"/>
    <w:rsid w:val="003F09C4"/>
    <w:rsid w:val="003F1EAD"/>
    <w:rsid w:val="003F3A7C"/>
    <w:rsid w:val="003F40BC"/>
    <w:rsid w:val="003F4871"/>
    <w:rsid w:val="003F69E7"/>
    <w:rsid w:val="003F6CE7"/>
    <w:rsid w:val="003F7203"/>
    <w:rsid w:val="003F740B"/>
    <w:rsid w:val="00400BEE"/>
    <w:rsid w:val="004016C9"/>
    <w:rsid w:val="00401AE0"/>
    <w:rsid w:val="0040249F"/>
    <w:rsid w:val="00403694"/>
    <w:rsid w:val="00403A77"/>
    <w:rsid w:val="00403C59"/>
    <w:rsid w:val="00403C89"/>
    <w:rsid w:val="00403ECF"/>
    <w:rsid w:val="00403EFF"/>
    <w:rsid w:val="0040410D"/>
    <w:rsid w:val="0040424A"/>
    <w:rsid w:val="00404691"/>
    <w:rsid w:val="00405426"/>
    <w:rsid w:val="0040620B"/>
    <w:rsid w:val="00407127"/>
    <w:rsid w:val="00411977"/>
    <w:rsid w:val="00413070"/>
    <w:rsid w:val="004132F9"/>
    <w:rsid w:val="00413D3D"/>
    <w:rsid w:val="00414B9D"/>
    <w:rsid w:val="00414DB9"/>
    <w:rsid w:val="0041504F"/>
    <w:rsid w:val="00415076"/>
    <w:rsid w:val="00415213"/>
    <w:rsid w:val="00415666"/>
    <w:rsid w:val="00416AB8"/>
    <w:rsid w:val="00417291"/>
    <w:rsid w:val="004200D6"/>
    <w:rsid w:val="00420A1F"/>
    <w:rsid w:val="00421CD6"/>
    <w:rsid w:val="00421F11"/>
    <w:rsid w:val="00421FAF"/>
    <w:rsid w:val="00422332"/>
    <w:rsid w:val="00423034"/>
    <w:rsid w:val="0042360A"/>
    <w:rsid w:val="00424C8A"/>
    <w:rsid w:val="004254EB"/>
    <w:rsid w:val="00426876"/>
    <w:rsid w:val="0042765C"/>
    <w:rsid w:val="00427E66"/>
    <w:rsid w:val="00430296"/>
    <w:rsid w:val="0043098F"/>
    <w:rsid w:val="00430B2B"/>
    <w:rsid w:val="004314D5"/>
    <w:rsid w:val="00431807"/>
    <w:rsid w:val="00431C85"/>
    <w:rsid w:val="004326F9"/>
    <w:rsid w:val="004328BD"/>
    <w:rsid w:val="00433158"/>
    <w:rsid w:val="00433A79"/>
    <w:rsid w:val="00434795"/>
    <w:rsid w:val="00434FAC"/>
    <w:rsid w:val="00435A08"/>
    <w:rsid w:val="0043740B"/>
    <w:rsid w:val="00441658"/>
    <w:rsid w:val="00442F49"/>
    <w:rsid w:val="00443751"/>
    <w:rsid w:val="00443B51"/>
    <w:rsid w:val="00443BCA"/>
    <w:rsid w:val="00443C8C"/>
    <w:rsid w:val="00443DDB"/>
    <w:rsid w:val="0044469D"/>
    <w:rsid w:val="00444D18"/>
    <w:rsid w:val="00444FD0"/>
    <w:rsid w:val="004456D0"/>
    <w:rsid w:val="00445988"/>
    <w:rsid w:val="00445BA1"/>
    <w:rsid w:val="00446595"/>
    <w:rsid w:val="00446BAD"/>
    <w:rsid w:val="0045234B"/>
    <w:rsid w:val="004530CA"/>
    <w:rsid w:val="004535BA"/>
    <w:rsid w:val="0045453D"/>
    <w:rsid w:val="0045547C"/>
    <w:rsid w:val="00455D2B"/>
    <w:rsid w:val="0045634B"/>
    <w:rsid w:val="00456CE3"/>
    <w:rsid w:val="00456D8A"/>
    <w:rsid w:val="004573E5"/>
    <w:rsid w:val="00457B77"/>
    <w:rsid w:val="004603CC"/>
    <w:rsid w:val="00460657"/>
    <w:rsid w:val="00461565"/>
    <w:rsid w:val="004627DA"/>
    <w:rsid w:val="00462B08"/>
    <w:rsid w:val="00462EE0"/>
    <w:rsid w:val="0046339C"/>
    <w:rsid w:val="0046346C"/>
    <w:rsid w:val="00463496"/>
    <w:rsid w:val="00463B03"/>
    <w:rsid w:val="00463CB5"/>
    <w:rsid w:val="00464211"/>
    <w:rsid w:val="00464C94"/>
    <w:rsid w:val="00465B5E"/>
    <w:rsid w:val="00465F45"/>
    <w:rsid w:val="004660F6"/>
    <w:rsid w:val="004665CD"/>
    <w:rsid w:val="004713CB"/>
    <w:rsid w:val="004728A0"/>
    <w:rsid w:val="004729A3"/>
    <w:rsid w:val="004729AF"/>
    <w:rsid w:val="00473F12"/>
    <w:rsid w:val="004741F0"/>
    <w:rsid w:val="00474456"/>
    <w:rsid w:val="0047447A"/>
    <w:rsid w:val="00474A12"/>
    <w:rsid w:val="00475188"/>
    <w:rsid w:val="0047569E"/>
    <w:rsid w:val="00475AF9"/>
    <w:rsid w:val="0047693F"/>
    <w:rsid w:val="00476F4C"/>
    <w:rsid w:val="00477189"/>
    <w:rsid w:val="00480350"/>
    <w:rsid w:val="004803ED"/>
    <w:rsid w:val="00480AED"/>
    <w:rsid w:val="00481252"/>
    <w:rsid w:val="004812D6"/>
    <w:rsid w:val="004817C4"/>
    <w:rsid w:val="004818BC"/>
    <w:rsid w:val="00481ABB"/>
    <w:rsid w:val="00481F73"/>
    <w:rsid w:val="00483228"/>
    <w:rsid w:val="004832E5"/>
    <w:rsid w:val="00483B0F"/>
    <w:rsid w:val="004842E4"/>
    <w:rsid w:val="0048434C"/>
    <w:rsid w:val="00484C6A"/>
    <w:rsid w:val="00484DF3"/>
    <w:rsid w:val="004869B2"/>
    <w:rsid w:val="00486CDF"/>
    <w:rsid w:val="00486F78"/>
    <w:rsid w:val="0048777C"/>
    <w:rsid w:val="00487EBB"/>
    <w:rsid w:val="00490A7E"/>
    <w:rsid w:val="004912B3"/>
    <w:rsid w:val="00491466"/>
    <w:rsid w:val="004917D8"/>
    <w:rsid w:val="00491B8D"/>
    <w:rsid w:val="00491C61"/>
    <w:rsid w:val="0049295A"/>
    <w:rsid w:val="004937B7"/>
    <w:rsid w:val="0049404A"/>
    <w:rsid w:val="00494C56"/>
    <w:rsid w:val="00495339"/>
    <w:rsid w:val="004953BA"/>
    <w:rsid w:val="00495A44"/>
    <w:rsid w:val="00496A93"/>
    <w:rsid w:val="00496D0E"/>
    <w:rsid w:val="00496EB5"/>
    <w:rsid w:val="00497213"/>
    <w:rsid w:val="00497962"/>
    <w:rsid w:val="00497F39"/>
    <w:rsid w:val="004A0341"/>
    <w:rsid w:val="004A0951"/>
    <w:rsid w:val="004A25E4"/>
    <w:rsid w:val="004A30C6"/>
    <w:rsid w:val="004A4980"/>
    <w:rsid w:val="004A4B0A"/>
    <w:rsid w:val="004A4C63"/>
    <w:rsid w:val="004A56FB"/>
    <w:rsid w:val="004A5748"/>
    <w:rsid w:val="004A587B"/>
    <w:rsid w:val="004A5FB2"/>
    <w:rsid w:val="004A6E5A"/>
    <w:rsid w:val="004A70AE"/>
    <w:rsid w:val="004A79C5"/>
    <w:rsid w:val="004B0FB0"/>
    <w:rsid w:val="004B0FF5"/>
    <w:rsid w:val="004B25B4"/>
    <w:rsid w:val="004B2DE6"/>
    <w:rsid w:val="004B3796"/>
    <w:rsid w:val="004B3FAC"/>
    <w:rsid w:val="004B4A21"/>
    <w:rsid w:val="004B5A27"/>
    <w:rsid w:val="004B5A95"/>
    <w:rsid w:val="004B5E38"/>
    <w:rsid w:val="004B6517"/>
    <w:rsid w:val="004B699C"/>
    <w:rsid w:val="004B6AD4"/>
    <w:rsid w:val="004B6AFD"/>
    <w:rsid w:val="004B71B4"/>
    <w:rsid w:val="004B7265"/>
    <w:rsid w:val="004B79C7"/>
    <w:rsid w:val="004C0B53"/>
    <w:rsid w:val="004C0C4D"/>
    <w:rsid w:val="004C18F6"/>
    <w:rsid w:val="004C19E3"/>
    <w:rsid w:val="004C1F95"/>
    <w:rsid w:val="004C3C1E"/>
    <w:rsid w:val="004C3D72"/>
    <w:rsid w:val="004C6F44"/>
    <w:rsid w:val="004D0B61"/>
    <w:rsid w:val="004D0BEC"/>
    <w:rsid w:val="004D11B0"/>
    <w:rsid w:val="004D17B6"/>
    <w:rsid w:val="004D1E87"/>
    <w:rsid w:val="004D2BC4"/>
    <w:rsid w:val="004D2C99"/>
    <w:rsid w:val="004D30FB"/>
    <w:rsid w:val="004D33C7"/>
    <w:rsid w:val="004D34CC"/>
    <w:rsid w:val="004D3F35"/>
    <w:rsid w:val="004D4670"/>
    <w:rsid w:val="004D4FC8"/>
    <w:rsid w:val="004D56E9"/>
    <w:rsid w:val="004D6414"/>
    <w:rsid w:val="004D6988"/>
    <w:rsid w:val="004D6A7B"/>
    <w:rsid w:val="004D6CAE"/>
    <w:rsid w:val="004D6F29"/>
    <w:rsid w:val="004D6F2C"/>
    <w:rsid w:val="004D74B4"/>
    <w:rsid w:val="004E05D4"/>
    <w:rsid w:val="004E0600"/>
    <w:rsid w:val="004E1059"/>
    <w:rsid w:val="004E14DB"/>
    <w:rsid w:val="004E1B83"/>
    <w:rsid w:val="004E1DAB"/>
    <w:rsid w:val="004E1E70"/>
    <w:rsid w:val="004E3ACE"/>
    <w:rsid w:val="004E4D9A"/>
    <w:rsid w:val="004E51C8"/>
    <w:rsid w:val="004E5571"/>
    <w:rsid w:val="004E6306"/>
    <w:rsid w:val="004E6C3C"/>
    <w:rsid w:val="004F00C5"/>
    <w:rsid w:val="004F0905"/>
    <w:rsid w:val="004F0AB1"/>
    <w:rsid w:val="004F1603"/>
    <w:rsid w:val="004F2C44"/>
    <w:rsid w:val="004F3B66"/>
    <w:rsid w:val="004F4174"/>
    <w:rsid w:val="004F4F00"/>
    <w:rsid w:val="004F5329"/>
    <w:rsid w:val="004F67B6"/>
    <w:rsid w:val="004F6833"/>
    <w:rsid w:val="004F6FC4"/>
    <w:rsid w:val="00500077"/>
    <w:rsid w:val="00500DC1"/>
    <w:rsid w:val="00501862"/>
    <w:rsid w:val="005018E1"/>
    <w:rsid w:val="00502BDA"/>
    <w:rsid w:val="005051B3"/>
    <w:rsid w:val="005067E7"/>
    <w:rsid w:val="00507E68"/>
    <w:rsid w:val="00510005"/>
    <w:rsid w:val="0051042D"/>
    <w:rsid w:val="00510497"/>
    <w:rsid w:val="00510E48"/>
    <w:rsid w:val="00511087"/>
    <w:rsid w:val="00512854"/>
    <w:rsid w:val="00512A78"/>
    <w:rsid w:val="00512BD3"/>
    <w:rsid w:val="0051393D"/>
    <w:rsid w:val="005139DA"/>
    <w:rsid w:val="0051400D"/>
    <w:rsid w:val="00514ECC"/>
    <w:rsid w:val="0051515C"/>
    <w:rsid w:val="00515929"/>
    <w:rsid w:val="00515AFF"/>
    <w:rsid w:val="00515BC7"/>
    <w:rsid w:val="005205F3"/>
    <w:rsid w:val="0052175D"/>
    <w:rsid w:val="00521B7B"/>
    <w:rsid w:val="00521BF3"/>
    <w:rsid w:val="00522248"/>
    <w:rsid w:val="005222BE"/>
    <w:rsid w:val="005228F1"/>
    <w:rsid w:val="0052322E"/>
    <w:rsid w:val="00523323"/>
    <w:rsid w:val="005239BA"/>
    <w:rsid w:val="00523BB8"/>
    <w:rsid w:val="0052444C"/>
    <w:rsid w:val="00524451"/>
    <w:rsid w:val="00524970"/>
    <w:rsid w:val="005250E1"/>
    <w:rsid w:val="0052512C"/>
    <w:rsid w:val="005279F3"/>
    <w:rsid w:val="00527C98"/>
    <w:rsid w:val="005305E6"/>
    <w:rsid w:val="00530C41"/>
    <w:rsid w:val="00530F3B"/>
    <w:rsid w:val="005310D8"/>
    <w:rsid w:val="00532ACD"/>
    <w:rsid w:val="0053436B"/>
    <w:rsid w:val="005349B3"/>
    <w:rsid w:val="00534DCB"/>
    <w:rsid w:val="00535E97"/>
    <w:rsid w:val="00536951"/>
    <w:rsid w:val="0053723A"/>
    <w:rsid w:val="005372AA"/>
    <w:rsid w:val="00540732"/>
    <w:rsid w:val="0054090B"/>
    <w:rsid w:val="00541288"/>
    <w:rsid w:val="005413DA"/>
    <w:rsid w:val="005417E5"/>
    <w:rsid w:val="005417EA"/>
    <w:rsid w:val="00541CBF"/>
    <w:rsid w:val="0054283A"/>
    <w:rsid w:val="00543050"/>
    <w:rsid w:val="00543275"/>
    <w:rsid w:val="00543904"/>
    <w:rsid w:val="00544D3F"/>
    <w:rsid w:val="00545C9E"/>
    <w:rsid w:val="005460DA"/>
    <w:rsid w:val="00546434"/>
    <w:rsid w:val="00546501"/>
    <w:rsid w:val="00546F49"/>
    <w:rsid w:val="005500E7"/>
    <w:rsid w:val="00550131"/>
    <w:rsid w:val="005503AC"/>
    <w:rsid w:val="0055076B"/>
    <w:rsid w:val="00550964"/>
    <w:rsid w:val="00550A92"/>
    <w:rsid w:val="00550AE8"/>
    <w:rsid w:val="00551BC3"/>
    <w:rsid w:val="0055242B"/>
    <w:rsid w:val="00553057"/>
    <w:rsid w:val="0055349C"/>
    <w:rsid w:val="00553BFC"/>
    <w:rsid w:val="00553D55"/>
    <w:rsid w:val="00554264"/>
    <w:rsid w:val="005549C4"/>
    <w:rsid w:val="00554BBC"/>
    <w:rsid w:val="00554E22"/>
    <w:rsid w:val="00556154"/>
    <w:rsid w:val="005565B6"/>
    <w:rsid w:val="00556FE6"/>
    <w:rsid w:val="005573EC"/>
    <w:rsid w:val="0055780A"/>
    <w:rsid w:val="005603C7"/>
    <w:rsid w:val="0056110F"/>
    <w:rsid w:val="00561D0E"/>
    <w:rsid w:val="00561E77"/>
    <w:rsid w:val="00562662"/>
    <w:rsid w:val="005630B5"/>
    <w:rsid w:val="00563D92"/>
    <w:rsid w:val="00564339"/>
    <w:rsid w:val="00564ACC"/>
    <w:rsid w:val="00565314"/>
    <w:rsid w:val="00565CFC"/>
    <w:rsid w:val="0056609F"/>
    <w:rsid w:val="00566A18"/>
    <w:rsid w:val="0056780F"/>
    <w:rsid w:val="00567E01"/>
    <w:rsid w:val="005706E0"/>
    <w:rsid w:val="005709F2"/>
    <w:rsid w:val="005711E0"/>
    <w:rsid w:val="00571597"/>
    <w:rsid w:val="0057320A"/>
    <w:rsid w:val="005737DD"/>
    <w:rsid w:val="00573AAE"/>
    <w:rsid w:val="00573B66"/>
    <w:rsid w:val="0057499D"/>
    <w:rsid w:val="00574B6B"/>
    <w:rsid w:val="00574C83"/>
    <w:rsid w:val="00575648"/>
    <w:rsid w:val="00575FF9"/>
    <w:rsid w:val="0057677D"/>
    <w:rsid w:val="00577C10"/>
    <w:rsid w:val="00580803"/>
    <w:rsid w:val="0058180E"/>
    <w:rsid w:val="00582232"/>
    <w:rsid w:val="0058231E"/>
    <w:rsid w:val="00582D4E"/>
    <w:rsid w:val="00585DDA"/>
    <w:rsid w:val="00585E41"/>
    <w:rsid w:val="00585EFA"/>
    <w:rsid w:val="00586912"/>
    <w:rsid w:val="00587A0F"/>
    <w:rsid w:val="005912C3"/>
    <w:rsid w:val="005914BE"/>
    <w:rsid w:val="00592593"/>
    <w:rsid w:val="00592B01"/>
    <w:rsid w:val="0059393E"/>
    <w:rsid w:val="0059396F"/>
    <w:rsid w:val="00593ADD"/>
    <w:rsid w:val="00594C23"/>
    <w:rsid w:val="00595E70"/>
    <w:rsid w:val="00597363"/>
    <w:rsid w:val="00597718"/>
    <w:rsid w:val="005A0A4F"/>
    <w:rsid w:val="005A0FC6"/>
    <w:rsid w:val="005A1690"/>
    <w:rsid w:val="005A1728"/>
    <w:rsid w:val="005A5D49"/>
    <w:rsid w:val="005A6964"/>
    <w:rsid w:val="005A6A13"/>
    <w:rsid w:val="005A778E"/>
    <w:rsid w:val="005B00C7"/>
    <w:rsid w:val="005B02C9"/>
    <w:rsid w:val="005B03FE"/>
    <w:rsid w:val="005B041F"/>
    <w:rsid w:val="005B0716"/>
    <w:rsid w:val="005B0F4D"/>
    <w:rsid w:val="005B1059"/>
    <w:rsid w:val="005B2263"/>
    <w:rsid w:val="005B2365"/>
    <w:rsid w:val="005B252D"/>
    <w:rsid w:val="005B2592"/>
    <w:rsid w:val="005B31EE"/>
    <w:rsid w:val="005B369C"/>
    <w:rsid w:val="005B3F01"/>
    <w:rsid w:val="005B5148"/>
    <w:rsid w:val="005B5604"/>
    <w:rsid w:val="005B59A1"/>
    <w:rsid w:val="005B5E64"/>
    <w:rsid w:val="005B6069"/>
    <w:rsid w:val="005B6188"/>
    <w:rsid w:val="005B71C5"/>
    <w:rsid w:val="005C00E2"/>
    <w:rsid w:val="005C06D1"/>
    <w:rsid w:val="005C1AA3"/>
    <w:rsid w:val="005C1BC0"/>
    <w:rsid w:val="005C1FD3"/>
    <w:rsid w:val="005C24A0"/>
    <w:rsid w:val="005C2C5A"/>
    <w:rsid w:val="005C3044"/>
    <w:rsid w:val="005C58A7"/>
    <w:rsid w:val="005C6125"/>
    <w:rsid w:val="005C62B7"/>
    <w:rsid w:val="005C6752"/>
    <w:rsid w:val="005C710B"/>
    <w:rsid w:val="005C7434"/>
    <w:rsid w:val="005C780A"/>
    <w:rsid w:val="005C7F3A"/>
    <w:rsid w:val="005D004E"/>
    <w:rsid w:val="005D0C99"/>
    <w:rsid w:val="005D2391"/>
    <w:rsid w:val="005D27E8"/>
    <w:rsid w:val="005D2F55"/>
    <w:rsid w:val="005D4657"/>
    <w:rsid w:val="005D5357"/>
    <w:rsid w:val="005D69D0"/>
    <w:rsid w:val="005D7AA2"/>
    <w:rsid w:val="005D7D08"/>
    <w:rsid w:val="005D7F07"/>
    <w:rsid w:val="005D7FC8"/>
    <w:rsid w:val="005E1D13"/>
    <w:rsid w:val="005E3345"/>
    <w:rsid w:val="005E3493"/>
    <w:rsid w:val="005E353A"/>
    <w:rsid w:val="005E38A1"/>
    <w:rsid w:val="005E390A"/>
    <w:rsid w:val="005E3E6A"/>
    <w:rsid w:val="005E4AD4"/>
    <w:rsid w:val="005E5337"/>
    <w:rsid w:val="005E56B2"/>
    <w:rsid w:val="005E6A19"/>
    <w:rsid w:val="005E760D"/>
    <w:rsid w:val="005F0350"/>
    <w:rsid w:val="005F0647"/>
    <w:rsid w:val="005F12E2"/>
    <w:rsid w:val="005F28D1"/>
    <w:rsid w:val="005F3F85"/>
    <w:rsid w:val="005F3F9C"/>
    <w:rsid w:val="005F5811"/>
    <w:rsid w:val="005F5ACB"/>
    <w:rsid w:val="005F6232"/>
    <w:rsid w:val="005F669A"/>
    <w:rsid w:val="005F6B0B"/>
    <w:rsid w:val="005F787C"/>
    <w:rsid w:val="005F79E2"/>
    <w:rsid w:val="005F7E66"/>
    <w:rsid w:val="00600230"/>
    <w:rsid w:val="0060041D"/>
    <w:rsid w:val="00600BE5"/>
    <w:rsid w:val="0060102A"/>
    <w:rsid w:val="00602D05"/>
    <w:rsid w:val="006031AD"/>
    <w:rsid w:val="00603631"/>
    <w:rsid w:val="006049B4"/>
    <w:rsid w:val="00604BED"/>
    <w:rsid w:val="006068C9"/>
    <w:rsid w:val="006071BA"/>
    <w:rsid w:val="00607B5C"/>
    <w:rsid w:val="00607B91"/>
    <w:rsid w:val="0061041E"/>
    <w:rsid w:val="006112BB"/>
    <w:rsid w:val="00611322"/>
    <w:rsid w:val="00611DEB"/>
    <w:rsid w:val="00612B5D"/>
    <w:rsid w:val="006131DF"/>
    <w:rsid w:val="0061351D"/>
    <w:rsid w:val="0061370F"/>
    <w:rsid w:val="00614D69"/>
    <w:rsid w:val="0061584E"/>
    <w:rsid w:val="00615B3E"/>
    <w:rsid w:val="00615DDB"/>
    <w:rsid w:val="00616DF7"/>
    <w:rsid w:val="0061765C"/>
    <w:rsid w:val="00617CB9"/>
    <w:rsid w:val="00621758"/>
    <w:rsid w:val="006218D0"/>
    <w:rsid w:val="00621919"/>
    <w:rsid w:val="006219BC"/>
    <w:rsid w:val="00621C45"/>
    <w:rsid w:val="0062213B"/>
    <w:rsid w:val="00622631"/>
    <w:rsid w:val="006226E8"/>
    <w:rsid w:val="00622E53"/>
    <w:rsid w:val="006233A5"/>
    <w:rsid w:val="00623B7C"/>
    <w:rsid w:val="00624048"/>
    <w:rsid w:val="0062534D"/>
    <w:rsid w:val="006254AD"/>
    <w:rsid w:val="006277D2"/>
    <w:rsid w:val="00627A0A"/>
    <w:rsid w:val="00627D12"/>
    <w:rsid w:val="00630A89"/>
    <w:rsid w:val="00630E7C"/>
    <w:rsid w:val="0063108A"/>
    <w:rsid w:val="00631232"/>
    <w:rsid w:val="0063132D"/>
    <w:rsid w:val="00632222"/>
    <w:rsid w:val="006328F1"/>
    <w:rsid w:val="0063343B"/>
    <w:rsid w:val="00633CCF"/>
    <w:rsid w:val="00633D4E"/>
    <w:rsid w:val="00634255"/>
    <w:rsid w:val="00634334"/>
    <w:rsid w:val="0063452F"/>
    <w:rsid w:val="00634A11"/>
    <w:rsid w:val="006353DF"/>
    <w:rsid w:val="00636450"/>
    <w:rsid w:val="0063677E"/>
    <w:rsid w:val="006376E8"/>
    <w:rsid w:val="00637A39"/>
    <w:rsid w:val="006412C3"/>
    <w:rsid w:val="0064145B"/>
    <w:rsid w:val="00641852"/>
    <w:rsid w:val="006422C6"/>
    <w:rsid w:val="00642923"/>
    <w:rsid w:val="00643826"/>
    <w:rsid w:val="00643B1B"/>
    <w:rsid w:val="00643B67"/>
    <w:rsid w:val="006441C4"/>
    <w:rsid w:val="0064481D"/>
    <w:rsid w:val="006449B2"/>
    <w:rsid w:val="00645718"/>
    <w:rsid w:val="00646168"/>
    <w:rsid w:val="0064670A"/>
    <w:rsid w:val="00647EAD"/>
    <w:rsid w:val="006506E3"/>
    <w:rsid w:val="006510E5"/>
    <w:rsid w:val="0065145B"/>
    <w:rsid w:val="00652B72"/>
    <w:rsid w:val="00653FB4"/>
    <w:rsid w:val="006542FE"/>
    <w:rsid w:val="00655B47"/>
    <w:rsid w:val="006561A5"/>
    <w:rsid w:val="00656265"/>
    <w:rsid w:val="006566BF"/>
    <w:rsid w:val="006570CD"/>
    <w:rsid w:val="00657205"/>
    <w:rsid w:val="00657A21"/>
    <w:rsid w:val="00657B64"/>
    <w:rsid w:val="00657EF4"/>
    <w:rsid w:val="00660276"/>
    <w:rsid w:val="0066099D"/>
    <w:rsid w:val="00660EA4"/>
    <w:rsid w:val="0066211B"/>
    <w:rsid w:val="006638F2"/>
    <w:rsid w:val="00663929"/>
    <w:rsid w:val="00663DD6"/>
    <w:rsid w:val="00663F8F"/>
    <w:rsid w:val="006648AF"/>
    <w:rsid w:val="00664C42"/>
    <w:rsid w:val="00665060"/>
    <w:rsid w:val="006652E5"/>
    <w:rsid w:val="00665485"/>
    <w:rsid w:val="00665CB6"/>
    <w:rsid w:val="0066742D"/>
    <w:rsid w:val="006729E2"/>
    <w:rsid w:val="00672CAA"/>
    <w:rsid w:val="00672D7D"/>
    <w:rsid w:val="006733CF"/>
    <w:rsid w:val="00673BBD"/>
    <w:rsid w:val="00676262"/>
    <w:rsid w:val="00676821"/>
    <w:rsid w:val="00676BFA"/>
    <w:rsid w:val="00677FC6"/>
    <w:rsid w:val="0068045F"/>
    <w:rsid w:val="00680F67"/>
    <w:rsid w:val="006811ED"/>
    <w:rsid w:val="00681C87"/>
    <w:rsid w:val="00682F41"/>
    <w:rsid w:val="0068375F"/>
    <w:rsid w:val="00685155"/>
    <w:rsid w:val="00685500"/>
    <w:rsid w:val="00685567"/>
    <w:rsid w:val="006867CC"/>
    <w:rsid w:val="0068680E"/>
    <w:rsid w:val="00686982"/>
    <w:rsid w:val="00686B1B"/>
    <w:rsid w:val="006874E9"/>
    <w:rsid w:val="00687C6F"/>
    <w:rsid w:val="00691041"/>
    <w:rsid w:val="00691042"/>
    <w:rsid w:val="0069159B"/>
    <w:rsid w:val="0069228F"/>
    <w:rsid w:val="00693225"/>
    <w:rsid w:val="00694DDB"/>
    <w:rsid w:val="00694E7A"/>
    <w:rsid w:val="00694F33"/>
    <w:rsid w:val="0069536B"/>
    <w:rsid w:val="00695446"/>
    <w:rsid w:val="006960B8"/>
    <w:rsid w:val="00696200"/>
    <w:rsid w:val="006966DF"/>
    <w:rsid w:val="006A136B"/>
    <w:rsid w:val="006A15F6"/>
    <w:rsid w:val="006A184D"/>
    <w:rsid w:val="006A223C"/>
    <w:rsid w:val="006A2517"/>
    <w:rsid w:val="006A2648"/>
    <w:rsid w:val="006A2A3B"/>
    <w:rsid w:val="006A35BA"/>
    <w:rsid w:val="006A3A1B"/>
    <w:rsid w:val="006A554A"/>
    <w:rsid w:val="006A666A"/>
    <w:rsid w:val="006A692C"/>
    <w:rsid w:val="006A6BFB"/>
    <w:rsid w:val="006A6C44"/>
    <w:rsid w:val="006A735E"/>
    <w:rsid w:val="006A7379"/>
    <w:rsid w:val="006A7BEA"/>
    <w:rsid w:val="006B0C76"/>
    <w:rsid w:val="006B1602"/>
    <w:rsid w:val="006B2537"/>
    <w:rsid w:val="006B265A"/>
    <w:rsid w:val="006B297E"/>
    <w:rsid w:val="006B2AFF"/>
    <w:rsid w:val="006B2FFE"/>
    <w:rsid w:val="006B3060"/>
    <w:rsid w:val="006B3B4D"/>
    <w:rsid w:val="006B3B8D"/>
    <w:rsid w:val="006B4B61"/>
    <w:rsid w:val="006B4C11"/>
    <w:rsid w:val="006B4D40"/>
    <w:rsid w:val="006B5160"/>
    <w:rsid w:val="006B5295"/>
    <w:rsid w:val="006B5D33"/>
    <w:rsid w:val="006B5F03"/>
    <w:rsid w:val="006B6373"/>
    <w:rsid w:val="006B6D20"/>
    <w:rsid w:val="006B71EC"/>
    <w:rsid w:val="006B7603"/>
    <w:rsid w:val="006B7E33"/>
    <w:rsid w:val="006C0980"/>
    <w:rsid w:val="006C11A3"/>
    <w:rsid w:val="006C14E2"/>
    <w:rsid w:val="006C15FC"/>
    <w:rsid w:val="006C19D3"/>
    <w:rsid w:val="006C20FD"/>
    <w:rsid w:val="006C25A8"/>
    <w:rsid w:val="006C2950"/>
    <w:rsid w:val="006C2FCF"/>
    <w:rsid w:val="006C3015"/>
    <w:rsid w:val="006C35BD"/>
    <w:rsid w:val="006C3C9D"/>
    <w:rsid w:val="006C4DDE"/>
    <w:rsid w:val="006C673D"/>
    <w:rsid w:val="006C6AE1"/>
    <w:rsid w:val="006C73A7"/>
    <w:rsid w:val="006C7CC3"/>
    <w:rsid w:val="006C7DBE"/>
    <w:rsid w:val="006D0A98"/>
    <w:rsid w:val="006D139B"/>
    <w:rsid w:val="006D17C2"/>
    <w:rsid w:val="006D1AC9"/>
    <w:rsid w:val="006D2366"/>
    <w:rsid w:val="006D254A"/>
    <w:rsid w:val="006D292C"/>
    <w:rsid w:val="006D4334"/>
    <w:rsid w:val="006D4BA0"/>
    <w:rsid w:val="006D5108"/>
    <w:rsid w:val="006D68B1"/>
    <w:rsid w:val="006D6EA7"/>
    <w:rsid w:val="006D783C"/>
    <w:rsid w:val="006D7E78"/>
    <w:rsid w:val="006D7F26"/>
    <w:rsid w:val="006E014A"/>
    <w:rsid w:val="006E282C"/>
    <w:rsid w:val="006E29EC"/>
    <w:rsid w:val="006E3570"/>
    <w:rsid w:val="006E4237"/>
    <w:rsid w:val="006E44B2"/>
    <w:rsid w:val="006E481F"/>
    <w:rsid w:val="006E4F1E"/>
    <w:rsid w:val="006E7E49"/>
    <w:rsid w:val="006F0E78"/>
    <w:rsid w:val="006F1C6D"/>
    <w:rsid w:val="006F252E"/>
    <w:rsid w:val="006F3034"/>
    <w:rsid w:val="006F304D"/>
    <w:rsid w:val="006F3874"/>
    <w:rsid w:val="006F3B0A"/>
    <w:rsid w:val="006F4E56"/>
    <w:rsid w:val="00700284"/>
    <w:rsid w:val="0070080C"/>
    <w:rsid w:val="00701E98"/>
    <w:rsid w:val="00702C96"/>
    <w:rsid w:val="0070318F"/>
    <w:rsid w:val="007036AF"/>
    <w:rsid w:val="0070406A"/>
    <w:rsid w:val="007049BA"/>
    <w:rsid w:val="00704C5C"/>
    <w:rsid w:val="00705707"/>
    <w:rsid w:val="00705A0E"/>
    <w:rsid w:val="00705B72"/>
    <w:rsid w:val="007060F6"/>
    <w:rsid w:val="00706183"/>
    <w:rsid w:val="00706D96"/>
    <w:rsid w:val="007072E6"/>
    <w:rsid w:val="00707FB9"/>
    <w:rsid w:val="00710D0E"/>
    <w:rsid w:val="0071102C"/>
    <w:rsid w:val="007113FD"/>
    <w:rsid w:val="0071157D"/>
    <w:rsid w:val="00712B4A"/>
    <w:rsid w:val="00712DC3"/>
    <w:rsid w:val="007132A7"/>
    <w:rsid w:val="007157B9"/>
    <w:rsid w:val="00715987"/>
    <w:rsid w:val="007175B5"/>
    <w:rsid w:val="00717DA2"/>
    <w:rsid w:val="007200FB"/>
    <w:rsid w:val="007204EC"/>
    <w:rsid w:val="00720A15"/>
    <w:rsid w:val="00721BA3"/>
    <w:rsid w:val="00722B85"/>
    <w:rsid w:val="007234D5"/>
    <w:rsid w:val="0072392A"/>
    <w:rsid w:val="00724F30"/>
    <w:rsid w:val="00726F44"/>
    <w:rsid w:val="00727EA2"/>
    <w:rsid w:val="00727F29"/>
    <w:rsid w:val="00727F44"/>
    <w:rsid w:val="00730293"/>
    <w:rsid w:val="0073078B"/>
    <w:rsid w:val="0073174A"/>
    <w:rsid w:val="007327EC"/>
    <w:rsid w:val="00732D7B"/>
    <w:rsid w:val="0073307F"/>
    <w:rsid w:val="00733251"/>
    <w:rsid w:val="007334B1"/>
    <w:rsid w:val="00733BF0"/>
    <w:rsid w:val="00733C65"/>
    <w:rsid w:val="00734FDF"/>
    <w:rsid w:val="00736574"/>
    <w:rsid w:val="00736A88"/>
    <w:rsid w:val="007400FC"/>
    <w:rsid w:val="007403B8"/>
    <w:rsid w:val="00740819"/>
    <w:rsid w:val="00741CBC"/>
    <w:rsid w:val="00741EC6"/>
    <w:rsid w:val="007424FE"/>
    <w:rsid w:val="0074375C"/>
    <w:rsid w:val="0074392F"/>
    <w:rsid w:val="0074427C"/>
    <w:rsid w:val="007451B8"/>
    <w:rsid w:val="00745732"/>
    <w:rsid w:val="00745FBD"/>
    <w:rsid w:val="007469BE"/>
    <w:rsid w:val="00746F2E"/>
    <w:rsid w:val="00750C12"/>
    <w:rsid w:val="00750E0B"/>
    <w:rsid w:val="00751703"/>
    <w:rsid w:val="0075288C"/>
    <w:rsid w:val="007533F2"/>
    <w:rsid w:val="00755C7B"/>
    <w:rsid w:val="0075664D"/>
    <w:rsid w:val="0075665C"/>
    <w:rsid w:val="00757A13"/>
    <w:rsid w:val="00760AA8"/>
    <w:rsid w:val="00760DEC"/>
    <w:rsid w:val="0076185B"/>
    <w:rsid w:val="007618A1"/>
    <w:rsid w:val="00761D6F"/>
    <w:rsid w:val="00761E59"/>
    <w:rsid w:val="007625FC"/>
    <w:rsid w:val="00763871"/>
    <w:rsid w:val="00763A76"/>
    <w:rsid w:val="0076434D"/>
    <w:rsid w:val="00764793"/>
    <w:rsid w:val="00765001"/>
    <w:rsid w:val="00765D7B"/>
    <w:rsid w:val="007660A4"/>
    <w:rsid w:val="00766278"/>
    <w:rsid w:val="00766AB6"/>
    <w:rsid w:val="00767570"/>
    <w:rsid w:val="007676C6"/>
    <w:rsid w:val="0076779D"/>
    <w:rsid w:val="007702E4"/>
    <w:rsid w:val="007705E1"/>
    <w:rsid w:val="00771530"/>
    <w:rsid w:val="00771764"/>
    <w:rsid w:val="00772B81"/>
    <w:rsid w:val="00773819"/>
    <w:rsid w:val="0077388D"/>
    <w:rsid w:val="00773A83"/>
    <w:rsid w:val="007741F8"/>
    <w:rsid w:val="007754A9"/>
    <w:rsid w:val="007758CC"/>
    <w:rsid w:val="007765E3"/>
    <w:rsid w:val="007768B6"/>
    <w:rsid w:val="00776E1B"/>
    <w:rsid w:val="00776E30"/>
    <w:rsid w:val="00777546"/>
    <w:rsid w:val="00780526"/>
    <w:rsid w:val="007807B7"/>
    <w:rsid w:val="007808D6"/>
    <w:rsid w:val="00780D90"/>
    <w:rsid w:val="007820CC"/>
    <w:rsid w:val="007821B3"/>
    <w:rsid w:val="0078328E"/>
    <w:rsid w:val="00783F0E"/>
    <w:rsid w:val="00784487"/>
    <w:rsid w:val="00784682"/>
    <w:rsid w:val="00784841"/>
    <w:rsid w:val="00785E60"/>
    <w:rsid w:val="00785FB7"/>
    <w:rsid w:val="00786291"/>
    <w:rsid w:val="0078643E"/>
    <w:rsid w:val="00786542"/>
    <w:rsid w:val="007872E0"/>
    <w:rsid w:val="0078766D"/>
    <w:rsid w:val="007900CC"/>
    <w:rsid w:val="007906AB"/>
    <w:rsid w:val="00790711"/>
    <w:rsid w:val="007908A3"/>
    <w:rsid w:val="007914F5"/>
    <w:rsid w:val="00791784"/>
    <w:rsid w:val="007917E1"/>
    <w:rsid w:val="00791833"/>
    <w:rsid w:val="00791C5B"/>
    <w:rsid w:val="00791E74"/>
    <w:rsid w:val="00791FEC"/>
    <w:rsid w:val="007923BF"/>
    <w:rsid w:val="007926DB"/>
    <w:rsid w:val="00792874"/>
    <w:rsid w:val="007933DA"/>
    <w:rsid w:val="00793F80"/>
    <w:rsid w:val="00794CF3"/>
    <w:rsid w:val="0079506C"/>
    <w:rsid w:val="007A1226"/>
    <w:rsid w:val="007A182C"/>
    <w:rsid w:val="007A1B26"/>
    <w:rsid w:val="007A1EEC"/>
    <w:rsid w:val="007A2B3A"/>
    <w:rsid w:val="007A534E"/>
    <w:rsid w:val="007A539C"/>
    <w:rsid w:val="007A5B94"/>
    <w:rsid w:val="007A5C3C"/>
    <w:rsid w:val="007A7D80"/>
    <w:rsid w:val="007B18BC"/>
    <w:rsid w:val="007B2686"/>
    <w:rsid w:val="007B27AF"/>
    <w:rsid w:val="007B2C06"/>
    <w:rsid w:val="007B2D41"/>
    <w:rsid w:val="007B3184"/>
    <w:rsid w:val="007B3C2F"/>
    <w:rsid w:val="007B3DAF"/>
    <w:rsid w:val="007B3E52"/>
    <w:rsid w:val="007B43D2"/>
    <w:rsid w:val="007B4431"/>
    <w:rsid w:val="007B5013"/>
    <w:rsid w:val="007B50F4"/>
    <w:rsid w:val="007B5673"/>
    <w:rsid w:val="007B6231"/>
    <w:rsid w:val="007B62D2"/>
    <w:rsid w:val="007B63A5"/>
    <w:rsid w:val="007B63CA"/>
    <w:rsid w:val="007B6845"/>
    <w:rsid w:val="007C0B04"/>
    <w:rsid w:val="007C0FD9"/>
    <w:rsid w:val="007C193A"/>
    <w:rsid w:val="007C1E88"/>
    <w:rsid w:val="007C2CBE"/>
    <w:rsid w:val="007C3919"/>
    <w:rsid w:val="007C426E"/>
    <w:rsid w:val="007C4B78"/>
    <w:rsid w:val="007C570A"/>
    <w:rsid w:val="007C5CB2"/>
    <w:rsid w:val="007C6DDA"/>
    <w:rsid w:val="007C6EAA"/>
    <w:rsid w:val="007C71B6"/>
    <w:rsid w:val="007C7280"/>
    <w:rsid w:val="007C730C"/>
    <w:rsid w:val="007C76B1"/>
    <w:rsid w:val="007C7C9F"/>
    <w:rsid w:val="007D267D"/>
    <w:rsid w:val="007D2903"/>
    <w:rsid w:val="007D2A5B"/>
    <w:rsid w:val="007D33B8"/>
    <w:rsid w:val="007D40CD"/>
    <w:rsid w:val="007D41BB"/>
    <w:rsid w:val="007D49F1"/>
    <w:rsid w:val="007D518D"/>
    <w:rsid w:val="007D5E87"/>
    <w:rsid w:val="007D6347"/>
    <w:rsid w:val="007D6EA0"/>
    <w:rsid w:val="007D7DB6"/>
    <w:rsid w:val="007E0088"/>
    <w:rsid w:val="007E00AC"/>
    <w:rsid w:val="007E2385"/>
    <w:rsid w:val="007E2B55"/>
    <w:rsid w:val="007E2ED3"/>
    <w:rsid w:val="007E35DE"/>
    <w:rsid w:val="007E4675"/>
    <w:rsid w:val="007E52AE"/>
    <w:rsid w:val="007E55F2"/>
    <w:rsid w:val="007E5D56"/>
    <w:rsid w:val="007E67F7"/>
    <w:rsid w:val="007E7889"/>
    <w:rsid w:val="007E7917"/>
    <w:rsid w:val="007E7AD3"/>
    <w:rsid w:val="007F0356"/>
    <w:rsid w:val="007F03F6"/>
    <w:rsid w:val="007F05B0"/>
    <w:rsid w:val="007F0606"/>
    <w:rsid w:val="007F0822"/>
    <w:rsid w:val="007F0FCA"/>
    <w:rsid w:val="007F1427"/>
    <w:rsid w:val="007F1C1F"/>
    <w:rsid w:val="007F1D9B"/>
    <w:rsid w:val="007F22D7"/>
    <w:rsid w:val="007F326F"/>
    <w:rsid w:val="007F37FC"/>
    <w:rsid w:val="007F38AE"/>
    <w:rsid w:val="007F39D1"/>
    <w:rsid w:val="007F3B0B"/>
    <w:rsid w:val="007F453F"/>
    <w:rsid w:val="007F4B94"/>
    <w:rsid w:val="007F5061"/>
    <w:rsid w:val="007F5736"/>
    <w:rsid w:val="007F6B32"/>
    <w:rsid w:val="007F7054"/>
    <w:rsid w:val="007F7A77"/>
    <w:rsid w:val="00800147"/>
    <w:rsid w:val="0080175B"/>
    <w:rsid w:val="00801B97"/>
    <w:rsid w:val="00801D7D"/>
    <w:rsid w:val="00802347"/>
    <w:rsid w:val="00802699"/>
    <w:rsid w:val="00802B92"/>
    <w:rsid w:val="00802F12"/>
    <w:rsid w:val="00803128"/>
    <w:rsid w:val="0080412D"/>
    <w:rsid w:val="00804866"/>
    <w:rsid w:val="008049EC"/>
    <w:rsid w:val="00805340"/>
    <w:rsid w:val="00805424"/>
    <w:rsid w:val="00806D47"/>
    <w:rsid w:val="00806F0F"/>
    <w:rsid w:val="00807000"/>
    <w:rsid w:val="00807EFC"/>
    <w:rsid w:val="00810782"/>
    <w:rsid w:val="0081135C"/>
    <w:rsid w:val="008115F8"/>
    <w:rsid w:val="008119A7"/>
    <w:rsid w:val="00811BF5"/>
    <w:rsid w:val="00811CF6"/>
    <w:rsid w:val="008124A3"/>
    <w:rsid w:val="00812CCE"/>
    <w:rsid w:val="00812D8E"/>
    <w:rsid w:val="00813E8A"/>
    <w:rsid w:val="00815957"/>
    <w:rsid w:val="008160A2"/>
    <w:rsid w:val="0081677D"/>
    <w:rsid w:val="008169FB"/>
    <w:rsid w:val="00817469"/>
    <w:rsid w:val="00817DEF"/>
    <w:rsid w:val="0082095E"/>
    <w:rsid w:val="008211F9"/>
    <w:rsid w:val="0082184B"/>
    <w:rsid w:val="00821AEB"/>
    <w:rsid w:val="008221E2"/>
    <w:rsid w:val="00823980"/>
    <w:rsid w:val="00824862"/>
    <w:rsid w:val="008259B4"/>
    <w:rsid w:val="00825EB1"/>
    <w:rsid w:val="00826309"/>
    <w:rsid w:val="00826405"/>
    <w:rsid w:val="0082677D"/>
    <w:rsid w:val="00826ED1"/>
    <w:rsid w:val="00826FB7"/>
    <w:rsid w:val="00827235"/>
    <w:rsid w:val="008272C9"/>
    <w:rsid w:val="008277A3"/>
    <w:rsid w:val="00827BB2"/>
    <w:rsid w:val="00827E0D"/>
    <w:rsid w:val="008310F1"/>
    <w:rsid w:val="0083121F"/>
    <w:rsid w:val="00831528"/>
    <w:rsid w:val="00831B3B"/>
    <w:rsid w:val="00831C16"/>
    <w:rsid w:val="008321C3"/>
    <w:rsid w:val="0083225F"/>
    <w:rsid w:val="00832329"/>
    <w:rsid w:val="008326B0"/>
    <w:rsid w:val="00832FBC"/>
    <w:rsid w:val="00833247"/>
    <w:rsid w:val="00834428"/>
    <w:rsid w:val="0083481B"/>
    <w:rsid w:val="008356A9"/>
    <w:rsid w:val="00836E32"/>
    <w:rsid w:val="00837039"/>
    <w:rsid w:val="008373AC"/>
    <w:rsid w:val="00837870"/>
    <w:rsid w:val="0084036B"/>
    <w:rsid w:val="00840BBF"/>
    <w:rsid w:val="00840EB7"/>
    <w:rsid w:val="0084195E"/>
    <w:rsid w:val="008433BE"/>
    <w:rsid w:val="00843AF2"/>
    <w:rsid w:val="00843C5D"/>
    <w:rsid w:val="00843FBE"/>
    <w:rsid w:val="00844756"/>
    <w:rsid w:val="00844A02"/>
    <w:rsid w:val="00844D07"/>
    <w:rsid w:val="00844E5F"/>
    <w:rsid w:val="0084672E"/>
    <w:rsid w:val="008470D1"/>
    <w:rsid w:val="0084754D"/>
    <w:rsid w:val="008478B5"/>
    <w:rsid w:val="00847ABE"/>
    <w:rsid w:val="00850BFC"/>
    <w:rsid w:val="00850ECC"/>
    <w:rsid w:val="00850F92"/>
    <w:rsid w:val="008512D4"/>
    <w:rsid w:val="00852164"/>
    <w:rsid w:val="008521A3"/>
    <w:rsid w:val="0085494A"/>
    <w:rsid w:val="00854B52"/>
    <w:rsid w:val="008550B1"/>
    <w:rsid w:val="00855222"/>
    <w:rsid w:val="0085527E"/>
    <w:rsid w:val="008562DF"/>
    <w:rsid w:val="00856779"/>
    <w:rsid w:val="0085679E"/>
    <w:rsid w:val="008569D0"/>
    <w:rsid w:val="00856E40"/>
    <w:rsid w:val="00857A8D"/>
    <w:rsid w:val="00857D0A"/>
    <w:rsid w:val="0086019D"/>
    <w:rsid w:val="008608B4"/>
    <w:rsid w:val="00860B08"/>
    <w:rsid w:val="00861571"/>
    <w:rsid w:val="00861F70"/>
    <w:rsid w:val="008625DE"/>
    <w:rsid w:val="00863225"/>
    <w:rsid w:val="00864185"/>
    <w:rsid w:val="0086474A"/>
    <w:rsid w:val="0086486C"/>
    <w:rsid w:val="00864B0C"/>
    <w:rsid w:val="00864BD4"/>
    <w:rsid w:val="00865B00"/>
    <w:rsid w:val="00865CFA"/>
    <w:rsid w:val="00867298"/>
    <w:rsid w:val="00867697"/>
    <w:rsid w:val="0086785E"/>
    <w:rsid w:val="00867E3A"/>
    <w:rsid w:val="00871B35"/>
    <w:rsid w:val="00871FDE"/>
    <w:rsid w:val="00872246"/>
    <w:rsid w:val="00872B61"/>
    <w:rsid w:val="0087361D"/>
    <w:rsid w:val="008741E0"/>
    <w:rsid w:val="00875300"/>
    <w:rsid w:val="0087546A"/>
    <w:rsid w:val="008802E7"/>
    <w:rsid w:val="00880404"/>
    <w:rsid w:val="008816FD"/>
    <w:rsid w:val="00881AE2"/>
    <w:rsid w:val="00881AF9"/>
    <w:rsid w:val="00881C15"/>
    <w:rsid w:val="00882A68"/>
    <w:rsid w:val="00882B1E"/>
    <w:rsid w:val="00885304"/>
    <w:rsid w:val="00885FB1"/>
    <w:rsid w:val="0088600E"/>
    <w:rsid w:val="0088629C"/>
    <w:rsid w:val="00886BDD"/>
    <w:rsid w:val="0088749B"/>
    <w:rsid w:val="0088797C"/>
    <w:rsid w:val="00890EA6"/>
    <w:rsid w:val="00892510"/>
    <w:rsid w:val="00892B53"/>
    <w:rsid w:val="0089332F"/>
    <w:rsid w:val="008953FC"/>
    <w:rsid w:val="0089655A"/>
    <w:rsid w:val="00897C1D"/>
    <w:rsid w:val="00897E43"/>
    <w:rsid w:val="008A0DD2"/>
    <w:rsid w:val="008A131A"/>
    <w:rsid w:val="008A1A91"/>
    <w:rsid w:val="008A2433"/>
    <w:rsid w:val="008A274E"/>
    <w:rsid w:val="008A325A"/>
    <w:rsid w:val="008A3DDE"/>
    <w:rsid w:val="008A483E"/>
    <w:rsid w:val="008A4F58"/>
    <w:rsid w:val="008A59AA"/>
    <w:rsid w:val="008A5B62"/>
    <w:rsid w:val="008A63EC"/>
    <w:rsid w:val="008A683D"/>
    <w:rsid w:val="008A6E29"/>
    <w:rsid w:val="008A6E3C"/>
    <w:rsid w:val="008B026D"/>
    <w:rsid w:val="008B164D"/>
    <w:rsid w:val="008B1A73"/>
    <w:rsid w:val="008B1B88"/>
    <w:rsid w:val="008B27B8"/>
    <w:rsid w:val="008B3D08"/>
    <w:rsid w:val="008B3E15"/>
    <w:rsid w:val="008B449D"/>
    <w:rsid w:val="008B4C2E"/>
    <w:rsid w:val="008B527F"/>
    <w:rsid w:val="008B556D"/>
    <w:rsid w:val="008B6998"/>
    <w:rsid w:val="008B7A5B"/>
    <w:rsid w:val="008C0591"/>
    <w:rsid w:val="008C087B"/>
    <w:rsid w:val="008C0C7F"/>
    <w:rsid w:val="008C0D11"/>
    <w:rsid w:val="008C10F0"/>
    <w:rsid w:val="008C2083"/>
    <w:rsid w:val="008C2126"/>
    <w:rsid w:val="008C2470"/>
    <w:rsid w:val="008C297F"/>
    <w:rsid w:val="008C3D1E"/>
    <w:rsid w:val="008C5679"/>
    <w:rsid w:val="008C7796"/>
    <w:rsid w:val="008D05B0"/>
    <w:rsid w:val="008D13E9"/>
    <w:rsid w:val="008D14E8"/>
    <w:rsid w:val="008D1C09"/>
    <w:rsid w:val="008D1CDA"/>
    <w:rsid w:val="008D2832"/>
    <w:rsid w:val="008D301A"/>
    <w:rsid w:val="008D317C"/>
    <w:rsid w:val="008D391B"/>
    <w:rsid w:val="008D409B"/>
    <w:rsid w:val="008D484B"/>
    <w:rsid w:val="008D4E63"/>
    <w:rsid w:val="008D55C7"/>
    <w:rsid w:val="008D5C6A"/>
    <w:rsid w:val="008D6727"/>
    <w:rsid w:val="008D73E8"/>
    <w:rsid w:val="008D748F"/>
    <w:rsid w:val="008E09CF"/>
    <w:rsid w:val="008E0A13"/>
    <w:rsid w:val="008E0E91"/>
    <w:rsid w:val="008E201A"/>
    <w:rsid w:val="008E2102"/>
    <w:rsid w:val="008E2860"/>
    <w:rsid w:val="008E286F"/>
    <w:rsid w:val="008E37E3"/>
    <w:rsid w:val="008E46E7"/>
    <w:rsid w:val="008E57F6"/>
    <w:rsid w:val="008E58F1"/>
    <w:rsid w:val="008E641C"/>
    <w:rsid w:val="008E754C"/>
    <w:rsid w:val="008E76B9"/>
    <w:rsid w:val="008E7A50"/>
    <w:rsid w:val="008F090E"/>
    <w:rsid w:val="008F0B73"/>
    <w:rsid w:val="008F0D67"/>
    <w:rsid w:val="008F1B54"/>
    <w:rsid w:val="008F21F3"/>
    <w:rsid w:val="008F24BA"/>
    <w:rsid w:val="008F2BCA"/>
    <w:rsid w:val="008F369A"/>
    <w:rsid w:val="008F5B73"/>
    <w:rsid w:val="008F6064"/>
    <w:rsid w:val="008F62C2"/>
    <w:rsid w:val="008F68BB"/>
    <w:rsid w:val="00901335"/>
    <w:rsid w:val="0090137E"/>
    <w:rsid w:val="009016B7"/>
    <w:rsid w:val="00901B05"/>
    <w:rsid w:val="00902AA8"/>
    <w:rsid w:val="00902CC5"/>
    <w:rsid w:val="009036EA"/>
    <w:rsid w:val="00903E54"/>
    <w:rsid w:val="00903F7A"/>
    <w:rsid w:val="00903F86"/>
    <w:rsid w:val="00905CA7"/>
    <w:rsid w:val="00905DB6"/>
    <w:rsid w:val="00906DC0"/>
    <w:rsid w:val="00907059"/>
    <w:rsid w:val="009075E1"/>
    <w:rsid w:val="00907AB2"/>
    <w:rsid w:val="00911330"/>
    <w:rsid w:val="0091182A"/>
    <w:rsid w:val="00911AD8"/>
    <w:rsid w:val="00911D1D"/>
    <w:rsid w:val="009123BB"/>
    <w:rsid w:val="00912C04"/>
    <w:rsid w:val="0091327C"/>
    <w:rsid w:val="009134C5"/>
    <w:rsid w:val="00914397"/>
    <w:rsid w:val="0091440F"/>
    <w:rsid w:val="00914866"/>
    <w:rsid w:val="00914B48"/>
    <w:rsid w:val="00914E5A"/>
    <w:rsid w:val="00914F00"/>
    <w:rsid w:val="009159E7"/>
    <w:rsid w:val="00916091"/>
    <w:rsid w:val="0092072E"/>
    <w:rsid w:val="00920E5A"/>
    <w:rsid w:val="009210AC"/>
    <w:rsid w:val="009212B5"/>
    <w:rsid w:val="00922BAD"/>
    <w:rsid w:val="009247E5"/>
    <w:rsid w:val="00924A03"/>
    <w:rsid w:val="00925075"/>
    <w:rsid w:val="00925C71"/>
    <w:rsid w:val="00925D29"/>
    <w:rsid w:val="00927317"/>
    <w:rsid w:val="00927C33"/>
    <w:rsid w:val="0093061C"/>
    <w:rsid w:val="009322C3"/>
    <w:rsid w:val="009328D7"/>
    <w:rsid w:val="00932B67"/>
    <w:rsid w:val="009333D5"/>
    <w:rsid w:val="009348DF"/>
    <w:rsid w:val="009350AC"/>
    <w:rsid w:val="00935349"/>
    <w:rsid w:val="00935957"/>
    <w:rsid w:val="0093607C"/>
    <w:rsid w:val="009361C9"/>
    <w:rsid w:val="00936228"/>
    <w:rsid w:val="009362DD"/>
    <w:rsid w:val="009412BC"/>
    <w:rsid w:val="0094182B"/>
    <w:rsid w:val="00943244"/>
    <w:rsid w:val="00943486"/>
    <w:rsid w:val="009451DE"/>
    <w:rsid w:val="00946727"/>
    <w:rsid w:val="00946BA3"/>
    <w:rsid w:val="00946BF4"/>
    <w:rsid w:val="00947084"/>
    <w:rsid w:val="00950F79"/>
    <w:rsid w:val="00951137"/>
    <w:rsid w:val="00951645"/>
    <w:rsid w:val="00951D8F"/>
    <w:rsid w:val="00952127"/>
    <w:rsid w:val="009521A5"/>
    <w:rsid w:val="0095246B"/>
    <w:rsid w:val="0095273A"/>
    <w:rsid w:val="00952DBB"/>
    <w:rsid w:val="00953C97"/>
    <w:rsid w:val="009542DD"/>
    <w:rsid w:val="009543C9"/>
    <w:rsid w:val="00955266"/>
    <w:rsid w:val="0095541C"/>
    <w:rsid w:val="009562F1"/>
    <w:rsid w:val="0095673F"/>
    <w:rsid w:val="00957063"/>
    <w:rsid w:val="009572A4"/>
    <w:rsid w:val="00957689"/>
    <w:rsid w:val="00960F65"/>
    <w:rsid w:val="009628AE"/>
    <w:rsid w:val="00963E8A"/>
    <w:rsid w:val="00964399"/>
    <w:rsid w:val="009647F2"/>
    <w:rsid w:val="00964B8E"/>
    <w:rsid w:val="00965557"/>
    <w:rsid w:val="00965907"/>
    <w:rsid w:val="009659C4"/>
    <w:rsid w:val="00965D9E"/>
    <w:rsid w:val="0096667F"/>
    <w:rsid w:val="00966C0E"/>
    <w:rsid w:val="009670E3"/>
    <w:rsid w:val="00967F83"/>
    <w:rsid w:val="00967FDC"/>
    <w:rsid w:val="00970163"/>
    <w:rsid w:val="0097039E"/>
    <w:rsid w:val="00970684"/>
    <w:rsid w:val="00971016"/>
    <w:rsid w:val="00972E42"/>
    <w:rsid w:val="0097305C"/>
    <w:rsid w:val="0097389C"/>
    <w:rsid w:val="00974C13"/>
    <w:rsid w:val="00974C1D"/>
    <w:rsid w:val="0097565A"/>
    <w:rsid w:val="00976092"/>
    <w:rsid w:val="009764A4"/>
    <w:rsid w:val="00976BEB"/>
    <w:rsid w:val="009779E7"/>
    <w:rsid w:val="00980BBD"/>
    <w:rsid w:val="00980C27"/>
    <w:rsid w:val="00981D6C"/>
    <w:rsid w:val="00982C81"/>
    <w:rsid w:val="009833A0"/>
    <w:rsid w:val="00983878"/>
    <w:rsid w:val="00984233"/>
    <w:rsid w:val="00985019"/>
    <w:rsid w:val="00985D8B"/>
    <w:rsid w:val="009868C3"/>
    <w:rsid w:val="00986F78"/>
    <w:rsid w:val="0098742B"/>
    <w:rsid w:val="00987966"/>
    <w:rsid w:val="00992596"/>
    <w:rsid w:val="009925C5"/>
    <w:rsid w:val="009925D8"/>
    <w:rsid w:val="00993071"/>
    <w:rsid w:val="009937E8"/>
    <w:rsid w:val="00993C0C"/>
    <w:rsid w:val="00994845"/>
    <w:rsid w:val="0099516A"/>
    <w:rsid w:val="00995D3A"/>
    <w:rsid w:val="00996961"/>
    <w:rsid w:val="00996CE3"/>
    <w:rsid w:val="009A08DC"/>
    <w:rsid w:val="009A1193"/>
    <w:rsid w:val="009A17FC"/>
    <w:rsid w:val="009A19D0"/>
    <w:rsid w:val="009A44F8"/>
    <w:rsid w:val="009A51B5"/>
    <w:rsid w:val="009A633E"/>
    <w:rsid w:val="009B00AF"/>
    <w:rsid w:val="009B0C59"/>
    <w:rsid w:val="009B1576"/>
    <w:rsid w:val="009B1662"/>
    <w:rsid w:val="009B1A90"/>
    <w:rsid w:val="009B20AA"/>
    <w:rsid w:val="009B2423"/>
    <w:rsid w:val="009B24C4"/>
    <w:rsid w:val="009B3634"/>
    <w:rsid w:val="009B3D4D"/>
    <w:rsid w:val="009B42FB"/>
    <w:rsid w:val="009B4575"/>
    <w:rsid w:val="009B5FA2"/>
    <w:rsid w:val="009C05E4"/>
    <w:rsid w:val="009C0A32"/>
    <w:rsid w:val="009C0B49"/>
    <w:rsid w:val="009C0E15"/>
    <w:rsid w:val="009C1B78"/>
    <w:rsid w:val="009C21FD"/>
    <w:rsid w:val="009C2C6D"/>
    <w:rsid w:val="009C40F0"/>
    <w:rsid w:val="009C45C5"/>
    <w:rsid w:val="009C48F0"/>
    <w:rsid w:val="009C54B3"/>
    <w:rsid w:val="009C6140"/>
    <w:rsid w:val="009C7563"/>
    <w:rsid w:val="009C7662"/>
    <w:rsid w:val="009C7D49"/>
    <w:rsid w:val="009D010A"/>
    <w:rsid w:val="009D0318"/>
    <w:rsid w:val="009D058C"/>
    <w:rsid w:val="009D0BBF"/>
    <w:rsid w:val="009D1128"/>
    <w:rsid w:val="009D139A"/>
    <w:rsid w:val="009D16FA"/>
    <w:rsid w:val="009D175D"/>
    <w:rsid w:val="009D1A60"/>
    <w:rsid w:val="009D3A04"/>
    <w:rsid w:val="009D58EF"/>
    <w:rsid w:val="009D5912"/>
    <w:rsid w:val="009D5F6A"/>
    <w:rsid w:val="009D6DCE"/>
    <w:rsid w:val="009D6E5D"/>
    <w:rsid w:val="009D743C"/>
    <w:rsid w:val="009D75F7"/>
    <w:rsid w:val="009D7E67"/>
    <w:rsid w:val="009E0B56"/>
    <w:rsid w:val="009E0B78"/>
    <w:rsid w:val="009E0EBB"/>
    <w:rsid w:val="009E1409"/>
    <w:rsid w:val="009E1887"/>
    <w:rsid w:val="009E24EB"/>
    <w:rsid w:val="009E2611"/>
    <w:rsid w:val="009E2CB9"/>
    <w:rsid w:val="009E2F8C"/>
    <w:rsid w:val="009E3412"/>
    <w:rsid w:val="009E357A"/>
    <w:rsid w:val="009E3A13"/>
    <w:rsid w:val="009E3B25"/>
    <w:rsid w:val="009E43C4"/>
    <w:rsid w:val="009E43D7"/>
    <w:rsid w:val="009E4891"/>
    <w:rsid w:val="009E4B9A"/>
    <w:rsid w:val="009E635B"/>
    <w:rsid w:val="009E69AF"/>
    <w:rsid w:val="009F0FA0"/>
    <w:rsid w:val="009F24C6"/>
    <w:rsid w:val="009F2CF8"/>
    <w:rsid w:val="009F2D08"/>
    <w:rsid w:val="009F3E94"/>
    <w:rsid w:val="009F4211"/>
    <w:rsid w:val="009F430E"/>
    <w:rsid w:val="009F43BF"/>
    <w:rsid w:val="009F43F3"/>
    <w:rsid w:val="009F52BA"/>
    <w:rsid w:val="009F57B3"/>
    <w:rsid w:val="009F5E50"/>
    <w:rsid w:val="009F5F3C"/>
    <w:rsid w:val="009F622F"/>
    <w:rsid w:val="009F69A0"/>
    <w:rsid w:val="009F6BFE"/>
    <w:rsid w:val="00A0064F"/>
    <w:rsid w:val="00A02E86"/>
    <w:rsid w:val="00A04195"/>
    <w:rsid w:val="00A04403"/>
    <w:rsid w:val="00A053E1"/>
    <w:rsid w:val="00A05EB8"/>
    <w:rsid w:val="00A06A5A"/>
    <w:rsid w:val="00A06B44"/>
    <w:rsid w:val="00A06CE6"/>
    <w:rsid w:val="00A07057"/>
    <w:rsid w:val="00A070F9"/>
    <w:rsid w:val="00A07722"/>
    <w:rsid w:val="00A1096B"/>
    <w:rsid w:val="00A11340"/>
    <w:rsid w:val="00A11D0A"/>
    <w:rsid w:val="00A12499"/>
    <w:rsid w:val="00A1262D"/>
    <w:rsid w:val="00A12652"/>
    <w:rsid w:val="00A12B38"/>
    <w:rsid w:val="00A12C43"/>
    <w:rsid w:val="00A12F97"/>
    <w:rsid w:val="00A133B2"/>
    <w:rsid w:val="00A14F45"/>
    <w:rsid w:val="00A1646F"/>
    <w:rsid w:val="00A177BA"/>
    <w:rsid w:val="00A17FFB"/>
    <w:rsid w:val="00A20493"/>
    <w:rsid w:val="00A2096E"/>
    <w:rsid w:val="00A21291"/>
    <w:rsid w:val="00A225DC"/>
    <w:rsid w:val="00A228A4"/>
    <w:rsid w:val="00A22975"/>
    <w:rsid w:val="00A2339B"/>
    <w:rsid w:val="00A24D9A"/>
    <w:rsid w:val="00A24E58"/>
    <w:rsid w:val="00A258AA"/>
    <w:rsid w:val="00A307A6"/>
    <w:rsid w:val="00A30FDC"/>
    <w:rsid w:val="00A31178"/>
    <w:rsid w:val="00A319AA"/>
    <w:rsid w:val="00A32411"/>
    <w:rsid w:val="00A32C52"/>
    <w:rsid w:val="00A32D56"/>
    <w:rsid w:val="00A33786"/>
    <w:rsid w:val="00A33FB1"/>
    <w:rsid w:val="00A342BA"/>
    <w:rsid w:val="00A34A34"/>
    <w:rsid w:val="00A35EBE"/>
    <w:rsid w:val="00A3648C"/>
    <w:rsid w:val="00A36B11"/>
    <w:rsid w:val="00A36D65"/>
    <w:rsid w:val="00A3778B"/>
    <w:rsid w:val="00A37864"/>
    <w:rsid w:val="00A37D35"/>
    <w:rsid w:val="00A40904"/>
    <w:rsid w:val="00A40CBE"/>
    <w:rsid w:val="00A448E9"/>
    <w:rsid w:val="00A455BF"/>
    <w:rsid w:val="00A460B8"/>
    <w:rsid w:val="00A467AA"/>
    <w:rsid w:val="00A46DFE"/>
    <w:rsid w:val="00A50670"/>
    <w:rsid w:val="00A5081B"/>
    <w:rsid w:val="00A52072"/>
    <w:rsid w:val="00A5285C"/>
    <w:rsid w:val="00A52A66"/>
    <w:rsid w:val="00A52DEC"/>
    <w:rsid w:val="00A52FAE"/>
    <w:rsid w:val="00A53C53"/>
    <w:rsid w:val="00A53E58"/>
    <w:rsid w:val="00A546DA"/>
    <w:rsid w:val="00A558EA"/>
    <w:rsid w:val="00A55C13"/>
    <w:rsid w:val="00A55D0F"/>
    <w:rsid w:val="00A568B8"/>
    <w:rsid w:val="00A60537"/>
    <w:rsid w:val="00A60B57"/>
    <w:rsid w:val="00A617BA"/>
    <w:rsid w:val="00A6192A"/>
    <w:rsid w:val="00A62C84"/>
    <w:rsid w:val="00A63143"/>
    <w:rsid w:val="00A63942"/>
    <w:rsid w:val="00A63CBF"/>
    <w:rsid w:val="00A65146"/>
    <w:rsid w:val="00A65210"/>
    <w:rsid w:val="00A6555F"/>
    <w:rsid w:val="00A657F4"/>
    <w:rsid w:val="00A66129"/>
    <w:rsid w:val="00A66D78"/>
    <w:rsid w:val="00A673B5"/>
    <w:rsid w:val="00A677AB"/>
    <w:rsid w:val="00A67ACB"/>
    <w:rsid w:val="00A70010"/>
    <w:rsid w:val="00A70696"/>
    <w:rsid w:val="00A70ED9"/>
    <w:rsid w:val="00A72BAE"/>
    <w:rsid w:val="00A73409"/>
    <w:rsid w:val="00A7412D"/>
    <w:rsid w:val="00A74C2A"/>
    <w:rsid w:val="00A756F1"/>
    <w:rsid w:val="00A76D30"/>
    <w:rsid w:val="00A77442"/>
    <w:rsid w:val="00A77DED"/>
    <w:rsid w:val="00A805EE"/>
    <w:rsid w:val="00A8135C"/>
    <w:rsid w:val="00A81ADF"/>
    <w:rsid w:val="00A81C50"/>
    <w:rsid w:val="00A81C61"/>
    <w:rsid w:val="00A81D6C"/>
    <w:rsid w:val="00A82874"/>
    <w:rsid w:val="00A83460"/>
    <w:rsid w:val="00A8346B"/>
    <w:rsid w:val="00A834ED"/>
    <w:rsid w:val="00A83D55"/>
    <w:rsid w:val="00A8593F"/>
    <w:rsid w:val="00A865AC"/>
    <w:rsid w:val="00A87203"/>
    <w:rsid w:val="00A879A5"/>
    <w:rsid w:val="00A87BE0"/>
    <w:rsid w:val="00A90247"/>
    <w:rsid w:val="00A9075F"/>
    <w:rsid w:val="00A92AFB"/>
    <w:rsid w:val="00A92D82"/>
    <w:rsid w:val="00A92FD2"/>
    <w:rsid w:val="00A93516"/>
    <w:rsid w:val="00A935C5"/>
    <w:rsid w:val="00A93694"/>
    <w:rsid w:val="00A9388E"/>
    <w:rsid w:val="00A945F4"/>
    <w:rsid w:val="00A94602"/>
    <w:rsid w:val="00A949C0"/>
    <w:rsid w:val="00A94A41"/>
    <w:rsid w:val="00A95AED"/>
    <w:rsid w:val="00A96ADC"/>
    <w:rsid w:val="00AA0DF4"/>
    <w:rsid w:val="00AA0F5E"/>
    <w:rsid w:val="00AA0F7D"/>
    <w:rsid w:val="00AA1804"/>
    <w:rsid w:val="00AA1C55"/>
    <w:rsid w:val="00AA2F66"/>
    <w:rsid w:val="00AA342B"/>
    <w:rsid w:val="00AA3D6F"/>
    <w:rsid w:val="00AA3F56"/>
    <w:rsid w:val="00AA3F64"/>
    <w:rsid w:val="00AA4886"/>
    <w:rsid w:val="00AA492C"/>
    <w:rsid w:val="00AA4F01"/>
    <w:rsid w:val="00AA51E8"/>
    <w:rsid w:val="00AA5886"/>
    <w:rsid w:val="00AA6348"/>
    <w:rsid w:val="00AA687C"/>
    <w:rsid w:val="00AA6E42"/>
    <w:rsid w:val="00AA6FC4"/>
    <w:rsid w:val="00AA703D"/>
    <w:rsid w:val="00AA755F"/>
    <w:rsid w:val="00AA7C0A"/>
    <w:rsid w:val="00AB07F8"/>
    <w:rsid w:val="00AB0A3A"/>
    <w:rsid w:val="00AB157D"/>
    <w:rsid w:val="00AB1E05"/>
    <w:rsid w:val="00AB2176"/>
    <w:rsid w:val="00AB291C"/>
    <w:rsid w:val="00AB2A3C"/>
    <w:rsid w:val="00AB2C98"/>
    <w:rsid w:val="00AB3378"/>
    <w:rsid w:val="00AB3422"/>
    <w:rsid w:val="00AB3F9C"/>
    <w:rsid w:val="00AB5550"/>
    <w:rsid w:val="00AB6D02"/>
    <w:rsid w:val="00AB7F62"/>
    <w:rsid w:val="00AC0262"/>
    <w:rsid w:val="00AC0FC8"/>
    <w:rsid w:val="00AC10C7"/>
    <w:rsid w:val="00AC147F"/>
    <w:rsid w:val="00AC150A"/>
    <w:rsid w:val="00AC222E"/>
    <w:rsid w:val="00AC2A05"/>
    <w:rsid w:val="00AC2BFB"/>
    <w:rsid w:val="00AC57C9"/>
    <w:rsid w:val="00AC6180"/>
    <w:rsid w:val="00AC6318"/>
    <w:rsid w:val="00AC67B2"/>
    <w:rsid w:val="00AC7D78"/>
    <w:rsid w:val="00AD009A"/>
    <w:rsid w:val="00AD011C"/>
    <w:rsid w:val="00AD05AB"/>
    <w:rsid w:val="00AD1535"/>
    <w:rsid w:val="00AD1632"/>
    <w:rsid w:val="00AD2656"/>
    <w:rsid w:val="00AD3292"/>
    <w:rsid w:val="00AD364B"/>
    <w:rsid w:val="00AD3D11"/>
    <w:rsid w:val="00AD46D0"/>
    <w:rsid w:val="00AD4B31"/>
    <w:rsid w:val="00AD5D12"/>
    <w:rsid w:val="00AD6086"/>
    <w:rsid w:val="00AD651C"/>
    <w:rsid w:val="00AD6C33"/>
    <w:rsid w:val="00AD703F"/>
    <w:rsid w:val="00AE006C"/>
    <w:rsid w:val="00AE043E"/>
    <w:rsid w:val="00AE0A55"/>
    <w:rsid w:val="00AE0C0A"/>
    <w:rsid w:val="00AE0C87"/>
    <w:rsid w:val="00AE13D6"/>
    <w:rsid w:val="00AE1DFC"/>
    <w:rsid w:val="00AE60CF"/>
    <w:rsid w:val="00AE643A"/>
    <w:rsid w:val="00AE68C2"/>
    <w:rsid w:val="00AE7552"/>
    <w:rsid w:val="00AE7C77"/>
    <w:rsid w:val="00AE7D00"/>
    <w:rsid w:val="00AF092D"/>
    <w:rsid w:val="00AF1A84"/>
    <w:rsid w:val="00AF1AE5"/>
    <w:rsid w:val="00AF24A1"/>
    <w:rsid w:val="00AF2B1B"/>
    <w:rsid w:val="00AF3360"/>
    <w:rsid w:val="00AF33A3"/>
    <w:rsid w:val="00AF3425"/>
    <w:rsid w:val="00AF469E"/>
    <w:rsid w:val="00AF473A"/>
    <w:rsid w:val="00AF47B8"/>
    <w:rsid w:val="00AF577D"/>
    <w:rsid w:val="00AF6068"/>
    <w:rsid w:val="00AF624D"/>
    <w:rsid w:val="00AF6D81"/>
    <w:rsid w:val="00AF6E41"/>
    <w:rsid w:val="00AF7BA4"/>
    <w:rsid w:val="00B005B0"/>
    <w:rsid w:val="00B0078E"/>
    <w:rsid w:val="00B008F7"/>
    <w:rsid w:val="00B01AF8"/>
    <w:rsid w:val="00B01C1E"/>
    <w:rsid w:val="00B02415"/>
    <w:rsid w:val="00B027D2"/>
    <w:rsid w:val="00B02FA3"/>
    <w:rsid w:val="00B03D32"/>
    <w:rsid w:val="00B04D4C"/>
    <w:rsid w:val="00B04EC9"/>
    <w:rsid w:val="00B05231"/>
    <w:rsid w:val="00B065B8"/>
    <w:rsid w:val="00B068BA"/>
    <w:rsid w:val="00B06955"/>
    <w:rsid w:val="00B06C9B"/>
    <w:rsid w:val="00B10C98"/>
    <w:rsid w:val="00B110D1"/>
    <w:rsid w:val="00B1165D"/>
    <w:rsid w:val="00B148F1"/>
    <w:rsid w:val="00B14916"/>
    <w:rsid w:val="00B14B3E"/>
    <w:rsid w:val="00B15D43"/>
    <w:rsid w:val="00B16593"/>
    <w:rsid w:val="00B16EBF"/>
    <w:rsid w:val="00B16F1A"/>
    <w:rsid w:val="00B17171"/>
    <w:rsid w:val="00B17BC4"/>
    <w:rsid w:val="00B17FAA"/>
    <w:rsid w:val="00B20E5A"/>
    <w:rsid w:val="00B210A1"/>
    <w:rsid w:val="00B216E4"/>
    <w:rsid w:val="00B221C6"/>
    <w:rsid w:val="00B2277D"/>
    <w:rsid w:val="00B2306A"/>
    <w:rsid w:val="00B24440"/>
    <w:rsid w:val="00B249EC"/>
    <w:rsid w:val="00B24BEA"/>
    <w:rsid w:val="00B24F0D"/>
    <w:rsid w:val="00B261DD"/>
    <w:rsid w:val="00B26C1F"/>
    <w:rsid w:val="00B27379"/>
    <w:rsid w:val="00B2771D"/>
    <w:rsid w:val="00B27B97"/>
    <w:rsid w:val="00B30548"/>
    <w:rsid w:val="00B3084A"/>
    <w:rsid w:val="00B30E57"/>
    <w:rsid w:val="00B30F03"/>
    <w:rsid w:val="00B31D6F"/>
    <w:rsid w:val="00B3203E"/>
    <w:rsid w:val="00B32068"/>
    <w:rsid w:val="00B33E72"/>
    <w:rsid w:val="00B342C7"/>
    <w:rsid w:val="00B34389"/>
    <w:rsid w:val="00B34938"/>
    <w:rsid w:val="00B349EA"/>
    <w:rsid w:val="00B34CD4"/>
    <w:rsid w:val="00B35A5A"/>
    <w:rsid w:val="00B35D5E"/>
    <w:rsid w:val="00B371DF"/>
    <w:rsid w:val="00B375C9"/>
    <w:rsid w:val="00B37B48"/>
    <w:rsid w:val="00B4032F"/>
    <w:rsid w:val="00B40DCD"/>
    <w:rsid w:val="00B4182D"/>
    <w:rsid w:val="00B41CEE"/>
    <w:rsid w:val="00B42B19"/>
    <w:rsid w:val="00B431D8"/>
    <w:rsid w:val="00B471A7"/>
    <w:rsid w:val="00B47870"/>
    <w:rsid w:val="00B47E8E"/>
    <w:rsid w:val="00B50CB0"/>
    <w:rsid w:val="00B50DF3"/>
    <w:rsid w:val="00B510A8"/>
    <w:rsid w:val="00B5119C"/>
    <w:rsid w:val="00B5166A"/>
    <w:rsid w:val="00B51752"/>
    <w:rsid w:val="00B51B2A"/>
    <w:rsid w:val="00B52D7F"/>
    <w:rsid w:val="00B536F0"/>
    <w:rsid w:val="00B54CDD"/>
    <w:rsid w:val="00B54E79"/>
    <w:rsid w:val="00B556CA"/>
    <w:rsid w:val="00B55C76"/>
    <w:rsid w:val="00B55F43"/>
    <w:rsid w:val="00B57DEC"/>
    <w:rsid w:val="00B57ECE"/>
    <w:rsid w:val="00B57F81"/>
    <w:rsid w:val="00B628F0"/>
    <w:rsid w:val="00B62AAE"/>
    <w:rsid w:val="00B62FF6"/>
    <w:rsid w:val="00B63658"/>
    <w:rsid w:val="00B63659"/>
    <w:rsid w:val="00B63F4A"/>
    <w:rsid w:val="00B64E32"/>
    <w:rsid w:val="00B656DF"/>
    <w:rsid w:val="00B65C16"/>
    <w:rsid w:val="00B65DB3"/>
    <w:rsid w:val="00B6668F"/>
    <w:rsid w:val="00B66E01"/>
    <w:rsid w:val="00B67333"/>
    <w:rsid w:val="00B67D7A"/>
    <w:rsid w:val="00B709FC"/>
    <w:rsid w:val="00B71253"/>
    <w:rsid w:val="00B71462"/>
    <w:rsid w:val="00B71A35"/>
    <w:rsid w:val="00B71E19"/>
    <w:rsid w:val="00B7224C"/>
    <w:rsid w:val="00B72477"/>
    <w:rsid w:val="00B72955"/>
    <w:rsid w:val="00B72C7A"/>
    <w:rsid w:val="00B731C8"/>
    <w:rsid w:val="00B74258"/>
    <w:rsid w:val="00B74681"/>
    <w:rsid w:val="00B74819"/>
    <w:rsid w:val="00B74954"/>
    <w:rsid w:val="00B756AC"/>
    <w:rsid w:val="00B7734A"/>
    <w:rsid w:val="00B8077C"/>
    <w:rsid w:val="00B809FA"/>
    <w:rsid w:val="00B8266E"/>
    <w:rsid w:val="00B82B0A"/>
    <w:rsid w:val="00B83BFC"/>
    <w:rsid w:val="00B83C20"/>
    <w:rsid w:val="00B84165"/>
    <w:rsid w:val="00B85045"/>
    <w:rsid w:val="00B8602B"/>
    <w:rsid w:val="00B86477"/>
    <w:rsid w:val="00B8651D"/>
    <w:rsid w:val="00B86829"/>
    <w:rsid w:val="00B8747C"/>
    <w:rsid w:val="00B90126"/>
    <w:rsid w:val="00B904DA"/>
    <w:rsid w:val="00B907ED"/>
    <w:rsid w:val="00B90D91"/>
    <w:rsid w:val="00B90DF5"/>
    <w:rsid w:val="00B921D1"/>
    <w:rsid w:val="00B93163"/>
    <w:rsid w:val="00B93FE7"/>
    <w:rsid w:val="00B9420C"/>
    <w:rsid w:val="00B94709"/>
    <w:rsid w:val="00B94D82"/>
    <w:rsid w:val="00B94ED4"/>
    <w:rsid w:val="00B95350"/>
    <w:rsid w:val="00B95CB2"/>
    <w:rsid w:val="00BA18C8"/>
    <w:rsid w:val="00BA1DE0"/>
    <w:rsid w:val="00BA22FF"/>
    <w:rsid w:val="00BA25B5"/>
    <w:rsid w:val="00BA3829"/>
    <w:rsid w:val="00BA39F1"/>
    <w:rsid w:val="00BA3A7A"/>
    <w:rsid w:val="00BA4FA7"/>
    <w:rsid w:val="00BA5D22"/>
    <w:rsid w:val="00BA6721"/>
    <w:rsid w:val="00BA6CF3"/>
    <w:rsid w:val="00BA720D"/>
    <w:rsid w:val="00BA7C03"/>
    <w:rsid w:val="00BA7C58"/>
    <w:rsid w:val="00BA7F31"/>
    <w:rsid w:val="00BB0812"/>
    <w:rsid w:val="00BB11CD"/>
    <w:rsid w:val="00BB126E"/>
    <w:rsid w:val="00BB1272"/>
    <w:rsid w:val="00BB153D"/>
    <w:rsid w:val="00BB2EA3"/>
    <w:rsid w:val="00BB3CFE"/>
    <w:rsid w:val="00BB3F53"/>
    <w:rsid w:val="00BB3FA3"/>
    <w:rsid w:val="00BB4381"/>
    <w:rsid w:val="00BB4E24"/>
    <w:rsid w:val="00BB5D17"/>
    <w:rsid w:val="00BB635C"/>
    <w:rsid w:val="00BB6468"/>
    <w:rsid w:val="00BB6554"/>
    <w:rsid w:val="00BB67B5"/>
    <w:rsid w:val="00BB688F"/>
    <w:rsid w:val="00BC17D7"/>
    <w:rsid w:val="00BC23CA"/>
    <w:rsid w:val="00BC25C5"/>
    <w:rsid w:val="00BC2CFF"/>
    <w:rsid w:val="00BC2D14"/>
    <w:rsid w:val="00BC3043"/>
    <w:rsid w:val="00BC324C"/>
    <w:rsid w:val="00BC33B0"/>
    <w:rsid w:val="00BC3429"/>
    <w:rsid w:val="00BC37EC"/>
    <w:rsid w:val="00BC38F0"/>
    <w:rsid w:val="00BC4457"/>
    <w:rsid w:val="00BC46B5"/>
    <w:rsid w:val="00BC709B"/>
    <w:rsid w:val="00BC7490"/>
    <w:rsid w:val="00BD03A1"/>
    <w:rsid w:val="00BD0EBC"/>
    <w:rsid w:val="00BD0F6F"/>
    <w:rsid w:val="00BD1E1D"/>
    <w:rsid w:val="00BD23F2"/>
    <w:rsid w:val="00BD3151"/>
    <w:rsid w:val="00BD365E"/>
    <w:rsid w:val="00BD4C25"/>
    <w:rsid w:val="00BD5813"/>
    <w:rsid w:val="00BD5AA4"/>
    <w:rsid w:val="00BD5F2B"/>
    <w:rsid w:val="00BD666A"/>
    <w:rsid w:val="00BD6D62"/>
    <w:rsid w:val="00BD7B32"/>
    <w:rsid w:val="00BD7ED7"/>
    <w:rsid w:val="00BD7F41"/>
    <w:rsid w:val="00BE141B"/>
    <w:rsid w:val="00BE1D72"/>
    <w:rsid w:val="00BE36EC"/>
    <w:rsid w:val="00BE3BCC"/>
    <w:rsid w:val="00BE3C98"/>
    <w:rsid w:val="00BE4241"/>
    <w:rsid w:val="00BE444F"/>
    <w:rsid w:val="00BE48FF"/>
    <w:rsid w:val="00BE4A5A"/>
    <w:rsid w:val="00BE521B"/>
    <w:rsid w:val="00BE5624"/>
    <w:rsid w:val="00BE6492"/>
    <w:rsid w:val="00BE688A"/>
    <w:rsid w:val="00BE714E"/>
    <w:rsid w:val="00BE74C6"/>
    <w:rsid w:val="00BE7E3E"/>
    <w:rsid w:val="00BF02FA"/>
    <w:rsid w:val="00BF1815"/>
    <w:rsid w:val="00BF20A3"/>
    <w:rsid w:val="00BF4515"/>
    <w:rsid w:val="00BF4EFF"/>
    <w:rsid w:val="00BF56E2"/>
    <w:rsid w:val="00BF6669"/>
    <w:rsid w:val="00BF678B"/>
    <w:rsid w:val="00BF796C"/>
    <w:rsid w:val="00BF7B7E"/>
    <w:rsid w:val="00C00021"/>
    <w:rsid w:val="00C000E6"/>
    <w:rsid w:val="00C00664"/>
    <w:rsid w:val="00C0086E"/>
    <w:rsid w:val="00C01005"/>
    <w:rsid w:val="00C01F2C"/>
    <w:rsid w:val="00C0216C"/>
    <w:rsid w:val="00C0301C"/>
    <w:rsid w:val="00C033A9"/>
    <w:rsid w:val="00C039CE"/>
    <w:rsid w:val="00C03D1D"/>
    <w:rsid w:val="00C05A4E"/>
    <w:rsid w:val="00C05E78"/>
    <w:rsid w:val="00C06327"/>
    <w:rsid w:val="00C064DB"/>
    <w:rsid w:val="00C06515"/>
    <w:rsid w:val="00C0708F"/>
    <w:rsid w:val="00C11088"/>
    <w:rsid w:val="00C13052"/>
    <w:rsid w:val="00C13482"/>
    <w:rsid w:val="00C13A37"/>
    <w:rsid w:val="00C13D14"/>
    <w:rsid w:val="00C13FCC"/>
    <w:rsid w:val="00C1535D"/>
    <w:rsid w:val="00C16EE0"/>
    <w:rsid w:val="00C17894"/>
    <w:rsid w:val="00C17D3D"/>
    <w:rsid w:val="00C17F02"/>
    <w:rsid w:val="00C209EA"/>
    <w:rsid w:val="00C21011"/>
    <w:rsid w:val="00C21816"/>
    <w:rsid w:val="00C22202"/>
    <w:rsid w:val="00C22EB2"/>
    <w:rsid w:val="00C23AF4"/>
    <w:rsid w:val="00C23E94"/>
    <w:rsid w:val="00C240E6"/>
    <w:rsid w:val="00C24893"/>
    <w:rsid w:val="00C24C18"/>
    <w:rsid w:val="00C25163"/>
    <w:rsid w:val="00C25592"/>
    <w:rsid w:val="00C2562F"/>
    <w:rsid w:val="00C25A0D"/>
    <w:rsid w:val="00C26505"/>
    <w:rsid w:val="00C26650"/>
    <w:rsid w:val="00C26799"/>
    <w:rsid w:val="00C272FE"/>
    <w:rsid w:val="00C30992"/>
    <w:rsid w:val="00C30C96"/>
    <w:rsid w:val="00C312A3"/>
    <w:rsid w:val="00C316B0"/>
    <w:rsid w:val="00C3189C"/>
    <w:rsid w:val="00C32A0F"/>
    <w:rsid w:val="00C33198"/>
    <w:rsid w:val="00C344BF"/>
    <w:rsid w:val="00C34B30"/>
    <w:rsid w:val="00C34E01"/>
    <w:rsid w:val="00C3648F"/>
    <w:rsid w:val="00C3664B"/>
    <w:rsid w:val="00C36A76"/>
    <w:rsid w:val="00C37359"/>
    <w:rsid w:val="00C41E77"/>
    <w:rsid w:val="00C422CC"/>
    <w:rsid w:val="00C43186"/>
    <w:rsid w:val="00C43E99"/>
    <w:rsid w:val="00C43F99"/>
    <w:rsid w:val="00C4403E"/>
    <w:rsid w:val="00C447E6"/>
    <w:rsid w:val="00C44D1A"/>
    <w:rsid w:val="00C45286"/>
    <w:rsid w:val="00C4552F"/>
    <w:rsid w:val="00C459C0"/>
    <w:rsid w:val="00C45E12"/>
    <w:rsid w:val="00C461AB"/>
    <w:rsid w:val="00C462D8"/>
    <w:rsid w:val="00C466DF"/>
    <w:rsid w:val="00C46A65"/>
    <w:rsid w:val="00C46EF4"/>
    <w:rsid w:val="00C473D1"/>
    <w:rsid w:val="00C47A15"/>
    <w:rsid w:val="00C50DDE"/>
    <w:rsid w:val="00C515D7"/>
    <w:rsid w:val="00C51A5D"/>
    <w:rsid w:val="00C51AD7"/>
    <w:rsid w:val="00C5233E"/>
    <w:rsid w:val="00C52805"/>
    <w:rsid w:val="00C5329E"/>
    <w:rsid w:val="00C537C7"/>
    <w:rsid w:val="00C53A0F"/>
    <w:rsid w:val="00C53A84"/>
    <w:rsid w:val="00C540FF"/>
    <w:rsid w:val="00C54F12"/>
    <w:rsid w:val="00C55B0B"/>
    <w:rsid w:val="00C55F93"/>
    <w:rsid w:val="00C562BD"/>
    <w:rsid w:val="00C562C0"/>
    <w:rsid w:val="00C5630C"/>
    <w:rsid w:val="00C5694E"/>
    <w:rsid w:val="00C56D2E"/>
    <w:rsid w:val="00C571E4"/>
    <w:rsid w:val="00C6075F"/>
    <w:rsid w:val="00C609A9"/>
    <w:rsid w:val="00C60E95"/>
    <w:rsid w:val="00C60F8E"/>
    <w:rsid w:val="00C61091"/>
    <w:rsid w:val="00C61D40"/>
    <w:rsid w:val="00C61F55"/>
    <w:rsid w:val="00C62860"/>
    <w:rsid w:val="00C62C21"/>
    <w:rsid w:val="00C62D5C"/>
    <w:rsid w:val="00C62E6C"/>
    <w:rsid w:val="00C63005"/>
    <w:rsid w:val="00C63133"/>
    <w:rsid w:val="00C63BD4"/>
    <w:rsid w:val="00C63DD2"/>
    <w:rsid w:val="00C64072"/>
    <w:rsid w:val="00C65647"/>
    <w:rsid w:val="00C656B1"/>
    <w:rsid w:val="00C65D59"/>
    <w:rsid w:val="00C6609C"/>
    <w:rsid w:val="00C6616D"/>
    <w:rsid w:val="00C6661B"/>
    <w:rsid w:val="00C66B1D"/>
    <w:rsid w:val="00C673C5"/>
    <w:rsid w:val="00C67708"/>
    <w:rsid w:val="00C67B58"/>
    <w:rsid w:val="00C67CCA"/>
    <w:rsid w:val="00C70719"/>
    <w:rsid w:val="00C7099B"/>
    <w:rsid w:val="00C7164E"/>
    <w:rsid w:val="00C72B7A"/>
    <w:rsid w:val="00C72F87"/>
    <w:rsid w:val="00C741B8"/>
    <w:rsid w:val="00C7427C"/>
    <w:rsid w:val="00C74D84"/>
    <w:rsid w:val="00C7536A"/>
    <w:rsid w:val="00C75394"/>
    <w:rsid w:val="00C759D2"/>
    <w:rsid w:val="00C7661E"/>
    <w:rsid w:val="00C77069"/>
    <w:rsid w:val="00C77D01"/>
    <w:rsid w:val="00C77FC3"/>
    <w:rsid w:val="00C80E38"/>
    <w:rsid w:val="00C82E9A"/>
    <w:rsid w:val="00C84DD5"/>
    <w:rsid w:val="00C84F53"/>
    <w:rsid w:val="00C86242"/>
    <w:rsid w:val="00C862BA"/>
    <w:rsid w:val="00C87D37"/>
    <w:rsid w:val="00C90B2F"/>
    <w:rsid w:val="00C91559"/>
    <w:rsid w:val="00C9222C"/>
    <w:rsid w:val="00C928B1"/>
    <w:rsid w:val="00C92902"/>
    <w:rsid w:val="00C92A8F"/>
    <w:rsid w:val="00C93686"/>
    <w:rsid w:val="00C9433A"/>
    <w:rsid w:val="00C96F44"/>
    <w:rsid w:val="00C97480"/>
    <w:rsid w:val="00C97CDB"/>
    <w:rsid w:val="00CA09D8"/>
    <w:rsid w:val="00CA1209"/>
    <w:rsid w:val="00CA14E6"/>
    <w:rsid w:val="00CA1DCF"/>
    <w:rsid w:val="00CA277B"/>
    <w:rsid w:val="00CA31EC"/>
    <w:rsid w:val="00CA3790"/>
    <w:rsid w:val="00CA5378"/>
    <w:rsid w:val="00CA59C0"/>
    <w:rsid w:val="00CA6239"/>
    <w:rsid w:val="00CA6955"/>
    <w:rsid w:val="00CA7917"/>
    <w:rsid w:val="00CB038C"/>
    <w:rsid w:val="00CB0BE1"/>
    <w:rsid w:val="00CB0D10"/>
    <w:rsid w:val="00CB11BA"/>
    <w:rsid w:val="00CB183F"/>
    <w:rsid w:val="00CB1BCB"/>
    <w:rsid w:val="00CB2802"/>
    <w:rsid w:val="00CB2B6B"/>
    <w:rsid w:val="00CB3530"/>
    <w:rsid w:val="00CB37AF"/>
    <w:rsid w:val="00CB43E7"/>
    <w:rsid w:val="00CB4793"/>
    <w:rsid w:val="00CB4875"/>
    <w:rsid w:val="00CB56AC"/>
    <w:rsid w:val="00CB5AF5"/>
    <w:rsid w:val="00CB5BEC"/>
    <w:rsid w:val="00CB5F62"/>
    <w:rsid w:val="00CB6186"/>
    <w:rsid w:val="00CB6945"/>
    <w:rsid w:val="00CB7468"/>
    <w:rsid w:val="00CB760D"/>
    <w:rsid w:val="00CB7820"/>
    <w:rsid w:val="00CC0141"/>
    <w:rsid w:val="00CC01A6"/>
    <w:rsid w:val="00CC02D3"/>
    <w:rsid w:val="00CC07D2"/>
    <w:rsid w:val="00CC0B37"/>
    <w:rsid w:val="00CC0F9D"/>
    <w:rsid w:val="00CC370E"/>
    <w:rsid w:val="00CC3F59"/>
    <w:rsid w:val="00CC543E"/>
    <w:rsid w:val="00CC546F"/>
    <w:rsid w:val="00CC5ED1"/>
    <w:rsid w:val="00CC5EF0"/>
    <w:rsid w:val="00CC61DD"/>
    <w:rsid w:val="00CC62BA"/>
    <w:rsid w:val="00CC6818"/>
    <w:rsid w:val="00CC6B90"/>
    <w:rsid w:val="00CC7B6E"/>
    <w:rsid w:val="00CC7C25"/>
    <w:rsid w:val="00CC7EB5"/>
    <w:rsid w:val="00CD03FA"/>
    <w:rsid w:val="00CD0697"/>
    <w:rsid w:val="00CD082F"/>
    <w:rsid w:val="00CD2A43"/>
    <w:rsid w:val="00CD2A4D"/>
    <w:rsid w:val="00CD2AE4"/>
    <w:rsid w:val="00CD2D64"/>
    <w:rsid w:val="00CD3458"/>
    <w:rsid w:val="00CD49EA"/>
    <w:rsid w:val="00CD4DF1"/>
    <w:rsid w:val="00CD4E36"/>
    <w:rsid w:val="00CD4EF3"/>
    <w:rsid w:val="00CD59FB"/>
    <w:rsid w:val="00CD5D33"/>
    <w:rsid w:val="00CD5EFC"/>
    <w:rsid w:val="00CD6E43"/>
    <w:rsid w:val="00CD70B9"/>
    <w:rsid w:val="00CD7D24"/>
    <w:rsid w:val="00CD7D87"/>
    <w:rsid w:val="00CE3168"/>
    <w:rsid w:val="00CE31EF"/>
    <w:rsid w:val="00CE3341"/>
    <w:rsid w:val="00CE44F8"/>
    <w:rsid w:val="00CE5377"/>
    <w:rsid w:val="00CE53AD"/>
    <w:rsid w:val="00CE66BB"/>
    <w:rsid w:val="00CE6EEF"/>
    <w:rsid w:val="00CE7E77"/>
    <w:rsid w:val="00CE7F51"/>
    <w:rsid w:val="00CF0E54"/>
    <w:rsid w:val="00CF1023"/>
    <w:rsid w:val="00CF10D6"/>
    <w:rsid w:val="00CF1547"/>
    <w:rsid w:val="00CF1DF2"/>
    <w:rsid w:val="00CF2B9C"/>
    <w:rsid w:val="00CF2C91"/>
    <w:rsid w:val="00CF3C9D"/>
    <w:rsid w:val="00CF4C68"/>
    <w:rsid w:val="00CF5E56"/>
    <w:rsid w:val="00CF6263"/>
    <w:rsid w:val="00CF69E5"/>
    <w:rsid w:val="00D003BA"/>
    <w:rsid w:val="00D01347"/>
    <w:rsid w:val="00D01404"/>
    <w:rsid w:val="00D0154D"/>
    <w:rsid w:val="00D01D6D"/>
    <w:rsid w:val="00D0278C"/>
    <w:rsid w:val="00D02C2B"/>
    <w:rsid w:val="00D02CFD"/>
    <w:rsid w:val="00D03AD0"/>
    <w:rsid w:val="00D045C2"/>
    <w:rsid w:val="00D04DAF"/>
    <w:rsid w:val="00D05802"/>
    <w:rsid w:val="00D059FD"/>
    <w:rsid w:val="00D064F8"/>
    <w:rsid w:val="00D07F48"/>
    <w:rsid w:val="00D10844"/>
    <w:rsid w:val="00D11193"/>
    <w:rsid w:val="00D1162E"/>
    <w:rsid w:val="00D122D9"/>
    <w:rsid w:val="00D12476"/>
    <w:rsid w:val="00D14702"/>
    <w:rsid w:val="00D14AE3"/>
    <w:rsid w:val="00D158F9"/>
    <w:rsid w:val="00D15C0C"/>
    <w:rsid w:val="00D16AED"/>
    <w:rsid w:val="00D17200"/>
    <w:rsid w:val="00D2029F"/>
    <w:rsid w:val="00D20AA1"/>
    <w:rsid w:val="00D20C0D"/>
    <w:rsid w:val="00D21C5B"/>
    <w:rsid w:val="00D225F7"/>
    <w:rsid w:val="00D228A2"/>
    <w:rsid w:val="00D22C4B"/>
    <w:rsid w:val="00D23B16"/>
    <w:rsid w:val="00D23CBF"/>
    <w:rsid w:val="00D246F9"/>
    <w:rsid w:val="00D25EEC"/>
    <w:rsid w:val="00D26986"/>
    <w:rsid w:val="00D3345E"/>
    <w:rsid w:val="00D33980"/>
    <w:rsid w:val="00D3445B"/>
    <w:rsid w:val="00D351F1"/>
    <w:rsid w:val="00D36C34"/>
    <w:rsid w:val="00D3767D"/>
    <w:rsid w:val="00D40405"/>
    <w:rsid w:val="00D40628"/>
    <w:rsid w:val="00D40839"/>
    <w:rsid w:val="00D40CFC"/>
    <w:rsid w:val="00D40F53"/>
    <w:rsid w:val="00D414FB"/>
    <w:rsid w:val="00D419DD"/>
    <w:rsid w:val="00D41CA2"/>
    <w:rsid w:val="00D41D91"/>
    <w:rsid w:val="00D41EF6"/>
    <w:rsid w:val="00D426EA"/>
    <w:rsid w:val="00D42CF0"/>
    <w:rsid w:val="00D4388E"/>
    <w:rsid w:val="00D446BE"/>
    <w:rsid w:val="00D44D21"/>
    <w:rsid w:val="00D44E4F"/>
    <w:rsid w:val="00D44FA1"/>
    <w:rsid w:val="00D45061"/>
    <w:rsid w:val="00D4563F"/>
    <w:rsid w:val="00D46C10"/>
    <w:rsid w:val="00D4705B"/>
    <w:rsid w:val="00D47931"/>
    <w:rsid w:val="00D503F9"/>
    <w:rsid w:val="00D50594"/>
    <w:rsid w:val="00D51727"/>
    <w:rsid w:val="00D525E9"/>
    <w:rsid w:val="00D52699"/>
    <w:rsid w:val="00D563BC"/>
    <w:rsid w:val="00D567D7"/>
    <w:rsid w:val="00D56AEA"/>
    <w:rsid w:val="00D56CEB"/>
    <w:rsid w:val="00D56F34"/>
    <w:rsid w:val="00D60972"/>
    <w:rsid w:val="00D60D0E"/>
    <w:rsid w:val="00D61C07"/>
    <w:rsid w:val="00D61CF5"/>
    <w:rsid w:val="00D638F2"/>
    <w:rsid w:val="00D644A7"/>
    <w:rsid w:val="00D656B9"/>
    <w:rsid w:val="00D65EE5"/>
    <w:rsid w:val="00D66061"/>
    <w:rsid w:val="00D66243"/>
    <w:rsid w:val="00D66A18"/>
    <w:rsid w:val="00D67291"/>
    <w:rsid w:val="00D6734A"/>
    <w:rsid w:val="00D674B4"/>
    <w:rsid w:val="00D67912"/>
    <w:rsid w:val="00D67DE2"/>
    <w:rsid w:val="00D7079E"/>
    <w:rsid w:val="00D71E4C"/>
    <w:rsid w:val="00D72940"/>
    <w:rsid w:val="00D72E68"/>
    <w:rsid w:val="00D75299"/>
    <w:rsid w:val="00D75421"/>
    <w:rsid w:val="00D75925"/>
    <w:rsid w:val="00D76074"/>
    <w:rsid w:val="00D7631C"/>
    <w:rsid w:val="00D804F7"/>
    <w:rsid w:val="00D830B6"/>
    <w:rsid w:val="00D83CB0"/>
    <w:rsid w:val="00D83E7E"/>
    <w:rsid w:val="00D852D5"/>
    <w:rsid w:val="00D8583B"/>
    <w:rsid w:val="00D8644D"/>
    <w:rsid w:val="00D86912"/>
    <w:rsid w:val="00D87D0C"/>
    <w:rsid w:val="00D90128"/>
    <w:rsid w:val="00D90508"/>
    <w:rsid w:val="00D90B33"/>
    <w:rsid w:val="00D9200A"/>
    <w:rsid w:val="00D941BE"/>
    <w:rsid w:val="00D943BC"/>
    <w:rsid w:val="00D94691"/>
    <w:rsid w:val="00D95396"/>
    <w:rsid w:val="00D961D0"/>
    <w:rsid w:val="00D96D27"/>
    <w:rsid w:val="00DA00A4"/>
    <w:rsid w:val="00DA024C"/>
    <w:rsid w:val="00DA0627"/>
    <w:rsid w:val="00DA0806"/>
    <w:rsid w:val="00DA0862"/>
    <w:rsid w:val="00DA0870"/>
    <w:rsid w:val="00DA11E3"/>
    <w:rsid w:val="00DA11FE"/>
    <w:rsid w:val="00DA16B6"/>
    <w:rsid w:val="00DA1ACC"/>
    <w:rsid w:val="00DA1F75"/>
    <w:rsid w:val="00DA28D0"/>
    <w:rsid w:val="00DA2DA1"/>
    <w:rsid w:val="00DA3C94"/>
    <w:rsid w:val="00DA3F6E"/>
    <w:rsid w:val="00DA4DBD"/>
    <w:rsid w:val="00DA5485"/>
    <w:rsid w:val="00DA6065"/>
    <w:rsid w:val="00DA61F0"/>
    <w:rsid w:val="00DA6644"/>
    <w:rsid w:val="00DA666A"/>
    <w:rsid w:val="00DA690A"/>
    <w:rsid w:val="00DA69E6"/>
    <w:rsid w:val="00DA6CFE"/>
    <w:rsid w:val="00DA7379"/>
    <w:rsid w:val="00DB05D0"/>
    <w:rsid w:val="00DB071F"/>
    <w:rsid w:val="00DB23B2"/>
    <w:rsid w:val="00DB32A2"/>
    <w:rsid w:val="00DB3F05"/>
    <w:rsid w:val="00DB437B"/>
    <w:rsid w:val="00DB4D3A"/>
    <w:rsid w:val="00DB5D07"/>
    <w:rsid w:val="00DB69DA"/>
    <w:rsid w:val="00DB7B6D"/>
    <w:rsid w:val="00DC01C8"/>
    <w:rsid w:val="00DC02A5"/>
    <w:rsid w:val="00DC0688"/>
    <w:rsid w:val="00DC0845"/>
    <w:rsid w:val="00DC09A1"/>
    <w:rsid w:val="00DC0F19"/>
    <w:rsid w:val="00DC12C8"/>
    <w:rsid w:val="00DC1410"/>
    <w:rsid w:val="00DC141F"/>
    <w:rsid w:val="00DC15B0"/>
    <w:rsid w:val="00DC1A8A"/>
    <w:rsid w:val="00DC1DA1"/>
    <w:rsid w:val="00DC2927"/>
    <w:rsid w:val="00DC2E5D"/>
    <w:rsid w:val="00DC3750"/>
    <w:rsid w:val="00DC435D"/>
    <w:rsid w:val="00DC5201"/>
    <w:rsid w:val="00DC63F4"/>
    <w:rsid w:val="00DC6C50"/>
    <w:rsid w:val="00DC6F4F"/>
    <w:rsid w:val="00DC7D9A"/>
    <w:rsid w:val="00DD04A4"/>
    <w:rsid w:val="00DD1030"/>
    <w:rsid w:val="00DD1437"/>
    <w:rsid w:val="00DD201C"/>
    <w:rsid w:val="00DD3039"/>
    <w:rsid w:val="00DD393F"/>
    <w:rsid w:val="00DD4747"/>
    <w:rsid w:val="00DD481B"/>
    <w:rsid w:val="00DD4D91"/>
    <w:rsid w:val="00DD55E9"/>
    <w:rsid w:val="00DD5637"/>
    <w:rsid w:val="00DD56B9"/>
    <w:rsid w:val="00DD59D2"/>
    <w:rsid w:val="00DD59D8"/>
    <w:rsid w:val="00DD5EFC"/>
    <w:rsid w:val="00DD7397"/>
    <w:rsid w:val="00DD755F"/>
    <w:rsid w:val="00DD7CCB"/>
    <w:rsid w:val="00DD7CDC"/>
    <w:rsid w:val="00DD7EB5"/>
    <w:rsid w:val="00DE0E23"/>
    <w:rsid w:val="00DE114E"/>
    <w:rsid w:val="00DE1531"/>
    <w:rsid w:val="00DE16D9"/>
    <w:rsid w:val="00DE36B0"/>
    <w:rsid w:val="00DE38FB"/>
    <w:rsid w:val="00DE3C1D"/>
    <w:rsid w:val="00DE3E5C"/>
    <w:rsid w:val="00DE46FE"/>
    <w:rsid w:val="00DE4789"/>
    <w:rsid w:val="00DE4AE0"/>
    <w:rsid w:val="00DE4DFE"/>
    <w:rsid w:val="00DE5EF5"/>
    <w:rsid w:val="00DE6D54"/>
    <w:rsid w:val="00DE7037"/>
    <w:rsid w:val="00DE7732"/>
    <w:rsid w:val="00DE7966"/>
    <w:rsid w:val="00DF0CA8"/>
    <w:rsid w:val="00DF0E01"/>
    <w:rsid w:val="00DF11B5"/>
    <w:rsid w:val="00DF12AB"/>
    <w:rsid w:val="00DF15BC"/>
    <w:rsid w:val="00DF1B79"/>
    <w:rsid w:val="00DF1D1C"/>
    <w:rsid w:val="00DF221B"/>
    <w:rsid w:val="00DF2386"/>
    <w:rsid w:val="00DF36A9"/>
    <w:rsid w:val="00DF4D7C"/>
    <w:rsid w:val="00DF4F50"/>
    <w:rsid w:val="00DF53E0"/>
    <w:rsid w:val="00DF5ADA"/>
    <w:rsid w:val="00DF7307"/>
    <w:rsid w:val="00DF7D7B"/>
    <w:rsid w:val="00E00662"/>
    <w:rsid w:val="00E0102B"/>
    <w:rsid w:val="00E01670"/>
    <w:rsid w:val="00E017C3"/>
    <w:rsid w:val="00E02491"/>
    <w:rsid w:val="00E024EE"/>
    <w:rsid w:val="00E02907"/>
    <w:rsid w:val="00E03AE0"/>
    <w:rsid w:val="00E0494F"/>
    <w:rsid w:val="00E0542F"/>
    <w:rsid w:val="00E05524"/>
    <w:rsid w:val="00E05FA3"/>
    <w:rsid w:val="00E10151"/>
    <w:rsid w:val="00E111CB"/>
    <w:rsid w:val="00E1289B"/>
    <w:rsid w:val="00E12CC6"/>
    <w:rsid w:val="00E12DD3"/>
    <w:rsid w:val="00E13192"/>
    <w:rsid w:val="00E14A6F"/>
    <w:rsid w:val="00E14A9D"/>
    <w:rsid w:val="00E1547C"/>
    <w:rsid w:val="00E169E5"/>
    <w:rsid w:val="00E169F1"/>
    <w:rsid w:val="00E16A32"/>
    <w:rsid w:val="00E171F3"/>
    <w:rsid w:val="00E22105"/>
    <w:rsid w:val="00E2267C"/>
    <w:rsid w:val="00E226E6"/>
    <w:rsid w:val="00E2306A"/>
    <w:rsid w:val="00E237AF"/>
    <w:rsid w:val="00E23A4E"/>
    <w:rsid w:val="00E24548"/>
    <w:rsid w:val="00E2493D"/>
    <w:rsid w:val="00E24A49"/>
    <w:rsid w:val="00E30111"/>
    <w:rsid w:val="00E30357"/>
    <w:rsid w:val="00E30BD0"/>
    <w:rsid w:val="00E3160D"/>
    <w:rsid w:val="00E31CE1"/>
    <w:rsid w:val="00E324DE"/>
    <w:rsid w:val="00E334CB"/>
    <w:rsid w:val="00E33F66"/>
    <w:rsid w:val="00E37873"/>
    <w:rsid w:val="00E37908"/>
    <w:rsid w:val="00E40C19"/>
    <w:rsid w:val="00E4117B"/>
    <w:rsid w:val="00E41E6C"/>
    <w:rsid w:val="00E420F6"/>
    <w:rsid w:val="00E43795"/>
    <w:rsid w:val="00E437B3"/>
    <w:rsid w:val="00E44D74"/>
    <w:rsid w:val="00E45526"/>
    <w:rsid w:val="00E45548"/>
    <w:rsid w:val="00E45D31"/>
    <w:rsid w:val="00E46375"/>
    <w:rsid w:val="00E4675A"/>
    <w:rsid w:val="00E47379"/>
    <w:rsid w:val="00E50741"/>
    <w:rsid w:val="00E50E38"/>
    <w:rsid w:val="00E51125"/>
    <w:rsid w:val="00E5221F"/>
    <w:rsid w:val="00E526BA"/>
    <w:rsid w:val="00E52AAA"/>
    <w:rsid w:val="00E53217"/>
    <w:rsid w:val="00E53967"/>
    <w:rsid w:val="00E53E44"/>
    <w:rsid w:val="00E5458B"/>
    <w:rsid w:val="00E547ED"/>
    <w:rsid w:val="00E551D8"/>
    <w:rsid w:val="00E554DE"/>
    <w:rsid w:val="00E555D8"/>
    <w:rsid w:val="00E56EEE"/>
    <w:rsid w:val="00E5703B"/>
    <w:rsid w:val="00E5753D"/>
    <w:rsid w:val="00E57702"/>
    <w:rsid w:val="00E57BAD"/>
    <w:rsid w:val="00E6059E"/>
    <w:rsid w:val="00E60B71"/>
    <w:rsid w:val="00E610EB"/>
    <w:rsid w:val="00E61169"/>
    <w:rsid w:val="00E611CA"/>
    <w:rsid w:val="00E614E2"/>
    <w:rsid w:val="00E62381"/>
    <w:rsid w:val="00E624B9"/>
    <w:rsid w:val="00E63400"/>
    <w:rsid w:val="00E63E0B"/>
    <w:rsid w:val="00E6408F"/>
    <w:rsid w:val="00E640BD"/>
    <w:rsid w:val="00E64D56"/>
    <w:rsid w:val="00E65900"/>
    <w:rsid w:val="00E66A6E"/>
    <w:rsid w:val="00E67564"/>
    <w:rsid w:val="00E67602"/>
    <w:rsid w:val="00E67AB5"/>
    <w:rsid w:val="00E701C3"/>
    <w:rsid w:val="00E7063E"/>
    <w:rsid w:val="00E70F73"/>
    <w:rsid w:val="00E71ED8"/>
    <w:rsid w:val="00E72A00"/>
    <w:rsid w:val="00E72B6F"/>
    <w:rsid w:val="00E74A12"/>
    <w:rsid w:val="00E7500C"/>
    <w:rsid w:val="00E750DB"/>
    <w:rsid w:val="00E7539B"/>
    <w:rsid w:val="00E75501"/>
    <w:rsid w:val="00E75E09"/>
    <w:rsid w:val="00E771D4"/>
    <w:rsid w:val="00E77510"/>
    <w:rsid w:val="00E77C38"/>
    <w:rsid w:val="00E808CF"/>
    <w:rsid w:val="00E80E90"/>
    <w:rsid w:val="00E81793"/>
    <w:rsid w:val="00E81920"/>
    <w:rsid w:val="00E81C03"/>
    <w:rsid w:val="00E8295B"/>
    <w:rsid w:val="00E82B26"/>
    <w:rsid w:val="00E840DC"/>
    <w:rsid w:val="00E845E1"/>
    <w:rsid w:val="00E85DCE"/>
    <w:rsid w:val="00E86C25"/>
    <w:rsid w:val="00E870CF"/>
    <w:rsid w:val="00E873F9"/>
    <w:rsid w:val="00E87EAD"/>
    <w:rsid w:val="00E90772"/>
    <w:rsid w:val="00E90E8B"/>
    <w:rsid w:val="00E916F4"/>
    <w:rsid w:val="00E91E5C"/>
    <w:rsid w:val="00E91F5B"/>
    <w:rsid w:val="00E91F75"/>
    <w:rsid w:val="00E92BE0"/>
    <w:rsid w:val="00E92CCF"/>
    <w:rsid w:val="00E92DED"/>
    <w:rsid w:val="00E938FE"/>
    <w:rsid w:val="00E93E88"/>
    <w:rsid w:val="00E95061"/>
    <w:rsid w:val="00E955F0"/>
    <w:rsid w:val="00E95735"/>
    <w:rsid w:val="00E961B2"/>
    <w:rsid w:val="00E96825"/>
    <w:rsid w:val="00E96D89"/>
    <w:rsid w:val="00E96F60"/>
    <w:rsid w:val="00E96FC3"/>
    <w:rsid w:val="00E976EA"/>
    <w:rsid w:val="00EA073F"/>
    <w:rsid w:val="00EA0868"/>
    <w:rsid w:val="00EA2EF7"/>
    <w:rsid w:val="00EA34CF"/>
    <w:rsid w:val="00EA3E2D"/>
    <w:rsid w:val="00EA4622"/>
    <w:rsid w:val="00EA49C0"/>
    <w:rsid w:val="00EA55B2"/>
    <w:rsid w:val="00EA57A1"/>
    <w:rsid w:val="00EA5D78"/>
    <w:rsid w:val="00EA7116"/>
    <w:rsid w:val="00EA7B97"/>
    <w:rsid w:val="00EA7BEC"/>
    <w:rsid w:val="00EA7CFF"/>
    <w:rsid w:val="00EB0137"/>
    <w:rsid w:val="00EB0C59"/>
    <w:rsid w:val="00EB0D55"/>
    <w:rsid w:val="00EB0E6C"/>
    <w:rsid w:val="00EB1F50"/>
    <w:rsid w:val="00EB2DE3"/>
    <w:rsid w:val="00EB3AFE"/>
    <w:rsid w:val="00EB4369"/>
    <w:rsid w:val="00EB5B1D"/>
    <w:rsid w:val="00EB5FB2"/>
    <w:rsid w:val="00EC1047"/>
    <w:rsid w:val="00EC152C"/>
    <w:rsid w:val="00EC1853"/>
    <w:rsid w:val="00EC3374"/>
    <w:rsid w:val="00EC4534"/>
    <w:rsid w:val="00EC5141"/>
    <w:rsid w:val="00EC637F"/>
    <w:rsid w:val="00EC6D84"/>
    <w:rsid w:val="00EC6FC4"/>
    <w:rsid w:val="00EC7619"/>
    <w:rsid w:val="00EC7AD1"/>
    <w:rsid w:val="00ED00C4"/>
    <w:rsid w:val="00ED079B"/>
    <w:rsid w:val="00ED07B7"/>
    <w:rsid w:val="00ED0BEA"/>
    <w:rsid w:val="00ED1622"/>
    <w:rsid w:val="00ED16B7"/>
    <w:rsid w:val="00ED212C"/>
    <w:rsid w:val="00ED25FE"/>
    <w:rsid w:val="00ED280F"/>
    <w:rsid w:val="00ED2C3F"/>
    <w:rsid w:val="00ED2FD1"/>
    <w:rsid w:val="00ED32DB"/>
    <w:rsid w:val="00ED3D5B"/>
    <w:rsid w:val="00ED44C4"/>
    <w:rsid w:val="00ED5F71"/>
    <w:rsid w:val="00ED6D7A"/>
    <w:rsid w:val="00ED7DA1"/>
    <w:rsid w:val="00EE0793"/>
    <w:rsid w:val="00EE0D42"/>
    <w:rsid w:val="00EE1BA8"/>
    <w:rsid w:val="00EE22A3"/>
    <w:rsid w:val="00EE3647"/>
    <w:rsid w:val="00EE3D7A"/>
    <w:rsid w:val="00EE3FEF"/>
    <w:rsid w:val="00EE4482"/>
    <w:rsid w:val="00EE4489"/>
    <w:rsid w:val="00EE48F6"/>
    <w:rsid w:val="00EE5161"/>
    <w:rsid w:val="00EE6F8A"/>
    <w:rsid w:val="00EE76E5"/>
    <w:rsid w:val="00EE7D59"/>
    <w:rsid w:val="00EF0406"/>
    <w:rsid w:val="00EF139F"/>
    <w:rsid w:val="00EF21C3"/>
    <w:rsid w:val="00EF2A91"/>
    <w:rsid w:val="00EF2CC9"/>
    <w:rsid w:val="00EF2EAF"/>
    <w:rsid w:val="00EF3047"/>
    <w:rsid w:val="00EF3F82"/>
    <w:rsid w:val="00EF44FC"/>
    <w:rsid w:val="00EF4D7C"/>
    <w:rsid w:val="00EF5AF2"/>
    <w:rsid w:val="00EF6B37"/>
    <w:rsid w:val="00EF6DD0"/>
    <w:rsid w:val="00EF6FA1"/>
    <w:rsid w:val="00EF734F"/>
    <w:rsid w:val="00EF7E4D"/>
    <w:rsid w:val="00F03EBB"/>
    <w:rsid w:val="00F04710"/>
    <w:rsid w:val="00F04D60"/>
    <w:rsid w:val="00F04EB8"/>
    <w:rsid w:val="00F04EC0"/>
    <w:rsid w:val="00F06CE1"/>
    <w:rsid w:val="00F06E46"/>
    <w:rsid w:val="00F07673"/>
    <w:rsid w:val="00F10575"/>
    <w:rsid w:val="00F11B91"/>
    <w:rsid w:val="00F1289A"/>
    <w:rsid w:val="00F132A7"/>
    <w:rsid w:val="00F1346C"/>
    <w:rsid w:val="00F138D5"/>
    <w:rsid w:val="00F13DBF"/>
    <w:rsid w:val="00F14324"/>
    <w:rsid w:val="00F145A8"/>
    <w:rsid w:val="00F155A9"/>
    <w:rsid w:val="00F156A9"/>
    <w:rsid w:val="00F16E02"/>
    <w:rsid w:val="00F1793E"/>
    <w:rsid w:val="00F204E4"/>
    <w:rsid w:val="00F21388"/>
    <w:rsid w:val="00F22173"/>
    <w:rsid w:val="00F22422"/>
    <w:rsid w:val="00F226C4"/>
    <w:rsid w:val="00F22951"/>
    <w:rsid w:val="00F22BF2"/>
    <w:rsid w:val="00F237A4"/>
    <w:rsid w:val="00F23E77"/>
    <w:rsid w:val="00F23F0E"/>
    <w:rsid w:val="00F25828"/>
    <w:rsid w:val="00F25946"/>
    <w:rsid w:val="00F25C41"/>
    <w:rsid w:val="00F2609E"/>
    <w:rsid w:val="00F27449"/>
    <w:rsid w:val="00F2796C"/>
    <w:rsid w:val="00F3071A"/>
    <w:rsid w:val="00F31E48"/>
    <w:rsid w:val="00F326D2"/>
    <w:rsid w:val="00F3303D"/>
    <w:rsid w:val="00F3375A"/>
    <w:rsid w:val="00F346D8"/>
    <w:rsid w:val="00F34A09"/>
    <w:rsid w:val="00F34A72"/>
    <w:rsid w:val="00F352E6"/>
    <w:rsid w:val="00F36019"/>
    <w:rsid w:val="00F36248"/>
    <w:rsid w:val="00F37602"/>
    <w:rsid w:val="00F379AA"/>
    <w:rsid w:val="00F401A3"/>
    <w:rsid w:val="00F406C4"/>
    <w:rsid w:val="00F4180A"/>
    <w:rsid w:val="00F428AA"/>
    <w:rsid w:val="00F42DF4"/>
    <w:rsid w:val="00F439BA"/>
    <w:rsid w:val="00F43C03"/>
    <w:rsid w:val="00F43D03"/>
    <w:rsid w:val="00F44699"/>
    <w:rsid w:val="00F44D79"/>
    <w:rsid w:val="00F452C7"/>
    <w:rsid w:val="00F461D8"/>
    <w:rsid w:val="00F4627F"/>
    <w:rsid w:val="00F463C4"/>
    <w:rsid w:val="00F465BE"/>
    <w:rsid w:val="00F46BC0"/>
    <w:rsid w:val="00F47D0E"/>
    <w:rsid w:val="00F5215C"/>
    <w:rsid w:val="00F53089"/>
    <w:rsid w:val="00F53216"/>
    <w:rsid w:val="00F53CA5"/>
    <w:rsid w:val="00F5478D"/>
    <w:rsid w:val="00F54BA4"/>
    <w:rsid w:val="00F5573B"/>
    <w:rsid w:val="00F55FAC"/>
    <w:rsid w:val="00F56716"/>
    <w:rsid w:val="00F56AA2"/>
    <w:rsid w:val="00F56D13"/>
    <w:rsid w:val="00F56FB6"/>
    <w:rsid w:val="00F612AC"/>
    <w:rsid w:val="00F6157C"/>
    <w:rsid w:val="00F62358"/>
    <w:rsid w:val="00F65774"/>
    <w:rsid w:val="00F660C4"/>
    <w:rsid w:val="00F665C6"/>
    <w:rsid w:val="00F673BA"/>
    <w:rsid w:val="00F6756F"/>
    <w:rsid w:val="00F678FE"/>
    <w:rsid w:val="00F70D8D"/>
    <w:rsid w:val="00F70E6C"/>
    <w:rsid w:val="00F711EB"/>
    <w:rsid w:val="00F71DA6"/>
    <w:rsid w:val="00F726DF"/>
    <w:rsid w:val="00F727CD"/>
    <w:rsid w:val="00F72BE9"/>
    <w:rsid w:val="00F730A2"/>
    <w:rsid w:val="00F740A0"/>
    <w:rsid w:val="00F7442D"/>
    <w:rsid w:val="00F749E8"/>
    <w:rsid w:val="00F74F44"/>
    <w:rsid w:val="00F7521E"/>
    <w:rsid w:val="00F75518"/>
    <w:rsid w:val="00F7561F"/>
    <w:rsid w:val="00F75CD3"/>
    <w:rsid w:val="00F76706"/>
    <w:rsid w:val="00F76948"/>
    <w:rsid w:val="00F76D41"/>
    <w:rsid w:val="00F76E6A"/>
    <w:rsid w:val="00F77FB9"/>
    <w:rsid w:val="00F81862"/>
    <w:rsid w:val="00F81E5A"/>
    <w:rsid w:val="00F81FA2"/>
    <w:rsid w:val="00F82CD9"/>
    <w:rsid w:val="00F832D2"/>
    <w:rsid w:val="00F836FC"/>
    <w:rsid w:val="00F83E10"/>
    <w:rsid w:val="00F8414F"/>
    <w:rsid w:val="00F847CB"/>
    <w:rsid w:val="00F857F8"/>
    <w:rsid w:val="00F85DCA"/>
    <w:rsid w:val="00F85E4A"/>
    <w:rsid w:val="00F8620D"/>
    <w:rsid w:val="00F8625F"/>
    <w:rsid w:val="00F870A5"/>
    <w:rsid w:val="00F8725A"/>
    <w:rsid w:val="00F9090C"/>
    <w:rsid w:val="00F90C33"/>
    <w:rsid w:val="00F90E78"/>
    <w:rsid w:val="00F92480"/>
    <w:rsid w:val="00F92519"/>
    <w:rsid w:val="00F92AAB"/>
    <w:rsid w:val="00F9395C"/>
    <w:rsid w:val="00F93C33"/>
    <w:rsid w:val="00F93DD1"/>
    <w:rsid w:val="00F946BB"/>
    <w:rsid w:val="00F946DB"/>
    <w:rsid w:val="00F95C40"/>
    <w:rsid w:val="00F95F31"/>
    <w:rsid w:val="00FA0446"/>
    <w:rsid w:val="00FA08B0"/>
    <w:rsid w:val="00FA11F5"/>
    <w:rsid w:val="00FA1ABF"/>
    <w:rsid w:val="00FA1BA6"/>
    <w:rsid w:val="00FA1C39"/>
    <w:rsid w:val="00FA1F42"/>
    <w:rsid w:val="00FA25A6"/>
    <w:rsid w:val="00FA38F2"/>
    <w:rsid w:val="00FA465B"/>
    <w:rsid w:val="00FA482F"/>
    <w:rsid w:val="00FA562C"/>
    <w:rsid w:val="00FA587A"/>
    <w:rsid w:val="00FA5899"/>
    <w:rsid w:val="00FA6F12"/>
    <w:rsid w:val="00FA71FD"/>
    <w:rsid w:val="00FA72C7"/>
    <w:rsid w:val="00FA7410"/>
    <w:rsid w:val="00FA7F3C"/>
    <w:rsid w:val="00FB00CF"/>
    <w:rsid w:val="00FB083D"/>
    <w:rsid w:val="00FB2261"/>
    <w:rsid w:val="00FB25B0"/>
    <w:rsid w:val="00FB420E"/>
    <w:rsid w:val="00FB47BF"/>
    <w:rsid w:val="00FB5F7D"/>
    <w:rsid w:val="00FB6E35"/>
    <w:rsid w:val="00FB733C"/>
    <w:rsid w:val="00FB73CF"/>
    <w:rsid w:val="00FB74B6"/>
    <w:rsid w:val="00FB7FF2"/>
    <w:rsid w:val="00FC24A7"/>
    <w:rsid w:val="00FC2624"/>
    <w:rsid w:val="00FC2B75"/>
    <w:rsid w:val="00FC2C20"/>
    <w:rsid w:val="00FC2CA8"/>
    <w:rsid w:val="00FC39D5"/>
    <w:rsid w:val="00FC463E"/>
    <w:rsid w:val="00FC4DC2"/>
    <w:rsid w:val="00FC4EEA"/>
    <w:rsid w:val="00FC546A"/>
    <w:rsid w:val="00FC5B34"/>
    <w:rsid w:val="00FC6B76"/>
    <w:rsid w:val="00FC7511"/>
    <w:rsid w:val="00FC7BBB"/>
    <w:rsid w:val="00FD01EC"/>
    <w:rsid w:val="00FD060C"/>
    <w:rsid w:val="00FD18A5"/>
    <w:rsid w:val="00FD21E4"/>
    <w:rsid w:val="00FD24B5"/>
    <w:rsid w:val="00FD269C"/>
    <w:rsid w:val="00FD402C"/>
    <w:rsid w:val="00FD4179"/>
    <w:rsid w:val="00FD42F8"/>
    <w:rsid w:val="00FD47AF"/>
    <w:rsid w:val="00FD50C5"/>
    <w:rsid w:val="00FD7D9F"/>
    <w:rsid w:val="00FD7F30"/>
    <w:rsid w:val="00FE091C"/>
    <w:rsid w:val="00FE0CFF"/>
    <w:rsid w:val="00FE0DA1"/>
    <w:rsid w:val="00FE1441"/>
    <w:rsid w:val="00FE1453"/>
    <w:rsid w:val="00FE1F92"/>
    <w:rsid w:val="00FE2CF1"/>
    <w:rsid w:val="00FE2DEF"/>
    <w:rsid w:val="00FE2F3E"/>
    <w:rsid w:val="00FE5B9E"/>
    <w:rsid w:val="00FE6379"/>
    <w:rsid w:val="00FE644B"/>
    <w:rsid w:val="00FF08D2"/>
    <w:rsid w:val="00FF1B32"/>
    <w:rsid w:val="00FF23A6"/>
    <w:rsid w:val="00FF2FA4"/>
    <w:rsid w:val="00FF3450"/>
    <w:rsid w:val="00FF3927"/>
    <w:rsid w:val="00FF551F"/>
    <w:rsid w:val="00FF59B0"/>
    <w:rsid w:val="06591C28"/>
    <w:rsid w:val="082C13BB"/>
    <w:rsid w:val="09E97825"/>
    <w:rsid w:val="0A562B7C"/>
    <w:rsid w:val="0CE723DA"/>
    <w:rsid w:val="0DC35E7F"/>
    <w:rsid w:val="0DD36C7F"/>
    <w:rsid w:val="0DFF0096"/>
    <w:rsid w:val="0E8B7AD9"/>
    <w:rsid w:val="0EBF6A72"/>
    <w:rsid w:val="100F3B6B"/>
    <w:rsid w:val="107517B6"/>
    <w:rsid w:val="107C6D27"/>
    <w:rsid w:val="150B1006"/>
    <w:rsid w:val="15475B55"/>
    <w:rsid w:val="15945E76"/>
    <w:rsid w:val="15B17473"/>
    <w:rsid w:val="16FF3F92"/>
    <w:rsid w:val="172B5F11"/>
    <w:rsid w:val="17DBF22E"/>
    <w:rsid w:val="197D178E"/>
    <w:rsid w:val="1A8E1D24"/>
    <w:rsid w:val="1DFC0351"/>
    <w:rsid w:val="1E82259E"/>
    <w:rsid w:val="1EB7E6F8"/>
    <w:rsid w:val="1F3F763E"/>
    <w:rsid w:val="1F7F0BBD"/>
    <w:rsid w:val="1F951929"/>
    <w:rsid w:val="22DA3AD4"/>
    <w:rsid w:val="27351CB2"/>
    <w:rsid w:val="284528BD"/>
    <w:rsid w:val="28474FC7"/>
    <w:rsid w:val="288A735A"/>
    <w:rsid w:val="28BE433A"/>
    <w:rsid w:val="292576CC"/>
    <w:rsid w:val="296F7C86"/>
    <w:rsid w:val="29D376C1"/>
    <w:rsid w:val="29D53009"/>
    <w:rsid w:val="2DF63DB2"/>
    <w:rsid w:val="2FED2013"/>
    <w:rsid w:val="2FFD7224"/>
    <w:rsid w:val="30275A51"/>
    <w:rsid w:val="321E24D4"/>
    <w:rsid w:val="32DFA136"/>
    <w:rsid w:val="347F7100"/>
    <w:rsid w:val="35E775E7"/>
    <w:rsid w:val="35F3DEA6"/>
    <w:rsid w:val="35F77BF9"/>
    <w:rsid w:val="36D77503"/>
    <w:rsid w:val="37F12211"/>
    <w:rsid w:val="38077E93"/>
    <w:rsid w:val="391B16B3"/>
    <w:rsid w:val="392D937A"/>
    <w:rsid w:val="3A15299A"/>
    <w:rsid w:val="3A77AC1A"/>
    <w:rsid w:val="3BEF2833"/>
    <w:rsid w:val="3BF12018"/>
    <w:rsid w:val="3BFD9158"/>
    <w:rsid w:val="3D7CDEA4"/>
    <w:rsid w:val="3DDF8333"/>
    <w:rsid w:val="3DF398D3"/>
    <w:rsid w:val="3EDF4A98"/>
    <w:rsid w:val="3EFB2C7C"/>
    <w:rsid w:val="3FBEB52C"/>
    <w:rsid w:val="3FBFCC8E"/>
    <w:rsid w:val="3FEBBD86"/>
    <w:rsid w:val="3FF7FD09"/>
    <w:rsid w:val="40924DC6"/>
    <w:rsid w:val="41EB78A8"/>
    <w:rsid w:val="425B5029"/>
    <w:rsid w:val="43F53C40"/>
    <w:rsid w:val="464801B4"/>
    <w:rsid w:val="47503219"/>
    <w:rsid w:val="47A40F93"/>
    <w:rsid w:val="4B972740"/>
    <w:rsid w:val="4BD01D15"/>
    <w:rsid w:val="4CFB1D12"/>
    <w:rsid w:val="4E3C22FE"/>
    <w:rsid w:val="4E5C3C08"/>
    <w:rsid w:val="4ED80FF1"/>
    <w:rsid w:val="4FFC53B2"/>
    <w:rsid w:val="503C269F"/>
    <w:rsid w:val="52FF6971"/>
    <w:rsid w:val="53BDCB19"/>
    <w:rsid w:val="53FDC3DD"/>
    <w:rsid w:val="55BAF5FC"/>
    <w:rsid w:val="5700148F"/>
    <w:rsid w:val="57B329D9"/>
    <w:rsid w:val="57F64296"/>
    <w:rsid w:val="57FCA327"/>
    <w:rsid w:val="589E39E1"/>
    <w:rsid w:val="5B5F141A"/>
    <w:rsid w:val="5D2D4798"/>
    <w:rsid w:val="5D69306D"/>
    <w:rsid w:val="5DE23BB5"/>
    <w:rsid w:val="5F0FB511"/>
    <w:rsid w:val="5F37F1CD"/>
    <w:rsid w:val="5F5DEF3F"/>
    <w:rsid w:val="5F942D09"/>
    <w:rsid w:val="5FEF893E"/>
    <w:rsid w:val="5FF6DF35"/>
    <w:rsid w:val="601979D8"/>
    <w:rsid w:val="632C5010"/>
    <w:rsid w:val="63FED2C9"/>
    <w:rsid w:val="642E7722"/>
    <w:rsid w:val="64720DC1"/>
    <w:rsid w:val="64E56EEF"/>
    <w:rsid w:val="65BEB615"/>
    <w:rsid w:val="665F9F94"/>
    <w:rsid w:val="66DA7F54"/>
    <w:rsid w:val="66FF3F3C"/>
    <w:rsid w:val="67CC4B8A"/>
    <w:rsid w:val="68EA4A73"/>
    <w:rsid w:val="6A27EAB7"/>
    <w:rsid w:val="6A9E65D2"/>
    <w:rsid w:val="6AB853DB"/>
    <w:rsid w:val="6AD2649C"/>
    <w:rsid w:val="6BDEAC13"/>
    <w:rsid w:val="6BF40632"/>
    <w:rsid w:val="6BFB17B0"/>
    <w:rsid w:val="6BFC01E0"/>
    <w:rsid w:val="6BFCFDC1"/>
    <w:rsid w:val="6D441E87"/>
    <w:rsid w:val="6DFDFCE9"/>
    <w:rsid w:val="6E3F1F6B"/>
    <w:rsid w:val="6E7549EB"/>
    <w:rsid w:val="6EB91AA7"/>
    <w:rsid w:val="6F1F3BE2"/>
    <w:rsid w:val="6FC62C86"/>
    <w:rsid w:val="6FF89EE7"/>
    <w:rsid w:val="6FFFC305"/>
    <w:rsid w:val="70342FFC"/>
    <w:rsid w:val="726447C6"/>
    <w:rsid w:val="73027B3B"/>
    <w:rsid w:val="73FF3E1C"/>
    <w:rsid w:val="74380D87"/>
    <w:rsid w:val="74EFE712"/>
    <w:rsid w:val="74F4127A"/>
    <w:rsid w:val="754E82AA"/>
    <w:rsid w:val="75DF267F"/>
    <w:rsid w:val="762FBE65"/>
    <w:rsid w:val="76F05582"/>
    <w:rsid w:val="77FF4D79"/>
    <w:rsid w:val="79F7F633"/>
    <w:rsid w:val="7A45114E"/>
    <w:rsid w:val="7A5C650C"/>
    <w:rsid w:val="7AA105F5"/>
    <w:rsid w:val="7AB75500"/>
    <w:rsid w:val="7B6F3386"/>
    <w:rsid w:val="7B822E97"/>
    <w:rsid w:val="7BEEA56F"/>
    <w:rsid w:val="7BEF1177"/>
    <w:rsid w:val="7BF77126"/>
    <w:rsid w:val="7C31051C"/>
    <w:rsid w:val="7CFB595D"/>
    <w:rsid w:val="7DF54ADE"/>
    <w:rsid w:val="7DF56006"/>
    <w:rsid w:val="7DF9618F"/>
    <w:rsid w:val="7DFF2827"/>
    <w:rsid w:val="7DFF5869"/>
    <w:rsid w:val="7DFF5BEF"/>
    <w:rsid w:val="7E3D24AA"/>
    <w:rsid w:val="7E3F537B"/>
    <w:rsid w:val="7E5F5B40"/>
    <w:rsid w:val="7E6FFC95"/>
    <w:rsid w:val="7E8943B2"/>
    <w:rsid w:val="7EFFD0F5"/>
    <w:rsid w:val="7F3B3938"/>
    <w:rsid w:val="7F9E0088"/>
    <w:rsid w:val="7FB7BF67"/>
    <w:rsid w:val="7FE640E8"/>
    <w:rsid w:val="7FFBA111"/>
    <w:rsid w:val="7FFC551D"/>
    <w:rsid w:val="7FFD4006"/>
    <w:rsid w:val="7FFF62F7"/>
    <w:rsid w:val="8AF5B615"/>
    <w:rsid w:val="8CCE9D75"/>
    <w:rsid w:val="9BCF46DB"/>
    <w:rsid w:val="9EDF2943"/>
    <w:rsid w:val="A9D7056C"/>
    <w:rsid w:val="ADEE87B6"/>
    <w:rsid w:val="AEBEE03B"/>
    <w:rsid w:val="AF737E49"/>
    <w:rsid w:val="AF7F3C27"/>
    <w:rsid w:val="AFB58252"/>
    <w:rsid w:val="B3FF7BB6"/>
    <w:rsid w:val="B5DE4524"/>
    <w:rsid w:val="B7DFD4CB"/>
    <w:rsid w:val="B7FFC66C"/>
    <w:rsid w:val="BAF2CEF6"/>
    <w:rsid w:val="BDBBAF68"/>
    <w:rsid w:val="BF5FC2C2"/>
    <w:rsid w:val="BFD684BC"/>
    <w:rsid w:val="BFDCD1BE"/>
    <w:rsid w:val="C3C9AD10"/>
    <w:rsid w:val="CBFFE1AE"/>
    <w:rsid w:val="CE775314"/>
    <w:rsid w:val="CEFB8A80"/>
    <w:rsid w:val="CF5AD244"/>
    <w:rsid w:val="CFA14075"/>
    <w:rsid w:val="CFCFF815"/>
    <w:rsid w:val="D5F6A5CD"/>
    <w:rsid w:val="D6FF303C"/>
    <w:rsid w:val="D75EA7A6"/>
    <w:rsid w:val="D77B9708"/>
    <w:rsid w:val="D7CDFA98"/>
    <w:rsid w:val="DA5EC7AE"/>
    <w:rsid w:val="DBEFF317"/>
    <w:rsid w:val="DECFC3DE"/>
    <w:rsid w:val="DEEF9AC9"/>
    <w:rsid w:val="DFAF8DB3"/>
    <w:rsid w:val="DFDB12B1"/>
    <w:rsid w:val="DFFCB45D"/>
    <w:rsid w:val="DFFD02F7"/>
    <w:rsid w:val="DFFF2220"/>
    <w:rsid w:val="EBFDB893"/>
    <w:rsid w:val="EBFEF930"/>
    <w:rsid w:val="ECBA983C"/>
    <w:rsid w:val="EE9E52CC"/>
    <w:rsid w:val="EEFE6B1A"/>
    <w:rsid w:val="EF6FC995"/>
    <w:rsid w:val="F33F347E"/>
    <w:rsid w:val="F35B6025"/>
    <w:rsid w:val="F37FBBB4"/>
    <w:rsid w:val="F3F52BDD"/>
    <w:rsid w:val="F4D78504"/>
    <w:rsid w:val="F5FDA94D"/>
    <w:rsid w:val="F6F76803"/>
    <w:rsid w:val="F6FE7465"/>
    <w:rsid w:val="F6FFC03D"/>
    <w:rsid w:val="F76FE407"/>
    <w:rsid w:val="F77F8AFF"/>
    <w:rsid w:val="F7F50422"/>
    <w:rsid w:val="F9BDAF22"/>
    <w:rsid w:val="F9EF7A7F"/>
    <w:rsid w:val="FAA79D20"/>
    <w:rsid w:val="FAFCC072"/>
    <w:rsid w:val="FAFD1729"/>
    <w:rsid w:val="FB7D8169"/>
    <w:rsid w:val="FBB9CC70"/>
    <w:rsid w:val="FBDB428C"/>
    <w:rsid w:val="FBDF2194"/>
    <w:rsid w:val="FBF581A1"/>
    <w:rsid w:val="FBFEC29D"/>
    <w:rsid w:val="FC5C6F43"/>
    <w:rsid w:val="FCECBEEC"/>
    <w:rsid w:val="FDEA7D47"/>
    <w:rsid w:val="FDEF877D"/>
    <w:rsid w:val="FE9F1255"/>
    <w:rsid w:val="FEDFF5E7"/>
    <w:rsid w:val="FEFE2783"/>
    <w:rsid w:val="FF67EA1D"/>
    <w:rsid w:val="FF77EFF5"/>
    <w:rsid w:val="FF7AFA88"/>
    <w:rsid w:val="FF7F33CB"/>
    <w:rsid w:val="FFBF77E2"/>
    <w:rsid w:val="FFEE9813"/>
    <w:rsid w:val="FFF5E868"/>
    <w:rsid w:val="FFF77D4E"/>
    <w:rsid w:val="FFF7EFC2"/>
    <w:rsid w:val="FFFB6021"/>
    <w:rsid w:val="FFFF21A7"/>
    <w:rsid w:val="FFFF38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200" w:firstLineChars="200"/>
    </w:pPr>
    <w:rPr>
      <w:rFonts w:ascii="Times New Roman" w:hAnsi="Times New Roman" w:eastAsia="宋体" w:cstheme="minorBidi"/>
      <w:kern w:val="2"/>
      <w:sz w:val="21"/>
      <w:szCs w:val="21"/>
      <w:lang w:val="en-US" w:eastAsia="zh-CN" w:bidi="ar-SA"/>
    </w:rPr>
  </w:style>
  <w:style w:type="paragraph" w:styleId="2">
    <w:name w:val="heading 1"/>
    <w:next w:val="3"/>
    <w:link w:val="36"/>
    <w:qFormat/>
    <w:uiPriority w:val="9"/>
    <w:pPr>
      <w:keepNext/>
      <w:keepLines/>
      <w:widowControl w:val="0"/>
      <w:spacing w:before="200" w:after="200" w:line="360" w:lineRule="auto"/>
      <w:jc w:val="center"/>
      <w:outlineLvl w:val="0"/>
    </w:pPr>
    <w:rPr>
      <w:rFonts w:ascii="Times New Roman" w:hAnsi="Times New Roman" w:cs="Times New Roman" w:eastAsiaTheme="majorEastAsia"/>
      <w:b/>
      <w:bCs/>
      <w:color w:val="000000"/>
      <w:w w:val="98"/>
      <w:kern w:val="44"/>
      <w:sz w:val="36"/>
      <w:szCs w:val="36"/>
      <w:lang w:val="en-US" w:eastAsia="zh-CN" w:bidi="ar-SA"/>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8"/>
    <w:basedOn w:val="1"/>
    <w:next w:val="1"/>
    <w:link w:val="43"/>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7">
    <w:name w:val="heading 9"/>
    <w:basedOn w:val="1"/>
    <w:next w:val="1"/>
    <w:link w:val="46"/>
    <w:semiHidden/>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260"/>
    </w:pPr>
    <w:rPr>
      <w:sz w:val="18"/>
      <w:szCs w:val="18"/>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annotation text"/>
    <w:basedOn w:val="1"/>
    <w:link w:val="52"/>
    <w:semiHidden/>
    <w:unhideWhenUsed/>
    <w:qFormat/>
    <w:uiPriority w:val="99"/>
  </w:style>
  <w:style w:type="paragraph" w:styleId="11">
    <w:name w:val="toc 5"/>
    <w:basedOn w:val="1"/>
    <w:next w:val="1"/>
    <w:unhideWhenUsed/>
    <w:qFormat/>
    <w:uiPriority w:val="39"/>
    <w:pPr>
      <w:ind w:left="840"/>
    </w:pPr>
    <w:rPr>
      <w:sz w:val="18"/>
      <w:szCs w:val="18"/>
    </w:rPr>
  </w:style>
  <w:style w:type="paragraph" w:styleId="12">
    <w:name w:val="toc 3"/>
    <w:basedOn w:val="1"/>
    <w:next w:val="1"/>
    <w:unhideWhenUsed/>
    <w:qFormat/>
    <w:uiPriority w:val="39"/>
    <w:pPr>
      <w:ind w:left="420"/>
    </w:pPr>
    <w:rPr>
      <w:i/>
      <w:iCs/>
      <w:sz w:val="20"/>
      <w:szCs w:val="20"/>
    </w:rPr>
  </w:style>
  <w:style w:type="paragraph" w:styleId="13">
    <w:name w:val="toc 8"/>
    <w:basedOn w:val="1"/>
    <w:next w:val="1"/>
    <w:unhideWhenUsed/>
    <w:qFormat/>
    <w:uiPriority w:val="39"/>
    <w:pPr>
      <w:ind w:left="1470"/>
    </w:pPr>
    <w:rPr>
      <w:sz w:val="18"/>
      <w:szCs w:val="18"/>
    </w:rPr>
  </w:style>
  <w:style w:type="paragraph" w:styleId="14">
    <w:name w:val="Date"/>
    <w:basedOn w:val="1"/>
    <w:next w:val="1"/>
    <w:link w:val="49"/>
    <w:semiHidden/>
    <w:unhideWhenUsed/>
    <w:qFormat/>
    <w:uiPriority w:val="99"/>
    <w:pPr>
      <w:ind w:left="100" w:leftChars="2500"/>
    </w:pPr>
  </w:style>
  <w:style w:type="paragraph" w:styleId="15">
    <w:name w:val="endnote text"/>
    <w:basedOn w:val="1"/>
    <w:link w:val="71"/>
    <w:semiHidden/>
    <w:unhideWhenUsed/>
    <w:qFormat/>
    <w:uiPriority w:val="99"/>
    <w:pPr>
      <w:snapToGrid w:val="0"/>
    </w:pPr>
  </w:style>
  <w:style w:type="paragraph" w:styleId="16">
    <w:name w:val="Balloon Text"/>
    <w:basedOn w:val="1"/>
    <w:link w:val="35"/>
    <w:semiHidden/>
    <w:unhideWhenUsed/>
    <w:qFormat/>
    <w:uiPriority w:val="99"/>
    <w:pPr>
      <w:spacing w:line="240" w:lineRule="auto"/>
    </w:pPr>
    <w:rPr>
      <w:sz w:val="18"/>
      <w:szCs w:val="18"/>
    </w:rPr>
  </w:style>
  <w:style w:type="paragraph" w:styleId="17">
    <w:name w:val="footer"/>
    <w:basedOn w:val="1"/>
    <w:link w:val="34"/>
    <w:unhideWhenUsed/>
    <w:qFormat/>
    <w:uiPriority w:val="99"/>
    <w:pPr>
      <w:tabs>
        <w:tab w:val="center" w:pos="4153"/>
        <w:tab w:val="right" w:pos="8306"/>
      </w:tabs>
      <w:snapToGrid w:val="0"/>
      <w:spacing w:line="240" w:lineRule="auto"/>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tabs>
        <w:tab w:val="left" w:pos="420"/>
        <w:tab w:val="right" w:leader="dot" w:pos="8288"/>
      </w:tabs>
      <w:snapToGrid w:val="0"/>
      <w:spacing w:line="300" w:lineRule="auto"/>
      <w:ind w:firstLine="0" w:firstLineChars="0"/>
    </w:pPr>
    <w:rPr>
      <w:rFonts w:eastAsiaTheme="majorEastAsia"/>
      <w:sz w:val="24"/>
    </w:rPr>
  </w:style>
  <w:style w:type="paragraph" w:styleId="20">
    <w:name w:val="toc 4"/>
    <w:basedOn w:val="1"/>
    <w:next w:val="1"/>
    <w:unhideWhenUsed/>
    <w:qFormat/>
    <w:uiPriority w:val="39"/>
    <w:pPr>
      <w:ind w:left="630"/>
    </w:pPr>
    <w:rPr>
      <w:sz w:val="18"/>
      <w:szCs w:val="18"/>
    </w:rPr>
  </w:style>
  <w:style w:type="paragraph" w:styleId="21">
    <w:name w:val="toc 6"/>
    <w:basedOn w:val="1"/>
    <w:next w:val="1"/>
    <w:unhideWhenUsed/>
    <w:qFormat/>
    <w:uiPriority w:val="39"/>
    <w:pPr>
      <w:ind w:left="1050"/>
    </w:pPr>
    <w:rPr>
      <w:sz w:val="18"/>
      <w:szCs w:val="18"/>
    </w:rPr>
  </w:style>
  <w:style w:type="paragraph" w:styleId="22">
    <w:name w:val="toc 2"/>
    <w:basedOn w:val="1"/>
    <w:next w:val="1"/>
    <w:unhideWhenUsed/>
    <w:qFormat/>
    <w:uiPriority w:val="39"/>
    <w:pPr>
      <w:tabs>
        <w:tab w:val="left" w:pos="420"/>
        <w:tab w:val="left" w:pos="1260"/>
        <w:tab w:val="right" w:leader="dot" w:pos="8288"/>
      </w:tabs>
      <w:spacing w:line="300" w:lineRule="auto"/>
    </w:pPr>
    <w:rPr>
      <w:rFonts w:eastAsiaTheme="majorEastAsia"/>
      <w:smallCaps/>
      <w:sz w:val="24"/>
      <w:szCs w:val="20"/>
    </w:rPr>
  </w:style>
  <w:style w:type="paragraph" w:styleId="23">
    <w:name w:val="toc 9"/>
    <w:basedOn w:val="1"/>
    <w:next w:val="1"/>
    <w:unhideWhenUsed/>
    <w:qFormat/>
    <w:uiPriority w:val="39"/>
    <w:pPr>
      <w:ind w:left="1680"/>
    </w:pPr>
    <w:rPr>
      <w:sz w:val="18"/>
      <w:szCs w:val="18"/>
    </w:rPr>
  </w:style>
  <w:style w:type="paragraph" w:styleId="24">
    <w:name w:val="Normal (Web)"/>
    <w:basedOn w:val="1"/>
    <w:semiHidden/>
    <w:unhideWhenUsed/>
    <w:qFormat/>
    <w:uiPriority w:val="99"/>
    <w:rPr>
      <w:sz w:val="24"/>
    </w:rPr>
  </w:style>
  <w:style w:type="paragraph" w:styleId="25">
    <w:name w:val="annotation subject"/>
    <w:basedOn w:val="10"/>
    <w:next w:val="10"/>
    <w:link w:val="53"/>
    <w:semiHidden/>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endnote reference"/>
    <w:basedOn w:val="28"/>
    <w:semiHidden/>
    <w:unhideWhenUsed/>
    <w:qFormat/>
    <w:uiPriority w:val="99"/>
    <w:rPr>
      <w:vertAlign w:val="superscript"/>
    </w:rPr>
  </w:style>
  <w:style w:type="character" w:styleId="30">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1">
    <w:name w:val="Hyperlink"/>
    <w:unhideWhenUsed/>
    <w:qFormat/>
    <w:uiPriority w:val="99"/>
    <w:rPr>
      <w:color w:val="0000FF"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页眉 Char"/>
    <w:basedOn w:val="28"/>
    <w:link w:val="18"/>
    <w:qFormat/>
    <w:uiPriority w:val="99"/>
    <w:rPr>
      <w:sz w:val="18"/>
      <w:szCs w:val="18"/>
    </w:rPr>
  </w:style>
  <w:style w:type="character" w:customStyle="1" w:styleId="34">
    <w:name w:val="页脚 Char"/>
    <w:basedOn w:val="28"/>
    <w:link w:val="17"/>
    <w:qFormat/>
    <w:uiPriority w:val="99"/>
    <w:rPr>
      <w:sz w:val="18"/>
      <w:szCs w:val="18"/>
    </w:rPr>
  </w:style>
  <w:style w:type="character" w:customStyle="1" w:styleId="35">
    <w:name w:val="批注框文本 Char"/>
    <w:basedOn w:val="28"/>
    <w:link w:val="16"/>
    <w:semiHidden/>
    <w:qFormat/>
    <w:uiPriority w:val="99"/>
    <w:rPr>
      <w:sz w:val="18"/>
      <w:szCs w:val="18"/>
    </w:rPr>
  </w:style>
  <w:style w:type="character" w:customStyle="1" w:styleId="36">
    <w:name w:val="标题 1 Char"/>
    <w:basedOn w:val="28"/>
    <w:link w:val="2"/>
    <w:qFormat/>
    <w:uiPriority w:val="9"/>
    <w:rPr>
      <w:rFonts w:ascii="Times New Roman" w:hAnsi="Times New Roman" w:cs="Times New Roman" w:eastAsiaTheme="majorEastAsia"/>
      <w:b/>
      <w:bCs/>
      <w:color w:val="000000"/>
      <w:w w:val="98"/>
      <w:kern w:val="44"/>
      <w:sz w:val="36"/>
      <w:szCs w:val="36"/>
    </w:rPr>
  </w:style>
  <w:style w:type="character" w:customStyle="1" w:styleId="37">
    <w:name w:val="标题 2 Char"/>
    <w:basedOn w:val="28"/>
    <w:link w:val="3"/>
    <w:qFormat/>
    <w:uiPriority w:val="9"/>
    <w:rPr>
      <w:rFonts w:asciiTheme="majorHAnsi" w:hAnsiTheme="majorHAnsi" w:eastAsiaTheme="majorEastAsia" w:cstheme="majorBidi"/>
      <w:b/>
      <w:bCs/>
      <w:sz w:val="32"/>
      <w:szCs w:val="32"/>
    </w:rPr>
  </w:style>
  <w:style w:type="paragraph" w:customStyle="1" w:styleId="38">
    <w:name w:val="团标标题1"/>
    <w:next w:val="39"/>
    <w:link w:val="44"/>
    <w:qFormat/>
    <w:uiPriority w:val="0"/>
    <w:pPr>
      <w:widowControl w:val="0"/>
      <w:numPr>
        <w:ilvl w:val="0"/>
        <w:numId w:val="1"/>
      </w:numPr>
      <w:spacing w:before="60" w:after="60" w:line="600" w:lineRule="auto"/>
      <w:outlineLvl w:val="0"/>
    </w:pPr>
    <w:rPr>
      <w:rFonts w:ascii="Times New Roman" w:hAnsi="Times New Roman" w:cs="Arial" w:eastAsiaTheme="majorEastAsia"/>
      <w:b/>
      <w:color w:val="000000"/>
      <w:w w:val="98"/>
      <w:kern w:val="2"/>
      <w:sz w:val="24"/>
      <w:szCs w:val="24"/>
      <w:lang w:val="en-US" w:eastAsia="zh-CN" w:bidi="ar-SA"/>
    </w:rPr>
  </w:style>
  <w:style w:type="paragraph" w:customStyle="1" w:styleId="39">
    <w:name w:val="团标标题2"/>
    <w:next w:val="40"/>
    <w:link w:val="47"/>
    <w:qFormat/>
    <w:uiPriority w:val="0"/>
    <w:pPr>
      <w:widowControl w:val="0"/>
      <w:numPr>
        <w:ilvl w:val="1"/>
        <w:numId w:val="1"/>
      </w:numPr>
      <w:spacing w:line="360" w:lineRule="auto"/>
      <w:outlineLvl w:val="1"/>
    </w:pPr>
    <w:rPr>
      <w:rFonts w:ascii="Times New Roman" w:hAnsi="Times New Roman" w:cs="Times New Roman" w:eastAsiaTheme="majorEastAsia"/>
      <w:b/>
      <w:color w:val="000000"/>
      <w:kern w:val="2"/>
      <w:sz w:val="21"/>
      <w:szCs w:val="21"/>
      <w:lang w:val="en-US" w:eastAsia="zh-CN" w:bidi="ar-SA"/>
    </w:rPr>
  </w:style>
  <w:style w:type="paragraph" w:customStyle="1" w:styleId="40">
    <w:name w:val="团标标题3"/>
    <w:basedOn w:val="1"/>
    <w:next w:val="41"/>
    <w:link w:val="48"/>
    <w:qFormat/>
    <w:uiPriority w:val="0"/>
    <w:pPr>
      <w:numPr>
        <w:ilvl w:val="2"/>
        <w:numId w:val="1"/>
      </w:numPr>
      <w:spacing w:line="300" w:lineRule="auto"/>
      <w:ind w:firstLineChars="0"/>
      <w:outlineLvl w:val="2"/>
    </w:pPr>
    <w:rPr>
      <w:rFonts w:cs="Times New Roman" w:eastAsiaTheme="majorEastAsia"/>
      <w:b/>
      <w:kern w:val="0"/>
      <w:szCs w:val="20"/>
    </w:rPr>
  </w:style>
  <w:style w:type="paragraph" w:customStyle="1" w:styleId="41">
    <w:name w:val="团标标题4"/>
    <w:next w:val="42"/>
    <w:link w:val="64"/>
    <w:qFormat/>
    <w:uiPriority w:val="0"/>
    <w:pPr>
      <w:widowControl w:val="0"/>
      <w:numPr>
        <w:ilvl w:val="3"/>
        <w:numId w:val="1"/>
      </w:numPr>
      <w:spacing w:line="300" w:lineRule="auto"/>
      <w:outlineLvl w:val="3"/>
    </w:pPr>
    <w:rPr>
      <w:rFonts w:ascii="Times New Roman" w:hAnsi="Times New Roman" w:eastAsiaTheme="majorEastAsia" w:cstheme="minorBidi"/>
      <w:b/>
      <w:spacing w:val="-1"/>
      <w:kern w:val="2"/>
      <w:sz w:val="21"/>
      <w:szCs w:val="21"/>
      <w:lang w:val="en-US" w:eastAsia="zh-CN" w:bidi="ar-SA"/>
    </w:rPr>
  </w:style>
  <w:style w:type="paragraph" w:customStyle="1" w:styleId="42">
    <w:name w:val="团标标题5"/>
    <w:basedOn w:val="1"/>
    <w:next w:val="1"/>
    <w:link w:val="65"/>
    <w:qFormat/>
    <w:uiPriority w:val="0"/>
    <w:pPr>
      <w:numPr>
        <w:ilvl w:val="4"/>
        <w:numId w:val="1"/>
      </w:numPr>
      <w:spacing w:line="300" w:lineRule="auto"/>
      <w:ind w:firstLineChars="0"/>
      <w:outlineLvl w:val="4"/>
    </w:pPr>
    <w:rPr>
      <w:rFonts w:eastAsiaTheme="majorEastAsia"/>
      <w:b/>
      <w:spacing w:val="-1"/>
      <w:w w:val="98"/>
    </w:rPr>
  </w:style>
  <w:style w:type="character" w:customStyle="1" w:styleId="43">
    <w:name w:val="标题 8 Char"/>
    <w:basedOn w:val="28"/>
    <w:link w:val="6"/>
    <w:semiHidden/>
    <w:qFormat/>
    <w:uiPriority w:val="9"/>
    <w:rPr>
      <w:rFonts w:asciiTheme="majorHAnsi" w:hAnsiTheme="majorHAnsi" w:eastAsiaTheme="majorEastAsia" w:cstheme="majorBidi"/>
      <w:sz w:val="24"/>
      <w:szCs w:val="24"/>
    </w:rPr>
  </w:style>
  <w:style w:type="character" w:customStyle="1" w:styleId="44">
    <w:name w:val="团标标题1 Char"/>
    <w:basedOn w:val="43"/>
    <w:link w:val="38"/>
    <w:qFormat/>
    <w:uiPriority w:val="0"/>
    <w:rPr>
      <w:rFonts w:cs="Arial" w:asciiTheme="majorHAnsi" w:hAnsiTheme="majorHAnsi" w:eastAsiaTheme="majorEastAsia"/>
      <w:b/>
      <w:color w:val="000000"/>
      <w:w w:val="98"/>
      <w:kern w:val="2"/>
      <w:sz w:val="24"/>
      <w:szCs w:val="24"/>
    </w:rPr>
  </w:style>
  <w:style w:type="paragraph" w:styleId="45">
    <w:name w:val="List Paragraph"/>
    <w:basedOn w:val="1"/>
    <w:qFormat/>
    <w:uiPriority w:val="34"/>
    <w:pPr>
      <w:ind w:firstLine="420"/>
    </w:pPr>
  </w:style>
  <w:style w:type="character" w:customStyle="1" w:styleId="46">
    <w:name w:val="标题 9 Char"/>
    <w:basedOn w:val="28"/>
    <w:link w:val="7"/>
    <w:semiHidden/>
    <w:qFormat/>
    <w:uiPriority w:val="9"/>
    <w:rPr>
      <w:rFonts w:asciiTheme="majorHAnsi" w:hAnsiTheme="majorHAnsi" w:eastAsiaTheme="majorEastAsia" w:cstheme="majorBidi"/>
      <w:szCs w:val="21"/>
    </w:rPr>
  </w:style>
  <w:style w:type="character" w:customStyle="1" w:styleId="47">
    <w:name w:val="团标标题2 Char"/>
    <w:basedOn w:val="46"/>
    <w:link w:val="39"/>
    <w:qFormat/>
    <w:uiPriority w:val="0"/>
    <w:rPr>
      <w:rFonts w:ascii="Times New Roman" w:hAnsi="Times New Roman" w:cs="Times New Roman" w:eastAsiaTheme="majorEastAsia"/>
      <w:b/>
      <w:color w:val="000000"/>
      <w:kern w:val="2"/>
      <w:sz w:val="21"/>
      <w:szCs w:val="21"/>
    </w:rPr>
  </w:style>
  <w:style w:type="character" w:customStyle="1" w:styleId="48">
    <w:name w:val="团标标题3 Char"/>
    <w:basedOn w:val="47"/>
    <w:link w:val="40"/>
    <w:qFormat/>
    <w:uiPriority w:val="0"/>
    <w:rPr>
      <w:rFonts w:ascii="Times New Roman" w:hAnsi="Times New Roman" w:cs="Times New Roman" w:eastAsiaTheme="majorEastAsia"/>
      <w:color w:val="000000"/>
      <w:kern w:val="2"/>
      <w:sz w:val="21"/>
      <w:szCs w:val="21"/>
    </w:rPr>
  </w:style>
  <w:style w:type="character" w:customStyle="1" w:styleId="49">
    <w:name w:val="日期 Char"/>
    <w:basedOn w:val="28"/>
    <w:link w:val="14"/>
    <w:semiHidden/>
    <w:qFormat/>
    <w:uiPriority w:val="99"/>
  </w:style>
  <w:style w:type="character" w:customStyle="1" w:styleId="50">
    <w:name w:val="标题 3 Char"/>
    <w:basedOn w:val="28"/>
    <w:link w:val="4"/>
    <w:qFormat/>
    <w:uiPriority w:val="9"/>
    <w:rPr>
      <w:b/>
      <w:bCs/>
      <w:sz w:val="32"/>
      <w:szCs w:val="32"/>
    </w:rPr>
  </w:style>
  <w:style w:type="character" w:styleId="51">
    <w:name w:val="Placeholder Text"/>
    <w:basedOn w:val="28"/>
    <w:semiHidden/>
    <w:qFormat/>
    <w:uiPriority w:val="99"/>
    <w:rPr>
      <w:color w:val="808080"/>
    </w:rPr>
  </w:style>
  <w:style w:type="character" w:customStyle="1" w:styleId="52">
    <w:name w:val="批注文字 Char"/>
    <w:basedOn w:val="28"/>
    <w:link w:val="10"/>
    <w:semiHidden/>
    <w:qFormat/>
    <w:uiPriority w:val="99"/>
  </w:style>
  <w:style w:type="character" w:customStyle="1" w:styleId="53">
    <w:name w:val="批注主题 Char"/>
    <w:basedOn w:val="52"/>
    <w:link w:val="25"/>
    <w:semiHidden/>
    <w:qFormat/>
    <w:uiPriority w:val="99"/>
    <w:rPr>
      <w:b/>
      <w:bCs/>
    </w:rPr>
  </w:style>
  <w:style w:type="paragraph" w:customStyle="1" w:styleId="54">
    <w:name w:val="TOC 标题1"/>
    <w:basedOn w:val="2"/>
    <w:next w:val="1"/>
    <w:unhideWhenUsed/>
    <w:qFormat/>
    <w:uiPriority w:val="39"/>
    <w:pPr>
      <w:widowControl/>
      <w:spacing w:before="480" w:after="0" w:line="276" w:lineRule="auto"/>
      <w:outlineLvl w:val="9"/>
    </w:pPr>
    <w:rPr>
      <w:rFonts w:asciiTheme="majorHAnsi" w:hAnsiTheme="majorHAnsi" w:cstheme="majorBidi"/>
      <w:color w:val="376092" w:themeColor="accent1" w:themeShade="BF"/>
      <w:kern w:val="0"/>
      <w:sz w:val="28"/>
      <w:szCs w:val="28"/>
    </w:rPr>
  </w:style>
  <w:style w:type="paragraph" w:styleId="55">
    <w:name w:val="No Spacing"/>
    <w:link w:val="56"/>
    <w:qFormat/>
    <w:uiPriority w:val="1"/>
    <w:rPr>
      <w:rFonts w:asciiTheme="minorHAnsi" w:hAnsiTheme="minorHAnsi" w:eastAsiaTheme="minorEastAsia" w:cstheme="minorBidi"/>
      <w:sz w:val="22"/>
      <w:szCs w:val="21"/>
      <w:lang w:val="en-US" w:eastAsia="zh-CN" w:bidi="ar-SA"/>
    </w:rPr>
  </w:style>
  <w:style w:type="character" w:customStyle="1" w:styleId="56">
    <w:name w:val="无间隔 Char"/>
    <w:basedOn w:val="28"/>
    <w:link w:val="55"/>
    <w:qFormat/>
    <w:uiPriority w:val="1"/>
    <w:rPr>
      <w:kern w:val="0"/>
      <w:sz w:val="22"/>
    </w:rPr>
  </w:style>
  <w:style w:type="character" w:customStyle="1" w:styleId="57">
    <w:name w:val="标题 4 Char"/>
    <w:basedOn w:val="28"/>
    <w:link w:val="5"/>
    <w:qFormat/>
    <w:uiPriority w:val="9"/>
    <w:rPr>
      <w:rFonts w:asciiTheme="majorHAnsi" w:hAnsiTheme="majorHAnsi" w:eastAsiaTheme="majorEastAsia" w:cstheme="majorBidi"/>
      <w:b/>
      <w:bCs/>
      <w:sz w:val="28"/>
      <w:szCs w:val="28"/>
    </w:rPr>
  </w:style>
  <w:style w:type="paragraph" w:customStyle="1" w:styleId="58">
    <w:name w:val="团标4-"/>
    <w:basedOn w:val="1"/>
    <w:qFormat/>
    <w:uiPriority w:val="0"/>
    <w:pPr>
      <w:ind w:firstLine="420"/>
    </w:pPr>
  </w:style>
  <w:style w:type="paragraph" w:customStyle="1" w:styleId="59">
    <w:name w:val="附录标题2"/>
    <w:next w:val="1"/>
    <w:link w:val="60"/>
    <w:qFormat/>
    <w:uiPriority w:val="0"/>
    <w:pPr>
      <w:widowControl w:val="0"/>
      <w:numPr>
        <w:ilvl w:val="1"/>
        <w:numId w:val="2"/>
      </w:numPr>
      <w:spacing w:line="360" w:lineRule="auto"/>
      <w:outlineLvl w:val="1"/>
    </w:pPr>
    <w:rPr>
      <w:rFonts w:ascii="Times New Roman" w:hAnsi="Times New Roman" w:cs="Times New Roman" w:eastAsiaTheme="majorEastAsia"/>
      <w:b/>
      <w:color w:val="000000"/>
      <w:spacing w:val="-2"/>
      <w:w w:val="98"/>
      <w:kern w:val="2"/>
      <w:sz w:val="21"/>
      <w:szCs w:val="21"/>
      <w:lang w:val="en-US" w:eastAsia="zh-CN" w:bidi="ar-SA"/>
    </w:rPr>
  </w:style>
  <w:style w:type="character" w:customStyle="1" w:styleId="60">
    <w:name w:val="附录标题2 Char"/>
    <w:basedOn w:val="28"/>
    <w:link w:val="59"/>
    <w:qFormat/>
    <w:uiPriority w:val="0"/>
    <w:rPr>
      <w:rFonts w:ascii="Times New Roman" w:hAnsi="Times New Roman" w:cs="Times New Roman" w:eastAsiaTheme="majorEastAsia"/>
      <w:b/>
      <w:color w:val="000000"/>
      <w:spacing w:val="-2"/>
      <w:w w:val="98"/>
      <w:kern w:val="2"/>
      <w:sz w:val="21"/>
      <w:szCs w:val="21"/>
    </w:rPr>
  </w:style>
  <w:style w:type="paragraph" w:customStyle="1" w:styleId="61">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paragraph" w:customStyle="1" w:styleId="62">
    <w:name w:val="MTDisplayEquation"/>
    <w:basedOn w:val="1"/>
    <w:next w:val="1"/>
    <w:link w:val="63"/>
    <w:qFormat/>
    <w:uiPriority w:val="0"/>
    <w:pPr>
      <w:tabs>
        <w:tab w:val="center" w:pos="5960"/>
        <w:tab w:val="right" w:pos="11900"/>
      </w:tabs>
      <w:spacing w:line="394" w:lineRule="exact"/>
      <w:ind w:firstLine="400" w:firstLineChars="0"/>
    </w:pPr>
  </w:style>
  <w:style w:type="character" w:customStyle="1" w:styleId="63">
    <w:name w:val="MTDisplayEquation Char"/>
    <w:basedOn w:val="28"/>
    <w:link w:val="62"/>
    <w:qFormat/>
    <w:uiPriority w:val="0"/>
  </w:style>
  <w:style w:type="character" w:customStyle="1" w:styleId="64">
    <w:name w:val="团标标题4 Char"/>
    <w:basedOn w:val="47"/>
    <w:link w:val="41"/>
    <w:qFormat/>
    <w:uiPriority w:val="0"/>
    <w:rPr>
      <w:rFonts w:ascii="Times New Roman" w:hAnsi="Times New Roman" w:eastAsiaTheme="majorEastAsia" w:cstheme="minorBidi"/>
      <w:color w:val="000000"/>
      <w:spacing w:val="-1"/>
      <w:kern w:val="2"/>
      <w:sz w:val="21"/>
      <w:szCs w:val="21"/>
    </w:rPr>
  </w:style>
  <w:style w:type="character" w:customStyle="1" w:styleId="65">
    <w:name w:val="团标标题5 Char"/>
    <w:basedOn w:val="28"/>
    <w:link w:val="42"/>
    <w:qFormat/>
    <w:uiPriority w:val="0"/>
    <w:rPr>
      <w:rFonts w:ascii="Times New Roman" w:hAnsi="Times New Roman" w:eastAsiaTheme="majorEastAsia" w:cstheme="minorBidi"/>
      <w:b/>
      <w:spacing w:val="-1"/>
      <w:w w:val="98"/>
      <w:kern w:val="2"/>
      <w:sz w:val="21"/>
      <w:szCs w:val="21"/>
    </w:rPr>
  </w:style>
  <w:style w:type="paragraph" w:customStyle="1" w:styleId="66">
    <w:name w:val="附录标题1"/>
    <w:next w:val="59"/>
    <w:link w:val="68"/>
    <w:qFormat/>
    <w:uiPriority w:val="0"/>
    <w:pPr>
      <w:widowControl w:val="0"/>
      <w:numPr>
        <w:ilvl w:val="0"/>
        <w:numId w:val="2"/>
      </w:numPr>
      <w:spacing w:line="360" w:lineRule="auto"/>
      <w:jc w:val="center"/>
      <w:outlineLvl w:val="0"/>
    </w:pPr>
    <w:rPr>
      <w:rFonts w:ascii="Times New Roman" w:hAnsi="Times New Roman" w:cs="Times New Roman" w:eastAsiaTheme="majorEastAsia"/>
      <w:b/>
      <w:bCs/>
      <w:color w:val="000000"/>
      <w:kern w:val="44"/>
      <w:sz w:val="24"/>
      <w:szCs w:val="32"/>
      <w:lang w:val="en-US" w:eastAsia="zh-CN" w:bidi="ar-SA"/>
    </w:rPr>
  </w:style>
  <w:style w:type="paragraph" w:customStyle="1" w:styleId="67">
    <w:name w:val="附录标题3"/>
    <w:next w:val="1"/>
    <w:link w:val="79"/>
    <w:qFormat/>
    <w:uiPriority w:val="0"/>
    <w:pPr>
      <w:widowControl w:val="0"/>
      <w:numPr>
        <w:ilvl w:val="2"/>
        <w:numId w:val="2"/>
      </w:numPr>
      <w:spacing w:line="300" w:lineRule="auto"/>
      <w:outlineLvl w:val="2"/>
    </w:pPr>
    <w:rPr>
      <w:rFonts w:ascii="Times New Roman" w:hAnsi="Times New Roman" w:cs="Times New Roman" w:eastAsiaTheme="majorEastAsia"/>
      <w:b/>
      <w:color w:val="000000"/>
      <w:spacing w:val="-2"/>
      <w:w w:val="98"/>
      <w:kern w:val="2"/>
      <w:sz w:val="21"/>
      <w:szCs w:val="21"/>
      <w:lang w:val="en-US" w:eastAsia="zh-CN" w:bidi="ar-SA"/>
    </w:rPr>
  </w:style>
  <w:style w:type="character" w:customStyle="1" w:styleId="68">
    <w:name w:val="附录标题1 Char"/>
    <w:basedOn w:val="36"/>
    <w:link w:val="66"/>
    <w:qFormat/>
    <w:uiPriority w:val="0"/>
    <w:rPr>
      <w:rFonts w:ascii="Times New Roman" w:hAnsi="Times New Roman" w:cs="Times New Roman" w:eastAsiaTheme="majorEastAsia"/>
      <w:color w:val="000000"/>
      <w:w w:val="98"/>
      <w:kern w:val="44"/>
      <w:sz w:val="24"/>
      <w:szCs w:val="32"/>
    </w:rPr>
  </w:style>
  <w:style w:type="paragraph" w:customStyle="1" w:styleId="69">
    <w:name w:val="图表标题"/>
    <w:next w:val="1"/>
    <w:qFormat/>
    <w:uiPriority w:val="0"/>
    <w:pPr>
      <w:widowControl w:val="0"/>
      <w:spacing w:before="120" w:after="120" w:line="300" w:lineRule="auto"/>
      <w:jc w:val="center"/>
    </w:pPr>
    <w:rPr>
      <w:rFonts w:ascii="Times New Roman" w:hAnsi="Times New Roman" w:eastAsia="宋体" w:cstheme="minorBidi"/>
      <w:kern w:val="2"/>
      <w:sz w:val="21"/>
      <w:szCs w:val="21"/>
      <w:lang w:val="en-US" w:eastAsia="zh-CN" w:bidi="ar-SA"/>
    </w:rPr>
  </w:style>
  <w:style w:type="paragraph" w:customStyle="1" w:styleId="70">
    <w:name w:val="图表正文"/>
    <w:basedOn w:val="1"/>
    <w:qFormat/>
    <w:uiPriority w:val="0"/>
    <w:pPr>
      <w:spacing w:line="240" w:lineRule="auto"/>
      <w:ind w:firstLine="0" w:firstLineChars="0"/>
      <w:jc w:val="center"/>
    </w:pPr>
  </w:style>
  <w:style w:type="character" w:customStyle="1" w:styleId="71">
    <w:name w:val="尾注文本 Char"/>
    <w:basedOn w:val="28"/>
    <w:link w:val="15"/>
    <w:semiHidden/>
    <w:qFormat/>
    <w:uiPriority w:val="99"/>
  </w:style>
  <w:style w:type="character" w:customStyle="1" w:styleId="72">
    <w:name w:val="src"/>
    <w:basedOn w:val="28"/>
    <w:qFormat/>
    <w:uiPriority w:val="0"/>
  </w:style>
  <w:style w:type="character" w:customStyle="1" w:styleId="73">
    <w:name w:val="apple-converted-space"/>
    <w:basedOn w:val="28"/>
    <w:qFormat/>
    <w:uiPriority w:val="0"/>
  </w:style>
  <w:style w:type="paragraph" w:customStyle="1" w:styleId="74">
    <w:name w:val="团标标题6"/>
    <w:next w:val="70"/>
    <w:link w:val="75"/>
    <w:qFormat/>
    <w:uiPriority w:val="0"/>
    <w:pPr>
      <w:widowControl w:val="0"/>
      <w:numPr>
        <w:ilvl w:val="5"/>
        <w:numId w:val="1"/>
      </w:numPr>
      <w:spacing w:line="276" w:lineRule="auto"/>
      <w:outlineLvl w:val="5"/>
    </w:pPr>
    <w:rPr>
      <w:rFonts w:ascii="Times New Roman" w:hAnsi="Times New Roman" w:eastAsiaTheme="majorEastAsia" w:cstheme="minorBidi"/>
      <w:b/>
      <w:spacing w:val="-1"/>
      <w:w w:val="98"/>
      <w:kern w:val="2"/>
      <w:sz w:val="21"/>
      <w:szCs w:val="21"/>
      <w:lang w:val="en-US" w:eastAsia="zh-CN" w:bidi="ar-SA"/>
    </w:rPr>
  </w:style>
  <w:style w:type="character" w:customStyle="1" w:styleId="75">
    <w:name w:val="团标标题6 Char"/>
    <w:basedOn w:val="28"/>
    <w:link w:val="74"/>
    <w:qFormat/>
    <w:uiPriority w:val="0"/>
    <w:rPr>
      <w:rFonts w:ascii="Times New Roman" w:hAnsi="Times New Roman" w:eastAsiaTheme="majorEastAsia" w:cstheme="minorBidi"/>
      <w:b/>
      <w:spacing w:val="-1"/>
      <w:w w:val="98"/>
      <w:kern w:val="2"/>
      <w:sz w:val="21"/>
      <w:szCs w:val="21"/>
    </w:rPr>
  </w:style>
  <w:style w:type="character" w:customStyle="1" w:styleId="76">
    <w:name w:val="tgt"/>
    <w:basedOn w:val="28"/>
    <w:qFormat/>
    <w:uiPriority w:val="0"/>
  </w:style>
  <w:style w:type="paragraph" w:customStyle="1" w:styleId="77">
    <w:name w:val="修订1"/>
    <w:hidden/>
    <w:semiHidden/>
    <w:qFormat/>
    <w:uiPriority w:val="99"/>
    <w:rPr>
      <w:rFonts w:ascii="Times New Roman" w:hAnsi="Times New Roman" w:eastAsia="宋体" w:cstheme="minorBidi"/>
      <w:kern w:val="2"/>
      <w:sz w:val="21"/>
      <w:szCs w:val="21"/>
      <w:lang w:val="en-US" w:eastAsia="zh-CN" w:bidi="ar-SA"/>
    </w:rPr>
  </w:style>
  <w:style w:type="paragraph" w:customStyle="1" w:styleId="78">
    <w:name w:val="附录标题4"/>
    <w:basedOn w:val="67"/>
    <w:link w:val="80"/>
    <w:qFormat/>
    <w:uiPriority w:val="0"/>
  </w:style>
  <w:style w:type="character" w:customStyle="1" w:styleId="79">
    <w:name w:val="附录标题3 Char"/>
    <w:basedOn w:val="28"/>
    <w:link w:val="67"/>
    <w:qFormat/>
    <w:uiPriority w:val="0"/>
    <w:rPr>
      <w:rFonts w:ascii="Times New Roman" w:hAnsi="Times New Roman" w:cs="Times New Roman" w:eastAsiaTheme="majorEastAsia"/>
      <w:b/>
      <w:color w:val="000000"/>
      <w:spacing w:val="-2"/>
      <w:w w:val="98"/>
      <w:kern w:val="2"/>
      <w:sz w:val="21"/>
      <w:szCs w:val="21"/>
    </w:rPr>
  </w:style>
  <w:style w:type="character" w:customStyle="1" w:styleId="80">
    <w:name w:val="附录标题4 Char"/>
    <w:basedOn w:val="79"/>
    <w:link w:val="78"/>
    <w:qFormat/>
    <w:uiPriority w:val="0"/>
    <w:rPr>
      <w:rFonts w:ascii="Times New Roman" w:hAnsi="Times New Roman" w:cs="Times New Roman" w:eastAsiaTheme="majorEastAsia"/>
      <w:color w:val="000000"/>
      <w:spacing w:val="-2"/>
      <w:w w:val="98"/>
      <w:kern w:val="2"/>
      <w:sz w:val="21"/>
      <w:szCs w:val="21"/>
    </w:rPr>
  </w:style>
  <w:style w:type="paragraph" w:customStyle="1" w:styleId="81">
    <w:name w:val="段"/>
    <w:basedOn w:val="1"/>
    <w:qFormat/>
    <w:uiPriority w:val="0"/>
    <w:pPr>
      <w:widowControl/>
      <w:autoSpaceDE w:val="0"/>
      <w:autoSpaceDN w:val="0"/>
      <w:spacing w:line="240" w:lineRule="auto"/>
      <w:ind w:firstLine="420"/>
      <w:jc w:val="both"/>
    </w:pPr>
    <w:rPr>
      <w:rFonts w:ascii="宋体" w:hAnsi="宋体" w:cs="宋体"/>
    </w:rPr>
  </w:style>
  <w:style w:type="paragraph" w:customStyle="1" w:styleId="82">
    <w:name w:val="列出段落1"/>
    <w:basedOn w:val="1"/>
    <w:qFormat/>
    <w:uiPriority w:val="0"/>
    <w:pPr>
      <w:spacing w:line="240" w:lineRule="auto"/>
      <w:ind w:firstLine="420"/>
      <w:jc w:val="both"/>
    </w:pPr>
    <w:rPr>
      <w:rFonts w:ascii="Calibri" w:hAnsi="Calibri" w:cs="Calibri"/>
    </w:rPr>
  </w:style>
  <w:style w:type="paragraph" w:customStyle="1" w:styleId="83">
    <w:name w:val="正文表标题"/>
    <w:basedOn w:val="1"/>
    <w:next w:val="1"/>
    <w:qFormat/>
    <w:uiPriority w:val="0"/>
    <w:pPr>
      <w:widowControl/>
      <w:spacing w:beforeLines="50" w:afterLines="50" w:line="240" w:lineRule="auto"/>
      <w:ind w:firstLine="0" w:firstLineChars="0"/>
      <w:jc w:val="center"/>
    </w:pPr>
    <w:rPr>
      <w:rFonts w:ascii="黑体" w:eastAsia="黑体" w:cs="宋体"/>
      <w:kern w:val="0"/>
    </w:rPr>
  </w:style>
  <w:style w:type="character" w:customStyle="1" w:styleId="84">
    <w:name w:val="15"/>
    <w:basedOn w:val="28"/>
    <w:qFormat/>
    <w:uiPriority w:val="0"/>
    <w:rPr>
      <w:rFonts w:hint="eastAsia" w:ascii="宋体" w:hAnsi="宋体" w:eastAsia="宋体"/>
      <w:color w:val="000000"/>
      <w:sz w:val="21"/>
      <w:szCs w:val="21"/>
      <w:vertAlign w:val="superscript"/>
    </w:rPr>
  </w:style>
  <w:style w:type="character" w:customStyle="1" w:styleId="85">
    <w:name w:val="16"/>
    <w:basedOn w:val="28"/>
    <w:qFormat/>
    <w:uiPriority w:val="0"/>
    <w:rPr>
      <w:rFonts w:hint="default" w:ascii="Times New Roman" w:hAnsi="Times New Roman" w:cs="Times New Roman"/>
      <w:color w:val="000000"/>
      <w:sz w:val="21"/>
      <w:szCs w:val="21"/>
      <w:vertAlign w:val="superscript"/>
    </w:rPr>
  </w:style>
  <w:style w:type="character" w:customStyle="1" w:styleId="86">
    <w:name w:val="17"/>
    <w:basedOn w:val="28"/>
    <w:qFormat/>
    <w:uiPriority w:val="0"/>
    <w:rPr>
      <w:rFonts w:hint="eastAsia" w:ascii="宋体" w:hAnsi="宋体" w:eastAsia="宋体"/>
      <w:color w:val="000000"/>
      <w:sz w:val="21"/>
      <w:szCs w:val="21"/>
    </w:rPr>
  </w:style>
  <w:style w:type="paragraph" w:customStyle="1" w:styleId="87">
    <w:name w:val="msolistparagraph"/>
    <w:basedOn w:val="1"/>
    <w:qFormat/>
    <w:uiPriority w:val="0"/>
    <w:pPr>
      <w:ind w:firstLine="420"/>
    </w:pPr>
    <w:rPr>
      <w:rFonts w:cs="Times New Roman"/>
    </w:rPr>
  </w:style>
  <w:style w:type="paragraph" w:customStyle="1" w:styleId="88">
    <w:name w:val="正文加黑"/>
    <w:next w:val="1"/>
    <w:qFormat/>
    <w:uiPriority w:val="0"/>
    <w:pPr>
      <w:spacing w:line="312" w:lineRule="auto"/>
      <w:ind w:firstLine="420"/>
    </w:pPr>
    <w:rPr>
      <w:rFonts w:ascii="Times New Roman" w:hAnsi="Times New Roman" w:eastAsia="宋体" w:cstheme="minorBidi"/>
      <w:b/>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5D335-E9FC-4DCD-B1F2-64E6E583ACA0}">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50</Pages>
  <Words>5546</Words>
  <Characters>31615</Characters>
  <Lines>263</Lines>
  <Paragraphs>74</Paragraphs>
  <TotalTime>1</TotalTime>
  <ScaleCrop>false</ScaleCrop>
  <LinksUpToDate>false</LinksUpToDate>
  <CharactersWithSpaces>37087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2022-08-25T09:05:00Z</dcterms:created>
  <dc:creator>bingdian001.com</dc:creator>
  <cp:lastModifiedBy>Administrator</cp:lastModifiedBy>
  <cp:lastPrinted>2022-08-25T21:39:00Z</cp:lastPrinted>
  <dcterms:modified xsi:type="dcterms:W3CDTF">2022-09-02T01:03:15Z</dcterms:modified>
  <dc:subject>bingdian001.com</dc:subject>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2052-11.8.2.11718</vt:lpwstr>
  </property>
  <property fmtid="{D5CDD505-2E9C-101B-9397-08002B2CF9AE}" pid="4" name="ICV">
    <vt:lpwstr>26A3984575984BEBB99FC69B027F41D2</vt:lpwstr>
  </property>
  <property fmtid="{D5CDD505-2E9C-101B-9397-08002B2CF9AE}" pid="5" name="woTemplateTypoMode" linkTarget="0">
    <vt:lpwstr/>
  </property>
  <property fmtid="{D5CDD505-2E9C-101B-9397-08002B2CF9AE}" pid="6" name="woTemplate" linkTarget="0">
    <vt:i4>0</vt:i4>
  </property>
</Properties>
</file>