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120" w:after="120"/>
      </w:pPr>
      <w:r>
        <w:rPr>
          <w:rFonts w:hint="eastAsia"/>
        </w:rPr>
        <w:t>《石油天然气钻采设备 自动化连续管作业装备》</w:t>
      </w:r>
    </w:p>
    <w:p>
      <w:pPr>
        <w:pStyle w:val="26"/>
        <w:spacing w:before="120" w:after="120"/>
      </w:pPr>
      <w:r>
        <w:rPr>
          <w:rFonts w:hint="eastAsia"/>
        </w:rPr>
        <w:t>（</w:t>
      </w:r>
      <w:r>
        <w:rPr>
          <w:rFonts w:hint="eastAsia" w:ascii="华文中宋" w:hAnsi="华文中宋"/>
        </w:rPr>
        <w:t>征求意见</w:t>
      </w:r>
      <w:r>
        <w:rPr>
          <w:rFonts w:ascii="华文中宋" w:hAnsi="华文中宋"/>
        </w:rPr>
        <w:t>稿</w:t>
      </w:r>
      <w:r>
        <w:rPr>
          <w:rFonts w:hint="eastAsia"/>
        </w:rPr>
        <w:t>）编制说明</w:t>
      </w:r>
    </w:p>
    <w:p>
      <w:pPr>
        <w:pStyle w:val="2"/>
        <w:rPr>
          <w:i/>
          <w:color w:val="FF0000"/>
          <w:shd w:val="pct10" w:color="auto" w:fill="FFFFFF"/>
        </w:rPr>
      </w:pPr>
      <w:r>
        <w:rPr>
          <w:rFonts w:hint="eastAsia"/>
        </w:rPr>
        <w:t>一、任务来源及工作简要过程</w:t>
      </w:r>
    </w:p>
    <w:p>
      <w:pPr>
        <w:pStyle w:val="3"/>
      </w:pPr>
      <w:r>
        <w:rPr>
          <w:rFonts w:hint="eastAsia"/>
        </w:rPr>
        <w:t>（一）任务来源</w:t>
      </w:r>
    </w:p>
    <w:p>
      <w:pPr>
        <w:ind w:firstLine="560"/>
      </w:pPr>
      <w:r>
        <w:t>根据</w:t>
      </w:r>
      <w:r>
        <w:rPr>
          <w:rFonts w:hint="eastAsia"/>
        </w:rPr>
        <w:t>“中国石油和石油化工设备工业协会关于印发2022年第二批团体标准项目计划的通知”</w:t>
      </w:r>
      <w:r>
        <w:t>要求，</w:t>
      </w:r>
      <w:r>
        <w:rPr>
          <w:rFonts w:hint="eastAsia"/>
        </w:rPr>
        <w:t>《石油天然气钻采设备 自动化连续管作业装备》</w:t>
      </w:r>
      <w:r>
        <w:t>标准由</w:t>
      </w:r>
      <w:r>
        <w:rPr>
          <w:rFonts w:hint="eastAsia"/>
        </w:rPr>
        <w:t>中石化四机石油机械有限公司</w:t>
      </w:r>
      <w:r>
        <w:t>负责</w:t>
      </w:r>
      <w:r>
        <w:rPr>
          <w:rFonts w:hint="eastAsia"/>
        </w:rPr>
        <w:t>起草，</w:t>
      </w:r>
      <w:r>
        <w:rPr>
          <w:rFonts w:hAnsi="华文中宋"/>
        </w:rPr>
        <w:t>中石化江汉石油工程有限公司页岩气开采技术服务公司</w:t>
      </w:r>
      <w:r>
        <w:rPr>
          <w:rFonts w:hint="eastAsia"/>
        </w:rPr>
        <w:t>、中石化西南石油工程有限公司井下作业分公司参加起草。</w:t>
      </w:r>
    </w:p>
    <w:p>
      <w:pPr>
        <w:pStyle w:val="3"/>
        <w:rPr>
          <w:rFonts w:hAnsi="Times New Roman"/>
          <w:color w:val="FF0000"/>
        </w:rPr>
      </w:pPr>
      <w:r>
        <w:rPr>
          <w:rFonts w:hint="eastAsia" w:ascii="华文中宋"/>
        </w:rPr>
        <w:t>（二）</w:t>
      </w:r>
      <w:r>
        <w:rPr>
          <w:rFonts w:hint="eastAsia"/>
        </w:rPr>
        <w:t>起草</w:t>
      </w:r>
      <w:r>
        <w:t>工作简要过程</w:t>
      </w:r>
    </w:p>
    <w:p>
      <w:pPr>
        <w:pStyle w:val="23"/>
        <w:numPr>
          <w:ilvl w:val="0"/>
          <w:numId w:val="1"/>
        </w:numPr>
        <w:ind w:left="0" w:firstLine="560" w:firstLineChars="0"/>
      </w:pPr>
      <w:r>
        <w:rPr>
          <w:rFonts w:hint="eastAsia"/>
        </w:rPr>
        <w:t>成立起草工作组（2022年1月）</w:t>
      </w:r>
    </w:p>
    <w:p>
      <w:pPr>
        <w:ind w:firstLine="560"/>
        <w:rPr>
          <w:rFonts w:hAnsi="华文中宋"/>
        </w:rPr>
      </w:pPr>
      <w:r>
        <w:rPr>
          <w:rFonts w:hint="eastAsia" w:ascii="华文中宋" w:hAnsi="华文中宋"/>
        </w:rPr>
        <w:t>中石化四机石油机械有限公司作为我国固井压裂设备制造基地，固压工作部主任单位，对标准制制定工作十分重视。按照标准制定工作程序的要求，</w:t>
      </w:r>
      <w:r>
        <w:rPr>
          <w:rFonts w:hint="eastAsia"/>
        </w:rPr>
        <w:t>根据</w:t>
      </w:r>
      <w:r>
        <w:rPr>
          <w:rFonts w:hint="eastAsia" w:hAnsi="华文中宋"/>
        </w:rPr>
        <w:t xml:space="preserve">《石油天然气钻采设备 </w:t>
      </w:r>
      <w:r>
        <w:rPr>
          <w:rFonts w:hint="eastAsia"/>
        </w:rPr>
        <w:t>自动化连续管作业装备</w:t>
      </w:r>
      <w:r>
        <w:rPr>
          <w:rFonts w:hint="eastAsia" w:hAnsi="华文中宋"/>
        </w:rPr>
        <w:t>》</w:t>
      </w:r>
      <w:r>
        <w:rPr>
          <w:rFonts w:hAnsi="华文中宋"/>
        </w:rPr>
        <w:t>标准</w:t>
      </w:r>
      <w:r>
        <w:rPr>
          <w:rFonts w:hint="eastAsia"/>
        </w:rPr>
        <w:t>编写需要，成立了由</w:t>
      </w:r>
      <w:r>
        <w:rPr>
          <w:rFonts w:hint="eastAsia" w:hAnsi="华文中宋"/>
        </w:rPr>
        <w:t>中石化四机石油机械有限公司牵头起草，</w:t>
      </w:r>
      <w:r>
        <w:rPr>
          <w:rFonts w:hAnsi="华文中宋"/>
        </w:rPr>
        <w:t>中石化江汉石油工程有限公司页岩气开采技术服务公司</w:t>
      </w:r>
      <w:r>
        <w:rPr>
          <w:rFonts w:hint="eastAsia"/>
        </w:rPr>
        <w:t>、中石化西南石油工程有限公司井下作业分公司</w:t>
      </w:r>
      <w:r>
        <w:rPr>
          <w:rFonts w:hint="eastAsia" w:hAnsi="华文中宋"/>
        </w:rPr>
        <w:t>参与起草的起草工作组。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</w:rPr>
        <w:t>起草组工作安排</w:t>
      </w:r>
      <w:r>
        <w:rPr>
          <w:rFonts w:hint="eastAsia"/>
        </w:rPr>
        <w:t>（2022年2月）</w:t>
      </w:r>
    </w:p>
    <w:p>
      <w:pPr>
        <w:pStyle w:val="23"/>
        <w:ind w:firstLine="565" w:firstLineChars="202"/>
        <w:rPr>
          <w:rFonts w:hint="eastAsia" w:ascii="华文中宋" w:hAnsi="华文中宋"/>
        </w:rPr>
      </w:pPr>
      <w:r>
        <w:rPr>
          <w:rFonts w:hint="eastAsia" w:ascii="华文中宋" w:hAnsi="华文中宋"/>
        </w:rPr>
        <w:t>召开起草组工作安排会议，制定工作计划、收集有关资料、确定起草工作组</w:t>
      </w:r>
      <w:r>
        <w:rPr>
          <w:rFonts w:hint="eastAsia" w:ascii="华文中宋" w:hAnsi="华文中宋"/>
          <w:lang w:eastAsia="zh-CN"/>
        </w:rPr>
        <w:t>人员</w:t>
      </w:r>
      <w:r>
        <w:rPr>
          <w:rFonts w:hint="eastAsia" w:ascii="华文中宋" w:hAnsi="华文中宋"/>
        </w:rPr>
        <w:t>并上报上级管理部门。</w:t>
      </w:r>
    </w:p>
    <w:p>
      <w:pPr>
        <w:pStyle w:val="23"/>
        <w:ind w:firstLine="565" w:firstLineChars="202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/>
        </w:rPr>
        <w:t>工作组名单</w:t>
      </w:r>
      <w:r>
        <w:rPr>
          <w:rFonts w:ascii="华文中宋" w:hAnsi="华文中宋"/>
        </w:rPr>
        <w:t>：</w:t>
      </w:r>
      <w:r>
        <w:rPr>
          <w:rFonts w:hint="eastAsia" w:ascii="华文中宋" w:hAnsi="华文中宋"/>
        </w:rPr>
        <w:t>孙晓明</w:t>
      </w:r>
      <w:r>
        <w:rPr>
          <w:rFonts w:ascii="华文中宋" w:hAnsi="华文中宋"/>
        </w:rPr>
        <w:t>、</w:t>
      </w:r>
      <w:r>
        <w:rPr>
          <w:rFonts w:hint="eastAsia" w:ascii="华文中宋" w:hAnsi="华文中宋"/>
        </w:rPr>
        <w:t>孙仁俊、刘洪钰</w:t>
      </w:r>
      <w:r>
        <w:rPr>
          <w:rFonts w:hint="eastAsia" w:ascii="华文中宋" w:hAnsi="华文中宋"/>
          <w:lang w:eastAsia="zh-CN"/>
        </w:rPr>
        <w:t>、</w:t>
      </w:r>
      <w:r>
        <w:rPr>
          <w:rFonts w:hint="eastAsia" w:ascii="华文中宋" w:hAnsi="华文中宋"/>
        </w:rPr>
        <w:t>曹立明</w:t>
      </w:r>
      <w:r>
        <w:rPr>
          <w:rFonts w:ascii="华文中宋" w:hAnsi="华文中宋"/>
        </w:rPr>
        <w:t>、</w:t>
      </w:r>
      <w:r>
        <w:rPr>
          <w:rFonts w:hint="eastAsia" w:ascii="华文中宋" w:hAnsi="华文中宋"/>
        </w:rPr>
        <w:t>陈健</w:t>
      </w:r>
      <w:r>
        <w:rPr>
          <w:rFonts w:ascii="华文中宋" w:hAnsi="华文中宋"/>
        </w:rPr>
        <w:t>、</w:t>
      </w:r>
      <w:r>
        <w:rPr>
          <w:rFonts w:hint="eastAsia" w:ascii="华文中宋" w:hAnsi="华文中宋"/>
        </w:rPr>
        <w:t>陈当福、李石良</w:t>
      </w:r>
      <w:r>
        <w:rPr>
          <w:rFonts w:ascii="华文中宋" w:hAnsi="华文中宋"/>
        </w:rPr>
        <w:t>、</w:t>
      </w:r>
      <w:r>
        <w:rPr>
          <w:rFonts w:hint="eastAsia" w:ascii="华文中宋" w:hAnsi="华文中宋"/>
        </w:rPr>
        <w:t>王成章、潘</w:t>
      </w:r>
      <w:r>
        <w:rPr>
          <w:rFonts w:ascii="华文中宋" w:hAnsi="华文中宋"/>
        </w:rPr>
        <w:t>浩</w:t>
      </w:r>
      <w:r>
        <w:rPr>
          <w:rFonts w:hint="eastAsia" w:ascii="华文中宋" w:hAnsi="华文中宋"/>
          <w:lang w:eastAsia="zh-CN"/>
        </w:rPr>
        <w:t>等。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</w:rPr>
        <w:t>起草工作组完成目次初稿并讨论，形成目次（2022年2月）。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</w:rPr>
        <w:t>根据目次，第一起草人拟定任务书下发起草工作组各成员，编制草案（2022年2月～3月）。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</w:rPr>
        <w:t>2022年3月21日，</w:t>
      </w:r>
      <w:r>
        <w:rPr>
          <w:rFonts w:hint="eastAsia"/>
        </w:rPr>
        <w:t>中石化四机石油机械有限公司</w:t>
      </w:r>
      <w:r>
        <w:rPr>
          <w:rFonts w:hint="eastAsia" w:hAnsi="华文中宋"/>
        </w:rPr>
        <w:t>组织召开了《</w:t>
      </w:r>
      <w:r>
        <w:rPr>
          <w:rFonts w:hint="eastAsia"/>
        </w:rPr>
        <w:t>石油天然气钻采设备 自动化连续管作业装备</w:t>
      </w:r>
      <w:r>
        <w:rPr>
          <w:rFonts w:hint="eastAsia" w:hAnsi="华文中宋"/>
        </w:rPr>
        <w:t>》标准草案讨论会，对标准的结构</w:t>
      </w:r>
      <w:r>
        <w:rPr>
          <w:rFonts w:hAnsi="华文中宋"/>
        </w:rPr>
        <w:t>、内容</w:t>
      </w:r>
      <w:r>
        <w:rPr>
          <w:rFonts w:hint="eastAsia" w:hAnsi="华文中宋"/>
        </w:rPr>
        <w:t>进行了讨论，提出了修改</w:t>
      </w:r>
      <w:r>
        <w:rPr>
          <w:rFonts w:hAnsi="华文中宋"/>
        </w:rPr>
        <w:t>意见</w:t>
      </w:r>
      <w:r>
        <w:rPr>
          <w:rFonts w:hint="eastAsia" w:hAnsi="华文中宋"/>
        </w:rPr>
        <w:t>，确定了初步征求意见稿的</w:t>
      </w:r>
      <w:r>
        <w:rPr>
          <w:rFonts w:hAnsi="华文中宋"/>
        </w:rPr>
        <w:t>完成时间</w:t>
      </w:r>
      <w:r>
        <w:rPr>
          <w:rFonts w:hint="eastAsia" w:hAnsi="华文中宋"/>
        </w:rPr>
        <w:t>。（2022年4月）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</w:rPr>
        <w:t>根据会议精神对《</w:t>
      </w:r>
      <w:r>
        <w:rPr>
          <w:rFonts w:hint="eastAsia"/>
        </w:rPr>
        <w:t>石油天然气钻采设备自动化连续管作业装备</w:t>
      </w:r>
      <w:r>
        <w:rPr>
          <w:rFonts w:hint="eastAsia" w:hAnsi="华文中宋"/>
        </w:rPr>
        <w:t>》标准进行修改完善，形成了征求意见稿及征求意见稿编制说明。（2022年</w:t>
      </w:r>
      <w:r>
        <w:rPr>
          <w:rFonts w:hint="eastAsia" w:hAnsi="华文中宋"/>
          <w:lang w:val="en-US" w:eastAsia="zh-CN"/>
        </w:rPr>
        <w:t>5</w:t>
      </w:r>
      <w:r>
        <w:rPr>
          <w:rFonts w:hint="eastAsia" w:hAnsi="华文中宋"/>
        </w:rPr>
        <w:t>月～</w:t>
      </w:r>
      <w:r>
        <w:rPr>
          <w:rFonts w:hint="eastAsia" w:hAnsi="华文中宋"/>
          <w:lang w:val="en-US" w:eastAsia="zh-CN"/>
        </w:rPr>
        <w:t>6月</w:t>
      </w:r>
      <w:r>
        <w:rPr>
          <w:rFonts w:hint="eastAsia" w:hAnsi="华文中宋"/>
        </w:rPr>
        <w:t>）</w:t>
      </w:r>
    </w:p>
    <w:p>
      <w:pPr>
        <w:pStyle w:val="23"/>
        <w:numPr>
          <w:ilvl w:val="0"/>
          <w:numId w:val="1"/>
        </w:numPr>
        <w:ind w:left="0" w:firstLine="560" w:firstLineChars="0"/>
        <w:rPr>
          <w:rFonts w:hAnsi="华文中宋"/>
        </w:rPr>
      </w:pPr>
      <w:r>
        <w:rPr>
          <w:rFonts w:hint="eastAsia" w:hAnsi="华文中宋"/>
          <w:lang w:eastAsia="zh-CN"/>
        </w:rPr>
        <w:t>发相关参与起草单位评审讨论，修改征求意见材料。（</w:t>
      </w:r>
      <w:r>
        <w:rPr>
          <w:rFonts w:hint="eastAsia" w:hAnsi="华文中宋"/>
          <w:lang w:val="en-US" w:eastAsia="zh-CN"/>
        </w:rPr>
        <w:t>2022年7月</w:t>
      </w:r>
      <w:r>
        <w:rPr>
          <w:rFonts w:hint="eastAsia" w:hAnsi="华文中宋"/>
        </w:rPr>
        <w:t>～</w:t>
      </w:r>
      <w:r>
        <w:rPr>
          <w:rFonts w:hint="eastAsia" w:hAnsi="华文中宋"/>
          <w:lang w:val="en-US" w:eastAsia="zh-CN"/>
        </w:rPr>
        <w:t>8月</w:t>
      </w:r>
      <w:r>
        <w:rPr>
          <w:rFonts w:hint="eastAsia" w:hAnsi="华文中宋"/>
          <w:lang w:eastAsia="zh-CN"/>
        </w:rPr>
        <w:t>）</w:t>
      </w:r>
    </w:p>
    <w:p>
      <w:pPr>
        <w:pStyle w:val="2"/>
      </w:pPr>
      <w:r>
        <w:rPr>
          <w:rFonts w:hint="eastAsia"/>
        </w:rPr>
        <w:t>二、编制原则</w:t>
      </w:r>
    </w:p>
    <w:p>
      <w:pPr>
        <w:pStyle w:val="3"/>
      </w:pPr>
      <w:r>
        <w:t>（一）</w:t>
      </w:r>
      <w:r>
        <w:rPr>
          <w:rFonts w:hint="eastAsia"/>
        </w:rPr>
        <w:t>制定</w:t>
      </w:r>
      <w:r>
        <w:t>标准的指导思想</w:t>
      </w:r>
    </w:p>
    <w:p>
      <w:pPr>
        <w:ind w:firstLine="560"/>
        <w:rPr>
          <w:rFonts w:hint="eastAsia"/>
        </w:rPr>
      </w:pPr>
      <w:r>
        <w:rPr>
          <w:rFonts w:hint="eastAsia"/>
        </w:rPr>
        <w:t>制订自动化连续管作业装备标准，规范自动化连续管作业装备的设计、制造、检验，能够完善连续管作业装备标准体系，推进连续管作业装备向自动化转变，实现连续油管作业装备的操作自动化、智能化、可视化、控制精细化及远程监控及远程诊断，实现更安全、更简单、更高效的精准操作，保障连续管作业装备的安全、可靠、高效运行。</w:t>
      </w:r>
    </w:p>
    <w:p>
      <w:pPr>
        <w:ind w:firstLine="560"/>
        <w:rPr>
          <w:rFonts w:hAnsi="华文中宋"/>
        </w:rPr>
      </w:pPr>
      <w:r>
        <w:rPr>
          <w:rFonts w:hint="eastAsia"/>
        </w:rPr>
        <w:t>本文件的结构、格式和字体等严格按照GB/T 1.1-2020《标准化工作导则第1部分：标准化文件的结构和起草规则》给出的规则进行编写。本文件为规范标准，主要是对石油天然气钻采设备 自动化连续管作业装备的技术内容提出要求，因此文件条款基本采用要求和推荐的表述方式。</w:t>
      </w:r>
    </w:p>
    <w:p>
      <w:pPr>
        <w:pStyle w:val="3"/>
      </w:pPr>
      <w:r>
        <w:t>（二）主要</w:t>
      </w:r>
      <w:r>
        <w:rPr>
          <w:rFonts w:hint="eastAsia"/>
        </w:rPr>
        <w:t>制定</w:t>
      </w:r>
      <w:r>
        <w:t>内容及依据</w:t>
      </w:r>
    </w:p>
    <w:p>
      <w:pPr>
        <w:ind w:firstLine="560"/>
      </w:pPr>
      <w:r>
        <w:rPr>
          <w:rFonts w:hint="eastAsia"/>
        </w:rPr>
        <w:t>经过多次讨论，确定《</w:t>
      </w:r>
      <w:r>
        <w:rPr>
          <w:rFonts w:hint="eastAsia" w:hAnsi="华文中宋"/>
        </w:rPr>
        <w:t xml:space="preserve">石油天然气钻采设备 </w:t>
      </w:r>
      <w:r>
        <w:rPr>
          <w:rFonts w:hint="eastAsia"/>
        </w:rPr>
        <w:t>自动化连续管作业装备》的术语和定义等内容。并遵循相关安全及环保规定。</w:t>
      </w:r>
    </w:p>
    <w:p>
      <w:pPr>
        <w:ind w:firstLine="560"/>
      </w:pPr>
      <w:r>
        <w:rPr>
          <w:rFonts w:hint="eastAsia"/>
        </w:rPr>
        <w:t>本标准大纲及内容如下：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范围</w:t>
      </w:r>
      <w:r>
        <w:rPr>
          <w:rFonts w:hint="eastAsia"/>
        </w:rPr>
        <w:tab/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规范性引用文件</w:t>
      </w:r>
      <w:r>
        <w:rPr>
          <w:rFonts w:hint="eastAsia"/>
        </w:rPr>
        <w:tab/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术语和定义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型式、型号表示方法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基本型号与参数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配置要求</w:t>
      </w:r>
    </w:p>
    <w:p>
      <w:pPr>
        <w:pStyle w:val="2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主要系统性能要求</w:t>
      </w:r>
    </w:p>
    <w:p>
      <w:pPr>
        <w:pStyle w:val="2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材料要求</w:t>
      </w:r>
    </w:p>
    <w:p>
      <w:pPr>
        <w:pStyle w:val="2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制造要求</w:t>
      </w:r>
    </w:p>
    <w:p>
      <w:pPr>
        <w:pStyle w:val="2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试验与检验</w:t>
      </w:r>
    </w:p>
    <w:p>
      <w:pPr>
        <w:pStyle w:val="23"/>
        <w:numPr>
          <w:ilvl w:val="0"/>
          <w:numId w:val="2"/>
        </w:numPr>
        <w:ind w:firstLineChars="0"/>
      </w:pPr>
      <w:r>
        <w:rPr>
          <w:rFonts w:hint="eastAsia"/>
        </w:rPr>
        <w:t>标志、包装与运输和贮存</w:t>
      </w:r>
    </w:p>
    <w:p>
      <w:pPr>
        <w:ind w:firstLine="560"/>
      </w:pPr>
      <w:r>
        <w:rPr>
          <w:rFonts w:hint="eastAsia"/>
        </w:rPr>
        <w:t>正文中重要条款说明如下：</w:t>
      </w:r>
    </w:p>
    <w:p>
      <w:pPr>
        <w:ind w:firstLine="560"/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明确自动化连续油管作业装备的术语定义（见第3章）。</w:t>
      </w:r>
    </w:p>
    <w:p>
      <w:pPr>
        <w:ind w:firstLine="560"/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明确自动化连续油管作业装备型式、型号与基本参数（见第4章）。</w:t>
      </w:r>
    </w:p>
    <w:p>
      <w:pPr>
        <w:ind w:firstLine="560"/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明确自动化连续油管作业装备主要系统性能要求（见第7章）。</w:t>
      </w:r>
    </w:p>
    <w:p>
      <w:pPr>
        <w:ind w:firstLine="560"/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明确自动化连续油管作业装备材料要求（见第8章）。</w:t>
      </w:r>
    </w:p>
    <w:p>
      <w:pPr>
        <w:ind w:firstLine="56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明确自动化连续油管作业装备制造要求（见第9章）</w:t>
      </w:r>
    </w:p>
    <w:p>
      <w:pPr>
        <w:ind w:firstLine="560"/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明确自动化连续油管作业装备的型式检验、出厂检验、检验项目及判定规则（见第10章）。</w:t>
      </w:r>
    </w:p>
    <w:p>
      <w:pPr>
        <w:ind w:firstLine="560"/>
      </w:pPr>
      <w:r>
        <w:rPr>
          <w:rFonts w:hint="eastAsia"/>
        </w:rPr>
        <w:t>7)</w:t>
      </w:r>
      <w:r>
        <w:rPr>
          <w:rFonts w:hint="eastAsia"/>
        </w:rPr>
        <w:tab/>
      </w:r>
      <w:r>
        <w:rPr>
          <w:rFonts w:hint="eastAsia"/>
        </w:rPr>
        <w:t>明确自动化连续油管作业装备的标志、包装、运输、贮存等要求（见第11章）。</w:t>
      </w:r>
    </w:p>
    <w:p>
      <w:pPr>
        <w:pStyle w:val="2"/>
        <w:rPr>
          <w:shd w:val="pct10" w:color="auto" w:fill="FFFFFF"/>
        </w:rPr>
      </w:pPr>
      <w:r>
        <w:rPr>
          <w:rFonts w:hint="eastAsia"/>
        </w:rPr>
        <w:t>三、采标情况</w:t>
      </w:r>
    </w:p>
    <w:p>
      <w:pPr>
        <w:ind w:firstLine="560"/>
        <w:rPr>
          <w:rFonts w:ascii="华文中宋"/>
          <w:b/>
        </w:rPr>
      </w:pPr>
      <w:r>
        <w:rPr>
          <w:rFonts w:hint="eastAsia" w:hAnsi="华文中宋"/>
        </w:rPr>
        <w:t>根据国内外调研情况分析，国外尚无相关类似标准或规范，国内相关标准或规范只适用于常规液压手动控制连续管装备设计、制造等，缺少相关指导自动化连续管作业装备的规范，所以本规范是关于自动化连续管作业装备可参照的唯一标准规范。</w:t>
      </w:r>
    </w:p>
    <w:p>
      <w:pPr>
        <w:pStyle w:val="2"/>
      </w:pPr>
      <w:r>
        <w:rPr>
          <w:rFonts w:hint="eastAsia"/>
        </w:rPr>
        <w:t>四、部分条款编制说明</w:t>
      </w:r>
    </w:p>
    <w:p>
      <w:pPr>
        <w:pStyle w:val="2"/>
        <w:ind w:firstLine="560" w:firstLineChars="200"/>
        <w:rPr>
          <w:rFonts w:ascii="华文中宋" w:hAnsi="华文中宋"/>
          <w:b w:val="0"/>
          <w:bCs w:val="0"/>
          <w:kern w:val="2"/>
          <w:szCs w:val="28"/>
        </w:rPr>
      </w:pPr>
      <w:r>
        <w:rPr>
          <w:rFonts w:hint="eastAsia" w:ascii="华文中宋" w:hAnsi="华文中宋"/>
          <w:b w:val="0"/>
          <w:bCs w:val="0"/>
          <w:kern w:val="2"/>
          <w:szCs w:val="28"/>
        </w:rPr>
        <w:t>（一）标准中第4章的规定</w:t>
      </w:r>
    </w:p>
    <w:p>
      <w:pPr>
        <w:pStyle w:val="2"/>
        <w:ind w:firstLine="560" w:firstLineChars="200"/>
        <w:rPr>
          <w:rFonts w:ascii="华文中宋" w:hAnsi="华文中宋"/>
          <w:b w:val="0"/>
          <w:bCs w:val="0"/>
          <w:kern w:val="2"/>
          <w:szCs w:val="28"/>
        </w:rPr>
      </w:pPr>
      <w:r>
        <w:rPr>
          <w:rFonts w:hint="eastAsia" w:ascii="华文中宋" w:hAnsi="华文中宋"/>
          <w:b w:val="0"/>
          <w:bCs w:val="0"/>
          <w:kern w:val="2"/>
          <w:szCs w:val="28"/>
        </w:rPr>
        <w:t>规定了设备型式</w:t>
      </w:r>
      <w:r>
        <w:rPr>
          <w:rFonts w:ascii="华文中宋" w:hAnsi="华文中宋"/>
          <w:b w:val="0"/>
          <w:bCs w:val="0"/>
          <w:kern w:val="2"/>
          <w:szCs w:val="28"/>
        </w:rPr>
        <w:t>的划分方式、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设备</w:t>
      </w:r>
      <w:r>
        <w:rPr>
          <w:rFonts w:ascii="华文中宋" w:hAnsi="华文中宋"/>
          <w:b w:val="0"/>
          <w:bCs w:val="0"/>
          <w:kern w:val="2"/>
          <w:szCs w:val="28"/>
        </w:rPr>
        <w:t>型号的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表示</w:t>
      </w:r>
      <w:r>
        <w:rPr>
          <w:rFonts w:ascii="华文中宋" w:hAnsi="华文中宋"/>
          <w:b w:val="0"/>
          <w:bCs w:val="0"/>
          <w:kern w:val="2"/>
          <w:szCs w:val="28"/>
        </w:rPr>
        <w:t>方法以及型号的基本参数。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基本</w:t>
      </w:r>
      <w:r>
        <w:rPr>
          <w:rFonts w:ascii="华文中宋" w:hAnsi="华文中宋"/>
          <w:b w:val="0"/>
          <w:bCs w:val="0"/>
          <w:kern w:val="2"/>
          <w:szCs w:val="28"/>
        </w:rPr>
        <w:t>参数包括最大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提升力</w:t>
      </w:r>
      <w:r>
        <w:rPr>
          <w:rFonts w:ascii="华文中宋" w:hAnsi="华文中宋"/>
          <w:b w:val="0"/>
          <w:bCs w:val="0"/>
          <w:kern w:val="2"/>
          <w:szCs w:val="28"/>
        </w:rPr>
        <w:t>、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可缠绕最大的连续管公称外径、最大缠管容量</w:t>
      </w:r>
      <w:r>
        <w:rPr>
          <w:rFonts w:ascii="华文中宋" w:hAnsi="华文中宋"/>
          <w:b w:val="0"/>
          <w:bCs w:val="0"/>
          <w:kern w:val="2"/>
          <w:szCs w:val="28"/>
        </w:rPr>
        <w:t>。</w:t>
      </w:r>
    </w:p>
    <w:p>
      <w:pPr>
        <w:pStyle w:val="2"/>
        <w:ind w:firstLine="560" w:firstLineChars="200"/>
        <w:rPr>
          <w:rFonts w:ascii="华文中宋" w:hAnsi="华文中宋"/>
          <w:b w:val="0"/>
          <w:bCs w:val="0"/>
          <w:kern w:val="2"/>
          <w:szCs w:val="28"/>
        </w:rPr>
      </w:pPr>
      <w:r>
        <w:rPr>
          <w:rFonts w:hint="eastAsia" w:ascii="华文中宋" w:hAnsi="华文中宋"/>
          <w:b w:val="0"/>
          <w:bCs w:val="0"/>
          <w:kern w:val="2"/>
          <w:szCs w:val="28"/>
        </w:rPr>
        <w:t>（二）标准中第7章的规定</w:t>
      </w:r>
    </w:p>
    <w:p>
      <w:pPr>
        <w:pStyle w:val="2"/>
        <w:ind w:firstLine="560" w:firstLineChars="200"/>
        <w:rPr>
          <w:rFonts w:ascii="华文中宋" w:hAnsi="华文中宋"/>
          <w:b w:val="0"/>
          <w:bCs w:val="0"/>
          <w:kern w:val="2"/>
          <w:szCs w:val="28"/>
        </w:rPr>
      </w:pPr>
      <w:r>
        <w:rPr>
          <w:rFonts w:hint="eastAsia" w:ascii="华文中宋" w:hAnsi="华文中宋"/>
          <w:b w:val="0"/>
          <w:bCs w:val="0"/>
          <w:kern w:val="2"/>
          <w:szCs w:val="28"/>
        </w:rPr>
        <w:t>规定了设备的主要</w:t>
      </w:r>
      <w:r>
        <w:rPr>
          <w:rFonts w:ascii="华文中宋" w:hAnsi="华文中宋"/>
          <w:b w:val="0"/>
          <w:bCs w:val="0"/>
          <w:kern w:val="2"/>
          <w:szCs w:val="28"/>
        </w:rPr>
        <w:t>系统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性能</w:t>
      </w:r>
      <w:r>
        <w:rPr>
          <w:rFonts w:ascii="华文中宋" w:hAnsi="华文中宋"/>
          <w:b w:val="0"/>
          <w:bCs w:val="0"/>
          <w:kern w:val="2"/>
          <w:szCs w:val="28"/>
        </w:rPr>
        <w:t>要求。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设备</w:t>
      </w:r>
      <w:r>
        <w:rPr>
          <w:rFonts w:ascii="华文中宋" w:hAnsi="华文中宋"/>
          <w:b w:val="0"/>
          <w:bCs w:val="0"/>
          <w:kern w:val="2"/>
          <w:szCs w:val="28"/>
        </w:rPr>
        <w:t>除了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应符合SY/T 6761的规定外；还</w:t>
      </w:r>
      <w:r>
        <w:rPr>
          <w:rFonts w:ascii="华文中宋" w:hAnsi="华文中宋"/>
          <w:b w:val="0"/>
          <w:bCs w:val="0"/>
          <w:kern w:val="2"/>
          <w:szCs w:val="28"/>
        </w:rPr>
        <w:t>对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设备满足自动化控制的液压系统、电气系统、集成控制系统等</w:t>
      </w:r>
      <w:r>
        <w:rPr>
          <w:rFonts w:ascii="华文中宋" w:hAnsi="华文中宋"/>
          <w:b w:val="0"/>
          <w:bCs w:val="0"/>
          <w:kern w:val="2"/>
          <w:szCs w:val="28"/>
        </w:rPr>
        <w:t>提出要求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；同时对数据采集系统</w:t>
      </w:r>
      <w:r>
        <w:rPr>
          <w:rFonts w:ascii="华文中宋" w:hAnsi="华文中宋"/>
          <w:b w:val="0"/>
          <w:bCs w:val="0"/>
          <w:kern w:val="2"/>
          <w:szCs w:val="28"/>
        </w:rPr>
        <w:t>、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视频监控系统</w:t>
      </w:r>
      <w:r>
        <w:rPr>
          <w:rFonts w:ascii="华文中宋" w:hAnsi="华文中宋"/>
          <w:b w:val="0"/>
          <w:bCs w:val="0"/>
          <w:kern w:val="2"/>
          <w:szCs w:val="28"/>
        </w:rPr>
        <w:t>、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在线检测</w:t>
      </w:r>
      <w:r>
        <w:rPr>
          <w:rFonts w:ascii="华文中宋" w:hAnsi="华文中宋"/>
          <w:b w:val="0"/>
          <w:bCs w:val="0"/>
          <w:kern w:val="2"/>
          <w:szCs w:val="28"/>
        </w:rPr>
        <w:t>系统等部件提出了要求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。</w:t>
      </w:r>
    </w:p>
    <w:p>
      <w:pPr>
        <w:pStyle w:val="2"/>
        <w:ind w:firstLine="560" w:firstLineChars="200"/>
        <w:rPr>
          <w:rFonts w:ascii="华文中宋" w:hAnsi="华文中宋"/>
          <w:b w:val="0"/>
          <w:bCs w:val="0"/>
          <w:kern w:val="2"/>
          <w:szCs w:val="28"/>
        </w:rPr>
      </w:pPr>
      <w:r>
        <w:rPr>
          <w:rFonts w:hint="eastAsia" w:ascii="华文中宋" w:hAnsi="华文中宋"/>
          <w:b w:val="0"/>
          <w:bCs w:val="0"/>
          <w:kern w:val="2"/>
          <w:szCs w:val="28"/>
        </w:rPr>
        <w:t>（三）标准中第10章的规定</w:t>
      </w:r>
    </w:p>
    <w:p>
      <w:pPr>
        <w:pStyle w:val="2"/>
        <w:ind w:firstLine="560" w:firstLineChars="200"/>
        <w:rPr>
          <w:b w:val="0"/>
          <w:bCs w:val="0"/>
          <w:kern w:val="2"/>
          <w:szCs w:val="28"/>
        </w:rPr>
      </w:pPr>
      <w:r>
        <w:rPr>
          <w:rFonts w:hint="eastAsia"/>
          <w:b w:val="0"/>
          <w:bCs w:val="0"/>
          <w:kern w:val="2"/>
          <w:szCs w:val="28"/>
        </w:rPr>
        <w:t>规定</w:t>
      </w:r>
      <w:r>
        <w:rPr>
          <w:b w:val="0"/>
          <w:bCs w:val="0"/>
          <w:kern w:val="2"/>
          <w:szCs w:val="28"/>
        </w:rPr>
        <w:t>了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自动化连续油管作业装备</w:t>
      </w:r>
      <w:r>
        <w:rPr>
          <w:rFonts w:hint="eastAsia"/>
          <w:b w:val="0"/>
          <w:bCs w:val="0"/>
          <w:kern w:val="2"/>
          <w:szCs w:val="28"/>
        </w:rPr>
        <w:t>的</w:t>
      </w:r>
      <w:r>
        <w:rPr>
          <w:b w:val="0"/>
          <w:bCs w:val="0"/>
          <w:kern w:val="2"/>
          <w:szCs w:val="28"/>
        </w:rPr>
        <w:t>试验条件、</w:t>
      </w:r>
      <w:r>
        <w:rPr>
          <w:rFonts w:hint="eastAsia"/>
          <w:b w:val="0"/>
          <w:bCs w:val="0"/>
          <w:kern w:val="2"/>
          <w:szCs w:val="28"/>
        </w:rPr>
        <w:t>自动化控制系统</w:t>
      </w:r>
      <w:r>
        <w:rPr>
          <w:b w:val="0"/>
          <w:bCs w:val="0"/>
          <w:kern w:val="2"/>
          <w:szCs w:val="28"/>
        </w:rPr>
        <w:t>试验方法</w:t>
      </w:r>
      <w:r>
        <w:rPr>
          <w:rFonts w:hint="eastAsia"/>
          <w:b w:val="0"/>
          <w:bCs w:val="0"/>
          <w:kern w:val="2"/>
          <w:szCs w:val="28"/>
        </w:rPr>
        <w:t>项目、试验内容、试验要求</w:t>
      </w:r>
      <w:r>
        <w:rPr>
          <w:b w:val="0"/>
          <w:bCs w:val="0"/>
          <w:kern w:val="2"/>
          <w:szCs w:val="28"/>
        </w:rPr>
        <w:t>的内容。</w:t>
      </w:r>
      <w:r>
        <w:rPr>
          <w:rFonts w:hint="eastAsia"/>
          <w:b w:val="0"/>
          <w:bCs w:val="0"/>
          <w:kern w:val="2"/>
          <w:szCs w:val="28"/>
        </w:rPr>
        <w:t>规定</w:t>
      </w:r>
      <w:r>
        <w:rPr>
          <w:b w:val="0"/>
          <w:bCs w:val="0"/>
          <w:kern w:val="2"/>
          <w:szCs w:val="28"/>
        </w:rPr>
        <w:t>了</w:t>
      </w:r>
      <w:r>
        <w:rPr>
          <w:rFonts w:hint="eastAsia" w:ascii="华文中宋" w:hAnsi="华文中宋"/>
          <w:b w:val="0"/>
          <w:bCs w:val="0"/>
          <w:kern w:val="2"/>
          <w:szCs w:val="28"/>
        </w:rPr>
        <w:t>自动化连续油管作业装备</w:t>
      </w:r>
      <w:r>
        <w:rPr>
          <w:rFonts w:hint="eastAsia"/>
          <w:b w:val="0"/>
          <w:bCs w:val="0"/>
          <w:kern w:val="2"/>
          <w:szCs w:val="28"/>
        </w:rPr>
        <w:t>的</w:t>
      </w:r>
      <w:r>
        <w:rPr>
          <w:b w:val="0"/>
          <w:bCs w:val="0"/>
          <w:kern w:val="2"/>
          <w:szCs w:val="28"/>
        </w:rPr>
        <w:t>检验规则，包括</w:t>
      </w:r>
      <w:r>
        <w:rPr>
          <w:rFonts w:hint="eastAsia"/>
          <w:b w:val="0"/>
          <w:bCs w:val="0"/>
          <w:kern w:val="2"/>
          <w:szCs w:val="28"/>
        </w:rPr>
        <w:t>型式检验</w:t>
      </w:r>
      <w:r>
        <w:rPr>
          <w:b w:val="0"/>
          <w:bCs w:val="0"/>
          <w:kern w:val="2"/>
          <w:szCs w:val="28"/>
        </w:rPr>
        <w:t>、出厂</w:t>
      </w:r>
      <w:r>
        <w:rPr>
          <w:rFonts w:hint="eastAsia"/>
          <w:b w:val="0"/>
          <w:bCs w:val="0"/>
          <w:kern w:val="2"/>
          <w:szCs w:val="28"/>
        </w:rPr>
        <w:t>检验、</w:t>
      </w:r>
      <w:r>
        <w:rPr>
          <w:b w:val="0"/>
          <w:bCs w:val="0"/>
          <w:kern w:val="2"/>
          <w:szCs w:val="28"/>
        </w:rPr>
        <w:t>检验</w:t>
      </w:r>
      <w:r>
        <w:rPr>
          <w:rFonts w:hint="eastAsia"/>
          <w:b w:val="0"/>
          <w:bCs w:val="0"/>
          <w:kern w:val="2"/>
          <w:szCs w:val="28"/>
        </w:rPr>
        <w:t>项目</w:t>
      </w:r>
      <w:r>
        <w:rPr>
          <w:b w:val="0"/>
          <w:bCs w:val="0"/>
          <w:kern w:val="2"/>
          <w:szCs w:val="28"/>
        </w:rPr>
        <w:t>和</w:t>
      </w:r>
      <w:r>
        <w:rPr>
          <w:rFonts w:hint="eastAsia"/>
          <w:b w:val="0"/>
          <w:bCs w:val="0"/>
          <w:kern w:val="2"/>
          <w:szCs w:val="28"/>
        </w:rPr>
        <w:t>判定</w:t>
      </w:r>
      <w:r>
        <w:rPr>
          <w:b w:val="0"/>
          <w:bCs w:val="0"/>
          <w:kern w:val="2"/>
          <w:szCs w:val="28"/>
        </w:rPr>
        <w:t>规则。</w:t>
      </w:r>
    </w:p>
    <w:p>
      <w:pPr>
        <w:ind w:firstLine="0" w:firstLineChars="0"/>
        <w:jc w:val="left"/>
        <w:outlineLvl w:val="0"/>
        <w:rPr>
          <w:rFonts w:ascii="华文中宋" w:hAnsi="华文中宋"/>
          <w:b/>
        </w:rPr>
      </w:pPr>
      <w:r>
        <w:rPr>
          <w:rFonts w:hint="eastAsia" w:ascii="华文中宋" w:hAnsi="华文中宋"/>
          <w:b/>
        </w:rPr>
        <w:t>五、与现行法律、法规、政策及相关标准的协调性</w:t>
      </w:r>
    </w:p>
    <w:p>
      <w:pPr>
        <w:ind w:firstLine="560"/>
        <w:rPr>
          <w:rFonts w:ascii="华文中宋"/>
          <w:b/>
        </w:rPr>
      </w:pPr>
      <w:r>
        <w:t>本标准与国家强制性法律、法规、政策及相关标准没有冲突，内容协调统一。</w:t>
      </w:r>
    </w:p>
    <w:p>
      <w:pPr>
        <w:ind w:firstLine="0" w:firstLineChars="0"/>
        <w:jc w:val="left"/>
        <w:outlineLvl w:val="0"/>
        <w:rPr>
          <w:rFonts w:ascii="华文中宋" w:hAnsi="华文中宋"/>
          <w:b/>
        </w:rPr>
      </w:pPr>
      <w:r>
        <w:rPr>
          <w:rFonts w:hint="eastAsia" w:ascii="华文中宋" w:hAnsi="华文中宋"/>
          <w:b/>
        </w:rPr>
        <w:t>六、贯彻实施标准的措施和建议</w:t>
      </w:r>
    </w:p>
    <w:p>
      <w:pPr>
        <w:ind w:firstLine="560"/>
        <w:rPr>
          <w:rFonts w:ascii="华文中宋" w:hAnsi="华文中宋"/>
        </w:rPr>
      </w:pPr>
      <w:r>
        <w:rPr>
          <w:rFonts w:hint="eastAsia" w:ascii="华文中宋" w:hAnsi="华文中宋"/>
        </w:rPr>
        <w:t>本标准发布后，</w:t>
      </w:r>
      <w:r>
        <w:rPr>
          <w:rFonts w:hint="eastAsia" w:hAnsi="华文中宋"/>
        </w:rPr>
        <w:t>自动化连续管作业装备</w:t>
      </w:r>
      <w:r>
        <w:rPr>
          <w:rFonts w:hint="eastAsia" w:ascii="华文中宋" w:hAnsi="华文中宋"/>
        </w:rPr>
        <w:t>的生产制造厂家和用户应积极贯彻实施，团体协会应积极推进本标准的贯彻实施。在贯彻实施过程中标准工作组应积极收集对本标准的意见反馈，促进本标准不断的自我完善和改进。</w:t>
      </w:r>
    </w:p>
    <w:p>
      <w:pPr>
        <w:ind w:firstLine="0" w:firstLineChars="0"/>
        <w:jc w:val="left"/>
        <w:outlineLvl w:val="0"/>
        <w:rPr>
          <w:rFonts w:ascii="华文中宋" w:hAnsi="华文中宋"/>
          <w:b/>
        </w:rPr>
      </w:pPr>
      <w:r>
        <w:rPr>
          <w:rFonts w:hint="eastAsia" w:ascii="华文中宋" w:hAnsi="华文中宋"/>
          <w:b/>
        </w:rPr>
        <w:t>七、需要制定或废止其他标准的建议及说明</w:t>
      </w:r>
    </w:p>
    <w:p>
      <w:pPr>
        <w:ind w:firstLine="560"/>
        <w:rPr>
          <w:rFonts w:ascii="华文中宋" w:hAnsi="华文中宋"/>
        </w:rPr>
      </w:pPr>
      <w:r>
        <w:rPr>
          <w:rFonts w:hint="eastAsia" w:ascii="华文中宋" w:hAnsi="华文中宋"/>
        </w:rPr>
        <w:t>无。</w:t>
      </w:r>
    </w:p>
    <w:p>
      <w:pPr>
        <w:ind w:firstLine="560"/>
        <w:rPr>
          <w:rFonts w:ascii="华文中宋" w:hAnsi="华文中宋"/>
        </w:rPr>
      </w:pPr>
    </w:p>
    <w:p>
      <w:pPr>
        <w:ind w:right="560" w:rightChars="200" w:firstLine="560"/>
        <w:jc w:val="right"/>
        <w:rPr>
          <w:rFonts w:ascii="华文中宋" w:hAnsi="华文中宋"/>
        </w:rPr>
      </w:pPr>
      <w:r>
        <w:rPr>
          <w:rFonts w:hint="eastAsia" w:ascii="华文中宋" w:hAnsi="华文中宋"/>
        </w:rPr>
        <w:t>《</w:t>
      </w:r>
      <w:r>
        <w:rPr>
          <w:rFonts w:hint="eastAsia" w:hAnsi="华文中宋"/>
        </w:rPr>
        <w:t>石油天然气钻采设备 自动化连续管作业装备</w:t>
      </w:r>
      <w:r>
        <w:rPr>
          <w:rFonts w:hint="eastAsia" w:ascii="华文中宋" w:hAnsi="华文中宋"/>
        </w:rPr>
        <w:t>》起草工作组</w:t>
      </w:r>
    </w:p>
    <w:p>
      <w:pPr>
        <w:spacing w:line="240" w:lineRule="atLeast"/>
        <w:ind w:right="560" w:rightChars="200" w:firstLine="560"/>
        <w:jc w:val="right"/>
      </w:pPr>
      <w:r>
        <w:rPr>
          <w:rFonts w:hint="eastAsia" w:ascii="华文中宋" w:hAnsi="华文中宋"/>
        </w:rPr>
        <w:t>2022年</w:t>
      </w:r>
      <w:r>
        <w:rPr>
          <w:rFonts w:hint="eastAsia" w:ascii="华文中宋" w:hAnsi="华文中宋"/>
          <w:lang w:val="en-US" w:eastAsia="zh-CN"/>
        </w:rPr>
        <w:t>8</w:t>
      </w:r>
      <w:r>
        <w:rPr>
          <w:rFonts w:hint="eastAsia" w:ascii="华文中宋" w:hAnsi="华文中宋"/>
        </w:rPr>
        <w:t>月28日</w:t>
      </w:r>
      <w:bookmarkStart w:id="0" w:name="_GoBack"/>
      <w:bookmarkEnd w:id="0"/>
    </w:p>
    <w:p>
      <w:pPr>
        <w:widowControl/>
        <w:adjustRightInd/>
        <w:snapToGrid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</w:pPr>
      <w:r>
        <w:rPr>
          <w:rFonts w:hint="eastAsia"/>
        </w:rPr>
        <w:t>附表1</w:t>
      </w:r>
    </w:p>
    <w:p>
      <w:pPr>
        <w:ind w:firstLine="0" w:firstLineChars="0"/>
        <w:jc w:val="center"/>
      </w:pPr>
      <w:r>
        <w:rPr>
          <w:rFonts w:hint="eastAsia"/>
        </w:rPr>
        <w:t>标准计划、工作组名单及工作分工</w:t>
      </w:r>
    </w:p>
    <w:tbl>
      <w:tblPr>
        <w:tblStyle w:val="14"/>
        <w:tblW w:w="567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11"/>
        <w:gridCol w:w="991"/>
        <w:gridCol w:w="3827"/>
        <w:gridCol w:w="1274"/>
        <w:gridCol w:w="2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标准编制小组成员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jc w:val="center"/>
            </w:pPr>
            <w:r>
              <w:rPr>
                <w:rFonts w:hint="eastAsia"/>
              </w:rPr>
              <w:t>2022年工作计划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color w:val="FF0000"/>
              </w:rPr>
              <w:t>（按月制定工作计划）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石油天然气钻采设备自动化连续管作业装备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制定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中石化四机石油机械有限公司</w:t>
            </w:r>
          </w:p>
        </w:tc>
        <w:tc>
          <w:tcPr>
            <w:tcW w:w="18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　</w:t>
            </w:r>
          </w:p>
          <w:p>
            <w:pPr>
              <w:pStyle w:val="2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中石化江汉石油工程有限公司</w:t>
            </w:r>
            <w:r>
              <w:rPr>
                <w:color w:val="auto"/>
                <w:sz w:val="21"/>
                <w:szCs w:val="20"/>
              </w:rPr>
              <w:t>页岩气开采技术服务公司</w:t>
            </w:r>
            <w:r>
              <w:rPr>
                <w:rFonts w:hint="eastAsia"/>
                <w:color w:val="auto"/>
                <w:sz w:val="21"/>
                <w:szCs w:val="20"/>
              </w:rPr>
              <w:t>、</w:t>
            </w:r>
          </w:p>
          <w:p>
            <w:pPr>
              <w:pStyle w:val="20"/>
            </w:pPr>
            <w:r>
              <w:rPr>
                <w:rFonts w:hint="eastAsia"/>
                <w:color w:val="auto"/>
                <w:sz w:val="21"/>
                <w:szCs w:val="20"/>
              </w:rPr>
              <w:t>中石化西南石油工程有限公司井下作业分公司</w:t>
            </w:r>
            <w:r>
              <w:rPr>
                <w:rFonts w:hint="eastAsia"/>
              </w:rPr>
              <w:t>、</w:t>
            </w:r>
          </w:p>
          <w:p>
            <w:pPr>
              <w:pStyle w:val="20"/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组长：</w:t>
            </w:r>
          </w:p>
          <w:p>
            <w:pPr>
              <w:pStyle w:val="20"/>
            </w:pPr>
            <w:r>
              <w:rPr>
                <w:rFonts w:hint="eastAsia"/>
              </w:rPr>
              <w:t>刘燕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组员：</w:t>
            </w:r>
          </w:p>
          <w:p>
            <w:pPr>
              <w:pStyle w:val="20"/>
              <w:rPr>
                <w:rFonts w:hint="eastAsia"/>
              </w:rPr>
            </w:pPr>
            <w:r>
              <w:t>孙晓明、孙仁俊、刘洪钰、殷长江、孙建磊、康丽梅、邓成邦</w:t>
            </w:r>
            <w:r>
              <w:rPr>
                <w:rFonts w:hint="eastAsia"/>
              </w:rPr>
              <w:t>、</w:t>
            </w:r>
          </w:p>
          <w:p>
            <w:pPr>
              <w:pStyle w:val="20"/>
              <w:rPr>
                <w:rFonts w:hint="eastAsia"/>
              </w:rPr>
            </w:pPr>
            <w:r>
              <w:rPr>
                <w:rFonts w:hint="eastAsia"/>
              </w:rPr>
              <w:t>王  汤、</w:t>
            </w:r>
          </w:p>
          <w:p>
            <w:pPr>
              <w:pStyle w:val="20"/>
            </w:pPr>
            <w:r>
              <w:rPr>
                <w:rFonts w:hint="eastAsia"/>
              </w:rPr>
              <w:t>石双明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</w:pPr>
            <w:r>
              <w:rPr>
                <w:rFonts w:hint="eastAsia"/>
              </w:rPr>
              <w:t>2月，完成标准目录；</w:t>
            </w:r>
          </w:p>
          <w:p>
            <w:pPr>
              <w:pStyle w:val="20"/>
            </w:pPr>
            <w:r>
              <w:rPr>
                <w:rFonts w:hint="eastAsia"/>
              </w:rPr>
              <w:t>3月，完成标准草案；</w:t>
            </w:r>
          </w:p>
          <w:p>
            <w:pPr>
              <w:pStyle w:val="20"/>
            </w:pPr>
            <w:r>
              <w:rPr>
                <w:rFonts w:hint="eastAsia"/>
              </w:rPr>
              <w:t>4月，完成征求意见稿；</w:t>
            </w:r>
          </w:p>
          <w:p>
            <w:pPr>
              <w:pStyle w:val="20"/>
            </w:pPr>
            <w:r>
              <w:rPr>
                <w:rFonts w:hint="eastAsia"/>
              </w:rPr>
              <w:t>7月，完成送审稿；</w:t>
            </w:r>
          </w:p>
          <w:p>
            <w:pPr>
              <w:pStyle w:val="20"/>
            </w:pPr>
            <w:r>
              <w:rPr>
                <w:rFonts w:hint="eastAsia"/>
              </w:rPr>
              <w:t>9月，完成报批稿。</w:t>
            </w:r>
          </w:p>
        </w:tc>
      </w:tr>
    </w:tbl>
    <w:p>
      <w:pPr>
        <w:ind w:firstLine="560"/>
      </w:pP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linePitch="38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66E1E"/>
    <w:multiLevelType w:val="multilevel"/>
    <w:tmpl w:val="40A66E1E"/>
    <w:lvl w:ilvl="0" w:tentative="0">
      <w:start w:val="1"/>
      <w:numFmt w:val="decimal"/>
      <w:lvlText w:val="%1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E272AD9"/>
    <w:multiLevelType w:val="multilevel"/>
    <w:tmpl w:val="6E272AD9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C6E"/>
    <w:rsid w:val="00057025"/>
    <w:rsid w:val="00061ED6"/>
    <w:rsid w:val="000668BE"/>
    <w:rsid w:val="0009507A"/>
    <w:rsid w:val="000A6263"/>
    <w:rsid w:val="000B268E"/>
    <w:rsid w:val="000B2783"/>
    <w:rsid w:val="000B2F92"/>
    <w:rsid w:val="000C4DA7"/>
    <w:rsid w:val="000D30DB"/>
    <w:rsid w:val="000D7C5F"/>
    <w:rsid w:val="000E09E7"/>
    <w:rsid w:val="000E4212"/>
    <w:rsid w:val="000E70DB"/>
    <w:rsid w:val="001013FE"/>
    <w:rsid w:val="001039FE"/>
    <w:rsid w:val="001063C9"/>
    <w:rsid w:val="00114587"/>
    <w:rsid w:val="00114EC7"/>
    <w:rsid w:val="001243AF"/>
    <w:rsid w:val="00126FA2"/>
    <w:rsid w:val="0013127D"/>
    <w:rsid w:val="00132451"/>
    <w:rsid w:val="00150A87"/>
    <w:rsid w:val="00154032"/>
    <w:rsid w:val="0017566F"/>
    <w:rsid w:val="00177153"/>
    <w:rsid w:val="00181E03"/>
    <w:rsid w:val="0018690C"/>
    <w:rsid w:val="00197364"/>
    <w:rsid w:val="00197E7E"/>
    <w:rsid w:val="001B0319"/>
    <w:rsid w:val="001B0DB7"/>
    <w:rsid w:val="001B3FCA"/>
    <w:rsid w:val="001C2B8A"/>
    <w:rsid w:val="001E0B58"/>
    <w:rsid w:val="001E5DD3"/>
    <w:rsid w:val="001F7E63"/>
    <w:rsid w:val="00201943"/>
    <w:rsid w:val="002024C5"/>
    <w:rsid w:val="002049AB"/>
    <w:rsid w:val="00205B0B"/>
    <w:rsid w:val="00213E45"/>
    <w:rsid w:val="0021685A"/>
    <w:rsid w:val="00217FB6"/>
    <w:rsid w:val="00222252"/>
    <w:rsid w:val="00222E39"/>
    <w:rsid w:val="0024121E"/>
    <w:rsid w:val="002427A2"/>
    <w:rsid w:val="0025066A"/>
    <w:rsid w:val="00252DBF"/>
    <w:rsid w:val="002613FC"/>
    <w:rsid w:val="002674B5"/>
    <w:rsid w:val="002710D1"/>
    <w:rsid w:val="00275F4B"/>
    <w:rsid w:val="00283DB1"/>
    <w:rsid w:val="00291DFF"/>
    <w:rsid w:val="002A2233"/>
    <w:rsid w:val="002C1C57"/>
    <w:rsid w:val="002C7437"/>
    <w:rsid w:val="002D3BC9"/>
    <w:rsid w:val="002D4F9D"/>
    <w:rsid w:val="002D6CEB"/>
    <w:rsid w:val="002E11B7"/>
    <w:rsid w:val="002E7114"/>
    <w:rsid w:val="002F27A2"/>
    <w:rsid w:val="002F51EF"/>
    <w:rsid w:val="00301F2A"/>
    <w:rsid w:val="00320192"/>
    <w:rsid w:val="003322BA"/>
    <w:rsid w:val="003438D9"/>
    <w:rsid w:val="0035516B"/>
    <w:rsid w:val="00356353"/>
    <w:rsid w:val="00356535"/>
    <w:rsid w:val="00357FB3"/>
    <w:rsid w:val="003627EA"/>
    <w:rsid w:val="00363E4C"/>
    <w:rsid w:val="00383839"/>
    <w:rsid w:val="003B0FFD"/>
    <w:rsid w:val="003B2C27"/>
    <w:rsid w:val="003D6F06"/>
    <w:rsid w:val="003F161D"/>
    <w:rsid w:val="00414C3C"/>
    <w:rsid w:val="0041539F"/>
    <w:rsid w:val="00416D49"/>
    <w:rsid w:val="00416F59"/>
    <w:rsid w:val="0042431A"/>
    <w:rsid w:val="004319E0"/>
    <w:rsid w:val="004336FD"/>
    <w:rsid w:val="004363CC"/>
    <w:rsid w:val="00442E67"/>
    <w:rsid w:val="0044654F"/>
    <w:rsid w:val="00452447"/>
    <w:rsid w:val="00460D69"/>
    <w:rsid w:val="004705B4"/>
    <w:rsid w:val="004A2DA8"/>
    <w:rsid w:val="004A4EC9"/>
    <w:rsid w:val="004A550B"/>
    <w:rsid w:val="004B0F07"/>
    <w:rsid w:val="004B6F87"/>
    <w:rsid w:val="004C76BF"/>
    <w:rsid w:val="004D12AE"/>
    <w:rsid w:val="004D561A"/>
    <w:rsid w:val="004D68E9"/>
    <w:rsid w:val="004E154C"/>
    <w:rsid w:val="004E5DDB"/>
    <w:rsid w:val="004F36D6"/>
    <w:rsid w:val="004F6A5C"/>
    <w:rsid w:val="00506624"/>
    <w:rsid w:val="005152E9"/>
    <w:rsid w:val="00523DCB"/>
    <w:rsid w:val="005319FD"/>
    <w:rsid w:val="005328AB"/>
    <w:rsid w:val="00545F87"/>
    <w:rsid w:val="00557839"/>
    <w:rsid w:val="00564F32"/>
    <w:rsid w:val="00566374"/>
    <w:rsid w:val="00583B4A"/>
    <w:rsid w:val="005857F2"/>
    <w:rsid w:val="0059291C"/>
    <w:rsid w:val="00596443"/>
    <w:rsid w:val="005B3819"/>
    <w:rsid w:val="005B6464"/>
    <w:rsid w:val="005C0BD9"/>
    <w:rsid w:val="005C7A40"/>
    <w:rsid w:val="005E2BAC"/>
    <w:rsid w:val="005E5C27"/>
    <w:rsid w:val="006007F5"/>
    <w:rsid w:val="0061074F"/>
    <w:rsid w:val="00615300"/>
    <w:rsid w:val="00625ED1"/>
    <w:rsid w:val="00634372"/>
    <w:rsid w:val="00637538"/>
    <w:rsid w:val="0065462F"/>
    <w:rsid w:val="006548C5"/>
    <w:rsid w:val="006674B7"/>
    <w:rsid w:val="00686A8B"/>
    <w:rsid w:val="006A52E2"/>
    <w:rsid w:val="006B122F"/>
    <w:rsid w:val="006B3163"/>
    <w:rsid w:val="006D2009"/>
    <w:rsid w:val="006D3E75"/>
    <w:rsid w:val="006D6EAE"/>
    <w:rsid w:val="006E1476"/>
    <w:rsid w:val="006E2F50"/>
    <w:rsid w:val="006F1320"/>
    <w:rsid w:val="006F190D"/>
    <w:rsid w:val="006F290E"/>
    <w:rsid w:val="007111DA"/>
    <w:rsid w:val="00715B58"/>
    <w:rsid w:val="00724886"/>
    <w:rsid w:val="00735213"/>
    <w:rsid w:val="00735975"/>
    <w:rsid w:val="00736568"/>
    <w:rsid w:val="00736C9C"/>
    <w:rsid w:val="00737C43"/>
    <w:rsid w:val="00744D25"/>
    <w:rsid w:val="007629EC"/>
    <w:rsid w:val="00764C4A"/>
    <w:rsid w:val="0078229C"/>
    <w:rsid w:val="00784E1F"/>
    <w:rsid w:val="00797F5C"/>
    <w:rsid w:val="007A0081"/>
    <w:rsid w:val="007B0E92"/>
    <w:rsid w:val="007B525A"/>
    <w:rsid w:val="007B77E1"/>
    <w:rsid w:val="007E1E49"/>
    <w:rsid w:val="007E4F06"/>
    <w:rsid w:val="007F35A2"/>
    <w:rsid w:val="007F5211"/>
    <w:rsid w:val="007F632C"/>
    <w:rsid w:val="00816645"/>
    <w:rsid w:val="00823112"/>
    <w:rsid w:val="0082328F"/>
    <w:rsid w:val="008257AC"/>
    <w:rsid w:val="008306DB"/>
    <w:rsid w:val="00831FDF"/>
    <w:rsid w:val="00846624"/>
    <w:rsid w:val="0086360F"/>
    <w:rsid w:val="00870BB0"/>
    <w:rsid w:val="008769EB"/>
    <w:rsid w:val="008806C0"/>
    <w:rsid w:val="008A3F64"/>
    <w:rsid w:val="008A40D5"/>
    <w:rsid w:val="008B3960"/>
    <w:rsid w:val="008C4BFC"/>
    <w:rsid w:val="008F3660"/>
    <w:rsid w:val="009054AE"/>
    <w:rsid w:val="00910730"/>
    <w:rsid w:val="00922034"/>
    <w:rsid w:val="0093497E"/>
    <w:rsid w:val="00944476"/>
    <w:rsid w:val="00951EFA"/>
    <w:rsid w:val="00953027"/>
    <w:rsid w:val="0095511D"/>
    <w:rsid w:val="0096188D"/>
    <w:rsid w:val="00971335"/>
    <w:rsid w:val="00982747"/>
    <w:rsid w:val="009868A4"/>
    <w:rsid w:val="00991907"/>
    <w:rsid w:val="00994C6E"/>
    <w:rsid w:val="009A4410"/>
    <w:rsid w:val="009A665A"/>
    <w:rsid w:val="009C456B"/>
    <w:rsid w:val="009C653D"/>
    <w:rsid w:val="009D0E74"/>
    <w:rsid w:val="009D5299"/>
    <w:rsid w:val="009F075D"/>
    <w:rsid w:val="00A02A68"/>
    <w:rsid w:val="00A03460"/>
    <w:rsid w:val="00A334D9"/>
    <w:rsid w:val="00A40451"/>
    <w:rsid w:val="00A408BC"/>
    <w:rsid w:val="00A4223F"/>
    <w:rsid w:val="00A466C0"/>
    <w:rsid w:val="00A5186E"/>
    <w:rsid w:val="00A51E01"/>
    <w:rsid w:val="00A531D5"/>
    <w:rsid w:val="00A62522"/>
    <w:rsid w:val="00A65E78"/>
    <w:rsid w:val="00A775BC"/>
    <w:rsid w:val="00A80F25"/>
    <w:rsid w:val="00A924F3"/>
    <w:rsid w:val="00A93977"/>
    <w:rsid w:val="00A94023"/>
    <w:rsid w:val="00AA2921"/>
    <w:rsid w:val="00AB430C"/>
    <w:rsid w:val="00AC078A"/>
    <w:rsid w:val="00AC0830"/>
    <w:rsid w:val="00AC682F"/>
    <w:rsid w:val="00AD1A14"/>
    <w:rsid w:val="00AD363F"/>
    <w:rsid w:val="00AE6729"/>
    <w:rsid w:val="00AF4E28"/>
    <w:rsid w:val="00B02722"/>
    <w:rsid w:val="00B05BD6"/>
    <w:rsid w:val="00B160F4"/>
    <w:rsid w:val="00B16DB9"/>
    <w:rsid w:val="00B228FE"/>
    <w:rsid w:val="00B3416D"/>
    <w:rsid w:val="00B5495A"/>
    <w:rsid w:val="00B91AE9"/>
    <w:rsid w:val="00B93099"/>
    <w:rsid w:val="00B94914"/>
    <w:rsid w:val="00B95C9B"/>
    <w:rsid w:val="00B964D7"/>
    <w:rsid w:val="00B97E9C"/>
    <w:rsid w:val="00BA2B9B"/>
    <w:rsid w:val="00BB1DB4"/>
    <w:rsid w:val="00BB5263"/>
    <w:rsid w:val="00BD7978"/>
    <w:rsid w:val="00BE436E"/>
    <w:rsid w:val="00BE6857"/>
    <w:rsid w:val="00C05C9E"/>
    <w:rsid w:val="00C12D4C"/>
    <w:rsid w:val="00C20EF5"/>
    <w:rsid w:val="00C24C76"/>
    <w:rsid w:val="00C33824"/>
    <w:rsid w:val="00C44F70"/>
    <w:rsid w:val="00C46F44"/>
    <w:rsid w:val="00C53C2C"/>
    <w:rsid w:val="00C568A1"/>
    <w:rsid w:val="00C600F9"/>
    <w:rsid w:val="00C605CE"/>
    <w:rsid w:val="00C63FEB"/>
    <w:rsid w:val="00C65BF3"/>
    <w:rsid w:val="00C77078"/>
    <w:rsid w:val="00C826B7"/>
    <w:rsid w:val="00C82E54"/>
    <w:rsid w:val="00C91009"/>
    <w:rsid w:val="00CA057F"/>
    <w:rsid w:val="00CB298A"/>
    <w:rsid w:val="00CC0195"/>
    <w:rsid w:val="00CC47C5"/>
    <w:rsid w:val="00CC5C15"/>
    <w:rsid w:val="00D15F80"/>
    <w:rsid w:val="00D22B88"/>
    <w:rsid w:val="00D4647F"/>
    <w:rsid w:val="00D631D3"/>
    <w:rsid w:val="00D743AF"/>
    <w:rsid w:val="00D863FC"/>
    <w:rsid w:val="00D87821"/>
    <w:rsid w:val="00D8799D"/>
    <w:rsid w:val="00D9681D"/>
    <w:rsid w:val="00DA197E"/>
    <w:rsid w:val="00DA40DF"/>
    <w:rsid w:val="00DA4AC0"/>
    <w:rsid w:val="00DA52FB"/>
    <w:rsid w:val="00DA5BD6"/>
    <w:rsid w:val="00DA7724"/>
    <w:rsid w:val="00DA7BFA"/>
    <w:rsid w:val="00DB584A"/>
    <w:rsid w:val="00DB5CF3"/>
    <w:rsid w:val="00DD4AEA"/>
    <w:rsid w:val="00DF3CBE"/>
    <w:rsid w:val="00DF7812"/>
    <w:rsid w:val="00E15E61"/>
    <w:rsid w:val="00E20AEE"/>
    <w:rsid w:val="00E2102F"/>
    <w:rsid w:val="00E23F33"/>
    <w:rsid w:val="00E26DA6"/>
    <w:rsid w:val="00E33CD5"/>
    <w:rsid w:val="00E40C19"/>
    <w:rsid w:val="00E419BE"/>
    <w:rsid w:val="00E4262B"/>
    <w:rsid w:val="00E50605"/>
    <w:rsid w:val="00E70485"/>
    <w:rsid w:val="00E7125A"/>
    <w:rsid w:val="00E737D3"/>
    <w:rsid w:val="00E7442D"/>
    <w:rsid w:val="00E83AD9"/>
    <w:rsid w:val="00E84A11"/>
    <w:rsid w:val="00ED117F"/>
    <w:rsid w:val="00EE00A4"/>
    <w:rsid w:val="00EE6DC5"/>
    <w:rsid w:val="00EF1DF1"/>
    <w:rsid w:val="00F038E9"/>
    <w:rsid w:val="00F1322F"/>
    <w:rsid w:val="00F22A67"/>
    <w:rsid w:val="00F25AC2"/>
    <w:rsid w:val="00F33965"/>
    <w:rsid w:val="00F37688"/>
    <w:rsid w:val="00F427B0"/>
    <w:rsid w:val="00F440A4"/>
    <w:rsid w:val="00F4747F"/>
    <w:rsid w:val="00F52CCF"/>
    <w:rsid w:val="00F649CF"/>
    <w:rsid w:val="00F75D9D"/>
    <w:rsid w:val="00F91D64"/>
    <w:rsid w:val="00F92479"/>
    <w:rsid w:val="00FA543C"/>
    <w:rsid w:val="00FB0196"/>
    <w:rsid w:val="00FB4131"/>
    <w:rsid w:val="00FC6CBB"/>
    <w:rsid w:val="00FE0BBB"/>
    <w:rsid w:val="00FE6262"/>
    <w:rsid w:val="00FF43D7"/>
    <w:rsid w:val="00FF6443"/>
    <w:rsid w:val="0B903ADE"/>
    <w:rsid w:val="0BAC313C"/>
    <w:rsid w:val="0EC168EF"/>
    <w:rsid w:val="0F093644"/>
    <w:rsid w:val="38E215C2"/>
    <w:rsid w:val="3BE07ACC"/>
    <w:rsid w:val="42580336"/>
    <w:rsid w:val="60D73420"/>
    <w:rsid w:val="69811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华文中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next w:val="1"/>
    <w:link w:val="32"/>
    <w:qFormat/>
    <w:uiPriority w:val="9"/>
    <w:pPr>
      <w:adjustRightInd w:val="0"/>
      <w:snapToGrid w:val="0"/>
      <w:spacing w:line="360" w:lineRule="auto"/>
      <w:outlineLvl w:val="0"/>
    </w:pPr>
    <w:rPr>
      <w:rFonts w:ascii="Times New Roman" w:hAnsi="Times New Roman" w:eastAsia="华文中宋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link w:val="33"/>
    <w:unhideWhenUsed/>
    <w:qFormat/>
    <w:uiPriority w:val="9"/>
    <w:pPr>
      <w:adjustRightInd w:val="0"/>
      <w:snapToGrid w:val="0"/>
      <w:spacing w:line="360" w:lineRule="auto"/>
      <w:jc w:val="both"/>
      <w:outlineLvl w:val="1"/>
    </w:pPr>
    <w:rPr>
      <w:rFonts w:eastAsia="华文中宋" w:asciiTheme="majorHAnsi" w:hAnsiTheme="majorHAnsi" w:cstheme="majorBidi"/>
      <w:bCs/>
      <w:kern w:val="2"/>
      <w:sz w:val="28"/>
      <w:szCs w:val="3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_GB2312"/>
      <w:sz w:val="24"/>
      <w:szCs w:val="20"/>
    </w:rPr>
  </w:style>
  <w:style w:type="paragraph" w:styleId="5">
    <w:name w:val="Body Text Indent"/>
    <w:basedOn w:val="1"/>
    <w:semiHidden/>
    <w:qFormat/>
    <w:uiPriority w:val="0"/>
    <w:pPr>
      <w:spacing w:line="560" w:lineRule="exact"/>
      <w:ind w:left="360" w:firstLine="538" w:firstLineChars="168"/>
    </w:pPr>
    <w:rPr>
      <w:rFonts w:ascii="仿宋_GB2312"/>
      <w:sz w:val="32"/>
    </w:rPr>
  </w:style>
  <w:style w:type="paragraph" w:styleId="6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 w:eastAsia="宋体"/>
      <w:sz w:val="21"/>
      <w:szCs w:val="21"/>
    </w:rPr>
  </w:style>
  <w:style w:type="paragraph" w:styleId="7">
    <w:name w:val="Date"/>
    <w:basedOn w:val="1"/>
    <w:next w:val="1"/>
    <w:semiHidden/>
    <w:qFormat/>
    <w:uiPriority w:val="0"/>
    <w:pPr>
      <w:ind w:left="100" w:leftChars="2500"/>
    </w:pPr>
    <w:rPr>
      <w:rFonts w:ascii="仿宋_GB2312" w:hAnsi="宋体"/>
      <w:color w:val="FF0000"/>
      <w:sz w:val="24"/>
    </w:rPr>
  </w:style>
  <w:style w:type="paragraph" w:styleId="8">
    <w:name w:val="Body Text Indent 2"/>
    <w:basedOn w:val="1"/>
    <w:semiHidden/>
    <w:qFormat/>
    <w:uiPriority w:val="0"/>
    <w:pPr>
      <w:spacing w:line="560" w:lineRule="exact"/>
      <w:ind w:left="359" w:leftChars="171" w:firstLine="361"/>
    </w:pPr>
    <w:rPr>
      <w:rFonts w:ascii="仿宋_GB2312"/>
      <w:sz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eastAsia="宋体"/>
      <w:sz w:val="21"/>
      <w:szCs w:val="21"/>
    </w:rPr>
  </w:style>
  <w:style w:type="paragraph" w:styleId="13">
    <w:name w:val="Body Text Indent 3"/>
    <w:basedOn w:val="1"/>
    <w:semiHidden/>
    <w:qFormat/>
    <w:uiPriority w:val="0"/>
    <w:pPr>
      <w:spacing w:line="560" w:lineRule="exact"/>
      <w:ind w:firstLine="630"/>
    </w:pPr>
    <w:rPr>
      <w:rFonts w:ascii="仿宋_GB2312" w:hAnsi="宋体"/>
      <w:spacing w:val="6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FollowedHyperlink"/>
    <w:basedOn w:val="16"/>
    <w:semiHidden/>
    <w:qFormat/>
    <w:uiPriority w:val="0"/>
    <w:rPr>
      <w:color w:val="800080"/>
      <w:u w:val="single"/>
    </w:rPr>
  </w:style>
  <w:style w:type="character" w:styleId="19">
    <w:name w:val="Hyperlink"/>
    <w:basedOn w:val="16"/>
    <w:semiHidden/>
    <w:qFormat/>
    <w:uiPriority w:val="0"/>
    <w:rPr>
      <w:color w:val="0000FF"/>
      <w:u w:val="single"/>
    </w:rPr>
  </w:style>
  <w:style w:type="paragraph" w:customStyle="1" w:styleId="20">
    <w:name w:val="表"/>
    <w:link w:val="34"/>
    <w:qFormat/>
    <w:uiPriority w:val="0"/>
    <w:pPr>
      <w:adjustRightInd w:val="0"/>
      <w:snapToGrid w:val="0"/>
      <w:spacing w:line="288" w:lineRule="auto"/>
    </w:pPr>
    <w:rPr>
      <w:rFonts w:ascii="仿宋" w:hAnsi="仿宋" w:eastAsia="华文中宋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 Char Char Char Char Char Char Char Char"/>
    <w:basedOn w:val="1"/>
    <w:qFormat/>
    <w:uiPriority w:val="0"/>
    <w:rPr>
      <w:rFonts w:eastAsia="宋体"/>
      <w:sz w:val="21"/>
      <w:szCs w:val="21"/>
    </w:rPr>
  </w:style>
  <w:style w:type="character" w:customStyle="1" w:styleId="22">
    <w:name w:val="页脚 Char"/>
    <w:basedOn w:val="16"/>
    <w:link w:val="10"/>
    <w:qFormat/>
    <w:uiPriority w:val="99"/>
    <w:rPr>
      <w:rFonts w:eastAsia="仿宋_GB2312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二级条标题 Char Char"/>
    <w:link w:val="25"/>
    <w:qFormat/>
    <w:uiPriority w:val="0"/>
    <w:rPr>
      <w:rFonts w:eastAsia="黑体"/>
      <w:kern w:val="2"/>
      <w:sz w:val="21"/>
      <w:szCs w:val="24"/>
    </w:rPr>
  </w:style>
  <w:style w:type="paragraph" w:customStyle="1" w:styleId="25">
    <w:name w:val="二级条标题"/>
    <w:basedOn w:val="1"/>
    <w:next w:val="1"/>
    <w:link w:val="24"/>
    <w:qFormat/>
    <w:uiPriority w:val="0"/>
    <w:pPr>
      <w:widowControl/>
      <w:tabs>
        <w:tab w:val="left" w:pos="2880"/>
      </w:tabs>
      <w:ind w:left="2880" w:hanging="720"/>
      <w:jc w:val="left"/>
      <w:outlineLvl w:val="3"/>
    </w:pPr>
    <w:rPr>
      <w:rFonts w:eastAsia="黑体"/>
      <w:sz w:val="21"/>
      <w:szCs w:val="24"/>
    </w:rPr>
  </w:style>
  <w:style w:type="paragraph" w:customStyle="1" w:styleId="26">
    <w:name w:val="章标题"/>
    <w:next w:val="1"/>
    <w:qFormat/>
    <w:uiPriority w:val="0"/>
    <w:pPr>
      <w:tabs>
        <w:tab w:val="left" w:pos="1440"/>
      </w:tabs>
      <w:adjustRightInd w:val="0"/>
      <w:snapToGrid w:val="0"/>
      <w:spacing w:beforeLines="50" w:afterLines="50" w:line="360" w:lineRule="auto"/>
      <w:jc w:val="center"/>
      <w:outlineLvl w:val="0"/>
    </w:pPr>
    <w:rPr>
      <w:rFonts w:ascii="黑体" w:hAnsi="Times New Roman" w:eastAsia="华文中宋" w:cs="Times New Roman"/>
      <w:b/>
      <w:sz w:val="28"/>
      <w:lang w:val="en-US" w:eastAsia="zh-CN" w:bidi="ar-SA"/>
    </w:rPr>
  </w:style>
  <w:style w:type="paragraph" w:customStyle="1" w:styleId="27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">
    <w:name w:val="实施日期"/>
    <w:basedOn w:val="1"/>
    <w:qFormat/>
    <w:uiPriority w:val="0"/>
    <w:pPr>
      <w:widowControl/>
      <w:tabs>
        <w:tab w:val="left" w:pos="3600"/>
      </w:tabs>
      <w:ind w:left="3600" w:hanging="720"/>
      <w:jc w:val="right"/>
    </w:pPr>
    <w:rPr>
      <w:rFonts w:eastAsia="黑体"/>
      <w:kern w:val="0"/>
      <w:szCs w:val="20"/>
    </w:rPr>
  </w:style>
  <w:style w:type="paragraph" w:customStyle="1" w:styleId="29">
    <w:name w:val="三级无"/>
    <w:basedOn w:val="1"/>
    <w:qFormat/>
    <w:uiPriority w:val="0"/>
    <w:pPr>
      <w:widowControl/>
      <w:jc w:val="left"/>
      <w:outlineLvl w:val="4"/>
    </w:pPr>
    <w:rPr>
      <w:rFonts w:ascii="宋体" w:eastAsia="宋体"/>
      <w:kern w:val="0"/>
      <w:sz w:val="21"/>
      <w:szCs w:val="21"/>
    </w:rPr>
  </w:style>
  <w:style w:type="paragraph" w:customStyle="1" w:styleId="30">
    <w:name w:val="二级无"/>
    <w:basedOn w:val="25"/>
    <w:qFormat/>
    <w:uiPriority w:val="0"/>
    <w:pPr>
      <w:tabs>
        <w:tab w:val="left" w:pos="1920"/>
      </w:tabs>
      <w:ind w:left="1920" w:hanging="1080"/>
    </w:pPr>
    <w:rPr>
      <w:rFonts w:ascii="宋体" w:eastAsia="宋体"/>
      <w:kern w:val="0"/>
      <w:szCs w:val="21"/>
    </w:rPr>
  </w:style>
  <w:style w:type="paragraph" w:customStyle="1" w:styleId="31">
    <w:name w:val="四级条标题"/>
    <w:basedOn w:val="1"/>
    <w:next w:val="1"/>
    <w:qFormat/>
    <w:uiPriority w:val="0"/>
    <w:pPr>
      <w:widowControl/>
      <w:spacing w:beforeLines="50" w:afterLines="50"/>
      <w:jc w:val="left"/>
      <w:outlineLvl w:val="5"/>
    </w:pPr>
    <w:rPr>
      <w:rFonts w:ascii="黑体" w:eastAsia="黑体"/>
      <w:kern w:val="0"/>
      <w:sz w:val="21"/>
      <w:szCs w:val="21"/>
    </w:rPr>
  </w:style>
  <w:style w:type="character" w:customStyle="1" w:styleId="32">
    <w:name w:val="标题 1 Char"/>
    <w:basedOn w:val="16"/>
    <w:link w:val="2"/>
    <w:qFormat/>
    <w:uiPriority w:val="9"/>
    <w:rPr>
      <w:rFonts w:eastAsia="华文中宋"/>
      <w:b/>
      <w:bCs/>
      <w:kern w:val="44"/>
      <w:sz w:val="28"/>
      <w:szCs w:val="44"/>
    </w:rPr>
  </w:style>
  <w:style w:type="character" w:customStyle="1" w:styleId="33">
    <w:name w:val="标题 2 Char"/>
    <w:basedOn w:val="16"/>
    <w:link w:val="3"/>
    <w:qFormat/>
    <w:uiPriority w:val="9"/>
    <w:rPr>
      <w:rFonts w:eastAsia="华文中宋" w:asciiTheme="majorHAnsi" w:hAnsiTheme="majorHAnsi" w:cstheme="majorBidi"/>
      <w:bCs/>
      <w:kern w:val="2"/>
      <w:sz w:val="28"/>
      <w:szCs w:val="32"/>
    </w:rPr>
  </w:style>
  <w:style w:type="character" w:customStyle="1" w:styleId="34">
    <w:name w:val="表 Char"/>
    <w:basedOn w:val="16"/>
    <w:link w:val="20"/>
    <w:qFormat/>
    <w:uiPriority w:val="0"/>
    <w:rPr>
      <w:rFonts w:ascii="仿宋" w:hAnsi="仿宋" w:eastAsia="华文中宋" w:cs="宋体"/>
      <w:color w:val="000000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7A86-D922-4431-BC8D-757E70DA5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bzhs</Company>
  <Pages>6</Pages>
  <Words>360</Words>
  <Characters>2053</Characters>
  <Lines>17</Lines>
  <Paragraphs>4</Paragraphs>
  <TotalTime>1</TotalTime>
  <ScaleCrop>false</ScaleCrop>
  <LinksUpToDate>false</LinksUpToDate>
  <CharactersWithSpaces>2409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2022-04-29T08:08:00Z</dcterms:created>
  <dc:creator>tiger</dc:creator>
  <cp:lastModifiedBy>白南洋</cp:lastModifiedBy>
  <cp:lastPrinted>2021-05-07T08:57:00Z</cp:lastPrinted>
  <dcterms:modified xsi:type="dcterms:W3CDTF">2022-08-31T03:11:21Z</dcterms:modified>
  <dc:title>全国石油钻采设备和工具标准化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0CD524A23A3E4A07816CB6F488347A9E</vt:lpwstr>
  </property>
</Properties>
</file>