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Cs w:val="21"/>
        </w:rPr>
      </w:pPr>
      <w:r>
        <w:rPr>
          <w:rFonts w:ascii="Times New Roman" w:hAnsi="Times New Roman" w:eastAsia="黑体"/>
          <w:szCs w:val="21"/>
        </w:rPr>
        <w:t>ICS 67.140.10</w:t>
      </w:r>
    </w:p>
    <w:p>
      <w:pPr>
        <w:jc w:val="left"/>
        <w:rPr>
          <w:rFonts w:ascii="Times New Roman" w:hAnsi="Times New Roman" w:eastAsia="黑体"/>
          <w:szCs w:val="21"/>
        </w:rPr>
      </w:pPr>
      <w:r>
        <w:rPr>
          <w:rFonts w:hint="eastAsia" w:ascii="Times New Roman" w:hAnsi="Times New Roman" w:eastAsia="黑体"/>
          <w:szCs w:val="21"/>
        </w:rPr>
        <w:t xml:space="preserve">CCS </w:t>
      </w:r>
      <w:r>
        <w:rPr>
          <w:rFonts w:ascii="Times New Roman" w:hAnsi="Times New Roman" w:eastAsia="黑体"/>
          <w:szCs w:val="21"/>
        </w:rPr>
        <w:t>X 55</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rPr>
          <w:rFonts w:ascii="Times New Roman" w:hAnsi="Times New Roman" w:eastAsia="黑体"/>
          <w:sz w:val="52"/>
          <w:szCs w:val="52"/>
        </w:rPr>
      </w:pPr>
      <w:r>
        <w:rPr>
          <w:rFonts w:hint="eastAsia" w:ascii="Times New Roman" w:hAnsi="Times New Roman" w:eastAsia="黑体"/>
          <w:sz w:val="52"/>
          <w:szCs w:val="52"/>
        </w:rPr>
        <w:t>团</w:t>
      </w:r>
      <w:r>
        <w:rPr>
          <w:rFonts w:ascii="Times New Roman" w:hAnsi="Times New Roman" w:eastAsia="黑体"/>
          <w:sz w:val="52"/>
          <w:szCs w:val="52"/>
        </w:rPr>
        <w:t xml:space="preserve">         体       标       准</w:t>
      </w:r>
    </w:p>
    <w:p>
      <w:pPr>
        <w:jc w:val="center"/>
        <w:rPr>
          <w:rFonts w:ascii="Times New Roman" w:hAnsi="Times New Roman" w:eastAsia="黑体"/>
          <w:sz w:val="44"/>
          <w:szCs w:val="44"/>
        </w:rPr>
      </w:pPr>
    </w:p>
    <w:p>
      <w:pPr>
        <w:jc w:val="center"/>
        <w:rPr>
          <w:rFonts w:ascii="Times New Roman" w:hAnsi="Times New Roman" w:eastAsia="黑体"/>
          <w:sz w:val="44"/>
          <w:szCs w:val="44"/>
        </w:rPr>
      </w:pPr>
      <w:r>
        <w:rPr>
          <w:rFonts w:ascii="Times New Roman" w:hAnsi="Times New Roman"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222885</wp:posOffset>
                </wp:positionV>
                <wp:extent cx="6088380" cy="22860"/>
                <wp:effectExtent l="0" t="0" r="26670" b="34925"/>
                <wp:wrapNone/>
                <wp:docPr id="2" name="直接连接符 2"/>
                <wp:cNvGraphicFramePr/>
                <a:graphic xmlns:a="http://schemas.openxmlformats.org/drawingml/2006/main">
                  <a:graphicData uri="http://schemas.microsoft.com/office/word/2010/wordprocessingShape">
                    <wps:wsp>
                      <wps:cNvCnPr/>
                      <wps:spPr>
                        <a:xfrm>
                          <a:off x="0" y="0"/>
                          <a:ext cx="6088456" cy="22634"/>
                        </a:xfrm>
                        <a:prstGeom prst="line">
                          <a:avLst/>
                        </a:prstGeom>
                        <a:ln w="9525">
                          <a:solidFill>
                            <a:srgbClr val="660033"/>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22.6pt;margin-top:17.55pt;height:1.8pt;width:479.4pt;z-index:251659264;mso-width-relative:page;mso-height-relative:page;" filled="f" stroked="t" coordsize="21600,21600" o:gfxdata="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10;yN4A1wAAAAkBAAAPAAAAAAAAAAEAIAAAACIAAABkcnMvZG93bnJldi54bWxQSwECFAAUAAAACACH&#10;TuJAhRbAa+wBAAC1AwAADgAAAAAAAAABACAAAAAmAQAAZHJzL2Uyb0RvYy54bWxQSwUGAAAAAAYA&#10;BgBZAQAAhAUAAAAA&#10;">
                <v:fill on="f" focussize="0,0"/>
                <v:stroke color="#660033 [3205]" miterlimit="8" joinstyle="miter"/>
                <v:imagedata o:title=""/>
                <o:lock v:ext="edit" aspectratio="f"/>
              </v:line>
            </w:pict>
          </mc:Fallback>
        </mc:AlternateConten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rPr>
          <w:rFonts w:ascii="Times New Roman" w:hAnsi="Times New Roman" w:eastAsia="黑体"/>
          <w:sz w:val="44"/>
          <w:szCs w:val="44"/>
        </w:rPr>
      </w:pPr>
    </w:p>
    <w:p>
      <w:pPr>
        <w:jc w:val="center"/>
        <w:rPr>
          <w:rFonts w:ascii="Times New Roman" w:hAnsi="Times New Roman" w:eastAsia="黑体"/>
          <w:sz w:val="44"/>
          <w:szCs w:val="44"/>
        </w:rPr>
      </w:pPr>
      <w:r>
        <w:rPr>
          <w:rFonts w:hint="eastAsia" w:ascii="Times New Roman" w:hAnsi="Times New Roman" w:eastAsia="黑体"/>
          <w:sz w:val="44"/>
          <w:szCs w:val="44"/>
        </w:rPr>
        <w:t>农产品地理标志产品</w:t>
      </w:r>
      <w:r>
        <w:rPr>
          <w:rFonts w:ascii="Times New Roman" w:hAnsi="Times New Roman" w:eastAsia="黑体"/>
          <w:sz w:val="44"/>
          <w:szCs w:val="44"/>
        </w:rPr>
        <w:t xml:space="preserve"> </w:t>
      </w:r>
      <w:r>
        <w:rPr>
          <w:rFonts w:hint="eastAsia" w:ascii="Times New Roman" w:hAnsi="Times New Roman" w:eastAsia="黑体"/>
          <w:sz w:val="44"/>
          <w:szCs w:val="44"/>
        </w:rPr>
        <w:t>永泰绿</w:t>
      </w:r>
      <w:r>
        <w:rPr>
          <w:rFonts w:ascii="Times New Roman" w:hAnsi="Times New Roman" w:eastAsia="黑体"/>
          <w:sz w:val="44"/>
          <w:szCs w:val="44"/>
        </w:rPr>
        <w:t>茶</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Geographical symbolical agricultural product—Yongtai green tea</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r>
        <w:rPr>
          <w:rFonts w:ascii="Times New Roman" w:hAnsi="Times New Roman"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210820</wp:posOffset>
                </wp:positionV>
                <wp:extent cx="6088380" cy="22860"/>
                <wp:effectExtent l="0" t="0" r="26670" b="34925"/>
                <wp:wrapNone/>
                <wp:docPr id="3" name="直接连接符 3"/>
                <wp:cNvGraphicFramePr/>
                <a:graphic xmlns:a="http://schemas.openxmlformats.org/drawingml/2006/main">
                  <a:graphicData uri="http://schemas.microsoft.com/office/word/2010/wordprocessingShape">
                    <wps:wsp>
                      <wps:cNvCnPr/>
                      <wps:spPr>
                        <a:xfrm>
                          <a:off x="0" y="0"/>
                          <a:ext cx="6088456" cy="22634"/>
                        </a:xfrm>
                        <a:prstGeom prst="line">
                          <a:avLst/>
                        </a:prstGeom>
                        <a:ln w="9525">
                          <a:solidFill>
                            <a:srgbClr val="660033"/>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26.25pt;margin-top:16.6pt;height:1.8pt;width:479.4pt;z-index:251660288;mso-width-relative:page;mso-height-relative:page;" filled="f" stroked="t" coordsize="21600,21600" o:gfxdata="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cilNcAAAAJAQAADwAAAAAAAAABACAAAAAiAAAAZHJzL2Rvd25yZXYueG1sUEsBAhQAFAAAAAgA&#10;h07iQFF9ZwbtAQAAtQMAAA4AAAAAAAAAAQAgAAAAJgEAAGRycy9lMm9Eb2MueG1sUEsFBgAAAAAG&#10;AAYAWQEAAIUFAAAAAA==&#10;">
                <v:fill on="f" focussize="0,0"/>
                <v:stroke color="#660033 [3205]" miterlimit="8" joinstyle="miter"/>
                <v:imagedata o:title=""/>
                <o:lock v:ext="edit" aspectratio="f"/>
              </v:line>
            </w:pict>
          </mc:Fallback>
        </mc:AlternateContent>
      </w:r>
    </w:p>
    <w:p>
      <w:pPr>
        <w:jc w:val="center"/>
        <w:rPr>
          <w:rFonts w:ascii="Times New Roman" w:hAnsi="Times New Roman" w:eastAsia="黑体" w:cs="Times New Roman"/>
          <w:sz w:val="28"/>
          <w:szCs w:val="28"/>
        </w:rPr>
      </w:pPr>
    </w:p>
    <w:p>
      <w:pPr>
        <w:jc w:val="center"/>
        <w:rPr>
          <w:rFonts w:hint="eastAsia" w:ascii="Times New Roman" w:hAnsi="Times New Roman" w:eastAsia="黑体" w:cs="Times New Roman"/>
          <w:sz w:val="28"/>
          <w:szCs w:val="28"/>
        </w:rPr>
      </w:pPr>
    </w:p>
    <w:p>
      <w:pPr>
        <w:pStyle w:val="14"/>
        <w:spacing w:after="468"/>
        <w:rPr>
          <w:rFonts w:hint="default"/>
        </w:rPr>
      </w:pPr>
      <w:r>
        <w:rPr>
          <w:spacing w:val="317"/>
        </w:rPr>
        <w:t>目</w:t>
      </w:r>
      <w:bookmarkStart w:id="0" w:name="BKML"/>
      <w:r>
        <w:t>次</w:t>
      </w:r>
      <w:bookmarkEnd w:id="0"/>
    </w:p>
    <w:p>
      <w:pPr>
        <w:pStyle w:val="6"/>
        <w:tabs>
          <w:tab w:val="right" w:leader="dot" w:pos="9354"/>
        </w:tabs>
        <w:rPr>
          <w:rFonts w:hint="default"/>
        </w:rPr>
      </w:pPr>
      <w:r>
        <w:fldChar w:fldCharType="begin"/>
      </w:r>
      <w:r>
        <w:instrText xml:space="preserve">TOC \t "标准文件_前言、引言标题,1,标准文件_章标题,1,标准文件_附录标识,1,标准文件_参考文献标题,1,标准文件_索引标题,1,标准文件_一级条标题,2" \h</w:instrText>
      </w:r>
      <w:r>
        <w:fldChar w:fldCharType="separate"/>
      </w:r>
      <w:r>
        <w:fldChar w:fldCharType="begin"/>
      </w:r>
      <w:r>
        <w:instrText xml:space="preserve"> HYPERLINK \l "_Toc29927" </w:instrText>
      </w:r>
      <w:r>
        <w:fldChar w:fldCharType="separate"/>
      </w:r>
      <w:r>
        <w:t>前言</w:t>
      </w:r>
      <w:r>
        <w:tab/>
      </w:r>
      <w:r>
        <w:rPr>
          <w:rFonts w:hint="default"/>
        </w:rPr>
        <w:t>3</w:t>
      </w:r>
      <w:r>
        <w:rPr>
          <w:rFonts w:hint="default"/>
        </w:rPr>
        <w:fldChar w:fldCharType="end"/>
      </w:r>
    </w:p>
    <w:p>
      <w:pPr>
        <w:pStyle w:val="6"/>
        <w:tabs>
          <w:tab w:val="right" w:leader="dot" w:pos="9354"/>
        </w:tabs>
        <w:rPr>
          <w:rFonts w:hint="default"/>
        </w:rPr>
      </w:pPr>
      <w:r>
        <w:fldChar w:fldCharType="begin"/>
      </w:r>
      <w:r>
        <w:instrText xml:space="preserve"> HYPERLINK \l "_Toc11538" </w:instrText>
      </w:r>
      <w:r>
        <w:fldChar w:fldCharType="separate"/>
      </w:r>
      <w:r>
        <w:rPr>
          <w:rFonts w:hint="default" w:ascii="黑体" w:hAnsi="黑体" w:eastAsia="黑体" w:cs="黑体"/>
        </w:rPr>
        <w:t xml:space="preserve">1 </w:t>
      </w:r>
      <w:r>
        <w:t>范围</w:t>
      </w:r>
      <w:r>
        <w:tab/>
      </w:r>
      <w:r>
        <w:rPr>
          <w:rFonts w:hint="default"/>
        </w:rPr>
        <w:t>4</w:t>
      </w:r>
      <w:r>
        <w:rPr>
          <w:rFonts w:hint="default"/>
        </w:rPr>
        <w:fldChar w:fldCharType="end"/>
      </w:r>
    </w:p>
    <w:p>
      <w:pPr>
        <w:pStyle w:val="6"/>
        <w:tabs>
          <w:tab w:val="right" w:leader="dot" w:pos="9354"/>
        </w:tabs>
        <w:rPr>
          <w:rFonts w:hint="default"/>
        </w:rPr>
      </w:pPr>
      <w:r>
        <w:fldChar w:fldCharType="begin"/>
      </w:r>
      <w:r>
        <w:instrText xml:space="preserve"> HYPERLINK \l "_Toc30762" </w:instrText>
      </w:r>
      <w:r>
        <w:fldChar w:fldCharType="separate"/>
      </w:r>
      <w:r>
        <w:rPr>
          <w:rFonts w:hint="default" w:ascii="黑体" w:hAnsi="黑体" w:eastAsia="黑体" w:cs="黑体"/>
        </w:rPr>
        <w:t xml:space="preserve">2 </w:t>
      </w:r>
      <w:r>
        <w:t>规范性引用文件</w:t>
      </w:r>
      <w:r>
        <w:tab/>
      </w:r>
      <w:r>
        <w:rPr>
          <w:rFonts w:hint="default"/>
        </w:rPr>
        <w:t>4</w:t>
      </w:r>
      <w:r>
        <w:rPr>
          <w:rFonts w:hint="default"/>
        </w:rPr>
        <w:fldChar w:fldCharType="end"/>
      </w:r>
    </w:p>
    <w:p>
      <w:pPr>
        <w:pStyle w:val="6"/>
        <w:tabs>
          <w:tab w:val="right" w:leader="dot" w:pos="9354"/>
        </w:tabs>
        <w:rPr>
          <w:rFonts w:hint="default"/>
        </w:rPr>
      </w:pPr>
      <w:r>
        <w:fldChar w:fldCharType="begin"/>
      </w:r>
      <w:r>
        <w:instrText xml:space="preserve"> HYPERLINK \l "_Toc31052" </w:instrText>
      </w:r>
      <w:r>
        <w:fldChar w:fldCharType="separate"/>
      </w:r>
      <w:r>
        <w:rPr>
          <w:rFonts w:hint="default" w:ascii="黑体" w:hAnsi="黑体" w:eastAsia="黑体" w:cs="黑体"/>
        </w:rPr>
        <w:t xml:space="preserve">3 </w:t>
      </w:r>
      <w:r>
        <w:t>术语和定义</w:t>
      </w:r>
      <w:r>
        <w:tab/>
      </w:r>
      <w:r>
        <w:rPr>
          <w:rFonts w:hint="default"/>
        </w:rPr>
        <w:t>4</w:t>
      </w:r>
      <w:r>
        <w:rPr>
          <w:rFonts w:hint="default"/>
        </w:rPr>
        <w:fldChar w:fldCharType="end"/>
      </w:r>
    </w:p>
    <w:p>
      <w:pPr>
        <w:pStyle w:val="6"/>
        <w:tabs>
          <w:tab w:val="right" w:leader="dot" w:pos="9354"/>
        </w:tabs>
        <w:rPr>
          <w:rFonts w:hint="default"/>
          <w:color w:val="0563C1" w:themeColor="hyperlink"/>
          <w:u w:val="single"/>
          <w14:textFill>
            <w14:solidFill>
              <w14:schemeClr w14:val="hlink"/>
            </w14:solidFill>
          </w14:textFill>
        </w:rPr>
      </w:pPr>
      <w:r>
        <w:fldChar w:fldCharType="begin"/>
      </w:r>
      <w:r>
        <w:instrText xml:space="preserve"> HYPERLINK \l "_Toc13655" </w:instrText>
      </w:r>
      <w:r>
        <w:fldChar w:fldCharType="separate"/>
      </w:r>
      <w:r>
        <w:rPr>
          <w:rStyle w:val="11"/>
          <w:rFonts w:hint="default" w:ascii="黑体" w:hAnsi="黑体" w:eastAsia="黑体" w:cs="黑体"/>
        </w:rPr>
        <w:t xml:space="preserve">4 </w:t>
      </w:r>
      <w:r>
        <w:rPr>
          <w:rStyle w:val="11"/>
        </w:rPr>
        <w:t xml:space="preserve">农产品地理标志保护范围 </w:t>
      </w:r>
      <w:r>
        <w:rPr>
          <w:rStyle w:val="11"/>
        </w:rPr>
        <w:tab/>
      </w:r>
      <w:r>
        <w:rPr>
          <w:rStyle w:val="11"/>
          <w:rFonts w:hint="default"/>
        </w:rPr>
        <w:t>4</w:t>
      </w:r>
      <w:r>
        <w:rPr>
          <w:rStyle w:val="11"/>
          <w:rFonts w:hint="default"/>
        </w:rPr>
        <w:fldChar w:fldCharType="end"/>
      </w:r>
    </w:p>
    <w:p>
      <w:pPr>
        <w:pStyle w:val="6"/>
        <w:tabs>
          <w:tab w:val="right" w:leader="dot" w:pos="9354"/>
        </w:tabs>
        <w:rPr>
          <w:rFonts w:hint="default"/>
        </w:rPr>
      </w:pPr>
      <w:r>
        <w:fldChar w:fldCharType="begin"/>
      </w:r>
      <w:r>
        <w:instrText xml:space="preserve"> HYPERLINK \l "_Toc13655" </w:instrText>
      </w:r>
      <w:r>
        <w:fldChar w:fldCharType="separate"/>
      </w:r>
      <w:r>
        <w:rPr>
          <w:rFonts w:hint="default" w:ascii="黑体" w:hAnsi="黑体" w:eastAsia="黑体" w:cs="黑体"/>
        </w:rPr>
        <w:t xml:space="preserve">5 </w:t>
      </w:r>
      <w:r>
        <w:t>分级</w:t>
      </w:r>
      <w:r>
        <w:tab/>
      </w:r>
      <w:r>
        <w:rPr>
          <w:rFonts w:hint="default"/>
        </w:rPr>
        <w:t>5</w:t>
      </w:r>
      <w:r>
        <w:rPr>
          <w:rFonts w:hint="default"/>
        </w:rPr>
        <w:fldChar w:fldCharType="end"/>
      </w:r>
    </w:p>
    <w:p>
      <w:pPr>
        <w:pStyle w:val="6"/>
        <w:tabs>
          <w:tab w:val="right" w:leader="dot" w:pos="9354"/>
        </w:tabs>
        <w:rPr>
          <w:rFonts w:hint="default"/>
        </w:rPr>
      </w:pPr>
      <w:r>
        <w:fldChar w:fldCharType="begin"/>
      </w:r>
      <w:r>
        <w:instrText xml:space="preserve"> HYPERLINK \l "_Toc21018" </w:instrText>
      </w:r>
      <w:r>
        <w:fldChar w:fldCharType="separate"/>
      </w:r>
      <w:r>
        <w:rPr>
          <w:rFonts w:hint="default" w:ascii="黑体" w:hAnsi="黑体" w:eastAsia="黑体" w:cs="黑体"/>
        </w:rPr>
        <w:t xml:space="preserve">6 </w:t>
      </w:r>
      <w:r>
        <w:t>要求</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"_Toc1811" </w:instrText>
      </w:r>
      <w:r>
        <w:fldChar w:fldCharType="separate"/>
      </w:r>
      <w:r>
        <w:rPr>
          <w:rFonts w:hint="default" w:ascii="黑体" w:hAnsi="黑体" w:eastAsia="黑体" w:cs="黑体"/>
        </w:rPr>
        <w:t xml:space="preserve">6.1 </w:t>
      </w:r>
      <w:r>
        <w:t>自然环境</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"_Toc4459" </w:instrText>
      </w:r>
      <w:r>
        <w:fldChar w:fldCharType="separate"/>
      </w:r>
      <w:r>
        <w:rPr>
          <w:rFonts w:hint="default" w:ascii="黑体" w:hAnsi="黑体" w:eastAsia="黑体" w:cs="黑体"/>
        </w:rPr>
        <w:t xml:space="preserve">6.2 </w:t>
      </w:r>
      <w:r>
        <w:t>栽培</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"_Toc25040" </w:instrText>
      </w:r>
      <w:r>
        <w:fldChar w:fldCharType="separate"/>
      </w:r>
      <w:r>
        <w:rPr>
          <w:rFonts w:hint="default" w:ascii="黑体" w:hAnsi="黑体" w:eastAsia="黑体" w:cs="黑体"/>
        </w:rPr>
        <w:t xml:space="preserve">6.3 </w:t>
      </w:r>
      <w:r>
        <w:t>茶园施肥</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"_Toc8393" </w:instrText>
      </w:r>
      <w:r>
        <w:fldChar w:fldCharType="separate"/>
      </w:r>
      <w:r>
        <w:rPr>
          <w:rFonts w:hint="default" w:ascii="黑体" w:hAnsi="黑体" w:eastAsia="黑体" w:cs="黑体"/>
        </w:rPr>
        <w:t xml:space="preserve">6.4 </w:t>
      </w:r>
      <w:r>
        <w:t>病虫害防治</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"_Toc6160" </w:instrText>
      </w:r>
      <w:r>
        <w:fldChar w:fldCharType="separate"/>
      </w:r>
      <w:r>
        <w:rPr>
          <w:rFonts w:hint="default" w:ascii="黑体" w:hAnsi="黑体" w:eastAsia="黑体" w:cs="黑体"/>
        </w:rPr>
        <w:t xml:space="preserve">6.5 </w:t>
      </w:r>
      <w:r>
        <w:t>鲜叶原料</w:t>
      </w:r>
      <w:r>
        <w:tab/>
      </w:r>
      <w:r>
        <w:rPr>
          <w:rFonts w:hint="default"/>
        </w:rPr>
        <w:t>5</w:t>
      </w:r>
      <w:r>
        <w:rPr>
          <w:rFonts w:hint="default"/>
        </w:rPr>
        <w:fldChar w:fldCharType="end"/>
      </w:r>
    </w:p>
    <w:p>
      <w:pPr>
        <w:pStyle w:val="7"/>
        <w:tabs>
          <w:tab w:val="right" w:leader="dot" w:pos="9354"/>
        </w:tabs>
        <w:rPr>
          <w:rFonts w:hint="default"/>
        </w:rPr>
      </w:pPr>
      <w:r>
        <w:fldChar w:fldCharType="begin"/>
      </w:r>
      <w:r>
        <w:instrText xml:space="preserve"> HYPERLINK \l "_Toc9025" </w:instrText>
      </w:r>
      <w:r>
        <w:fldChar w:fldCharType="separate"/>
      </w:r>
      <w:r>
        <w:rPr>
          <w:rFonts w:hint="default" w:ascii="黑体" w:hAnsi="黑体" w:eastAsia="黑体" w:cs="黑体"/>
        </w:rPr>
        <w:t xml:space="preserve">6.6 </w:t>
      </w:r>
      <w:r>
        <w:t>加工</w:t>
      </w:r>
      <w:r>
        <w:tab/>
      </w:r>
      <w:r>
        <w:rPr>
          <w:rFonts w:hint="default"/>
        </w:rPr>
        <w:t>6</w:t>
      </w:r>
      <w:r>
        <w:rPr>
          <w:rFonts w:hint="default"/>
        </w:rPr>
        <w:fldChar w:fldCharType="end"/>
      </w:r>
    </w:p>
    <w:p>
      <w:pPr>
        <w:pStyle w:val="7"/>
        <w:tabs>
          <w:tab w:val="right" w:leader="dot" w:pos="9354"/>
        </w:tabs>
        <w:rPr>
          <w:rFonts w:hint="default"/>
        </w:rPr>
      </w:pPr>
      <w:r>
        <w:fldChar w:fldCharType="begin"/>
      </w:r>
      <w:r>
        <w:instrText xml:space="preserve"> HYPERLINK \l "_Toc4874" </w:instrText>
      </w:r>
      <w:r>
        <w:fldChar w:fldCharType="separate"/>
      </w:r>
      <w:r>
        <w:rPr>
          <w:rFonts w:hint="default" w:ascii="黑体" w:hAnsi="黑体" w:eastAsia="黑体" w:cs="黑体"/>
        </w:rPr>
        <w:t xml:space="preserve">6.7 </w:t>
      </w:r>
      <w:r>
        <w:t>感官指标</w:t>
      </w:r>
      <w:r>
        <w:tab/>
      </w:r>
      <w:r>
        <w:rPr>
          <w:rFonts w:hint="default"/>
        </w:rPr>
        <w:t>6</w:t>
      </w:r>
      <w:r>
        <w:rPr>
          <w:rFonts w:hint="default"/>
        </w:rPr>
        <w:fldChar w:fldCharType="end"/>
      </w:r>
    </w:p>
    <w:p>
      <w:pPr>
        <w:pStyle w:val="7"/>
        <w:tabs>
          <w:tab w:val="right" w:leader="dot" w:pos="9354"/>
        </w:tabs>
        <w:rPr>
          <w:rFonts w:hint="default"/>
        </w:rPr>
      </w:pPr>
      <w:r>
        <w:fldChar w:fldCharType="begin"/>
      </w:r>
      <w:r>
        <w:instrText xml:space="preserve"> HYPERLINK \l "_Toc14030" </w:instrText>
      </w:r>
      <w:r>
        <w:fldChar w:fldCharType="separate"/>
      </w:r>
      <w:r>
        <w:rPr>
          <w:rFonts w:hint="default" w:ascii="黑体" w:hAnsi="黑体" w:eastAsia="黑体" w:cs="黑体"/>
        </w:rPr>
        <w:t xml:space="preserve">6.8 </w:t>
      </w:r>
      <w:r>
        <w:t>理化指标</w:t>
      </w:r>
      <w:r>
        <w:tab/>
      </w:r>
      <w:r>
        <w:rPr>
          <w:rFonts w:hint="default"/>
        </w:rPr>
        <w:t>6</w:t>
      </w:r>
      <w:r>
        <w:rPr>
          <w:rFonts w:hint="default"/>
        </w:rPr>
        <w:fldChar w:fldCharType="end"/>
      </w:r>
    </w:p>
    <w:p>
      <w:pPr>
        <w:pStyle w:val="7"/>
        <w:tabs>
          <w:tab w:val="right" w:leader="dot" w:pos="9354"/>
        </w:tabs>
        <w:rPr>
          <w:rFonts w:hint="default"/>
        </w:rPr>
      </w:pPr>
      <w:r>
        <w:fldChar w:fldCharType="begin"/>
      </w:r>
      <w:r>
        <w:instrText xml:space="preserve"> HYPERLINK \l "_Toc32535" </w:instrText>
      </w:r>
      <w:r>
        <w:fldChar w:fldCharType="separate"/>
      </w:r>
      <w:r>
        <w:rPr>
          <w:rFonts w:hint="default" w:ascii="黑体" w:hAnsi="黑体" w:eastAsia="黑体" w:cs="黑体"/>
        </w:rPr>
        <w:t xml:space="preserve">6.9 </w:t>
      </w:r>
      <w:r>
        <w:t>卫生指标</w:t>
      </w:r>
      <w:r>
        <w:tab/>
      </w:r>
      <w:r>
        <w:rPr>
          <w:rFonts w:hint="default"/>
        </w:rPr>
        <w:t>6</w:t>
      </w:r>
      <w:r>
        <w:rPr>
          <w:rFonts w:hint="default"/>
        </w:rPr>
        <w:fldChar w:fldCharType="end"/>
      </w:r>
    </w:p>
    <w:p>
      <w:pPr>
        <w:pStyle w:val="7"/>
        <w:tabs>
          <w:tab w:val="right" w:leader="dot" w:pos="9354"/>
        </w:tabs>
        <w:rPr>
          <w:rFonts w:hint="default"/>
        </w:rPr>
      </w:pPr>
      <w:r>
        <w:fldChar w:fldCharType="begin"/>
      </w:r>
      <w:r>
        <w:instrText xml:space="preserve"> HYPERLINK \l "_Toc9391" </w:instrText>
      </w:r>
      <w:r>
        <w:fldChar w:fldCharType="separate"/>
      </w:r>
      <w:r>
        <w:rPr>
          <w:rFonts w:hint="default" w:ascii="黑体" w:hAnsi="黑体" w:eastAsia="黑体" w:cs="黑体"/>
        </w:rPr>
        <w:t xml:space="preserve">6.10 </w:t>
      </w:r>
      <w:r>
        <w:t>净含量允差</w:t>
      </w:r>
      <w:r>
        <w:tab/>
      </w:r>
      <w:r>
        <w:rPr>
          <w:rFonts w:hint="default"/>
        </w:rPr>
        <w:t>7</w:t>
      </w:r>
      <w:r>
        <w:rPr>
          <w:rFonts w:hint="default"/>
        </w:rPr>
        <w:fldChar w:fldCharType="end"/>
      </w:r>
    </w:p>
    <w:p>
      <w:pPr>
        <w:pStyle w:val="6"/>
        <w:tabs>
          <w:tab w:val="right" w:leader="dot" w:pos="9354"/>
        </w:tabs>
        <w:rPr>
          <w:rFonts w:hint="default"/>
        </w:rPr>
      </w:pPr>
      <w:r>
        <w:fldChar w:fldCharType="begin"/>
      </w:r>
      <w:r>
        <w:instrText xml:space="preserve"> HYPERLINK \l "_Toc11520" </w:instrText>
      </w:r>
      <w:r>
        <w:fldChar w:fldCharType="separate"/>
      </w:r>
      <w:r>
        <w:rPr>
          <w:rFonts w:hint="default" w:ascii="黑体" w:hAnsi="黑体" w:eastAsia="黑体" w:cs="黑体"/>
        </w:rPr>
        <w:t xml:space="preserve">7 </w:t>
      </w:r>
      <w:r>
        <w:t>试验方法</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"_Toc2928" </w:instrText>
      </w:r>
      <w:r>
        <w:fldChar w:fldCharType="separate"/>
      </w:r>
      <w:r>
        <w:rPr>
          <w:rFonts w:hint="default" w:ascii="黑体" w:hAnsi="黑体" w:eastAsia="黑体" w:cs="黑体"/>
        </w:rPr>
        <w:t xml:space="preserve">7.1 </w:t>
      </w:r>
      <w:r>
        <w:t>取样</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"_Toc8673" </w:instrText>
      </w:r>
      <w:r>
        <w:fldChar w:fldCharType="separate"/>
      </w:r>
      <w:r>
        <w:rPr>
          <w:rFonts w:hint="default" w:ascii="黑体" w:hAnsi="黑体" w:eastAsia="黑体" w:cs="黑体"/>
        </w:rPr>
        <w:t xml:space="preserve">7.2 </w:t>
      </w:r>
      <w:r>
        <w:t>感官指标</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"_Toc16767" </w:instrText>
      </w:r>
      <w:r>
        <w:fldChar w:fldCharType="separate"/>
      </w:r>
      <w:r>
        <w:rPr>
          <w:rFonts w:hint="default" w:ascii="黑体" w:hAnsi="黑体" w:eastAsia="黑体" w:cs="黑体"/>
        </w:rPr>
        <w:t xml:space="preserve">7.3 </w:t>
      </w:r>
      <w:r>
        <w:t>理化指标</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"_Toc4423" </w:instrText>
      </w:r>
      <w:r>
        <w:fldChar w:fldCharType="separate"/>
      </w:r>
      <w:r>
        <w:rPr>
          <w:rFonts w:hint="default" w:ascii="黑体" w:hAnsi="黑体" w:eastAsia="黑体" w:cs="黑体"/>
        </w:rPr>
        <w:t xml:space="preserve">7.4 </w:t>
      </w:r>
      <w:r>
        <w:t>卫生指标</w:t>
      </w:r>
      <w:r>
        <w:tab/>
      </w:r>
      <w:r>
        <w:rPr>
          <w:rFonts w:hint="default"/>
        </w:rPr>
        <w:t>7</w:t>
      </w:r>
      <w:r>
        <w:rPr>
          <w:rFonts w:hint="default"/>
        </w:rPr>
        <w:fldChar w:fldCharType="end"/>
      </w:r>
    </w:p>
    <w:p>
      <w:pPr>
        <w:pStyle w:val="7"/>
        <w:tabs>
          <w:tab w:val="right" w:leader="dot" w:pos="9354"/>
        </w:tabs>
      </w:pPr>
      <w:r>
        <w:fldChar w:fldCharType="begin"/>
      </w:r>
      <w:r>
        <w:instrText xml:space="preserve"> HYPERLINK \l "_Toc4423" </w:instrText>
      </w:r>
      <w:r>
        <w:fldChar w:fldCharType="separate"/>
      </w:r>
      <w:r>
        <w:rPr>
          <w:rFonts w:hint="default" w:ascii="黑体" w:hAnsi="黑体" w:eastAsia="黑体" w:cs="黑体"/>
        </w:rPr>
        <w:t xml:space="preserve">7.5 </w:t>
      </w:r>
      <w:r>
        <w:t>净含量允差</w:t>
      </w:r>
      <w:r>
        <w:tab/>
      </w:r>
      <w:r>
        <w:rPr>
          <w:rFonts w:hint="default"/>
        </w:rPr>
        <w:t>7</w:t>
      </w:r>
      <w:r>
        <w:rPr>
          <w:rFonts w:hint="default"/>
        </w:rPr>
        <w:fldChar w:fldCharType="end"/>
      </w:r>
    </w:p>
    <w:p>
      <w:pPr>
        <w:pStyle w:val="6"/>
        <w:tabs>
          <w:tab w:val="right" w:leader="dot" w:pos="9354"/>
        </w:tabs>
        <w:rPr>
          <w:rFonts w:hint="default"/>
        </w:rPr>
      </w:pPr>
      <w:r>
        <w:fldChar w:fldCharType="begin"/>
      </w:r>
      <w:r>
        <w:instrText xml:space="preserve"> HYPERLINK \l "_Toc20406" </w:instrText>
      </w:r>
      <w:r>
        <w:fldChar w:fldCharType="separate"/>
      </w:r>
      <w:r>
        <w:rPr>
          <w:rFonts w:hint="default" w:ascii="黑体" w:hAnsi="黑体" w:eastAsia="黑体" w:cs="黑体"/>
        </w:rPr>
        <w:t xml:space="preserve">8 </w:t>
      </w:r>
      <w:r>
        <w:t>检验规则</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"_Toc7682" </w:instrText>
      </w:r>
      <w:r>
        <w:fldChar w:fldCharType="separate"/>
      </w:r>
      <w:r>
        <w:rPr>
          <w:rFonts w:hint="default" w:ascii="黑体" w:hAnsi="黑体" w:eastAsia="黑体" w:cs="黑体"/>
        </w:rPr>
        <w:t xml:space="preserve">8.1 </w:t>
      </w:r>
      <w:r>
        <w:t>取样</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"_Toc7557" </w:instrText>
      </w:r>
      <w:r>
        <w:fldChar w:fldCharType="separate"/>
      </w:r>
      <w:r>
        <w:rPr>
          <w:rFonts w:hint="default" w:ascii="黑体" w:hAnsi="黑体" w:eastAsia="黑体" w:cs="黑体"/>
        </w:rPr>
        <w:t xml:space="preserve">8.2 </w:t>
      </w:r>
      <w:r>
        <w:t>组批</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"_Toc2613" </w:instrText>
      </w:r>
      <w:r>
        <w:fldChar w:fldCharType="separate"/>
      </w:r>
      <w:r>
        <w:rPr>
          <w:rFonts w:hint="default" w:ascii="黑体" w:hAnsi="黑体" w:eastAsia="黑体" w:cs="黑体"/>
        </w:rPr>
        <w:t xml:space="preserve">8.3 </w:t>
      </w:r>
      <w:r>
        <w:t>出厂捡</w:t>
      </w:r>
      <w:r>
        <w:tab/>
      </w:r>
      <w:r>
        <w:rPr>
          <w:rFonts w:hint="default"/>
        </w:rPr>
        <w:t>7</w:t>
      </w:r>
      <w:r>
        <w:rPr>
          <w:rFonts w:hint="default"/>
        </w:rPr>
        <w:fldChar w:fldCharType="end"/>
      </w:r>
    </w:p>
    <w:p>
      <w:pPr>
        <w:pStyle w:val="7"/>
        <w:tabs>
          <w:tab w:val="right" w:leader="dot" w:pos="9354"/>
        </w:tabs>
        <w:rPr>
          <w:rFonts w:hint="default"/>
        </w:rPr>
      </w:pPr>
      <w:r>
        <w:fldChar w:fldCharType="begin"/>
      </w:r>
      <w:r>
        <w:instrText xml:space="preserve"> HYPERLINK \l "_Toc17195" </w:instrText>
      </w:r>
      <w:r>
        <w:fldChar w:fldCharType="separate"/>
      </w:r>
      <w:r>
        <w:rPr>
          <w:rFonts w:hint="default" w:ascii="黑体" w:hAnsi="黑体" w:eastAsia="黑体" w:cs="黑体"/>
        </w:rPr>
        <w:t xml:space="preserve">8.4 </w:t>
      </w:r>
      <w:r>
        <w:t>型式检验</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"_Toc6437" </w:instrText>
      </w:r>
      <w:r>
        <w:fldChar w:fldCharType="separate"/>
      </w:r>
      <w:r>
        <w:rPr>
          <w:rFonts w:hint="default" w:ascii="黑体" w:hAnsi="黑体" w:eastAsia="黑体" w:cs="黑体"/>
        </w:rPr>
        <w:t xml:space="preserve">8.5 </w:t>
      </w:r>
      <w:r>
        <w:t>判定规则</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"_Toc6437" </w:instrText>
      </w:r>
      <w:r>
        <w:fldChar w:fldCharType="separate"/>
      </w:r>
      <w:r>
        <w:rPr>
          <w:rFonts w:hint="default" w:ascii="黑体" w:hAnsi="黑体" w:eastAsia="黑体" w:cs="黑体"/>
        </w:rPr>
        <w:t xml:space="preserve">8.6 </w:t>
      </w:r>
      <w:r>
        <w:t>复检规则</w:t>
      </w:r>
      <w:r>
        <w:tab/>
      </w:r>
      <w:r>
        <w:rPr>
          <w:rFonts w:hint="default"/>
        </w:rPr>
        <w:t>8</w:t>
      </w:r>
      <w:r>
        <w:rPr>
          <w:rFonts w:hint="default"/>
        </w:rPr>
        <w:fldChar w:fldCharType="end"/>
      </w:r>
    </w:p>
    <w:p>
      <w:pPr>
        <w:pStyle w:val="6"/>
        <w:tabs>
          <w:tab w:val="right" w:leader="dot" w:pos="9354"/>
        </w:tabs>
        <w:rPr>
          <w:rFonts w:hint="default"/>
        </w:rPr>
      </w:pPr>
      <w:r>
        <w:fldChar w:fldCharType="begin"/>
      </w:r>
      <w:r>
        <w:instrText xml:space="preserve"> HYPERLINK \l "_Toc20406" </w:instrText>
      </w:r>
      <w:r>
        <w:fldChar w:fldCharType="separate"/>
      </w:r>
      <w:r>
        <w:rPr>
          <w:rFonts w:hint="default" w:ascii="黑体" w:hAnsi="黑体" w:eastAsia="黑体" w:cs="黑体"/>
        </w:rPr>
        <w:t xml:space="preserve">9 </w:t>
      </w:r>
      <w:r>
        <w:t>标签标志、包装、运输、贮存和保质期</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"_Toc7682" </w:instrText>
      </w:r>
      <w:r>
        <w:fldChar w:fldCharType="separate"/>
      </w:r>
      <w:r>
        <w:rPr>
          <w:rFonts w:hint="default" w:ascii="黑体" w:hAnsi="黑体" w:eastAsia="黑体" w:cs="黑体"/>
        </w:rPr>
        <w:t xml:space="preserve">9.1 </w:t>
      </w:r>
      <w:r>
        <w:t>标签标志</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"_Toc7557" </w:instrText>
      </w:r>
      <w:r>
        <w:fldChar w:fldCharType="separate"/>
      </w:r>
      <w:r>
        <w:rPr>
          <w:rFonts w:hint="default" w:ascii="黑体" w:hAnsi="黑体" w:eastAsia="黑体" w:cs="黑体"/>
        </w:rPr>
        <w:t xml:space="preserve">9.2 </w:t>
      </w:r>
      <w:r>
        <w:t>包装</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"_Toc2613" </w:instrText>
      </w:r>
      <w:r>
        <w:fldChar w:fldCharType="separate"/>
      </w:r>
      <w:r>
        <w:rPr>
          <w:rFonts w:hint="default" w:ascii="黑体" w:hAnsi="黑体" w:eastAsia="黑体" w:cs="黑体"/>
        </w:rPr>
        <w:t xml:space="preserve">9.3 </w:t>
      </w:r>
      <w:r>
        <w:t>运输</w:t>
      </w:r>
      <w:r>
        <w:tab/>
      </w:r>
      <w:r>
        <w:rPr>
          <w:rFonts w:hint="default"/>
        </w:rPr>
        <w:t>8</w:t>
      </w:r>
      <w:r>
        <w:rPr>
          <w:rFonts w:hint="default"/>
        </w:rPr>
        <w:fldChar w:fldCharType="end"/>
      </w:r>
    </w:p>
    <w:p>
      <w:pPr>
        <w:pStyle w:val="7"/>
        <w:tabs>
          <w:tab w:val="right" w:leader="dot" w:pos="9354"/>
        </w:tabs>
        <w:rPr>
          <w:rFonts w:hint="default"/>
        </w:rPr>
      </w:pPr>
      <w:r>
        <w:fldChar w:fldCharType="begin"/>
      </w:r>
      <w:r>
        <w:instrText xml:space="preserve"> HYPERLINK \l "_Toc17195" </w:instrText>
      </w:r>
      <w:r>
        <w:fldChar w:fldCharType="separate"/>
      </w:r>
      <w:r>
        <w:rPr>
          <w:rFonts w:hint="default" w:ascii="黑体" w:hAnsi="黑体" w:eastAsia="黑体" w:cs="黑体"/>
        </w:rPr>
        <w:t xml:space="preserve">9.4 </w:t>
      </w:r>
      <w:r>
        <w:t>贮存</w:t>
      </w:r>
      <w:r>
        <w:tab/>
      </w:r>
      <w:r>
        <w:rPr>
          <w:rFonts w:hint="default"/>
        </w:rPr>
        <w:t>8</w:t>
      </w:r>
      <w:r>
        <w:rPr>
          <w:rFonts w:hint="default"/>
        </w:rPr>
        <w:fldChar w:fldCharType="end"/>
      </w:r>
    </w:p>
    <w:p>
      <w:pPr>
        <w:pStyle w:val="6"/>
        <w:tabs>
          <w:tab w:val="right" w:leader="dot" w:pos="9354"/>
        </w:tabs>
        <w:rPr>
          <w:rFonts w:hint="default"/>
        </w:rPr>
      </w:pPr>
      <w:r>
        <w:fldChar w:fldCharType="end"/>
      </w:r>
      <w:r>
        <w:fldChar w:fldCharType="begin"/>
      </w:r>
      <w:r>
        <w:instrText xml:space="preserve"> HYPERLINK \l "_Toc20406" </w:instrText>
      </w:r>
      <w:r>
        <w:fldChar w:fldCharType="separate"/>
      </w:r>
      <w:r>
        <w:rPr>
          <w:rFonts w:ascii="黑体" w:hAnsi="黑体" w:eastAsia="黑体" w:cs="黑体"/>
        </w:rPr>
        <w:t xml:space="preserve">附录 </w:t>
      </w:r>
      <w:r>
        <w:rPr>
          <w:rFonts w:hint="default" w:ascii="黑体" w:hAnsi="黑体" w:eastAsia="黑体" w:cs="黑体"/>
        </w:rPr>
        <w:t>A</w:t>
      </w:r>
      <w:r>
        <w:tab/>
      </w:r>
      <w:r>
        <w:rPr>
          <w:rFonts w:hint="default"/>
        </w:rPr>
        <w:t>9</w:t>
      </w:r>
      <w:r>
        <w:rPr>
          <w:rFonts w:hint="default"/>
        </w:rPr>
        <w:fldChar w:fldCharType="end"/>
      </w:r>
    </w:p>
    <w:p>
      <w:pPr>
        <w:pStyle w:val="7"/>
        <w:tabs>
          <w:tab w:val="right" w:leader="dot" w:pos="9354"/>
        </w:tabs>
      </w:pPr>
    </w:p>
    <w:p>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 xml:space="preserve">前 </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言</w:t>
      </w:r>
    </w:p>
    <w:p>
      <w:pPr>
        <w:rPr>
          <w:rFonts w:ascii="Times New Roman" w:hAnsi="Times New Roman" w:eastAsia="宋体" w:cs="Times New Roman"/>
          <w:sz w:val="24"/>
          <w:szCs w:val="24"/>
        </w:rPr>
      </w:pPr>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本文件按照</w:t>
      </w:r>
      <w:r>
        <w:rPr>
          <w:rFonts w:ascii="Times New Roman" w:hAnsi="Times New Roman" w:eastAsia="宋体" w:cs="Times New Roman"/>
          <w:sz w:val="24"/>
          <w:szCs w:val="24"/>
        </w:rPr>
        <w:t xml:space="preserve"> GB/T1.1-2020《标准化工作导则</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第1部分：标准化文件的结构和起草规则》的规定</w:t>
      </w:r>
      <w:r>
        <w:rPr>
          <w:rFonts w:hint="eastAsia" w:ascii="Times New Roman" w:hAnsi="Times New Roman" w:eastAsia="宋体" w:cs="Times New Roman"/>
          <w:sz w:val="24"/>
          <w:szCs w:val="24"/>
        </w:rPr>
        <w:t>和国家农业主管部门发布的《农产品地理标志管理法》起草。</w:t>
      </w:r>
    </w:p>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请注意本文件的某些内容可能涉及专利。本文件的发布机构不承担识别专利的责任。</w:t>
      </w:r>
      <w:bookmarkStart w:id="5" w:name="_GoBack"/>
      <w:bookmarkEnd w:id="5"/>
    </w:p>
    <w:p>
      <w:pPr>
        <w:ind w:firstLine="480" w:firstLineChars="200"/>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本文件由</w:t>
      </w:r>
      <w:r>
        <w:rPr>
          <w:rFonts w:hint="eastAsia" w:ascii="Times New Roman" w:hAnsi="Times New Roman" w:eastAsia="宋体" w:cs="Times New Roman"/>
          <w:sz w:val="24"/>
          <w:szCs w:val="24"/>
        </w:rPr>
        <w:t>永泰县农业农村局</w:t>
      </w:r>
      <w:r>
        <w:rPr>
          <w:rFonts w:ascii="Times New Roman" w:hAnsi="Times New Roman" w:eastAsia="宋体" w:cs="Times New Roman"/>
          <w:sz w:val="24"/>
          <w:szCs w:val="24"/>
        </w:rPr>
        <w:t>提出。</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本标准由福建省茶叶学会归口。</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本标准起草单位：福建农林大学园艺学院茶学系。</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本标准主要起草人：</w:t>
      </w:r>
      <w:r>
        <w:rPr>
          <w:rFonts w:ascii="Times New Roman" w:hAnsi="Times New Roman" w:eastAsia="宋体" w:cs="Times New Roman"/>
          <w:sz w:val="24"/>
          <w:szCs w:val="24"/>
        </w:rPr>
        <w:t xml:space="preserve"> 郭玉琼、杨美凤、金珊、邓婷婷、温圣菁、周承哲、张成、黎煌</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许长同。</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hint="eastAsia" w:ascii="Times New Roman" w:hAnsi="Times New Roman" w:eastAsia="宋体" w:cs="Times New Roman"/>
          <w:sz w:val="24"/>
          <w:szCs w:val="24"/>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农产品地理标志产品 永泰绿</w:t>
      </w:r>
      <w:r>
        <w:rPr>
          <w:rFonts w:ascii="Times New Roman" w:hAnsi="Times New Roman" w:eastAsia="黑体" w:cs="Times New Roman"/>
          <w:sz w:val="32"/>
          <w:szCs w:val="32"/>
        </w:rPr>
        <w:t>茶</w:t>
      </w:r>
    </w:p>
    <w:p>
      <w:pPr>
        <w:rPr>
          <w:rFonts w:ascii="Times New Roman" w:hAnsi="Times New Roman" w:eastAsia="黑体" w:cs="Times New Roman"/>
          <w:szCs w:val="21"/>
        </w:rPr>
      </w:pPr>
      <w:r>
        <w:rPr>
          <w:rFonts w:ascii="Times New Roman" w:hAnsi="Times New Roman" w:eastAsia="黑体" w:cs="Times New Roman"/>
          <w:szCs w:val="21"/>
        </w:rPr>
        <w:t>1 范围</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本文件规定了农产品地理标志产品永泰绿茶的术语和定义、保护范围、分级、要求、试验方法、检验规则、标志标签、包装、运输、贮存。</w:t>
      </w:r>
    </w:p>
    <w:p>
      <w:pPr>
        <w:ind w:firstLine="420" w:firstLineChars="200"/>
        <w:rPr>
          <w:rFonts w:ascii="Times New Roman" w:hAnsi="Times New Roman" w:eastAsia="黑体" w:cs="Times New Roman"/>
          <w:szCs w:val="21"/>
        </w:rPr>
      </w:pPr>
      <w:r>
        <w:rPr>
          <w:rFonts w:hint="eastAsia" w:ascii="Times New Roman" w:hAnsi="Times New Roman" w:eastAsia="宋体" w:cs="Times New Roman"/>
          <w:szCs w:val="21"/>
        </w:rPr>
        <w:t>本文件适用于农业部门根据《农产品地理标志管理办法》核准登记的永泰绿茶。</w:t>
      </w:r>
    </w:p>
    <w:p>
      <w:pPr>
        <w:rPr>
          <w:rFonts w:ascii="Times New Roman" w:hAnsi="Times New Roman" w:eastAsia="黑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2 规范性引用文件</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w:t>
      </w:r>
      <w:r>
        <w:rPr>
          <w:rFonts w:ascii="Times New Roman" w:hAnsi="Times New Roman" w:eastAsia="宋体" w:cs="Times New Roman"/>
          <w:szCs w:val="21"/>
        </w:rPr>
        <w:t>(包括所有的修改单)适用于本文</w:t>
      </w:r>
      <w:r>
        <w:rPr>
          <w:rFonts w:hint="eastAsia" w:ascii="Times New Roman" w:hAnsi="Times New Roman" w:eastAsia="宋体" w:cs="Times New Roman"/>
          <w:szCs w:val="21"/>
        </w:rPr>
        <w:t>件。</w:t>
      </w:r>
    </w:p>
    <w:p>
      <w:pPr>
        <w:ind w:firstLine="420" w:firstLineChars="200"/>
        <w:rPr>
          <w:rFonts w:ascii="Times New Roman" w:hAnsi="Times New Roman" w:eastAsia="宋体" w:cs="Times New Roman"/>
          <w:szCs w:val="21"/>
        </w:rPr>
      </w:pPr>
    </w:p>
    <w:p>
      <w:pPr>
        <w:ind w:left="420" w:leftChars="200"/>
        <w:rPr>
          <w:rFonts w:ascii="Times New Roman" w:hAnsi="Times New Roman" w:eastAsia="宋体" w:cs="Times New Roman"/>
          <w:szCs w:val="21"/>
        </w:rPr>
      </w:pPr>
      <w:r>
        <w:rPr>
          <w:rFonts w:ascii="Times New Roman" w:hAnsi="Times New Roman" w:eastAsia="宋体" w:cs="Times New Roman"/>
          <w:szCs w:val="21"/>
        </w:rPr>
        <w:t>GB/T 191 包装储运图示标志</w:t>
      </w:r>
    </w:p>
    <w:p>
      <w:pPr>
        <w:ind w:left="420" w:leftChars="200"/>
        <w:rPr>
          <w:rFonts w:ascii="Times New Roman" w:hAnsi="Times New Roman" w:eastAsia="宋体" w:cs="Times New Roman"/>
          <w:szCs w:val="21"/>
        </w:rPr>
      </w:pPr>
      <w:r>
        <w:rPr>
          <w:rFonts w:ascii="Times New Roman" w:hAnsi="Times New Roman" w:eastAsia="宋体" w:cs="Times New Roman"/>
          <w:szCs w:val="21"/>
        </w:rPr>
        <w:t>GB 2762 食品安全国家标准 食品中污染物限量</w:t>
      </w:r>
    </w:p>
    <w:p>
      <w:pPr>
        <w:ind w:left="420" w:leftChars="200"/>
        <w:rPr>
          <w:rFonts w:ascii="Times New Roman" w:hAnsi="Times New Roman" w:eastAsia="宋体" w:cs="Times New Roman"/>
          <w:szCs w:val="21"/>
        </w:rPr>
      </w:pPr>
      <w:r>
        <w:rPr>
          <w:rFonts w:ascii="Times New Roman" w:hAnsi="Times New Roman" w:eastAsia="宋体" w:cs="Times New Roman"/>
          <w:szCs w:val="21"/>
        </w:rPr>
        <w:t>GB 2763 食品安全国家标准 食品中最大农药残留限量</w:t>
      </w:r>
    </w:p>
    <w:p>
      <w:pPr>
        <w:ind w:left="420" w:leftChars="200"/>
        <w:rPr>
          <w:rFonts w:ascii="Times New Roman" w:hAnsi="Times New Roman" w:eastAsia="宋体" w:cs="Times New Roman"/>
          <w:szCs w:val="21"/>
        </w:rPr>
      </w:pPr>
      <w:r>
        <w:rPr>
          <w:rFonts w:ascii="Times New Roman" w:hAnsi="Times New Roman" w:eastAsia="宋体" w:cs="Times New Roman"/>
          <w:szCs w:val="21"/>
        </w:rPr>
        <w:t>GB 7718 食品安全国家标准 预包装食品标签通则</w:t>
      </w:r>
    </w:p>
    <w:p>
      <w:pPr>
        <w:ind w:left="420" w:leftChars="200"/>
        <w:rPr>
          <w:rFonts w:ascii="Times New Roman" w:hAnsi="Times New Roman" w:eastAsia="宋体" w:cs="Times New Roman"/>
          <w:szCs w:val="21"/>
        </w:rPr>
      </w:pPr>
      <w:r>
        <w:rPr>
          <w:rFonts w:ascii="Times New Roman" w:hAnsi="Times New Roman" w:eastAsia="宋体" w:cs="Times New Roman"/>
          <w:szCs w:val="21"/>
        </w:rPr>
        <w:t>GB/T 8302 茶 取样</w:t>
      </w:r>
    </w:p>
    <w:p>
      <w:pPr>
        <w:ind w:left="420" w:leftChars="200"/>
        <w:rPr>
          <w:rFonts w:ascii="Times New Roman" w:hAnsi="Times New Roman" w:eastAsia="宋体" w:cs="Times New Roman"/>
          <w:szCs w:val="21"/>
        </w:rPr>
      </w:pPr>
      <w:r>
        <w:rPr>
          <w:rFonts w:ascii="Times New Roman" w:hAnsi="Times New Roman" w:eastAsia="宋体" w:cs="Times New Roman"/>
          <w:szCs w:val="21"/>
        </w:rPr>
        <w:t>GB/T 8312</w:t>
      </w:r>
      <w:r>
        <w:rPr>
          <w:rFonts w:hint="eastAsia" w:ascii="Times New Roman" w:hAnsi="Times New Roman" w:eastAsia="宋体" w:cs="Times New Roman"/>
          <w:szCs w:val="21"/>
        </w:rPr>
        <w:t xml:space="preserve"> 茶 咖啡碱</w:t>
      </w:r>
    </w:p>
    <w:p>
      <w:pPr>
        <w:ind w:left="420" w:leftChars="200"/>
        <w:rPr>
          <w:rFonts w:ascii="Times New Roman" w:hAnsi="Times New Roman" w:eastAsia="宋体" w:cs="Times New Roman"/>
          <w:szCs w:val="21"/>
        </w:rPr>
      </w:pPr>
      <w:r>
        <w:rPr>
          <w:rFonts w:ascii="Times New Roman" w:hAnsi="Times New Roman" w:eastAsia="宋体" w:cs="Times New Roman"/>
          <w:szCs w:val="21"/>
        </w:rPr>
        <w:t xml:space="preserve">GB/T 8313 </w:t>
      </w:r>
      <w:r>
        <w:rPr>
          <w:rFonts w:hint="eastAsia" w:ascii="Times New Roman" w:hAnsi="Times New Roman" w:eastAsia="宋体" w:cs="Times New Roman"/>
          <w:szCs w:val="21"/>
        </w:rPr>
        <w:t>茶 茶多酚</w:t>
      </w:r>
    </w:p>
    <w:p>
      <w:pPr>
        <w:ind w:left="420" w:leftChars="200"/>
        <w:rPr>
          <w:rFonts w:ascii="Times New Roman" w:hAnsi="Times New Roman" w:eastAsia="宋体" w:cs="Times New Roman"/>
          <w:szCs w:val="21"/>
        </w:rPr>
      </w:pPr>
      <w:r>
        <w:rPr>
          <w:rFonts w:ascii="Times New Roman" w:hAnsi="Times New Roman" w:eastAsia="宋体" w:cs="Times New Roman"/>
          <w:szCs w:val="21"/>
        </w:rPr>
        <w:t xml:space="preserve">GB/T 8314 茶 </w:t>
      </w:r>
      <w:r>
        <w:rPr>
          <w:rFonts w:hint="eastAsia" w:ascii="Times New Roman" w:hAnsi="Times New Roman" w:eastAsia="宋体" w:cs="Times New Roman"/>
          <w:szCs w:val="21"/>
        </w:rPr>
        <w:t>氨基酸总量</w:t>
      </w:r>
    </w:p>
    <w:p>
      <w:pPr>
        <w:ind w:left="420" w:leftChars="200"/>
        <w:rPr>
          <w:rFonts w:ascii="Times New Roman" w:hAnsi="Times New Roman" w:eastAsia="宋体" w:cs="Times New Roman"/>
          <w:szCs w:val="21"/>
        </w:rPr>
      </w:pPr>
      <w:r>
        <w:rPr>
          <w:rFonts w:ascii="Times New Roman" w:hAnsi="Times New Roman" w:eastAsia="宋体" w:cs="Times New Roman"/>
          <w:szCs w:val="21"/>
        </w:rPr>
        <w:t>GB 14881 食品安全国家标准 食品生产通用卫生规范</w:t>
      </w:r>
    </w:p>
    <w:p>
      <w:pPr>
        <w:ind w:left="420" w:leftChars="200"/>
        <w:rPr>
          <w:rFonts w:ascii="Times New Roman" w:hAnsi="Times New Roman" w:eastAsia="宋体" w:cs="Times New Roman"/>
          <w:szCs w:val="21"/>
        </w:rPr>
      </w:pPr>
      <w:r>
        <w:rPr>
          <w:rFonts w:ascii="Times New Roman" w:hAnsi="Times New Roman" w:eastAsia="宋体" w:cs="Times New Roman"/>
          <w:szCs w:val="21"/>
        </w:rPr>
        <w:t>GB/T 23776 茶叶感官审评方法</w:t>
      </w:r>
    </w:p>
    <w:p>
      <w:pPr>
        <w:ind w:left="420" w:leftChars="200"/>
        <w:rPr>
          <w:rFonts w:ascii="Times New Roman" w:hAnsi="Times New Roman" w:eastAsia="宋体" w:cs="Times New Roman"/>
          <w:szCs w:val="21"/>
        </w:rPr>
      </w:pPr>
      <w:r>
        <w:rPr>
          <w:rFonts w:ascii="Times New Roman" w:hAnsi="Times New Roman" w:eastAsia="宋体" w:cs="Times New Roman"/>
          <w:szCs w:val="21"/>
        </w:rPr>
        <w:t>GB/T 30375 茶叶贮存</w:t>
      </w:r>
    </w:p>
    <w:p>
      <w:pPr>
        <w:ind w:left="420" w:leftChars="200"/>
        <w:rPr>
          <w:rFonts w:ascii="Times New Roman" w:hAnsi="Times New Roman" w:eastAsia="宋体" w:cs="Times New Roman"/>
          <w:szCs w:val="21"/>
        </w:rPr>
      </w:pPr>
      <w:r>
        <w:rPr>
          <w:rFonts w:ascii="Times New Roman" w:hAnsi="Times New Roman" w:eastAsia="宋体" w:cs="Times New Roman"/>
          <w:szCs w:val="21"/>
        </w:rPr>
        <w:t>GH/T 1070 茶叶包装通则</w:t>
      </w:r>
    </w:p>
    <w:p>
      <w:pPr>
        <w:ind w:left="420" w:leftChars="200"/>
        <w:rPr>
          <w:rFonts w:ascii="Times New Roman" w:hAnsi="Times New Roman" w:eastAsia="宋体" w:cs="Times New Roman"/>
          <w:szCs w:val="21"/>
        </w:rPr>
      </w:pPr>
      <w:r>
        <w:rPr>
          <w:rFonts w:ascii="Times New Roman" w:hAnsi="Times New Roman" w:eastAsia="宋体" w:cs="Times New Roman"/>
          <w:szCs w:val="21"/>
        </w:rPr>
        <w:t>NY/T 393 绿色食品 农药施用准则</w:t>
      </w:r>
    </w:p>
    <w:p>
      <w:pPr>
        <w:ind w:left="420" w:leftChars="200"/>
        <w:rPr>
          <w:rFonts w:ascii="Times New Roman" w:hAnsi="Times New Roman" w:eastAsia="宋体" w:cs="Times New Roman"/>
          <w:szCs w:val="21"/>
        </w:rPr>
      </w:pPr>
      <w:r>
        <w:rPr>
          <w:rFonts w:ascii="Times New Roman" w:hAnsi="Times New Roman" w:eastAsia="宋体" w:cs="Times New Roman"/>
          <w:szCs w:val="21"/>
        </w:rPr>
        <w:t>NY/T 5018 茶叶生产技术规程</w:t>
      </w:r>
    </w:p>
    <w:p>
      <w:pPr>
        <w:ind w:left="420" w:leftChars="200"/>
        <w:rPr>
          <w:rFonts w:ascii="Times New Roman" w:hAnsi="Times New Roman" w:eastAsia="宋体" w:cs="Times New Roman"/>
          <w:szCs w:val="21"/>
        </w:rPr>
      </w:pPr>
      <w:r>
        <w:rPr>
          <w:rFonts w:ascii="Times New Roman" w:hAnsi="Times New Roman" w:eastAsia="宋体" w:cs="Times New Roman"/>
          <w:szCs w:val="21"/>
        </w:rPr>
        <w:t>JJF 1070 定量包装商品净含量计量检验规则</w:t>
      </w:r>
    </w:p>
    <w:p>
      <w:pPr>
        <w:ind w:left="420" w:leftChars="200"/>
        <w:rPr>
          <w:rFonts w:ascii="Times New Roman" w:hAnsi="Times New Roman" w:eastAsia="宋体" w:cs="Times New Roman"/>
          <w:szCs w:val="21"/>
        </w:rPr>
      </w:pPr>
      <w:r>
        <w:rPr>
          <w:rFonts w:hint="eastAsia" w:ascii="Times New Roman" w:hAnsi="Times New Roman" w:eastAsia="宋体" w:cs="Times New Roman"/>
          <w:szCs w:val="21"/>
        </w:rPr>
        <w:t>国家质检总局令第</w:t>
      </w:r>
      <w:r>
        <w:rPr>
          <w:rFonts w:ascii="Times New Roman" w:hAnsi="Times New Roman" w:eastAsia="宋体" w:cs="Times New Roman"/>
          <w:szCs w:val="21"/>
        </w:rPr>
        <w:t xml:space="preserve"> 75 号《定量包装商品计量监督管理办法》</w:t>
      </w:r>
    </w:p>
    <w:p>
      <w:pPr>
        <w:ind w:left="420" w:left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3 术语和定义</w:t>
      </w:r>
    </w:p>
    <w:p>
      <w:pPr>
        <w:ind w:left="420" w:leftChars="200"/>
        <w:rPr>
          <w:rFonts w:ascii="Times New Roman" w:hAnsi="Times New Roman" w:eastAsia="黑体" w:cs="Times New Roman"/>
          <w:szCs w:val="21"/>
        </w:rPr>
      </w:pPr>
    </w:p>
    <w:p>
      <w:pPr>
        <w:ind w:left="420" w:leftChars="200"/>
        <w:rPr>
          <w:rFonts w:ascii="Times New Roman" w:hAnsi="Times New Roman" w:eastAsia="宋体" w:cs="Times New Roman"/>
          <w:szCs w:val="21"/>
        </w:rPr>
      </w:pPr>
      <w:r>
        <w:rPr>
          <w:rFonts w:hint="eastAsia" w:ascii="Times New Roman" w:hAnsi="Times New Roman" w:eastAsia="宋体" w:cs="Times New Roman"/>
          <w:szCs w:val="21"/>
        </w:rPr>
        <w:t>下列术语和定义适用于本文件。</w:t>
      </w:r>
    </w:p>
    <w:p>
      <w:pPr>
        <w:rPr>
          <w:rFonts w:ascii="Times New Roman" w:hAnsi="Times New Roman" w:eastAsia="黑体" w:cs="Times New Roman"/>
          <w:szCs w:val="21"/>
        </w:rPr>
      </w:pPr>
      <w:r>
        <w:rPr>
          <w:rFonts w:ascii="Times New Roman" w:hAnsi="Times New Roman" w:eastAsia="黑体" w:cs="Times New Roman"/>
          <w:szCs w:val="21"/>
        </w:rPr>
        <w:t>3.1</w:t>
      </w:r>
    </w:p>
    <w:p>
      <w:pPr>
        <w:ind w:left="420" w:leftChars="200"/>
        <w:rPr>
          <w:rFonts w:ascii="Times New Roman" w:hAnsi="Times New Roman" w:eastAsia="黑体" w:cs="Times New Roman"/>
          <w:szCs w:val="21"/>
        </w:rPr>
      </w:pPr>
      <w:r>
        <w:rPr>
          <w:rFonts w:hint="eastAsia" w:ascii="Times New Roman" w:hAnsi="Times New Roman" w:eastAsia="黑体" w:cs="Times New Roman"/>
          <w:szCs w:val="21"/>
        </w:rPr>
        <w:t>永泰绿茶</w:t>
      </w:r>
      <w:r>
        <w:rPr>
          <w:rFonts w:ascii="Times New Roman" w:hAnsi="Times New Roman" w:eastAsia="黑体" w:cs="Times New Roman"/>
          <w:szCs w:val="21"/>
        </w:rPr>
        <w:t xml:space="preserve"> Yongtai green tea</w:t>
      </w:r>
    </w:p>
    <w:p>
      <w:pPr>
        <w:ind w:left="420" w:leftChars="200"/>
        <w:rPr>
          <w:rFonts w:ascii="Times New Roman" w:hAnsi="Times New Roman" w:eastAsia="宋体" w:cs="Times New Roman"/>
          <w:szCs w:val="21"/>
        </w:rPr>
      </w:pPr>
      <w:r>
        <w:rPr>
          <w:rFonts w:hint="eastAsia" w:ascii="Times New Roman" w:hAnsi="Times New Roman" w:eastAsia="宋体" w:cs="Times New Roman"/>
          <w:szCs w:val="21"/>
        </w:rPr>
        <w:t>以永泰县范围内种植茶树的鲜叶为原料，在永泰县境内特定的地理环境栽培种植和以独</w:t>
      </w:r>
    </w:p>
    <w:p>
      <w:pPr>
        <w:rPr>
          <w:rFonts w:ascii="Times New Roman" w:hAnsi="Times New Roman" w:eastAsia="宋体" w:cs="Times New Roman"/>
          <w:szCs w:val="21"/>
        </w:rPr>
      </w:pPr>
      <w:r>
        <w:rPr>
          <w:rFonts w:hint="eastAsia" w:ascii="Times New Roman" w:hAnsi="Times New Roman" w:eastAsia="宋体" w:cs="Times New Roman"/>
          <w:szCs w:val="21"/>
        </w:rPr>
        <w:t>特的加工方式，经杀青、揉捻、做形、烘干等工艺加工而成的，具有外形条索紧结、匀整，色泽绿润毫显；</w:t>
      </w:r>
      <w:r>
        <w:rPr>
          <w:rFonts w:ascii="Times New Roman" w:hAnsi="Times New Roman" w:eastAsia="宋体" w:cs="Times New Roman"/>
          <w:szCs w:val="21"/>
        </w:rPr>
        <w:t>香气栗香显、带花香，滋味鲜醇甘爽，汤色嫩绿明亮，叶底绿亮匀齐的品质特征</w:t>
      </w:r>
      <w:r>
        <w:rPr>
          <w:rFonts w:hint="eastAsia" w:ascii="Times New Roman" w:hAnsi="Times New Roman" w:eastAsia="宋体" w:cs="Times New Roman"/>
          <w:szCs w:val="21"/>
        </w:rPr>
        <w:t>的绿茶</w:t>
      </w:r>
      <w:r>
        <w:rPr>
          <w:rFonts w:ascii="Times New Roman" w:hAnsi="Times New Roman" w:eastAsia="宋体" w:cs="Times New Roman"/>
          <w:szCs w:val="21"/>
        </w:rPr>
        <w:t>。</w:t>
      </w:r>
    </w:p>
    <w:p>
      <w:pPr>
        <w:rPr>
          <w:rFonts w:ascii="Times New Roman" w:hAnsi="Times New Roman" w:eastAsia="黑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 xml:space="preserve">4 </w:t>
      </w:r>
      <w:bookmarkStart w:id="1" w:name="_Hlk115793553"/>
      <w:bookmarkStart w:id="2" w:name="_Hlk115793610"/>
      <w:r>
        <w:rPr>
          <w:rFonts w:ascii="Times New Roman" w:hAnsi="Times New Roman" w:eastAsia="黑体" w:cs="Times New Roman"/>
          <w:szCs w:val="21"/>
        </w:rPr>
        <w:t>农产品地理标志保护范围</w:t>
      </w:r>
      <w:bookmarkEnd w:id="1"/>
    </w:p>
    <w:bookmarkEnd w:id="2"/>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农产品地理标志产品永泰绿茶保护范围限于农业农村部根据《农产品地理标志管理规定》批准的范围，见附录</w:t>
      </w:r>
      <w:r>
        <w:rPr>
          <w:rFonts w:ascii="Times New Roman" w:hAnsi="Times New Roman" w:eastAsia="宋体" w:cs="Times New Roman"/>
          <w:szCs w:val="21"/>
        </w:rPr>
        <w:t xml:space="preserve"> A</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5 分级</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永泰绿茶的按产品质量分为：特级、一级、二级、三级。</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 要求</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永泰绿茶生产的全过程，包括山地选择、园地开垦、品种选择、苗木定制、田间管理、鲜叶采摘等都严格按照《</w:t>
      </w:r>
      <w:bookmarkStart w:id="3" w:name="_Hlk106280053"/>
      <w:r>
        <w:rPr>
          <w:rFonts w:ascii="Times New Roman" w:hAnsi="Times New Roman" w:eastAsia="宋体" w:cs="Times New Roman"/>
          <w:szCs w:val="21"/>
        </w:rPr>
        <w:t>NY/T 5018-2015 茶叶生产技术规程</w:t>
      </w:r>
      <w:bookmarkEnd w:id="3"/>
      <w:r>
        <w:rPr>
          <w:rFonts w:ascii="Times New Roman" w:hAnsi="Times New Roman" w:eastAsia="宋体" w:cs="Times New Roman"/>
          <w:szCs w:val="21"/>
        </w:rPr>
        <w:t>》执行</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6.1 自然环境</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永泰县是典型的亚热带季风气候区，气候温暖，雨量充足，四季分明，立体气候明显。年降雨量在</w:t>
      </w:r>
      <w:r>
        <w:rPr>
          <w:rFonts w:ascii="Times New Roman" w:hAnsi="Times New Roman" w:eastAsia="宋体" w:cs="Times New Roman"/>
          <w:szCs w:val="21"/>
        </w:rPr>
        <w:t>1400 ~ 2000毫米之间</w:t>
      </w:r>
      <w:r>
        <w:rPr>
          <w:rFonts w:hint="eastAsia" w:ascii="Times New Roman" w:hAnsi="Times New Roman" w:eastAsia="宋体" w:cs="Times New Roman"/>
          <w:szCs w:val="21"/>
        </w:rPr>
        <w:t>，</w:t>
      </w:r>
      <w:r>
        <w:rPr>
          <w:rFonts w:ascii="Times New Roman" w:hAnsi="Times New Roman" w:eastAsia="宋体" w:cs="Times New Roman"/>
          <w:szCs w:val="21"/>
        </w:rPr>
        <w:t>年平均气温14.6 ~ 20.7℃，年均无霜期近300天，年日照时数为1445 ~ 2193小时，年活动积温5000℃以上</w:t>
      </w:r>
      <w:r>
        <w:rPr>
          <w:rFonts w:hint="eastAsia" w:ascii="Times New Roman" w:hAnsi="Times New Roman" w:eastAsia="宋体" w:cs="Times New Roman"/>
          <w:szCs w:val="21"/>
        </w:rPr>
        <w:t>。永泰县区域地势高峻，云雾缭绕，平均海拔在</w:t>
      </w:r>
      <w:r>
        <w:rPr>
          <w:rFonts w:ascii="Times New Roman" w:hAnsi="Times New Roman" w:eastAsia="宋体" w:cs="Times New Roman"/>
          <w:szCs w:val="21"/>
        </w:rPr>
        <w:t>500米以上，森林覆盖率达76.8%。</w:t>
      </w:r>
      <w:r>
        <w:rPr>
          <w:rFonts w:hint="eastAsia" w:ascii="Times New Roman" w:hAnsi="Times New Roman" w:eastAsia="宋体" w:cs="Times New Roman"/>
          <w:szCs w:val="21"/>
        </w:rPr>
        <w:t>永泰绿茶生长于</w:t>
      </w:r>
      <w:r>
        <w:rPr>
          <w:rFonts w:ascii="Times New Roman" w:hAnsi="Times New Roman" w:eastAsia="宋体" w:cs="Times New Roman"/>
          <w:szCs w:val="21"/>
        </w:rPr>
        <w:t>pH4.5 ~ 6.5的结构良好的红黄壤，土层深厚，土壤肥沃，平均海拔高于500米，生态环境条件良好</w:t>
      </w:r>
      <w:r>
        <w:rPr>
          <w:rFonts w:hint="eastAsia" w:ascii="Times New Roman" w:hAnsi="Times New Roman" w:eastAsia="宋体" w:cs="Times New Roman"/>
          <w:szCs w:val="21"/>
        </w:rPr>
        <w:t>、相对低温、高湿和多云雾的茶园种植区</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6.2 栽培</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选择优良性状，生长势强、产量高、品质好、无病虫为害的茶树作为栽培材料，对于种植时间较长、优良种性出现退化的茶树要进行提纯复壮，保持永泰县茶树品种的抗逆性强、品质优良产量高、适应性好的优良特性。要求茶苗粗壮，根系发达。</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6.3 茶园施肥</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施肥方面提倡以施放腐熟有机肥为主，复合肥为辅。</w:t>
      </w:r>
      <w:r>
        <w:rPr>
          <w:rFonts w:ascii="Times New Roman" w:hAnsi="Times New Roman" w:eastAsia="宋体" w:cs="Times New Roman"/>
          <w:szCs w:val="21"/>
        </w:rPr>
        <w:t xml:space="preserve"> </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6.4 病虫害防治</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病虫害防治方面以农业和物理防治为主，化学防治为辅的防治办法，严格规定化学农药的使用剂量、施用次数，严格执行安全间隔期，提倡施用生物源、矿质源农药；同时，督促企业和茶农做好生产过程记录档案，即在茶叶生产过程中各项农事活动，农业投入品的购买、使用情况，产品的加工与销售情况，如实记录造册，逐步建立永泰绿茶质量可追溯制度。</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6.5 鲜叶原料</w:t>
      </w:r>
    </w:p>
    <w:p>
      <w:pPr>
        <w:rPr>
          <w:rFonts w:ascii="Times New Roman" w:hAnsi="Times New Roman" w:eastAsia="黑体" w:cs="Times New Roman"/>
          <w:szCs w:val="21"/>
        </w:rPr>
      </w:pPr>
      <w:r>
        <w:rPr>
          <w:rFonts w:ascii="Times New Roman" w:hAnsi="Times New Roman" w:eastAsia="黑体" w:cs="Times New Roman"/>
          <w:szCs w:val="21"/>
        </w:rPr>
        <w:t>6.5.1 鲜叶采摘</w:t>
      </w:r>
      <w:r>
        <w:rPr>
          <w:rFonts w:hint="eastAsia" w:ascii="Times New Roman" w:hAnsi="Times New Roman" w:eastAsia="黑体" w:cs="Times New Roman"/>
          <w:szCs w:val="21"/>
        </w:rPr>
        <w:t>要求</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坚持采养结合的原则，根据永泰绿茶不同系列对原料的不同要求，分批、分期、分次按标准适时采摘茶树顶部的嫩芽梢。采茶时采用提手采或小剪采的方式，用清洁、通风的篓筐盛装，防止鲜叶变质或与其它有害物质混合。采摘的鲜叶做到不挤压、不破损、分类堆放、运输，运输器具要清洁卫生、通气，避免污染和混装，鲜叶进厂要分批次、分品种、分老嫩叶、分加工茶类，要求及时验收堆放。</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6.5.2 鲜叶</w:t>
      </w:r>
      <w:r>
        <w:rPr>
          <w:rFonts w:hint="eastAsia" w:ascii="Times New Roman" w:hAnsi="Times New Roman" w:eastAsia="黑体" w:cs="Times New Roman"/>
          <w:szCs w:val="21"/>
        </w:rPr>
        <w:t>采摘标准</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一芽一叶初展，一芽一叶，一芽二叶初展，一芽二叶。每批采下的鲜叶嫩度、匀度、净度、新鲜度应基本一致。</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6.6 加工</w:t>
      </w:r>
    </w:p>
    <w:p>
      <w:pPr>
        <w:rPr>
          <w:rFonts w:ascii="Times New Roman" w:hAnsi="Times New Roman" w:eastAsia="黑体" w:cs="Times New Roman"/>
          <w:szCs w:val="21"/>
        </w:rPr>
      </w:pPr>
      <w:r>
        <w:rPr>
          <w:rFonts w:ascii="Times New Roman" w:hAnsi="Times New Roman" w:eastAsia="黑体" w:cs="Times New Roman"/>
          <w:szCs w:val="21"/>
        </w:rPr>
        <w:t>6.6.1 加工工艺流程</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茶青验收→</w:t>
      </w:r>
      <w:r>
        <w:rPr>
          <w:rFonts w:hint="eastAsia" w:ascii="Times New Roman" w:hAnsi="Times New Roman" w:eastAsia="宋体" w:cs="Times New Roman"/>
          <w:color w:val="FF0000"/>
          <w:szCs w:val="21"/>
          <w:lang w:eastAsia="zh-CN"/>
        </w:rPr>
        <w:t>凉青</w:t>
      </w:r>
      <w:r>
        <w:rPr>
          <w:rFonts w:hint="eastAsia" w:ascii="Times New Roman" w:hAnsi="Times New Roman" w:eastAsia="宋体" w:cs="Times New Roman"/>
          <w:szCs w:val="21"/>
        </w:rPr>
        <w:t>→杀青→揉捻→做形→干燥→筛分→风选→拣剔→包装成品</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加工时严格按各环节的技术要求精制细造，最后按不同等级包装进仓。</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6.6.2 加工环境</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产品加工在卫生、清洁、无污染的加工厂房内进行。</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6.7 感官指标</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感官指标见表</w:t>
      </w:r>
      <w:r>
        <w:rPr>
          <w:rFonts w:ascii="Times New Roman" w:hAnsi="Times New Roman" w:eastAsia="宋体" w:cs="Times New Roman"/>
          <w:szCs w:val="21"/>
        </w:rPr>
        <w:t>1。</w:t>
      </w:r>
    </w:p>
    <w:p>
      <w:pPr>
        <w:ind w:firstLine="420" w:firstLineChars="200"/>
        <w:jc w:val="center"/>
        <w:rPr>
          <w:rFonts w:ascii="Times New Roman" w:hAnsi="Times New Roman" w:eastAsia="黑体" w:cs="Times New Roman"/>
          <w:szCs w:val="21"/>
        </w:rPr>
      </w:pPr>
    </w:p>
    <w:p>
      <w:pPr>
        <w:ind w:firstLine="420" w:firstLineChars="200"/>
        <w:jc w:val="center"/>
        <w:rPr>
          <w:rFonts w:ascii="Times New Roman" w:hAnsi="Times New Roman" w:eastAsia="黑体" w:cs="Times New Roman"/>
          <w:szCs w:val="21"/>
        </w:rPr>
      </w:pPr>
      <w:r>
        <w:rPr>
          <w:rFonts w:hint="eastAsia" w:ascii="Times New Roman" w:hAnsi="Times New Roman" w:eastAsia="黑体" w:cs="Times New Roman"/>
          <w:szCs w:val="21"/>
        </w:rPr>
        <w:t>表</w:t>
      </w:r>
      <w:r>
        <w:rPr>
          <w:rFonts w:ascii="Times New Roman" w:hAnsi="Times New Roman" w:eastAsia="黑体" w:cs="Times New Roman"/>
          <w:szCs w:val="21"/>
        </w:rPr>
        <w:t xml:space="preserve">1 </w:t>
      </w:r>
      <w:r>
        <w:rPr>
          <w:rFonts w:hint="eastAsia" w:ascii="Times New Roman" w:hAnsi="Times New Roman" w:eastAsia="黑体" w:cs="Times New Roman"/>
          <w:szCs w:val="21"/>
        </w:rPr>
        <w:t>感官指标</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57"/>
        <w:gridCol w:w="1134"/>
        <w:gridCol w:w="1134"/>
        <w:gridCol w:w="1276"/>
        <w:gridCol w:w="85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tcPr>
          <w:p>
            <w:pPr>
              <w:jc w:val="center"/>
              <w:rPr>
                <w:rFonts w:ascii="Times New Roman" w:hAnsi="Times New Roman" w:eastAsia="宋体" w:cs="Times New Roman"/>
                <w:szCs w:val="21"/>
              </w:rPr>
            </w:pPr>
            <w:r>
              <w:rPr>
                <w:rFonts w:hint="eastAsia" w:ascii="Times New Roman" w:hAnsi="Times New Roman" w:eastAsia="宋体" w:cs="Times New Roman"/>
                <w:szCs w:val="21"/>
              </w:rPr>
              <w:t>级别</w:t>
            </w:r>
          </w:p>
        </w:tc>
        <w:tc>
          <w:tcPr>
            <w:tcW w:w="3125" w:type="dxa"/>
            <w:gridSpan w:val="3"/>
          </w:tcPr>
          <w:p>
            <w:pPr>
              <w:jc w:val="center"/>
              <w:rPr>
                <w:rFonts w:ascii="Times New Roman" w:hAnsi="Times New Roman" w:eastAsia="宋体" w:cs="Times New Roman"/>
                <w:szCs w:val="21"/>
              </w:rPr>
            </w:pPr>
            <w:r>
              <w:rPr>
                <w:rFonts w:hint="eastAsia" w:ascii="Times New Roman" w:hAnsi="Times New Roman" w:eastAsia="宋体" w:cs="Times New Roman"/>
                <w:szCs w:val="21"/>
              </w:rPr>
              <w:t>外形</w:t>
            </w:r>
          </w:p>
        </w:tc>
        <w:tc>
          <w:tcPr>
            <w:tcW w:w="4395" w:type="dxa"/>
            <w:gridSpan w:val="4"/>
          </w:tcPr>
          <w:p>
            <w:pPr>
              <w:jc w:val="center"/>
              <w:rPr>
                <w:rFonts w:ascii="Times New Roman" w:hAnsi="Times New Roman" w:eastAsia="宋体" w:cs="Times New Roman"/>
                <w:szCs w:val="21"/>
              </w:rPr>
            </w:pPr>
            <w:r>
              <w:rPr>
                <w:rFonts w:hint="eastAsia" w:ascii="Times New Roman" w:hAnsi="Times New Roman" w:eastAsia="宋体" w:cs="Times New Roman"/>
                <w:szCs w:val="21"/>
              </w:rPr>
              <w:t>内质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tcPr>
          <w:p>
            <w:pPr>
              <w:jc w:val="center"/>
              <w:rPr>
                <w:rFonts w:ascii="Times New Roman" w:hAnsi="Times New Roman" w:eastAsia="宋体" w:cs="Times New Roman"/>
                <w:szCs w:val="21"/>
              </w:rPr>
            </w:pPr>
          </w:p>
        </w:tc>
        <w:tc>
          <w:tcPr>
            <w:tcW w:w="857"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条索</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色泽</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匀净度</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香气</w:t>
            </w:r>
          </w:p>
        </w:tc>
        <w:tc>
          <w:tcPr>
            <w:tcW w:w="85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滋味</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汤色</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3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特级</w:t>
            </w:r>
          </w:p>
        </w:tc>
        <w:tc>
          <w:tcPr>
            <w:tcW w:w="857"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紧结</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绿润毫显</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匀齐、净</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嫩香持久，栗香显</w:t>
            </w:r>
          </w:p>
        </w:tc>
        <w:tc>
          <w:tcPr>
            <w:tcW w:w="85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鲜醇厚</w:t>
            </w:r>
          </w:p>
        </w:tc>
        <w:tc>
          <w:tcPr>
            <w:tcW w:w="1134" w:type="dxa"/>
          </w:tcPr>
          <w:p>
            <w:pPr>
              <w:jc w:val="center"/>
              <w:rPr>
                <w:rFonts w:ascii="等线" w:hAnsi="等线" w:eastAsia="等线"/>
                <w:color w:val="000000"/>
                <w:sz w:val="22"/>
              </w:rPr>
            </w:pPr>
            <w:r>
              <w:rPr>
                <w:rFonts w:hint="eastAsia" w:ascii="Times New Roman" w:hAnsi="Times New Roman" w:eastAsia="宋体" w:cs="Times New Roman"/>
                <w:szCs w:val="21"/>
              </w:rPr>
              <w:t>嫩绿明亮</w:t>
            </w:r>
          </w:p>
          <w:p>
            <w:pPr>
              <w:jc w:val="center"/>
              <w:rPr>
                <w:rFonts w:ascii="Times New Roman" w:hAnsi="Times New Roman" w:eastAsia="宋体" w:cs="Times New Roman"/>
                <w:szCs w:val="21"/>
              </w:rPr>
            </w:pP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黄绿鲜亮，匀齐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一级</w:t>
            </w:r>
          </w:p>
        </w:tc>
        <w:tc>
          <w:tcPr>
            <w:tcW w:w="857"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紧结</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绿润毫显</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匀整、净</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嫩香持久</w:t>
            </w:r>
          </w:p>
        </w:tc>
        <w:tc>
          <w:tcPr>
            <w:tcW w:w="85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鲜醇</w:t>
            </w:r>
          </w:p>
        </w:tc>
        <w:tc>
          <w:tcPr>
            <w:tcW w:w="1134" w:type="dxa"/>
          </w:tcPr>
          <w:p>
            <w:pPr>
              <w:jc w:val="center"/>
              <w:rPr>
                <w:rFonts w:ascii="等线" w:hAnsi="等线" w:eastAsia="等线"/>
                <w:color w:val="000000"/>
                <w:sz w:val="22"/>
              </w:rPr>
            </w:pPr>
            <w:r>
              <w:rPr>
                <w:rFonts w:hint="eastAsia" w:ascii="Times New Roman" w:hAnsi="Times New Roman" w:eastAsia="宋体" w:cs="Times New Roman"/>
                <w:szCs w:val="21"/>
              </w:rPr>
              <w:t>嫩绿明亮</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黄绿鲜亮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二级</w:t>
            </w:r>
          </w:p>
        </w:tc>
        <w:tc>
          <w:tcPr>
            <w:tcW w:w="857"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尚紧结</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绿润</w:t>
            </w:r>
          </w:p>
        </w:tc>
        <w:tc>
          <w:tcPr>
            <w:tcW w:w="1134" w:type="dxa"/>
          </w:tcPr>
          <w:p>
            <w:pPr>
              <w:jc w:val="center"/>
              <w:rPr>
                <w:rFonts w:ascii="Times New Roman" w:hAnsi="Times New Roman" w:eastAsia="宋体" w:cs="Times New Roman"/>
                <w:szCs w:val="21"/>
              </w:rPr>
            </w:pPr>
            <w:r>
              <w:rPr>
                <w:rFonts w:ascii="Times New Roman" w:hAnsi="Times New Roman" w:eastAsia="宋体" w:cs="Times New Roman"/>
                <w:szCs w:val="21"/>
              </w:rPr>
              <w:t>尚匀整、净</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嫩香尚持久</w:t>
            </w:r>
          </w:p>
        </w:tc>
        <w:tc>
          <w:tcPr>
            <w:tcW w:w="851"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鲜醇</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鲜绿明亮</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黄绿明亮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三级</w:t>
            </w:r>
          </w:p>
        </w:tc>
        <w:tc>
          <w:tcPr>
            <w:tcW w:w="857"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尚紧结</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绿尚润</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完</w:t>
            </w:r>
            <w:r>
              <w:rPr>
                <w:rFonts w:ascii="Times New Roman" w:hAnsi="Times New Roman" w:eastAsia="宋体" w:cs="Times New Roman"/>
                <w:szCs w:val="21"/>
              </w:rPr>
              <w:t>整、净</w:t>
            </w:r>
          </w:p>
        </w:tc>
        <w:tc>
          <w:tcPr>
            <w:tcW w:w="1276"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嫩香</w:t>
            </w:r>
          </w:p>
        </w:tc>
        <w:tc>
          <w:tcPr>
            <w:tcW w:w="851" w:type="dxa"/>
          </w:tcPr>
          <w:p>
            <w:pPr>
              <w:jc w:val="center"/>
              <w:rPr>
                <w:rFonts w:ascii="Times New Roman" w:hAnsi="Times New Roman" w:eastAsia="宋体" w:cs="Times New Roman"/>
                <w:szCs w:val="21"/>
              </w:rPr>
            </w:pPr>
            <w:r>
              <w:t>醇和</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绿、亮</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绿、完整</w:t>
            </w:r>
          </w:p>
        </w:tc>
      </w:tr>
    </w:tbl>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6.8 理化指标</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理化指标见表</w:t>
      </w:r>
      <w:r>
        <w:rPr>
          <w:rFonts w:ascii="Times New Roman" w:hAnsi="Times New Roman" w:eastAsia="宋体" w:cs="Times New Roman"/>
          <w:szCs w:val="21"/>
        </w:rPr>
        <w:t>2。</w:t>
      </w:r>
    </w:p>
    <w:p>
      <w:pPr>
        <w:ind w:firstLine="420" w:firstLineChars="200"/>
        <w:jc w:val="center"/>
        <w:rPr>
          <w:rFonts w:ascii="Times New Roman" w:hAnsi="Times New Roman" w:eastAsia="黑体" w:cs="Times New Roman"/>
          <w:szCs w:val="21"/>
        </w:rPr>
      </w:pPr>
      <w:r>
        <w:rPr>
          <w:rFonts w:hint="eastAsia" w:ascii="Times New Roman" w:hAnsi="Times New Roman" w:eastAsia="黑体" w:cs="Times New Roman"/>
          <w:szCs w:val="21"/>
        </w:rPr>
        <w:t>表</w:t>
      </w:r>
      <w:r>
        <w:rPr>
          <w:rFonts w:ascii="Times New Roman" w:hAnsi="Times New Roman" w:eastAsia="黑体" w:cs="Times New Roman"/>
          <w:szCs w:val="21"/>
        </w:rPr>
        <w:t xml:space="preserve">2 </w:t>
      </w:r>
      <w:r>
        <w:rPr>
          <w:rFonts w:hint="eastAsia" w:ascii="Times New Roman" w:hAnsi="Times New Roman" w:eastAsia="黑体" w:cs="Times New Roman"/>
          <w:szCs w:val="21"/>
        </w:rPr>
        <w:t>理化指标</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项 </w:t>
            </w:r>
            <w:r>
              <w:rPr>
                <w:rFonts w:ascii="Times New Roman" w:hAnsi="Times New Roman" w:eastAsia="宋体" w:cs="Times New Roman"/>
                <w:szCs w:val="21"/>
              </w:rPr>
              <w:t xml:space="preserve">        </w:t>
            </w:r>
            <w:r>
              <w:rPr>
                <w:rFonts w:hint="eastAsia" w:ascii="Times New Roman" w:hAnsi="Times New Roman" w:eastAsia="宋体" w:cs="Times New Roman"/>
                <w:szCs w:val="21"/>
              </w:rPr>
              <w:t>目</w:t>
            </w:r>
          </w:p>
        </w:tc>
        <w:tc>
          <w:tcPr>
            <w:tcW w:w="4395"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指 </w:t>
            </w:r>
            <w:r>
              <w:rPr>
                <w:rFonts w:ascii="Times New Roman" w:hAnsi="Times New Roman" w:eastAsia="宋体" w:cs="Times New Roman"/>
                <w:szCs w:val="21"/>
              </w:rPr>
              <w:t xml:space="preserve">        </w:t>
            </w:r>
            <w:r>
              <w:rPr>
                <w:rFonts w:hint="eastAsia" w:ascii="Times New Roman" w:hAnsi="Times New Roman" w:eastAsia="宋体" w:cs="Times New Roman"/>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茶多酚，%</w:t>
            </w:r>
          </w:p>
        </w:tc>
        <w:tc>
          <w:tcPr>
            <w:tcW w:w="4395" w:type="dxa"/>
          </w:tcPr>
          <w:p>
            <w:pPr>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2.</w:t>
            </w:r>
            <w:r>
              <w:rPr>
                <w:rFonts w:ascii="Times New Roman" w:hAnsi="Times New Roman" w:eastAsia="宋体" w:cs="Times New Roman"/>
                <w:szCs w:val="21"/>
              </w:rPr>
              <w:t>0</w:t>
            </w:r>
            <w:r>
              <w:rPr>
                <w:rFonts w:hint="eastAsia" w:ascii="Times New Roman" w:hAnsi="Times New Roman" w:eastAsia="宋体" w:cs="Times New Roman"/>
                <w:szCs w:val="21"/>
              </w:rPr>
              <w:t>—</w:t>
            </w:r>
            <w:r>
              <w:rPr>
                <w:rFonts w:ascii="Times New Roman" w:hAnsi="Times New Roman" w:eastAsia="宋体" w:cs="Times New Roman"/>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咖啡碱，%</w:t>
            </w:r>
          </w:p>
        </w:tc>
        <w:tc>
          <w:tcPr>
            <w:tcW w:w="4395" w:type="dxa"/>
          </w:tcPr>
          <w:p>
            <w:pPr>
              <w:jc w:val="center"/>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rPr>
              <w:t>—</w:t>
            </w:r>
            <w:r>
              <w:rPr>
                <w:rFonts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jc w:val="left"/>
              <w:rPr>
                <w:rFonts w:ascii="Times New Roman" w:hAnsi="Times New Roman" w:eastAsia="宋体" w:cs="Times New Roman"/>
                <w:szCs w:val="21"/>
              </w:rPr>
            </w:pPr>
            <w:r>
              <w:rPr>
                <w:rFonts w:hint="eastAsia" w:ascii="Times New Roman" w:hAnsi="Times New Roman" w:eastAsia="宋体" w:cs="Times New Roman"/>
                <w:szCs w:val="21"/>
              </w:rPr>
              <w:t>氨基酸总量，%</w:t>
            </w:r>
          </w:p>
        </w:tc>
        <w:tc>
          <w:tcPr>
            <w:tcW w:w="4395" w:type="dxa"/>
          </w:tcPr>
          <w:p>
            <w:pPr>
              <w:jc w:val="center"/>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rPr>
              <w:t>—5</w:t>
            </w:r>
            <w:r>
              <w:rPr>
                <w:rFonts w:ascii="Times New Roman" w:hAnsi="Times New Roman" w:eastAsia="宋体" w:cs="Times New Roman"/>
                <w:szCs w:val="21"/>
              </w:rPr>
              <w:t>.0</w:t>
            </w:r>
          </w:p>
        </w:tc>
      </w:tr>
    </w:tbl>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6.9 卫生指标</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卫生指标应符合</w:t>
      </w:r>
      <w:r>
        <w:rPr>
          <w:rFonts w:ascii="Times New Roman" w:hAnsi="Times New Roman" w:eastAsia="宋体" w:cs="Times New Roman"/>
          <w:szCs w:val="21"/>
        </w:rPr>
        <w:t>GB 2762、GB 2763</w:t>
      </w:r>
      <w:r>
        <w:rPr>
          <w:rFonts w:hint="eastAsia" w:ascii="Times New Roman" w:hAnsi="Times New Roman" w:eastAsia="宋体" w:cs="Times New Roman"/>
          <w:szCs w:val="21"/>
        </w:rPr>
        <w:t>。永泰绿茶产品质量应符合无公害农产品相关标准。</w:t>
      </w:r>
    </w:p>
    <w:p>
      <w:pPr>
        <w:ind w:firstLine="420" w:firstLineChars="200"/>
        <w:rPr>
          <w:rFonts w:ascii="Times New Roman" w:hAnsi="Times New Roman" w:eastAsia="宋体" w:cs="Times New Roman"/>
          <w:szCs w:val="21"/>
        </w:rPr>
      </w:pPr>
    </w:p>
    <w:p>
      <w:pPr>
        <w:jc w:val="left"/>
        <w:rPr>
          <w:rFonts w:ascii="Times New Roman" w:hAnsi="Times New Roman" w:eastAsia="黑体" w:cs="Times New Roman"/>
          <w:szCs w:val="21"/>
        </w:rPr>
      </w:pPr>
      <w:r>
        <w:rPr>
          <w:rFonts w:ascii="Times New Roman" w:hAnsi="Times New Roman" w:eastAsia="黑体" w:cs="Times New Roman"/>
          <w:szCs w:val="21"/>
        </w:rPr>
        <w:t>6.10 净含量允差</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应符合《定量包装商品计量监督管理办法》。</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7 试验方法</w:t>
      </w:r>
    </w:p>
    <w:p>
      <w:pPr>
        <w:rPr>
          <w:rFonts w:ascii="Times New Roman" w:hAnsi="Times New Roman" w:eastAsia="黑体" w:cs="Times New Roman"/>
          <w:szCs w:val="21"/>
        </w:rPr>
      </w:pPr>
      <w:r>
        <w:rPr>
          <w:rFonts w:ascii="Times New Roman" w:hAnsi="Times New Roman" w:eastAsia="黑体" w:cs="Times New Roman"/>
          <w:szCs w:val="21"/>
        </w:rPr>
        <w:t>7.1 取样</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8302规定的方法进行。</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7.2 感官指标</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23776规定的方法进行。</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7.3 理化指标</w:t>
      </w:r>
    </w:p>
    <w:p>
      <w:pPr>
        <w:rPr>
          <w:rFonts w:ascii="Times New Roman" w:hAnsi="Times New Roman" w:eastAsia="黑体" w:cs="Times New Roman"/>
          <w:szCs w:val="21"/>
        </w:rPr>
      </w:pPr>
      <w:r>
        <w:rPr>
          <w:rFonts w:ascii="Times New Roman" w:hAnsi="Times New Roman" w:eastAsia="黑体" w:cs="Times New Roman"/>
          <w:szCs w:val="21"/>
        </w:rPr>
        <w:t xml:space="preserve">7.3.1 </w:t>
      </w:r>
      <w:r>
        <w:rPr>
          <w:rFonts w:hint="eastAsia" w:ascii="Times New Roman" w:hAnsi="Times New Roman" w:eastAsia="黑体" w:cs="Times New Roman"/>
          <w:szCs w:val="21"/>
        </w:rPr>
        <w:t>茶多酚</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8313规定的方法进行。</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 xml:space="preserve">7.3.2 </w:t>
      </w:r>
      <w:r>
        <w:rPr>
          <w:rFonts w:hint="eastAsia" w:ascii="Times New Roman" w:hAnsi="Times New Roman" w:eastAsia="黑体" w:cs="Times New Roman"/>
          <w:szCs w:val="21"/>
        </w:rPr>
        <w:t>咖啡碱</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8312规定的方法进行。</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 xml:space="preserve">7.3.3 </w:t>
      </w:r>
      <w:r>
        <w:rPr>
          <w:rFonts w:hint="eastAsia" w:ascii="Times New Roman" w:hAnsi="Times New Roman" w:eastAsia="黑体" w:cs="Times New Roman"/>
          <w:szCs w:val="21"/>
        </w:rPr>
        <w:t>氨基酸总量</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8314规定的方法进行</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7.4 卫生指标</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GB2762、GB2763的规定执行</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7.5 净含量允差</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净含量允差按</w:t>
      </w:r>
      <w:r>
        <w:rPr>
          <w:rFonts w:ascii="Times New Roman" w:hAnsi="Times New Roman" w:eastAsia="宋体" w:cs="Times New Roman"/>
          <w:szCs w:val="21"/>
        </w:rPr>
        <w:t xml:space="preserve"> JJF 1070规定的方法进行</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 检验规则</w:t>
      </w:r>
    </w:p>
    <w:p>
      <w:pPr>
        <w:rPr>
          <w:rFonts w:ascii="Times New Roman" w:hAnsi="Times New Roman" w:eastAsia="黑体" w:cs="Times New Roman"/>
          <w:szCs w:val="21"/>
        </w:rPr>
      </w:pPr>
      <w:r>
        <w:rPr>
          <w:rFonts w:ascii="Times New Roman" w:hAnsi="Times New Roman" w:eastAsia="黑体" w:cs="Times New Roman"/>
          <w:szCs w:val="21"/>
        </w:rPr>
        <w:t>8.1 取样</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 xml:space="preserve"> GB/T 8302 规定的方法进行。</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8.2 组批</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产品检验以批为单位。以同期、同一品质规格和包装的产品为一批。</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8.3 出厂检</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检验的项目为感官指标、水分、净含量。每批产品均应做出厂检验，检验合格者，并附有合格证方可出厂。</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8.4 型式检验</w:t>
      </w:r>
    </w:p>
    <w:p>
      <w:pPr>
        <w:ind w:firstLine="420" w:firstLineChars="200"/>
        <w:rPr>
          <w:rFonts w:ascii="Times New Roman" w:hAnsi="Times New Roman" w:eastAsia="黑体" w:cs="Times New Roman"/>
          <w:szCs w:val="21"/>
        </w:rPr>
      </w:pPr>
    </w:p>
    <w:p>
      <w:pPr>
        <w:ind w:firstLine="420" w:firstLineChars="200"/>
        <w:rPr>
          <w:rFonts w:ascii="Times New Roman" w:hAnsi="Times New Roman" w:eastAsia="黑体" w:cs="Times New Roman"/>
          <w:szCs w:val="21"/>
        </w:rPr>
      </w:pPr>
      <w:r>
        <w:rPr>
          <w:rFonts w:ascii="Times New Roman" w:hAnsi="Times New Roman" w:eastAsia="宋体" w:cs="Times New Roman"/>
          <w:szCs w:val="21"/>
        </w:rPr>
        <w:t>型式检验为全项目检验。从出厂检验合格的产品中随机抽取。正常生产时，型式检验每年进行一次。有下列情形之一的应对产品质量进行型式检验：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a) 前后两次抽样型式检验结果差异较大；</w:t>
      </w:r>
    </w:p>
    <w:p>
      <w:pPr>
        <w:ind w:firstLine="420" w:firstLineChars="200"/>
        <w:rPr>
          <w:rFonts w:hint="eastAsia" w:ascii="Times New Roman" w:hAnsi="Times New Roman" w:eastAsia="宋体" w:cs="Times New Roman"/>
          <w:szCs w:val="21"/>
        </w:rPr>
      </w:pPr>
      <w:r>
        <w:rPr>
          <w:rFonts w:ascii="Times New Roman" w:hAnsi="Times New Roman" w:eastAsia="宋体" w:cs="Times New Roman"/>
          <w:szCs w:val="21"/>
        </w:rPr>
        <w:t>b) 生产设备发生较大变化对产品质量可能产生影响；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 国家法定质量监督机构或主管部门提出型式检验要求。</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8.5 判定规则</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检验结果中卫生指标中有一项不合格的均判为不合格。除此之外有一项不符合本标准的要求，允许自同批产品中加倍抽样，对不合格项目进行复检，复检仍不合格，则判该批产品或该次产品型式检验不合格。</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8.6 复检规则</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若对检验结果有争议时，应对留存样进行复验，或在同批产品中重新按</w:t>
      </w:r>
      <w:r>
        <w:rPr>
          <w:rFonts w:ascii="Times New Roman" w:hAnsi="Times New Roman" w:eastAsia="宋体" w:cs="Times New Roman"/>
          <w:szCs w:val="21"/>
        </w:rPr>
        <w:t xml:space="preserve"> GB/T 8302 规定加倍取样，</w:t>
      </w:r>
      <w:r>
        <w:rPr>
          <w:rFonts w:hint="eastAsia" w:ascii="Times New Roman" w:hAnsi="Times New Roman" w:eastAsia="宋体" w:cs="Times New Roman"/>
          <w:szCs w:val="21"/>
        </w:rPr>
        <w:t>对不合格项目进行复检，并以复检结果为准。</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9 标志标签、包装、运输、贮存</w:t>
      </w:r>
    </w:p>
    <w:p>
      <w:pPr>
        <w:rPr>
          <w:rFonts w:ascii="Times New Roman" w:hAnsi="Times New Roman" w:eastAsia="黑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9.1 标志标签</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标签应符合</w:t>
      </w:r>
      <w:r>
        <w:rPr>
          <w:rFonts w:ascii="Times New Roman" w:hAnsi="Times New Roman" w:eastAsia="宋体" w:cs="Times New Roman"/>
          <w:szCs w:val="21"/>
        </w:rPr>
        <w:t xml:space="preserve"> GB 7718 的规定。运输包装箱的图示标志应符合 GB/T 191 的规定。</w:t>
      </w:r>
      <w:r>
        <w:rPr>
          <w:rFonts w:hint="eastAsia" w:ascii="Times New Roman" w:hAnsi="Times New Roman" w:eastAsia="宋体" w:cs="Times New Roman"/>
          <w:szCs w:val="21"/>
        </w:rPr>
        <w:t>标志使用人应在其产品或其包装上统一使用农产品地理标志（永泰绿茶名称和公共标识图案组合标注型式）。</w:t>
      </w:r>
    </w:p>
    <w:p>
      <w:pPr>
        <w:ind w:firstLine="420" w:firstLineChars="200"/>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9.2 包装</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应符合</w:t>
      </w:r>
      <w:r>
        <w:rPr>
          <w:rFonts w:ascii="Times New Roman" w:hAnsi="Times New Roman" w:eastAsia="宋体" w:cs="Times New Roman"/>
          <w:szCs w:val="21"/>
        </w:rPr>
        <w:t xml:space="preserve"> GH/T 1070 的规定。</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9.3 运输</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运输的各种交通工具必须清洁、卫生、干燥、无异味、无污染。</w:t>
      </w:r>
    </w:p>
    <w:p>
      <w:pPr>
        <w:rPr>
          <w:rFonts w:ascii="Times New Roman" w:hAnsi="Times New Roman" w:eastAsia="宋体" w:cs="Times New Roman"/>
          <w:szCs w:val="21"/>
        </w:rPr>
      </w:pPr>
    </w:p>
    <w:p>
      <w:pPr>
        <w:rPr>
          <w:rFonts w:ascii="Times New Roman" w:hAnsi="Times New Roman" w:eastAsia="黑体" w:cs="Times New Roman"/>
          <w:szCs w:val="21"/>
        </w:rPr>
      </w:pPr>
      <w:r>
        <w:rPr>
          <w:rFonts w:ascii="Times New Roman" w:hAnsi="Times New Roman" w:eastAsia="黑体" w:cs="Times New Roman"/>
          <w:szCs w:val="21"/>
        </w:rPr>
        <w:t>9.4 贮存</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应符合</w:t>
      </w:r>
      <w:r>
        <w:rPr>
          <w:rFonts w:ascii="Times New Roman" w:hAnsi="Times New Roman" w:eastAsia="宋体" w:cs="Times New Roman"/>
          <w:szCs w:val="21"/>
        </w:rPr>
        <w:t>GB/T 30375的规定。</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hint="eastAsia" w:ascii="Times New Roman" w:hAnsi="Times New Roman" w:eastAsia="宋体" w:cs="Times New Roman"/>
          <w:szCs w:val="21"/>
        </w:rPr>
      </w:pPr>
    </w:p>
    <w:p>
      <w:pPr>
        <w:ind w:firstLine="420" w:firstLineChars="200"/>
        <w:jc w:val="center"/>
        <w:rPr>
          <w:rFonts w:ascii="Times New Roman" w:hAnsi="Times New Roman" w:eastAsia="黑体" w:cs="Times New Roman"/>
          <w:szCs w:val="21"/>
        </w:rPr>
      </w:pPr>
      <w:bookmarkStart w:id="4" w:name="_Hlk115796880"/>
      <w:r>
        <w:rPr>
          <w:rFonts w:hint="eastAsia" w:ascii="Times New Roman" w:hAnsi="Times New Roman" w:eastAsia="黑体" w:cs="Times New Roman"/>
          <w:szCs w:val="21"/>
        </w:rPr>
        <w:t>附</w:t>
      </w:r>
      <w:r>
        <w:rPr>
          <w:rFonts w:ascii="Times New Roman" w:hAnsi="Times New Roman" w:eastAsia="黑体" w:cs="Times New Roman"/>
          <w:szCs w:val="21"/>
        </w:rPr>
        <w:t xml:space="preserve"> 录 A</w:t>
      </w:r>
    </w:p>
    <w:bookmarkEnd w:id="4"/>
    <w:p>
      <w:pPr>
        <w:ind w:firstLine="420" w:firstLineChars="200"/>
        <w:jc w:val="center"/>
        <w:rPr>
          <w:rFonts w:ascii="Times New Roman" w:hAnsi="Times New Roman" w:eastAsia="黑体" w:cs="Times New Roman"/>
          <w:szCs w:val="21"/>
        </w:rPr>
      </w:pPr>
      <w:r>
        <w:rPr>
          <w:rFonts w:hint="eastAsia" w:ascii="Times New Roman" w:hAnsi="Times New Roman" w:eastAsia="黑体" w:cs="Times New Roman"/>
          <w:szCs w:val="21"/>
        </w:rPr>
        <w:t>（规范性附录）</w:t>
      </w:r>
    </w:p>
    <w:p>
      <w:pPr>
        <w:ind w:firstLine="420" w:firstLineChars="200"/>
        <w:jc w:val="center"/>
        <w:rPr>
          <w:rFonts w:ascii="Times New Roman" w:hAnsi="Times New Roman" w:eastAsia="黑体" w:cs="Times New Roman"/>
          <w:szCs w:val="21"/>
        </w:rPr>
      </w:pPr>
      <w:r>
        <w:rPr>
          <w:rFonts w:hint="eastAsia" w:ascii="Times New Roman" w:hAnsi="Times New Roman" w:eastAsia="黑体" w:cs="Times New Roman"/>
          <w:szCs w:val="21"/>
        </w:rPr>
        <w:t>永泰绿茶农产品地理标志保护范围图</w:t>
      </w:r>
    </w:p>
    <w:p>
      <w:pPr>
        <w:ind w:firstLine="420" w:firstLineChars="200"/>
        <w:rPr>
          <w:rFonts w:ascii="Times New Roman" w:hAnsi="Times New Roman" w:eastAsia="黑体" w:cs="Times New Roman"/>
          <w:szCs w:val="21"/>
        </w:rPr>
      </w:pPr>
    </w:p>
    <w:p>
      <w:pPr>
        <w:ind w:firstLine="420" w:firstLineChars="200"/>
        <w:rPr>
          <w:rFonts w:ascii="Times New Roman" w:hAnsi="Times New Roman" w:eastAsia="黑体" w:cs="Times New Roman"/>
          <w:szCs w:val="21"/>
        </w:rPr>
      </w:pPr>
      <w:r>
        <w:rPr>
          <w:rFonts w:ascii="Times New Roman" w:hAnsi="Times New Roman" w:eastAsia="黑体" w:cs="Times New Roman"/>
          <w:szCs w:val="21"/>
        </w:rPr>
        <w:t xml:space="preserve">A.1 </w:t>
      </w:r>
      <w:r>
        <w:rPr>
          <w:rFonts w:hint="eastAsia" w:ascii="Times New Roman" w:hAnsi="Times New Roman" w:eastAsia="黑体" w:cs="Times New Roman"/>
          <w:szCs w:val="21"/>
        </w:rPr>
        <w:t>永泰绿</w:t>
      </w:r>
      <w:r>
        <w:rPr>
          <w:rFonts w:ascii="Times New Roman" w:hAnsi="Times New Roman" w:eastAsia="黑体" w:cs="Times New Roman"/>
          <w:szCs w:val="21"/>
        </w:rPr>
        <w:t>茶农产品地理标志保护范围图</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永泰绿茶农产品地理标志保护地域辖</w:t>
      </w:r>
      <w:r>
        <w:rPr>
          <w:rFonts w:ascii="Times New Roman" w:hAnsi="Times New Roman" w:eastAsia="宋体" w:cs="Times New Roman"/>
          <w:szCs w:val="21"/>
        </w:rPr>
        <w:t>9个镇、12个乡，即：樟城镇、城峰镇、葛岭镇、清凉镇、梧桐镇、嵩口镇、大洋镇、同安镇与长庆镇9个镇；塘前乡、丹云乡、白云乡、红星乡、盘谷乡、霞拔乡、东洋乡、盖洋乡、洑口乡、富泉乡、赤锡乡与岭路乡12个乡。地理坐标为东经118°23′-119°12′，北纬25°39′</w:t>
      </w:r>
      <w:r>
        <w:rPr>
          <w:rFonts w:hint="eastAsia" w:ascii="Times New Roman" w:hAnsi="Times New Roman" w:eastAsia="宋体" w:cs="Times New Roman"/>
          <w:szCs w:val="21"/>
        </w:rPr>
        <w:t>-</w:t>
      </w:r>
      <w:r>
        <w:rPr>
          <w:rFonts w:ascii="Times New Roman" w:hAnsi="Times New Roman" w:eastAsia="宋体" w:cs="Times New Roman"/>
          <w:szCs w:val="21"/>
        </w:rPr>
        <w:t>26°05′， 东邻福清、闽侯、西界德化、尤溪，南连莆田、仙游，北接闽清，东西长84公里，南北宽46公里，总面积2243.4平方千米。</w:t>
      </w:r>
      <w:r>
        <w:rPr>
          <w:rFonts w:hint="eastAsia" w:ascii="Times New Roman" w:hAnsi="Times New Roman" w:eastAsia="宋体" w:cs="Times New Roman"/>
          <w:szCs w:val="21"/>
        </w:rPr>
        <w:t>见图</w:t>
      </w:r>
      <w:r>
        <w:rPr>
          <w:rFonts w:ascii="Times New Roman" w:hAnsi="Times New Roman" w:eastAsia="宋体" w:cs="Times New Roman"/>
          <w:szCs w:val="21"/>
        </w:rPr>
        <w:t xml:space="preserve"> A.1</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drawing>
          <wp:inline distT="0" distB="0" distL="0" distR="0">
            <wp:extent cx="4787900" cy="273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9673" cy="2744166"/>
                    </a:xfrm>
                    <a:prstGeom prst="rect">
                      <a:avLst/>
                    </a:prstGeom>
                    <a:noFill/>
                    <a:ln>
                      <a:noFill/>
                    </a:ln>
                  </pic:spPr>
                </pic:pic>
              </a:graphicData>
            </a:graphic>
          </wp:inline>
        </w:drawing>
      </w:r>
    </w:p>
    <w:p>
      <w:pPr>
        <w:ind w:firstLine="420" w:firstLineChars="200"/>
        <w:jc w:val="center"/>
        <w:rPr>
          <w:rFonts w:ascii="Times New Roman" w:hAnsi="Times New Roman" w:eastAsia="黑体" w:cs="Times New Roman"/>
          <w:szCs w:val="21"/>
        </w:rPr>
      </w:pPr>
      <w:r>
        <w:rPr>
          <w:rFonts w:hint="eastAsia" w:ascii="Times New Roman" w:hAnsi="Times New Roman" w:eastAsia="黑体" w:cs="Times New Roman"/>
          <w:szCs w:val="21"/>
        </w:rPr>
        <w:t>图A.</w:t>
      </w:r>
      <w:r>
        <w:rPr>
          <w:rFonts w:ascii="Times New Roman" w:hAnsi="Times New Roman" w:eastAsia="黑体" w:cs="Times New Roman"/>
          <w:szCs w:val="21"/>
        </w:rPr>
        <w:t>1</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873962502"/>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YzViNzhiNDgxYmIzNDIyYTgyNjNhMTBjMzFhMjkifQ=="/>
  </w:docVars>
  <w:rsids>
    <w:rsidRoot w:val="00890BB8"/>
    <w:rsid w:val="000055F9"/>
    <w:rsid w:val="00044C5A"/>
    <w:rsid w:val="0005739D"/>
    <w:rsid w:val="00060941"/>
    <w:rsid w:val="00065C4E"/>
    <w:rsid w:val="000733A2"/>
    <w:rsid w:val="000738A8"/>
    <w:rsid w:val="000C4CF8"/>
    <w:rsid w:val="00132724"/>
    <w:rsid w:val="00142179"/>
    <w:rsid w:val="0015321E"/>
    <w:rsid w:val="00157772"/>
    <w:rsid w:val="001A54CE"/>
    <w:rsid w:val="001B0CB7"/>
    <w:rsid w:val="001E5B4F"/>
    <w:rsid w:val="001F4E45"/>
    <w:rsid w:val="0028183F"/>
    <w:rsid w:val="00287AC8"/>
    <w:rsid w:val="00290948"/>
    <w:rsid w:val="002B734A"/>
    <w:rsid w:val="002E1BA9"/>
    <w:rsid w:val="00320A8D"/>
    <w:rsid w:val="00324188"/>
    <w:rsid w:val="00326398"/>
    <w:rsid w:val="003E0513"/>
    <w:rsid w:val="003E2E89"/>
    <w:rsid w:val="003F0E01"/>
    <w:rsid w:val="003F435E"/>
    <w:rsid w:val="00404DF7"/>
    <w:rsid w:val="00424B8F"/>
    <w:rsid w:val="0043372D"/>
    <w:rsid w:val="0043562A"/>
    <w:rsid w:val="004659EA"/>
    <w:rsid w:val="00482601"/>
    <w:rsid w:val="004A47EB"/>
    <w:rsid w:val="004A49B6"/>
    <w:rsid w:val="005164E3"/>
    <w:rsid w:val="00522BDF"/>
    <w:rsid w:val="00545B32"/>
    <w:rsid w:val="005847E4"/>
    <w:rsid w:val="00594AC0"/>
    <w:rsid w:val="00595B9B"/>
    <w:rsid w:val="005A0FD3"/>
    <w:rsid w:val="005F2794"/>
    <w:rsid w:val="00641067"/>
    <w:rsid w:val="006416E6"/>
    <w:rsid w:val="006736A0"/>
    <w:rsid w:val="006B0981"/>
    <w:rsid w:val="006B1968"/>
    <w:rsid w:val="006F36EE"/>
    <w:rsid w:val="0070636B"/>
    <w:rsid w:val="00706E7D"/>
    <w:rsid w:val="007170D1"/>
    <w:rsid w:val="00721B2D"/>
    <w:rsid w:val="00752AA9"/>
    <w:rsid w:val="007A46C6"/>
    <w:rsid w:val="007B4749"/>
    <w:rsid w:val="007C29BE"/>
    <w:rsid w:val="00815111"/>
    <w:rsid w:val="00821D89"/>
    <w:rsid w:val="00890BB8"/>
    <w:rsid w:val="00892153"/>
    <w:rsid w:val="008D2501"/>
    <w:rsid w:val="008E07B4"/>
    <w:rsid w:val="008E7C7E"/>
    <w:rsid w:val="008F153B"/>
    <w:rsid w:val="008F26FF"/>
    <w:rsid w:val="008F4391"/>
    <w:rsid w:val="008F6609"/>
    <w:rsid w:val="009144A5"/>
    <w:rsid w:val="0093706F"/>
    <w:rsid w:val="00957E5D"/>
    <w:rsid w:val="00985384"/>
    <w:rsid w:val="009C0075"/>
    <w:rsid w:val="00A36C6C"/>
    <w:rsid w:val="00A37758"/>
    <w:rsid w:val="00A70534"/>
    <w:rsid w:val="00A74CAB"/>
    <w:rsid w:val="00AB05F3"/>
    <w:rsid w:val="00AE05C3"/>
    <w:rsid w:val="00AF1109"/>
    <w:rsid w:val="00B63FDA"/>
    <w:rsid w:val="00B6562C"/>
    <w:rsid w:val="00B72169"/>
    <w:rsid w:val="00B77F25"/>
    <w:rsid w:val="00B91755"/>
    <w:rsid w:val="00BA1976"/>
    <w:rsid w:val="00BB71F8"/>
    <w:rsid w:val="00BF0E4E"/>
    <w:rsid w:val="00BF5456"/>
    <w:rsid w:val="00C418E5"/>
    <w:rsid w:val="00C61A07"/>
    <w:rsid w:val="00D02F00"/>
    <w:rsid w:val="00D12E5D"/>
    <w:rsid w:val="00D16688"/>
    <w:rsid w:val="00D3783A"/>
    <w:rsid w:val="00D43FE3"/>
    <w:rsid w:val="00D5280D"/>
    <w:rsid w:val="00D62816"/>
    <w:rsid w:val="00D86660"/>
    <w:rsid w:val="00D879D7"/>
    <w:rsid w:val="00DA7B24"/>
    <w:rsid w:val="00DC4144"/>
    <w:rsid w:val="00DE3478"/>
    <w:rsid w:val="00E16052"/>
    <w:rsid w:val="00E21319"/>
    <w:rsid w:val="00E548E8"/>
    <w:rsid w:val="00E85E9A"/>
    <w:rsid w:val="00E96416"/>
    <w:rsid w:val="00EA21CB"/>
    <w:rsid w:val="00EF7FE6"/>
    <w:rsid w:val="00F02FEF"/>
    <w:rsid w:val="00FB3823"/>
    <w:rsid w:val="00FD1271"/>
    <w:rsid w:val="00FE2BB2"/>
    <w:rsid w:val="03CC7C44"/>
    <w:rsid w:val="5C253CE7"/>
    <w:rsid w:val="6F675CCF"/>
    <w:rsid w:val="7ACC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cs="Times New Roman"/>
      <w:kern w:val="0"/>
      <w:sz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line="400" w:lineRule="exact"/>
    </w:pPr>
    <w:rPr>
      <w:rFonts w:hint="eastAsia" w:ascii="宋体" w:hAnsi="宋体" w:eastAsia="宋体" w:cs="宋体"/>
      <w:szCs w:val="24"/>
    </w:rPr>
  </w:style>
  <w:style w:type="paragraph" w:styleId="7">
    <w:name w:val="toc 2"/>
    <w:basedOn w:val="1"/>
    <w:next w:val="1"/>
    <w:qFormat/>
    <w:uiPriority w:val="39"/>
    <w:pPr>
      <w:spacing w:line="300" w:lineRule="exact"/>
      <w:ind w:left="420" w:leftChars="200"/>
    </w:pPr>
    <w:rPr>
      <w:rFonts w:hint="eastAsia" w:ascii="宋体" w:hAnsi="宋体" w:eastAsia="宋体" w:cs="宋体"/>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标准文件_目录标题"/>
    <w:basedOn w:val="1"/>
    <w:qFormat/>
    <w:uiPriority w:val="0"/>
    <w:pPr>
      <w:shd w:val="clear" w:color="auto" w:fill="FFFFFF"/>
      <w:spacing w:after="469" w:afterLines="150"/>
      <w:jc w:val="center"/>
    </w:pPr>
    <w:rPr>
      <w:rFonts w:hint="eastAsia" w:ascii="黑体" w:hAnsi="Times New Roman" w:eastAsia="黑体" w:cs="黑体"/>
      <w:kern w:val="0"/>
      <w:sz w:val="32"/>
      <w:szCs w:val="24"/>
    </w:rPr>
  </w:style>
  <w:style w:type="character" w:customStyle="1" w:styleId="15">
    <w:name w:val="标题 1 字符"/>
    <w:basedOn w:val="10"/>
    <w:link w:val="2"/>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7">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DACA7-9046-409F-B09D-5594C28AD602}">
  <ds:schemaRefs/>
</ds:datastoreItem>
</file>

<file path=docProps/app.xml><?xml version="1.0" encoding="utf-8"?>
<Properties xmlns="http://schemas.openxmlformats.org/officeDocument/2006/extended-properties" xmlns:vt="http://schemas.openxmlformats.org/officeDocument/2006/docPropsVTypes">
  <Template>Normal</Template>
  <Pages>9</Pages>
  <Words>3172</Words>
  <Characters>3670</Characters>
  <Lines>37</Lines>
  <Paragraphs>10</Paragraphs>
  <TotalTime>3</TotalTime>
  <ScaleCrop>false</ScaleCrop>
  <LinksUpToDate>false</LinksUpToDate>
  <CharactersWithSpaces>3938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2022-06-14T13:54:00Z</dcterms:created>
  <dc:creator>m</dc:creator>
  <cp:lastModifiedBy>xo</cp:lastModifiedBy>
  <dcterms:modified xsi:type="dcterms:W3CDTF">2022-10-05T02:26:40Z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B9954252028A4D3191D7522CB4442C59</vt:lpwstr>
  </property>
</Properties>
</file>