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lang w:val="zh-CN"/>
        </w:rPr>
      </w:pPr>
      <w:r>
        <w:rPr>
          <w:rFonts w:hint="eastAsia" w:ascii="宋体" w:hAnsi="宋体" w:eastAsia="宋体" w:cs="宋体"/>
          <w:b/>
          <w:bCs/>
          <w:sz w:val="44"/>
          <w:szCs w:val="44"/>
        </w:rPr>
        <w:t>《</w:t>
      </w:r>
      <w:r>
        <w:rPr>
          <w:rFonts w:hint="eastAsia" w:ascii="宋体" w:hAnsi="宋体" w:cs="宋体"/>
          <w:b/>
          <w:bCs/>
          <w:sz w:val="44"/>
          <w:szCs w:val="44"/>
          <w:lang w:val="en-US" w:eastAsia="zh-CN"/>
        </w:rPr>
        <w:t>光泽红茶 干坑正山小种加工技术规范</w:t>
      </w:r>
      <w:r>
        <w:rPr>
          <w:rFonts w:hint="eastAsia" w:ascii="宋体" w:hAnsi="宋体" w:eastAsia="宋体" w:cs="宋体"/>
          <w:b/>
          <w:bCs/>
          <w:sz w:val="44"/>
          <w:szCs w:val="44"/>
        </w:rPr>
        <w:t>》</w:t>
      </w:r>
      <w:r>
        <w:rPr>
          <w:rFonts w:hint="eastAsia" w:ascii="宋体" w:hAnsi="宋体" w:eastAsia="宋体" w:cs="宋体"/>
          <w:b/>
          <w:bCs/>
          <w:sz w:val="44"/>
          <w:szCs w:val="44"/>
          <w:lang w:val="en-US" w:eastAsia="zh-CN"/>
        </w:rPr>
        <w:t>团体</w:t>
      </w:r>
      <w:r>
        <w:rPr>
          <w:rFonts w:hint="eastAsia" w:ascii="宋体" w:hAnsi="宋体" w:eastAsia="宋体" w:cs="宋体"/>
          <w:b/>
          <w:bCs/>
          <w:sz w:val="44"/>
          <w:szCs w:val="44"/>
        </w:rPr>
        <w:t>标准编制说明</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1 任务来源</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《光泽红茶 干坑正山小种加工技术规范》团体标准由海峡两岸茶业交流协会归口，光泽县农业农村局、光泽县茶叶协会、福建省标院信息技术有限公司、福建省标准化研究院等单位共同起草与编制。</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 编制</w:t>
      </w:r>
      <w:r>
        <w:rPr>
          <w:rFonts w:hint="eastAsia" w:ascii="黑体" w:hAnsi="黑体" w:eastAsia="黑体" w:cs="黑体"/>
          <w:b w:val="0"/>
          <w:bCs w:val="0"/>
          <w:sz w:val="32"/>
          <w:szCs w:val="32"/>
          <w:lang w:val="zh-CN" w:eastAsia="zh-CN"/>
        </w:rPr>
        <w:t>原则和依据</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2.1 编制原则</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本文件按照GB/T 1.1—2020《标准化工作导则 第1部分：标准化文件的结构和起草规则》和《团体标准管理规定》(国标委联〔2019〕1号)的规定起草。</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2.2 编制依据</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191  包装储运图示标志</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2762  食品安全国家标准 食品中污染物限量</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2763  食品安全国家标准 食品中农药最大残留限量</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7718  食品安全国家标准  预包装食品标签通则</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14881  食品安全国家标准  食品生产通用卫生规范</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30375  茶叶贮存</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35810  红茶加工技术规范</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GH/T 1070  茶叶包装通则</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GH/T 1077  茶叶加工技术规程</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NY 5020  无公害食品 茶叶产地环境条件</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SB/T 10034  茶叶加工技术术语</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DB35/T 1505  红茶加工通用技术规程</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3 主要编制过程</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3.1 前期准备</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2022年5月，光泽县农业农村局根据规范光泽红茶干坑正山小种产业健康有序发展需要，与福建省标院信息技术有限公司、福建省标准化研究院共同组建了团体标准研制工作组。工作组深入实地考察调研，开展团体标准研制座谈会，确定标准名称，基本内容、立项协会等内容。</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3.2 申请立项</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2022年6月工作组完成《光泽红茶 干坑正山小种加工技术规范》团体标准立项的申报材料，并向海峡两岸茶业交流协会提出团体标准立项申请，于2022年7月获准立项。</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3.3 编写起草</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立项文件下达后，</w:t>
      </w:r>
      <w:r>
        <w:rPr>
          <w:rFonts w:hint="eastAsia" w:ascii="仿宋" w:hAnsi="仿宋" w:eastAsia="仿宋" w:cs="仿宋"/>
          <w:sz w:val="30"/>
          <w:szCs w:val="30"/>
          <w:lang w:val="zh-CN" w:eastAsia="zh-CN"/>
        </w:rPr>
        <w:t>为</w:t>
      </w:r>
      <w:r>
        <w:rPr>
          <w:rFonts w:hint="eastAsia" w:ascii="仿宋" w:hAnsi="仿宋" w:eastAsia="仿宋" w:cs="仿宋"/>
          <w:sz w:val="30"/>
          <w:szCs w:val="30"/>
          <w:lang w:val="en-US" w:eastAsia="zh-CN"/>
        </w:rPr>
        <w:t>更好完成</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光泽红茶 干坑正山小种加工技术规范</w:t>
      </w:r>
      <w:r>
        <w:rPr>
          <w:rFonts w:hint="eastAsia" w:ascii="仿宋" w:hAnsi="仿宋" w:eastAsia="仿宋" w:cs="仿宋"/>
          <w:color w:val="000000"/>
          <w:sz w:val="30"/>
          <w:szCs w:val="30"/>
          <w:lang w:val="zh-CN" w:eastAsia="zh-CN"/>
        </w:rPr>
        <w:t>》</w:t>
      </w:r>
      <w:r>
        <w:rPr>
          <w:rFonts w:hint="eastAsia" w:ascii="仿宋" w:hAnsi="仿宋" w:eastAsia="仿宋" w:cs="仿宋"/>
          <w:color w:val="000000"/>
          <w:sz w:val="30"/>
          <w:szCs w:val="30"/>
          <w:lang w:val="en-US" w:eastAsia="zh-CN"/>
        </w:rPr>
        <w:t>团体标准编制</w:t>
      </w:r>
      <w:r>
        <w:rPr>
          <w:rFonts w:hint="eastAsia" w:ascii="仿宋" w:hAnsi="仿宋" w:eastAsia="仿宋" w:cs="仿宋"/>
          <w:color w:val="000000"/>
          <w:sz w:val="30"/>
          <w:szCs w:val="30"/>
          <w:lang w:val="zh-CN" w:eastAsia="zh-CN"/>
        </w:rPr>
        <w:t>工作，</w:t>
      </w:r>
      <w:r>
        <w:rPr>
          <w:rFonts w:hint="eastAsia" w:ascii="仿宋" w:hAnsi="仿宋" w:eastAsia="仿宋" w:cs="仿宋"/>
          <w:color w:val="000000"/>
          <w:sz w:val="30"/>
          <w:szCs w:val="30"/>
          <w:lang w:val="en-US" w:eastAsia="zh-CN"/>
        </w:rPr>
        <w:t>提高标准的质量和可操作性，</w:t>
      </w:r>
      <w:r>
        <w:rPr>
          <w:rFonts w:hint="eastAsia" w:ascii="仿宋" w:hAnsi="仿宋" w:eastAsia="仿宋" w:cs="仿宋"/>
          <w:sz w:val="30"/>
          <w:szCs w:val="30"/>
          <w:lang w:val="en-US" w:eastAsia="zh-CN"/>
        </w:rPr>
        <w:t>工作组</w:t>
      </w:r>
      <w:r>
        <w:rPr>
          <w:rFonts w:hint="eastAsia" w:ascii="仿宋" w:hAnsi="仿宋" w:eastAsia="仿宋" w:cs="仿宋"/>
          <w:color w:val="000000"/>
          <w:sz w:val="30"/>
          <w:szCs w:val="30"/>
          <w:lang w:val="en-US" w:eastAsia="zh-CN"/>
        </w:rPr>
        <w:t>制订了</w:t>
      </w:r>
      <w:r>
        <w:rPr>
          <w:rFonts w:hint="eastAsia" w:ascii="仿宋" w:hAnsi="仿宋" w:eastAsia="仿宋" w:cs="仿宋"/>
          <w:sz w:val="30"/>
          <w:szCs w:val="30"/>
          <w:lang w:val="en-US" w:eastAsia="zh-CN"/>
        </w:rPr>
        <w:t>标准编制计划</w:t>
      </w:r>
      <w:r>
        <w:rPr>
          <w:rFonts w:hint="eastAsia" w:ascii="仿宋" w:hAnsi="仿宋" w:eastAsia="仿宋" w:cs="仿宋"/>
          <w:color w:val="000000"/>
          <w:sz w:val="30"/>
          <w:szCs w:val="30"/>
          <w:lang w:val="en-US" w:eastAsia="zh-CN"/>
        </w:rPr>
        <w:t>工作方案，明确目标要求、工作思路、人员分工和工作进度等。</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w:t>
      </w:r>
      <w:r>
        <w:rPr>
          <w:rFonts w:hint="eastAsia" w:ascii="仿宋" w:hAnsi="仿宋" w:eastAsia="仿宋" w:cs="仿宋"/>
          <w:sz w:val="30"/>
          <w:szCs w:val="30"/>
          <w:lang w:val="en-US" w:eastAsia="zh-CN"/>
        </w:rPr>
        <w:t>22</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zh-CN" w:eastAsia="zh-CN"/>
        </w:rPr>
        <w:t xml:space="preserve">月, </w:t>
      </w:r>
      <w:r>
        <w:rPr>
          <w:rFonts w:hint="eastAsia" w:ascii="仿宋" w:hAnsi="仿宋" w:eastAsia="仿宋" w:cs="仿宋"/>
          <w:sz w:val="30"/>
          <w:szCs w:val="30"/>
          <w:lang w:val="en-US" w:eastAsia="zh-CN"/>
        </w:rPr>
        <w:t>工作组</w:t>
      </w:r>
      <w:r>
        <w:rPr>
          <w:rFonts w:hint="eastAsia" w:ascii="仿宋" w:hAnsi="仿宋" w:eastAsia="仿宋" w:cs="仿宋"/>
          <w:sz w:val="30"/>
          <w:szCs w:val="30"/>
          <w:lang w:val="zh-CN" w:eastAsia="zh-CN"/>
        </w:rPr>
        <w:t>对标准</w:t>
      </w:r>
      <w:r>
        <w:rPr>
          <w:rFonts w:hint="eastAsia" w:ascii="仿宋" w:hAnsi="仿宋" w:eastAsia="仿宋" w:cs="仿宋"/>
          <w:sz w:val="30"/>
          <w:szCs w:val="30"/>
          <w:lang w:val="en-US" w:eastAsia="zh-CN"/>
        </w:rPr>
        <w:t>制定</w:t>
      </w:r>
      <w:r>
        <w:rPr>
          <w:rFonts w:hint="eastAsia" w:ascii="仿宋" w:hAnsi="仿宋" w:eastAsia="仿宋" w:cs="仿宋"/>
          <w:sz w:val="30"/>
          <w:szCs w:val="30"/>
          <w:lang w:val="zh-CN" w:eastAsia="zh-CN"/>
        </w:rPr>
        <w:t>工作</w:t>
      </w:r>
      <w:r>
        <w:rPr>
          <w:rFonts w:hint="eastAsia" w:ascii="仿宋" w:hAnsi="仿宋" w:eastAsia="仿宋" w:cs="仿宋"/>
          <w:sz w:val="30"/>
          <w:szCs w:val="30"/>
          <w:lang w:val="en-US" w:eastAsia="zh-CN"/>
        </w:rPr>
        <w:t>再次</w:t>
      </w:r>
      <w:r>
        <w:rPr>
          <w:rFonts w:hint="eastAsia" w:ascii="仿宋" w:hAnsi="仿宋" w:eastAsia="仿宋" w:cs="仿宋"/>
          <w:sz w:val="30"/>
          <w:szCs w:val="30"/>
          <w:lang w:val="zh-CN" w:eastAsia="zh-CN"/>
        </w:rPr>
        <w:t>展开调研，收集现有</w:t>
      </w:r>
      <w:r>
        <w:rPr>
          <w:rFonts w:hint="eastAsia" w:ascii="仿宋" w:hAnsi="仿宋" w:eastAsia="仿宋" w:cs="仿宋"/>
          <w:sz w:val="30"/>
          <w:szCs w:val="30"/>
          <w:lang w:val="en-US" w:eastAsia="zh-CN"/>
        </w:rPr>
        <w:t>关干坑正山小种</w:t>
      </w:r>
      <w:r>
        <w:rPr>
          <w:rFonts w:hint="eastAsia" w:ascii="仿宋" w:hAnsi="仿宋" w:eastAsia="仿宋" w:cs="仿宋"/>
          <w:sz w:val="30"/>
          <w:szCs w:val="30"/>
          <w:lang w:val="zh-CN" w:eastAsia="zh-CN"/>
        </w:rPr>
        <w:t>各种学术领域的论文、技术标准、涉及茶叶的技术法规，进行资料汇总。</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000000"/>
          <w:sz w:val="30"/>
          <w:szCs w:val="30"/>
          <w:lang w:val="zh-CN" w:eastAsia="zh-CN"/>
        </w:rPr>
      </w:pPr>
      <w:r>
        <w:rPr>
          <w:rFonts w:hint="eastAsia" w:ascii="仿宋" w:hAnsi="仿宋" w:eastAsia="仿宋" w:cs="仿宋"/>
          <w:color w:val="000000"/>
          <w:sz w:val="30"/>
          <w:szCs w:val="30"/>
          <w:lang w:val="en-US" w:eastAsia="zh-CN"/>
        </w:rPr>
        <w:t>工作组编制了标准基本框架，同时组织内部开展多次标准研讨，对标准的内容、工作重点、编制依据和编制原则等形成了基本意见，并</w:t>
      </w:r>
      <w:r>
        <w:rPr>
          <w:rFonts w:hint="eastAsia" w:ascii="仿宋" w:hAnsi="仿宋" w:eastAsia="仿宋" w:cs="仿宋"/>
          <w:sz w:val="30"/>
          <w:szCs w:val="30"/>
          <w:lang w:val="en-US" w:eastAsia="zh-CN"/>
        </w:rPr>
        <w:t>对标准草案稿进行进一步修改完善，于2022年8月</w:t>
      </w:r>
      <w:r>
        <w:rPr>
          <w:rFonts w:hint="eastAsia" w:ascii="仿宋" w:hAnsi="仿宋" w:eastAsia="仿宋" w:cs="仿宋"/>
          <w:sz w:val="30"/>
          <w:szCs w:val="30"/>
        </w:rPr>
        <w:t>形成标准</w:t>
      </w:r>
      <w:r>
        <w:rPr>
          <w:rFonts w:hint="eastAsia" w:ascii="仿宋" w:hAnsi="仿宋" w:eastAsia="仿宋" w:cs="仿宋"/>
          <w:sz w:val="30"/>
          <w:szCs w:val="30"/>
          <w:lang w:val="en-US" w:eastAsia="zh-CN"/>
        </w:rPr>
        <w:t>讨论稿</w:t>
      </w:r>
      <w:r>
        <w:rPr>
          <w:rFonts w:hint="eastAsia" w:ascii="仿宋" w:hAnsi="仿宋" w:eastAsia="仿宋" w:cs="仿宋"/>
          <w:color w:val="000000"/>
          <w:sz w:val="30"/>
          <w:szCs w:val="30"/>
          <w:lang w:val="zh-CN" w:eastAsia="zh-CN"/>
        </w:rPr>
        <w:t>。</w:t>
      </w:r>
    </w:p>
    <w:p>
      <w:pPr>
        <w:keepNext w:val="0"/>
        <w:keepLines w:val="0"/>
        <w:pageBreakBefore w:val="0"/>
        <w:widowControl w:val="0"/>
        <w:numPr>
          <w:ilvl w:val="0"/>
          <w:numId w:val="0"/>
        </w:numPr>
        <w:kinsoku/>
        <w:wordWrap/>
        <w:overflowPunct/>
        <w:topLinePunct w:val="0"/>
        <w:bidi w:val="0"/>
        <w:snapToGrid/>
        <w:spacing w:line="500" w:lineRule="exact"/>
        <w:ind w:left="0" w:leftChars="0" w:right="0" w:rightChars="0" w:firstLine="639" w:firstLineChars="213"/>
        <w:textAlignment w:val="auto"/>
        <w:outlineLvl w:val="9"/>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2022年8月4日，由海峡两岸茶业交流协会组织专家在光泽召开标准研讨会。会后工作组根据专家意见修改完善标准形成标准征求意见稿。</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4 </w:t>
      </w:r>
      <w:r>
        <w:rPr>
          <w:rFonts w:hint="eastAsia" w:ascii="黑体" w:hAnsi="黑体" w:eastAsia="黑体" w:cs="黑体"/>
          <w:b w:val="0"/>
          <w:bCs w:val="0"/>
          <w:sz w:val="32"/>
          <w:szCs w:val="32"/>
          <w:lang w:val="zh-CN" w:eastAsia="zh-CN"/>
        </w:rPr>
        <w:t>编制目的</w:t>
      </w:r>
      <w:r>
        <w:rPr>
          <w:rFonts w:hint="eastAsia" w:ascii="黑体" w:hAnsi="黑体" w:eastAsia="黑体" w:cs="黑体"/>
          <w:b w:val="0"/>
          <w:bCs w:val="0"/>
          <w:sz w:val="32"/>
          <w:szCs w:val="32"/>
          <w:lang w:val="en-US" w:eastAsia="zh-CN"/>
        </w:rPr>
        <w:t>和意义</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国是茶叶的原产国，茶产业发展历史悠久，是世界唯一六大茶类生产体系完备的国家，是世界上最大的茶叶生产国和消费国。福建省是全国著名的茶叶产区，生产条件优越，产茶历史悠久，茶叶资源丰富，茶文化底蕴深厚。闽茶在中国乃至世界茶叶发展史上具有重要历史地位和文化价值。福建全省涉茶县市区多达76个，已成为福建农业主导产业和农村经济的支柱产业。福建在坚持稳定面积、提高效益为总体发展思路的前提下，进一步优化产业结构，优化茶类品种结构，以市场为导向，加大品质优异的茶树新品种的选育与推广力度，恢复历史名茶生产与创新新名茶相结合，扩大名优茶生产比例。为加快转变我省茶产业发展方式，全面推进绿色产业发展，福建省发布了《福建省农业农村厅关于统筹做好“茶文化、茶产业、茶科技”这篇大文章推动茶产业高质量发展的若干意见》（闽农规〔2021〕7号）、《福建省农业农村厅关于进一步推进茶产业绿色发展的通知》（闽农综〔2019〕57号）、《中共福建省委、福建人民政府关于实施乡村振兴战略的实施意见》（闽委发〔2018〕1号）等文件，采取有力措施推动茶产业高质量发展，不断提升闽茶品牌影响力，助力乡村振兴战略实施。</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福建作为红茶发源地，具有悠久的文化历史和精湛的加工技术，福建红茶多次获得国际及省内外名茶金奖等殊荣。光泽县作为正山小种红茶的发源地之一，茶叶资源丰富，生长的茶叶品质独特，种茶、制茶的历史悠久，茶产业更是光泽县“五个一”特色产业之一。近年来，光泽县以创建全国农业科技现代化先行县为契机，通过“走出去、请进来”的方式，实施基地带动战略，建设良种茶繁育基地，着力加快推进现代茶产业园建设，积极探索科技支撑乡村振兴的新机制、新模式。依托干坑小种红茶的产品优势，持续优化整合茶叶种质资源，精心抚育、科学管理，打造红茶品牌，挖掘红茶文化。</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left="0" w:leftChars="0" w:right="0" w:rightChars="0" w:firstLine="639" w:firstLineChars="213"/>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干坑红茶生长在闽北光泽县西口村的干坑一带。海拔在1600米以上，山高林森，日照短，气温低，泉溪纵横，岩石密布，土壤中矿物质丰富，干坑红茶具有色似玛瑙，香气清郁，味若甘醇，经久耐泡。泡出的茶水味醇色清，饮时有桂圆味在口，生津溢甜，清香在齿，余味无穷的特性。当地茶农采摘干坑茶有一定的讲究，在制作加工上有一套独特的工艺。“好茶要好工”，采青、揉捻、发酵、烘焙等，每道工序都很有讲究，加工出的茶叶色香味都俱佳。作为红茶中独树一帜的品类，应重视复制推广干坑红茶的优良制作工艺。</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left="0" w:leftChars="0" w:right="0" w:rightChars="0" w:firstLine="639" w:firstLineChars="213"/>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研究和制定《光泽红茶 干坑正山小种加工技术规范》团体标准，目的是规范干坑正山小种的生产加工技术，确保干坑正山小种产品质量，实现干坑正山小种的标准化生产。该标准的研制是响应“质量兴农”号召、完善闽茶生产技术质量标准体系的关键一环、实施茶业生产标准化战略的有效探索；有助于引导和促进干坑正山小种茶企健康发展，使生产者在加工过程中有标准可依，有规范可循；有助于满足干坑正山小种产业对生产技术标准化需求，实现标准化、规模化生产，全面稳定和提高干坑正山小种产品品质，助推干坑正山小种产业向自动化、智能化、品牌化发展。从而利用品种源产地优势打响地方知名度，打造区域公共品牌，跻身全国茶业市场一席之地。</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5 主要条款的</w:t>
      </w:r>
      <w:r>
        <w:rPr>
          <w:rFonts w:hint="eastAsia" w:ascii="黑体" w:hAnsi="黑体" w:eastAsia="黑体" w:cs="黑体"/>
          <w:b w:val="0"/>
          <w:bCs w:val="0"/>
          <w:sz w:val="32"/>
          <w:szCs w:val="32"/>
          <w:lang w:val="zh-CN" w:eastAsia="zh-CN"/>
        </w:rPr>
        <w:t>说明</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5.1 第1章 范围</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本文件规定了光泽红茶</w:t>
      </w:r>
      <w:r>
        <w:rPr>
          <w:rFonts w:hint="eastAsia" w:ascii="仿宋" w:hAnsi="仿宋" w:eastAsia="仿宋" w:cs="仿宋"/>
          <w:b w:val="0"/>
          <w:bCs w:val="0"/>
          <w:kern w:val="2"/>
          <w:sz w:val="30"/>
          <w:szCs w:val="30"/>
          <w:lang w:val="en-US" w:eastAsia="zh-CN" w:bidi="ar-SA"/>
        </w:rPr>
        <w:t>中</w:t>
      </w:r>
      <w:r>
        <w:rPr>
          <w:rFonts w:hint="default" w:ascii="仿宋" w:hAnsi="仿宋" w:eastAsia="仿宋" w:cs="仿宋"/>
          <w:b w:val="0"/>
          <w:bCs w:val="0"/>
          <w:kern w:val="2"/>
          <w:sz w:val="30"/>
          <w:szCs w:val="30"/>
          <w:lang w:val="en-US" w:eastAsia="zh-CN" w:bidi="ar-SA"/>
        </w:rPr>
        <w:t>干坑正山小种产品的加工基本条件、工艺流程、工艺技术要求、质量管理。</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本文件适用于光泽红茶</w:t>
      </w:r>
      <w:r>
        <w:rPr>
          <w:rFonts w:hint="eastAsia" w:ascii="仿宋" w:hAnsi="仿宋" w:eastAsia="仿宋" w:cs="仿宋"/>
          <w:b w:val="0"/>
          <w:bCs w:val="0"/>
          <w:kern w:val="2"/>
          <w:sz w:val="30"/>
          <w:szCs w:val="30"/>
          <w:lang w:val="en-US" w:eastAsia="zh-CN" w:bidi="ar-SA"/>
        </w:rPr>
        <w:t>中</w:t>
      </w:r>
      <w:r>
        <w:rPr>
          <w:rFonts w:hint="default" w:ascii="仿宋" w:hAnsi="仿宋" w:eastAsia="仿宋" w:cs="仿宋"/>
          <w:b w:val="0"/>
          <w:bCs w:val="0"/>
          <w:kern w:val="2"/>
          <w:sz w:val="30"/>
          <w:szCs w:val="30"/>
          <w:lang w:val="en-US" w:eastAsia="zh-CN" w:bidi="ar-SA"/>
        </w:rPr>
        <w:t>干坑正山小种产品的制作加工。</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5.2 第3章 术语和定义</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为便于对标准的理解与执行，本章规定GB/T 35810、DB35/T 1505、</w:t>
      </w:r>
      <w:r>
        <w:rPr>
          <w:rFonts w:hint="eastAsia" w:ascii="仿宋" w:hAnsi="仿宋" w:eastAsia="仿宋" w:cs="仿宋"/>
          <w:kern w:val="2"/>
          <w:sz w:val="30"/>
          <w:szCs w:val="30"/>
          <w:highlight w:val="yellow"/>
          <w:lang w:val="en-US" w:eastAsia="zh-CN" w:bidi="ar-SA"/>
        </w:rPr>
        <w:t>《光泽红茶 干坑正山小种》</w:t>
      </w:r>
      <w:r>
        <w:rPr>
          <w:rFonts w:hint="eastAsia" w:ascii="仿宋" w:hAnsi="仿宋" w:eastAsia="仿宋" w:cs="仿宋"/>
          <w:kern w:val="2"/>
          <w:sz w:val="30"/>
          <w:szCs w:val="30"/>
          <w:lang w:val="en-US" w:eastAsia="zh-CN" w:bidi="ar-SA"/>
        </w:rPr>
        <w:t>界定的术语和定义适用于本文件。</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5.3 第4章 加工基本条件</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w:t>
      </w:r>
      <w:r>
        <w:rPr>
          <w:rFonts w:hint="eastAsia" w:ascii="仿宋" w:hAnsi="仿宋" w:eastAsia="仿宋" w:cs="仿宋"/>
          <w:kern w:val="2"/>
          <w:sz w:val="30"/>
          <w:szCs w:val="30"/>
          <w:lang w:val="en-US" w:eastAsia="zh-CN" w:bidi="ar-SA"/>
        </w:rPr>
        <w:t>规定</w:t>
      </w:r>
      <w:r>
        <w:rPr>
          <w:rFonts w:hint="default" w:ascii="仿宋" w:hAnsi="仿宋" w:eastAsia="仿宋" w:cs="仿宋"/>
          <w:kern w:val="2"/>
          <w:sz w:val="30"/>
          <w:szCs w:val="30"/>
          <w:lang w:val="en-US" w:eastAsia="zh-CN" w:bidi="ar-SA"/>
        </w:rPr>
        <w:t>了</w:t>
      </w:r>
      <w:r>
        <w:rPr>
          <w:rFonts w:hint="eastAsia" w:ascii="仿宋" w:hAnsi="仿宋" w:eastAsia="仿宋" w:cs="仿宋"/>
          <w:kern w:val="2"/>
          <w:sz w:val="30"/>
          <w:szCs w:val="30"/>
          <w:lang w:val="en-US" w:eastAsia="zh-CN" w:bidi="ar-SA"/>
        </w:rPr>
        <w:t>干坑正山小种的加工基本条件。</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5.4 第5章 工艺流程</w:t>
      </w:r>
    </w:p>
    <w:p>
      <w:pPr>
        <w:pStyle w:val="2"/>
        <w:keepNext w:val="0"/>
        <w:keepLines w:val="0"/>
        <w:pageBreakBefore w:val="0"/>
        <w:widowControl w:val="0"/>
        <w:numPr>
          <w:ilvl w:val="0"/>
          <w:numId w:val="0"/>
        </w:numPr>
        <w:kinsoku/>
        <w:wordWrap/>
        <w:overflowPunct/>
        <w:topLinePunct w:val="0"/>
        <w:bidi w:val="0"/>
        <w:snapToGrid/>
        <w:spacing w:line="500" w:lineRule="exact"/>
        <w:ind w:left="0" w:leftChars="0" w:right="0" w:rightChars="0" w:firstLine="639" w:firstLineChars="213"/>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本章规定了</w:t>
      </w:r>
      <w:r>
        <w:rPr>
          <w:rFonts w:hint="eastAsia" w:ascii="仿宋" w:hAnsi="仿宋" w:eastAsia="仿宋" w:cs="仿宋"/>
          <w:kern w:val="2"/>
          <w:sz w:val="30"/>
          <w:szCs w:val="30"/>
          <w:lang w:val="en-US" w:eastAsia="zh-CN" w:bidi="ar-SA"/>
        </w:rPr>
        <w:t>干坑正山小种的工艺流程</w:t>
      </w:r>
      <w:r>
        <w:rPr>
          <w:rFonts w:hint="default" w:ascii="仿宋" w:hAnsi="仿宋" w:eastAsia="仿宋" w:cs="仿宋"/>
          <w:kern w:val="2"/>
          <w:sz w:val="30"/>
          <w:szCs w:val="30"/>
          <w:lang w:val="en-US" w:eastAsia="zh-CN" w:bidi="ar-SA"/>
        </w:rPr>
        <w:t>，</w:t>
      </w:r>
      <w:r>
        <w:rPr>
          <w:rFonts w:hint="eastAsia" w:ascii="仿宋" w:hAnsi="仿宋" w:eastAsia="仿宋" w:cs="仿宋"/>
          <w:kern w:val="2"/>
          <w:sz w:val="30"/>
          <w:szCs w:val="30"/>
          <w:lang w:val="en-US" w:eastAsia="zh-CN" w:bidi="ar-SA"/>
        </w:rPr>
        <w:t>初制技术流程：鲜叶→萎凋（松烟熏）→揉捻→发酵→过红锅→熏焙；精制技术流程：毛茶→筛分→风选→拣剔→拼配匀摊→熏烟。</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5.5 第6章 工艺技术要求</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本章规定了</w:t>
      </w:r>
      <w:r>
        <w:rPr>
          <w:rFonts w:hint="eastAsia" w:ascii="仿宋" w:hAnsi="仿宋" w:eastAsia="仿宋" w:cs="仿宋"/>
          <w:kern w:val="2"/>
          <w:sz w:val="30"/>
          <w:szCs w:val="30"/>
          <w:lang w:val="en-US" w:eastAsia="zh-CN" w:bidi="ar-SA"/>
        </w:rPr>
        <w:t>干坑正山小种</w:t>
      </w:r>
      <w:r>
        <w:rPr>
          <w:rFonts w:hint="default" w:ascii="仿宋" w:hAnsi="仿宋" w:eastAsia="仿宋" w:cs="仿宋"/>
          <w:kern w:val="2"/>
          <w:sz w:val="30"/>
          <w:szCs w:val="30"/>
          <w:lang w:val="en-US" w:eastAsia="zh-CN" w:bidi="ar-SA"/>
        </w:rPr>
        <w:t>的</w:t>
      </w:r>
      <w:r>
        <w:rPr>
          <w:rFonts w:hint="eastAsia" w:ascii="仿宋" w:hAnsi="仿宋" w:eastAsia="仿宋" w:cs="仿宋"/>
          <w:kern w:val="2"/>
          <w:sz w:val="30"/>
          <w:szCs w:val="30"/>
          <w:lang w:val="en-US" w:eastAsia="zh-CN" w:bidi="ar-SA"/>
        </w:rPr>
        <w:t>工艺技术要求，依照初制技术流程和精制技术流程的顺序，对每一环节进行具体规定</w:t>
      </w:r>
      <w:r>
        <w:rPr>
          <w:rFonts w:hint="default" w:ascii="仿宋" w:hAnsi="仿宋" w:eastAsia="仿宋" w:cs="仿宋"/>
          <w:kern w:val="2"/>
          <w:sz w:val="30"/>
          <w:szCs w:val="30"/>
          <w:lang w:val="en-US" w:eastAsia="zh-CN" w:bidi="ar-SA"/>
        </w:rPr>
        <w:t>。</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5.6 第7章 质量管理</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本章规定了干坑正山小种产品的质量管理。</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6 贯彻标准的要求、措施和建议</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了使该标准的制定能尽快服务于干坑正山小种产品的生产，推动市场有序健康发展，建议标准发布后，要做好宣传培训、加大贯彻实施和建立检查监督机制等工作。具体来说：（1）加大宣贯力度。一是利用报纸、电视、电台等各种新闻媒体，大力宣传，为标准的实施营造良好的社会氛围。二是由相关职能部门组织学会生产人员进行培训学习。（2）加强标准实施评价。对在标准实施过程中发现的问题及提出的意见，要进行深入探讨和研究，做好标准的修订和完善工作。</w:t>
      </w:r>
    </w:p>
    <w:p>
      <w:pPr>
        <w:pStyle w:val="2"/>
        <w:keepNext w:val="0"/>
        <w:keepLines w:val="0"/>
        <w:pageBreakBefore w:val="0"/>
        <w:widowControl w:val="0"/>
        <w:kinsoku/>
        <w:wordWrap/>
        <w:overflowPunct/>
        <w:topLinePunct w:val="0"/>
        <w:bidi w:val="0"/>
        <w:snapToGrid/>
        <w:spacing w:line="500" w:lineRule="exact"/>
        <w:ind w:right="0" w:rightChars="0"/>
        <w:jc w:val="left"/>
        <w:textAlignment w:val="auto"/>
        <w:outlineLvl w:val="9"/>
        <w:rPr>
          <w:rFonts w:hint="eastAsia" w:ascii="仿宋" w:hAnsi="仿宋" w:eastAsia="仿宋" w:cs="仿宋"/>
          <w:kern w:val="2"/>
          <w:sz w:val="30"/>
          <w:szCs w:val="30"/>
          <w:lang w:val="en-US" w:eastAsia="zh-CN" w:bidi="ar-SA"/>
        </w:rPr>
      </w:pPr>
    </w:p>
    <w:p>
      <w:pPr>
        <w:pStyle w:val="2"/>
        <w:keepNext w:val="0"/>
        <w:keepLines w:val="0"/>
        <w:pageBreakBefore w:val="0"/>
        <w:widowControl w:val="0"/>
        <w:kinsoku/>
        <w:wordWrap/>
        <w:overflowPunct/>
        <w:topLinePunct w:val="0"/>
        <w:bidi w:val="0"/>
        <w:snapToGrid/>
        <w:spacing w:line="500" w:lineRule="exact"/>
        <w:ind w:right="0" w:rightChars="0"/>
        <w:jc w:val="right"/>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w:t>
      </w:r>
      <w:r>
        <w:rPr>
          <w:rFonts w:hint="eastAsia" w:ascii="仿宋" w:hAnsi="仿宋" w:eastAsia="仿宋" w:cs="仿宋"/>
          <w:b w:val="0"/>
          <w:bCs w:val="0"/>
          <w:kern w:val="2"/>
          <w:sz w:val="30"/>
          <w:szCs w:val="30"/>
          <w:lang w:val="en-US" w:eastAsia="zh-CN" w:bidi="ar-SA"/>
        </w:rPr>
        <w:t>光泽红茶干坑正山小种加工技术规范</w:t>
      </w:r>
      <w:r>
        <w:rPr>
          <w:rFonts w:hint="eastAsia" w:ascii="仿宋" w:hAnsi="仿宋" w:eastAsia="仿宋" w:cs="仿宋"/>
          <w:kern w:val="2"/>
          <w:sz w:val="30"/>
          <w:szCs w:val="30"/>
          <w:lang w:val="en-US" w:eastAsia="zh-CN" w:bidi="ar-SA"/>
        </w:rPr>
        <w:t>》团体标准编写组</w:t>
      </w:r>
    </w:p>
    <w:p>
      <w:pPr>
        <w:pStyle w:val="2"/>
        <w:keepNext w:val="0"/>
        <w:keepLines w:val="0"/>
        <w:pageBreakBefore w:val="0"/>
        <w:widowControl w:val="0"/>
        <w:kinsoku/>
        <w:wordWrap/>
        <w:overflowPunct/>
        <w:topLinePunct w:val="0"/>
        <w:bidi w:val="0"/>
        <w:snapToGrid/>
        <w:spacing w:line="500" w:lineRule="exact"/>
        <w:ind w:right="0" w:rightChars="0"/>
        <w:jc w:val="right"/>
        <w:textAlignment w:val="auto"/>
        <w:outlineLvl w:val="9"/>
      </w:pPr>
      <w:r>
        <w:rPr>
          <w:rFonts w:hint="eastAsia" w:ascii="仿宋" w:hAnsi="仿宋" w:eastAsia="仿宋" w:cs="仿宋"/>
          <w:kern w:val="2"/>
          <w:sz w:val="30"/>
          <w:szCs w:val="30"/>
          <w:lang w:val="en-US" w:eastAsia="zh-CN" w:bidi="ar-SA"/>
        </w:rPr>
        <w:t>2022年8月</w:t>
      </w:r>
      <w:bookmarkStart w:id="0" w:name="_GoBack"/>
      <w:r>
        <w:rPr>
          <w:rFonts w:hint="eastAsia" w:ascii="仿宋" w:hAnsi="仿宋" w:eastAsia="仿宋" w:cs="仿宋"/>
          <w:kern w:val="2"/>
          <w:sz w:val="30"/>
          <w:szCs w:val="30"/>
          <w:highlight w:val="none"/>
          <w:lang w:val="en-US" w:eastAsia="zh-CN" w:bidi="ar-SA"/>
        </w:rPr>
        <w:t>10</w:t>
      </w:r>
      <w:bookmarkEnd w:id="0"/>
      <w:r>
        <w:rPr>
          <w:rFonts w:hint="eastAsia" w:ascii="仿宋" w:hAnsi="仿宋" w:eastAsia="仿宋" w:cs="仿宋"/>
          <w:kern w:val="2"/>
          <w:sz w:val="30"/>
          <w:szCs w:val="30"/>
          <w:lang w:val="en-US" w:eastAsia="zh-CN" w:bidi="ar-SA"/>
        </w:rPr>
        <w:t>日</w:t>
      </w: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ZDQzMmI5MzdlZjc5N2UzZGI0N2RiN2FhMTdmMWQifQ=="/>
  </w:docVars>
  <w:rsids>
    <w:rsidRoot w:val="4AFF3813"/>
    <w:rsid w:val="00B44725"/>
    <w:rsid w:val="01EE2E82"/>
    <w:rsid w:val="02155FB1"/>
    <w:rsid w:val="039833E5"/>
    <w:rsid w:val="045F66F8"/>
    <w:rsid w:val="048D6C72"/>
    <w:rsid w:val="05DF0386"/>
    <w:rsid w:val="064C61F2"/>
    <w:rsid w:val="0A4C7942"/>
    <w:rsid w:val="0C096633"/>
    <w:rsid w:val="11633584"/>
    <w:rsid w:val="151C65EF"/>
    <w:rsid w:val="171B7AD0"/>
    <w:rsid w:val="1798573E"/>
    <w:rsid w:val="1F186C84"/>
    <w:rsid w:val="1F395263"/>
    <w:rsid w:val="201B761F"/>
    <w:rsid w:val="21200794"/>
    <w:rsid w:val="244349E5"/>
    <w:rsid w:val="265B13C7"/>
    <w:rsid w:val="26DE6231"/>
    <w:rsid w:val="2AEF15F0"/>
    <w:rsid w:val="2BA552B9"/>
    <w:rsid w:val="2F5A0FDE"/>
    <w:rsid w:val="3213380F"/>
    <w:rsid w:val="34102548"/>
    <w:rsid w:val="345D0164"/>
    <w:rsid w:val="36F175E7"/>
    <w:rsid w:val="3AC40B6D"/>
    <w:rsid w:val="3BED073D"/>
    <w:rsid w:val="3F2F7405"/>
    <w:rsid w:val="412261B5"/>
    <w:rsid w:val="417756CE"/>
    <w:rsid w:val="42BA0E65"/>
    <w:rsid w:val="439F18AF"/>
    <w:rsid w:val="47F26AD6"/>
    <w:rsid w:val="48B269E2"/>
    <w:rsid w:val="4AFF3813"/>
    <w:rsid w:val="4BA874FD"/>
    <w:rsid w:val="4CC13663"/>
    <w:rsid w:val="51A4132D"/>
    <w:rsid w:val="52543C4D"/>
    <w:rsid w:val="53BE4AF2"/>
    <w:rsid w:val="542B02CA"/>
    <w:rsid w:val="56371AD4"/>
    <w:rsid w:val="568B0632"/>
    <w:rsid w:val="58403C46"/>
    <w:rsid w:val="59614196"/>
    <w:rsid w:val="5A6A46B9"/>
    <w:rsid w:val="5ACD1752"/>
    <w:rsid w:val="5D92677B"/>
    <w:rsid w:val="60FE2FE9"/>
    <w:rsid w:val="63B74D78"/>
    <w:rsid w:val="673E37E2"/>
    <w:rsid w:val="67577278"/>
    <w:rsid w:val="68622A07"/>
    <w:rsid w:val="6AD0208C"/>
    <w:rsid w:val="6EC4456F"/>
    <w:rsid w:val="6F1C74FE"/>
    <w:rsid w:val="73720A2D"/>
    <w:rsid w:val="74C711D8"/>
    <w:rsid w:val="7F940465"/>
    <w:rsid w:val="7FE6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eastAsia="宋体"/>
      <w:sz w:val="21"/>
      <w:szCs w:val="20"/>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2750</Words>
  <Characters>2900</Characters>
  <Lines>0</Lines>
  <Paragraphs>0</Paragraphs>
  <TotalTime>2</TotalTime>
  <ScaleCrop>false</ScaleCrop>
  <LinksUpToDate>false</LinksUpToDate>
  <CharactersWithSpaces>2981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2022-07-25T01:16:00Z</dcterms:created>
  <dc:creator>北在北边</dc:creator>
  <cp:lastModifiedBy>北在北边</cp:lastModifiedBy>
  <dcterms:modified xsi:type="dcterms:W3CDTF">2022-08-10T02:28:21Z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29EE738BB2CF4419BD217E89C39B2703</vt:lpwstr>
  </property>
</Properties>
</file>