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Times New Roman" w:hAnsi="Times New Roman" w:eastAsia="黑体"/>
          <w:bCs/>
          <w:sz w:val="30"/>
          <w:szCs w:val="22"/>
        </w:rPr>
      </w:pPr>
      <w:r>
        <w:rPr>
          <w:rFonts w:hint="eastAsia" w:ascii="Times New Roman" w:hAnsi="Times New Roman" w:eastAsia="黑体"/>
          <w:bCs/>
          <w:sz w:val="30"/>
          <w:szCs w:val="22"/>
        </w:rPr>
        <w:t>《天目山宝 炒制山核桃》</w:t>
      </w:r>
      <w:r>
        <w:rPr>
          <w:rFonts w:ascii="Times New Roman" w:hAnsi="Times New Roman" w:eastAsia="黑体"/>
          <w:bCs/>
          <w:sz w:val="30"/>
          <w:szCs w:val="22"/>
        </w:rPr>
        <w:t>编制说明</w:t>
      </w:r>
    </w:p>
    <w:p>
      <w:pPr>
        <w:jc w:val="center"/>
        <w:rPr>
          <w:rFonts w:ascii="Times New Roman" w:hAnsi="Times New Roman" w:eastAsia="黑体"/>
          <w:bCs/>
          <w:sz w:val="30"/>
        </w:rPr>
      </w:pPr>
    </w:p>
    <w:p>
      <w:pPr>
        <w:jc w:val="center"/>
        <w:rPr>
          <w:rFonts w:ascii="Times New Roman" w:hAnsi="Times New Roman" w:eastAsia="黑体"/>
          <w:bCs/>
          <w:sz w:val="30"/>
        </w:rPr>
      </w:pPr>
      <w:r>
        <w:rPr>
          <w:rFonts w:ascii="Times New Roman" w:hAnsi="Times New Roman" w:eastAsia="黑体"/>
          <w:bCs/>
          <w:sz w:val="30"/>
        </w:rPr>
        <w:t>（征求意见稿）</w:t>
      </w:r>
    </w:p>
    <w:p>
      <w:pPr>
        <w:numPr>
          <w:ilvl w:val="0"/>
          <w:numId w:val="3"/>
        </w:numPr>
        <w:spacing w:line="360" w:lineRule="auto"/>
        <w:jc w:val="both"/>
        <w:rPr>
          <w:rFonts w:ascii="Times New Roman" w:hAnsi="Times New Roman"/>
          <w:b/>
          <w:bCs/>
          <w:sz w:val="21"/>
          <w:szCs w:val="21"/>
        </w:rPr>
      </w:pPr>
      <w:r>
        <w:rPr>
          <w:rFonts w:hint="eastAsia" w:ascii="Times New Roman" w:hAnsi="Times New Roman"/>
          <w:b/>
          <w:bCs/>
          <w:sz w:val="21"/>
          <w:szCs w:val="21"/>
        </w:rPr>
        <w:t>基本情况</w:t>
      </w:r>
    </w:p>
    <w:p>
      <w:pPr>
        <w:spacing w:line="360" w:lineRule="auto"/>
        <w:jc w:val="both"/>
        <w:rPr>
          <w:rFonts w:ascii="Times New Roman" w:hAnsi="Times New Roman"/>
          <w:b/>
          <w:bCs/>
          <w:sz w:val="21"/>
          <w:szCs w:val="21"/>
        </w:rPr>
      </w:pPr>
      <w:r>
        <w:rPr>
          <w:rFonts w:ascii="Times New Roman" w:hAnsi="Times New Roman"/>
          <w:b/>
          <w:sz w:val="21"/>
          <w:szCs w:val="21"/>
        </w:rPr>
        <w:t>（一）任务来源</w:t>
      </w:r>
    </w:p>
    <w:p>
      <w:pPr>
        <w:adjustRightInd w:val="0"/>
        <w:snapToGrid w:val="0"/>
        <w:spacing w:line="360" w:lineRule="auto"/>
        <w:ind w:firstLine="630" w:firstLineChars="300"/>
        <w:rPr>
          <w:rFonts w:ascii="Times New Roman" w:hAnsi="Times New Roman"/>
          <w:bCs/>
          <w:sz w:val="21"/>
          <w:szCs w:val="21"/>
        </w:rPr>
      </w:pPr>
      <w:r>
        <w:rPr>
          <w:rFonts w:hint="eastAsia" w:ascii="Times New Roman" w:hAnsi="Times New Roman"/>
          <w:bCs/>
          <w:sz w:val="21"/>
          <w:szCs w:val="21"/>
        </w:rPr>
        <w:t>本团体标准的制定是根据</w:t>
      </w:r>
      <w:bookmarkStart w:id="0" w:name="_Hlk109029137"/>
      <w:r>
        <w:rPr>
          <w:rFonts w:hint="eastAsia" w:ascii="Times New Roman" w:hAnsi="Times New Roman"/>
          <w:bCs/>
          <w:sz w:val="21"/>
          <w:szCs w:val="21"/>
        </w:rPr>
        <w:t>杭州市临安区农林技术推广中心</w:t>
      </w:r>
      <w:bookmarkEnd w:id="0"/>
      <w:r>
        <w:rPr>
          <w:rFonts w:hint="eastAsia" w:ascii="Times New Roman" w:hAnsi="Times New Roman"/>
          <w:bCs/>
          <w:sz w:val="21"/>
          <w:szCs w:val="21"/>
        </w:rPr>
        <w:t>项目合同（N</w:t>
      </w:r>
      <w:r>
        <w:rPr>
          <w:rFonts w:ascii="Times New Roman" w:hAnsi="Times New Roman"/>
          <w:bCs/>
          <w:sz w:val="21"/>
          <w:szCs w:val="21"/>
        </w:rPr>
        <w:t>H 2022028</w:t>
      </w:r>
      <w:r>
        <w:rPr>
          <w:rFonts w:hint="eastAsia" w:ascii="Times New Roman" w:hAnsi="Times New Roman"/>
          <w:bCs/>
          <w:sz w:val="21"/>
          <w:szCs w:val="21"/>
        </w:rPr>
        <w:t>），由浙江省山核桃产业协会相关企业科研院所根据《浙江省山核桃产业协会团体标准制修订管理办法（试行）》（浙山核桃协〔2020〕01号）和《浙江省山核桃产业协会关于征集2021年度团体标准申报工作的通知》等文件要求共同申请立项。</w:t>
      </w:r>
    </w:p>
    <w:p>
      <w:pPr>
        <w:adjustRightInd w:val="0"/>
        <w:snapToGrid w:val="0"/>
        <w:spacing w:line="360" w:lineRule="auto"/>
        <w:rPr>
          <w:rFonts w:ascii="Times New Roman" w:hAnsi="Times New Roman"/>
          <w:b/>
          <w:bCs/>
          <w:sz w:val="21"/>
          <w:szCs w:val="21"/>
        </w:rPr>
      </w:pPr>
      <w:r>
        <w:rPr>
          <w:rFonts w:hint="eastAsia" w:ascii="Times New Roman" w:hAnsi="Times New Roman"/>
          <w:b/>
          <w:bCs/>
          <w:sz w:val="21"/>
          <w:szCs w:val="21"/>
        </w:rPr>
        <w:t>（二）标准主要起草单位及主要起草人</w:t>
      </w:r>
    </w:p>
    <w:p>
      <w:pPr>
        <w:adjustRightInd w:val="0"/>
        <w:snapToGrid w:val="0"/>
        <w:spacing w:line="360" w:lineRule="auto"/>
        <w:ind w:firstLine="420" w:firstLineChars="200"/>
        <w:rPr>
          <w:rFonts w:ascii="Times New Roman" w:hAnsi="Times New Roman"/>
          <w:bCs/>
          <w:sz w:val="21"/>
          <w:szCs w:val="21"/>
        </w:rPr>
      </w:pPr>
      <w:r>
        <w:rPr>
          <w:rFonts w:hint="eastAsia" w:ascii="Times New Roman" w:hAnsi="Times New Roman"/>
          <w:bCs/>
          <w:sz w:val="21"/>
          <w:szCs w:val="21"/>
        </w:rPr>
        <w:t>该标准由浙江省山核桃产业协会提出并归口，由杭州姚生记食品有限公司执笔起草。</w:t>
      </w:r>
    </w:p>
    <w:p>
      <w:pPr>
        <w:spacing w:line="360" w:lineRule="auto"/>
        <w:ind w:firstLine="420"/>
        <w:rPr>
          <w:rFonts w:ascii="Times New Roman" w:hAnsi="Times New Roman"/>
        </w:rPr>
      </w:pPr>
      <w:r>
        <w:rPr>
          <w:rFonts w:hint="eastAsia" w:ascii="Times New Roman" w:hAnsi="Times New Roman"/>
          <w:bCs/>
          <w:sz w:val="21"/>
          <w:szCs w:val="21"/>
        </w:rPr>
        <w:t>本标准起草单位：</w:t>
      </w:r>
    </w:p>
    <w:p>
      <w:pPr>
        <w:spacing w:line="360" w:lineRule="auto"/>
        <w:ind w:firstLine="420"/>
        <w:rPr>
          <w:rFonts w:ascii="Times New Roman" w:hAnsi="Times New Roman"/>
        </w:rPr>
      </w:pPr>
      <w:r>
        <w:rPr>
          <w:rFonts w:hint="eastAsia" w:ascii="Times New Roman" w:hAnsi="Times New Roman"/>
        </w:rPr>
        <w:t>本标主要起草人：</w:t>
      </w:r>
    </w:p>
    <w:p>
      <w:pPr>
        <w:numPr>
          <w:ilvl w:val="0"/>
          <w:numId w:val="4"/>
        </w:numPr>
        <w:adjustRightInd w:val="0"/>
        <w:snapToGrid w:val="0"/>
        <w:rPr>
          <w:rFonts w:ascii="Times New Roman" w:hAnsi="Times New Roman"/>
          <w:b/>
          <w:bCs/>
          <w:sz w:val="21"/>
          <w:szCs w:val="21"/>
        </w:rPr>
      </w:pPr>
      <w:r>
        <w:rPr>
          <w:rFonts w:hint="eastAsia" w:ascii="Times New Roman" w:hAnsi="Times New Roman"/>
          <w:b/>
          <w:bCs/>
          <w:sz w:val="21"/>
          <w:szCs w:val="21"/>
        </w:rPr>
        <w:t>标准起草的目的和意义</w:t>
      </w:r>
    </w:p>
    <w:p>
      <w:pPr>
        <w:autoSpaceDN w:val="0"/>
        <w:spacing w:before="45" w:line="360" w:lineRule="auto"/>
        <w:ind w:firstLine="400" w:firstLineChars="200"/>
        <w:rPr>
          <w:rFonts w:ascii="Times New Roman" w:hAnsi="Times New Roman"/>
        </w:rPr>
      </w:pPr>
      <w:r>
        <w:rPr>
          <w:rFonts w:hint="eastAsia" w:ascii="Times New Roman" w:hAnsi="Times New Roman"/>
        </w:rPr>
        <w:t>山核桃是我国特有的珍稀坚果，主要分布在浙、皖两省交界的天目山脉。我国山核桃种植总面积大约140万亩，其中浙江省临安区48万亩、淳安县32万亩，浙江桐庐、建德等地区10万亩左右；2017年度我国山核桃总产量达4.2万吨，其中我省的临安、淳安等总产量达2.8余万吨，我省种植面积和产量都占了全国的2/3以上。山核桃是我省临安、淳安等地农户的主要收入来源，也是浙江省特色林业经济作物。</w:t>
      </w:r>
    </w:p>
    <w:p>
      <w:pPr>
        <w:autoSpaceDN w:val="0"/>
        <w:spacing w:before="45" w:line="360" w:lineRule="auto"/>
        <w:ind w:firstLine="400" w:firstLineChars="200"/>
        <w:rPr>
          <w:rFonts w:ascii="Times New Roman" w:hAnsi="Times New Roman"/>
        </w:rPr>
      </w:pPr>
      <w:r>
        <w:rPr>
          <w:rFonts w:hint="eastAsia" w:ascii="Times New Roman" w:hAnsi="Times New Roman"/>
        </w:rPr>
        <w:t>作为临安区特色优势产业，为推进山核桃产业向更高端发展，2021年1月，杭州市临安区发布临安区全新农产品区域公用品牌——“天目山宝”，精选了“临安山茶”、“山笋”、“山核桃”中精品。但目前“天目山宝”无相关标准，产品易鱼目混珠，制定“天目山宝”相关标准迫在眉睫。为此浙江省山核桃产业协会与杭州市临安区农林技术推广中心签订天目山宝山核桃系列团体标准，旨在提高山核桃产品质量。</w:t>
      </w:r>
    </w:p>
    <w:p>
      <w:pPr>
        <w:adjustRightInd w:val="0"/>
        <w:snapToGrid w:val="0"/>
        <w:spacing w:line="360" w:lineRule="auto"/>
        <w:rPr>
          <w:rFonts w:ascii="Times New Roman" w:hAnsi="Times New Roman"/>
          <w:b/>
          <w:sz w:val="21"/>
          <w:szCs w:val="21"/>
        </w:rPr>
      </w:pPr>
      <w:r>
        <w:rPr>
          <w:rFonts w:hint="eastAsia" w:ascii="Times New Roman" w:hAnsi="Times New Roman"/>
          <w:b/>
          <w:sz w:val="21"/>
          <w:szCs w:val="21"/>
        </w:rPr>
        <w:t>（四）主要工作过程</w:t>
      </w:r>
    </w:p>
    <w:p>
      <w:pPr>
        <w:adjustRightInd w:val="0"/>
        <w:snapToGrid w:val="0"/>
        <w:spacing w:line="360" w:lineRule="auto"/>
        <w:ind w:firstLine="408"/>
        <w:rPr>
          <w:rFonts w:ascii="Times New Roman" w:hAnsi="Times New Roman"/>
          <w:bCs/>
          <w:sz w:val="21"/>
          <w:szCs w:val="21"/>
        </w:rPr>
      </w:pPr>
      <w:r>
        <w:rPr>
          <w:rFonts w:hint="eastAsia" w:ascii="Times New Roman" w:hAnsi="Times New Roman"/>
          <w:bCs/>
          <w:sz w:val="21"/>
          <w:szCs w:val="21"/>
        </w:rPr>
        <w:t>1、前期讨论调研：</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w:t>
      </w:r>
      <w:r>
        <w:rPr>
          <w:rFonts w:ascii="Times New Roman" w:hAnsi="Times New Roman"/>
          <w:bCs/>
          <w:sz w:val="21"/>
          <w:szCs w:val="21"/>
        </w:rPr>
        <w:t>10</w:t>
      </w:r>
      <w:r>
        <w:rPr>
          <w:rFonts w:hint="eastAsia" w:ascii="Times New Roman" w:hAnsi="Times New Roman"/>
          <w:bCs/>
          <w:sz w:val="21"/>
          <w:szCs w:val="21"/>
        </w:rPr>
        <w:t>日浙江省山核桃产业协会会长邓杨勇、秘书长黄坚钦，临安农林科技推广中心首席专家丁立忠，杭州姚生记食品有限公司技术负责人高军龙等在杭州市临安区农林技术推广中心关于天目山宝 山核桃系列团体标准制定事宜进行第一次研讨，确定了团体标准制定方向。</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2、标准立项</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w:t>
      </w:r>
      <w:r>
        <w:rPr>
          <w:rFonts w:ascii="Times New Roman" w:hAnsi="Times New Roman"/>
          <w:bCs/>
          <w:sz w:val="21"/>
          <w:szCs w:val="21"/>
        </w:rPr>
        <w:t>15</w:t>
      </w:r>
      <w:r>
        <w:rPr>
          <w:rFonts w:hint="eastAsia" w:ascii="Times New Roman" w:hAnsi="Times New Roman"/>
          <w:bCs/>
          <w:sz w:val="21"/>
          <w:szCs w:val="21"/>
        </w:rPr>
        <w:t>日标准主要起草单位杭州姚生记食品有限公司向浙江省山核桃产业协会提出标准立项申请和标准草案，协会秘书处标准化工作组初审并于202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w:t>
      </w:r>
      <w:r>
        <w:rPr>
          <w:rFonts w:ascii="Times New Roman" w:hAnsi="Times New Roman"/>
          <w:bCs/>
          <w:sz w:val="21"/>
          <w:szCs w:val="21"/>
        </w:rPr>
        <w:t>22</w:t>
      </w:r>
      <w:r>
        <w:rPr>
          <w:rFonts w:hint="eastAsia" w:ascii="Times New Roman" w:hAnsi="Times New Roman"/>
          <w:bCs/>
          <w:sz w:val="21"/>
          <w:szCs w:val="21"/>
        </w:rPr>
        <w:t>日邀请浙江农林大学、临安农林技术推广中心、杭州临安山核桃产业协会、杭州临安团圆仁食品有限公司、杭州临安裕康食品厂等十余家单位参与评审，专家组通过听取申请单位汇报，同意立项。并于202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月2</w:t>
      </w:r>
      <w:r>
        <w:rPr>
          <w:rFonts w:ascii="Times New Roman" w:hAnsi="Times New Roman"/>
          <w:bCs/>
          <w:sz w:val="21"/>
          <w:szCs w:val="21"/>
        </w:rPr>
        <w:t>5</w:t>
      </w:r>
      <w:r>
        <w:rPr>
          <w:rFonts w:hint="eastAsia" w:ascii="Times New Roman" w:hAnsi="Times New Roman"/>
          <w:bCs/>
          <w:sz w:val="21"/>
          <w:szCs w:val="21"/>
        </w:rPr>
        <w:t>日发布《2022年浙江省山核桃产业协会第一批团体标准立项的通告》（浙山核桃协</w:t>
      </w:r>
      <w:bookmarkStart w:id="1" w:name="_Hlk109028736"/>
      <w:r>
        <w:rPr>
          <w:rFonts w:hint="eastAsia" w:ascii="Times New Roman" w:hAnsi="Times New Roman"/>
          <w:bCs/>
          <w:sz w:val="21"/>
          <w:szCs w:val="21"/>
        </w:rPr>
        <w:t>〔</w:t>
      </w:r>
      <w:bookmarkEnd w:id="1"/>
      <w:r>
        <w:rPr>
          <w:rFonts w:hint="eastAsia" w:ascii="Times New Roman" w:hAnsi="Times New Roman"/>
          <w:bCs/>
          <w:sz w:val="21"/>
          <w:szCs w:val="21"/>
        </w:rPr>
        <w:t>202</w:t>
      </w:r>
      <w:r>
        <w:rPr>
          <w:rFonts w:ascii="Times New Roman" w:hAnsi="Times New Roman"/>
          <w:bCs/>
          <w:sz w:val="21"/>
          <w:szCs w:val="21"/>
        </w:rPr>
        <w:t>2</w:t>
      </w:r>
      <w:bookmarkStart w:id="2" w:name="_Hlk109028744"/>
      <w:r>
        <w:rPr>
          <w:rFonts w:hint="eastAsia" w:ascii="Times New Roman" w:hAnsi="Times New Roman"/>
          <w:bCs/>
          <w:sz w:val="21"/>
          <w:szCs w:val="21"/>
        </w:rPr>
        <w:t>〕</w:t>
      </w:r>
      <w:bookmarkEnd w:id="2"/>
      <w:r>
        <w:rPr>
          <w:rFonts w:hint="eastAsia" w:ascii="Times New Roman" w:hAnsi="Times New Roman"/>
          <w:bCs/>
          <w:sz w:val="21"/>
          <w:szCs w:val="21"/>
        </w:rPr>
        <w:t>0</w:t>
      </w:r>
      <w:r>
        <w:rPr>
          <w:rFonts w:ascii="Times New Roman" w:hAnsi="Times New Roman"/>
          <w:bCs/>
          <w:sz w:val="21"/>
          <w:szCs w:val="21"/>
        </w:rPr>
        <w:t>2</w:t>
      </w:r>
      <w:r>
        <w:rPr>
          <w:rFonts w:hint="eastAsia" w:ascii="Times New Roman" w:hAnsi="Times New Roman"/>
          <w:bCs/>
          <w:sz w:val="21"/>
          <w:szCs w:val="21"/>
        </w:rPr>
        <w:t>号），对该标准予以立项，并在全国团体标准修订网站予以公告。</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3、标准讨论稿起草和编制说明</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6</w:t>
      </w:r>
      <w:r>
        <w:rPr>
          <w:rFonts w:hint="eastAsia" w:ascii="Times New Roman" w:hAnsi="Times New Roman"/>
          <w:bCs/>
          <w:sz w:val="21"/>
          <w:szCs w:val="21"/>
        </w:rPr>
        <w:t>月</w:t>
      </w:r>
      <w:r>
        <w:rPr>
          <w:rFonts w:ascii="Times New Roman" w:hAnsi="Times New Roman"/>
          <w:bCs/>
          <w:sz w:val="21"/>
          <w:szCs w:val="21"/>
        </w:rPr>
        <w:t>25</w:t>
      </w:r>
      <w:r>
        <w:rPr>
          <w:rFonts w:hint="eastAsia" w:ascii="Times New Roman" w:hAnsi="Times New Roman"/>
          <w:bCs/>
          <w:sz w:val="21"/>
          <w:szCs w:val="21"/>
        </w:rPr>
        <w:t>日，标准立项后，执笔起草单位根据前期调研讨论的意见、试验检测数据和起草组成员单位意见，对标准草案进行了修订和完善，形成讨论稿，于</w:t>
      </w:r>
      <w:r>
        <w:rPr>
          <w:rFonts w:ascii="Times New Roman" w:hAnsi="Times New Roman"/>
          <w:bCs/>
          <w:sz w:val="21"/>
          <w:szCs w:val="21"/>
        </w:rPr>
        <w:t>7</w:t>
      </w:r>
      <w:r>
        <w:rPr>
          <w:rFonts w:hint="eastAsia" w:ascii="Times New Roman" w:hAnsi="Times New Roman"/>
          <w:bCs/>
          <w:sz w:val="21"/>
          <w:szCs w:val="21"/>
        </w:rPr>
        <w:t>月</w:t>
      </w:r>
      <w:r>
        <w:rPr>
          <w:rFonts w:ascii="Times New Roman" w:hAnsi="Times New Roman"/>
          <w:bCs/>
          <w:sz w:val="21"/>
          <w:szCs w:val="21"/>
        </w:rPr>
        <w:t>1</w:t>
      </w:r>
      <w:r>
        <w:rPr>
          <w:rFonts w:hint="eastAsia" w:ascii="Times New Roman" w:hAnsi="Times New Roman"/>
          <w:bCs/>
          <w:sz w:val="21"/>
          <w:szCs w:val="21"/>
        </w:rPr>
        <w:t>日至</w:t>
      </w:r>
      <w:r>
        <w:rPr>
          <w:rFonts w:ascii="Times New Roman" w:hAnsi="Times New Roman"/>
          <w:bCs/>
          <w:sz w:val="21"/>
          <w:szCs w:val="21"/>
        </w:rPr>
        <w:t>7</w:t>
      </w:r>
      <w:r>
        <w:rPr>
          <w:rFonts w:hint="eastAsia" w:ascii="Times New Roman" w:hAnsi="Times New Roman"/>
          <w:bCs/>
          <w:sz w:val="21"/>
          <w:szCs w:val="21"/>
        </w:rPr>
        <w:t>月15日在标准起草组内征求意见，起草工作组通过电话、邮件、微信、会议等多种方式开展相关意见讨论、信息交流等。</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4、标准征求意见稿和编制说明</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7</w:t>
      </w:r>
      <w:r>
        <w:rPr>
          <w:rFonts w:hint="eastAsia" w:ascii="Times New Roman" w:hAnsi="Times New Roman"/>
          <w:bCs/>
          <w:sz w:val="21"/>
          <w:szCs w:val="21"/>
        </w:rPr>
        <w:t>月</w:t>
      </w:r>
      <w:r>
        <w:rPr>
          <w:rFonts w:ascii="Times New Roman" w:hAnsi="Times New Roman"/>
          <w:bCs/>
          <w:sz w:val="21"/>
          <w:szCs w:val="21"/>
        </w:rPr>
        <w:t>17</w:t>
      </w:r>
      <w:r>
        <w:rPr>
          <w:rFonts w:hint="eastAsia" w:ascii="Times New Roman" w:hAnsi="Times New Roman"/>
          <w:bCs/>
          <w:sz w:val="21"/>
          <w:szCs w:val="21"/>
        </w:rPr>
        <w:t>日，根据起草工作组的修改建议召开第二次标准讨论，对术语和定义进行了规范，将原籽炒制山核桃改为炒制山核桃，增加半虚籽；为提高产品质量，标准取消质量分级；要求山核桃原料直径在2.</w:t>
      </w:r>
      <w:r>
        <w:rPr>
          <w:rFonts w:ascii="Times New Roman" w:hAnsi="Times New Roman"/>
          <w:bCs/>
          <w:sz w:val="21"/>
          <w:szCs w:val="21"/>
        </w:rPr>
        <w:t>1</w:t>
      </w:r>
      <w:r>
        <w:rPr>
          <w:rFonts w:hint="eastAsia" w:ascii="Times New Roman" w:hAnsi="Times New Roman"/>
          <w:bCs/>
          <w:sz w:val="21"/>
          <w:szCs w:val="21"/>
        </w:rPr>
        <w:t>cm以上；对质量指标进行了调整细化并于202</w:t>
      </w:r>
      <w:r>
        <w:rPr>
          <w:rFonts w:ascii="Times New Roman" w:hAnsi="Times New Roman"/>
          <w:bCs/>
          <w:sz w:val="21"/>
          <w:szCs w:val="21"/>
        </w:rPr>
        <w:t>2</w:t>
      </w:r>
      <w:r>
        <w:rPr>
          <w:rFonts w:hint="eastAsia" w:ascii="Times New Roman" w:hAnsi="Times New Roman"/>
          <w:bCs/>
          <w:sz w:val="21"/>
          <w:szCs w:val="21"/>
        </w:rPr>
        <w:t>年</w:t>
      </w:r>
      <w:r>
        <w:rPr>
          <w:rFonts w:ascii="Times New Roman" w:hAnsi="Times New Roman"/>
          <w:bCs/>
          <w:sz w:val="21"/>
          <w:szCs w:val="21"/>
        </w:rPr>
        <w:t>7</w:t>
      </w:r>
      <w:r>
        <w:rPr>
          <w:rFonts w:hint="eastAsia" w:ascii="Times New Roman" w:hAnsi="Times New Roman"/>
          <w:bCs/>
          <w:sz w:val="21"/>
          <w:szCs w:val="21"/>
        </w:rPr>
        <w:t>月1</w:t>
      </w:r>
      <w:r>
        <w:rPr>
          <w:rFonts w:ascii="Times New Roman" w:hAnsi="Times New Roman"/>
          <w:bCs/>
          <w:sz w:val="21"/>
          <w:szCs w:val="21"/>
        </w:rPr>
        <w:t>8</w:t>
      </w:r>
      <w:r>
        <w:rPr>
          <w:rFonts w:hint="eastAsia" w:ascii="Times New Roman" w:hAnsi="Times New Roman"/>
          <w:bCs/>
          <w:sz w:val="21"/>
          <w:szCs w:val="21"/>
        </w:rPr>
        <w:t>日整理出标准征求意见稿及编制说明。</w:t>
      </w:r>
    </w:p>
    <w:p>
      <w:pPr>
        <w:spacing w:line="360" w:lineRule="auto"/>
        <w:jc w:val="both"/>
        <w:rPr>
          <w:rFonts w:ascii="Times New Roman" w:hAnsi="Times New Roman"/>
          <w:b/>
          <w:bCs/>
          <w:sz w:val="21"/>
          <w:szCs w:val="21"/>
        </w:rPr>
      </w:pPr>
      <w:r>
        <w:rPr>
          <w:rFonts w:hint="eastAsia" w:ascii="Times New Roman" w:hAnsi="Times New Roman"/>
          <w:b/>
          <w:bCs/>
          <w:sz w:val="21"/>
          <w:szCs w:val="21"/>
        </w:rPr>
        <w:t>二、编制原则和主要内容</w:t>
      </w:r>
    </w:p>
    <w:p>
      <w:pPr>
        <w:spacing w:line="360" w:lineRule="auto"/>
        <w:jc w:val="both"/>
        <w:rPr>
          <w:rFonts w:ascii="Times New Roman" w:hAnsi="Times New Roman"/>
          <w:b/>
          <w:bCs/>
          <w:sz w:val="21"/>
          <w:szCs w:val="21"/>
        </w:rPr>
      </w:pPr>
      <w:r>
        <w:rPr>
          <w:rFonts w:ascii="Times New Roman" w:hAnsi="Times New Roman"/>
          <w:b/>
          <w:bCs/>
          <w:sz w:val="21"/>
          <w:szCs w:val="21"/>
        </w:rPr>
        <w:t>（一）标准编制原则</w:t>
      </w:r>
    </w:p>
    <w:p>
      <w:pPr>
        <w:spacing w:line="360" w:lineRule="auto"/>
        <w:ind w:firstLine="420" w:firstLineChars="200"/>
        <w:jc w:val="both"/>
        <w:rPr>
          <w:rFonts w:ascii="Times New Roman" w:hAnsi="Times New Roman"/>
          <w:bCs/>
          <w:sz w:val="21"/>
          <w:szCs w:val="21"/>
        </w:rPr>
      </w:pPr>
      <w:r>
        <w:rPr>
          <w:rFonts w:hint="eastAsia" w:ascii="Times New Roman" w:hAnsi="Times New Roman"/>
          <w:bCs/>
          <w:sz w:val="21"/>
          <w:szCs w:val="21"/>
        </w:rPr>
        <w:t>本标准的编制原则：第一、本标准遵循GB/T 1.1-2020《标准化工作导则 第 1 部分：标准化文件的结构和起草规则》；第二、本标准的编制以科学技术为依据，</w:t>
      </w:r>
      <w:r>
        <w:rPr>
          <w:rFonts w:ascii="Times New Roman" w:hAnsi="Times New Roman"/>
          <w:bCs/>
          <w:sz w:val="21"/>
          <w:szCs w:val="21"/>
        </w:rPr>
        <w:t>符合国家相关的政策法规</w:t>
      </w:r>
      <w:r>
        <w:rPr>
          <w:rFonts w:hint="eastAsia" w:ascii="Times New Roman" w:hAnsi="Times New Roman"/>
          <w:bCs/>
          <w:sz w:val="21"/>
          <w:szCs w:val="21"/>
        </w:rPr>
        <w:t>、</w:t>
      </w:r>
      <w:r>
        <w:rPr>
          <w:rFonts w:ascii="Times New Roman" w:hAnsi="Times New Roman"/>
          <w:bCs/>
          <w:sz w:val="21"/>
          <w:szCs w:val="21"/>
        </w:rPr>
        <w:t>从有利于推动</w:t>
      </w:r>
      <w:r>
        <w:rPr>
          <w:rFonts w:hint="eastAsia" w:ascii="Times New Roman" w:hAnsi="Times New Roman"/>
          <w:bCs/>
          <w:sz w:val="21"/>
          <w:szCs w:val="21"/>
        </w:rPr>
        <w:t>山核桃产业</w:t>
      </w:r>
      <w:r>
        <w:rPr>
          <w:rFonts w:ascii="Times New Roman" w:hAnsi="Times New Roman"/>
          <w:bCs/>
          <w:sz w:val="21"/>
          <w:szCs w:val="21"/>
        </w:rPr>
        <w:t>技术进步，</w:t>
      </w:r>
      <w:r>
        <w:rPr>
          <w:rFonts w:hint="eastAsia" w:ascii="Times New Roman" w:hAnsi="Times New Roman"/>
          <w:bCs/>
          <w:sz w:val="21"/>
          <w:szCs w:val="21"/>
        </w:rPr>
        <w:t>标准化管理，</w:t>
      </w:r>
      <w:r>
        <w:rPr>
          <w:rFonts w:ascii="Times New Roman" w:hAnsi="Times New Roman"/>
          <w:bCs/>
          <w:sz w:val="21"/>
          <w:szCs w:val="21"/>
        </w:rPr>
        <w:t>提高产品质量</w:t>
      </w:r>
      <w:r>
        <w:rPr>
          <w:rFonts w:hint="eastAsia" w:ascii="Times New Roman" w:hAnsi="Times New Roman"/>
          <w:bCs/>
          <w:sz w:val="21"/>
          <w:szCs w:val="21"/>
        </w:rPr>
        <w:t>，保护消费者利益，</w:t>
      </w:r>
      <w:r>
        <w:rPr>
          <w:rFonts w:ascii="Times New Roman" w:hAnsi="Times New Roman"/>
          <w:bCs/>
          <w:sz w:val="21"/>
          <w:szCs w:val="21"/>
        </w:rPr>
        <w:t>合理利用资源，提高经济效益</w:t>
      </w:r>
      <w:r>
        <w:rPr>
          <w:rFonts w:hint="eastAsia" w:ascii="Times New Roman" w:hAnsi="Times New Roman"/>
          <w:bCs/>
          <w:sz w:val="21"/>
          <w:szCs w:val="21"/>
        </w:rPr>
        <w:t>为原则；</w:t>
      </w:r>
      <w:r>
        <w:rPr>
          <w:rFonts w:ascii="Times New Roman" w:hAnsi="Times New Roman"/>
          <w:bCs/>
          <w:sz w:val="21"/>
          <w:szCs w:val="21"/>
        </w:rPr>
        <w:t>同时</w:t>
      </w:r>
      <w:r>
        <w:rPr>
          <w:rFonts w:hint="eastAsia" w:ascii="Times New Roman" w:hAnsi="Times New Roman"/>
          <w:bCs/>
          <w:sz w:val="21"/>
          <w:szCs w:val="21"/>
        </w:rPr>
        <w:t>结合企业实际生产情况，收集生产企业建议和意见，确保标准具有科学性、可操作性、先进性。</w:t>
      </w:r>
    </w:p>
    <w:p>
      <w:pPr>
        <w:spacing w:line="360" w:lineRule="auto"/>
        <w:jc w:val="both"/>
        <w:rPr>
          <w:rFonts w:ascii="Times New Roman" w:hAnsi="Times New Roman"/>
          <w:b/>
          <w:bCs/>
          <w:sz w:val="21"/>
          <w:szCs w:val="21"/>
        </w:rPr>
      </w:pPr>
      <w:r>
        <w:rPr>
          <w:rFonts w:ascii="Times New Roman" w:hAnsi="Times New Roman"/>
          <w:b/>
          <w:bCs/>
          <w:sz w:val="21"/>
          <w:szCs w:val="21"/>
        </w:rPr>
        <w:t>（二）主要内容</w:t>
      </w:r>
      <w:r>
        <w:rPr>
          <w:rFonts w:hint="eastAsia" w:ascii="Times New Roman" w:hAnsi="Times New Roman"/>
          <w:b/>
          <w:bCs/>
          <w:sz w:val="21"/>
          <w:szCs w:val="21"/>
        </w:rPr>
        <w:t>的说明</w:t>
      </w:r>
    </w:p>
    <w:p>
      <w:pPr>
        <w:spacing w:line="360" w:lineRule="auto"/>
        <w:jc w:val="both"/>
        <w:rPr>
          <w:rFonts w:ascii="Times New Roman" w:hAnsi="Times New Roman"/>
          <w:b/>
          <w:sz w:val="21"/>
          <w:szCs w:val="21"/>
        </w:rPr>
      </w:pPr>
      <w:r>
        <w:rPr>
          <w:rFonts w:ascii="Times New Roman" w:hAnsi="Times New Roman"/>
          <w:b/>
          <w:sz w:val="21"/>
          <w:szCs w:val="21"/>
        </w:rPr>
        <w:t>1、标准名称</w:t>
      </w:r>
    </w:p>
    <w:p>
      <w:pPr>
        <w:spacing w:line="360" w:lineRule="auto"/>
        <w:ind w:firstLine="420" w:firstLineChars="200"/>
        <w:jc w:val="both"/>
        <w:rPr>
          <w:rFonts w:ascii="Times New Roman" w:hAnsi="Times New Roman"/>
          <w:sz w:val="21"/>
          <w:szCs w:val="21"/>
        </w:rPr>
      </w:pPr>
      <w:r>
        <w:rPr>
          <w:rFonts w:hint="eastAsia" w:ascii="Times New Roman" w:hAnsi="Times New Roman"/>
          <w:sz w:val="21"/>
          <w:szCs w:val="21"/>
        </w:rPr>
        <w:t>本标准确定的名称</w:t>
      </w:r>
      <w:r>
        <w:rPr>
          <w:rFonts w:hint="eastAsia" w:ascii="Times New Roman" w:hAnsi="Times New Roman"/>
          <w:bCs/>
          <w:sz w:val="21"/>
          <w:szCs w:val="21"/>
        </w:rPr>
        <w:t>为“天目山宝 炒制山核桃”</w:t>
      </w:r>
      <w:r>
        <w:rPr>
          <w:rFonts w:ascii="Times New Roman" w:hAnsi="Times New Roman"/>
          <w:sz w:val="21"/>
          <w:szCs w:val="21"/>
        </w:rPr>
        <w:t>。</w:t>
      </w:r>
      <w:bookmarkStart w:id="20" w:name="_GoBack"/>
      <w:bookmarkEnd w:id="20"/>
    </w:p>
    <w:p>
      <w:pPr>
        <w:spacing w:line="360" w:lineRule="auto"/>
        <w:jc w:val="both"/>
        <w:rPr>
          <w:rFonts w:ascii="Times New Roman" w:hAnsi="Times New Roman"/>
          <w:b/>
          <w:sz w:val="21"/>
          <w:szCs w:val="21"/>
        </w:rPr>
      </w:pPr>
      <w:r>
        <w:rPr>
          <w:rFonts w:ascii="Times New Roman" w:hAnsi="Times New Roman"/>
          <w:b/>
          <w:sz w:val="21"/>
          <w:szCs w:val="21"/>
        </w:rPr>
        <w:t>2、范围</w:t>
      </w:r>
    </w:p>
    <w:p>
      <w:pPr>
        <w:spacing w:line="360" w:lineRule="auto"/>
        <w:ind w:firstLine="420"/>
        <w:rPr>
          <w:rFonts w:ascii="Times New Roman" w:hAnsi="Times New Roman"/>
          <w:color w:val="000000"/>
        </w:rPr>
      </w:pPr>
      <w:bookmarkStart w:id="3" w:name="_Toc24151"/>
      <w:r>
        <w:rPr>
          <w:rFonts w:hint="eastAsia" w:ascii="Times New Roman" w:hAnsi="Times New Roman"/>
          <w:color w:val="000000"/>
        </w:rPr>
        <w:t>本文件规定了炒制山核桃的术语和定义、质量要求、检验方法、检验规则、标志、包装、运输和贮。</w:t>
      </w:r>
    </w:p>
    <w:p>
      <w:pPr>
        <w:spacing w:line="360" w:lineRule="auto"/>
        <w:ind w:firstLine="420"/>
        <w:rPr>
          <w:rFonts w:ascii="Times New Roman" w:hAnsi="Times New Roman"/>
          <w:color w:val="000000"/>
        </w:rPr>
      </w:pPr>
      <w:r>
        <w:rPr>
          <w:rFonts w:hint="eastAsia" w:ascii="Times New Roman" w:hAnsi="Times New Roman"/>
          <w:color w:val="000000"/>
        </w:rPr>
        <w:t>本文件适用于炒制山核桃的生产、检验和销售。</w:t>
      </w:r>
    </w:p>
    <w:p>
      <w:pPr>
        <w:pStyle w:val="24"/>
        <w:spacing w:line="360" w:lineRule="auto"/>
        <w:ind w:firstLine="0" w:firstLineChars="0"/>
        <w:rPr>
          <w:rFonts w:ascii="Times New Roman" w:hAnsi="Times New Roman"/>
          <w:b/>
        </w:rPr>
      </w:pPr>
      <w:r>
        <w:rPr>
          <w:rFonts w:hint="eastAsia" w:ascii="Times New Roman" w:hAnsi="Times New Roman"/>
          <w:b/>
        </w:rPr>
        <w:t>3 、规范性引用文件</w:t>
      </w:r>
      <w:bookmarkEnd w:id="3"/>
    </w:p>
    <w:p>
      <w:pPr>
        <w:pStyle w:val="24"/>
        <w:spacing w:line="360" w:lineRule="auto"/>
        <w:ind w:firstLine="420"/>
        <w:rPr>
          <w:rFonts w:ascii="Times New Roman" w:hAnsi="Times New Roman"/>
          <w:szCs w:val="21"/>
        </w:rPr>
      </w:pPr>
      <w:r>
        <w:rPr>
          <w:rFonts w:hint="eastAsia" w:ascii="Times New Roman" w:hAnsi="Times New Roman"/>
          <w:szCs w:val="21"/>
        </w:rPr>
        <w:t>在规范性引用文件中列出了在分级和标识中的用到的相关标准。</w:t>
      </w:r>
    </w:p>
    <w:p>
      <w:pPr>
        <w:pStyle w:val="24"/>
        <w:spacing w:line="360" w:lineRule="auto"/>
        <w:ind w:firstLine="0" w:firstLineChars="0"/>
        <w:rPr>
          <w:rFonts w:ascii="Times New Roman" w:hAnsi="Times New Roman"/>
        </w:rPr>
      </w:pPr>
      <w:r>
        <w:rPr>
          <w:rFonts w:hint="eastAsia" w:ascii="Times New Roman" w:hAnsi="Times New Roman"/>
          <w:b/>
        </w:rPr>
        <w:t>4</w:t>
      </w:r>
      <w:r>
        <w:rPr>
          <w:rFonts w:ascii="Times New Roman" w:hAnsi="Times New Roman"/>
          <w:b/>
        </w:rPr>
        <w:t>、</w:t>
      </w:r>
      <w:r>
        <w:rPr>
          <w:rFonts w:hint="eastAsia" w:ascii="Times New Roman" w:hAnsi="Times New Roman"/>
          <w:b/>
        </w:rPr>
        <w:t>术语和定义</w:t>
      </w:r>
    </w:p>
    <w:p>
      <w:pPr>
        <w:spacing w:line="360" w:lineRule="auto"/>
        <w:ind w:firstLine="420" w:firstLineChars="200"/>
        <w:rPr>
          <w:rFonts w:ascii="Times New Roman" w:hAnsi="Times New Roman"/>
          <w:sz w:val="21"/>
        </w:rPr>
      </w:pPr>
      <w:r>
        <w:rPr>
          <w:rFonts w:hint="eastAsia" w:ascii="Times New Roman" w:hAnsi="Times New Roman"/>
          <w:sz w:val="21"/>
        </w:rPr>
        <w:t>本标准对炒制山核桃、油籽、芽籽、霉变籽、黑斑籽、空籽、坏籽结合目前行业生产实际和习惯进行了界定。</w:t>
      </w:r>
    </w:p>
    <w:p>
      <w:pPr>
        <w:spacing w:line="360" w:lineRule="auto"/>
        <w:rPr>
          <w:rFonts w:ascii="Times New Roman" w:hAnsi="Times New Roman"/>
          <w:b/>
          <w:sz w:val="21"/>
          <w:szCs w:val="22"/>
        </w:rPr>
      </w:pPr>
      <w:r>
        <w:rPr>
          <w:rFonts w:hint="eastAsia" w:ascii="Times New Roman" w:hAnsi="Times New Roman"/>
          <w:b/>
          <w:sz w:val="21"/>
          <w:szCs w:val="22"/>
        </w:rPr>
        <w:t>5、技术规程</w:t>
      </w:r>
    </w:p>
    <w:p>
      <w:pPr>
        <w:spacing w:before="120" w:beforeLines="50" w:after="120" w:afterLines="50"/>
        <w:rPr>
          <w:rFonts w:ascii="Times New Roman" w:hAnsi="Times New Roman"/>
          <w:b/>
          <w:bCs/>
          <w:color w:val="000000"/>
          <w:sz w:val="21"/>
          <w:szCs w:val="22"/>
        </w:rPr>
      </w:pPr>
      <w:bookmarkStart w:id="4" w:name="_Toc22427"/>
      <w:bookmarkStart w:id="5" w:name="_Toc5606"/>
      <w:r>
        <w:rPr>
          <w:rFonts w:hint="eastAsia" w:ascii="Times New Roman" w:hAnsi="Times New Roman"/>
          <w:b/>
          <w:bCs/>
          <w:color w:val="000000"/>
          <w:sz w:val="21"/>
          <w:szCs w:val="22"/>
        </w:rPr>
        <w:t>（1）</w:t>
      </w:r>
      <w:bookmarkEnd w:id="4"/>
      <w:bookmarkEnd w:id="5"/>
      <w:r>
        <w:rPr>
          <w:rFonts w:hint="eastAsia" w:ascii="Times New Roman" w:hAnsi="Times New Roman"/>
          <w:b/>
          <w:bCs/>
          <w:color w:val="000000"/>
          <w:sz w:val="21"/>
          <w:szCs w:val="22"/>
        </w:rPr>
        <w:t>原料要求</w:t>
      </w:r>
    </w:p>
    <w:p>
      <w:pPr>
        <w:pStyle w:val="24"/>
        <w:spacing w:line="360" w:lineRule="auto"/>
        <w:ind w:firstLine="420"/>
        <w:rPr>
          <w:rFonts w:ascii="Times New Roman" w:hAnsi="Times New Roman"/>
          <w:szCs w:val="22"/>
        </w:rPr>
      </w:pPr>
      <w:r>
        <w:rPr>
          <w:rFonts w:hint="eastAsia" w:ascii="Times New Roman" w:hAnsi="Times New Roman"/>
          <w:szCs w:val="22"/>
        </w:rPr>
        <w:t>原料应符合T/ZJCIA 002要求，炒制山核桃应采用果径2.10 cm以上山核桃颗粒。</w:t>
      </w:r>
      <w:bookmarkStart w:id="6" w:name="_Toc7224"/>
      <w:bookmarkStart w:id="7" w:name="_Toc24330"/>
    </w:p>
    <w:bookmarkEnd w:id="6"/>
    <w:bookmarkEnd w:id="7"/>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（2）辅料、包材要求</w:t>
      </w:r>
    </w:p>
    <w:p>
      <w:pPr>
        <w:pStyle w:val="24"/>
        <w:spacing w:line="360" w:lineRule="auto"/>
        <w:ind w:firstLine="420"/>
        <w:rPr>
          <w:rFonts w:ascii="Times New Roman" w:hAnsi="Times New Roman"/>
          <w:kern w:val="2"/>
        </w:rPr>
      </w:pPr>
      <w:r>
        <w:rPr>
          <w:rFonts w:hint="eastAsia" w:ascii="Times New Roman" w:hAnsi="Times New Roman"/>
          <w:szCs w:val="22"/>
        </w:rPr>
        <w:t>应符合相应国家标准和行业标准要求</w:t>
      </w:r>
      <w:r>
        <w:rPr>
          <w:rFonts w:hint="eastAsia" w:ascii="Times New Roman" w:hAnsi="Times New Roman"/>
          <w:kern w:val="2"/>
        </w:rPr>
        <w:t>。</w:t>
      </w:r>
    </w:p>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（3）感官指标</w:t>
      </w:r>
    </w:p>
    <w:p>
      <w:pPr>
        <w:pStyle w:val="24"/>
        <w:spacing w:line="360" w:lineRule="auto"/>
        <w:ind w:firstLine="420"/>
        <w:rPr>
          <w:rFonts w:ascii="Times New Roman" w:hAnsi="Times New Roman"/>
          <w:kern w:val="2"/>
          <w:szCs w:val="21"/>
        </w:rPr>
      </w:pPr>
      <w:r>
        <w:rPr>
          <w:rFonts w:hint="eastAsia" w:ascii="Times New Roman" w:hAnsi="Times New Roman"/>
          <w:kern w:val="2"/>
          <w:szCs w:val="21"/>
        </w:rPr>
        <w:t>色泽、形态颗粒、滋味气味应符合山核桃应有要求，不得有外来可视杂质。</w:t>
      </w:r>
    </w:p>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（4）质量指标</w:t>
      </w:r>
    </w:p>
    <w:p>
      <w:pPr>
        <w:pStyle w:val="24"/>
        <w:spacing w:line="360" w:lineRule="auto"/>
        <w:ind w:firstLine="420"/>
        <w:rPr>
          <w:rFonts w:ascii="Times New Roman" w:hAnsi="Times New Roman"/>
          <w:kern w:val="2"/>
          <w:szCs w:val="21"/>
        </w:rPr>
      </w:pPr>
      <w:r>
        <w:rPr>
          <w:rFonts w:hint="eastAsia" w:ascii="Times New Roman" w:hAnsi="Times New Roman"/>
          <w:kern w:val="2"/>
          <w:szCs w:val="21"/>
        </w:rPr>
        <w:t>根据山核桃行业现状，高于现有标准。</w:t>
      </w:r>
    </w:p>
    <w:p>
      <w:pPr>
        <w:spacing w:before="120" w:beforeLines="50" w:after="120" w:afterLines="50"/>
        <w:rPr>
          <w:rFonts w:ascii="Times New Roman" w:hAnsi="Times New Roman"/>
          <w:b/>
          <w:bCs/>
          <w:color w:val="000000"/>
          <w:sz w:val="21"/>
          <w:szCs w:val="22"/>
        </w:rPr>
      </w:pPr>
      <w:bookmarkStart w:id="8" w:name="_Toc14278"/>
      <w:bookmarkStart w:id="9" w:name="_Toc13259"/>
      <w:r>
        <w:rPr>
          <w:rFonts w:hint="eastAsia" w:ascii="Times New Roman" w:hAnsi="Times New Roman"/>
          <w:b/>
          <w:bCs/>
          <w:color w:val="000000"/>
          <w:sz w:val="21"/>
          <w:szCs w:val="22"/>
        </w:rPr>
        <w:t>（5）</w:t>
      </w:r>
      <w:bookmarkEnd w:id="8"/>
      <w:bookmarkEnd w:id="9"/>
      <w:r>
        <w:rPr>
          <w:rFonts w:hint="eastAsia" w:ascii="Times New Roman" w:hAnsi="Times New Roman"/>
          <w:b/>
          <w:bCs/>
          <w:color w:val="000000"/>
          <w:sz w:val="21"/>
          <w:szCs w:val="22"/>
        </w:rPr>
        <w:t>理化指标</w:t>
      </w:r>
    </w:p>
    <w:p>
      <w:pPr>
        <w:snapToGrid w:val="0"/>
        <w:spacing w:line="360" w:lineRule="auto"/>
        <w:ind w:firstLine="420"/>
        <w:rPr>
          <w:rFonts w:ascii="Times New Roman" w:hAnsi="Times New Roman"/>
          <w:color w:val="000000"/>
        </w:rPr>
      </w:pPr>
      <w:r>
        <w:rPr>
          <w:rFonts w:hint="eastAsia" w:ascii="Times New Roman" w:hAnsi="Times New Roman"/>
          <w:color w:val="000000"/>
        </w:rPr>
        <w:t>高于国家标准。</w:t>
      </w:r>
    </w:p>
    <w:p>
      <w:pPr>
        <w:spacing w:before="120" w:beforeLines="50" w:after="120" w:afterLines="50"/>
        <w:rPr>
          <w:rFonts w:ascii="Times New Roman" w:hAnsi="Times New Roman"/>
          <w:b/>
          <w:bCs/>
          <w:color w:val="000000"/>
          <w:sz w:val="21"/>
          <w:szCs w:val="22"/>
        </w:rPr>
      </w:pPr>
      <w:bookmarkStart w:id="10" w:name="_Toc32495"/>
      <w:bookmarkStart w:id="11" w:name="_Toc14619"/>
      <w:r>
        <w:rPr>
          <w:rFonts w:hint="eastAsia" w:ascii="Times New Roman" w:hAnsi="Times New Roman"/>
          <w:b/>
          <w:bCs/>
          <w:color w:val="000000"/>
          <w:sz w:val="21"/>
          <w:szCs w:val="22"/>
        </w:rPr>
        <w:t>（6）</w:t>
      </w:r>
      <w:bookmarkEnd w:id="10"/>
      <w:bookmarkEnd w:id="11"/>
      <w:r>
        <w:rPr>
          <w:rFonts w:hint="eastAsia" w:ascii="Times New Roman" w:hAnsi="Times New Roman"/>
          <w:b/>
          <w:bCs/>
          <w:color w:val="000000"/>
          <w:sz w:val="21"/>
          <w:szCs w:val="22"/>
        </w:rPr>
        <w:t>安全指标、食品添加剂、净含量要求、产品加工过程卫生要求</w:t>
      </w:r>
    </w:p>
    <w:p>
      <w:pPr>
        <w:snapToGrid w:val="0"/>
        <w:spacing w:line="360" w:lineRule="auto"/>
        <w:ind w:firstLine="420"/>
        <w:rPr>
          <w:rFonts w:ascii="Times New Roman" w:hAnsi="Times New Roman"/>
          <w:szCs w:val="21"/>
        </w:rPr>
      </w:pPr>
      <w:bookmarkStart w:id="12" w:name="_Hlk109030027"/>
      <w:r>
        <w:rPr>
          <w:rFonts w:hint="eastAsia" w:ascii="Times New Roman" w:hAnsi="Times New Roman"/>
          <w:szCs w:val="21"/>
        </w:rPr>
        <w:t>应符合现有对应国家标准。</w:t>
      </w:r>
    </w:p>
    <w:bookmarkEnd w:id="12"/>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（7）检验方法</w:t>
      </w:r>
    </w:p>
    <w:p>
      <w:pPr>
        <w:snapToGrid w:val="0"/>
        <w:spacing w:line="360" w:lineRule="auto"/>
        <w:ind w:firstLine="420"/>
        <w:rPr>
          <w:rFonts w:ascii="Times New Roman" w:hAnsi="Times New Roman"/>
          <w:szCs w:val="21"/>
        </w:rPr>
      </w:pPr>
      <w:r>
        <w:rPr>
          <w:rFonts w:hint="eastAsia" w:ascii="Times New Roman" w:hAnsi="Times New Roman"/>
          <w:szCs w:val="21"/>
        </w:rPr>
        <w:t>对感官和质量指标检验作出执行要求。理化、安全、净含量等指标应符合现有对应国家标准。</w:t>
      </w:r>
    </w:p>
    <w:p>
      <w:pPr>
        <w:spacing w:before="120" w:beforeLines="50" w:after="120" w:afterLines="50"/>
        <w:rPr>
          <w:rFonts w:ascii="Times New Roman" w:hAnsi="Times New Roman"/>
          <w:b/>
          <w:bCs/>
          <w:color w:val="000000"/>
          <w:sz w:val="21"/>
          <w:szCs w:val="22"/>
        </w:rPr>
      </w:pPr>
      <w:bookmarkStart w:id="13" w:name="_Hlk109030245"/>
      <w:r>
        <w:rPr>
          <w:rFonts w:hint="eastAsia" w:ascii="Times New Roman" w:hAnsi="Times New Roman"/>
          <w:b/>
          <w:bCs/>
          <w:color w:val="000000"/>
          <w:sz w:val="21"/>
          <w:szCs w:val="22"/>
        </w:rPr>
        <w:t>（</w:t>
      </w:r>
      <w:r>
        <w:rPr>
          <w:rFonts w:ascii="Times New Roman" w:hAnsi="Times New Roman"/>
          <w:b/>
          <w:bCs/>
          <w:color w:val="000000"/>
          <w:sz w:val="21"/>
          <w:szCs w:val="22"/>
        </w:rPr>
        <w:t>8</w:t>
      </w:r>
      <w:r>
        <w:rPr>
          <w:rFonts w:hint="eastAsia" w:ascii="Times New Roman" w:hAnsi="Times New Roman"/>
          <w:b/>
          <w:bCs/>
          <w:color w:val="000000"/>
          <w:sz w:val="21"/>
          <w:szCs w:val="22"/>
        </w:rPr>
        <w:t>）检验规则</w:t>
      </w:r>
    </w:p>
    <w:bookmarkEnd w:id="13"/>
    <w:p>
      <w:pPr>
        <w:snapToGrid w:val="0"/>
        <w:spacing w:line="360" w:lineRule="auto"/>
        <w:ind w:firstLine="420"/>
        <w:rPr>
          <w:rFonts w:ascii="Times New Roman" w:hAnsi="Times New Roman"/>
          <w:szCs w:val="21"/>
        </w:rPr>
      </w:pPr>
      <w:r>
        <w:rPr>
          <w:rFonts w:hint="eastAsia" w:ascii="Times New Roman" w:hAnsi="Times New Roman"/>
          <w:szCs w:val="21"/>
        </w:rPr>
        <w:t>对出厂检验、型式检验、检验组批和抽样、型式检验判定规则作出执行要求。</w:t>
      </w:r>
    </w:p>
    <w:p>
      <w:pPr>
        <w:spacing w:before="120" w:beforeLines="50" w:after="120" w:afterLines="50"/>
        <w:rPr>
          <w:rFonts w:ascii="Times New Roman" w:hAnsi="Times New Roman"/>
          <w:b/>
          <w:bCs/>
          <w:color w:val="000000"/>
          <w:sz w:val="21"/>
          <w:szCs w:val="22"/>
        </w:rPr>
      </w:pPr>
      <w:r>
        <w:rPr>
          <w:rFonts w:hint="eastAsia" w:ascii="Times New Roman" w:hAnsi="Times New Roman"/>
          <w:b/>
          <w:bCs/>
          <w:color w:val="000000"/>
          <w:sz w:val="21"/>
          <w:szCs w:val="22"/>
        </w:rPr>
        <w:t>（</w:t>
      </w:r>
      <w:r>
        <w:rPr>
          <w:rFonts w:ascii="Times New Roman" w:hAnsi="Times New Roman"/>
          <w:b/>
          <w:bCs/>
          <w:color w:val="000000"/>
          <w:sz w:val="21"/>
          <w:szCs w:val="22"/>
        </w:rPr>
        <w:t>9</w:t>
      </w:r>
      <w:r>
        <w:rPr>
          <w:rFonts w:hint="eastAsia" w:ascii="Times New Roman" w:hAnsi="Times New Roman"/>
          <w:b/>
          <w:bCs/>
          <w:color w:val="000000"/>
          <w:sz w:val="21"/>
          <w:szCs w:val="22"/>
        </w:rPr>
        <w:t>）包装</w:t>
      </w:r>
    </w:p>
    <w:p>
      <w:pPr>
        <w:snapToGrid w:val="0"/>
        <w:spacing w:line="360" w:lineRule="auto"/>
        <w:ind w:firstLine="420"/>
        <w:rPr>
          <w:rFonts w:ascii="Times New Roman" w:hAnsi="Times New Roman"/>
          <w:szCs w:val="21"/>
        </w:rPr>
      </w:pPr>
      <w:r>
        <w:rPr>
          <w:rFonts w:hint="eastAsia" w:ascii="Times New Roman" w:hAnsi="Times New Roman"/>
          <w:szCs w:val="21"/>
        </w:rPr>
        <w:t>包装材料应清洁、无毒、无异味，符合相应的标准和有关规定的要求。</w:t>
      </w:r>
    </w:p>
    <w:p>
      <w:pPr>
        <w:spacing w:before="120" w:beforeLines="50" w:after="120" w:afterLines="50"/>
        <w:rPr>
          <w:rFonts w:ascii="Times New Roman" w:hAnsi="Times New Roman"/>
          <w:b/>
          <w:bCs/>
          <w:color w:val="000000"/>
          <w:sz w:val="21"/>
          <w:szCs w:val="22"/>
        </w:rPr>
      </w:pPr>
      <w:bookmarkStart w:id="14" w:name="_Toc29565"/>
      <w:bookmarkStart w:id="15" w:name="_Toc18580"/>
      <w:bookmarkStart w:id="16" w:name="_Hlk109030011"/>
      <w:r>
        <w:rPr>
          <w:rFonts w:hint="eastAsia" w:ascii="Times New Roman" w:hAnsi="Times New Roman"/>
          <w:b/>
          <w:bCs/>
          <w:color w:val="000000"/>
          <w:sz w:val="21"/>
          <w:szCs w:val="22"/>
        </w:rPr>
        <w:t>（</w:t>
      </w:r>
      <w:r>
        <w:rPr>
          <w:rFonts w:ascii="Times New Roman" w:hAnsi="Times New Roman"/>
          <w:b/>
          <w:bCs/>
          <w:color w:val="000000"/>
          <w:sz w:val="21"/>
          <w:szCs w:val="22"/>
        </w:rPr>
        <w:t>10</w:t>
      </w:r>
      <w:r>
        <w:rPr>
          <w:rFonts w:hint="eastAsia" w:ascii="Times New Roman" w:hAnsi="Times New Roman"/>
          <w:b/>
          <w:bCs/>
          <w:color w:val="000000"/>
          <w:sz w:val="21"/>
          <w:szCs w:val="22"/>
        </w:rPr>
        <w:t>）</w:t>
      </w:r>
      <w:bookmarkEnd w:id="14"/>
      <w:bookmarkEnd w:id="15"/>
      <w:r>
        <w:rPr>
          <w:rFonts w:hint="eastAsia" w:ascii="Times New Roman" w:hAnsi="Times New Roman"/>
          <w:b/>
          <w:bCs/>
          <w:color w:val="000000"/>
          <w:sz w:val="21"/>
          <w:szCs w:val="22"/>
        </w:rPr>
        <w:t>运输</w:t>
      </w:r>
    </w:p>
    <w:bookmarkEnd w:id="16"/>
    <w:p>
      <w:pPr>
        <w:spacing w:line="360" w:lineRule="auto"/>
        <w:ind w:firstLine="420"/>
        <w:rPr>
          <w:rFonts w:ascii="Times New Roman" w:hAnsi="Times New Roman"/>
          <w:color w:val="000000"/>
          <w:sz w:val="21"/>
          <w:szCs w:val="22"/>
        </w:rPr>
      </w:pPr>
      <w:bookmarkStart w:id="17" w:name="_Toc27427"/>
      <w:bookmarkStart w:id="18" w:name="_Toc27695"/>
      <w:r>
        <w:rPr>
          <w:rFonts w:hint="eastAsia" w:ascii="Times New Roman" w:hAnsi="Times New Roman"/>
          <w:color w:val="000000"/>
        </w:rPr>
        <w:t>运输过程中，不应与有毒、有害、有异味、发霉及其它易于传播病虫害的物品混运，注意防潮，不</w:t>
      </w:r>
      <w:r>
        <w:rPr>
          <w:rFonts w:hint="eastAsia" w:ascii="Times New Roman" w:hAnsi="Times New Roman"/>
          <w:color w:val="000000"/>
          <w:sz w:val="21"/>
          <w:szCs w:val="22"/>
        </w:rPr>
        <w:t>得淋雨，保证食品安全卫生要求。</w:t>
      </w:r>
      <w:bookmarkStart w:id="19" w:name="_Toc340473852"/>
      <w:bookmarkEnd w:id="19"/>
    </w:p>
    <w:p>
      <w:pPr>
        <w:rPr>
          <w:rFonts w:ascii="Times New Roman" w:hAnsi="Times New Roman"/>
          <w:b/>
          <w:bCs/>
          <w:color w:val="000000"/>
          <w:sz w:val="21"/>
          <w:szCs w:val="22"/>
        </w:rPr>
      </w:pPr>
      <w:r>
        <w:rPr>
          <w:rFonts w:hint="eastAsia" w:ascii="Times New Roman" w:hAnsi="Times New Roman"/>
          <w:b/>
          <w:bCs/>
          <w:color w:val="000000"/>
          <w:sz w:val="21"/>
          <w:szCs w:val="22"/>
        </w:rPr>
        <w:t>（</w:t>
      </w:r>
      <w:r>
        <w:rPr>
          <w:rFonts w:ascii="Times New Roman" w:hAnsi="Times New Roman"/>
          <w:b/>
          <w:bCs/>
          <w:color w:val="000000"/>
          <w:sz w:val="21"/>
          <w:szCs w:val="22"/>
        </w:rPr>
        <w:t>11</w:t>
      </w:r>
      <w:r>
        <w:rPr>
          <w:rFonts w:hint="eastAsia" w:ascii="Times New Roman" w:hAnsi="Times New Roman"/>
          <w:b/>
          <w:bCs/>
          <w:color w:val="000000"/>
          <w:sz w:val="21"/>
          <w:szCs w:val="22"/>
        </w:rPr>
        <w:t>）</w:t>
      </w:r>
      <w:bookmarkEnd w:id="17"/>
      <w:bookmarkEnd w:id="18"/>
      <w:r>
        <w:rPr>
          <w:rFonts w:hint="eastAsia" w:ascii="Times New Roman" w:hAnsi="Times New Roman"/>
          <w:b/>
          <w:bCs/>
          <w:color w:val="000000"/>
          <w:sz w:val="21"/>
          <w:szCs w:val="22"/>
        </w:rPr>
        <w:t>贮存</w:t>
      </w:r>
    </w:p>
    <w:p>
      <w:pPr>
        <w:ind w:firstLine="420" w:firstLineChars="200"/>
        <w:rPr>
          <w:rFonts w:ascii="Times New Roman" w:hAnsi="Times New Roman"/>
          <w:b/>
          <w:szCs w:val="22"/>
        </w:rPr>
      </w:pPr>
      <w:r>
        <w:rPr>
          <w:rFonts w:hint="eastAsia" w:ascii="Times New Roman" w:hAnsi="Times New Roman"/>
          <w:color w:val="000000"/>
          <w:sz w:val="21"/>
          <w:szCs w:val="22"/>
        </w:rPr>
        <w:t>常温贮藏，仓库干净卫生，不得有有毒害物质。</w:t>
      </w:r>
    </w:p>
    <w:p>
      <w:pPr>
        <w:spacing w:line="360" w:lineRule="auto"/>
        <w:ind w:firstLine="211" w:firstLineChars="100"/>
        <w:jc w:val="both"/>
        <w:rPr>
          <w:rFonts w:ascii="Times New Roman" w:hAnsi="Times New Roman"/>
          <w:b/>
          <w:bCs/>
          <w:sz w:val="21"/>
          <w:szCs w:val="21"/>
        </w:rPr>
      </w:pPr>
      <w:r>
        <w:rPr>
          <w:rFonts w:hint="eastAsia" w:ascii="Times New Roman" w:hAnsi="Times New Roman"/>
          <w:b/>
          <w:bCs/>
          <w:sz w:val="21"/>
          <w:szCs w:val="21"/>
        </w:rPr>
        <w:t>三、标准的协调性以及预期的经济效果；</w:t>
      </w:r>
    </w:p>
    <w:p>
      <w:pPr>
        <w:spacing w:line="360" w:lineRule="auto"/>
        <w:ind w:firstLine="420" w:firstLineChars="200"/>
        <w:rPr>
          <w:rFonts w:ascii="Times New Roman" w:hAnsi="Times New Roman"/>
        </w:rPr>
      </w:pPr>
      <w:r>
        <w:rPr>
          <w:rFonts w:hint="eastAsia" w:ascii="Times New Roman" w:hAnsi="Times New Roman"/>
          <w:sz w:val="21"/>
          <w:szCs w:val="22"/>
        </w:rPr>
        <w:t>本标准与我国相关法律法规保持协调一致</w:t>
      </w:r>
      <w:r>
        <w:rPr>
          <w:rFonts w:hint="eastAsia" w:ascii="Times New Roman" w:hAnsi="Times New Roman"/>
        </w:rPr>
        <w:t>。天目山宝品牌中并无对应山核桃标准，通过该项目的实施，可规范“天目山宝”系列产品质量要求，提升“天目山宝”品牌影响力，并使产业向更高端发展。</w:t>
      </w:r>
    </w:p>
    <w:p>
      <w:pPr>
        <w:spacing w:line="360" w:lineRule="auto"/>
        <w:ind w:firstLine="420" w:firstLineChars="200"/>
        <w:rPr>
          <w:rFonts w:ascii="Times New Roman" w:hAnsi="Times New Roman"/>
          <w:bCs/>
          <w:sz w:val="21"/>
          <w:szCs w:val="21"/>
        </w:rPr>
      </w:pPr>
      <w:r>
        <w:rPr>
          <w:rFonts w:hint="eastAsia" w:ascii="Times New Roman" w:hAnsi="Times New Roman"/>
          <w:bCs/>
          <w:sz w:val="21"/>
          <w:szCs w:val="21"/>
        </w:rPr>
        <w:t>在贯彻实施时，建议率先在协会会员企业中应用实施，并逐渐带动行业内其他企业积极采用本标准。并将实施过程中出现的问题和改进建议反馈给起草组以便进一步对本标准修订完善。</w:t>
      </w:r>
    </w:p>
    <w:p>
      <w:pPr>
        <w:spacing w:line="360" w:lineRule="auto"/>
        <w:jc w:val="both"/>
        <w:rPr>
          <w:rFonts w:ascii="Times New Roman" w:hAnsi="Times New Roman"/>
          <w:b/>
          <w:bCs/>
          <w:sz w:val="21"/>
          <w:szCs w:val="21"/>
        </w:rPr>
      </w:pPr>
      <w:r>
        <w:rPr>
          <w:rFonts w:hint="eastAsia" w:ascii="Times New Roman" w:hAnsi="Times New Roman"/>
          <w:b/>
          <w:bCs/>
          <w:sz w:val="21"/>
          <w:szCs w:val="21"/>
        </w:rPr>
        <w:t>四、采用国际标准的程度及水平的简要说明</w:t>
      </w:r>
    </w:p>
    <w:p>
      <w:pPr>
        <w:spacing w:line="360" w:lineRule="auto"/>
        <w:ind w:firstLine="630" w:firstLineChars="300"/>
        <w:rPr>
          <w:rFonts w:ascii="Times New Roman" w:hAnsi="Times New Roman"/>
          <w:sz w:val="21"/>
          <w:szCs w:val="22"/>
        </w:rPr>
      </w:pPr>
      <w:r>
        <w:rPr>
          <w:rFonts w:hint="eastAsia" w:ascii="Times New Roman" w:hAnsi="Times New Roman"/>
          <w:sz w:val="21"/>
          <w:szCs w:val="22"/>
        </w:rPr>
        <w:t>无</w:t>
      </w:r>
    </w:p>
    <w:p>
      <w:pPr>
        <w:spacing w:line="360" w:lineRule="auto"/>
        <w:jc w:val="both"/>
        <w:rPr>
          <w:rFonts w:ascii="Times New Roman" w:hAnsi="Times New Roman"/>
          <w:b/>
          <w:bCs/>
          <w:sz w:val="21"/>
          <w:szCs w:val="21"/>
        </w:rPr>
      </w:pPr>
      <w:r>
        <w:rPr>
          <w:rFonts w:hint="eastAsia" w:ascii="Times New Roman" w:hAnsi="Times New Roman"/>
          <w:b/>
          <w:bCs/>
          <w:sz w:val="21"/>
          <w:szCs w:val="21"/>
        </w:rPr>
        <w:t>五、 重大分歧意见的处理经过和依据</w:t>
      </w:r>
    </w:p>
    <w:p>
      <w:pPr>
        <w:spacing w:line="360" w:lineRule="auto"/>
        <w:ind w:firstLine="630" w:firstLineChars="300"/>
        <w:jc w:val="both"/>
        <w:rPr>
          <w:rFonts w:ascii="Times New Roman" w:hAnsi="Times New Roman"/>
          <w:bCs/>
          <w:sz w:val="21"/>
          <w:szCs w:val="21"/>
        </w:rPr>
      </w:pPr>
      <w:r>
        <w:rPr>
          <w:rFonts w:hint="eastAsia" w:ascii="Times New Roman" w:hAnsi="Times New Roman"/>
          <w:bCs/>
          <w:sz w:val="21"/>
          <w:szCs w:val="21"/>
        </w:rPr>
        <w:t>无重大分歧意见。</w:t>
      </w:r>
    </w:p>
    <w:p>
      <w:pPr>
        <w:spacing w:line="360" w:lineRule="auto"/>
        <w:jc w:val="both"/>
        <w:rPr>
          <w:rFonts w:ascii="Times New Roman" w:hAnsi="Times New Roman"/>
          <w:b/>
          <w:bCs/>
          <w:sz w:val="21"/>
          <w:szCs w:val="21"/>
        </w:rPr>
      </w:pPr>
      <w:r>
        <w:rPr>
          <w:rFonts w:hint="eastAsia" w:ascii="Times New Roman" w:hAnsi="Times New Roman"/>
          <w:b/>
          <w:bCs/>
          <w:sz w:val="21"/>
          <w:szCs w:val="21"/>
        </w:rPr>
        <w:t>六、 其他应予说明的事项</w:t>
      </w:r>
    </w:p>
    <w:p>
      <w:pPr>
        <w:spacing w:line="360" w:lineRule="auto"/>
        <w:ind w:firstLine="1050" w:firstLineChars="500"/>
        <w:jc w:val="both"/>
        <w:rPr>
          <w:rFonts w:ascii="Times New Roman" w:hAnsi="Times New Roman"/>
          <w:sz w:val="21"/>
          <w:szCs w:val="21"/>
        </w:rPr>
      </w:pPr>
      <w:r>
        <w:rPr>
          <w:rFonts w:hint="eastAsia" w:ascii="Times New Roman" w:hAnsi="Times New Roman"/>
          <w:sz w:val="21"/>
          <w:szCs w:val="21"/>
        </w:rPr>
        <w:t>无</w:t>
      </w:r>
    </w:p>
    <w:p>
      <w:pPr>
        <w:spacing w:line="360" w:lineRule="auto"/>
        <w:ind w:firstLine="1050" w:firstLineChars="500"/>
        <w:jc w:val="both"/>
        <w:rPr>
          <w:rFonts w:ascii="Times New Roman" w:hAnsi="Times New Roman"/>
          <w:sz w:val="21"/>
          <w:szCs w:val="21"/>
        </w:rPr>
      </w:pPr>
    </w:p>
    <w:p>
      <w:pPr>
        <w:jc w:val="right"/>
        <w:rPr>
          <w:rFonts w:ascii="Times New Roman" w:hAnsi="Times New Roman" w:eastAsia="黑体"/>
          <w:bCs/>
          <w:sz w:val="24"/>
          <w:szCs w:val="24"/>
        </w:rPr>
      </w:pPr>
      <w:r>
        <w:rPr>
          <w:rFonts w:hint="eastAsia" w:ascii="Times New Roman" w:hAnsi="Times New Roman" w:eastAsia="黑体"/>
          <w:bCs/>
          <w:sz w:val="24"/>
          <w:szCs w:val="24"/>
        </w:rPr>
        <w:t>《山核桃采收和采后处理技术规程》团体标准修订起草工作组</w:t>
      </w:r>
    </w:p>
    <w:p>
      <w:pPr>
        <w:adjustRightInd w:val="0"/>
        <w:snapToGrid w:val="0"/>
        <w:spacing w:line="360" w:lineRule="auto"/>
        <w:ind w:firstLine="402" w:firstLineChars="200"/>
        <w:jc w:val="right"/>
        <w:rPr>
          <w:rFonts w:ascii="Times New Roman" w:hAnsi="Times New Roman"/>
          <w:b/>
          <w:bCs/>
        </w:rPr>
      </w:pPr>
      <w:r>
        <w:rPr>
          <w:rFonts w:ascii="Times New Roman" w:hAnsi="Times New Roman"/>
          <w:b/>
          <w:bCs/>
        </w:rPr>
        <w:t>20</w:t>
      </w:r>
      <w:r>
        <w:rPr>
          <w:rFonts w:hint="eastAsia" w:ascii="Times New Roman" w:hAnsi="Times New Roman"/>
          <w:b/>
          <w:bCs/>
        </w:rPr>
        <w:t>2</w:t>
      </w:r>
      <w:r>
        <w:rPr>
          <w:rFonts w:ascii="Times New Roman" w:hAnsi="Times New Roman"/>
          <w:b/>
          <w:bCs/>
        </w:rPr>
        <w:t>2年7月18</w:t>
      </w:r>
      <w:r>
        <w:rPr>
          <w:rFonts w:hint="eastAsia" w:ascii="Times New Roman" w:hAnsi="Times New Roman"/>
          <w:b/>
          <w:bCs/>
        </w:rPr>
        <w:t>日</w:t>
      </w:r>
    </w:p>
    <w:p>
      <w:pPr>
        <w:spacing w:line="360" w:lineRule="auto"/>
        <w:ind w:right="420"/>
        <w:jc w:val="center"/>
        <w:rPr>
          <w:rFonts w:ascii="Times New Roman" w:hAnsi="Times New Roman"/>
          <w:bCs/>
          <w:sz w:val="21"/>
          <w:szCs w:val="21"/>
        </w:rPr>
      </w:pPr>
    </w:p>
    <w:sectPr>
      <w:footerReference r:id="rId3" w:type="even"/>
      <w:pgSz w:w="11906" w:h="16838"/>
      <w:pgMar w:top="851" w:right="1418" w:bottom="851"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4"/>
      </w:rPr>
    </w:pPr>
    <w:r>
      <w:fldChar w:fldCharType="begin"/>
    </w:r>
    <w:r>
      <w:rPr>
        <w:rStyle w:val="14"/>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FB0006"/>
    <w:multiLevelType w:val="singleLevel"/>
    <w:tmpl w:val="8DFB0006"/>
    <w:lvl w:ilvl="0" w:tentative="0">
      <w:start w:val="1"/>
      <w:numFmt w:val="chineseCounting"/>
      <w:suff w:val="nothing"/>
      <w:lvlText w:val="%1、"/>
      <w:lvlJc w:val="left"/>
      <w:rPr>
        <w:rFonts w:hint="eastAsia"/>
      </w:rPr>
    </w:lvl>
  </w:abstractNum>
  <w:abstractNum w:abstractNumId="1">
    <w:nsid w:val="97659704"/>
    <w:multiLevelType w:val="singleLevel"/>
    <w:tmpl w:val="97659704"/>
    <w:lvl w:ilvl="0" w:tentative="0">
      <w:start w:val="3"/>
      <w:numFmt w:val="chineseCounting"/>
      <w:suff w:val="nothing"/>
      <w:lvlText w:val="（%1）"/>
      <w:lvlJc w:val="left"/>
      <w:rPr>
        <w:rFonts w:hint="eastAsia"/>
      </w:rPr>
    </w:lvl>
  </w:abstractNum>
  <w:abstractNum w:abstractNumId="2">
    <w:nsid w:val="42C65FDC"/>
    <w:multiLevelType w:val="multilevel"/>
    <w:tmpl w:val="42C65FDC"/>
    <w:lvl w:ilvl="0" w:tentative="0">
      <w:start w:val="1"/>
      <w:numFmt w:val="decimal"/>
      <w:suff w:val="nothing"/>
      <w:lvlText w:val="%1  "/>
      <w:lvlJc w:val="left"/>
      <w:rPr>
        <w:rFonts w:hint="eastAsia" w:ascii="黑体" w:eastAsia="黑体"/>
        <w:b w:val="0"/>
        <w:i w:val="0"/>
        <w:caps w:val="0"/>
        <w:smallCaps w:val="0"/>
        <w:strike w:val="0"/>
        <w:dstrike w:val="0"/>
        <w:vanish w:val="0"/>
        <w:color w:val="000000"/>
        <w:spacing w:val="0"/>
        <w:w w:val="100"/>
        <w:kern w:val="21"/>
        <w:position w:val="0"/>
        <w:sz w:val="24"/>
        <w:u w:val="none"/>
        <w:vertAlign w:val="baseline"/>
        <w14:shadow w14:blurRad="0" w14:dist="0" w14:dir="0" w14:sx="0" w14:sy="0" w14:kx="0" w14:ky="0" w14:algn="none">
          <w14:srgbClr w14:val="000000"/>
        </w14:shadow>
      </w:rPr>
    </w:lvl>
    <w:lvl w:ilvl="1" w:tentative="0">
      <w:start w:val="1"/>
      <w:numFmt w:val="decimal"/>
      <w:suff w:val="nothing"/>
      <w:lvlText w:val="%1.%2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2" w:tentative="0">
      <w:start w:val="1"/>
      <w:numFmt w:val="decimal"/>
      <w:pStyle w:val="39"/>
      <w:suff w:val="nothing"/>
      <w:lvlText w:val="%1.%2.%3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3" w:tentative="0">
      <w:start w:val="1"/>
      <w:numFmt w:val="decimal"/>
      <w:suff w:val="nothing"/>
      <w:lvlText w:val="%1.%2.%3.%4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4" w:tentative="0">
      <w:start w:val="1"/>
      <w:numFmt w:val="decimal"/>
      <w:suff w:val="nothing"/>
      <w:lvlText w:val="%1.%2.%3.%4.%5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5" w:tentative="0">
      <w:start w:val="1"/>
      <w:numFmt w:val="decimal"/>
      <w:suff w:val="nothing"/>
      <w:lvlText w:val="%1.%2.%3.%4.%5.%6  "/>
      <w:lvlJc w:val="left"/>
      <w:rPr>
        <w:rFonts w:hint="eastAsia" w:ascii="黑体" w:eastAsia="黑体"/>
        <w:b w:val="0"/>
        <w:i w:val="0"/>
        <w:caps w:val="0"/>
        <w:smallCaps w:val="0"/>
        <w:strike w:val="0"/>
        <w:dstrike w:val="0"/>
        <w:vanish w:val="0"/>
        <w:color w:val="000000"/>
        <w:spacing w:val="0"/>
        <w:w w:val="100"/>
        <w:kern w:val="21"/>
        <w:position w:val="0"/>
        <w:sz w:val="21"/>
        <w:u w:val="none"/>
        <w:vertAlign w:val="baseline"/>
        <w14:shadow w14:blurRad="0" w14:dist="0" w14:dir="0" w14:sx="0" w14:sy="0" w14:kx="0" w14:ky="0" w14:algn="none">
          <w14:srgbClr w14:val="000000"/>
        </w14:shadow>
      </w:rPr>
    </w:lvl>
    <w:lvl w:ilvl="6" w:tentative="0">
      <w:start w:val="1"/>
      <w:numFmt w:val="lowerRoman"/>
      <w:lvlText w:val="(%7)"/>
      <w:lvlJc w:val="left"/>
      <w:pPr>
        <w:tabs>
          <w:tab w:val="left" w:pos="5528"/>
        </w:tabs>
        <w:ind w:left="5102" w:firstLine="0"/>
      </w:pPr>
    </w:lvl>
    <w:lvl w:ilvl="7" w:tentative="0">
      <w:start w:val="1"/>
      <w:numFmt w:val="lowerLetter"/>
      <w:lvlText w:val="(%8)"/>
      <w:lvlJc w:val="left"/>
      <w:pPr>
        <w:tabs>
          <w:tab w:val="left" w:pos="6378"/>
        </w:tabs>
        <w:ind w:left="5953" w:firstLine="0"/>
      </w:pPr>
    </w:lvl>
    <w:lvl w:ilvl="8" w:tentative="0">
      <w:start w:val="1"/>
      <w:numFmt w:val="lowerRoman"/>
      <w:lvlText w:val="(%9)"/>
      <w:lvlJc w:val="left"/>
      <w:pPr>
        <w:tabs>
          <w:tab w:val="left" w:pos="7228"/>
        </w:tabs>
        <w:ind w:left="6803" w:firstLine="0"/>
      </w:pPr>
    </w:lvl>
  </w:abstractNum>
  <w:abstractNum w:abstractNumId="3">
    <w:nsid w:val="646260FA"/>
    <w:multiLevelType w:val="multilevel"/>
    <w:tmpl w:val="646260FA"/>
    <w:lvl w:ilvl="0" w:tentative="0">
      <w:start w:val="1"/>
      <w:numFmt w:val="decimal"/>
      <w:pStyle w:val="37"/>
      <w:suff w:val="nothing"/>
      <w:lvlText w:val="表%1　"/>
      <w:lvlJc w:val="left"/>
      <w:pPr>
        <w:ind w:left="3544"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203"/>
  <w:drawingGridVerticalSpacing w:val="0"/>
  <w:noPunctuationKerning w:val="1"/>
  <w:characterSpacingControl w:val="doNotCompress"/>
  <w:doNotValidateAgainstSchema/>
  <w:doNotDemarcateInvalidXml/>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MzOGNjNjJiMzI4MWJmZjQ3MTY0YWVlOTEyYWNhMTMifQ=="/>
  </w:docVars>
  <w:rsids>
    <w:rsidRoot w:val="00172A27"/>
    <w:rsid w:val="00001BEE"/>
    <w:rsid w:val="000070CF"/>
    <w:rsid w:val="0001597B"/>
    <w:rsid w:val="000177F8"/>
    <w:rsid w:val="00023838"/>
    <w:rsid w:val="00024354"/>
    <w:rsid w:val="00030070"/>
    <w:rsid w:val="000307F1"/>
    <w:rsid w:val="00032622"/>
    <w:rsid w:val="000453D1"/>
    <w:rsid w:val="000457D4"/>
    <w:rsid w:val="00045ED1"/>
    <w:rsid w:val="00047103"/>
    <w:rsid w:val="000509E1"/>
    <w:rsid w:val="0006208D"/>
    <w:rsid w:val="0007162A"/>
    <w:rsid w:val="00074C42"/>
    <w:rsid w:val="00076B29"/>
    <w:rsid w:val="00077FB4"/>
    <w:rsid w:val="00081F64"/>
    <w:rsid w:val="00081F9C"/>
    <w:rsid w:val="00093773"/>
    <w:rsid w:val="0009511A"/>
    <w:rsid w:val="000974AE"/>
    <w:rsid w:val="000B303F"/>
    <w:rsid w:val="000B40EF"/>
    <w:rsid w:val="000B66DA"/>
    <w:rsid w:val="000C1141"/>
    <w:rsid w:val="000C7222"/>
    <w:rsid w:val="000D16FD"/>
    <w:rsid w:val="000E7553"/>
    <w:rsid w:val="000F00E9"/>
    <w:rsid w:val="000F2CE2"/>
    <w:rsid w:val="000F3C25"/>
    <w:rsid w:val="001068C5"/>
    <w:rsid w:val="00113899"/>
    <w:rsid w:val="0012513F"/>
    <w:rsid w:val="0012627D"/>
    <w:rsid w:val="00130CA7"/>
    <w:rsid w:val="00131752"/>
    <w:rsid w:val="00140976"/>
    <w:rsid w:val="00141447"/>
    <w:rsid w:val="0014335F"/>
    <w:rsid w:val="00143A72"/>
    <w:rsid w:val="00144E53"/>
    <w:rsid w:val="001466D0"/>
    <w:rsid w:val="0015138C"/>
    <w:rsid w:val="00152AAF"/>
    <w:rsid w:val="00152E5B"/>
    <w:rsid w:val="00157E6F"/>
    <w:rsid w:val="00161BFF"/>
    <w:rsid w:val="00164061"/>
    <w:rsid w:val="0017210F"/>
    <w:rsid w:val="00172A27"/>
    <w:rsid w:val="00174CC8"/>
    <w:rsid w:val="001750D5"/>
    <w:rsid w:val="0017617C"/>
    <w:rsid w:val="001771D6"/>
    <w:rsid w:val="00180EA1"/>
    <w:rsid w:val="00184641"/>
    <w:rsid w:val="0018587A"/>
    <w:rsid w:val="00185F59"/>
    <w:rsid w:val="00191740"/>
    <w:rsid w:val="001A05DB"/>
    <w:rsid w:val="001A2673"/>
    <w:rsid w:val="001A557C"/>
    <w:rsid w:val="001A7B02"/>
    <w:rsid w:val="001B02DE"/>
    <w:rsid w:val="001B19B3"/>
    <w:rsid w:val="001B417B"/>
    <w:rsid w:val="001B452E"/>
    <w:rsid w:val="001B530F"/>
    <w:rsid w:val="001C2510"/>
    <w:rsid w:val="001C6480"/>
    <w:rsid w:val="001C7B33"/>
    <w:rsid w:val="001D1EDC"/>
    <w:rsid w:val="001D72C3"/>
    <w:rsid w:val="001D7C9D"/>
    <w:rsid w:val="001F0048"/>
    <w:rsid w:val="001F153E"/>
    <w:rsid w:val="001F411F"/>
    <w:rsid w:val="002007B1"/>
    <w:rsid w:val="0021471E"/>
    <w:rsid w:val="00215370"/>
    <w:rsid w:val="00220EC1"/>
    <w:rsid w:val="00221CE4"/>
    <w:rsid w:val="00233A32"/>
    <w:rsid w:val="00234393"/>
    <w:rsid w:val="0023493A"/>
    <w:rsid w:val="00236B77"/>
    <w:rsid w:val="002425A8"/>
    <w:rsid w:val="00242D82"/>
    <w:rsid w:val="0024528E"/>
    <w:rsid w:val="0024777D"/>
    <w:rsid w:val="00251C3C"/>
    <w:rsid w:val="00255E68"/>
    <w:rsid w:val="00261044"/>
    <w:rsid w:val="0026217D"/>
    <w:rsid w:val="00262D34"/>
    <w:rsid w:val="002630F6"/>
    <w:rsid w:val="00267A0C"/>
    <w:rsid w:val="00273083"/>
    <w:rsid w:val="00273FFF"/>
    <w:rsid w:val="00283A8C"/>
    <w:rsid w:val="00285489"/>
    <w:rsid w:val="002862B4"/>
    <w:rsid w:val="0028648F"/>
    <w:rsid w:val="00292164"/>
    <w:rsid w:val="00293CF5"/>
    <w:rsid w:val="00294CEF"/>
    <w:rsid w:val="002A0161"/>
    <w:rsid w:val="002A050A"/>
    <w:rsid w:val="002A51C2"/>
    <w:rsid w:val="002A7AE5"/>
    <w:rsid w:val="002B25A0"/>
    <w:rsid w:val="002B2701"/>
    <w:rsid w:val="002B519D"/>
    <w:rsid w:val="002C3648"/>
    <w:rsid w:val="002C5C9F"/>
    <w:rsid w:val="002D1663"/>
    <w:rsid w:val="002D319C"/>
    <w:rsid w:val="002D34E6"/>
    <w:rsid w:val="002D680F"/>
    <w:rsid w:val="002D68AA"/>
    <w:rsid w:val="002E1B01"/>
    <w:rsid w:val="002F1687"/>
    <w:rsid w:val="002F1718"/>
    <w:rsid w:val="00300CE3"/>
    <w:rsid w:val="0030121B"/>
    <w:rsid w:val="003017AE"/>
    <w:rsid w:val="0030307E"/>
    <w:rsid w:val="0030504F"/>
    <w:rsid w:val="00311EF6"/>
    <w:rsid w:val="00321416"/>
    <w:rsid w:val="00322F8D"/>
    <w:rsid w:val="00326644"/>
    <w:rsid w:val="00327C2D"/>
    <w:rsid w:val="0033347D"/>
    <w:rsid w:val="003338A5"/>
    <w:rsid w:val="00342718"/>
    <w:rsid w:val="003466A7"/>
    <w:rsid w:val="0035014C"/>
    <w:rsid w:val="003536B7"/>
    <w:rsid w:val="003566A1"/>
    <w:rsid w:val="00362595"/>
    <w:rsid w:val="00362EE8"/>
    <w:rsid w:val="00365FDF"/>
    <w:rsid w:val="00367D5D"/>
    <w:rsid w:val="003715BC"/>
    <w:rsid w:val="003800CC"/>
    <w:rsid w:val="0038023A"/>
    <w:rsid w:val="00385EC9"/>
    <w:rsid w:val="00386B53"/>
    <w:rsid w:val="003919BD"/>
    <w:rsid w:val="003945E4"/>
    <w:rsid w:val="003A1095"/>
    <w:rsid w:val="003A2201"/>
    <w:rsid w:val="003A23C5"/>
    <w:rsid w:val="003A2BC6"/>
    <w:rsid w:val="003B1A9A"/>
    <w:rsid w:val="003B7181"/>
    <w:rsid w:val="003C03EE"/>
    <w:rsid w:val="003C30D3"/>
    <w:rsid w:val="003C3F60"/>
    <w:rsid w:val="003E1CE2"/>
    <w:rsid w:val="003E346C"/>
    <w:rsid w:val="003E4093"/>
    <w:rsid w:val="003E7A29"/>
    <w:rsid w:val="003E7FF5"/>
    <w:rsid w:val="003F609D"/>
    <w:rsid w:val="0040087D"/>
    <w:rsid w:val="00402737"/>
    <w:rsid w:val="0041015F"/>
    <w:rsid w:val="00410CDD"/>
    <w:rsid w:val="00411EEE"/>
    <w:rsid w:val="004142AC"/>
    <w:rsid w:val="00414E2C"/>
    <w:rsid w:val="00414F34"/>
    <w:rsid w:val="00423050"/>
    <w:rsid w:val="00423F5C"/>
    <w:rsid w:val="00436139"/>
    <w:rsid w:val="00444E34"/>
    <w:rsid w:val="00446936"/>
    <w:rsid w:val="00447EDE"/>
    <w:rsid w:val="00447FB8"/>
    <w:rsid w:val="00450FB4"/>
    <w:rsid w:val="00452308"/>
    <w:rsid w:val="00452E2D"/>
    <w:rsid w:val="00462E58"/>
    <w:rsid w:val="00463364"/>
    <w:rsid w:val="00466C54"/>
    <w:rsid w:val="00471176"/>
    <w:rsid w:val="00471BC5"/>
    <w:rsid w:val="0047215A"/>
    <w:rsid w:val="0047225E"/>
    <w:rsid w:val="00473C5A"/>
    <w:rsid w:val="00475396"/>
    <w:rsid w:val="004809CC"/>
    <w:rsid w:val="00480FB1"/>
    <w:rsid w:val="00486304"/>
    <w:rsid w:val="00496EFA"/>
    <w:rsid w:val="004A020C"/>
    <w:rsid w:val="004A2356"/>
    <w:rsid w:val="004A3CB2"/>
    <w:rsid w:val="004A3FDB"/>
    <w:rsid w:val="004C22E3"/>
    <w:rsid w:val="004C6298"/>
    <w:rsid w:val="004D4260"/>
    <w:rsid w:val="004D4DA6"/>
    <w:rsid w:val="004E083F"/>
    <w:rsid w:val="004E3560"/>
    <w:rsid w:val="004E4FB0"/>
    <w:rsid w:val="004E526D"/>
    <w:rsid w:val="004F1148"/>
    <w:rsid w:val="004F1F0A"/>
    <w:rsid w:val="004F4D19"/>
    <w:rsid w:val="00511D84"/>
    <w:rsid w:val="005141FC"/>
    <w:rsid w:val="00515565"/>
    <w:rsid w:val="00516DD0"/>
    <w:rsid w:val="00524025"/>
    <w:rsid w:val="00532DD5"/>
    <w:rsid w:val="00534728"/>
    <w:rsid w:val="00535E33"/>
    <w:rsid w:val="00537073"/>
    <w:rsid w:val="00537B30"/>
    <w:rsid w:val="0054139A"/>
    <w:rsid w:val="00544D01"/>
    <w:rsid w:val="00545199"/>
    <w:rsid w:val="00552A4E"/>
    <w:rsid w:val="00555CEC"/>
    <w:rsid w:val="00560179"/>
    <w:rsid w:val="0056096C"/>
    <w:rsid w:val="005620C1"/>
    <w:rsid w:val="005706E2"/>
    <w:rsid w:val="00571209"/>
    <w:rsid w:val="0057176F"/>
    <w:rsid w:val="00571DEB"/>
    <w:rsid w:val="00572978"/>
    <w:rsid w:val="00573CB0"/>
    <w:rsid w:val="00584AF9"/>
    <w:rsid w:val="0059174D"/>
    <w:rsid w:val="00591FA4"/>
    <w:rsid w:val="00593B38"/>
    <w:rsid w:val="005958CD"/>
    <w:rsid w:val="0059637A"/>
    <w:rsid w:val="005970DF"/>
    <w:rsid w:val="0059790A"/>
    <w:rsid w:val="005B3D02"/>
    <w:rsid w:val="005B7C54"/>
    <w:rsid w:val="005C007B"/>
    <w:rsid w:val="005C14B5"/>
    <w:rsid w:val="005C490B"/>
    <w:rsid w:val="005C70FD"/>
    <w:rsid w:val="005D25B1"/>
    <w:rsid w:val="005E2902"/>
    <w:rsid w:val="005F28F8"/>
    <w:rsid w:val="005F47B3"/>
    <w:rsid w:val="00602BA9"/>
    <w:rsid w:val="0060435C"/>
    <w:rsid w:val="00613313"/>
    <w:rsid w:val="00613346"/>
    <w:rsid w:val="00621353"/>
    <w:rsid w:val="006214F5"/>
    <w:rsid w:val="006244F7"/>
    <w:rsid w:val="0062552A"/>
    <w:rsid w:val="00632BE6"/>
    <w:rsid w:val="00646399"/>
    <w:rsid w:val="00661581"/>
    <w:rsid w:val="00665BB3"/>
    <w:rsid w:val="0066639F"/>
    <w:rsid w:val="00666A4B"/>
    <w:rsid w:val="00666AD5"/>
    <w:rsid w:val="00667F55"/>
    <w:rsid w:val="0067078F"/>
    <w:rsid w:val="006803B2"/>
    <w:rsid w:val="00682608"/>
    <w:rsid w:val="006826FF"/>
    <w:rsid w:val="006861CA"/>
    <w:rsid w:val="00687ACB"/>
    <w:rsid w:val="00692D41"/>
    <w:rsid w:val="00694C15"/>
    <w:rsid w:val="0069564E"/>
    <w:rsid w:val="00695D22"/>
    <w:rsid w:val="00696012"/>
    <w:rsid w:val="006A0FAC"/>
    <w:rsid w:val="006A2B26"/>
    <w:rsid w:val="006A38D0"/>
    <w:rsid w:val="006A525A"/>
    <w:rsid w:val="006A5474"/>
    <w:rsid w:val="006B3B5F"/>
    <w:rsid w:val="006C03F9"/>
    <w:rsid w:val="006C5A5E"/>
    <w:rsid w:val="006C7A8C"/>
    <w:rsid w:val="006C7D94"/>
    <w:rsid w:val="006D7880"/>
    <w:rsid w:val="006E1972"/>
    <w:rsid w:val="006E5689"/>
    <w:rsid w:val="006E770E"/>
    <w:rsid w:val="006F06DD"/>
    <w:rsid w:val="006F1096"/>
    <w:rsid w:val="006F4730"/>
    <w:rsid w:val="006F72D7"/>
    <w:rsid w:val="00700B20"/>
    <w:rsid w:val="00703635"/>
    <w:rsid w:val="00703F8B"/>
    <w:rsid w:val="007057C8"/>
    <w:rsid w:val="00706D16"/>
    <w:rsid w:val="007100BC"/>
    <w:rsid w:val="0071253B"/>
    <w:rsid w:val="007175D1"/>
    <w:rsid w:val="00717C82"/>
    <w:rsid w:val="00721450"/>
    <w:rsid w:val="00725528"/>
    <w:rsid w:val="0073129D"/>
    <w:rsid w:val="00732015"/>
    <w:rsid w:val="0073282D"/>
    <w:rsid w:val="0073627B"/>
    <w:rsid w:val="00740661"/>
    <w:rsid w:val="00742984"/>
    <w:rsid w:val="00750A4D"/>
    <w:rsid w:val="007577B9"/>
    <w:rsid w:val="007635DB"/>
    <w:rsid w:val="007739CD"/>
    <w:rsid w:val="00774BB1"/>
    <w:rsid w:val="00780696"/>
    <w:rsid w:val="00781BAC"/>
    <w:rsid w:val="007927E5"/>
    <w:rsid w:val="0079583A"/>
    <w:rsid w:val="007A32DA"/>
    <w:rsid w:val="007A66E7"/>
    <w:rsid w:val="007A6ADD"/>
    <w:rsid w:val="007A71C4"/>
    <w:rsid w:val="007B0878"/>
    <w:rsid w:val="007B0AD4"/>
    <w:rsid w:val="007B16B7"/>
    <w:rsid w:val="007B1B6C"/>
    <w:rsid w:val="007B35FB"/>
    <w:rsid w:val="007B6994"/>
    <w:rsid w:val="007C1462"/>
    <w:rsid w:val="007C2F68"/>
    <w:rsid w:val="007C3432"/>
    <w:rsid w:val="007D05E1"/>
    <w:rsid w:val="007D144D"/>
    <w:rsid w:val="007D2C8C"/>
    <w:rsid w:val="007D74EF"/>
    <w:rsid w:val="007E004C"/>
    <w:rsid w:val="007E3913"/>
    <w:rsid w:val="007E4934"/>
    <w:rsid w:val="007E4DED"/>
    <w:rsid w:val="007E51D8"/>
    <w:rsid w:val="007E544F"/>
    <w:rsid w:val="007F6A09"/>
    <w:rsid w:val="0080117D"/>
    <w:rsid w:val="00805658"/>
    <w:rsid w:val="00806992"/>
    <w:rsid w:val="00811C1E"/>
    <w:rsid w:val="008162ED"/>
    <w:rsid w:val="00820D99"/>
    <w:rsid w:val="00821003"/>
    <w:rsid w:val="00823AF0"/>
    <w:rsid w:val="00824379"/>
    <w:rsid w:val="0082516C"/>
    <w:rsid w:val="00830391"/>
    <w:rsid w:val="00832EAC"/>
    <w:rsid w:val="00833452"/>
    <w:rsid w:val="00843257"/>
    <w:rsid w:val="00847569"/>
    <w:rsid w:val="00855ECB"/>
    <w:rsid w:val="008567E2"/>
    <w:rsid w:val="00857972"/>
    <w:rsid w:val="00861180"/>
    <w:rsid w:val="008624D5"/>
    <w:rsid w:val="0086478B"/>
    <w:rsid w:val="008727AA"/>
    <w:rsid w:val="0087604F"/>
    <w:rsid w:val="00881BB6"/>
    <w:rsid w:val="00882D0A"/>
    <w:rsid w:val="00887078"/>
    <w:rsid w:val="00887314"/>
    <w:rsid w:val="00887C03"/>
    <w:rsid w:val="008920F8"/>
    <w:rsid w:val="0089426B"/>
    <w:rsid w:val="0089598A"/>
    <w:rsid w:val="008975F0"/>
    <w:rsid w:val="008A1202"/>
    <w:rsid w:val="008A7986"/>
    <w:rsid w:val="008A7ED3"/>
    <w:rsid w:val="008B1468"/>
    <w:rsid w:val="008B65CB"/>
    <w:rsid w:val="008C4A94"/>
    <w:rsid w:val="008D2545"/>
    <w:rsid w:val="008D409E"/>
    <w:rsid w:val="008D54E0"/>
    <w:rsid w:val="008E5915"/>
    <w:rsid w:val="008E6F68"/>
    <w:rsid w:val="008F5F14"/>
    <w:rsid w:val="00903465"/>
    <w:rsid w:val="00907739"/>
    <w:rsid w:val="00914266"/>
    <w:rsid w:val="009152D6"/>
    <w:rsid w:val="00925571"/>
    <w:rsid w:val="00930EA3"/>
    <w:rsid w:val="0093283A"/>
    <w:rsid w:val="009329A7"/>
    <w:rsid w:val="009363BF"/>
    <w:rsid w:val="00944712"/>
    <w:rsid w:val="00944AC9"/>
    <w:rsid w:val="00946E11"/>
    <w:rsid w:val="00950044"/>
    <w:rsid w:val="0095088A"/>
    <w:rsid w:val="00951839"/>
    <w:rsid w:val="00964E67"/>
    <w:rsid w:val="00964E93"/>
    <w:rsid w:val="00966F03"/>
    <w:rsid w:val="009704E5"/>
    <w:rsid w:val="009745C4"/>
    <w:rsid w:val="00975838"/>
    <w:rsid w:val="0098304D"/>
    <w:rsid w:val="009860A0"/>
    <w:rsid w:val="00987963"/>
    <w:rsid w:val="00994AAB"/>
    <w:rsid w:val="00996BA9"/>
    <w:rsid w:val="009A3671"/>
    <w:rsid w:val="009A5621"/>
    <w:rsid w:val="009A5DBC"/>
    <w:rsid w:val="009B417A"/>
    <w:rsid w:val="009B4E9E"/>
    <w:rsid w:val="009C0017"/>
    <w:rsid w:val="009C138A"/>
    <w:rsid w:val="009C53BD"/>
    <w:rsid w:val="009D1490"/>
    <w:rsid w:val="009D2751"/>
    <w:rsid w:val="009D34B3"/>
    <w:rsid w:val="009E3DEB"/>
    <w:rsid w:val="009E448C"/>
    <w:rsid w:val="009E4702"/>
    <w:rsid w:val="009E63F1"/>
    <w:rsid w:val="009E77F2"/>
    <w:rsid w:val="009F0DBF"/>
    <w:rsid w:val="009F27E2"/>
    <w:rsid w:val="009F7906"/>
    <w:rsid w:val="00A02A62"/>
    <w:rsid w:val="00A07C41"/>
    <w:rsid w:val="00A126F3"/>
    <w:rsid w:val="00A175EE"/>
    <w:rsid w:val="00A2161B"/>
    <w:rsid w:val="00A23DC7"/>
    <w:rsid w:val="00A373A6"/>
    <w:rsid w:val="00A4207F"/>
    <w:rsid w:val="00A43057"/>
    <w:rsid w:val="00A4684C"/>
    <w:rsid w:val="00A46A11"/>
    <w:rsid w:val="00A50325"/>
    <w:rsid w:val="00A57C86"/>
    <w:rsid w:val="00A621EA"/>
    <w:rsid w:val="00A62A95"/>
    <w:rsid w:val="00A63316"/>
    <w:rsid w:val="00A72CD9"/>
    <w:rsid w:val="00A768BC"/>
    <w:rsid w:val="00A77535"/>
    <w:rsid w:val="00A84CE7"/>
    <w:rsid w:val="00A8551B"/>
    <w:rsid w:val="00A8693A"/>
    <w:rsid w:val="00A91D8F"/>
    <w:rsid w:val="00A9362F"/>
    <w:rsid w:val="00A97190"/>
    <w:rsid w:val="00AA1661"/>
    <w:rsid w:val="00AA272A"/>
    <w:rsid w:val="00AA683E"/>
    <w:rsid w:val="00AA6D51"/>
    <w:rsid w:val="00AB04BE"/>
    <w:rsid w:val="00AB4C19"/>
    <w:rsid w:val="00AB4D48"/>
    <w:rsid w:val="00AB7992"/>
    <w:rsid w:val="00AC18EC"/>
    <w:rsid w:val="00AC2E01"/>
    <w:rsid w:val="00AD0E9E"/>
    <w:rsid w:val="00AD1C5B"/>
    <w:rsid w:val="00AD1DB5"/>
    <w:rsid w:val="00AD6431"/>
    <w:rsid w:val="00AE0929"/>
    <w:rsid w:val="00AE6D23"/>
    <w:rsid w:val="00AF6AFB"/>
    <w:rsid w:val="00B00E03"/>
    <w:rsid w:val="00B02687"/>
    <w:rsid w:val="00B056F5"/>
    <w:rsid w:val="00B05794"/>
    <w:rsid w:val="00B13FC1"/>
    <w:rsid w:val="00B16535"/>
    <w:rsid w:val="00B2425A"/>
    <w:rsid w:val="00B242EB"/>
    <w:rsid w:val="00B256F3"/>
    <w:rsid w:val="00B26815"/>
    <w:rsid w:val="00B33EBF"/>
    <w:rsid w:val="00B368AF"/>
    <w:rsid w:val="00B37FDA"/>
    <w:rsid w:val="00B406C2"/>
    <w:rsid w:val="00B41C5B"/>
    <w:rsid w:val="00B460B6"/>
    <w:rsid w:val="00B46C76"/>
    <w:rsid w:val="00B51D81"/>
    <w:rsid w:val="00B54B69"/>
    <w:rsid w:val="00B559CD"/>
    <w:rsid w:val="00B669A2"/>
    <w:rsid w:val="00B706E1"/>
    <w:rsid w:val="00B71830"/>
    <w:rsid w:val="00B71AE4"/>
    <w:rsid w:val="00B73E18"/>
    <w:rsid w:val="00B74C2B"/>
    <w:rsid w:val="00B77409"/>
    <w:rsid w:val="00B815DF"/>
    <w:rsid w:val="00B817A6"/>
    <w:rsid w:val="00B85E16"/>
    <w:rsid w:val="00B91087"/>
    <w:rsid w:val="00B933EA"/>
    <w:rsid w:val="00B95034"/>
    <w:rsid w:val="00BA1B16"/>
    <w:rsid w:val="00BA4C67"/>
    <w:rsid w:val="00BB0E6A"/>
    <w:rsid w:val="00BC06D9"/>
    <w:rsid w:val="00BC6237"/>
    <w:rsid w:val="00BC77DF"/>
    <w:rsid w:val="00BC7A08"/>
    <w:rsid w:val="00BD251E"/>
    <w:rsid w:val="00BE03CB"/>
    <w:rsid w:val="00BE1491"/>
    <w:rsid w:val="00BE3F67"/>
    <w:rsid w:val="00C00EF8"/>
    <w:rsid w:val="00C0174A"/>
    <w:rsid w:val="00C06704"/>
    <w:rsid w:val="00C06F8E"/>
    <w:rsid w:val="00C07B48"/>
    <w:rsid w:val="00C12DE8"/>
    <w:rsid w:val="00C13570"/>
    <w:rsid w:val="00C14FDD"/>
    <w:rsid w:val="00C16A7D"/>
    <w:rsid w:val="00C2436A"/>
    <w:rsid w:val="00C24945"/>
    <w:rsid w:val="00C3056D"/>
    <w:rsid w:val="00C3231C"/>
    <w:rsid w:val="00C34B20"/>
    <w:rsid w:val="00C37067"/>
    <w:rsid w:val="00C426E9"/>
    <w:rsid w:val="00C43FAD"/>
    <w:rsid w:val="00C45595"/>
    <w:rsid w:val="00C549FC"/>
    <w:rsid w:val="00C55EA7"/>
    <w:rsid w:val="00C57DF0"/>
    <w:rsid w:val="00C60E8D"/>
    <w:rsid w:val="00C60EC1"/>
    <w:rsid w:val="00C61FB6"/>
    <w:rsid w:val="00C620EB"/>
    <w:rsid w:val="00C67239"/>
    <w:rsid w:val="00C675D5"/>
    <w:rsid w:val="00C92D6D"/>
    <w:rsid w:val="00C958A5"/>
    <w:rsid w:val="00C96B84"/>
    <w:rsid w:val="00C96CD1"/>
    <w:rsid w:val="00C96EB1"/>
    <w:rsid w:val="00CA1C85"/>
    <w:rsid w:val="00CA6F1C"/>
    <w:rsid w:val="00CB11AF"/>
    <w:rsid w:val="00CB6997"/>
    <w:rsid w:val="00CC0653"/>
    <w:rsid w:val="00CC2DFE"/>
    <w:rsid w:val="00CC2E1B"/>
    <w:rsid w:val="00CC4782"/>
    <w:rsid w:val="00CC543B"/>
    <w:rsid w:val="00CC6732"/>
    <w:rsid w:val="00CD7463"/>
    <w:rsid w:val="00CE0B65"/>
    <w:rsid w:val="00CE16D0"/>
    <w:rsid w:val="00CE1D17"/>
    <w:rsid w:val="00CE2781"/>
    <w:rsid w:val="00CE31AD"/>
    <w:rsid w:val="00CF0D6C"/>
    <w:rsid w:val="00D01751"/>
    <w:rsid w:val="00D02027"/>
    <w:rsid w:val="00D0327B"/>
    <w:rsid w:val="00D048FB"/>
    <w:rsid w:val="00D04E29"/>
    <w:rsid w:val="00D06A98"/>
    <w:rsid w:val="00D06B07"/>
    <w:rsid w:val="00D10BC3"/>
    <w:rsid w:val="00D11226"/>
    <w:rsid w:val="00D1482A"/>
    <w:rsid w:val="00D14CC3"/>
    <w:rsid w:val="00D21AD4"/>
    <w:rsid w:val="00D2445D"/>
    <w:rsid w:val="00D273BF"/>
    <w:rsid w:val="00D279B0"/>
    <w:rsid w:val="00D31AAD"/>
    <w:rsid w:val="00D40D06"/>
    <w:rsid w:val="00D42445"/>
    <w:rsid w:val="00D436B0"/>
    <w:rsid w:val="00D43B80"/>
    <w:rsid w:val="00D53D2A"/>
    <w:rsid w:val="00D54011"/>
    <w:rsid w:val="00D5562C"/>
    <w:rsid w:val="00D557E1"/>
    <w:rsid w:val="00D63A59"/>
    <w:rsid w:val="00D65E60"/>
    <w:rsid w:val="00D66AB1"/>
    <w:rsid w:val="00D733C7"/>
    <w:rsid w:val="00D76B4A"/>
    <w:rsid w:val="00D810C0"/>
    <w:rsid w:val="00D92575"/>
    <w:rsid w:val="00D94FEA"/>
    <w:rsid w:val="00D9779B"/>
    <w:rsid w:val="00DA36E6"/>
    <w:rsid w:val="00DA38F4"/>
    <w:rsid w:val="00DA6937"/>
    <w:rsid w:val="00DB7749"/>
    <w:rsid w:val="00DC296F"/>
    <w:rsid w:val="00DC46E9"/>
    <w:rsid w:val="00DC471C"/>
    <w:rsid w:val="00DD2A2D"/>
    <w:rsid w:val="00DD3ECE"/>
    <w:rsid w:val="00DD6BE0"/>
    <w:rsid w:val="00DE4086"/>
    <w:rsid w:val="00DE48A9"/>
    <w:rsid w:val="00DE526E"/>
    <w:rsid w:val="00DE6BD5"/>
    <w:rsid w:val="00DF58D4"/>
    <w:rsid w:val="00E003F6"/>
    <w:rsid w:val="00E02B89"/>
    <w:rsid w:val="00E0382D"/>
    <w:rsid w:val="00E03A97"/>
    <w:rsid w:val="00E05FD8"/>
    <w:rsid w:val="00E11747"/>
    <w:rsid w:val="00E13F8B"/>
    <w:rsid w:val="00E148E8"/>
    <w:rsid w:val="00E1787C"/>
    <w:rsid w:val="00E17D84"/>
    <w:rsid w:val="00E249E2"/>
    <w:rsid w:val="00E311C7"/>
    <w:rsid w:val="00E33398"/>
    <w:rsid w:val="00E344F3"/>
    <w:rsid w:val="00E3627F"/>
    <w:rsid w:val="00E429EE"/>
    <w:rsid w:val="00E44E2F"/>
    <w:rsid w:val="00E46EC5"/>
    <w:rsid w:val="00E47AE1"/>
    <w:rsid w:val="00E56A4E"/>
    <w:rsid w:val="00E605EC"/>
    <w:rsid w:val="00E60D63"/>
    <w:rsid w:val="00E60EDA"/>
    <w:rsid w:val="00E63C9D"/>
    <w:rsid w:val="00E677EF"/>
    <w:rsid w:val="00E75877"/>
    <w:rsid w:val="00E80B99"/>
    <w:rsid w:val="00E826F2"/>
    <w:rsid w:val="00E870AB"/>
    <w:rsid w:val="00E9264F"/>
    <w:rsid w:val="00EA0126"/>
    <w:rsid w:val="00EA4D09"/>
    <w:rsid w:val="00EB2BBE"/>
    <w:rsid w:val="00EB3ECF"/>
    <w:rsid w:val="00EB4D87"/>
    <w:rsid w:val="00EC0DD6"/>
    <w:rsid w:val="00ED132D"/>
    <w:rsid w:val="00ED34F8"/>
    <w:rsid w:val="00ED4B11"/>
    <w:rsid w:val="00ED7B38"/>
    <w:rsid w:val="00EE0D64"/>
    <w:rsid w:val="00EE18DE"/>
    <w:rsid w:val="00EF7D6D"/>
    <w:rsid w:val="00F01E01"/>
    <w:rsid w:val="00F05E97"/>
    <w:rsid w:val="00F12214"/>
    <w:rsid w:val="00F14C1B"/>
    <w:rsid w:val="00F228D6"/>
    <w:rsid w:val="00F25D54"/>
    <w:rsid w:val="00F31C72"/>
    <w:rsid w:val="00F35A9A"/>
    <w:rsid w:val="00F3735B"/>
    <w:rsid w:val="00F40166"/>
    <w:rsid w:val="00F41BD0"/>
    <w:rsid w:val="00F44FC6"/>
    <w:rsid w:val="00F46B2E"/>
    <w:rsid w:val="00F5185A"/>
    <w:rsid w:val="00F562FC"/>
    <w:rsid w:val="00F57AC0"/>
    <w:rsid w:val="00F623D7"/>
    <w:rsid w:val="00F70567"/>
    <w:rsid w:val="00F727B5"/>
    <w:rsid w:val="00F760CF"/>
    <w:rsid w:val="00F76A83"/>
    <w:rsid w:val="00F805F2"/>
    <w:rsid w:val="00F81D3B"/>
    <w:rsid w:val="00F83C29"/>
    <w:rsid w:val="00F9021C"/>
    <w:rsid w:val="00F92926"/>
    <w:rsid w:val="00F97E43"/>
    <w:rsid w:val="00FA46AE"/>
    <w:rsid w:val="00FA5E2E"/>
    <w:rsid w:val="00FB2ABD"/>
    <w:rsid w:val="00FB4FBA"/>
    <w:rsid w:val="00FC7484"/>
    <w:rsid w:val="00FD025D"/>
    <w:rsid w:val="00FD19BC"/>
    <w:rsid w:val="00FD49BB"/>
    <w:rsid w:val="00FE03CF"/>
    <w:rsid w:val="00FE4EB3"/>
    <w:rsid w:val="00FE76F1"/>
    <w:rsid w:val="01A67388"/>
    <w:rsid w:val="0252665D"/>
    <w:rsid w:val="062D43AF"/>
    <w:rsid w:val="07BF4B46"/>
    <w:rsid w:val="08A34DB8"/>
    <w:rsid w:val="0AC329BC"/>
    <w:rsid w:val="0AED147A"/>
    <w:rsid w:val="0AED4CFD"/>
    <w:rsid w:val="0B2E5767"/>
    <w:rsid w:val="0B942765"/>
    <w:rsid w:val="0BB1420D"/>
    <w:rsid w:val="0C53422D"/>
    <w:rsid w:val="0C747FFC"/>
    <w:rsid w:val="0DBA6115"/>
    <w:rsid w:val="0DF04F6A"/>
    <w:rsid w:val="0E064F10"/>
    <w:rsid w:val="0E1032A1"/>
    <w:rsid w:val="0E9E6388"/>
    <w:rsid w:val="0F61774B"/>
    <w:rsid w:val="124E5EB1"/>
    <w:rsid w:val="12A44024"/>
    <w:rsid w:val="148235B5"/>
    <w:rsid w:val="15F42192"/>
    <w:rsid w:val="18C72536"/>
    <w:rsid w:val="1AD31D10"/>
    <w:rsid w:val="228A48BA"/>
    <w:rsid w:val="244D4C1C"/>
    <w:rsid w:val="25EF714A"/>
    <w:rsid w:val="27547D16"/>
    <w:rsid w:val="28190D59"/>
    <w:rsid w:val="287A7AF8"/>
    <w:rsid w:val="28D14C84"/>
    <w:rsid w:val="29D76730"/>
    <w:rsid w:val="2AF85A52"/>
    <w:rsid w:val="2CC1297B"/>
    <w:rsid w:val="2D0C3CF4"/>
    <w:rsid w:val="2E4F23BA"/>
    <w:rsid w:val="2E7510C8"/>
    <w:rsid w:val="2FC95CE8"/>
    <w:rsid w:val="301C26FD"/>
    <w:rsid w:val="306814F8"/>
    <w:rsid w:val="309E3BD0"/>
    <w:rsid w:val="312466BE"/>
    <w:rsid w:val="36426924"/>
    <w:rsid w:val="3860038E"/>
    <w:rsid w:val="3AE138A5"/>
    <w:rsid w:val="3ECA59BF"/>
    <w:rsid w:val="3F6B6A30"/>
    <w:rsid w:val="407A60D5"/>
    <w:rsid w:val="41947EA6"/>
    <w:rsid w:val="41A945C9"/>
    <w:rsid w:val="427C7D9B"/>
    <w:rsid w:val="4298644F"/>
    <w:rsid w:val="43B37EA1"/>
    <w:rsid w:val="456B61E8"/>
    <w:rsid w:val="473751E4"/>
    <w:rsid w:val="478E1476"/>
    <w:rsid w:val="48FE4B50"/>
    <w:rsid w:val="498C34BA"/>
    <w:rsid w:val="4997184B"/>
    <w:rsid w:val="4A694A0D"/>
    <w:rsid w:val="4ADD2EF9"/>
    <w:rsid w:val="4F252466"/>
    <w:rsid w:val="51B12E15"/>
    <w:rsid w:val="53B931EA"/>
    <w:rsid w:val="54311BAF"/>
    <w:rsid w:val="573C183C"/>
    <w:rsid w:val="577745BC"/>
    <w:rsid w:val="58BA45A1"/>
    <w:rsid w:val="59487688"/>
    <w:rsid w:val="5A006E37"/>
    <w:rsid w:val="5A1F0EF6"/>
    <w:rsid w:val="5BBF6F4E"/>
    <w:rsid w:val="5C343553"/>
    <w:rsid w:val="5F01496B"/>
    <w:rsid w:val="5F212CA2"/>
    <w:rsid w:val="5F484E19"/>
    <w:rsid w:val="607138C8"/>
    <w:rsid w:val="61351088"/>
    <w:rsid w:val="65044DD4"/>
    <w:rsid w:val="65386BAB"/>
    <w:rsid w:val="662A58AD"/>
    <w:rsid w:val="67A7139C"/>
    <w:rsid w:val="67B1772D"/>
    <w:rsid w:val="69D07728"/>
    <w:rsid w:val="6C422375"/>
    <w:rsid w:val="6C460131"/>
    <w:rsid w:val="6C496EB7"/>
    <w:rsid w:val="6CD23598"/>
    <w:rsid w:val="6DED7802"/>
    <w:rsid w:val="6E866461"/>
    <w:rsid w:val="6EBB0EBA"/>
    <w:rsid w:val="6F073538"/>
    <w:rsid w:val="6F686A54"/>
    <w:rsid w:val="6FD73047"/>
    <w:rsid w:val="722767B4"/>
    <w:rsid w:val="73200791"/>
    <w:rsid w:val="73B1065D"/>
    <w:rsid w:val="75317581"/>
    <w:rsid w:val="758002BD"/>
    <w:rsid w:val="76CA086F"/>
    <w:rsid w:val="78667397"/>
    <w:rsid w:val="78B26191"/>
    <w:rsid w:val="796075AF"/>
    <w:rsid w:val="798058E5"/>
    <w:rsid w:val="7B474BB6"/>
    <w:rsid w:val="7B6A5CB2"/>
    <w:rsid w:val="7C6E1430"/>
    <w:rsid w:val="7E494E6D"/>
    <w:rsid w:val="7EE804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nhideWhenUsed="0" w:uiPriority="0" w:semiHidden="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lang w:val="en-US" w:eastAsia="zh-CN" w:bidi="ar-SA"/>
    </w:rPr>
  </w:style>
  <w:style w:type="paragraph" w:styleId="2">
    <w:name w:val="heading 1"/>
    <w:basedOn w:val="1"/>
    <w:next w:val="1"/>
    <w:qFormat/>
    <w:uiPriority w:val="0"/>
    <w:pPr>
      <w:keepNext/>
      <w:spacing w:before="240" w:after="60"/>
      <w:outlineLvl w:val="0"/>
    </w:pPr>
    <w:rPr>
      <w:rFonts w:ascii="Arial" w:hAnsi="Arial"/>
      <w:b/>
      <w:kern w:val="28"/>
      <w:sz w:val="28"/>
    </w:rPr>
  </w:style>
  <w:style w:type="paragraph" w:styleId="3">
    <w:name w:val="heading 2"/>
    <w:basedOn w:val="1"/>
    <w:next w:val="1"/>
    <w:qFormat/>
    <w:uiPriority w:val="0"/>
    <w:pPr>
      <w:keepNext/>
      <w:spacing w:before="240" w:after="60"/>
      <w:outlineLvl w:val="1"/>
    </w:pPr>
    <w:rPr>
      <w:rFonts w:ascii="Arial" w:hAnsi="Arial"/>
      <w:b/>
      <w:i/>
    </w:rPr>
  </w:style>
  <w:style w:type="paragraph" w:styleId="4">
    <w:name w:val="heading 3"/>
    <w:basedOn w:val="1"/>
    <w:next w:val="1"/>
    <w:qFormat/>
    <w:uiPriority w:val="0"/>
    <w:pPr>
      <w:keepNext/>
      <w:spacing w:before="240" w:after="60"/>
      <w:outlineLvl w:val="2"/>
    </w:pPr>
    <w:rPr>
      <w:b/>
    </w:rPr>
  </w:style>
  <w:style w:type="character" w:default="1" w:styleId="12">
    <w:name w:val="Default Paragraph Font"/>
    <w:semiHidden/>
    <w:unhideWhenUsed/>
    <w:qFormat/>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Plain Text"/>
    <w:basedOn w:val="1"/>
    <w:uiPriority w:val="0"/>
    <w:rPr>
      <w:rFonts w:hint="eastAsia" w:ascii="宋体" w:hAnsi="Courier New"/>
    </w:rPr>
  </w:style>
  <w:style w:type="paragraph" w:styleId="6">
    <w:name w:val="footer"/>
    <w:basedOn w:val="1"/>
    <w:link w:val="26"/>
    <w:uiPriority w:val="99"/>
    <w:pPr>
      <w:tabs>
        <w:tab w:val="center" w:pos="4153"/>
        <w:tab w:val="right" w:pos="8306"/>
      </w:tabs>
      <w:snapToGrid w:val="0"/>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spacing w:before="100" w:beforeAutospacing="1" w:after="100" w:afterAutospacing="1"/>
    </w:pPr>
    <w:rPr>
      <w:rFonts w:ascii="宋体" w:hAnsi="宋体" w:cs="宋体"/>
      <w:sz w:val="24"/>
      <w:szCs w:val="24"/>
    </w:r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
    <w:name w:val="Table Grid 1"/>
    <w:basedOn w:val="9"/>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character" w:styleId="13">
    <w:name w:val="Strong"/>
    <w:basedOn w:val="12"/>
    <w:qFormat/>
    <w:uiPriority w:val="0"/>
    <w:rPr>
      <w:b/>
    </w:rPr>
  </w:style>
  <w:style w:type="character" w:styleId="14">
    <w:name w:val="page number"/>
    <w:basedOn w:val="12"/>
    <w:uiPriority w:val="0"/>
  </w:style>
  <w:style w:type="character" w:styleId="15">
    <w:name w:val="FollowedHyperlink"/>
    <w:basedOn w:val="12"/>
    <w:unhideWhenUsed/>
    <w:uiPriority w:val="99"/>
    <w:rPr>
      <w:color w:val="600090"/>
      <w:u w:val="single"/>
    </w:rPr>
  </w:style>
  <w:style w:type="character" w:styleId="16">
    <w:name w:val="Emphasis"/>
    <w:qFormat/>
    <w:uiPriority w:val="20"/>
    <w:rPr>
      <w:i/>
      <w:iCs/>
    </w:rPr>
  </w:style>
  <w:style w:type="character" w:styleId="17">
    <w:name w:val="Hyperlink"/>
    <w:basedOn w:val="12"/>
    <w:unhideWhenUsed/>
    <w:uiPriority w:val="99"/>
    <w:rPr>
      <w:color w:val="001BA0"/>
      <w:u w:val="single"/>
    </w:rPr>
  </w:style>
  <w:style w:type="character" w:styleId="18">
    <w:name w:val="HTML Cite"/>
    <w:basedOn w:val="12"/>
    <w:uiPriority w:val="0"/>
    <w:rPr>
      <w:color w:val="006D21"/>
    </w:rPr>
  </w:style>
  <w:style w:type="character" w:styleId="19">
    <w:name w:val="HTML Sample"/>
    <w:uiPriority w:val="0"/>
    <w:rPr>
      <w:rFonts w:ascii="Courier New" w:hAnsi="Courier New"/>
    </w:rPr>
  </w:style>
  <w:style w:type="character" w:customStyle="1" w:styleId="20">
    <w:name w:val="二级条标题 Char"/>
    <w:link w:val="21"/>
    <w:uiPriority w:val="0"/>
    <w:rPr>
      <w:rFonts w:ascii="黑体" w:eastAsia="黑体"/>
      <w:sz w:val="21"/>
      <w:szCs w:val="21"/>
    </w:rPr>
  </w:style>
  <w:style w:type="paragraph" w:customStyle="1" w:styleId="21">
    <w:name w:val="二级条标题"/>
    <w:basedOn w:val="22"/>
    <w:next w:val="24"/>
    <w:link w:val="20"/>
    <w:qFormat/>
    <w:uiPriority w:val="0"/>
    <w:pPr>
      <w:spacing w:before="50" w:after="50"/>
      <w:outlineLvl w:val="3"/>
    </w:pPr>
  </w:style>
  <w:style w:type="paragraph" w:customStyle="1" w:styleId="22">
    <w:name w:val="一级条标题"/>
    <w:basedOn w:val="23"/>
    <w:next w:val="24"/>
    <w:link w:val="27"/>
    <w:qFormat/>
    <w:uiPriority w:val="0"/>
    <w:pPr>
      <w:outlineLvl w:val="2"/>
    </w:pPr>
    <w:rPr>
      <w:szCs w:val="21"/>
    </w:rPr>
  </w:style>
  <w:style w:type="paragraph" w:customStyle="1" w:styleId="23">
    <w:name w:val="章标题"/>
    <w:next w:val="24"/>
    <w:qFormat/>
    <w:uiPriority w:val="0"/>
    <w:pPr>
      <w:spacing w:before="156" w:beforeLines="50" w:after="156" w:afterLines="50"/>
      <w:jc w:val="both"/>
      <w:outlineLvl w:val="1"/>
    </w:pPr>
    <w:rPr>
      <w:rFonts w:ascii="黑体" w:hAnsi="Calibri" w:eastAsia="黑体" w:cs="Times New Roman"/>
      <w:sz w:val="21"/>
      <w:lang w:val="en-US" w:eastAsia="zh-CN" w:bidi="ar-SA"/>
    </w:rPr>
  </w:style>
  <w:style w:type="paragraph" w:customStyle="1" w:styleId="24">
    <w:name w:val="段"/>
    <w:link w:val="25"/>
    <w:qFormat/>
    <w:uiPriority w:val="99"/>
    <w:pPr>
      <w:autoSpaceDE w:val="0"/>
      <w:autoSpaceDN w:val="0"/>
      <w:ind w:firstLine="200" w:firstLineChars="200"/>
      <w:jc w:val="both"/>
    </w:pPr>
    <w:rPr>
      <w:rFonts w:ascii="宋体" w:hAnsi="Calibri" w:eastAsia="宋体" w:cs="Times New Roman"/>
      <w:sz w:val="21"/>
      <w:lang w:val="en-US" w:eastAsia="zh-CN" w:bidi="ar-SA"/>
    </w:rPr>
  </w:style>
  <w:style w:type="character" w:customStyle="1" w:styleId="25">
    <w:name w:val="段 Char"/>
    <w:link w:val="24"/>
    <w:qFormat/>
    <w:uiPriority w:val="99"/>
    <w:rPr>
      <w:rFonts w:ascii="宋体"/>
      <w:sz w:val="21"/>
      <w:lang w:val="en-US" w:eastAsia="zh-CN" w:bidi="ar-SA"/>
    </w:rPr>
  </w:style>
  <w:style w:type="character" w:customStyle="1" w:styleId="26">
    <w:name w:val="页脚 字符"/>
    <w:link w:val="6"/>
    <w:uiPriority w:val="99"/>
    <w:rPr>
      <w:sz w:val="18"/>
      <w:szCs w:val="18"/>
    </w:rPr>
  </w:style>
  <w:style w:type="character" w:customStyle="1" w:styleId="27">
    <w:name w:val="一级条标题 Char"/>
    <w:link w:val="22"/>
    <w:qFormat/>
    <w:uiPriority w:val="0"/>
    <w:rPr>
      <w:rFonts w:ascii="黑体" w:eastAsia="黑体"/>
      <w:sz w:val="21"/>
      <w:szCs w:val="21"/>
    </w:rPr>
  </w:style>
  <w:style w:type="paragraph" w:customStyle="1" w:styleId="28">
    <w:name w:val="一级无"/>
    <w:basedOn w:val="22"/>
    <w:uiPriority w:val="0"/>
    <w:pPr>
      <w:spacing w:before="0" w:beforeLines="0" w:after="0" w:afterLines="0"/>
    </w:pPr>
    <w:rPr>
      <w:rFonts w:ascii="宋体" w:eastAsia="宋体"/>
    </w:rPr>
  </w:style>
  <w:style w:type="paragraph" w:customStyle="1" w:styleId="29">
    <w:name w:val="五级条标题"/>
    <w:basedOn w:val="30"/>
    <w:next w:val="24"/>
    <w:qFormat/>
    <w:uiPriority w:val="0"/>
    <w:pPr>
      <w:outlineLvl w:val="6"/>
    </w:pPr>
  </w:style>
  <w:style w:type="paragraph" w:customStyle="1" w:styleId="30">
    <w:name w:val="四级条标题"/>
    <w:basedOn w:val="31"/>
    <w:next w:val="24"/>
    <w:qFormat/>
    <w:uiPriority w:val="0"/>
    <w:pPr>
      <w:outlineLvl w:val="5"/>
    </w:pPr>
  </w:style>
  <w:style w:type="paragraph" w:customStyle="1" w:styleId="31">
    <w:name w:val="三级条标题"/>
    <w:basedOn w:val="21"/>
    <w:next w:val="24"/>
    <w:qFormat/>
    <w:uiPriority w:val="0"/>
    <w:pPr>
      <w:outlineLvl w:val="4"/>
    </w:pPr>
  </w:style>
  <w:style w:type="paragraph" w:customStyle="1" w:styleId="32">
    <w:name w:val="Char"/>
    <w:basedOn w:val="1"/>
    <w:uiPriority w:val="0"/>
    <w:pPr>
      <w:spacing w:after="160" w:line="240" w:lineRule="exact"/>
    </w:pPr>
    <w:rPr>
      <w:rFonts w:ascii="Verdana" w:hAnsi="Verdana" w:eastAsia="仿宋_GB2312"/>
      <w:sz w:val="24"/>
      <w:lang w:eastAsia="en-US"/>
    </w:rPr>
  </w:style>
  <w:style w:type="paragraph" w:customStyle="1" w:styleId="33">
    <w:name w:val="标准书脚_奇数页"/>
    <w:uiPriority w:val="0"/>
    <w:pPr>
      <w:spacing w:before="120"/>
      <w:ind w:right="198"/>
      <w:jc w:val="right"/>
    </w:pPr>
    <w:rPr>
      <w:rFonts w:ascii="宋体" w:hAnsi="Calibri" w:eastAsia="宋体" w:cs="Times New Roman"/>
      <w:sz w:val="18"/>
      <w:szCs w:val="18"/>
      <w:lang w:val="en-US" w:eastAsia="zh-CN" w:bidi="ar-SA"/>
    </w:rPr>
  </w:style>
  <w:style w:type="paragraph" w:customStyle="1" w:styleId="34">
    <w:name w:val="标准书眉_奇数页"/>
    <w:next w:val="1"/>
    <w:uiPriority w:val="0"/>
    <w:pPr>
      <w:tabs>
        <w:tab w:val="center" w:pos="4154"/>
        <w:tab w:val="right" w:pos="8306"/>
      </w:tabs>
      <w:spacing w:after="220"/>
      <w:jc w:val="right"/>
    </w:pPr>
    <w:rPr>
      <w:rFonts w:ascii="黑体" w:hAnsi="Calibri" w:eastAsia="黑体" w:cs="Times New Roman"/>
      <w:sz w:val="21"/>
      <w:szCs w:val="21"/>
      <w:lang w:val="en-US" w:eastAsia="zh-CN" w:bidi="ar-SA"/>
    </w:rPr>
  </w:style>
  <w:style w:type="paragraph" w:customStyle="1" w:styleId="35">
    <w:name w:val="Char Char"/>
    <w:basedOn w:val="1"/>
    <w:uiPriority w:val="0"/>
    <w:pPr>
      <w:spacing w:after="160" w:line="240" w:lineRule="exact"/>
      <w:textAlignment w:val="baseline"/>
    </w:pPr>
    <w:rPr>
      <w:rFonts w:ascii="Verdana" w:hAnsi="Verdana"/>
      <w:color w:val="000000"/>
      <w:u w:color="000000"/>
      <w:lang w:eastAsia="en-US"/>
    </w:rPr>
  </w:style>
  <w:style w:type="paragraph" w:styleId="36">
    <w:name w:val="List Paragraph"/>
    <w:basedOn w:val="1"/>
    <w:qFormat/>
    <w:uiPriority w:val="34"/>
    <w:pPr>
      <w:ind w:firstLine="420" w:firstLineChars="200"/>
    </w:pPr>
    <w:rPr>
      <w:rFonts w:ascii="宋体" w:hAnsi="宋体" w:cs="宋体"/>
      <w:sz w:val="24"/>
      <w:szCs w:val="24"/>
    </w:rPr>
  </w:style>
  <w:style w:type="paragraph" w:customStyle="1" w:styleId="37">
    <w:name w:val="正文表标题"/>
    <w:next w:val="24"/>
    <w:uiPriority w:val="0"/>
    <w:pPr>
      <w:numPr>
        <w:ilvl w:val="0"/>
        <w:numId w:val="1"/>
      </w:numPr>
      <w:spacing w:before="156" w:beforeLines="50" w:after="156" w:afterLines="50"/>
      <w:jc w:val="center"/>
    </w:pPr>
    <w:rPr>
      <w:rFonts w:ascii="黑体" w:hAnsi="Calibri" w:eastAsia="黑体" w:cs="Times New Roman"/>
      <w:sz w:val="21"/>
      <w:lang w:val="en-US" w:eastAsia="zh-CN" w:bidi="ar-SA"/>
    </w:rPr>
  </w:style>
  <w:style w:type="paragraph" w:customStyle="1" w:styleId="38">
    <w:name w:val="标准书脚_偶数页"/>
    <w:uiPriority w:val="0"/>
    <w:pPr>
      <w:spacing w:before="120"/>
    </w:pPr>
    <w:rPr>
      <w:rFonts w:ascii="Times New Roman" w:hAnsi="Times New Roman" w:eastAsia="宋体" w:cs="Times New Roman"/>
      <w:sz w:val="18"/>
      <w:lang w:val="en-US" w:eastAsia="zh-CN" w:bidi="ar-SA"/>
    </w:rPr>
  </w:style>
  <w:style w:type="paragraph" w:customStyle="1" w:styleId="39">
    <w:name w:val="条2"/>
    <w:basedOn w:val="1"/>
    <w:next w:val="24"/>
    <w:uiPriority w:val="0"/>
    <w:pPr>
      <w:numPr>
        <w:ilvl w:val="2"/>
        <w:numId w:val="2"/>
      </w:numPr>
      <w:outlineLvl w:val="1"/>
    </w:pPr>
    <w:rPr>
      <w:rFonts w:ascii="黑体" w:eastAsia="黑体"/>
      <w:kern w:val="21"/>
    </w:rPr>
  </w:style>
  <w:style w:type="paragraph" w:customStyle="1" w:styleId="40">
    <w:name w:val="前言、引言标题"/>
    <w:next w:val="1"/>
    <w:uiPriority w:val="0"/>
    <w:pPr>
      <w:shd w:val="clear" w:color="FFFFFF" w:fill="FFFFFF"/>
      <w:spacing w:before="640" w:after="560"/>
      <w:jc w:val="center"/>
      <w:outlineLvl w:val="0"/>
    </w:pPr>
    <w:rPr>
      <w:rFonts w:ascii="黑体" w:hAnsi="Calibri" w:eastAsia="黑体" w:cs="Times New Roman"/>
      <w:sz w:val="32"/>
      <w:lang w:val="en-US" w:eastAsia="zh-CN" w:bidi="ar-SA"/>
    </w:rPr>
  </w:style>
  <w:style w:type="paragraph" w:customStyle="1" w:styleId="41">
    <w:name w:val="_Style 10"/>
    <w:basedOn w:val="1"/>
    <w:uiPriority w:val="0"/>
    <w:pPr>
      <w:spacing w:after="160" w:line="240" w:lineRule="exact"/>
    </w:pPr>
    <w:rPr>
      <w:rFonts w:ascii="Verdana" w:hAnsi="Verdana"/>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2356</Words>
  <Characters>2455</Characters>
  <Lines>18</Lines>
  <Paragraphs>5</Paragraphs>
  <TotalTime>43</TotalTime>
  <ScaleCrop>false</ScaleCrop>
  <LinksUpToDate>false</LinksUpToDate>
  <CharactersWithSpaces>2468</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2021-10-19T11:25:00Z</dcterms:created>
  <dc:creator>微软用户</dc:creator>
  <cp:lastModifiedBy>hzyaoshengji</cp:lastModifiedBy>
  <dcterms:modified xsi:type="dcterms:W3CDTF">2022-07-18T09:35:18Z</dcterms:modified>
  <dc:title>编制说明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0CA6C6119FA347AEA4B514DBFC2057A1</vt:lpwstr>
  </property>
</Properties>
</file>