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楷体" w:hAnsi="楷体" w:eastAsia="楷体"/>
          <w:sz w:val="28"/>
          <w:szCs w:val="28"/>
        </w:rPr>
      </w:pPr>
      <w:r>
        <w:rPr>
          <w:rFonts w:hint="eastAsia" w:ascii="楷体" w:hAnsi="楷体" w:eastAsia="楷体"/>
          <w:sz w:val="28"/>
          <w:szCs w:val="28"/>
        </w:rPr>
        <w:t>T</w:t>
      </w:r>
      <w:r>
        <w:rPr>
          <w:rFonts w:ascii="楷体" w:hAnsi="楷体" w:eastAsia="楷体"/>
          <w:sz w:val="28"/>
          <w:szCs w:val="28"/>
        </w:rPr>
        <w:t xml:space="preserve">/SHBX </w:t>
      </w:r>
      <w:r>
        <w:rPr>
          <w:rFonts w:hint="eastAsia" w:ascii="楷体" w:hAnsi="楷体" w:eastAsia="楷体"/>
          <w:sz w:val="28"/>
          <w:szCs w:val="28"/>
        </w:rPr>
        <w:t>x-x</w:t>
      </w:r>
      <w:r>
        <w:rPr>
          <w:rFonts w:ascii="楷体" w:hAnsi="楷体" w:eastAsia="楷体"/>
          <w:sz w:val="28"/>
          <w:szCs w:val="28"/>
        </w:rPr>
        <w:t>xxx</w:t>
      </w:r>
    </w:p>
    <w:p>
      <w:pPr>
        <w:jc w:val="left"/>
        <w:rPr>
          <w:rFonts w:ascii="楷体" w:hAnsi="楷体" w:eastAsia="楷体"/>
          <w:sz w:val="28"/>
          <w:szCs w:val="28"/>
        </w:rPr>
      </w:pPr>
      <w:r>
        <w:rPr>
          <w:rFonts w:ascii="楷体" w:hAnsi="楷体" w:eastAsia="楷体"/>
          <w:sz w:val="28"/>
          <w:szCs w:val="28"/>
        </w:rPr>
        <w:t>ICS</w:t>
      </w:r>
    </w:p>
    <w:p>
      <w:pPr>
        <w:jc w:val="left"/>
      </w:pPr>
      <w:r>
        <w:t xml:space="preserve">  </w:t>
      </w:r>
    </w:p>
    <w:p>
      <w:pPr>
        <w:jc w:val="left"/>
      </w:pPr>
    </w:p>
    <w:p>
      <w:pPr>
        <w:jc w:val="left"/>
      </w:pPr>
    </w:p>
    <w:p>
      <w:pPr>
        <w:jc w:val="center"/>
        <w:rPr>
          <w:rFonts w:ascii="楷体" w:hAnsi="楷体" w:eastAsia="楷体"/>
          <w:b/>
          <w:sz w:val="84"/>
          <w:szCs w:val="84"/>
        </w:rPr>
      </w:pPr>
      <w:r>
        <w:rPr>
          <w:rFonts w:hint="eastAsia" w:ascii="楷体" w:hAnsi="楷体" w:eastAsia="楷体"/>
          <w:b/>
          <w:sz w:val="84"/>
          <w:szCs w:val="84"/>
        </w:rPr>
        <w:t>团 体 标 准</w:t>
      </w:r>
    </w:p>
    <w:p>
      <w:pPr>
        <w:jc w:val="left"/>
        <w:rPr>
          <w:rFonts w:ascii="楷体" w:hAnsi="楷体" w:eastAsia="楷体"/>
          <w:sz w:val="28"/>
          <w:szCs w:val="28"/>
          <w:u w:val="thick"/>
        </w:rPr>
      </w:pPr>
      <w:r>
        <w:rPr>
          <w:u w:val="thick"/>
        </w:rPr>
        <w:t xml:space="preserve">                                                        </w:t>
      </w:r>
      <w:r>
        <w:rPr>
          <w:rFonts w:ascii="楷体" w:hAnsi="楷体" w:eastAsia="楷体"/>
          <w:sz w:val="28"/>
          <w:szCs w:val="28"/>
          <w:u w:val="thick"/>
        </w:rPr>
        <w:t xml:space="preserve"> </w:t>
      </w:r>
      <w:r>
        <w:rPr>
          <w:rFonts w:hint="eastAsia" w:ascii="楷体" w:hAnsi="楷体" w:eastAsia="楷体"/>
          <w:sz w:val="28"/>
          <w:szCs w:val="28"/>
          <w:u w:val="thick"/>
        </w:rPr>
        <w:t>T</w:t>
      </w:r>
      <w:r>
        <w:rPr>
          <w:rFonts w:ascii="楷体" w:hAnsi="楷体" w:eastAsia="楷体"/>
          <w:sz w:val="28"/>
          <w:szCs w:val="28"/>
          <w:u w:val="thick"/>
        </w:rPr>
        <w:t xml:space="preserve">/SHBX                 </w:t>
      </w:r>
    </w:p>
    <w:p>
      <w:pPr>
        <w:jc w:val="left"/>
        <w:rPr>
          <w:u w:val="thick"/>
        </w:rPr>
      </w:pPr>
    </w:p>
    <w:p>
      <w:pPr>
        <w:jc w:val="center"/>
        <w:rPr>
          <w:rFonts w:ascii="楷体" w:hAnsi="楷体" w:eastAsia="楷体"/>
          <w:b/>
          <w:sz w:val="52"/>
          <w:szCs w:val="52"/>
        </w:rPr>
      </w:pPr>
      <w:r>
        <w:rPr>
          <w:rFonts w:ascii="楷体" w:hAnsi="楷体" w:eastAsia="楷体"/>
          <w:b/>
          <w:sz w:val="52"/>
          <w:szCs w:val="52"/>
        </w:rPr>
        <w:t>塑料复合凹印用水性墨</w:t>
      </w:r>
    </w:p>
    <w:p>
      <w:pPr>
        <w:jc w:val="center"/>
        <w:rPr>
          <w:rFonts w:ascii="楷体" w:hAnsi="楷体" w:eastAsia="楷体"/>
          <w:b/>
          <w:sz w:val="52"/>
          <w:szCs w:val="52"/>
        </w:rPr>
      </w:pPr>
    </w:p>
    <w:p>
      <w:pPr>
        <w:pStyle w:val="68"/>
        <w:framePr w:h="5145" w:hRule="exact" w:wrap="around" w:x="1175" w:y="6040"/>
        <w:snapToGrid w:val="0"/>
        <w:spacing w:line="360" w:lineRule="auto"/>
        <w:rPr>
          <w:rFonts w:hint="eastAsia" w:hAnsi="黑体" w:cs="黑体"/>
          <w:color w:val="auto"/>
          <w:sz w:val="28"/>
          <w:szCs w:val="28"/>
        </w:rPr>
      </w:pPr>
      <w:r>
        <w:rPr>
          <w:rFonts w:hint="eastAsia" w:hAnsi="黑体" w:cs="黑体"/>
          <w:color w:val="auto"/>
          <w:sz w:val="28"/>
          <w:szCs w:val="28"/>
        </w:rPr>
        <w:t>Water-based gravure plastic composite ink</w:t>
      </w:r>
    </w:p>
    <w:p>
      <w:pPr>
        <w:pStyle w:val="68"/>
        <w:framePr w:h="5145" w:hRule="exact" w:wrap="around" w:x="1175" w:y="6040"/>
        <w:snapToGrid w:val="0"/>
        <w:spacing w:line="360" w:lineRule="auto"/>
        <w:rPr>
          <w:rFonts w:hint="eastAsia" w:hAnsi="黑体" w:cs="黑体"/>
          <w:color w:val="auto"/>
          <w:sz w:val="28"/>
          <w:szCs w:val="28"/>
        </w:rPr>
      </w:pPr>
    </w:p>
    <w:p>
      <w:pPr>
        <w:pStyle w:val="68"/>
        <w:framePr w:h="5145" w:hRule="exact" w:wrap="around" w:x="1175" w:y="6040"/>
        <w:snapToGrid w:val="0"/>
        <w:spacing w:line="360" w:lineRule="auto"/>
        <w:rPr>
          <w:rFonts w:hint="eastAsia" w:hAnsi="黑体" w:cs="黑体"/>
          <w:color w:val="auto"/>
          <w:sz w:val="28"/>
          <w:szCs w:val="28"/>
        </w:rPr>
      </w:pPr>
    </w:p>
    <w:p>
      <w:pPr>
        <w:pStyle w:val="68"/>
        <w:framePr w:h="5145" w:hRule="exact" w:wrap="around" w:x="1175" w:y="6040"/>
        <w:snapToGrid w:val="0"/>
        <w:spacing w:line="360" w:lineRule="auto"/>
        <w:rPr>
          <w:rFonts w:hint="eastAsia" w:hAnsi="黑体" w:cs="黑体"/>
          <w:color w:val="auto"/>
          <w:sz w:val="28"/>
          <w:szCs w:val="28"/>
        </w:rPr>
      </w:pPr>
      <w:r>
        <w:rPr>
          <w:rFonts w:hint="eastAsia" w:hAnsi="黑体" w:cs="黑体"/>
          <w:color w:val="auto"/>
          <w:sz w:val="28"/>
          <w:szCs w:val="28"/>
        </w:rPr>
        <w:t>（征求意见稿）</w:t>
      </w:r>
    </w:p>
    <w:p>
      <w:pPr>
        <w:pStyle w:val="68"/>
        <w:framePr w:h="5145" w:hRule="exact" w:wrap="around" w:x="1175" w:y="6040"/>
        <w:snapToGrid w:val="0"/>
        <w:spacing w:line="360" w:lineRule="auto"/>
        <w:rPr>
          <w:rFonts w:ascii="Times New Roman"/>
          <w:color w:val="auto"/>
          <w:sz w:val="28"/>
          <w:szCs w:val="28"/>
        </w:rPr>
      </w:pPr>
      <w:r>
        <w:rPr>
          <w:rFonts w:hint="eastAsia" w:hAnsi="黑体" w:cs="黑体"/>
          <w:color w:val="auto"/>
          <w:sz w:val="28"/>
          <w:szCs w:val="28"/>
        </w:rPr>
        <w:t>在提交反馈意见时，请将您知道的相关专利连同支持性文件一并附上</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u w:val="thick"/>
        </w:rPr>
      </w:pPr>
      <w:r>
        <w:rPr>
          <w:rFonts w:hint="eastAsia" w:ascii="宋体" w:hAnsi="宋体" w:eastAsia="宋体"/>
          <w:sz w:val="28"/>
          <w:szCs w:val="28"/>
          <w:u w:val="thick"/>
        </w:rPr>
        <w:t xml:space="preserve"> </w:t>
      </w:r>
      <w:r>
        <w:rPr>
          <w:rFonts w:ascii="宋体" w:hAnsi="宋体" w:eastAsia="宋体"/>
          <w:sz w:val="28"/>
          <w:szCs w:val="28"/>
          <w:u w:val="thick"/>
        </w:rPr>
        <w:t xml:space="preserve">  xxxx-xx-xx</w:t>
      </w:r>
      <w:r>
        <w:rPr>
          <w:rFonts w:hint="eastAsia" w:ascii="宋体" w:hAnsi="宋体" w:eastAsia="宋体"/>
          <w:sz w:val="28"/>
          <w:szCs w:val="28"/>
          <w:u w:val="thick"/>
        </w:rPr>
        <w:t xml:space="preserve">发布 </w:t>
      </w:r>
      <w:r>
        <w:rPr>
          <w:rFonts w:ascii="宋体" w:hAnsi="宋体" w:eastAsia="宋体"/>
          <w:sz w:val="28"/>
          <w:szCs w:val="28"/>
          <w:u w:val="thick"/>
        </w:rPr>
        <w:t xml:space="preserve">                         xxxx-xx-xx</w:t>
      </w:r>
      <w:r>
        <w:rPr>
          <w:rFonts w:hint="eastAsia" w:ascii="宋体" w:hAnsi="宋体" w:eastAsia="宋体"/>
          <w:sz w:val="28"/>
          <w:szCs w:val="28"/>
          <w:u w:val="thick"/>
        </w:rPr>
        <w:t>实施</w:t>
      </w:r>
      <w:r>
        <w:rPr>
          <w:rFonts w:ascii="宋体" w:hAnsi="宋体" w:eastAsia="宋体"/>
          <w:sz w:val="28"/>
          <w:szCs w:val="28"/>
          <w:u w:val="thick"/>
        </w:rPr>
        <w:t xml:space="preserve">     </w:t>
      </w:r>
    </w:p>
    <w:p>
      <w:pPr>
        <w:jc w:val="center"/>
        <w:rPr>
          <w:rFonts w:ascii="宋体" w:hAnsi="宋体" w:eastAsia="宋体"/>
          <w:b/>
          <w:sz w:val="32"/>
          <w:szCs w:val="32"/>
        </w:rPr>
      </w:pPr>
      <w:r>
        <w:rPr>
          <w:rFonts w:hint="eastAsia" w:ascii="宋体" w:hAnsi="宋体" w:eastAsia="宋体"/>
          <w:b/>
          <w:sz w:val="32"/>
          <w:szCs w:val="32"/>
        </w:rPr>
        <w:t xml:space="preserve">上海市包装技术协会 </w:t>
      </w:r>
      <w:r>
        <w:rPr>
          <w:rFonts w:ascii="宋体" w:hAnsi="宋体" w:eastAsia="宋体"/>
          <w:b/>
          <w:sz w:val="32"/>
          <w:szCs w:val="32"/>
        </w:rPr>
        <w:t xml:space="preserve"> </w:t>
      </w:r>
      <w:r>
        <w:rPr>
          <w:rFonts w:hint="eastAsia" w:ascii="宋体" w:hAnsi="宋体" w:eastAsia="宋体"/>
          <w:b/>
          <w:sz w:val="32"/>
          <w:szCs w:val="32"/>
        </w:rPr>
        <w:t>发布</w:t>
      </w:r>
    </w:p>
    <w:p>
      <w:pPr>
        <w:pStyle w:val="109"/>
        <w:rPr>
          <w:rFonts w:hint="eastAsia"/>
        </w:rPr>
        <w:sectPr>
          <w:footerReference r:id="rId3" w:type="default"/>
          <w:pgSz w:w="11906" w:h="16838"/>
          <w:pgMar w:top="567" w:right="1134" w:bottom="1134" w:left="1418" w:header="1418" w:footer="1134" w:gutter="0"/>
          <w:pgNumType w:fmt="upperRoman" w:start="1"/>
          <w:cols w:space="425" w:num="1"/>
          <w:formProt w:val="0"/>
          <w:docGrid w:type="lines" w:linePitch="312" w:charSpace="0"/>
        </w:sectPr>
      </w:pPr>
    </w:p>
    <w:p>
      <w:pPr>
        <w:pStyle w:val="109"/>
      </w:pPr>
      <w:r>
        <w:rPr>
          <w:rFonts w:hint="eastAsia"/>
        </w:rPr>
        <w:t>前</w:t>
      </w:r>
      <w:bookmarkStart w:id="0" w:name="BKQY"/>
      <w:r>
        <w:rPr>
          <w:rFonts w:hint="eastAsia" w:ascii="MS Mincho" w:hAnsi="MS Mincho" w:eastAsia="MS Mincho" w:cs="MS Mincho"/>
        </w:rPr>
        <w:t>  </w:t>
      </w:r>
      <w:r>
        <w:rPr>
          <w:rFonts w:hint="eastAsia"/>
        </w:rPr>
        <w:t>言</w:t>
      </w:r>
      <w:bookmarkEnd w:id="0"/>
    </w:p>
    <w:p>
      <w:pPr>
        <w:ind w:firstLine="420" w:firstLineChars="200"/>
        <w:rPr>
          <w:rFonts w:ascii="宋体"/>
          <w:szCs w:val="21"/>
        </w:rPr>
      </w:pPr>
      <w:r>
        <w:rPr>
          <w:rFonts w:hint="eastAsia" w:ascii="宋体"/>
          <w:szCs w:val="21"/>
        </w:rPr>
        <w:t>本标准按照GB/T 1.1-20</w:t>
      </w:r>
      <w:r>
        <w:rPr>
          <w:rFonts w:ascii="宋体"/>
          <w:szCs w:val="21"/>
        </w:rPr>
        <w:t>20</w:t>
      </w:r>
      <w:r>
        <w:rPr>
          <w:rFonts w:hint="eastAsia" w:ascii="宋体"/>
          <w:szCs w:val="21"/>
        </w:rPr>
        <w:t>给出的规则起草。</w:t>
      </w:r>
    </w:p>
    <w:p>
      <w:pPr>
        <w:ind w:firstLine="420" w:firstLineChars="200"/>
        <w:rPr>
          <w:rFonts w:ascii="宋体"/>
          <w:szCs w:val="21"/>
        </w:rPr>
      </w:pPr>
      <w:r>
        <w:rPr>
          <w:rFonts w:hint="eastAsia" w:ascii="宋体"/>
          <w:szCs w:val="21"/>
        </w:rPr>
        <w:t>本标准由</w:t>
      </w:r>
      <w:r>
        <w:rPr>
          <w:rFonts w:ascii="宋体"/>
          <w:szCs w:val="21"/>
        </w:rPr>
        <w:t>XXXXXX</w:t>
      </w:r>
      <w:r>
        <w:rPr>
          <w:rFonts w:hint="eastAsia" w:ascii="宋体"/>
          <w:szCs w:val="21"/>
        </w:rPr>
        <w:t>提出。</w:t>
      </w:r>
    </w:p>
    <w:p>
      <w:pPr>
        <w:pStyle w:val="16"/>
        <w:rPr>
          <w:rFonts w:ascii="Times New Roman"/>
          <w:szCs w:val="21"/>
        </w:rPr>
      </w:pPr>
      <w:r>
        <w:rPr>
          <w:rFonts w:hint="eastAsia"/>
          <w:szCs w:val="21"/>
        </w:rPr>
        <w:t>本标准由X</w:t>
      </w:r>
      <w:r>
        <w:rPr>
          <w:szCs w:val="21"/>
        </w:rPr>
        <w:t>XXXXXX</w:t>
      </w:r>
      <w:r>
        <w:rPr>
          <w:rFonts w:hint="eastAsia"/>
          <w:szCs w:val="21"/>
        </w:rPr>
        <w:t>归口。</w:t>
      </w:r>
    </w:p>
    <w:p>
      <w:pPr>
        <w:pStyle w:val="16"/>
        <w:rPr>
          <w:szCs w:val="21"/>
        </w:rPr>
      </w:pPr>
      <w:r>
        <w:rPr>
          <w:rFonts w:hint="eastAsia"/>
          <w:szCs w:val="21"/>
        </w:rPr>
        <w:t>本标准起草单位：</w:t>
      </w:r>
      <w:r>
        <w:rPr>
          <w:szCs w:val="21"/>
        </w:rPr>
        <w:t xml:space="preserve"> </w:t>
      </w:r>
    </w:p>
    <w:p>
      <w:pPr>
        <w:pStyle w:val="16"/>
      </w:pPr>
      <w:r>
        <w:rPr>
          <w:rFonts w:hint="eastAsia"/>
          <w:szCs w:val="21"/>
        </w:rPr>
        <w:t>本标准主要起草人：</w:t>
      </w:r>
      <w:r>
        <w:t xml:space="preserve"> </w:t>
      </w:r>
    </w:p>
    <w:p>
      <w:pPr>
        <w:pStyle w:val="16"/>
        <w:sectPr>
          <w:pgSz w:w="11906" w:h="16838"/>
          <w:pgMar w:top="567" w:right="1134" w:bottom="1134" w:left="1418" w:header="1418" w:footer="1134" w:gutter="0"/>
          <w:pgNumType w:fmt="upperRoman" w:start="1"/>
          <w:cols w:space="425" w:num="1"/>
          <w:formProt w:val="0"/>
          <w:docGrid w:type="lines" w:linePitch="312" w:charSpace="0"/>
        </w:sectPr>
      </w:pPr>
    </w:p>
    <w:p>
      <w:pPr>
        <w:pStyle w:val="40"/>
      </w:pPr>
      <w:r>
        <w:rPr>
          <w:rFonts w:hint="eastAsia"/>
        </w:rPr>
        <w:t>塑料复合凹印用</w:t>
      </w:r>
      <w:bookmarkStart w:id="4" w:name="_GoBack"/>
      <w:bookmarkEnd w:id="4"/>
      <w:r>
        <w:rPr>
          <w:rFonts w:hint="eastAsia"/>
        </w:rPr>
        <w:t>水性墨</w:t>
      </w:r>
    </w:p>
    <w:p>
      <w:pPr>
        <w:pStyle w:val="35"/>
        <w:spacing w:before="312" w:after="312"/>
      </w:pPr>
      <w:r>
        <w:rPr>
          <w:rFonts w:hint="eastAsia"/>
        </w:rPr>
        <w:t>范围</w:t>
      </w:r>
    </w:p>
    <w:p>
      <w:pPr>
        <w:pStyle w:val="16"/>
        <w:rPr>
          <w:rFonts w:hAnsi="宋体" w:cs="宋体"/>
          <w:szCs w:val="21"/>
        </w:rPr>
      </w:pPr>
      <w:r>
        <w:rPr>
          <w:rFonts w:hint="eastAsia" w:hAnsi="宋体" w:cs="宋体"/>
          <w:szCs w:val="21"/>
        </w:rPr>
        <w:t>本文件规定了塑料薄膜复合凹版印刷水性油墨的产品要求、检验方法、检验规则、标志、包装、贮存和运输。</w:t>
      </w:r>
    </w:p>
    <w:p>
      <w:pPr>
        <w:pStyle w:val="16"/>
        <w:rPr>
          <w:rFonts w:hAnsi="宋体" w:cs="宋体"/>
          <w:szCs w:val="21"/>
        </w:rPr>
      </w:pPr>
      <w:r>
        <w:rPr>
          <w:rFonts w:hint="eastAsia" w:hAnsi="宋体" w:cs="宋体"/>
          <w:szCs w:val="21"/>
        </w:rPr>
        <w:t>本文件适用于塑料薄膜复合凹版印刷使用的水性油墨，该油墨用于经处理的聚乙烯、聚丙烯、聚酯、尼龙等复合塑料薄膜的产品印刷。不适用染料型油墨。</w:t>
      </w:r>
    </w:p>
    <w:p>
      <w:pPr>
        <w:pStyle w:val="35"/>
        <w:spacing w:before="312" w:after="312"/>
      </w:pPr>
      <w:r>
        <w:rPr>
          <w:rFonts w:hint="eastAsia"/>
        </w:rPr>
        <w:t>规范性引用文件</w:t>
      </w:r>
    </w:p>
    <w:p>
      <w:pPr>
        <w:pStyle w:val="16"/>
      </w:pPr>
      <w:r>
        <w:rPr>
          <w:rFonts w:hint="eastAsia"/>
        </w:rPr>
        <w:t>下列文件对于本文件的应用是必不可少的。凡是注日期的引用文件，仅注日期的版本适用于本文件。凡是不注日期的引用文件，其最新版本（包括所有的修改单）适用于本文件。</w:t>
      </w:r>
    </w:p>
    <w:p>
      <w:pPr>
        <w:pStyle w:val="16"/>
        <w:rPr>
          <w:rFonts w:hAnsi="宋体"/>
          <w:szCs w:val="21"/>
        </w:rPr>
      </w:pPr>
      <w:r>
        <w:rPr>
          <w:rFonts w:hint="eastAsia" w:hAnsi="宋体"/>
          <w:szCs w:val="21"/>
        </w:rPr>
        <w:t xml:space="preserve">GB/T 191 包装储运图示标志 </w:t>
      </w:r>
    </w:p>
    <w:p>
      <w:pPr>
        <w:pStyle w:val="16"/>
        <w:rPr>
          <w:rFonts w:hAnsi="宋体"/>
          <w:szCs w:val="21"/>
        </w:rPr>
      </w:pPr>
      <w:r>
        <w:rPr>
          <w:rFonts w:hint="eastAsia" w:hAnsi="宋体"/>
          <w:szCs w:val="21"/>
        </w:rPr>
        <w:t xml:space="preserve">GB/T 13217.1 油墨颜色和着色力检验方法 </w:t>
      </w:r>
    </w:p>
    <w:p>
      <w:pPr>
        <w:pStyle w:val="16"/>
        <w:rPr>
          <w:rFonts w:hAnsi="宋体"/>
          <w:szCs w:val="21"/>
        </w:rPr>
      </w:pPr>
      <w:r>
        <w:rPr>
          <w:rFonts w:hint="eastAsia" w:hAnsi="宋体"/>
          <w:szCs w:val="21"/>
        </w:rPr>
        <w:t xml:space="preserve">GB/T 13217.3 液体油墨细度检验方法 </w:t>
      </w:r>
    </w:p>
    <w:p>
      <w:pPr>
        <w:pStyle w:val="16"/>
        <w:rPr>
          <w:rFonts w:hAnsi="宋体"/>
          <w:szCs w:val="21"/>
        </w:rPr>
      </w:pPr>
      <w:r>
        <w:rPr>
          <w:rFonts w:hint="eastAsia" w:hAnsi="宋体"/>
          <w:szCs w:val="21"/>
        </w:rPr>
        <w:t>GB/T 13217.4</w:t>
      </w:r>
      <w:r>
        <w:rPr>
          <w:rFonts w:hAnsi="宋体"/>
          <w:szCs w:val="21"/>
        </w:rPr>
        <w:t xml:space="preserve"> </w:t>
      </w:r>
      <w:r>
        <w:rPr>
          <w:rFonts w:hint="eastAsia" w:hAnsi="宋体"/>
          <w:szCs w:val="21"/>
        </w:rPr>
        <w:t xml:space="preserve">油墨粘度检验方法 </w:t>
      </w:r>
    </w:p>
    <w:p>
      <w:pPr>
        <w:pStyle w:val="16"/>
        <w:rPr>
          <w:rFonts w:hAnsi="宋体"/>
          <w:szCs w:val="21"/>
        </w:rPr>
      </w:pPr>
      <w:r>
        <w:rPr>
          <w:rFonts w:hint="eastAsia" w:hAnsi="宋体"/>
          <w:szCs w:val="21"/>
        </w:rPr>
        <w:t xml:space="preserve">GB/T 13217.5 液体油墨初干性检验方法 </w:t>
      </w:r>
    </w:p>
    <w:p>
      <w:pPr>
        <w:pStyle w:val="16"/>
        <w:rPr>
          <w:rFonts w:hAnsi="宋体"/>
          <w:szCs w:val="21"/>
        </w:rPr>
      </w:pPr>
      <w:r>
        <w:rPr>
          <w:rFonts w:hint="eastAsia" w:hAnsi="宋体"/>
          <w:szCs w:val="21"/>
        </w:rPr>
        <w:t xml:space="preserve">GB/T 13217.7 液体油墨附着牢度检验方法 </w:t>
      </w:r>
    </w:p>
    <w:p>
      <w:pPr>
        <w:pStyle w:val="16"/>
        <w:rPr>
          <w:rFonts w:hAnsi="宋体"/>
          <w:szCs w:val="21"/>
        </w:rPr>
      </w:pPr>
      <w:r>
        <w:rPr>
          <w:rFonts w:hint="eastAsia" w:hAnsi="宋体"/>
          <w:szCs w:val="21"/>
        </w:rPr>
        <w:t>GB 24613 玩具用涂料中有害物质限量</w:t>
      </w:r>
    </w:p>
    <w:p>
      <w:pPr>
        <w:pStyle w:val="16"/>
        <w:rPr>
          <w:rFonts w:hAnsi="宋体"/>
          <w:szCs w:val="21"/>
        </w:rPr>
      </w:pPr>
      <w:r>
        <w:t xml:space="preserve">GB/T 30647 </w:t>
      </w:r>
      <w:r>
        <w:rPr>
          <w:rFonts w:hint="eastAsia"/>
        </w:rPr>
        <w:t>涂料中有害元素总含量的测定</w:t>
      </w:r>
    </w:p>
    <w:p>
      <w:pPr>
        <w:pStyle w:val="16"/>
        <w:rPr>
          <w:rFonts w:hAnsi="宋体"/>
          <w:szCs w:val="21"/>
        </w:rPr>
      </w:pPr>
      <w:r>
        <w:rPr>
          <w:rFonts w:hint="eastAsia" w:hAnsi="宋体"/>
          <w:szCs w:val="21"/>
        </w:rPr>
        <w:t>GB 38507-2020 油墨中可挥发性有机化合物（VOCs）含量的限值</w:t>
      </w:r>
    </w:p>
    <w:p>
      <w:pPr>
        <w:pStyle w:val="16"/>
        <w:rPr>
          <w:rFonts w:hAnsi="宋体"/>
          <w:szCs w:val="21"/>
        </w:rPr>
      </w:pPr>
      <w:r>
        <w:rPr>
          <w:rFonts w:hint="eastAsia" w:hAnsi="宋体"/>
          <w:szCs w:val="21"/>
        </w:rPr>
        <w:t>GB/T 38608</w:t>
      </w:r>
      <w:r>
        <w:rPr>
          <w:rFonts w:hint="eastAsia"/>
        </w:rPr>
        <w:t>-2020</w:t>
      </w:r>
      <w:r>
        <w:rPr>
          <w:rFonts w:hint="eastAsia" w:hAnsi="宋体"/>
          <w:szCs w:val="21"/>
        </w:rPr>
        <w:t xml:space="preserve"> 油墨中可挥发性有机化合物（VOCs）含量的测定方法</w:t>
      </w:r>
      <w:bookmarkStart w:id="1" w:name="_Hlk103111310"/>
    </w:p>
    <w:p>
      <w:pPr>
        <w:pStyle w:val="16"/>
        <w:rPr>
          <w:szCs w:val="21"/>
        </w:rPr>
      </w:pPr>
      <w:r>
        <w:rPr>
          <w:rFonts w:hint="eastAsia" w:hAnsi="宋体"/>
          <w:szCs w:val="21"/>
        </w:rPr>
        <w:t>QBT5488-2020</w:t>
      </w:r>
      <w:bookmarkEnd w:id="1"/>
      <w:r>
        <w:rPr>
          <w:rFonts w:hint="eastAsia" w:hAnsi="宋体"/>
          <w:szCs w:val="21"/>
        </w:rPr>
        <w:t xml:space="preserve"> 液体油墨复合强度的测定方法</w:t>
      </w:r>
    </w:p>
    <w:p>
      <w:pPr>
        <w:pStyle w:val="35"/>
        <w:spacing w:before="312" w:after="312"/>
        <w:rPr>
          <w:szCs w:val="21"/>
        </w:rPr>
      </w:pPr>
      <w:r>
        <w:rPr>
          <w:rFonts w:hint="eastAsia"/>
          <w:szCs w:val="21"/>
        </w:rPr>
        <w:t>术语和定义</w:t>
      </w:r>
    </w:p>
    <w:p>
      <w:pPr>
        <w:pStyle w:val="16"/>
      </w:pPr>
      <w:r>
        <w:rPr>
          <w:rFonts w:hint="eastAsia"/>
          <w:szCs w:val="21"/>
        </w:rPr>
        <w:t>下列术语和定义适用于本文件。</w:t>
      </w:r>
    </w:p>
    <w:p>
      <w:pPr>
        <w:pStyle w:val="32"/>
        <w:spacing w:before="156" w:after="156"/>
        <w:ind w:left="284"/>
      </w:pPr>
    </w:p>
    <w:p>
      <w:pPr>
        <w:pStyle w:val="32"/>
        <w:numPr>
          <w:ilvl w:val="0"/>
          <w:numId w:val="0"/>
        </w:numPr>
        <w:spacing w:before="156" w:after="156"/>
        <w:ind w:firstLine="420" w:firstLineChars="200"/>
      </w:pPr>
      <w:r>
        <w:rPr>
          <w:rFonts w:hint="eastAsia"/>
        </w:rPr>
        <w:t>凹版印刷 gravure printing</w:t>
      </w:r>
    </w:p>
    <w:p>
      <w:pPr>
        <w:pStyle w:val="16"/>
      </w:pPr>
      <w:r>
        <w:rPr>
          <w:rFonts w:hint="eastAsia"/>
        </w:rPr>
        <w:t xml:space="preserve">印版的图文部分低于非图文部分的印刷方式。 </w:t>
      </w:r>
    </w:p>
    <w:p>
      <w:pPr>
        <w:pStyle w:val="16"/>
      </w:pPr>
      <w:r>
        <w:rPr>
          <w:rFonts w:hint="eastAsia"/>
        </w:rPr>
        <w:t>[改写GB/T 9851.</w:t>
      </w:r>
      <w:r>
        <w:t>1</w:t>
      </w:r>
      <w:r>
        <w:rPr>
          <w:rFonts w:hint="eastAsia"/>
        </w:rPr>
        <w:t>-2008，</w:t>
      </w:r>
      <w:r>
        <w:t>5</w:t>
      </w:r>
      <w:r>
        <w:rPr>
          <w:rFonts w:hint="eastAsia"/>
        </w:rPr>
        <w:t>.1</w:t>
      </w:r>
      <w:r>
        <w:t>3</w:t>
      </w:r>
      <w:r>
        <w:rPr>
          <w:rFonts w:hint="eastAsia"/>
        </w:rPr>
        <w:t>]</w:t>
      </w:r>
    </w:p>
    <w:p>
      <w:pPr>
        <w:pStyle w:val="16"/>
        <w:rPr>
          <w:rFonts w:hAnsi="宋体"/>
        </w:rPr>
      </w:pPr>
    </w:p>
    <w:p>
      <w:pPr>
        <w:pStyle w:val="32"/>
        <w:spacing w:before="156" w:after="156"/>
        <w:ind w:left="284"/>
      </w:pPr>
    </w:p>
    <w:p>
      <w:pPr>
        <w:pStyle w:val="32"/>
        <w:numPr>
          <w:ilvl w:val="0"/>
          <w:numId w:val="0"/>
        </w:numPr>
        <w:spacing w:before="156" w:after="156"/>
        <w:ind w:firstLine="420" w:firstLineChars="200"/>
      </w:pPr>
      <w:r>
        <w:rPr>
          <w:rFonts w:hint="eastAsia"/>
        </w:rPr>
        <w:t>水性油墨 water-based ink</w:t>
      </w:r>
    </w:p>
    <w:p>
      <w:pPr>
        <w:pStyle w:val="16"/>
      </w:pPr>
      <w:r>
        <w:rPr>
          <w:rFonts w:hint="eastAsia"/>
        </w:rPr>
        <w:t xml:space="preserve">以水作为主要溶剂或分散介质的油墨。简称水性墨。 </w:t>
      </w:r>
    </w:p>
    <w:p>
      <w:pPr>
        <w:pStyle w:val="16"/>
      </w:pPr>
      <w:r>
        <w:rPr>
          <w:rFonts w:hint="eastAsia"/>
        </w:rPr>
        <w:t>[改写GB 38507-2020，定义3.8]</w:t>
      </w:r>
    </w:p>
    <w:p>
      <w:pPr>
        <w:pStyle w:val="32"/>
        <w:spacing w:before="156" w:after="156"/>
        <w:ind w:left="284"/>
      </w:pPr>
    </w:p>
    <w:p>
      <w:pPr>
        <w:pStyle w:val="32"/>
        <w:numPr>
          <w:ilvl w:val="0"/>
          <w:numId w:val="0"/>
        </w:numPr>
        <w:spacing w:before="156" w:after="156"/>
        <w:ind w:firstLine="420" w:firstLineChars="200"/>
      </w:pPr>
      <w:r>
        <w:rPr>
          <w:rFonts w:hint="eastAsia"/>
        </w:rPr>
        <w:t>不挥发物含量 non-volatile matter c</w:t>
      </w:r>
      <w:r>
        <w:t>ontent</w:t>
      </w:r>
    </w:p>
    <w:p>
      <w:pPr>
        <w:pStyle w:val="16"/>
      </w:pPr>
      <w:r>
        <w:rPr>
          <w:rFonts w:hint="eastAsia"/>
        </w:rPr>
        <w:t>在规定的试验条件下，样品经挥发而得到的剩余物的质量分数。</w:t>
      </w:r>
    </w:p>
    <w:p>
      <w:pPr>
        <w:pStyle w:val="16"/>
      </w:pPr>
      <w:r>
        <w:rPr>
          <w:rFonts w:hint="eastAsia"/>
        </w:rPr>
        <w:t>[改写GB/T 1725-2007，3.1]</w:t>
      </w:r>
      <w:r>
        <w:cr/>
      </w:r>
    </w:p>
    <w:p>
      <w:pPr>
        <w:pStyle w:val="32"/>
        <w:spacing w:before="156" w:after="156"/>
        <w:ind w:left="284"/>
      </w:pPr>
    </w:p>
    <w:p>
      <w:pPr>
        <w:pStyle w:val="32"/>
        <w:numPr>
          <w:ilvl w:val="0"/>
          <w:numId w:val="0"/>
        </w:numPr>
        <w:spacing w:before="156" w:after="156"/>
        <w:ind w:firstLine="420" w:firstLineChars="200"/>
      </w:pPr>
      <w:r>
        <w:rPr>
          <w:rFonts w:hint="eastAsia"/>
        </w:rPr>
        <w:t>不挥发性有机化合物 volatile organic compounds;VOCs</w:t>
      </w:r>
    </w:p>
    <w:p>
      <w:pPr>
        <w:pStyle w:val="16"/>
        <w:rPr>
          <w:rFonts w:hAnsi="宋体"/>
        </w:rPr>
      </w:pPr>
      <w:r>
        <w:rPr>
          <w:rFonts w:hint="eastAsia"/>
        </w:rPr>
        <w:t>在101.3 KPa标准压力下，任何初沸点低于或等于250 ℃的有机化合物。</w:t>
      </w:r>
    </w:p>
    <w:p>
      <w:pPr>
        <w:pStyle w:val="16"/>
      </w:pPr>
      <w:r>
        <w:rPr>
          <w:rFonts w:hint="eastAsia" w:hAnsi="宋体"/>
        </w:rPr>
        <w:t>[</w:t>
      </w:r>
      <w:r>
        <w:rPr>
          <w:rFonts w:hint="eastAsia" w:hAnsi="宋体"/>
          <w:szCs w:val="21"/>
        </w:rPr>
        <w:t>HJ 2542-2016，定义3.2</w:t>
      </w:r>
      <w:r>
        <w:rPr>
          <w:rFonts w:hint="eastAsia" w:hAnsi="宋体"/>
        </w:rPr>
        <w:t>]</w:t>
      </w:r>
    </w:p>
    <w:p>
      <w:pPr>
        <w:pStyle w:val="54"/>
        <w:rPr>
          <w:rFonts w:hAnsi="宋体"/>
          <w:szCs w:val="21"/>
        </w:rPr>
      </w:pPr>
    </w:p>
    <w:p>
      <w:pPr>
        <w:pStyle w:val="32"/>
        <w:spacing w:before="156" w:after="156"/>
        <w:ind w:left="284"/>
      </w:pPr>
    </w:p>
    <w:p>
      <w:pPr>
        <w:pStyle w:val="32"/>
        <w:numPr>
          <w:ilvl w:val="0"/>
          <w:numId w:val="0"/>
        </w:numPr>
        <w:spacing w:before="156" w:after="156"/>
        <w:ind w:firstLine="420" w:firstLineChars="200"/>
      </w:pPr>
      <w:r>
        <w:rPr>
          <w:rFonts w:hint="eastAsia"/>
        </w:rPr>
        <w:t>不</w:t>
      </w:r>
      <w:r>
        <w:t>挥发性有机化合物含量</w:t>
      </w:r>
      <w:r>
        <w:rPr>
          <w:rFonts w:hint="eastAsia"/>
        </w:rPr>
        <w:t xml:space="preserve"> </w:t>
      </w:r>
      <w:r>
        <w:t>volatile organic compound</w:t>
      </w:r>
      <w:r>
        <w:rPr>
          <w:rFonts w:hint="eastAsia"/>
        </w:rPr>
        <w:t xml:space="preserve"> c</w:t>
      </w:r>
      <w:r>
        <w:t>ontent</w:t>
      </w:r>
    </w:p>
    <w:p>
      <w:pPr>
        <w:pStyle w:val="16"/>
      </w:pPr>
      <w:r>
        <w:rPr>
          <w:rFonts w:hint="eastAsia"/>
        </w:rPr>
        <w:t>在规定条件下，所测得的油墨中存在可挥发性有机化合物的含量。</w:t>
      </w:r>
    </w:p>
    <w:p>
      <w:pPr>
        <w:pStyle w:val="16"/>
        <w:rPr>
          <w:rFonts w:hAnsi="宋体"/>
        </w:rPr>
      </w:pPr>
      <w:r>
        <w:rPr>
          <w:rFonts w:hint="eastAsia" w:hAnsi="宋体"/>
        </w:rPr>
        <w:t>[改写GB/T 23985-2009，定义3.2]</w:t>
      </w:r>
    </w:p>
    <w:p>
      <w:pPr>
        <w:pStyle w:val="16"/>
        <w:rPr>
          <w:rFonts w:hAnsi="宋体"/>
        </w:rPr>
      </w:pPr>
    </w:p>
    <w:p>
      <w:pPr>
        <w:pStyle w:val="35"/>
        <w:spacing w:before="312" w:after="312"/>
      </w:pPr>
      <w:r>
        <w:rPr>
          <w:rFonts w:hint="eastAsia"/>
          <w:szCs w:val="21"/>
        </w:rPr>
        <w:t>要求</w:t>
      </w:r>
    </w:p>
    <w:p>
      <w:pPr>
        <w:pStyle w:val="32"/>
        <w:spacing w:before="156" w:after="156"/>
        <w:ind w:left="284"/>
      </w:pPr>
      <w:r>
        <w:rPr>
          <w:rFonts w:hint="eastAsia"/>
        </w:rPr>
        <w:t>技术性能指标</w:t>
      </w:r>
    </w:p>
    <w:p>
      <w:pPr>
        <w:pStyle w:val="32"/>
        <w:numPr>
          <w:ilvl w:val="0"/>
          <w:numId w:val="0"/>
        </w:numPr>
        <w:spacing w:before="156" w:after="156"/>
        <w:ind w:firstLine="420" w:firstLineChars="200"/>
        <w:rPr>
          <w:rFonts w:ascii="宋体" w:hAnsi="宋体" w:eastAsia="宋体"/>
          <w:color w:val="000000"/>
        </w:rPr>
      </w:pPr>
      <w:r>
        <w:rPr>
          <w:rFonts w:hint="eastAsia" w:ascii="宋体" w:hAnsi="宋体" w:eastAsia="宋体"/>
          <w:color w:val="000000"/>
        </w:rPr>
        <w:t>产品各项技术性能指标要求应符合表l</w:t>
      </w:r>
    </w:p>
    <w:p>
      <w:pPr>
        <w:pStyle w:val="16"/>
        <w:ind w:firstLine="0" w:firstLineChars="0"/>
        <w:jc w:val="center"/>
        <w:rPr>
          <w:rFonts w:ascii="黑体" w:hAnsi="黑体" w:eastAsia="黑体"/>
        </w:rPr>
      </w:pPr>
      <w:r>
        <w:rPr>
          <w:rFonts w:hint="eastAsia" w:ascii="黑体" w:hAnsi="黑体" w:eastAsia="黑体"/>
        </w:rPr>
        <w:t>表1 技术性能指标（白墨、色墨）</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9"/>
        <w:gridCol w:w="2163"/>
        <w:gridCol w:w="2057"/>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9" w:type="dxa"/>
            <w:shd w:val="clear" w:color="auto" w:fill="auto"/>
          </w:tcPr>
          <w:p>
            <w:pPr>
              <w:pStyle w:val="16"/>
              <w:ind w:firstLine="0" w:firstLineChars="0"/>
              <w:jc w:val="center"/>
              <w:rPr>
                <w:sz w:val="18"/>
                <w:szCs w:val="18"/>
              </w:rPr>
            </w:pPr>
            <w:r>
              <w:rPr>
                <w:rFonts w:hint="eastAsia"/>
                <w:sz w:val="18"/>
                <w:szCs w:val="18"/>
              </w:rPr>
              <w:t>序号</w:t>
            </w:r>
          </w:p>
        </w:tc>
        <w:tc>
          <w:tcPr>
            <w:tcW w:w="2163" w:type="dxa"/>
            <w:shd w:val="clear" w:color="auto" w:fill="auto"/>
          </w:tcPr>
          <w:p>
            <w:pPr>
              <w:pStyle w:val="16"/>
              <w:ind w:firstLine="0" w:firstLineChars="0"/>
              <w:jc w:val="center"/>
              <w:rPr>
                <w:sz w:val="18"/>
                <w:szCs w:val="18"/>
              </w:rPr>
            </w:pPr>
            <w:r>
              <w:rPr>
                <w:rFonts w:hint="eastAsia"/>
                <w:sz w:val="18"/>
                <w:szCs w:val="18"/>
              </w:rPr>
              <w:t>项目</w:t>
            </w:r>
          </w:p>
        </w:tc>
        <w:tc>
          <w:tcPr>
            <w:tcW w:w="4115" w:type="dxa"/>
            <w:gridSpan w:val="2"/>
            <w:shd w:val="clear" w:color="auto" w:fill="auto"/>
          </w:tcPr>
          <w:p>
            <w:pPr>
              <w:pStyle w:val="16"/>
              <w:ind w:firstLine="0" w:firstLineChars="0"/>
              <w:jc w:val="center"/>
              <w:rPr>
                <w:sz w:val="18"/>
                <w:szCs w:val="18"/>
              </w:rPr>
            </w:pPr>
            <w:r>
              <w:rPr>
                <w:rFonts w:hint="eastAsia"/>
                <w:sz w:val="18"/>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9" w:type="dxa"/>
            <w:shd w:val="clear" w:color="auto" w:fill="auto"/>
          </w:tcPr>
          <w:p>
            <w:pPr>
              <w:pStyle w:val="16"/>
              <w:ind w:firstLine="0" w:firstLineChars="0"/>
              <w:jc w:val="center"/>
              <w:rPr>
                <w:sz w:val="18"/>
                <w:szCs w:val="18"/>
              </w:rPr>
            </w:pPr>
            <w:r>
              <w:rPr>
                <w:rFonts w:hint="eastAsia"/>
                <w:sz w:val="18"/>
                <w:szCs w:val="18"/>
              </w:rPr>
              <w:t>1</w:t>
            </w:r>
          </w:p>
        </w:tc>
        <w:tc>
          <w:tcPr>
            <w:tcW w:w="2163" w:type="dxa"/>
            <w:shd w:val="clear" w:color="auto" w:fill="auto"/>
          </w:tcPr>
          <w:p>
            <w:pPr>
              <w:pStyle w:val="16"/>
              <w:ind w:firstLine="0" w:firstLineChars="0"/>
              <w:jc w:val="center"/>
              <w:rPr>
                <w:sz w:val="18"/>
                <w:szCs w:val="18"/>
              </w:rPr>
            </w:pPr>
            <w:r>
              <w:rPr>
                <w:rFonts w:hint="eastAsia"/>
                <w:sz w:val="18"/>
                <w:szCs w:val="18"/>
              </w:rPr>
              <w:t>颜色/级</w:t>
            </w:r>
          </w:p>
        </w:tc>
        <w:tc>
          <w:tcPr>
            <w:tcW w:w="4115" w:type="dxa"/>
            <w:gridSpan w:val="2"/>
            <w:shd w:val="clear" w:color="auto" w:fill="auto"/>
          </w:tcPr>
          <w:p>
            <w:pPr>
              <w:pStyle w:val="16"/>
              <w:ind w:firstLine="0" w:firstLineChars="0"/>
              <w:jc w:val="center"/>
              <w:rPr>
                <w:sz w:val="18"/>
                <w:szCs w:val="18"/>
              </w:rPr>
            </w:pPr>
            <w:r>
              <w:rPr>
                <w:rFonts w:hint="eastAsia"/>
                <w:sz w:val="18"/>
                <w:szCs w:val="18"/>
              </w:rPr>
              <w:t>≥</w:t>
            </w:r>
            <w:r>
              <w:rPr>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9" w:type="dxa"/>
            <w:shd w:val="clear" w:color="auto" w:fill="auto"/>
          </w:tcPr>
          <w:p>
            <w:pPr>
              <w:pStyle w:val="16"/>
              <w:ind w:firstLine="0" w:firstLineChars="0"/>
              <w:jc w:val="center"/>
              <w:rPr>
                <w:sz w:val="18"/>
                <w:szCs w:val="18"/>
              </w:rPr>
            </w:pPr>
            <w:r>
              <w:rPr>
                <w:rFonts w:hint="eastAsia"/>
                <w:sz w:val="18"/>
                <w:szCs w:val="18"/>
              </w:rPr>
              <w:t>2</w:t>
            </w:r>
          </w:p>
        </w:tc>
        <w:tc>
          <w:tcPr>
            <w:tcW w:w="2163" w:type="dxa"/>
            <w:shd w:val="clear" w:color="auto" w:fill="auto"/>
          </w:tcPr>
          <w:p>
            <w:pPr>
              <w:pStyle w:val="16"/>
              <w:ind w:firstLine="0" w:firstLineChars="0"/>
              <w:jc w:val="center"/>
              <w:rPr>
                <w:sz w:val="18"/>
                <w:szCs w:val="18"/>
              </w:rPr>
            </w:pPr>
            <w:r>
              <w:rPr>
                <w:rFonts w:hint="eastAsia"/>
                <w:sz w:val="18"/>
                <w:szCs w:val="18"/>
              </w:rPr>
              <w:t>着色力</w:t>
            </w:r>
            <w:r>
              <w:rPr>
                <w:sz w:val="18"/>
                <w:szCs w:val="18"/>
              </w:rPr>
              <w:t>/%</w:t>
            </w:r>
          </w:p>
        </w:tc>
        <w:tc>
          <w:tcPr>
            <w:tcW w:w="4115" w:type="dxa"/>
            <w:gridSpan w:val="2"/>
            <w:shd w:val="clear" w:color="auto" w:fill="auto"/>
          </w:tcPr>
          <w:p>
            <w:pPr>
              <w:pStyle w:val="16"/>
              <w:ind w:firstLine="0" w:firstLineChars="0"/>
              <w:jc w:val="center"/>
              <w:rPr>
                <w:sz w:val="18"/>
                <w:szCs w:val="18"/>
              </w:rPr>
            </w:pPr>
            <w:r>
              <w:rPr>
                <w:sz w:val="18"/>
                <w:szCs w:val="18"/>
              </w:rPr>
              <w:t>9</w:t>
            </w:r>
            <w:r>
              <w:rPr>
                <w:rFonts w:hint="eastAsia"/>
                <w:sz w:val="18"/>
                <w:szCs w:val="18"/>
              </w:rPr>
              <w:t>5～</w:t>
            </w:r>
            <w:r>
              <w:rPr>
                <w:sz w:val="18"/>
                <w:szCs w:val="18"/>
              </w:rPr>
              <w:t>11</w:t>
            </w:r>
            <w:r>
              <w:rPr>
                <w:rFonts w:hint="eastAsia"/>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9" w:type="dxa"/>
            <w:shd w:val="clear" w:color="auto" w:fill="auto"/>
          </w:tcPr>
          <w:p>
            <w:pPr>
              <w:pStyle w:val="16"/>
              <w:ind w:firstLine="0" w:firstLineChars="0"/>
              <w:jc w:val="center"/>
              <w:rPr>
                <w:sz w:val="18"/>
                <w:szCs w:val="18"/>
              </w:rPr>
            </w:pPr>
            <w:r>
              <w:rPr>
                <w:rFonts w:hint="eastAsia"/>
                <w:sz w:val="18"/>
                <w:szCs w:val="18"/>
              </w:rPr>
              <w:t>3</w:t>
            </w:r>
          </w:p>
        </w:tc>
        <w:tc>
          <w:tcPr>
            <w:tcW w:w="2163" w:type="dxa"/>
            <w:shd w:val="clear" w:color="auto" w:fill="auto"/>
          </w:tcPr>
          <w:p>
            <w:pPr>
              <w:pStyle w:val="16"/>
              <w:ind w:firstLine="0" w:firstLineChars="0"/>
              <w:jc w:val="center"/>
              <w:rPr>
                <w:sz w:val="18"/>
                <w:szCs w:val="18"/>
              </w:rPr>
            </w:pPr>
            <w:r>
              <w:rPr>
                <w:rFonts w:hint="eastAsia"/>
                <w:sz w:val="18"/>
                <w:szCs w:val="18"/>
              </w:rPr>
              <w:t>细度</w:t>
            </w:r>
            <w:r>
              <w:rPr>
                <w:sz w:val="18"/>
                <w:szCs w:val="18"/>
              </w:rPr>
              <w:t>/μm</w:t>
            </w:r>
          </w:p>
        </w:tc>
        <w:tc>
          <w:tcPr>
            <w:tcW w:w="4115" w:type="dxa"/>
            <w:gridSpan w:val="2"/>
            <w:shd w:val="clear" w:color="auto" w:fill="auto"/>
          </w:tcPr>
          <w:p>
            <w:pPr>
              <w:pStyle w:val="16"/>
              <w:ind w:firstLine="0" w:firstLineChars="0"/>
              <w:jc w:val="center"/>
              <w:rPr>
                <w:sz w:val="18"/>
                <w:szCs w:val="18"/>
              </w:rPr>
            </w:pPr>
            <w:r>
              <w:rPr>
                <w:rFonts w:hint="eastAsia"/>
                <w:sz w:val="18"/>
                <w:szCs w:val="18"/>
              </w:rPr>
              <w:t>≤</w:t>
            </w:r>
            <w:r>
              <w:rPr>
                <w:sz w:val="18"/>
                <w:szCs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9" w:type="dxa"/>
            <w:shd w:val="clear" w:color="auto" w:fill="auto"/>
          </w:tcPr>
          <w:p>
            <w:pPr>
              <w:pStyle w:val="16"/>
              <w:ind w:firstLine="0" w:firstLineChars="0"/>
              <w:jc w:val="center"/>
              <w:rPr>
                <w:sz w:val="18"/>
                <w:szCs w:val="18"/>
              </w:rPr>
            </w:pPr>
            <w:r>
              <w:rPr>
                <w:rFonts w:hint="eastAsia"/>
                <w:sz w:val="18"/>
                <w:szCs w:val="18"/>
              </w:rPr>
              <w:t>4</w:t>
            </w:r>
          </w:p>
        </w:tc>
        <w:tc>
          <w:tcPr>
            <w:tcW w:w="2163" w:type="dxa"/>
            <w:shd w:val="clear" w:color="auto" w:fill="auto"/>
          </w:tcPr>
          <w:p>
            <w:pPr>
              <w:pStyle w:val="16"/>
              <w:ind w:firstLine="0" w:firstLineChars="0"/>
              <w:jc w:val="center"/>
              <w:rPr>
                <w:sz w:val="18"/>
                <w:szCs w:val="18"/>
              </w:rPr>
            </w:pPr>
            <w:r>
              <w:rPr>
                <w:rFonts w:hint="eastAsia"/>
                <w:sz w:val="18"/>
                <w:szCs w:val="18"/>
              </w:rPr>
              <w:t>粘度</w:t>
            </w:r>
            <w:r>
              <w:rPr>
                <w:sz w:val="18"/>
                <w:szCs w:val="18"/>
              </w:rPr>
              <w:t>/s</w:t>
            </w:r>
          </w:p>
        </w:tc>
        <w:tc>
          <w:tcPr>
            <w:tcW w:w="4115" w:type="dxa"/>
            <w:gridSpan w:val="2"/>
            <w:shd w:val="clear" w:color="auto" w:fill="auto"/>
          </w:tcPr>
          <w:p>
            <w:pPr>
              <w:pStyle w:val="16"/>
              <w:ind w:firstLine="0" w:firstLineChars="0"/>
              <w:jc w:val="center"/>
              <w:rPr>
                <w:sz w:val="18"/>
                <w:szCs w:val="18"/>
              </w:rPr>
            </w:pPr>
            <w:r>
              <w:rPr>
                <w:rFonts w:hint="eastAsia"/>
                <w:sz w:val="18"/>
                <w:szCs w:val="18"/>
              </w:rPr>
              <w:t>15～</w:t>
            </w:r>
            <w:r>
              <w:rPr>
                <w:sz w:val="18"/>
                <w:szCs w:val="18"/>
              </w:rPr>
              <w:t>4</w:t>
            </w:r>
            <w:r>
              <w:rPr>
                <w:rFonts w:hint="eastAsia"/>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9" w:type="dxa"/>
            <w:shd w:val="clear" w:color="auto" w:fill="auto"/>
          </w:tcPr>
          <w:p>
            <w:pPr>
              <w:pStyle w:val="16"/>
              <w:ind w:firstLine="0" w:firstLineChars="0"/>
              <w:jc w:val="center"/>
              <w:rPr>
                <w:sz w:val="18"/>
                <w:szCs w:val="18"/>
              </w:rPr>
            </w:pPr>
            <w:r>
              <w:rPr>
                <w:rFonts w:hint="eastAsia"/>
                <w:sz w:val="18"/>
                <w:szCs w:val="18"/>
              </w:rPr>
              <w:t>5</w:t>
            </w:r>
          </w:p>
        </w:tc>
        <w:tc>
          <w:tcPr>
            <w:tcW w:w="2163" w:type="dxa"/>
            <w:shd w:val="clear" w:color="auto" w:fill="auto"/>
          </w:tcPr>
          <w:p>
            <w:pPr>
              <w:pStyle w:val="16"/>
              <w:ind w:firstLine="0" w:firstLineChars="0"/>
              <w:jc w:val="center"/>
              <w:rPr>
                <w:sz w:val="18"/>
                <w:szCs w:val="18"/>
              </w:rPr>
            </w:pPr>
            <w:r>
              <w:rPr>
                <w:rFonts w:hint="eastAsia"/>
                <w:sz w:val="18"/>
                <w:szCs w:val="18"/>
              </w:rPr>
              <w:t>p</w:t>
            </w:r>
            <w:r>
              <w:rPr>
                <w:sz w:val="18"/>
                <w:szCs w:val="18"/>
              </w:rPr>
              <w:t>H</w:t>
            </w:r>
          </w:p>
        </w:tc>
        <w:tc>
          <w:tcPr>
            <w:tcW w:w="4115" w:type="dxa"/>
            <w:gridSpan w:val="2"/>
            <w:shd w:val="clear" w:color="auto" w:fill="auto"/>
          </w:tcPr>
          <w:p>
            <w:pPr>
              <w:pStyle w:val="16"/>
              <w:ind w:firstLine="0" w:firstLineChars="0"/>
              <w:jc w:val="center"/>
              <w:rPr>
                <w:sz w:val="18"/>
                <w:szCs w:val="18"/>
              </w:rPr>
            </w:pPr>
            <w:r>
              <w:rPr>
                <w:rFonts w:hint="eastAsia"/>
                <w:sz w:val="18"/>
                <w:szCs w:val="18"/>
              </w:rPr>
              <w:t>7.</w:t>
            </w:r>
            <w:r>
              <w:rPr>
                <w:sz w:val="18"/>
                <w:szCs w:val="18"/>
              </w:rPr>
              <w:t>5</w:t>
            </w:r>
            <w:r>
              <w:rPr>
                <w:rFonts w:hint="eastAsia"/>
                <w:sz w:val="18"/>
                <w:szCs w:val="18"/>
              </w:rPr>
              <w:t>～9.</w:t>
            </w:r>
            <w:r>
              <w:rPr>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9" w:type="dxa"/>
            <w:shd w:val="clear" w:color="auto" w:fill="auto"/>
          </w:tcPr>
          <w:p>
            <w:pPr>
              <w:pStyle w:val="16"/>
              <w:ind w:firstLine="0" w:firstLineChars="0"/>
              <w:jc w:val="center"/>
              <w:rPr>
                <w:sz w:val="18"/>
                <w:szCs w:val="18"/>
              </w:rPr>
            </w:pPr>
            <w:r>
              <w:rPr>
                <w:rFonts w:hint="eastAsia"/>
                <w:sz w:val="18"/>
                <w:szCs w:val="18"/>
              </w:rPr>
              <w:t>6</w:t>
            </w:r>
          </w:p>
        </w:tc>
        <w:tc>
          <w:tcPr>
            <w:tcW w:w="2163" w:type="dxa"/>
            <w:shd w:val="clear" w:color="auto" w:fill="auto"/>
          </w:tcPr>
          <w:p>
            <w:pPr>
              <w:pStyle w:val="16"/>
              <w:ind w:firstLine="0" w:firstLineChars="0"/>
              <w:jc w:val="center"/>
              <w:rPr>
                <w:sz w:val="18"/>
                <w:szCs w:val="18"/>
              </w:rPr>
            </w:pPr>
            <w:r>
              <w:rPr>
                <w:rFonts w:hint="eastAsia"/>
                <w:sz w:val="18"/>
                <w:szCs w:val="18"/>
              </w:rPr>
              <w:t>初干性</w:t>
            </w:r>
            <w:r>
              <w:rPr>
                <w:sz w:val="18"/>
                <w:szCs w:val="18"/>
              </w:rPr>
              <w:t>mm/30s</w:t>
            </w:r>
          </w:p>
        </w:tc>
        <w:tc>
          <w:tcPr>
            <w:tcW w:w="4115" w:type="dxa"/>
            <w:gridSpan w:val="2"/>
            <w:shd w:val="clear" w:color="auto" w:fill="auto"/>
          </w:tcPr>
          <w:p>
            <w:pPr>
              <w:pStyle w:val="16"/>
              <w:ind w:firstLine="0" w:firstLineChars="0"/>
              <w:jc w:val="center"/>
              <w:rPr>
                <w:sz w:val="18"/>
                <w:szCs w:val="18"/>
              </w:rPr>
            </w:pPr>
            <w:r>
              <w:rPr>
                <w:sz w:val="18"/>
                <w:szCs w:val="18"/>
              </w:rPr>
              <w:t>6</w:t>
            </w:r>
            <w:r>
              <w:rPr>
                <w:rFonts w:hint="eastAsia"/>
                <w:sz w:val="18"/>
                <w:szCs w:val="18"/>
              </w:rPr>
              <w:t>～</w:t>
            </w:r>
            <w:r>
              <w:rPr>
                <w:sz w:val="18"/>
                <w:szCs w:val="18"/>
              </w:rPr>
              <w:t>5</w:t>
            </w:r>
            <w:r>
              <w:rPr>
                <w:rFonts w:hint="eastAsia"/>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9" w:type="dxa"/>
            <w:shd w:val="clear" w:color="auto" w:fill="auto"/>
          </w:tcPr>
          <w:p>
            <w:pPr>
              <w:pStyle w:val="16"/>
              <w:ind w:firstLine="0" w:firstLineChars="0"/>
              <w:jc w:val="center"/>
              <w:rPr>
                <w:sz w:val="18"/>
                <w:szCs w:val="18"/>
              </w:rPr>
            </w:pPr>
            <w:r>
              <w:rPr>
                <w:rFonts w:hint="eastAsia"/>
                <w:sz w:val="18"/>
                <w:szCs w:val="18"/>
              </w:rPr>
              <w:t>7</w:t>
            </w:r>
          </w:p>
        </w:tc>
        <w:tc>
          <w:tcPr>
            <w:tcW w:w="2163" w:type="dxa"/>
            <w:shd w:val="clear" w:color="auto" w:fill="auto"/>
          </w:tcPr>
          <w:p>
            <w:pPr>
              <w:pStyle w:val="16"/>
              <w:ind w:firstLine="0" w:firstLineChars="0"/>
              <w:jc w:val="center"/>
              <w:rPr>
                <w:sz w:val="18"/>
                <w:szCs w:val="18"/>
              </w:rPr>
            </w:pPr>
            <w:r>
              <w:rPr>
                <w:rFonts w:hint="eastAsia"/>
                <w:sz w:val="18"/>
                <w:szCs w:val="18"/>
              </w:rPr>
              <w:t>附着牢度</w:t>
            </w:r>
            <w:r>
              <w:rPr>
                <w:sz w:val="18"/>
                <w:szCs w:val="18"/>
              </w:rPr>
              <w:t>/%</w:t>
            </w:r>
          </w:p>
        </w:tc>
        <w:tc>
          <w:tcPr>
            <w:tcW w:w="4115" w:type="dxa"/>
            <w:gridSpan w:val="2"/>
            <w:shd w:val="clear" w:color="auto" w:fill="auto"/>
          </w:tcPr>
          <w:p>
            <w:pPr>
              <w:pStyle w:val="16"/>
              <w:ind w:firstLine="0" w:firstLineChars="0"/>
              <w:jc w:val="center"/>
              <w:rPr>
                <w:sz w:val="18"/>
                <w:szCs w:val="18"/>
              </w:rPr>
            </w:pPr>
            <w:r>
              <w:rPr>
                <w:rFonts w:hint="eastAsia"/>
                <w:sz w:val="18"/>
                <w:szCs w:val="18"/>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9" w:type="dxa"/>
            <w:shd w:val="clear" w:color="auto" w:fill="auto"/>
          </w:tcPr>
          <w:p>
            <w:pPr>
              <w:pStyle w:val="16"/>
              <w:ind w:firstLine="0" w:firstLineChars="0"/>
              <w:jc w:val="center"/>
              <w:rPr>
                <w:sz w:val="18"/>
                <w:szCs w:val="18"/>
              </w:rPr>
            </w:pPr>
            <w:r>
              <w:rPr>
                <w:rFonts w:hint="eastAsia"/>
                <w:sz w:val="18"/>
                <w:szCs w:val="18"/>
              </w:rPr>
              <w:t>8</w:t>
            </w:r>
          </w:p>
        </w:tc>
        <w:tc>
          <w:tcPr>
            <w:tcW w:w="2163" w:type="dxa"/>
            <w:shd w:val="clear" w:color="auto" w:fill="auto"/>
          </w:tcPr>
          <w:p>
            <w:pPr>
              <w:pStyle w:val="16"/>
              <w:ind w:firstLine="0" w:firstLineChars="0"/>
              <w:jc w:val="center"/>
              <w:rPr>
                <w:sz w:val="18"/>
                <w:szCs w:val="18"/>
                <w:highlight w:val="yellow"/>
              </w:rPr>
            </w:pPr>
            <w:r>
              <w:rPr>
                <w:rFonts w:hint="eastAsia"/>
                <w:sz w:val="18"/>
                <w:szCs w:val="18"/>
              </w:rPr>
              <w:t>复合强度/（N</w:t>
            </w:r>
            <w:r>
              <w:rPr>
                <w:sz w:val="18"/>
                <w:szCs w:val="18"/>
              </w:rPr>
              <w:t>/15</w:t>
            </w:r>
            <w:r>
              <w:rPr>
                <w:rFonts w:hint="eastAsia"/>
                <w:sz w:val="18"/>
                <w:szCs w:val="18"/>
              </w:rPr>
              <w:t>mm）</w:t>
            </w:r>
          </w:p>
        </w:tc>
        <w:tc>
          <w:tcPr>
            <w:tcW w:w="4115" w:type="dxa"/>
            <w:gridSpan w:val="2"/>
            <w:shd w:val="clear" w:color="auto" w:fill="auto"/>
          </w:tcPr>
          <w:p>
            <w:pPr>
              <w:pStyle w:val="16"/>
              <w:ind w:firstLine="0" w:firstLineChars="0"/>
              <w:jc w:val="center"/>
              <w:rPr>
                <w:sz w:val="18"/>
                <w:szCs w:val="18"/>
                <w:highlight w:val="yellow"/>
              </w:rPr>
            </w:pPr>
            <w:r>
              <w:rPr>
                <w:rFonts w:hint="eastAsia"/>
                <w:sz w:val="18"/>
                <w:szCs w:val="18"/>
              </w:rPr>
              <w:t>≥</w:t>
            </w:r>
            <w:r>
              <w:rPr>
                <w:sz w:val="18"/>
                <w:szCs w:val="18"/>
              </w:rPr>
              <w:t xml:space="preserve">0.6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809" w:type="dxa"/>
            <w:vMerge w:val="restart"/>
            <w:shd w:val="clear" w:color="auto" w:fill="auto"/>
          </w:tcPr>
          <w:p>
            <w:pPr>
              <w:pStyle w:val="16"/>
              <w:ind w:firstLine="0" w:firstLineChars="0"/>
              <w:jc w:val="center"/>
              <w:rPr>
                <w:sz w:val="18"/>
                <w:szCs w:val="18"/>
              </w:rPr>
            </w:pPr>
            <w:r>
              <w:rPr>
                <w:sz w:val="18"/>
                <w:szCs w:val="18"/>
              </w:rPr>
              <w:t>9</w:t>
            </w:r>
          </w:p>
        </w:tc>
        <w:tc>
          <w:tcPr>
            <w:tcW w:w="2163" w:type="dxa"/>
            <w:vMerge w:val="restart"/>
            <w:shd w:val="clear" w:color="auto" w:fill="auto"/>
            <w:vAlign w:val="center"/>
          </w:tcPr>
          <w:p>
            <w:pPr>
              <w:pStyle w:val="16"/>
              <w:ind w:firstLine="0" w:firstLineChars="0"/>
              <w:jc w:val="center"/>
              <w:rPr>
                <w:sz w:val="18"/>
                <w:szCs w:val="18"/>
                <w:highlight w:val="yellow"/>
              </w:rPr>
            </w:pPr>
            <w:r>
              <w:rPr>
                <w:rFonts w:hint="eastAsia"/>
                <w:sz w:val="18"/>
                <w:szCs w:val="18"/>
              </w:rPr>
              <w:t>不挥发物含量 /%</w:t>
            </w:r>
          </w:p>
        </w:tc>
        <w:tc>
          <w:tcPr>
            <w:tcW w:w="2057" w:type="dxa"/>
            <w:shd w:val="clear" w:color="auto" w:fill="auto"/>
          </w:tcPr>
          <w:p>
            <w:pPr>
              <w:pStyle w:val="16"/>
              <w:ind w:firstLine="0" w:firstLineChars="0"/>
              <w:jc w:val="center"/>
              <w:rPr>
                <w:sz w:val="18"/>
                <w:szCs w:val="18"/>
                <w:highlight w:val="yellow"/>
              </w:rPr>
            </w:pPr>
            <w:r>
              <w:rPr>
                <w:rFonts w:hint="eastAsia"/>
                <w:sz w:val="18"/>
                <w:szCs w:val="18"/>
              </w:rPr>
              <w:t>色墨</w:t>
            </w:r>
            <w:r>
              <w:rPr>
                <w:sz w:val="18"/>
                <w:szCs w:val="18"/>
              </w:rPr>
              <w:t xml:space="preserve"> </w:t>
            </w:r>
          </w:p>
        </w:tc>
        <w:tc>
          <w:tcPr>
            <w:tcW w:w="2058" w:type="dxa"/>
            <w:shd w:val="clear" w:color="auto" w:fill="auto"/>
          </w:tcPr>
          <w:p>
            <w:pPr>
              <w:pStyle w:val="16"/>
              <w:ind w:firstLine="0" w:firstLineChars="0"/>
              <w:jc w:val="center"/>
              <w:rPr>
                <w:sz w:val="18"/>
                <w:szCs w:val="18"/>
              </w:rPr>
            </w:pPr>
            <w:r>
              <w:rPr>
                <w:rFonts w:hint="eastAsia"/>
                <w:sz w:val="18"/>
                <w:szCs w:val="18"/>
              </w:rPr>
              <w:t>≥</w:t>
            </w:r>
            <w:r>
              <w:rPr>
                <w:sz w:val="18"/>
                <w:szCs w:val="18"/>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809" w:type="dxa"/>
            <w:vMerge w:val="continue"/>
            <w:shd w:val="clear" w:color="auto" w:fill="auto"/>
          </w:tcPr>
          <w:p>
            <w:pPr>
              <w:pStyle w:val="16"/>
              <w:ind w:firstLine="0" w:firstLineChars="0"/>
              <w:jc w:val="center"/>
              <w:rPr>
                <w:sz w:val="18"/>
                <w:szCs w:val="18"/>
              </w:rPr>
            </w:pPr>
          </w:p>
        </w:tc>
        <w:tc>
          <w:tcPr>
            <w:tcW w:w="2163" w:type="dxa"/>
            <w:vMerge w:val="continue"/>
            <w:shd w:val="clear" w:color="auto" w:fill="auto"/>
          </w:tcPr>
          <w:p>
            <w:pPr>
              <w:pStyle w:val="16"/>
              <w:ind w:firstLine="0" w:firstLineChars="0"/>
              <w:jc w:val="center"/>
              <w:rPr>
                <w:sz w:val="18"/>
                <w:szCs w:val="18"/>
              </w:rPr>
            </w:pPr>
          </w:p>
        </w:tc>
        <w:tc>
          <w:tcPr>
            <w:tcW w:w="2057" w:type="dxa"/>
            <w:shd w:val="clear" w:color="auto" w:fill="auto"/>
          </w:tcPr>
          <w:p>
            <w:pPr>
              <w:pStyle w:val="16"/>
              <w:ind w:firstLine="0" w:firstLineChars="0"/>
              <w:jc w:val="center"/>
              <w:rPr>
                <w:sz w:val="18"/>
                <w:szCs w:val="18"/>
              </w:rPr>
            </w:pPr>
            <w:r>
              <w:rPr>
                <w:rFonts w:hint="eastAsia"/>
                <w:sz w:val="18"/>
                <w:szCs w:val="18"/>
              </w:rPr>
              <w:t>白墨</w:t>
            </w:r>
          </w:p>
        </w:tc>
        <w:tc>
          <w:tcPr>
            <w:tcW w:w="2058" w:type="dxa"/>
            <w:shd w:val="clear" w:color="auto" w:fill="auto"/>
          </w:tcPr>
          <w:p>
            <w:pPr>
              <w:pStyle w:val="16"/>
              <w:ind w:firstLine="0" w:firstLineChars="0"/>
              <w:jc w:val="center"/>
              <w:rPr>
                <w:sz w:val="18"/>
                <w:szCs w:val="18"/>
              </w:rPr>
            </w:pPr>
            <w:r>
              <w:rPr>
                <w:rFonts w:hint="eastAsia"/>
                <w:sz w:val="18"/>
                <w:szCs w:val="18"/>
              </w:rPr>
              <w:t>≥</w:t>
            </w:r>
            <w:r>
              <w:rPr>
                <w:sz w:val="18"/>
                <w:szCs w:val="18"/>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9" w:type="dxa"/>
            <w:shd w:val="clear" w:color="auto" w:fill="auto"/>
          </w:tcPr>
          <w:p>
            <w:pPr>
              <w:pStyle w:val="16"/>
              <w:ind w:firstLine="0" w:firstLineChars="0"/>
              <w:jc w:val="center"/>
              <w:rPr>
                <w:sz w:val="18"/>
                <w:szCs w:val="18"/>
              </w:rPr>
            </w:pPr>
            <w:r>
              <w:rPr>
                <w:sz w:val="18"/>
                <w:szCs w:val="18"/>
              </w:rPr>
              <w:t>10</w:t>
            </w:r>
          </w:p>
        </w:tc>
        <w:tc>
          <w:tcPr>
            <w:tcW w:w="2163" w:type="dxa"/>
            <w:shd w:val="clear" w:color="auto" w:fill="auto"/>
          </w:tcPr>
          <w:p>
            <w:pPr>
              <w:pStyle w:val="16"/>
              <w:ind w:firstLine="0" w:firstLineChars="0"/>
              <w:jc w:val="center"/>
              <w:rPr>
                <w:sz w:val="18"/>
                <w:szCs w:val="18"/>
              </w:rPr>
            </w:pPr>
            <w:r>
              <w:rPr>
                <w:rFonts w:hint="eastAsia"/>
                <w:sz w:val="18"/>
                <w:szCs w:val="18"/>
              </w:rPr>
              <w:t>VOCs含量/%</w:t>
            </w:r>
            <w:r>
              <w:rPr>
                <w:sz w:val="18"/>
                <w:szCs w:val="18"/>
                <w:vertAlign w:val="superscript"/>
              </w:rPr>
              <w:t>*</w:t>
            </w:r>
          </w:p>
        </w:tc>
        <w:tc>
          <w:tcPr>
            <w:tcW w:w="4115" w:type="dxa"/>
            <w:gridSpan w:val="2"/>
            <w:shd w:val="clear" w:color="auto" w:fill="auto"/>
          </w:tcPr>
          <w:p>
            <w:pPr>
              <w:pStyle w:val="16"/>
              <w:ind w:firstLine="0" w:firstLineChars="0"/>
              <w:jc w:val="center"/>
              <w:rPr>
                <w:sz w:val="18"/>
                <w:szCs w:val="18"/>
              </w:rPr>
            </w:pPr>
            <w:r>
              <w:rPr>
                <w:rFonts w:hint="eastAsia"/>
                <w:sz w:val="18"/>
                <w:szCs w:val="18"/>
              </w:rPr>
              <w:t>≤</w:t>
            </w:r>
            <w:r>
              <w:rPr>
                <w:sz w:val="18"/>
                <w:szCs w:val="1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7" w:type="dxa"/>
            <w:gridSpan w:val="4"/>
            <w:shd w:val="clear" w:color="auto" w:fill="auto"/>
          </w:tcPr>
          <w:p>
            <w:pPr>
              <w:pStyle w:val="16"/>
              <w:ind w:firstLine="0" w:firstLineChars="0"/>
              <w:jc w:val="left"/>
              <w:rPr>
                <w:sz w:val="18"/>
                <w:szCs w:val="18"/>
              </w:rPr>
            </w:pPr>
            <w:r>
              <w:rPr>
                <w:rFonts w:hint="eastAsia"/>
                <w:sz w:val="18"/>
                <w:szCs w:val="18"/>
              </w:rPr>
              <w:t>注：VOCs含量/%中，禁用溶剂应符合GB 38507-2020规定，并禁用甲醇。</w:t>
            </w:r>
          </w:p>
        </w:tc>
      </w:tr>
    </w:tbl>
    <w:p>
      <w:pPr>
        <w:pStyle w:val="16"/>
        <w:ind w:firstLine="0" w:firstLineChars="0"/>
        <w:rPr>
          <w:sz w:val="18"/>
          <w:szCs w:val="18"/>
        </w:rPr>
      </w:pPr>
      <w:r>
        <w:rPr>
          <w:rFonts w:hint="eastAsia"/>
        </w:rPr>
        <w:t xml:space="preserve"> </w:t>
      </w:r>
      <w:r>
        <w:t xml:space="preserve">    </w:t>
      </w:r>
      <w:r>
        <w:rPr>
          <w:sz w:val="18"/>
          <w:szCs w:val="18"/>
        </w:rPr>
        <w:t xml:space="preserve"> </w:t>
      </w:r>
    </w:p>
    <w:p>
      <w:pPr>
        <w:pStyle w:val="32"/>
        <w:spacing w:before="156" w:after="156"/>
        <w:ind w:left="284"/>
      </w:pPr>
      <w:r>
        <w:rPr>
          <w:rFonts w:hint="eastAsia"/>
        </w:rPr>
        <w:t>有害元素的限量</w:t>
      </w:r>
    </w:p>
    <w:p>
      <w:pPr>
        <w:pStyle w:val="36"/>
        <w:spacing w:before="156" w:after="156"/>
        <w:ind w:left="284"/>
      </w:pPr>
      <w:r>
        <w:rPr>
          <w:rFonts w:hint="eastAsia"/>
        </w:rPr>
        <w:t>可溶性有害元素的限量</w:t>
      </w:r>
    </w:p>
    <w:p>
      <w:pPr>
        <w:pStyle w:val="16"/>
        <w:ind w:firstLine="0" w:firstLineChars="0"/>
      </w:pPr>
      <w:r>
        <w:rPr>
          <w:rFonts w:hint="eastAsia"/>
        </w:rPr>
        <w:t xml:space="preserve"> </w:t>
      </w:r>
      <w:r>
        <w:t xml:space="preserve">   </w:t>
      </w:r>
      <w:r>
        <w:rPr>
          <w:rFonts w:hint="eastAsia"/>
        </w:rPr>
        <w:t>产品中可溶性有害元素的最大限量应符合表2的规定。</w:t>
      </w:r>
    </w:p>
    <w:p>
      <w:pPr>
        <w:pStyle w:val="16"/>
        <w:ind w:firstLine="2730" w:firstLineChars="1300"/>
        <w:jc w:val="left"/>
        <w:rPr>
          <w:rFonts w:ascii="黑体" w:hAnsi="黑体" w:eastAsia="黑体"/>
        </w:rPr>
      </w:pPr>
    </w:p>
    <w:p>
      <w:pPr>
        <w:pStyle w:val="16"/>
        <w:ind w:firstLine="2730" w:firstLineChars="1300"/>
        <w:jc w:val="left"/>
        <w:rPr>
          <w:rFonts w:ascii="黑体" w:hAnsi="黑体" w:eastAsia="黑体"/>
        </w:rPr>
      </w:pPr>
      <w:r>
        <w:rPr>
          <w:rFonts w:hint="eastAsia" w:ascii="黑体" w:hAnsi="黑体" w:eastAsia="黑体"/>
        </w:rPr>
        <w:t>表2 可溶性有害元素的最大限量</w:t>
      </w:r>
      <w:r>
        <w:rPr>
          <w:rFonts w:ascii="黑体" w:hAnsi="黑体" w:eastAsia="黑体"/>
        </w:rPr>
        <w:t xml:space="preserve">              </w:t>
      </w:r>
      <w:r>
        <w:rPr>
          <w:rFonts w:hint="eastAsia" w:hAnsi="宋体"/>
          <w:sz w:val="18"/>
          <w:szCs w:val="18"/>
        </w:rPr>
        <w:t>单位：mg</w:t>
      </w:r>
      <w:r>
        <w:rPr>
          <w:rFonts w:hAnsi="宋体"/>
          <w:sz w:val="18"/>
          <w:szCs w:val="18"/>
        </w:rPr>
        <w:t>/</w:t>
      </w:r>
      <w:r>
        <w:rPr>
          <w:rFonts w:hint="eastAsia" w:hAnsi="宋体"/>
          <w:sz w:val="18"/>
          <w:szCs w:val="18"/>
        </w:rPr>
        <w:t>kg</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885"/>
        <w:gridCol w:w="886"/>
        <w:gridCol w:w="886"/>
        <w:gridCol w:w="886"/>
        <w:gridCol w:w="886"/>
        <w:gridCol w:w="886"/>
        <w:gridCol w:w="886"/>
        <w:gridCol w:w="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shd w:val="clear" w:color="auto" w:fill="auto"/>
          </w:tcPr>
          <w:p>
            <w:pPr>
              <w:pStyle w:val="16"/>
              <w:ind w:firstLine="0" w:firstLineChars="0"/>
              <w:jc w:val="center"/>
              <w:rPr>
                <w:rFonts w:hAnsi="宋体"/>
                <w:sz w:val="18"/>
                <w:szCs w:val="18"/>
              </w:rPr>
            </w:pPr>
            <w:r>
              <w:rPr>
                <w:rFonts w:hint="eastAsia" w:hAnsi="宋体"/>
                <w:sz w:val="18"/>
                <w:szCs w:val="18"/>
              </w:rPr>
              <w:t>元素名称</w:t>
            </w:r>
          </w:p>
        </w:tc>
        <w:tc>
          <w:tcPr>
            <w:tcW w:w="885" w:type="dxa"/>
            <w:shd w:val="clear" w:color="auto" w:fill="auto"/>
          </w:tcPr>
          <w:p>
            <w:pPr>
              <w:pStyle w:val="16"/>
              <w:ind w:firstLine="0" w:firstLineChars="0"/>
              <w:jc w:val="center"/>
              <w:rPr>
                <w:rFonts w:hAnsi="宋体"/>
                <w:sz w:val="18"/>
                <w:szCs w:val="18"/>
              </w:rPr>
            </w:pPr>
            <w:r>
              <w:rPr>
                <w:rFonts w:hint="eastAsia"/>
                <w:sz w:val="18"/>
                <w:szCs w:val="18"/>
              </w:rPr>
              <w:t xml:space="preserve">砷 As </w:t>
            </w:r>
          </w:p>
        </w:tc>
        <w:tc>
          <w:tcPr>
            <w:tcW w:w="886" w:type="dxa"/>
            <w:shd w:val="clear" w:color="auto" w:fill="auto"/>
          </w:tcPr>
          <w:p>
            <w:pPr>
              <w:pStyle w:val="16"/>
              <w:ind w:firstLine="0" w:firstLineChars="0"/>
              <w:jc w:val="center"/>
              <w:rPr>
                <w:sz w:val="18"/>
                <w:szCs w:val="18"/>
              </w:rPr>
            </w:pPr>
            <w:r>
              <w:rPr>
                <w:rFonts w:hint="eastAsia"/>
                <w:sz w:val="18"/>
                <w:szCs w:val="18"/>
              </w:rPr>
              <w:t xml:space="preserve">锑 Sb </w:t>
            </w:r>
          </w:p>
        </w:tc>
        <w:tc>
          <w:tcPr>
            <w:tcW w:w="886" w:type="dxa"/>
            <w:shd w:val="clear" w:color="auto" w:fill="auto"/>
          </w:tcPr>
          <w:p>
            <w:pPr>
              <w:pStyle w:val="16"/>
              <w:ind w:firstLine="0" w:firstLineChars="0"/>
              <w:jc w:val="center"/>
              <w:rPr>
                <w:sz w:val="18"/>
                <w:szCs w:val="18"/>
              </w:rPr>
            </w:pPr>
            <w:r>
              <w:rPr>
                <w:rFonts w:hint="eastAsia"/>
                <w:sz w:val="18"/>
                <w:szCs w:val="18"/>
              </w:rPr>
              <w:t xml:space="preserve">铬 Cr </w:t>
            </w:r>
          </w:p>
        </w:tc>
        <w:tc>
          <w:tcPr>
            <w:tcW w:w="886" w:type="dxa"/>
            <w:shd w:val="clear" w:color="auto" w:fill="auto"/>
          </w:tcPr>
          <w:p>
            <w:pPr>
              <w:pStyle w:val="16"/>
              <w:ind w:firstLine="0" w:firstLineChars="0"/>
              <w:jc w:val="center"/>
              <w:rPr>
                <w:sz w:val="18"/>
                <w:szCs w:val="18"/>
              </w:rPr>
            </w:pPr>
            <w:r>
              <w:rPr>
                <w:rFonts w:hint="eastAsia"/>
                <w:sz w:val="18"/>
                <w:szCs w:val="18"/>
              </w:rPr>
              <w:t xml:space="preserve">汞 Hg </w:t>
            </w:r>
          </w:p>
        </w:tc>
        <w:tc>
          <w:tcPr>
            <w:tcW w:w="886" w:type="dxa"/>
            <w:shd w:val="clear" w:color="auto" w:fill="auto"/>
          </w:tcPr>
          <w:p>
            <w:pPr>
              <w:pStyle w:val="16"/>
              <w:ind w:firstLine="0" w:firstLineChars="0"/>
              <w:jc w:val="center"/>
              <w:rPr>
                <w:sz w:val="18"/>
                <w:szCs w:val="18"/>
              </w:rPr>
            </w:pPr>
            <w:r>
              <w:rPr>
                <w:rFonts w:hint="eastAsia"/>
                <w:sz w:val="18"/>
                <w:szCs w:val="18"/>
              </w:rPr>
              <w:t xml:space="preserve">镉 Cd </w:t>
            </w:r>
          </w:p>
        </w:tc>
        <w:tc>
          <w:tcPr>
            <w:tcW w:w="886" w:type="dxa"/>
            <w:shd w:val="clear" w:color="auto" w:fill="auto"/>
          </w:tcPr>
          <w:p>
            <w:pPr>
              <w:pStyle w:val="16"/>
              <w:ind w:firstLine="0" w:firstLineChars="0"/>
              <w:jc w:val="center"/>
              <w:rPr>
                <w:sz w:val="18"/>
                <w:szCs w:val="18"/>
              </w:rPr>
            </w:pPr>
            <w:r>
              <w:rPr>
                <w:rFonts w:hint="eastAsia"/>
                <w:sz w:val="18"/>
                <w:szCs w:val="18"/>
              </w:rPr>
              <w:t xml:space="preserve">铅 Pb </w:t>
            </w:r>
          </w:p>
        </w:tc>
        <w:tc>
          <w:tcPr>
            <w:tcW w:w="886" w:type="dxa"/>
            <w:shd w:val="clear" w:color="auto" w:fill="auto"/>
          </w:tcPr>
          <w:p>
            <w:pPr>
              <w:pStyle w:val="16"/>
              <w:ind w:firstLine="0" w:firstLineChars="0"/>
              <w:jc w:val="center"/>
              <w:rPr>
                <w:sz w:val="18"/>
                <w:szCs w:val="18"/>
              </w:rPr>
            </w:pPr>
            <w:r>
              <w:rPr>
                <w:rFonts w:hint="eastAsia"/>
                <w:sz w:val="18"/>
                <w:szCs w:val="18"/>
              </w:rPr>
              <w:t>硒Se</w:t>
            </w:r>
          </w:p>
        </w:tc>
        <w:tc>
          <w:tcPr>
            <w:tcW w:w="886" w:type="dxa"/>
            <w:shd w:val="clear" w:color="auto" w:fill="auto"/>
          </w:tcPr>
          <w:p>
            <w:pPr>
              <w:pStyle w:val="16"/>
              <w:ind w:firstLine="0" w:firstLineChars="0"/>
              <w:jc w:val="center"/>
              <w:rPr>
                <w:rFonts w:hAnsi="宋体"/>
                <w:sz w:val="18"/>
                <w:szCs w:val="18"/>
              </w:rPr>
            </w:pPr>
            <w:r>
              <w:rPr>
                <w:rFonts w:hint="eastAsia"/>
                <w:sz w:val="18"/>
                <w:szCs w:val="18"/>
              </w:rPr>
              <w:t xml:space="preserve">钡 Ba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shd w:val="clear" w:color="auto" w:fill="auto"/>
          </w:tcPr>
          <w:p>
            <w:pPr>
              <w:pStyle w:val="16"/>
              <w:ind w:firstLine="0" w:firstLineChars="0"/>
              <w:jc w:val="center"/>
              <w:rPr>
                <w:rFonts w:hAnsi="宋体"/>
                <w:sz w:val="18"/>
                <w:szCs w:val="18"/>
              </w:rPr>
            </w:pPr>
            <w:r>
              <w:rPr>
                <w:rFonts w:hint="eastAsia" w:hAnsi="宋体"/>
                <w:sz w:val="18"/>
                <w:szCs w:val="18"/>
              </w:rPr>
              <w:t>限量</w:t>
            </w:r>
          </w:p>
        </w:tc>
        <w:tc>
          <w:tcPr>
            <w:tcW w:w="885" w:type="dxa"/>
            <w:shd w:val="clear" w:color="auto" w:fill="auto"/>
          </w:tcPr>
          <w:p>
            <w:pPr>
              <w:pStyle w:val="16"/>
              <w:ind w:firstLine="0" w:firstLineChars="0"/>
              <w:jc w:val="center"/>
              <w:rPr>
                <w:rFonts w:hAnsi="宋体"/>
                <w:sz w:val="18"/>
                <w:szCs w:val="18"/>
              </w:rPr>
            </w:pPr>
            <w:r>
              <w:rPr>
                <w:rFonts w:hint="eastAsia" w:hAnsi="宋体"/>
                <w:sz w:val="18"/>
                <w:szCs w:val="18"/>
              </w:rPr>
              <w:t>2</w:t>
            </w:r>
            <w:r>
              <w:rPr>
                <w:rFonts w:hAnsi="宋体"/>
                <w:sz w:val="18"/>
                <w:szCs w:val="18"/>
              </w:rPr>
              <w:t>5</w:t>
            </w:r>
          </w:p>
        </w:tc>
        <w:tc>
          <w:tcPr>
            <w:tcW w:w="886" w:type="dxa"/>
            <w:shd w:val="clear" w:color="auto" w:fill="auto"/>
          </w:tcPr>
          <w:p>
            <w:pPr>
              <w:pStyle w:val="16"/>
              <w:ind w:firstLine="0" w:firstLineChars="0"/>
              <w:jc w:val="center"/>
              <w:rPr>
                <w:rFonts w:hAnsi="宋体"/>
                <w:sz w:val="18"/>
                <w:szCs w:val="18"/>
              </w:rPr>
            </w:pPr>
            <w:r>
              <w:rPr>
                <w:rFonts w:hint="eastAsia" w:hAnsi="宋体"/>
                <w:sz w:val="18"/>
                <w:szCs w:val="18"/>
              </w:rPr>
              <w:t>6</w:t>
            </w:r>
            <w:r>
              <w:rPr>
                <w:rFonts w:hAnsi="宋体"/>
                <w:sz w:val="18"/>
                <w:szCs w:val="18"/>
              </w:rPr>
              <w:t>0</w:t>
            </w:r>
          </w:p>
        </w:tc>
        <w:tc>
          <w:tcPr>
            <w:tcW w:w="886" w:type="dxa"/>
            <w:shd w:val="clear" w:color="auto" w:fill="auto"/>
          </w:tcPr>
          <w:p>
            <w:pPr>
              <w:pStyle w:val="16"/>
              <w:ind w:firstLine="0" w:firstLineChars="0"/>
              <w:jc w:val="center"/>
              <w:rPr>
                <w:rFonts w:hAnsi="宋体"/>
                <w:sz w:val="18"/>
                <w:szCs w:val="18"/>
              </w:rPr>
            </w:pPr>
            <w:r>
              <w:rPr>
                <w:rFonts w:hint="eastAsia" w:hAnsi="宋体"/>
                <w:sz w:val="18"/>
                <w:szCs w:val="18"/>
              </w:rPr>
              <w:t>6</w:t>
            </w:r>
            <w:r>
              <w:rPr>
                <w:rFonts w:hAnsi="宋体"/>
                <w:sz w:val="18"/>
                <w:szCs w:val="18"/>
              </w:rPr>
              <w:t>0</w:t>
            </w:r>
          </w:p>
        </w:tc>
        <w:tc>
          <w:tcPr>
            <w:tcW w:w="886" w:type="dxa"/>
            <w:shd w:val="clear" w:color="auto" w:fill="auto"/>
          </w:tcPr>
          <w:p>
            <w:pPr>
              <w:pStyle w:val="16"/>
              <w:ind w:firstLine="0" w:firstLineChars="0"/>
              <w:jc w:val="center"/>
              <w:rPr>
                <w:rFonts w:hAnsi="宋体"/>
                <w:sz w:val="18"/>
                <w:szCs w:val="18"/>
              </w:rPr>
            </w:pPr>
            <w:r>
              <w:rPr>
                <w:rFonts w:hint="eastAsia" w:hAnsi="宋体"/>
                <w:sz w:val="18"/>
                <w:szCs w:val="18"/>
              </w:rPr>
              <w:t>6</w:t>
            </w:r>
            <w:r>
              <w:rPr>
                <w:rFonts w:hAnsi="宋体"/>
                <w:sz w:val="18"/>
                <w:szCs w:val="18"/>
              </w:rPr>
              <w:t>0</w:t>
            </w:r>
          </w:p>
        </w:tc>
        <w:tc>
          <w:tcPr>
            <w:tcW w:w="886" w:type="dxa"/>
            <w:shd w:val="clear" w:color="auto" w:fill="auto"/>
          </w:tcPr>
          <w:p>
            <w:pPr>
              <w:pStyle w:val="16"/>
              <w:ind w:firstLine="0" w:firstLineChars="0"/>
              <w:jc w:val="center"/>
              <w:rPr>
                <w:rFonts w:hAnsi="宋体"/>
                <w:sz w:val="18"/>
                <w:szCs w:val="18"/>
              </w:rPr>
            </w:pPr>
            <w:r>
              <w:rPr>
                <w:rFonts w:hint="eastAsia" w:hAnsi="宋体"/>
                <w:sz w:val="18"/>
                <w:szCs w:val="18"/>
              </w:rPr>
              <w:t>7</w:t>
            </w:r>
            <w:r>
              <w:rPr>
                <w:rFonts w:hAnsi="宋体"/>
                <w:sz w:val="18"/>
                <w:szCs w:val="18"/>
              </w:rPr>
              <w:t>5</w:t>
            </w:r>
          </w:p>
        </w:tc>
        <w:tc>
          <w:tcPr>
            <w:tcW w:w="886" w:type="dxa"/>
            <w:shd w:val="clear" w:color="auto" w:fill="auto"/>
          </w:tcPr>
          <w:p>
            <w:pPr>
              <w:pStyle w:val="16"/>
              <w:ind w:firstLine="0" w:firstLineChars="0"/>
              <w:jc w:val="center"/>
              <w:rPr>
                <w:rFonts w:hAnsi="宋体"/>
                <w:sz w:val="18"/>
                <w:szCs w:val="18"/>
              </w:rPr>
            </w:pPr>
            <w:r>
              <w:rPr>
                <w:rFonts w:hint="eastAsia" w:hAnsi="宋体"/>
                <w:sz w:val="18"/>
                <w:szCs w:val="18"/>
              </w:rPr>
              <w:t>9</w:t>
            </w:r>
            <w:r>
              <w:rPr>
                <w:rFonts w:hAnsi="宋体"/>
                <w:sz w:val="18"/>
                <w:szCs w:val="18"/>
              </w:rPr>
              <w:t>0</w:t>
            </w:r>
          </w:p>
        </w:tc>
        <w:tc>
          <w:tcPr>
            <w:tcW w:w="886" w:type="dxa"/>
            <w:shd w:val="clear" w:color="auto" w:fill="auto"/>
          </w:tcPr>
          <w:p>
            <w:pPr>
              <w:pStyle w:val="16"/>
              <w:ind w:firstLine="0" w:firstLineChars="0"/>
              <w:jc w:val="center"/>
              <w:rPr>
                <w:rFonts w:hAnsi="宋体"/>
                <w:sz w:val="18"/>
                <w:szCs w:val="18"/>
              </w:rPr>
            </w:pPr>
            <w:r>
              <w:rPr>
                <w:rFonts w:hint="eastAsia" w:hAnsi="宋体"/>
                <w:sz w:val="18"/>
                <w:szCs w:val="18"/>
              </w:rPr>
              <w:t>5</w:t>
            </w:r>
            <w:r>
              <w:rPr>
                <w:rFonts w:hAnsi="宋体"/>
                <w:sz w:val="18"/>
                <w:szCs w:val="18"/>
              </w:rPr>
              <w:t>00</w:t>
            </w:r>
          </w:p>
        </w:tc>
        <w:tc>
          <w:tcPr>
            <w:tcW w:w="886" w:type="dxa"/>
            <w:shd w:val="clear" w:color="auto" w:fill="auto"/>
          </w:tcPr>
          <w:p>
            <w:pPr>
              <w:pStyle w:val="16"/>
              <w:ind w:firstLine="0" w:firstLineChars="0"/>
              <w:jc w:val="center"/>
              <w:rPr>
                <w:rFonts w:hAnsi="宋体"/>
                <w:sz w:val="18"/>
                <w:szCs w:val="18"/>
              </w:rPr>
            </w:pPr>
            <w:r>
              <w:rPr>
                <w:rFonts w:hint="eastAsia" w:hAnsi="宋体"/>
                <w:sz w:val="18"/>
                <w:szCs w:val="18"/>
              </w:rPr>
              <w:t>1</w:t>
            </w:r>
            <w:r>
              <w:rPr>
                <w:rFonts w:hAnsi="宋体"/>
                <w:sz w:val="18"/>
                <w:szCs w:val="18"/>
              </w:rPr>
              <w:t>000</w:t>
            </w:r>
          </w:p>
        </w:tc>
      </w:tr>
    </w:tbl>
    <w:p>
      <w:pPr>
        <w:pStyle w:val="16"/>
        <w:ind w:firstLine="0" w:firstLineChars="0"/>
        <w:jc w:val="center"/>
        <w:rPr>
          <w:rFonts w:ascii="黑体" w:hAnsi="黑体" w:eastAsia="黑体"/>
        </w:rPr>
      </w:pPr>
    </w:p>
    <w:p>
      <w:pPr>
        <w:pStyle w:val="36"/>
        <w:spacing w:before="156" w:after="156"/>
        <w:ind w:left="284"/>
      </w:pPr>
      <w:r>
        <w:rPr>
          <w:rFonts w:hint="eastAsia"/>
        </w:rPr>
        <w:t>有害元素总含量限量</w:t>
      </w:r>
    </w:p>
    <w:p>
      <w:pPr>
        <w:pStyle w:val="16"/>
      </w:pPr>
      <w:r>
        <w:rPr>
          <w:rFonts w:hint="eastAsia"/>
        </w:rPr>
        <w:t>铅（Pb）、汞（Hg）、镉（Cd）、六价铬[Cr（Ⅵ）]的总含量应小于100mg/kg。</w:t>
      </w:r>
    </w:p>
    <w:p>
      <w:pPr>
        <w:pStyle w:val="35"/>
        <w:spacing w:before="312" w:after="312"/>
        <w:rPr>
          <w:szCs w:val="21"/>
        </w:rPr>
      </w:pPr>
      <w:r>
        <w:rPr>
          <w:rFonts w:hint="eastAsia"/>
          <w:szCs w:val="21"/>
        </w:rPr>
        <w:t>测试方法</w:t>
      </w:r>
    </w:p>
    <w:p>
      <w:pPr>
        <w:pStyle w:val="32"/>
        <w:spacing w:before="156" w:after="156"/>
        <w:ind w:left="284"/>
      </w:pPr>
      <w:r>
        <w:rPr>
          <w:rFonts w:hint="eastAsia"/>
        </w:rPr>
        <w:t xml:space="preserve">颜色测试 </w:t>
      </w:r>
    </w:p>
    <w:p>
      <w:pPr>
        <w:pStyle w:val="16"/>
      </w:pPr>
      <w:r>
        <w:rPr>
          <w:rFonts w:hint="eastAsia"/>
        </w:rPr>
        <w:t>按照GB/T 13217.1规定的方法进行测试。</w:t>
      </w:r>
    </w:p>
    <w:p>
      <w:pPr>
        <w:pStyle w:val="32"/>
        <w:spacing w:before="156" w:after="156"/>
        <w:ind w:left="284"/>
      </w:pPr>
      <w:r>
        <w:rPr>
          <w:rFonts w:hint="eastAsia"/>
        </w:rPr>
        <w:t xml:space="preserve">着色力测试  </w:t>
      </w:r>
    </w:p>
    <w:p>
      <w:pPr>
        <w:pStyle w:val="16"/>
      </w:pPr>
      <w:r>
        <w:rPr>
          <w:rFonts w:hint="eastAsia"/>
        </w:rPr>
        <w:t>按照GB/T 13217.1规定的方法进行测试。</w:t>
      </w:r>
    </w:p>
    <w:p>
      <w:pPr>
        <w:pStyle w:val="32"/>
        <w:spacing w:before="156" w:after="156"/>
        <w:ind w:left="284"/>
      </w:pPr>
      <w:r>
        <w:rPr>
          <w:rFonts w:hint="eastAsia"/>
        </w:rPr>
        <w:t xml:space="preserve">细度测试 </w:t>
      </w:r>
    </w:p>
    <w:p>
      <w:pPr>
        <w:pStyle w:val="16"/>
      </w:pPr>
      <w:r>
        <w:rPr>
          <w:rFonts w:hint="eastAsia"/>
        </w:rPr>
        <w:t>按照GB/T 13217.3规定的方法进行测试。</w:t>
      </w:r>
    </w:p>
    <w:p>
      <w:pPr>
        <w:pStyle w:val="32"/>
        <w:spacing w:before="156" w:after="156"/>
        <w:ind w:left="284"/>
      </w:pPr>
      <w:r>
        <w:rPr>
          <w:rFonts w:hint="eastAsia"/>
        </w:rPr>
        <w:t xml:space="preserve">粘度测试 </w:t>
      </w:r>
    </w:p>
    <w:p>
      <w:pPr>
        <w:pStyle w:val="16"/>
      </w:pPr>
      <w:r>
        <w:rPr>
          <w:rFonts w:hint="eastAsia"/>
        </w:rPr>
        <w:t>按照GB/T 13217.4第</w:t>
      </w:r>
      <w:r>
        <w:t>4</w:t>
      </w:r>
      <w:r>
        <w:rPr>
          <w:rFonts w:hint="eastAsia"/>
        </w:rPr>
        <w:t>章规定的方法进行测试。</w:t>
      </w:r>
    </w:p>
    <w:p>
      <w:pPr>
        <w:pStyle w:val="32"/>
        <w:spacing w:before="156" w:after="156"/>
        <w:ind w:left="284"/>
      </w:pPr>
      <w:r>
        <w:rPr>
          <w:rFonts w:hint="eastAsia"/>
        </w:rPr>
        <w:t xml:space="preserve">pH值测试 </w:t>
      </w:r>
    </w:p>
    <w:p>
      <w:pPr>
        <w:pStyle w:val="16"/>
      </w:pPr>
      <w:r>
        <w:rPr>
          <w:rFonts w:hint="eastAsia"/>
        </w:rPr>
        <w:t>按照附录</w:t>
      </w:r>
      <w:r>
        <w:t>A</w:t>
      </w:r>
      <w:r>
        <w:rPr>
          <w:rFonts w:hint="eastAsia"/>
        </w:rPr>
        <w:t>测定方法进行测试。</w:t>
      </w:r>
    </w:p>
    <w:p>
      <w:pPr>
        <w:pStyle w:val="32"/>
        <w:spacing w:before="156" w:after="156"/>
        <w:ind w:left="284"/>
      </w:pPr>
      <w:r>
        <w:rPr>
          <w:rFonts w:hint="eastAsia"/>
        </w:rPr>
        <w:t xml:space="preserve">初干性测试 </w:t>
      </w:r>
    </w:p>
    <w:p>
      <w:pPr>
        <w:pStyle w:val="16"/>
      </w:pPr>
      <w:r>
        <w:rPr>
          <w:rFonts w:hint="eastAsia"/>
        </w:rPr>
        <w:t>按照GB/T 13217.5规定的方法进行测试。</w:t>
      </w:r>
    </w:p>
    <w:p>
      <w:pPr>
        <w:pStyle w:val="32"/>
        <w:spacing w:before="156" w:after="156"/>
        <w:ind w:left="284"/>
      </w:pPr>
      <w:r>
        <w:rPr>
          <w:rFonts w:hint="eastAsia"/>
        </w:rPr>
        <w:t xml:space="preserve">附着牢度测试 </w:t>
      </w:r>
    </w:p>
    <w:p>
      <w:pPr>
        <w:pStyle w:val="16"/>
      </w:pPr>
      <w:r>
        <w:rPr>
          <w:rFonts w:hint="eastAsia"/>
        </w:rPr>
        <w:t>按照GB/T 13217.7规定的方法进行测试。</w:t>
      </w:r>
    </w:p>
    <w:p>
      <w:pPr>
        <w:pStyle w:val="32"/>
        <w:spacing w:before="156" w:after="156"/>
        <w:ind w:left="284"/>
      </w:pPr>
      <w:r>
        <w:rPr>
          <w:rFonts w:hint="eastAsia"/>
        </w:rPr>
        <w:t xml:space="preserve">复合强度测试 </w:t>
      </w:r>
    </w:p>
    <w:p>
      <w:pPr>
        <w:pStyle w:val="16"/>
      </w:pPr>
      <w:r>
        <w:rPr>
          <w:rFonts w:hint="eastAsia"/>
        </w:rPr>
        <w:t>按照QB/T 5488-2020规定的方法对“彻干后”的油墨涂布样进行测试 。</w:t>
      </w:r>
    </w:p>
    <w:p>
      <w:pPr>
        <w:pStyle w:val="32"/>
        <w:spacing w:before="156" w:after="156"/>
        <w:ind w:left="284"/>
      </w:pPr>
      <w:r>
        <w:rPr>
          <w:rFonts w:hint="eastAsia"/>
        </w:rPr>
        <w:t xml:space="preserve">不挥发物含量测试 </w:t>
      </w:r>
    </w:p>
    <w:p>
      <w:pPr>
        <w:pStyle w:val="16"/>
      </w:pPr>
      <w:r>
        <w:rPr>
          <w:rFonts w:hint="eastAsia"/>
        </w:rPr>
        <w:t>按照附录</w:t>
      </w:r>
      <w:r>
        <w:t>B</w:t>
      </w:r>
      <w:r>
        <w:rPr>
          <w:rFonts w:hint="eastAsia"/>
        </w:rPr>
        <w:t>测定方法进行测试。</w:t>
      </w:r>
    </w:p>
    <w:p>
      <w:pPr>
        <w:pStyle w:val="32"/>
        <w:spacing w:before="156" w:after="156"/>
        <w:ind w:left="284"/>
      </w:pPr>
      <w:r>
        <w:rPr>
          <w:rFonts w:hint="eastAsia"/>
        </w:rPr>
        <w:t xml:space="preserve">挥发性有机化合物（VOCs）含量的测试 </w:t>
      </w:r>
    </w:p>
    <w:p>
      <w:pPr>
        <w:pStyle w:val="16"/>
      </w:pPr>
      <w:r>
        <w:rPr>
          <w:rFonts w:hint="eastAsia"/>
        </w:rPr>
        <w:t>按照GB/T 38608-2020规定的方法进行测试。</w:t>
      </w:r>
    </w:p>
    <w:p>
      <w:pPr>
        <w:pStyle w:val="32"/>
        <w:spacing w:before="156" w:after="156"/>
        <w:ind w:left="284"/>
      </w:pPr>
      <w:r>
        <w:rPr>
          <w:rFonts w:hint="eastAsia"/>
        </w:rPr>
        <w:t xml:space="preserve">可溶性有害元素的限量的测试 </w:t>
      </w:r>
    </w:p>
    <w:p>
      <w:pPr>
        <w:pStyle w:val="16"/>
      </w:pPr>
      <w:r>
        <w:rPr>
          <w:rFonts w:hint="eastAsia"/>
        </w:rPr>
        <w:t>按照</w:t>
      </w:r>
      <w:r>
        <w:rPr>
          <w:rFonts w:hAnsi="宋体"/>
          <w:szCs w:val="21"/>
        </w:rPr>
        <w:t>GB 24613</w:t>
      </w:r>
      <w:r>
        <w:rPr>
          <w:rFonts w:hint="eastAsia"/>
        </w:rPr>
        <w:t>规定的方法进行测试。</w:t>
      </w:r>
    </w:p>
    <w:p>
      <w:pPr>
        <w:pStyle w:val="32"/>
        <w:spacing w:before="156" w:after="156"/>
        <w:ind w:left="284"/>
      </w:pPr>
      <w:r>
        <w:rPr>
          <w:rFonts w:hint="eastAsia"/>
        </w:rPr>
        <w:t xml:space="preserve">有害元素总含量限量的测试 </w:t>
      </w:r>
    </w:p>
    <w:p>
      <w:pPr>
        <w:pStyle w:val="16"/>
        <w:rPr>
          <w:szCs w:val="21"/>
        </w:rPr>
      </w:pPr>
      <w:r>
        <w:rPr>
          <w:rFonts w:hint="eastAsia"/>
        </w:rPr>
        <w:t>按照</w:t>
      </w:r>
      <w:r>
        <w:t>GB/T 30647</w:t>
      </w:r>
      <w:r>
        <w:rPr>
          <w:rFonts w:hint="eastAsia"/>
        </w:rPr>
        <w:t>规定的方法进行测试。</w:t>
      </w:r>
    </w:p>
    <w:p>
      <w:pPr>
        <w:pStyle w:val="35"/>
        <w:spacing w:before="312" w:after="312"/>
        <w:rPr>
          <w:szCs w:val="21"/>
        </w:rPr>
      </w:pPr>
      <w:r>
        <w:rPr>
          <w:rFonts w:hint="eastAsia"/>
          <w:szCs w:val="21"/>
        </w:rPr>
        <w:t>检验规则</w:t>
      </w:r>
    </w:p>
    <w:p>
      <w:pPr>
        <w:pStyle w:val="32"/>
        <w:spacing w:before="156" w:after="156"/>
        <w:ind w:left="284"/>
      </w:pPr>
      <w:r>
        <w:rPr>
          <w:rFonts w:hint="eastAsia"/>
        </w:rPr>
        <w:t>组批与抽样</w:t>
      </w:r>
    </w:p>
    <w:p>
      <w:pPr>
        <w:pStyle w:val="49"/>
        <w:numPr>
          <w:ilvl w:val="0"/>
          <w:numId w:val="0"/>
        </w:numPr>
        <w:ind w:firstLine="420" w:firstLineChars="200"/>
        <w:rPr>
          <w:szCs w:val="21"/>
        </w:rPr>
      </w:pPr>
      <w:r>
        <w:rPr>
          <w:rFonts w:hint="eastAsia"/>
          <w:szCs w:val="21"/>
        </w:rPr>
        <w:t>以一次投料单机或机组完成的单位产品为一批。产品按照GB/T 3186规定的方法进行取样，样品应分两份，一份密封备查，另一份作检验用样品。</w:t>
      </w:r>
    </w:p>
    <w:p>
      <w:pPr>
        <w:pStyle w:val="32"/>
        <w:spacing w:before="156" w:after="156"/>
        <w:ind w:left="284"/>
      </w:pPr>
      <w:r>
        <w:rPr>
          <w:rFonts w:hint="eastAsia"/>
        </w:rPr>
        <w:t>出厂检验</w:t>
      </w:r>
    </w:p>
    <w:p>
      <w:pPr>
        <w:pStyle w:val="16"/>
      </w:pPr>
      <w:r>
        <w:rPr>
          <w:rFonts w:hint="eastAsia"/>
        </w:rPr>
        <w:t>出厂检验项目为颜色、细度、粘度、着色力。</w:t>
      </w:r>
    </w:p>
    <w:p>
      <w:pPr>
        <w:pStyle w:val="32"/>
        <w:spacing w:before="156" w:after="156"/>
        <w:ind w:left="284"/>
      </w:pPr>
      <w:r>
        <w:rPr>
          <w:rFonts w:hint="eastAsia"/>
        </w:rPr>
        <w:t xml:space="preserve">型式检验 </w:t>
      </w:r>
    </w:p>
    <w:p>
      <w:pPr>
        <w:pStyle w:val="16"/>
      </w:pPr>
      <w:r>
        <w:rPr>
          <w:rFonts w:hint="eastAsia"/>
        </w:rPr>
        <w:t>型式检验项目为本标准要求中规定的全部项目。当有下列情况之一时，应进行型式检验：</w:t>
      </w:r>
    </w:p>
    <w:p>
      <w:pPr>
        <w:pStyle w:val="49"/>
      </w:pPr>
      <w:r>
        <w:rPr>
          <w:rFonts w:hint="eastAsia"/>
          <w:szCs w:val="21"/>
        </w:rPr>
        <w:t xml:space="preserve">新产品或老产品转厂生产的试制定型鉴定； </w:t>
      </w:r>
    </w:p>
    <w:p>
      <w:pPr>
        <w:pStyle w:val="49"/>
      </w:pPr>
      <w:r>
        <w:rPr>
          <w:rFonts w:hint="eastAsia"/>
          <w:szCs w:val="21"/>
        </w:rPr>
        <w:t xml:space="preserve">因结构、材料、工艺有较大改变，可能影响产品性能时； </w:t>
      </w:r>
    </w:p>
    <w:p>
      <w:pPr>
        <w:pStyle w:val="49"/>
      </w:pPr>
      <w:r>
        <w:rPr>
          <w:rFonts w:hint="eastAsia"/>
          <w:szCs w:val="21"/>
        </w:rPr>
        <w:t xml:space="preserve">长期停产后，恢复生产时； </w:t>
      </w:r>
    </w:p>
    <w:p>
      <w:pPr>
        <w:pStyle w:val="49"/>
      </w:pPr>
      <w:r>
        <w:rPr>
          <w:rFonts w:hint="eastAsia"/>
          <w:szCs w:val="21"/>
        </w:rPr>
        <w:t>国家质量监督部门提出要求时；</w:t>
      </w:r>
    </w:p>
    <w:p>
      <w:pPr>
        <w:pStyle w:val="49"/>
      </w:pPr>
      <w:r>
        <w:rPr>
          <w:rFonts w:hint="eastAsia"/>
          <w:szCs w:val="21"/>
        </w:rPr>
        <w:t xml:space="preserve">正常生产后，型式检验周期为6个月。 </w:t>
      </w:r>
    </w:p>
    <w:p>
      <w:pPr>
        <w:pStyle w:val="32"/>
        <w:spacing w:before="156" w:after="156"/>
        <w:ind w:left="284"/>
      </w:pPr>
      <w:r>
        <w:rPr>
          <w:rFonts w:hint="eastAsia"/>
        </w:rPr>
        <w:t>判定规则</w:t>
      </w:r>
    </w:p>
    <w:p>
      <w:pPr>
        <w:pStyle w:val="16"/>
      </w:pPr>
      <w:r>
        <w:rPr>
          <w:rFonts w:hint="eastAsia"/>
        </w:rPr>
        <w:t>检验结果中全部指标符合本标准要求时，则判该批产品为合格品。若有1项及以上指标不符合本标准要求，则从同批产品中重新加倍取样对不合格项进行复检，复检后仍有1项及以上不符合本标准要求时，则判该批产品为不合格品。</w:t>
      </w:r>
    </w:p>
    <w:p>
      <w:pPr>
        <w:pStyle w:val="35"/>
        <w:spacing w:before="312" w:after="312"/>
        <w:rPr>
          <w:szCs w:val="21"/>
        </w:rPr>
      </w:pPr>
      <w:r>
        <w:rPr>
          <w:rFonts w:hint="eastAsia"/>
          <w:szCs w:val="21"/>
        </w:rPr>
        <w:t>标志、包装、贮存和运输</w:t>
      </w:r>
    </w:p>
    <w:p>
      <w:pPr>
        <w:pStyle w:val="32"/>
        <w:spacing w:before="156" w:after="156"/>
        <w:ind w:left="284"/>
      </w:pPr>
      <w:r>
        <w:rPr>
          <w:rFonts w:hint="eastAsia"/>
        </w:rPr>
        <w:t>标志</w:t>
      </w:r>
    </w:p>
    <w:p>
      <w:pPr>
        <w:pStyle w:val="16"/>
      </w:pPr>
      <w:r>
        <w:rPr>
          <w:rFonts w:hint="eastAsia"/>
        </w:rPr>
        <w:t>产品包装上的标志应有商标、生产企业名称和地址、产品名称、型号、批号、生产日期、保质期、净含量及产品质量检验合格证明。当用户有要求时，应提供使用说明书或化学品安全技术说明书。包装储运图示标志应符合GB/T 191的规定。</w:t>
      </w:r>
    </w:p>
    <w:p>
      <w:pPr>
        <w:pStyle w:val="32"/>
        <w:spacing w:before="156" w:after="156"/>
        <w:ind w:left="284"/>
      </w:pPr>
      <w:r>
        <w:rPr>
          <w:rFonts w:hint="eastAsia"/>
        </w:rPr>
        <w:t>包装</w:t>
      </w:r>
    </w:p>
    <w:p>
      <w:pPr>
        <w:pStyle w:val="16"/>
      </w:pPr>
      <w:r>
        <w:rPr>
          <w:rFonts w:hint="eastAsia"/>
        </w:rPr>
        <w:t>产品用密封塑料桶或带有塑料内胆的密封铁桶包装。</w:t>
      </w:r>
    </w:p>
    <w:p>
      <w:pPr>
        <w:pStyle w:val="32"/>
        <w:spacing w:before="156" w:after="156"/>
        <w:ind w:left="284"/>
      </w:pPr>
      <w:r>
        <w:rPr>
          <w:rFonts w:hint="eastAsia"/>
        </w:rPr>
        <w:t>贮存</w:t>
      </w:r>
    </w:p>
    <w:p>
      <w:pPr>
        <w:pStyle w:val="16"/>
      </w:pPr>
      <w:r>
        <w:rPr>
          <w:rFonts w:hint="eastAsia"/>
        </w:rPr>
        <w:t>产品不得露天存放，应贮存于阴凉、通风的仓库内，仓库内不得有火源，</w:t>
      </w:r>
      <w:r>
        <w:rPr>
          <w:rFonts w:hint="eastAsia"/>
          <w:szCs w:val="21"/>
        </w:rPr>
        <w:t>贮</w:t>
      </w:r>
      <w:r>
        <w:rPr>
          <w:rFonts w:hint="eastAsia"/>
        </w:rPr>
        <w:t>存温度5°C</w:t>
      </w:r>
      <w:r>
        <w:rPr>
          <w:rFonts w:hint="eastAsia" w:hAnsi="宋体"/>
        </w:rPr>
        <w:t>～</w:t>
      </w:r>
      <w:r>
        <w:rPr>
          <w:rFonts w:hint="eastAsia"/>
        </w:rPr>
        <w:t>40°C左右。在规定贮存条件下，自生产之日起，产品有效贮存期不低于</w:t>
      </w:r>
      <w:r>
        <w:t>6</w:t>
      </w:r>
      <w:r>
        <w:rPr>
          <w:rFonts w:hint="eastAsia"/>
        </w:rPr>
        <w:t>个月。</w:t>
      </w:r>
    </w:p>
    <w:p>
      <w:pPr>
        <w:pStyle w:val="32"/>
        <w:spacing w:before="156" w:after="156"/>
        <w:ind w:left="284"/>
      </w:pPr>
      <w:r>
        <w:rPr>
          <w:rFonts w:hint="eastAsia"/>
        </w:rPr>
        <w:t>运输</w:t>
      </w:r>
    </w:p>
    <w:p>
      <w:pPr>
        <w:pStyle w:val="16"/>
      </w:pPr>
      <w:r>
        <w:rPr>
          <w:rFonts w:hint="eastAsia"/>
        </w:rPr>
        <w:t>产品在符合</w:t>
      </w:r>
      <w:r>
        <w:t>7</w:t>
      </w:r>
      <w:r>
        <w:rPr>
          <w:rFonts w:hint="eastAsia"/>
        </w:rPr>
        <w:t>.2的包装要求下，可用车、船等交通工具运输。在运输和搬运过程中，不应抛、摔、碰撞，防止雨淋、日晒。</w:t>
      </w:r>
    </w:p>
    <w:p>
      <w:pPr>
        <w:pStyle w:val="88"/>
      </w:pPr>
    </w:p>
    <w:p>
      <w:pPr>
        <w:pStyle w:val="76"/>
      </w:pPr>
    </w:p>
    <w:p>
      <w:pPr>
        <w:pStyle w:val="74"/>
        <w:ind w:left="0"/>
      </w:pPr>
      <w:r>
        <w:br w:type="textWrapping"/>
      </w:r>
      <w:r>
        <w:rPr>
          <w:rFonts w:hint="eastAsia"/>
        </w:rPr>
        <w:t>（规范性附录）</w:t>
      </w:r>
      <w:r>
        <w:br w:type="textWrapping"/>
      </w:r>
      <w:r>
        <w:rPr>
          <w:rFonts w:hint="eastAsia"/>
        </w:rPr>
        <w:t>水墨pH值测定方法</w:t>
      </w:r>
    </w:p>
    <w:p>
      <w:pPr>
        <w:pStyle w:val="92"/>
        <w:spacing w:before="312" w:after="312"/>
        <w:rPr>
          <w:szCs w:val="21"/>
        </w:rPr>
      </w:pPr>
      <w:r>
        <w:rPr>
          <w:rFonts w:hint="eastAsia"/>
          <w:szCs w:val="21"/>
        </w:rPr>
        <w:t>原理</w:t>
      </w:r>
    </w:p>
    <w:p>
      <w:pPr>
        <w:pStyle w:val="16"/>
      </w:pPr>
      <w:r>
        <w:rPr>
          <w:rFonts w:hint="eastAsia"/>
          <w:szCs w:val="21"/>
        </w:rPr>
        <w:t>利用电位测定法来测量油墨pH值。</w:t>
      </w:r>
    </w:p>
    <w:p>
      <w:pPr>
        <w:pStyle w:val="92"/>
        <w:spacing w:before="312" w:after="312"/>
      </w:pPr>
      <w:r>
        <w:rPr>
          <w:rFonts w:hint="eastAsia"/>
          <w:szCs w:val="21"/>
        </w:rPr>
        <w:t>仪器与材料</w:t>
      </w:r>
    </w:p>
    <w:p>
      <w:pPr>
        <w:pStyle w:val="93"/>
        <w:spacing w:before="156" w:after="156"/>
        <w:ind w:left="0"/>
        <w:rPr>
          <w:rFonts w:ascii="宋体" w:eastAsia="宋体"/>
          <w:kern w:val="0"/>
          <w:szCs w:val="21"/>
        </w:rPr>
      </w:pPr>
      <w:r>
        <w:rPr>
          <w:rFonts w:hint="eastAsia" w:ascii="宋体" w:eastAsia="宋体"/>
          <w:kern w:val="0"/>
          <w:szCs w:val="21"/>
        </w:rPr>
        <w:t>仪器：pH计（0.1级）</w:t>
      </w:r>
    </w:p>
    <w:p>
      <w:pPr>
        <w:pStyle w:val="93"/>
        <w:spacing w:before="156" w:after="156"/>
        <w:ind w:left="0"/>
        <w:rPr>
          <w:rFonts w:ascii="宋体" w:eastAsia="宋体"/>
          <w:kern w:val="0"/>
          <w:szCs w:val="21"/>
        </w:rPr>
      </w:pPr>
      <w:r>
        <w:rPr>
          <w:rFonts w:hint="eastAsia" w:ascii="宋体" w:eastAsia="宋体"/>
          <w:kern w:val="0"/>
          <w:szCs w:val="21"/>
        </w:rPr>
        <w:t xml:space="preserve">标准缓冲溶液 </w:t>
      </w:r>
    </w:p>
    <w:p>
      <w:pPr>
        <w:pStyle w:val="93"/>
        <w:spacing w:before="156" w:after="156"/>
        <w:ind w:left="0"/>
        <w:rPr>
          <w:rFonts w:ascii="宋体" w:eastAsia="宋体"/>
          <w:kern w:val="0"/>
          <w:szCs w:val="21"/>
        </w:rPr>
      </w:pPr>
      <w:r>
        <w:rPr>
          <w:rFonts w:hint="eastAsia" w:ascii="宋体" w:eastAsia="宋体"/>
          <w:kern w:val="0"/>
          <w:szCs w:val="21"/>
        </w:rPr>
        <w:t xml:space="preserve">蒸馏水 </w:t>
      </w:r>
    </w:p>
    <w:p>
      <w:pPr>
        <w:pStyle w:val="93"/>
        <w:spacing w:before="156" w:after="156"/>
        <w:ind w:left="0"/>
        <w:rPr>
          <w:rFonts w:ascii="宋体" w:eastAsia="宋体"/>
          <w:kern w:val="0"/>
          <w:szCs w:val="21"/>
        </w:rPr>
      </w:pPr>
      <w:r>
        <w:rPr>
          <w:rFonts w:hint="eastAsia" w:ascii="宋体" w:eastAsia="宋体"/>
          <w:kern w:val="0"/>
          <w:szCs w:val="21"/>
        </w:rPr>
        <w:t xml:space="preserve">滤纸 </w:t>
      </w:r>
    </w:p>
    <w:p>
      <w:pPr>
        <w:pStyle w:val="92"/>
        <w:spacing w:before="312" w:after="312"/>
      </w:pPr>
      <w:r>
        <w:rPr>
          <w:rFonts w:hint="eastAsia"/>
          <w:szCs w:val="21"/>
        </w:rPr>
        <w:t>测试方法</w:t>
      </w:r>
    </w:p>
    <w:p>
      <w:pPr>
        <w:pStyle w:val="93"/>
        <w:numPr>
          <w:ilvl w:val="0"/>
          <w:numId w:val="0"/>
        </w:numPr>
        <w:spacing w:before="156" w:after="156"/>
        <w:ind w:firstLine="420" w:firstLineChars="200"/>
        <w:rPr>
          <w:rFonts w:ascii="宋体" w:hAnsi="宋体" w:eastAsia="宋体"/>
        </w:rPr>
      </w:pPr>
      <w:r>
        <w:rPr>
          <w:rFonts w:hint="eastAsia" w:ascii="宋体" w:hAnsi="宋体" w:eastAsia="宋体"/>
          <w:szCs w:val="21"/>
        </w:rPr>
        <w:t>测试环境温度应在25℃±</w:t>
      </w:r>
      <w:r>
        <w:rPr>
          <w:rFonts w:ascii="宋体" w:hAnsi="宋体" w:eastAsia="宋体"/>
          <w:szCs w:val="21"/>
        </w:rPr>
        <w:t>5</w:t>
      </w:r>
      <w:r>
        <w:rPr>
          <w:rFonts w:hint="eastAsia" w:ascii="宋体" w:hAnsi="宋体" w:eastAsia="宋体"/>
          <w:szCs w:val="21"/>
        </w:rPr>
        <w:t>℃范围内；湿度应在40%～60%之间。首先用标准缓冲液校准pH计，测量时应先用蒸馏水清洗电极头部，待用滤纸吸干后，测量试样的pH，进行两份试样平行试验。若两份平行试样测定的pH值差值大于0.</w:t>
      </w:r>
      <w:r>
        <w:rPr>
          <w:rFonts w:ascii="宋体" w:hAnsi="宋体" w:eastAsia="宋体"/>
          <w:szCs w:val="21"/>
        </w:rPr>
        <w:t>20</w:t>
      </w:r>
      <w:r>
        <w:rPr>
          <w:rFonts w:hint="eastAsia" w:ascii="宋体" w:hAnsi="宋体" w:eastAsia="宋体"/>
          <w:szCs w:val="21"/>
        </w:rPr>
        <w:t>单位，则应重新测定。</w:t>
      </w:r>
    </w:p>
    <w:p>
      <w:pPr>
        <w:pStyle w:val="92"/>
        <w:spacing w:before="312" w:after="312"/>
        <w:rPr>
          <w:szCs w:val="21"/>
        </w:rPr>
      </w:pPr>
      <w:bookmarkStart w:id="2" w:name="_Ref455676324"/>
      <w:r>
        <w:rPr>
          <w:rFonts w:hint="eastAsia"/>
          <w:szCs w:val="21"/>
        </w:rPr>
        <w:t>结果表示</w:t>
      </w:r>
    </w:p>
    <w:p>
      <w:pPr>
        <w:pStyle w:val="93"/>
        <w:numPr>
          <w:ilvl w:val="0"/>
          <w:numId w:val="0"/>
        </w:numPr>
        <w:spacing w:before="156" w:after="156"/>
        <w:rPr>
          <w:rFonts w:ascii="宋体" w:hAnsi="宋体" w:eastAsia="宋体"/>
          <w:szCs w:val="21"/>
        </w:rPr>
      </w:pPr>
      <w:r>
        <w:rPr>
          <w:rFonts w:hint="eastAsia" w:ascii="宋体" w:hAnsi="宋体" w:eastAsia="宋体"/>
          <w:szCs w:val="21"/>
        </w:rPr>
        <w:t xml:space="preserve">    </w:t>
      </w:r>
      <w:bookmarkEnd w:id="2"/>
      <w:r>
        <w:rPr>
          <w:rFonts w:hint="eastAsia" w:ascii="宋体" w:hAnsi="宋体" w:eastAsia="宋体"/>
          <w:szCs w:val="21"/>
        </w:rPr>
        <w:t>以两份试样测量值的平均值作为检验结果，并按公式（</w:t>
      </w:r>
      <w:r>
        <w:rPr>
          <w:rFonts w:ascii="宋体" w:hAnsi="宋体" w:eastAsia="宋体"/>
          <w:szCs w:val="21"/>
        </w:rPr>
        <w:t>A</w:t>
      </w:r>
      <w:r>
        <w:rPr>
          <w:rFonts w:hint="eastAsia" w:ascii="宋体" w:hAnsi="宋体" w:eastAsia="宋体"/>
          <w:szCs w:val="21"/>
        </w:rPr>
        <w:t>1）计算。</w:t>
      </w:r>
    </w:p>
    <w:p>
      <w:pPr>
        <w:pStyle w:val="16"/>
        <w:ind w:firstLine="3570" w:firstLineChars="1700"/>
        <w:jc w:val="left"/>
      </w:pPr>
      <m:oMath>
        <m:r>
          <m:rPr/>
          <w:rPr>
            <w:rFonts w:ascii="Cambria Math" w:hAnsi="Cambria Math" w:eastAsia="Cambria Math" w:cs="Cambria Math"/>
          </w:rPr>
          <m:t>pH</m:t>
        </m:r>
        <m:r>
          <m:rPr>
            <m:sty m:val="p"/>
          </m:rPr>
          <w:rPr>
            <w:rFonts w:ascii="Cambria Math" w:hAnsi="Cambria Math" w:eastAsia="Cambria Math" w:cs="Cambria Math"/>
          </w:rPr>
          <m:t>=</m:t>
        </m:r>
        <m:f>
          <m:fPr>
            <m:ctrlPr>
              <w:rPr>
                <w:rFonts w:ascii="Cambria Math" w:hAnsi="Cambria Math" w:eastAsia="Cambria Math"/>
              </w:rPr>
            </m:ctrlPr>
          </m:fPr>
          <m:num>
            <m:r>
              <m:rPr>
                <m:sty m:val="p"/>
              </m:rPr>
              <w:rPr>
                <w:rFonts w:ascii="Cambria Math" w:hAnsi="Cambria Math" w:eastAsia="Cambria Math" w:cs="Cambria Math"/>
              </w:rPr>
              <m:t>p</m:t>
            </m:r>
            <m:sSub>
              <m:sSubPr>
                <m:ctrlPr>
                  <w:rPr>
                    <w:rFonts w:ascii="Cambria Math" w:hAnsi="Cambria Math" w:eastAsia="Cambria Math" w:cs="Cambria Math"/>
                  </w:rPr>
                </m:ctrlPr>
              </m:sSubPr>
              <m:e>
                <m:r>
                  <m:rPr/>
                  <w:rPr>
                    <w:rFonts w:ascii="Cambria Math" w:hAnsi="Cambria Math" w:eastAsia="Cambria Math" w:cs="Cambria Math"/>
                  </w:rPr>
                  <m:t>H</m:t>
                </m:r>
                <m:ctrlPr>
                  <w:rPr>
                    <w:rFonts w:ascii="Cambria Math" w:hAnsi="Cambria Math" w:eastAsia="Cambria Math" w:cs="Cambria Math"/>
                  </w:rPr>
                </m:ctrlPr>
              </m:e>
              <m:sub>
                <m:r>
                  <m:rPr/>
                  <w:rPr>
                    <w:rFonts w:ascii="Cambria Math" w:hAnsi="Cambria Math" w:eastAsia="Cambria Math" w:cs="Cambria Math"/>
                  </w:rPr>
                  <m:t>1</m:t>
                </m:r>
                <m:ctrlPr>
                  <w:rPr>
                    <w:rFonts w:ascii="Cambria Math" w:hAnsi="Cambria Math" w:eastAsia="Cambria Math" w:cs="Cambria Math"/>
                  </w:rPr>
                </m:ctrlPr>
              </m:sub>
            </m:sSub>
            <m:r>
              <m:rPr/>
              <w:rPr>
                <w:rFonts w:ascii="Cambria Math" w:hAnsi="Cambria Math" w:eastAsia="Cambria Math" w:cs="Cambria Math"/>
              </w:rPr>
              <m:t>+p</m:t>
            </m:r>
            <m:sSub>
              <m:sSubPr>
                <m:ctrlPr>
                  <w:rPr>
                    <w:rFonts w:ascii="Cambria Math" w:hAnsi="Cambria Math" w:eastAsia="Cambria Math" w:cs="Cambria Math"/>
                    <w:i/>
                  </w:rPr>
                </m:ctrlPr>
              </m:sSubPr>
              <m:e>
                <m:r>
                  <m:rPr/>
                  <w:rPr>
                    <w:rFonts w:ascii="Cambria Math" w:hAnsi="Cambria Math" w:eastAsia="Cambria Math" w:cs="Cambria Math"/>
                  </w:rPr>
                  <m:t>H</m:t>
                </m:r>
                <m:ctrlPr>
                  <w:rPr>
                    <w:rFonts w:ascii="Cambria Math" w:hAnsi="Cambria Math" w:eastAsia="Cambria Math" w:cs="Cambria Math"/>
                    <w:i/>
                  </w:rPr>
                </m:ctrlPr>
              </m:e>
              <m:sub>
                <m:r>
                  <m:rPr/>
                  <w:rPr>
                    <w:rFonts w:ascii="Cambria Math" w:hAnsi="Cambria Math" w:eastAsia="Cambria Math" w:cs="Cambria Math"/>
                  </w:rPr>
                  <m:t>2</m:t>
                </m:r>
                <m:ctrlPr>
                  <w:rPr>
                    <w:rFonts w:ascii="Cambria Math" w:hAnsi="Cambria Math" w:eastAsia="Cambria Math" w:cs="Cambria Math"/>
                    <w:i/>
                  </w:rPr>
                </m:ctrlPr>
              </m:sub>
            </m:sSub>
            <m:ctrlPr>
              <w:rPr>
                <w:rFonts w:ascii="Cambria Math" w:hAnsi="Cambria Math" w:eastAsia="Cambria Math"/>
              </w:rPr>
            </m:ctrlPr>
          </m:num>
          <m:den>
            <m:r>
              <m:rPr>
                <m:sty m:val="p"/>
              </m:rPr>
              <w:rPr>
                <w:rFonts w:ascii="Cambria Math" w:hAnsi="Cambria Math" w:eastAsia="Cambria Math" w:cs="Cambria Math"/>
              </w:rPr>
              <m:t>2</m:t>
            </m:r>
            <m:ctrlPr>
              <w:rPr>
                <w:rFonts w:ascii="Cambria Math" w:hAnsi="Cambria Math" w:eastAsia="Cambria Math"/>
              </w:rPr>
            </m:ctrlPr>
          </m:den>
        </m:f>
      </m:oMath>
      <w:r>
        <w:t xml:space="preserve"> </w:t>
      </w:r>
      <w:r>
        <w:rPr>
          <w:rFonts w:hint="eastAsia"/>
        </w:rPr>
        <w:t>………………………………（A.1）</w:t>
      </w:r>
    </w:p>
    <w:p>
      <w:pPr>
        <w:pStyle w:val="16"/>
        <w:jc w:val="left"/>
      </w:pPr>
      <w:r>
        <w:rPr>
          <w:rFonts w:hint="eastAsia"/>
        </w:rPr>
        <w:t xml:space="preserve">式中： </w:t>
      </w:r>
    </w:p>
    <w:p>
      <w:pPr>
        <w:pStyle w:val="16"/>
        <w:spacing w:line="360" w:lineRule="auto"/>
      </w:pPr>
      <w:r>
        <w:rPr>
          <w:i/>
          <w:iCs/>
        </w:rPr>
        <w:t>pH</w:t>
      </w: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ω</m:t>
            </m:r>
            <m:ctrlPr>
              <w:rPr>
                <w:rFonts w:ascii="Cambria Math" w:hAnsi="Cambria Math"/>
                <w:i/>
              </w:rPr>
            </m:ctrlPr>
          </m:e>
          <m:sub>
            <m:d>
              <m:dPr>
                <m:begChr m:val="（"/>
                <m:endChr m:val="）"/>
                <m:ctrlPr>
                  <w:rPr>
                    <w:rFonts w:ascii="Cambria Math" w:hAnsi="Cambria Math"/>
                    <w:i/>
                  </w:rPr>
                </m:ctrlPr>
              </m:dPr>
              <m:e>
                <m:r>
                  <m:rPr>
                    <m:sty m:val="p"/>
                  </m:rPr>
                  <w:rPr>
                    <w:rFonts w:hint="eastAsia" w:ascii="Cambria Math" w:hAnsi="Cambria Math"/>
                  </w:rPr>
                  <m:t xml:space="preserve">NV</m:t>
                </m:r>
                <m:ctrlPr>
                  <w:rPr>
                    <w:rFonts w:ascii="Cambria Math" w:hAnsi="Cambria Math"/>
                    <w:i/>
                  </w:rPr>
                </m:ctrlPr>
              </m:e>
            </m:d>
            <m:ctrlPr>
              <w:rPr>
                <w:rFonts w:ascii="Cambria Math" w:hAnsi="Cambria Math"/>
                <w:i/>
              </w:rPr>
            </m:ctrlPr>
          </m:sub>
        </m:sSub>
      </m:oMath>
      <w:r>
        <w:instrText xml:space="preserve"> </w:instrText>
      </w:r>
      <w:r>
        <w:fldChar w:fldCharType="separate"/>
      </w:r>
      <w:r>
        <w:fldChar w:fldCharType="end"/>
      </w:r>
      <w:r>
        <w:t>——</w:t>
      </w:r>
      <w:r>
        <w:rPr>
          <w:rFonts w:hint="eastAsia"/>
          <w:color w:val="000000"/>
          <w:szCs w:val="21"/>
        </w:rPr>
        <w:t>油墨的pH值</w:t>
      </w:r>
      <w:r>
        <w:rPr>
          <w:rFonts w:hint="eastAsia"/>
        </w:rPr>
        <w:t>；</w:t>
      </w:r>
    </w:p>
    <w:p>
      <w:pPr>
        <w:pStyle w:val="16"/>
        <w:spacing w:line="360" w:lineRule="auto"/>
        <w:rPr>
          <w:rFonts w:hAnsi="宋体"/>
          <w:szCs w:val="21"/>
        </w:rPr>
      </w:pPr>
      <w:r>
        <w:rPr>
          <w:i/>
          <w:iCs/>
        </w:rPr>
        <w:t>pH</w:t>
      </w:r>
      <w:r>
        <w:rPr>
          <w:rFonts w:hint="eastAsia"/>
          <w:i/>
          <w:vertAlign w:val="subscript"/>
        </w:rPr>
        <w:t>1</w:t>
      </w:r>
      <w:r>
        <w:t>——</w:t>
      </w:r>
      <w:r>
        <w:rPr>
          <w:rFonts w:hint="eastAsia"/>
        </w:rPr>
        <w:t>试样1</w:t>
      </w:r>
      <w:r>
        <w:rPr>
          <w:rFonts w:hint="eastAsia"/>
          <w:color w:val="000000"/>
          <w:szCs w:val="21"/>
        </w:rPr>
        <w:t>的pH值</w:t>
      </w:r>
      <w:r>
        <w:rPr>
          <w:rFonts w:hint="eastAsia"/>
        </w:rPr>
        <w:t>；</w:t>
      </w:r>
    </w:p>
    <w:p>
      <w:pPr>
        <w:pStyle w:val="16"/>
        <w:spacing w:line="360" w:lineRule="auto"/>
        <w:rPr>
          <w:rFonts w:hAnsi="宋体"/>
          <w:szCs w:val="21"/>
        </w:rPr>
      </w:pPr>
      <w:r>
        <w:rPr>
          <w:i/>
          <w:iCs/>
        </w:rPr>
        <w:t>pH</w:t>
      </w:r>
      <w:r>
        <w:rPr>
          <w:i/>
          <w:vertAlign w:val="subscript"/>
        </w:rPr>
        <w:t>2</w:t>
      </w:r>
      <w:r>
        <w:t>——</w:t>
      </w:r>
      <w:r>
        <w:rPr>
          <w:rFonts w:hint="eastAsia"/>
        </w:rPr>
        <w:t>试样</w:t>
      </w:r>
      <w:r>
        <w:t>2</w:t>
      </w:r>
      <w:r>
        <w:rPr>
          <w:rFonts w:hint="eastAsia"/>
          <w:color w:val="000000"/>
          <w:szCs w:val="21"/>
        </w:rPr>
        <w:t>的pH值</w:t>
      </w:r>
      <w:r>
        <w:rPr>
          <w:rFonts w:hint="eastAsia" w:hAnsi="宋体"/>
          <w:szCs w:val="21"/>
        </w:rPr>
        <w:t>.</w:t>
      </w:r>
    </w:p>
    <w:p>
      <w:pPr>
        <w:pStyle w:val="92"/>
        <w:spacing w:before="312" w:after="312"/>
        <w:rPr>
          <w:szCs w:val="21"/>
        </w:rPr>
      </w:pPr>
      <w:r>
        <w:rPr>
          <w:rFonts w:hint="eastAsia"/>
          <w:szCs w:val="21"/>
        </w:rPr>
        <w:t>测试报告</w:t>
      </w:r>
    </w:p>
    <w:p>
      <w:pPr>
        <w:pStyle w:val="16"/>
        <w:rPr>
          <w:szCs w:val="21"/>
        </w:rPr>
      </w:pPr>
      <w:r>
        <w:rPr>
          <w:rFonts w:hint="eastAsia"/>
          <w:szCs w:val="21"/>
        </w:rPr>
        <w:t>测试报告应至少包括以下内容：</w:t>
      </w:r>
    </w:p>
    <w:p>
      <w:pPr>
        <w:pStyle w:val="49"/>
        <w:numPr>
          <w:ilvl w:val="0"/>
          <w:numId w:val="10"/>
        </w:numPr>
      </w:pPr>
      <w:r>
        <w:rPr>
          <w:rFonts w:hint="eastAsia"/>
          <w:szCs w:val="21"/>
        </w:rPr>
        <w:t>受检产品名称、</w:t>
      </w:r>
      <w:r>
        <w:rPr>
          <w:rFonts w:hint="eastAsia" w:hAnsi="宋体"/>
          <w:szCs w:val="21"/>
        </w:rPr>
        <w:t>来源、生产日期</w:t>
      </w:r>
      <w:r>
        <w:rPr>
          <w:rFonts w:hint="eastAsia"/>
          <w:szCs w:val="21"/>
        </w:rPr>
        <w:t>；</w:t>
      </w:r>
    </w:p>
    <w:p>
      <w:pPr>
        <w:pStyle w:val="49"/>
      </w:pPr>
      <w:r>
        <w:rPr>
          <w:rFonts w:hint="eastAsia"/>
          <w:szCs w:val="21"/>
        </w:rPr>
        <w:t>本标准编号、测试依据及检验方法；</w:t>
      </w:r>
    </w:p>
    <w:p>
      <w:pPr>
        <w:pStyle w:val="49"/>
      </w:pPr>
      <w:r>
        <w:rPr>
          <w:rFonts w:hint="eastAsia" w:ascii="Times New Roman"/>
          <w:szCs w:val="21"/>
        </w:rPr>
        <w:t>实验结果；</w:t>
      </w:r>
    </w:p>
    <w:p>
      <w:pPr>
        <w:pStyle w:val="49"/>
      </w:pPr>
      <w:r>
        <w:rPr>
          <w:rFonts w:hint="eastAsia" w:ascii="Times New Roman"/>
          <w:szCs w:val="21"/>
        </w:rPr>
        <w:t>偏离测试依据的任何实验条件；</w:t>
      </w:r>
    </w:p>
    <w:p>
      <w:pPr>
        <w:pStyle w:val="49"/>
      </w:pPr>
      <w:r>
        <w:rPr>
          <w:rFonts w:hint="eastAsia" w:ascii="Times New Roman"/>
          <w:szCs w:val="21"/>
        </w:rPr>
        <w:t>由于协议或其他原因产生与规定测试程序的差异；</w:t>
      </w:r>
    </w:p>
    <w:p>
      <w:pPr>
        <w:pStyle w:val="49"/>
      </w:pPr>
      <w:r>
        <w:rPr>
          <w:rFonts w:hint="eastAsia" w:ascii="Times New Roman"/>
          <w:szCs w:val="21"/>
        </w:rPr>
        <w:t>测试日期；</w:t>
      </w:r>
    </w:p>
    <w:p>
      <w:pPr>
        <w:pStyle w:val="49"/>
      </w:pPr>
      <w:r>
        <w:rPr>
          <w:rFonts w:hint="eastAsia"/>
          <w:szCs w:val="21"/>
        </w:rPr>
        <w:t>测试用仪器；</w:t>
      </w:r>
    </w:p>
    <w:p>
      <w:pPr>
        <w:pStyle w:val="49"/>
      </w:pPr>
      <w:r>
        <w:rPr>
          <w:rFonts w:hint="eastAsia" w:hAnsi="宋体"/>
          <w:szCs w:val="21"/>
        </w:rPr>
        <w:t>测试温度、测定时间；</w:t>
      </w:r>
    </w:p>
    <w:p>
      <w:pPr>
        <w:pStyle w:val="49"/>
      </w:pPr>
      <w:r>
        <w:rPr>
          <w:rFonts w:hint="eastAsia"/>
          <w:szCs w:val="21"/>
        </w:rPr>
        <w:t>实验次数。</w:t>
      </w:r>
    </w:p>
    <w:p>
      <w:pPr>
        <w:widowControl/>
        <w:jc w:val="left"/>
        <w:rPr>
          <w:rFonts w:ascii="宋体"/>
          <w:kern w:val="0"/>
          <w:szCs w:val="21"/>
        </w:rPr>
      </w:pPr>
      <w:r>
        <w:rPr>
          <w:szCs w:val="21"/>
        </w:rPr>
        <w:br w:type="page"/>
      </w:r>
    </w:p>
    <w:p>
      <w:pPr>
        <w:pStyle w:val="74"/>
        <w:spacing w:before="0" w:after="0"/>
        <w:ind w:left="0"/>
      </w:pPr>
    </w:p>
    <w:p>
      <w:pPr>
        <w:pStyle w:val="74"/>
        <w:numPr>
          <w:ilvl w:val="0"/>
          <w:numId w:val="0"/>
        </w:numPr>
        <w:spacing w:before="0" w:after="0"/>
      </w:pPr>
      <w:r>
        <w:rPr>
          <w:rFonts w:hint="eastAsia"/>
        </w:rPr>
        <w:t>（规范性）</w:t>
      </w:r>
    </w:p>
    <w:p>
      <w:pPr>
        <w:pStyle w:val="74"/>
        <w:numPr>
          <w:ilvl w:val="0"/>
          <w:numId w:val="0"/>
        </w:numPr>
        <w:spacing w:before="0" w:after="0"/>
      </w:pPr>
      <w:r>
        <w:rPr>
          <w:rFonts w:hint="eastAsia"/>
        </w:rPr>
        <w:t>水墨中不挥发物含量测定方法</w:t>
      </w:r>
    </w:p>
    <w:p>
      <w:pPr>
        <w:pStyle w:val="92"/>
        <w:spacing w:before="312" w:after="312"/>
        <w:rPr>
          <w:szCs w:val="21"/>
        </w:rPr>
      </w:pPr>
      <w:r>
        <w:rPr>
          <w:rFonts w:hint="eastAsia"/>
          <w:szCs w:val="21"/>
        </w:rPr>
        <w:t>原理</w:t>
      </w:r>
    </w:p>
    <w:p>
      <w:pPr>
        <w:pStyle w:val="16"/>
        <w:rPr>
          <w:szCs w:val="21"/>
        </w:rPr>
      </w:pPr>
      <w:r>
        <w:rPr>
          <w:rFonts w:hint="eastAsia"/>
          <w:szCs w:val="21"/>
        </w:rPr>
        <w:t>测定水墨中不挥发物含量是使试样在一定温度下加热烘干一定时间后，以烘干后试样质量与烘干前试样质量的百分比值表示。</w:t>
      </w:r>
    </w:p>
    <w:p>
      <w:pPr>
        <w:pStyle w:val="92"/>
        <w:spacing w:before="312" w:after="312"/>
        <w:rPr>
          <w:szCs w:val="21"/>
        </w:rPr>
      </w:pPr>
      <w:r>
        <w:rPr>
          <w:rFonts w:hint="eastAsia"/>
          <w:szCs w:val="21"/>
        </w:rPr>
        <w:t>工具与材料</w:t>
      </w:r>
    </w:p>
    <w:p>
      <w:pPr>
        <w:pStyle w:val="93"/>
        <w:spacing w:before="156" w:after="156"/>
        <w:ind w:left="0"/>
        <w:rPr>
          <w:rFonts w:ascii="宋体" w:eastAsia="宋体"/>
          <w:kern w:val="0"/>
          <w:szCs w:val="21"/>
        </w:rPr>
      </w:pPr>
      <w:r>
        <w:rPr>
          <w:rFonts w:hint="eastAsia" w:ascii="宋体" w:eastAsia="宋体"/>
          <w:kern w:val="0"/>
          <w:szCs w:val="21"/>
        </w:rPr>
        <w:t>称量容器：直径约50mm、边高约30mm的称量瓶或铝箔皿。</w:t>
      </w:r>
    </w:p>
    <w:p>
      <w:pPr>
        <w:pStyle w:val="93"/>
        <w:spacing w:before="156" w:after="156"/>
        <w:ind w:left="0"/>
        <w:rPr>
          <w:rFonts w:ascii="宋体" w:eastAsia="宋体"/>
          <w:kern w:val="0"/>
          <w:szCs w:val="21"/>
        </w:rPr>
      </w:pPr>
      <w:r>
        <w:rPr>
          <w:rFonts w:hint="eastAsia" w:ascii="宋体" w:eastAsia="宋体"/>
          <w:kern w:val="0"/>
          <w:szCs w:val="21"/>
        </w:rPr>
        <w:t>电烘箱：能恒温</w:t>
      </w:r>
      <w:r>
        <w:rPr>
          <w:rFonts w:ascii="宋体" w:eastAsia="宋体"/>
          <w:kern w:val="0"/>
          <w:szCs w:val="21"/>
        </w:rPr>
        <w:t>130</w:t>
      </w:r>
      <w:r>
        <w:rPr>
          <w:rFonts w:hint="eastAsia" w:ascii="宋体" w:eastAsia="宋体"/>
          <w:kern w:val="0"/>
          <w:szCs w:val="21"/>
        </w:rPr>
        <w:t>℃±2℃的电热鼓风干燥箱。</w:t>
      </w:r>
    </w:p>
    <w:p>
      <w:pPr>
        <w:pStyle w:val="93"/>
        <w:spacing w:before="156" w:after="156"/>
        <w:ind w:left="0"/>
        <w:rPr>
          <w:rFonts w:ascii="宋体" w:eastAsia="宋体"/>
          <w:kern w:val="0"/>
          <w:szCs w:val="21"/>
        </w:rPr>
      </w:pPr>
      <w:r>
        <w:rPr>
          <w:rFonts w:hint="eastAsia" w:ascii="宋体" w:eastAsia="宋体"/>
          <w:kern w:val="0"/>
          <w:szCs w:val="21"/>
        </w:rPr>
        <w:t>玻璃干燥器：内放变色硅胶或无水氯化钙。</w:t>
      </w:r>
    </w:p>
    <w:p>
      <w:pPr>
        <w:pStyle w:val="93"/>
        <w:spacing w:before="156" w:after="156"/>
        <w:ind w:left="0"/>
        <w:rPr>
          <w:rFonts w:ascii="宋体" w:eastAsia="宋体"/>
          <w:kern w:val="0"/>
          <w:szCs w:val="21"/>
        </w:rPr>
      </w:pPr>
      <w:r>
        <w:rPr>
          <w:rFonts w:hint="eastAsia" w:ascii="宋体" w:eastAsia="宋体"/>
          <w:kern w:val="0"/>
          <w:szCs w:val="21"/>
        </w:rPr>
        <w:t>分析天平：称量范围100g以上，分度值为</w:t>
      </w:r>
      <w:r>
        <w:rPr>
          <w:rFonts w:ascii="宋体" w:eastAsia="宋体"/>
          <w:kern w:val="0"/>
          <w:szCs w:val="21"/>
        </w:rPr>
        <w:t>0.1</w:t>
      </w:r>
      <w:r>
        <w:rPr>
          <w:rFonts w:hint="eastAsia" w:ascii="宋体" w:eastAsia="宋体"/>
          <w:kern w:val="0"/>
          <w:szCs w:val="21"/>
        </w:rPr>
        <w:t>mg。</w:t>
      </w:r>
    </w:p>
    <w:p>
      <w:pPr>
        <w:pStyle w:val="92"/>
        <w:spacing w:before="312" w:after="312"/>
        <w:rPr>
          <w:szCs w:val="21"/>
        </w:rPr>
      </w:pPr>
      <w:r>
        <w:rPr>
          <w:rFonts w:hint="eastAsia"/>
          <w:szCs w:val="21"/>
        </w:rPr>
        <w:t>检验方法</w:t>
      </w:r>
    </w:p>
    <w:p>
      <w:pPr>
        <w:pStyle w:val="93"/>
        <w:numPr>
          <w:ilvl w:val="0"/>
          <w:numId w:val="0"/>
        </w:numPr>
        <w:spacing w:before="156" w:after="156"/>
        <w:ind w:firstLine="420" w:firstLineChars="200"/>
        <w:rPr>
          <w:rFonts w:ascii="宋体" w:eastAsia="宋体"/>
          <w:kern w:val="0"/>
          <w:szCs w:val="21"/>
        </w:rPr>
      </w:pPr>
      <w:r>
        <w:rPr>
          <w:rFonts w:hint="eastAsia" w:ascii="宋体" w:eastAsia="宋体"/>
          <w:kern w:val="0"/>
          <w:szCs w:val="21"/>
        </w:rPr>
        <w:t>用称量容器称取试样1g～1.5g，精确至0.001g。置于恒温1</w:t>
      </w:r>
      <w:r>
        <w:rPr>
          <w:rFonts w:ascii="宋体" w:eastAsia="宋体"/>
          <w:kern w:val="0"/>
          <w:szCs w:val="21"/>
        </w:rPr>
        <w:t>30</w:t>
      </w:r>
      <w:r>
        <w:rPr>
          <w:rFonts w:hint="eastAsia" w:ascii="宋体" w:eastAsia="宋体"/>
          <w:kern w:val="0"/>
          <w:szCs w:val="21"/>
        </w:rPr>
        <w:t>℃±2℃的电烘箱中部，经干燥</w:t>
      </w:r>
      <w:r>
        <w:rPr>
          <w:rFonts w:ascii="宋体" w:eastAsia="宋体"/>
          <w:kern w:val="0"/>
          <w:szCs w:val="21"/>
        </w:rPr>
        <w:t>120</w:t>
      </w:r>
      <w:r>
        <w:rPr>
          <w:rFonts w:hint="eastAsia" w:ascii="宋体" w:eastAsia="宋体"/>
          <w:kern w:val="0"/>
          <w:szCs w:val="21"/>
        </w:rPr>
        <w:t>min±5min后取出，放入玻璃干燥器内冷却至室温后称量。</w:t>
      </w:r>
    </w:p>
    <w:p>
      <w:pPr>
        <w:pStyle w:val="92"/>
        <w:spacing w:before="312" w:after="312"/>
        <w:rPr>
          <w:szCs w:val="21"/>
        </w:rPr>
      </w:pPr>
      <w:r>
        <w:rPr>
          <w:rFonts w:hint="eastAsia"/>
          <w:szCs w:val="21"/>
        </w:rPr>
        <w:t>结果表示</w:t>
      </w:r>
    </w:p>
    <w:p>
      <w:pPr>
        <w:pStyle w:val="49"/>
        <w:numPr>
          <w:ilvl w:val="0"/>
          <w:numId w:val="0"/>
        </w:numPr>
        <w:ind w:left="420"/>
      </w:pPr>
      <w:r>
        <w:rPr>
          <w:rFonts w:hint="eastAsia"/>
        </w:rPr>
        <w:t>试样中不挥发物含量即烘干后试样质量与烘干前试样质量的百分比值按（B</w:t>
      </w:r>
      <w:r>
        <w:t xml:space="preserve"> </w:t>
      </w:r>
      <w:r>
        <w:rPr>
          <w:rFonts w:hint="eastAsia"/>
        </w:rPr>
        <w:t>1）式计算：</w:t>
      </w:r>
    </w:p>
    <w:p>
      <w:pPr>
        <w:pStyle w:val="16"/>
        <w:ind w:firstLine="3570" w:firstLineChars="1700"/>
        <w:jc w:val="left"/>
      </w:pPr>
      <m:oMath>
        <m:r>
          <m:rPr/>
          <w:rPr>
            <w:rFonts w:ascii="Cambria Math" w:hAnsi="Cambria Math" w:eastAsia="Cambria Math" w:cs="Cambria Math"/>
          </w:rPr>
          <m:t>S</m:t>
        </m:r>
        <m:r>
          <m:rPr>
            <m:sty m:val="p"/>
          </m:rPr>
          <w:rPr>
            <w:rFonts w:ascii="Cambria Math" w:hAnsi="Cambria Math" w:eastAsia="Cambria Math" w:cs="Cambria Math"/>
          </w:rPr>
          <m:t>=</m:t>
        </m:r>
        <m:f>
          <m:fPr>
            <m:ctrlPr>
              <w:rPr>
                <w:rFonts w:ascii="Cambria Math" w:hAnsi="Cambria Math" w:eastAsia="Cambria Math"/>
              </w:rPr>
            </m:ctrlPr>
          </m:fPr>
          <m:num>
            <m:r>
              <m:rPr>
                <m:sty m:val="p"/>
              </m:rPr>
              <w:rPr>
                <w:rFonts w:ascii="Cambria Math" w:hAnsi="Cambria Math" w:eastAsia="Cambria Math" w:cs="Cambria Math"/>
              </w:rPr>
              <m:t>B</m:t>
            </m:r>
            <m:ctrlPr>
              <w:rPr>
                <w:rFonts w:ascii="Cambria Math" w:hAnsi="Cambria Math" w:eastAsia="Cambria Math"/>
              </w:rPr>
            </m:ctrlPr>
          </m:num>
          <m:den>
            <m:r>
              <m:rPr>
                <m:sty m:val="p"/>
              </m:rPr>
              <w:rPr>
                <w:rFonts w:ascii="Cambria Math" w:hAnsi="Cambria Math" w:eastAsia="Cambria Math" w:cs="Cambria Math"/>
              </w:rPr>
              <m:t>A</m:t>
            </m:r>
            <m:ctrlPr>
              <w:rPr>
                <w:rFonts w:ascii="Cambria Math" w:hAnsi="Cambria Math" w:eastAsia="Cambria Math"/>
              </w:rPr>
            </m:ctrlPr>
          </m:den>
        </m:f>
        <m:r>
          <m:rPr/>
          <w:rPr>
            <w:rFonts w:ascii="Cambria Math" w:hAnsi="Cambria Math" w:eastAsia="Cambria Math"/>
          </w:rPr>
          <m:t>×100</m:t>
        </m:r>
      </m:oMath>
      <w:r>
        <w:t xml:space="preserve"> </w:t>
      </w:r>
      <w:r>
        <w:rPr>
          <w:rFonts w:hint="eastAsia"/>
        </w:rPr>
        <w:t>………………………………（</w:t>
      </w:r>
      <w:r>
        <w:t>B</w:t>
      </w:r>
      <w:r>
        <w:rPr>
          <w:rFonts w:hint="eastAsia"/>
        </w:rPr>
        <w:t>.1）</w:t>
      </w:r>
    </w:p>
    <w:p>
      <w:pPr>
        <w:pStyle w:val="16"/>
        <w:jc w:val="left"/>
      </w:pPr>
      <w:r>
        <w:rPr>
          <w:rFonts w:hint="eastAsia"/>
        </w:rPr>
        <w:t>式中：</w:t>
      </w:r>
    </w:p>
    <w:p>
      <w:pPr>
        <w:pStyle w:val="16"/>
        <w:jc w:val="left"/>
      </w:pPr>
      <w:r>
        <w:rPr>
          <w:rFonts w:hint="eastAsia"/>
        </w:rPr>
        <w:t>S——试样中不挥发物含量，%</w:t>
      </w:r>
    </w:p>
    <w:p>
      <w:pPr>
        <w:pStyle w:val="16"/>
        <w:jc w:val="left"/>
      </w:pPr>
      <w:r>
        <w:rPr>
          <w:rFonts w:hint="eastAsia"/>
        </w:rPr>
        <w:t>B——烘干后水墨试样质量，g</w:t>
      </w:r>
    </w:p>
    <w:p>
      <w:pPr>
        <w:pStyle w:val="16"/>
        <w:jc w:val="left"/>
      </w:pPr>
      <w:r>
        <w:rPr>
          <w:rFonts w:hint="eastAsia"/>
        </w:rPr>
        <w:t>A——烘干前水墨试样质量，g</w:t>
      </w:r>
    </w:p>
    <w:p>
      <w:pPr>
        <w:pStyle w:val="16"/>
        <w:jc w:val="left"/>
      </w:pPr>
      <w:r>
        <w:rPr>
          <w:rFonts w:hint="eastAsia"/>
        </w:rPr>
        <w:t>测定结果取两次平行测定的平均值，保留三位有效数字。</w:t>
      </w:r>
    </w:p>
    <w:p>
      <w:pPr>
        <w:pStyle w:val="92"/>
        <w:spacing w:before="312" w:after="312"/>
        <w:rPr>
          <w:szCs w:val="21"/>
        </w:rPr>
      </w:pPr>
      <w:r>
        <w:rPr>
          <w:szCs w:val="21"/>
        </w:rPr>
        <w:t>B</w:t>
      </w:r>
      <w:r>
        <w:rPr>
          <w:rFonts w:hint="eastAsia"/>
          <w:szCs w:val="21"/>
        </w:rPr>
        <w:t>.5 测定报告</w:t>
      </w:r>
    </w:p>
    <w:p>
      <w:pPr>
        <w:pStyle w:val="49"/>
        <w:numPr>
          <w:ilvl w:val="0"/>
          <w:numId w:val="0"/>
        </w:numPr>
        <w:ind w:left="420"/>
      </w:pPr>
      <w:r>
        <w:rPr>
          <w:rFonts w:hint="eastAsia"/>
        </w:rPr>
        <w:t>测定报告应至少包括以下内容：</w:t>
      </w:r>
    </w:p>
    <w:p>
      <w:pPr>
        <w:pStyle w:val="49"/>
        <w:numPr>
          <w:ilvl w:val="0"/>
          <w:numId w:val="0"/>
        </w:numPr>
        <w:ind w:left="420"/>
      </w:pPr>
      <w:r>
        <w:rPr>
          <w:rFonts w:hint="eastAsia"/>
        </w:rPr>
        <w:t>a) 试样来源、试样名称、生产日期、测定日期。</w:t>
      </w:r>
    </w:p>
    <w:p>
      <w:pPr>
        <w:pStyle w:val="49"/>
        <w:numPr>
          <w:ilvl w:val="0"/>
          <w:numId w:val="0"/>
        </w:numPr>
        <w:ind w:left="420"/>
      </w:pPr>
      <w:r>
        <w:rPr>
          <w:rFonts w:hint="eastAsia"/>
        </w:rPr>
        <w:t>b) 测定温度、测定时间。</w:t>
      </w:r>
    </w:p>
    <w:p>
      <w:pPr>
        <w:pStyle w:val="49"/>
        <w:numPr>
          <w:ilvl w:val="0"/>
          <w:numId w:val="0"/>
        </w:numPr>
        <w:ind w:left="420"/>
      </w:pPr>
      <w:r>
        <w:rPr>
          <w:rFonts w:hint="eastAsia"/>
        </w:rPr>
        <w:t>c) 试样中不挥发物含量，%</w:t>
      </w:r>
    </w:p>
    <w:p>
      <w:pPr>
        <w:pStyle w:val="88"/>
      </w:pPr>
    </w:p>
    <w:p>
      <w:pPr>
        <w:pStyle w:val="76"/>
      </w:pPr>
    </w:p>
    <w:p>
      <w:pPr>
        <w:pStyle w:val="74"/>
        <w:numPr>
          <w:ilvl w:val="0"/>
          <w:numId w:val="0"/>
        </w:numPr>
      </w:pPr>
      <w:bookmarkStart w:id="3" w:name="BKCKWX"/>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3"/>
    </w:p>
    <w:p>
      <w:pPr>
        <w:pStyle w:val="16"/>
        <w:rPr>
          <w:rFonts w:hAnsi="宋体"/>
        </w:rPr>
      </w:pPr>
      <w:r>
        <w:rPr>
          <w:rFonts w:hint="eastAsia" w:hAnsi="宋体"/>
        </w:rPr>
        <w:t>[</w:t>
      </w:r>
      <w:r>
        <w:rPr>
          <w:rFonts w:hAnsi="宋体"/>
        </w:rPr>
        <w:t>1</w:t>
      </w:r>
      <w:r>
        <w:rPr>
          <w:rFonts w:hint="eastAsia" w:hAnsi="宋体"/>
        </w:rPr>
        <w:t>] GB/T 9851.5-2008 印刷技术术语 第5部分：凹版印刷术语</w:t>
      </w:r>
    </w:p>
    <w:p>
      <w:pPr>
        <w:pStyle w:val="16"/>
        <w:rPr>
          <w:rFonts w:hAnsi="宋体"/>
        </w:rPr>
      </w:pPr>
      <w:r>
        <w:rPr>
          <w:rFonts w:hint="eastAsia" w:hAnsi="宋体"/>
          <w:szCs w:val="21"/>
        </w:rPr>
        <w:t>[</w:t>
      </w:r>
      <w:r>
        <w:rPr>
          <w:rFonts w:hAnsi="宋体"/>
          <w:szCs w:val="21"/>
        </w:rPr>
        <w:t>2</w:t>
      </w:r>
      <w:r>
        <w:rPr>
          <w:rFonts w:hint="eastAsia" w:hAnsi="宋体"/>
          <w:szCs w:val="21"/>
        </w:rPr>
        <w:t>]</w:t>
      </w:r>
      <w:r>
        <w:rPr>
          <w:rFonts w:hAnsi="宋体"/>
          <w:szCs w:val="21"/>
        </w:rPr>
        <w:t xml:space="preserve"> </w:t>
      </w:r>
      <w:r>
        <w:rPr>
          <w:rFonts w:hint="eastAsia" w:hAnsi="宋体"/>
        </w:rPr>
        <w:t>GB 38507-2020 油墨中可挥发性有机化合物（VOCs）含量的限值</w:t>
      </w:r>
    </w:p>
    <w:p>
      <w:pPr>
        <w:pStyle w:val="16"/>
        <w:rPr>
          <w:rFonts w:hAnsi="宋体"/>
        </w:rPr>
      </w:pPr>
      <w:r>
        <w:rPr>
          <w:rFonts w:hint="eastAsia" w:hAnsi="宋体"/>
          <w:szCs w:val="21"/>
        </w:rPr>
        <w:t>[</w:t>
      </w:r>
      <w:r>
        <w:rPr>
          <w:rFonts w:hAnsi="宋体"/>
          <w:szCs w:val="21"/>
        </w:rPr>
        <w:t>3</w:t>
      </w:r>
      <w:r>
        <w:rPr>
          <w:rFonts w:hint="eastAsia" w:hAnsi="宋体"/>
          <w:szCs w:val="21"/>
        </w:rPr>
        <w:t>]</w:t>
      </w:r>
      <w:r>
        <w:rPr>
          <w:rFonts w:hAnsi="宋体"/>
          <w:szCs w:val="21"/>
        </w:rPr>
        <w:t xml:space="preserve"> </w:t>
      </w:r>
      <w:r>
        <w:rPr>
          <w:rFonts w:hint="eastAsia" w:hAnsi="宋体"/>
        </w:rPr>
        <w:t>GB/T 1725-2007色漆、清漆和塑料 不挥发物含量的测定</w:t>
      </w:r>
    </w:p>
    <w:p>
      <w:pPr>
        <w:pStyle w:val="16"/>
        <w:rPr>
          <w:rFonts w:hAnsi="宋体"/>
          <w:szCs w:val="21"/>
        </w:rPr>
      </w:pPr>
      <w:r>
        <w:rPr>
          <w:rFonts w:hint="eastAsia" w:hAnsi="宋体"/>
          <w:szCs w:val="21"/>
        </w:rPr>
        <w:t>[</w:t>
      </w:r>
      <w:r>
        <w:rPr>
          <w:rFonts w:hAnsi="宋体"/>
          <w:szCs w:val="21"/>
        </w:rPr>
        <w:t>4</w:t>
      </w:r>
      <w:r>
        <w:rPr>
          <w:rFonts w:hint="eastAsia" w:hAnsi="宋体"/>
          <w:szCs w:val="21"/>
        </w:rPr>
        <w:t>] HJ 2542-2016 环境标志产品技术要求 胶印油墨</w:t>
      </w:r>
    </w:p>
    <w:p>
      <w:pPr>
        <w:pStyle w:val="16"/>
        <w:rPr>
          <w:rFonts w:hAnsi="宋体"/>
          <w:szCs w:val="21"/>
        </w:rPr>
      </w:pPr>
      <w:r>
        <w:rPr>
          <w:rFonts w:hint="eastAsia" w:hAnsi="宋体"/>
        </w:rPr>
        <w:t>[</w:t>
      </w:r>
      <w:r>
        <w:rPr>
          <w:rFonts w:hAnsi="宋体"/>
        </w:rPr>
        <w:t>5</w:t>
      </w:r>
      <w:r>
        <w:rPr>
          <w:rFonts w:hint="eastAsia" w:hAnsi="宋体"/>
        </w:rPr>
        <w:t>]</w:t>
      </w:r>
      <w:r>
        <w:rPr>
          <w:rFonts w:hAnsi="宋体"/>
        </w:rPr>
        <w:t xml:space="preserve"> </w:t>
      </w:r>
      <w:r>
        <w:rPr>
          <w:rFonts w:hint="eastAsia" w:hAnsi="宋体"/>
        </w:rPr>
        <w:t xml:space="preserve">GB/T </w:t>
      </w:r>
      <w:r>
        <w:rPr>
          <w:rFonts w:hint="eastAsia" w:hAnsi="宋体"/>
          <w:szCs w:val="21"/>
        </w:rPr>
        <w:t>23985-2009 色漆和清漆 挥发性有机化合物（VOC）含量的测定 差值法</w:t>
      </w:r>
    </w:p>
    <w:p>
      <w:pPr>
        <w:pStyle w:val="16"/>
        <w:rPr>
          <w:rFonts w:hAnsi="宋体"/>
          <w:szCs w:val="21"/>
        </w:rPr>
      </w:pPr>
    </w:p>
    <w:p>
      <w:pPr>
        <w:pStyle w:val="16"/>
        <w:rPr>
          <w:rFonts w:hAnsi="宋体"/>
          <w:szCs w:val="21"/>
        </w:rPr>
      </w:pPr>
    </w:p>
    <w:p>
      <w:pPr>
        <w:pStyle w:val="127"/>
        <w:framePr w:wrap="around" w:hAnchor="page" w:x="4200" w:y="1"/>
      </w:pPr>
      <w:r>
        <w:t>_________________________________</w:t>
      </w:r>
    </w:p>
    <w:p>
      <w:pPr>
        <w:pStyle w:val="16"/>
      </w:pPr>
    </w:p>
    <w:sectPr>
      <w:footerReference r:id="rId4" w:type="default"/>
      <w:pgSz w:w="11906" w:h="16838"/>
      <w:pgMar w:top="1440" w:right="1800" w:bottom="1440" w:left="1800"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fldChar w:fldCharType="begin"/>
    </w:r>
    <w:r>
      <w:instrText xml:space="preserve"> PAGE  \* MERGEFORMAT </w:instrText>
    </w:r>
    <w:r>
      <w:fldChar w:fldCharType="separate"/>
    </w:r>
    <w:r>
      <w:t>3</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55"/>
      <w:suff w:val="nothing"/>
      <w:lvlText w:val="注%1："/>
      <w:lvlJc w:val="left"/>
      <w:pPr>
        <w:ind w:left="732"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
    <w:nsid w:val="1FC91163"/>
    <w:multiLevelType w:val="multilevel"/>
    <w:tmpl w:val="1FC91163"/>
    <w:lvl w:ilvl="0" w:tentative="0">
      <w:start w:val="1"/>
      <w:numFmt w:val="decimal"/>
      <w:pStyle w:val="35"/>
      <w:suff w:val="nothing"/>
      <w:lvlText w:val="%1　"/>
      <w:lvlJc w:val="left"/>
      <w:pPr>
        <w:ind w:left="567" w:firstLine="0"/>
      </w:pPr>
      <w:rPr>
        <w:rFonts w:hint="eastAsia" w:ascii="黑体" w:hAnsi="Times New Roman" w:eastAsia="黑体"/>
        <w:b w:val="0"/>
        <w:i w:val="0"/>
        <w:sz w:val="21"/>
        <w:szCs w:val="21"/>
      </w:rPr>
    </w:lvl>
    <w:lvl w:ilvl="1" w:tentative="0">
      <w:start w:val="1"/>
      <w:numFmt w:val="decimal"/>
      <w:pStyle w:val="32"/>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36"/>
      <w:suff w:val="nothing"/>
      <w:lvlText w:val="%1.%2.%3　"/>
      <w:lvlJc w:val="left"/>
      <w:pPr>
        <w:ind w:left="4678" w:firstLine="0"/>
      </w:pPr>
      <w:rPr>
        <w:rFonts w:hint="eastAsia" w:ascii="黑体" w:hAnsi="Times New Roman" w:eastAsia="黑体"/>
        <w:b w:val="0"/>
        <w:i w:val="0"/>
        <w:sz w:val="21"/>
      </w:rPr>
    </w:lvl>
    <w:lvl w:ilvl="3" w:tentative="0">
      <w:start w:val="1"/>
      <w:numFmt w:val="decimal"/>
      <w:pStyle w:val="41"/>
      <w:suff w:val="nothing"/>
      <w:lvlText w:val="%1.%2.%3.%4　"/>
      <w:lvlJc w:val="left"/>
      <w:pPr>
        <w:ind w:left="0" w:firstLine="0"/>
      </w:pPr>
      <w:rPr>
        <w:rFonts w:hint="eastAsia" w:ascii="黑体" w:hAnsi="Times New Roman" w:eastAsia="黑体"/>
        <w:b w:val="0"/>
        <w:i w:val="0"/>
        <w:sz w:val="21"/>
      </w:rPr>
    </w:lvl>
    <w:lvl w:ilvl="4" w:tentative="0">
      <w:start w:val="1"/>
      <w:numFmt w:val="decimal"/>
      <w:pStyle w:val="45"/>
      <w:suff w:val="nothing"/>
      <w:lvlText w:val="%1.%2.%3.%4.%5　"/>
      <w:lvlJc w:val="left"/>
      <w:pPr>
        <w:ind w:left="0" w:firstLine="0"/>
      </w:pPr>
      <w:rPr>
        <w:rFonts w:hint="eastAsia" w:ascii="黑体" w:hAnsi="Times New Roman" w:eastAsia="黑体"/>
        <w:b w:val="0"/>
        <w:i w:val="0"/>
        <w:sz w:val="21"/>
      </w:rPr>
    </w:lvl>
    <w:lvl w:ilvl="5" w:tentative="0">
      <w:start w:val="1"/>
      <w:numFmt w:val="decimal"/>
      <w:pStyle w:val="4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A8F7113"/>
    <w:multiLevelType w:val="multilevel"/>
    <w:tmpl w:val="2A8F7113"/>
    <w:lvl w:ilvl="0" w:tentative="0">
      <w:start w:val="1"/>
      <w:numFmt w:val="upperLetter"/>
      <w:pStyle w:val="88"/>
      <w:suff w:val="space"/>
      <w:lvlText w:val="%1"/>
      <w:lvlJc w:val="left"/>
      <w:pPr>
        <w:ind w:left="623" w:hanging="425"/>
      </w:pPr>
      <w:rPr>
        <w:rFonts w:hint="eastAsia"/>
      </w:rPr>
    </w:lvl>
    <w:lvl w:ilvl="1" w:tentative="0">
      <w:start w:val="1"/>
      <w:numFmt w:val="decimal"/>
      <w:pStyle w:val="8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
    <w:nsid w:val="2C5917C3"/>
    <w:multiLevelType w:val="multilevel"/>
    <w:tmpl w:val="2C5917C3"/>
    <w:lvl w:ilvl="0" w:tentative="0">
      <w:start w:val="1"/>
      <w:numFmt w:val="none"/>
      <w:pStyle w:val="38"/>
      <w:suff w:val="nothing"/>
      <w:lvlText w:val="%1——"/>
      <w:lvlJc w:val="left"/>
      <w:pPr>
        <w:ind w:left="833" w:hanging="408"/>
      </w:pPr>
      <w:rPr>
        <w:rFonts w:hint="eastAsia"/>
      </w:rPr>
    </w:lvl>
    <w:lvl w:ilvl="1" w:tentative="0">
      <w:start w:val="1"/>
      <w:numFmt w:val="bullet"/>
      <w:pStyle w:val="39"/>
      <w:lvlText w:val=""/>
      <w:lvlJc w:val="left"/>
      <w:pPr>
        <w:tabs>
          <w:tab w:val="left" w:pos="760"/>
        </w:tabs>
        <w:ind w:left="1264" w:hanging="413"/>
      </w:pPr>
      <w:rPr>
        <w:rFonts w:hint="default" w:ascii="Symbol" w:hAnsi="Symbol"/>
        <w:color w:val="auto"/>
      </w:rPr>
    </w:lvl>
    <w:lvl w:ilvl="2" w:tentative="0">
      <w:start w:val="1"/>
      <w:numFmt w:val="bullet"/>
      <w:pStyle w:val="5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3D733618"/>
    <w:multiLevelType w:val="multilevel"/>
    <w:tmpl w:val="3D733618"/>
    <w:lvl w:ilvl="0" w:tentative="0">
      <w:start w:val="1"/>
      <w:numFmt w:val="decimal"/>
      <w:pStyle w:val="1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5">
    <w:nsid w:val="44C50F90"/>
    <w:multiLevelType w:val="multilevel"/>
    <w:tmpl w:val="44C50F90"/>
    <w:lvl w:ilvl="0" w:tentative="0">
      <w:start w:val="1"/>
      <w:numFmt w:val="lowerLetter"/>
      <w:pStyle w:val="4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44"/>
      <w:lvlText w:val="%2)"/>
      <w:lvlJc w:val="left"/>
      <w:pPr>
        <w:tabs>
          <w:tab w:val="left" w:pos="1260"/>
        </w:tabs>
        <w:ind w:left="1259" w:hanging="419"/>
      </w:pPr>
      <w:rPr>
        <w:rFonts w:hint="eastAsia"/>
      </w:rPr>
    </w:lvl>
    <w:lvl w:ilvl="2" w:tentative="0">
      <w:start w:val="1"/>
      <w:numFmt w:val="decimal"/>
      <w:pStyle w:val="51"/>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60B55DC2"/>
    <w:multiLevelType w:val="multilevel"/>
    <w:tmpl w:val="60B55DC2"/>
    <w:lvl w:ilvl="0" w:tentative="0">
      <w:start w:val="1"/>
      <w:numFmt w:val="upperLetter"/>
      <w:pStyle w:val="76"/>
      <w:lvlText w:val="%1"/>
      <w:lvlJc w:val="left"/>
      <w:pPr>
        <w:tabs>
          <w:tab w:val="left" w:pos="0"/>
        </w:tabs>
        <w:ind w:left="0" w:hanging="425"/>
      </w:pPr>
      <w:rPr>
        <w:rFonts w:hint="eastAsia"/>
      </w:rPr>
    </w:lvl>
    <w:lvl w:ilvl="1" w:tentative="0">
      <w:start w:val="1"/>
      <w:numFmt w:val="decimal"/>
      <w:pStyle w:val="7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7">
    <w:nsid w:val="60D34F1E"/>
    <w:multiLevelType w:val="multilevel"/>
    <w:tmpl w:val="60D34F1E"/>
    <w:lvl w:ilvl="0" w:tentative="0">
      <w:start w:val="1"/>
      <w:numFmt w:val="upperLetter"/>
      <w:pStyle w:val="74"/>
      <w:suff w:val="nothing"/>
      <w:lvlText w:val="附　录　%1"/>
      <w:lvlJc w:val="left"/>
      <w:pPr>
        <w:ind w:left="7229" w:firstLine="0"/>
      </w:pPr>
      <w:rPr>
        <w:rFonts w:hint="eastAsia" w:ascii="黑体" w:hAnsi="Times New Roman" w:eastAsia="黑体"/>
        <w:b w:val="0"/>
        <w:i w:val="0"/>
        <w:spacing w:val="0"/>
        <w:w w:val="100"/>
        <w:sz w:val="21"/>
      </w:rPr>
    </w:lvl>
    <w:lvl w:ilvl="1" w:tentative="0">
      <w:start w:val="1"/>
      <w:numFmt w:val="decimal"/>
      <w:pStyle w:val="9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3"/>
      <w:suff w:val="nothing"/>
      <w:lvlText w:val="%1.%2.%3　"/>
      <w:lvlJc w:val="left"/>
      <w:pPr>
        <w:ind w:left="1277" w:firstLine="0"/>
      </w:pPr>
      <w:rPr>
        <w:rFonts w:hint="eastAsia" w:ascii="黑体" w:hAnsi="Times New Roman" w:eastAsia="黑体"/>
        <w:b w:val="0"/>
        <w:i w:val="0"/>
        <w:sz w:val="21"/>
      </w:rPr>
    </w:lvl>
    <w:lvl w:ilvl="3" w:tentative="0">
      <w:start w:val="1"/>
      <w:numFmt w:val="decimal"/>
      <w:pStyle w:val="78"/>
      <w:suff w:val="nothing"/>
      <w:lvlText w:val="%1.%2.%3.%4　"/>
      <w:lvlJc w:val="left"/>
      <w:pPr>
        <w:ind w:left="0" w:firstLine="0"/>
      </w:pPr>
      <w:rPr>
        <w:rFonts w:hint="eastAsia" w:ascii="黑体" w:hAnsi="Times New Roman" w:eastAsia="黑体"/>
        <w:b w:val="0"/>
        <w:i w:val="0"/>
        <w:sz w:val="21"/>
      </w:rPr>
    </w:lvl>
    <w:lvl w:ilvl="4" w:tentative="0">
      <w:start w:val="1"/>
      <w:numFmt w:val="decimal"/>
      <w:pStyle w:val="83"/>
      <w:suff w:val="nothing"/>
      <w:lvlText w:val="%1.%2.%3.%4.%5　"/>
      <w:lvlJc w:val="left"/>
      <w:pPr>
        <w:ind w:left="0" w:firstLine="0"/>
      </w:pPr>
      <w:rPr>
        <w:rFonts w:hint="eastAsia" w:ascii="黑体" w:hAnsi="Times New Roman" w:eastAsia="黑体"/>
        <w:b w:val="0"/>
        <w:i w:val="0"/>
        <w:sz w:val="21"/>
      </w:rPr>
    </w:lvl>
    <w:lvl w:ilvl="5" w:tentative="0">
      <w:start w:val="1"/>
      <w:numFmt w:val="decimal"/>
      <w:pStyle w:val="86"/>
      <w:suff w:val="nothing"/>
      <w:lvlText w:val="%1.%2.%3.%4.%5.%6　"/>
      <w:lvlJc w:val="left"/>
      <w:pPr>
        <w:ind w:left="0" w:firstLine="0"/>
      </w:pPr>
      <w:rPr>
        <w:rFonts w:hint="eastAsia" w:ascii="黑体" w:hAnsi="Times New Roman" w:eastAsia="黑体"/>
        <w:b w:val="0"/>
        <w:i w:val="0"/>
        <w:sz w:val="21"/>
      </w:rPr>
    </w:lvl>
    <w:lvl w:ilvl="6" w:tentative="0">
      <w:start w:val="1"/>
      <w:numFmt w:val="decimal"/>
      <w:pStyle w:val="9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0" w:firstLine="0"/>
      </w:pPr>
      <w:rPr>
        <w:rFonts w:hint="eastAsia"/>
      </w:rPr>
    </w:lvl>
    <w:lvl w:ilvl="8" w:tentative="0">
      <w:start w:val="1"/>
      <w:numFmt w:val="decimal"/>
      <w:lvlText w:val="%1.%2.%3.%4.%5.%6.%7.%8.%9"/>
      <w:lvlJc w:val="left"/>
      <w:pPr>
        <w:tabs>
          <w:tab w:val="left" w:pos="5102"/>
        </w:tabs>
        <w:ind w:left="0" w:firstLine="0"/>
      </w:pPr>
      <w:rPr>
        <w:rFonts w:hint="eastAsia"/>
      </w:rPr>
    </w:lvl>
  </w:abstractNum>
  <w:abstractNum w:abstractNumId="8">
    <w:nsid w:val="6D6C07CD"/>
    <w:multiLevelType w:val="multilevel"/>
    <w:tmpl w:val="6D6C07CD"/>
    <w:lvl w:ilvl="0" w:tentative="0">
      <w:start w:val="1"/>
      <w:numFmt w:val="lowerLetter"/>
      <w:pStyle w:val="95"/>
      <w:lvlText w:val="%1)"/>
      <w:lvlJc w:val="left"/>
      <w:pPr>
        <w:tabs>
          <w:tab w:val="left" w:pos="839"/>
        </w:tabs>
        <w:ind w:left="839" w:hanging="419"/>
      </w:pPr>
      <w:rPr>
        <w:rFonts w:hint="eastAsia" w:ascii="宋体" w:eastAsia="宋体"/>
        <w:b w:val="0"/>
        <w:i w:val="0"/>
        <w:sz w:val="21"/>
      </w:rPr>
    </w:lvl>
    <w:lvl w:ilvl="1" w:tentative="0">
      <w:start w:val="1"/>
      <w:numFmt w:val="decimal"/>
      <w:pStyle w:val="8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4"/>
  </w:num>
  <w:num w:numId="2">
    <w:abstractNumId w:val="1"/>
  </w:num>
  <w:num w:numId="3">
    <w:abstractNumId w:val="3"/>
  </w:num>
  <w:num w:numId="4">
    <w:abstractNumId w:val="5"/>
  </w:num>
  <w:num w:numId="5">
    <w:abstractNumId w:val="0"/>
  </w:num>
  <w:num w:numId="6">
    <w:abstractNumId w:val="7"/>
  </w:num>
  <w:num w:numId="7">
    <w:abstractNumId w:val="6"/>
  </w:num>
  <w:num w:numId="8">
    <w:abstractNumId w:val="8"/>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yMDEyOWFiZjAxOWNlZWIwYTAwZDBmMzcwMGYyYjIifQ=="/>
  </w:docVars>
  <w:rsids>
    <w:rsidRoot w:val="002048D3"/>
    <w:rsid w:val="00000244"/>
    <w:rsid w:val="0000185F"/>
    <w:rsid w:val="00003BE7"/>
    <w:rsid w:val="0000586F"/>
    <w:rsid w:val="00011341"/>
    <w:rsid w:val="00013D86"/>
    <w:rsid w:val="00013E02"/>
    <w:rsid w:val="0002143C"/>
    <w:rsid w:val="00025A65"/>
    <w:rsid w:val="00026C31"/>
    <w:rsid w:val="00027280"/>
    <w:rsid w:val="000274CF"/>
    <w:rsid w:val="000303C7"/>
    <w:rsid w:val="000320A7"/>
    <w:rsid w:val="00035479"/>
    <w:rsid w:val="00035925"/>
    <w:rsid w:val="000367AD"/>
    <w:rsid w:val="00037848"/>
    <w:rsid w:val="0004008C"/>
    <w:rsid w:val="000449C1"/>
    <w:rsid w:val="00047EEC"/>
    <w:rsid w:val="00054C29"/>
    <w:rsid w:val="00060B0E"/>
    <w:rsid w:val="00063BE1"/>
    <w:rsid w:val="00065830"/>
    <w:rsid w:val="00067CDF"/>
    <w:rsid w:val="00070490"/>
    <w:rsid w:val="00073B7D"/>
    <w:rsid w:val="00074BDD"/>
    <w:rsid w:val="00074FBE"/>
    <w:rsid w:val="0007759F"/>
    <w:rsid w:val="00080C82"/>
    <w:rsid w:val="00083A09"/>
    <w:rsid w:val="000844B6"/>
    <w:rsid w:val="00085714"/>
    <w:rsid w:val="0009005E"/>
    <w:rsid w:val="00092857"/>
    <w:rsid w:val="00097703"/>
    <w:rsid w:val="000A1852"/>
    <w:rsid w:val="000A20A9"/>
    <w:rsid w:val="000A3682"/>
    <w:rsid w:val="000A3A91"/>
    <w:rsid w:val="000A48B1"/>
    <w:rsid w:val="000B025C"/>
    <w:rsid w:val="000B3143"/>
    <w:rsid w:val="000B37B2"/>
    <w:rsid w:val="000B3E9C"/>
    <w:rsid w:val="000B4F8B"/>
    <w:rsid w:val="000B53B0"/>
    <w:rsid w:val="000C4480"/>
    <w:rsid w:val="000C4BA2"/>
    <w:rsid w:val="000C6B05"/>
    <w:rsid w:val="000C6DD6"/>
    <w:rsid w:val="000C6FF8"/>
    <w:rsid w:val="000C73D4"/>
    <w:rsid w:val="000D3D4C"/>
    <w:rsid w:val="000D4F51"/>
    <w:rsid w:val="000D718B"/>
    <w:rsid w:val="000E02D6"/>
    <w:rsid w:val="000E0C46"/>
    <w:rsid w:val="000E2DCD"/>
    <w:rsid w:val="000F030C"/>
    <w:rsid w:val="000F129C"/>
    <w:rsid w:val="000F4110"/>
    <w:rsid w:val="000F73CE"/>
    <w:rsid w:val="0010347F"/>
    <w:rsid w:val="00103DDD"/>
    <w:rsid w:val="00104545"/>
    <w:rsid w:val="001056DE"/>
    <w:rsid w:val="00105F87"/>
    <w:rsid w:val="00112428"/>
    <w:rsid w:val="001124C0"/>
    <w:rsid w:val="001128F6"/>
    <w:rsid w:val="0011542F"/>
    <w:rsid w:val="00115C5A"/>
    <w:rsid w:val="00120460"/>
    <w:rsid w:val="001213D3"/>
    <w:rsid w:val="00121502"/>
    <w:rsid w:val="00121706"/>
    <w:rsid w:val="001218FF"/>
    <w:rsid w:val="0012226A"/>
    <w:rsid w:val="0012254F"/>
    <w:rsid w:val="001225DE"/>
    <w:rsid w:val="001226E2"/>
    <w:rsid w:val="0012660B"/>
    <w:rsid w:val="0013134D"/>
    <w:rsid w:val="0013175F"/>
    <w:rsid w:val="00135B56"/>
    <w:rsid w:val="001440EB"/>
    <w:rsid w:val="001512B4"/>
    <w:rsid w:val="001543D4"/>
    <w:rsid w:val="00157D2F"/>
    <w:rsid w:val="001617C7"/>
    <w:rsid w:val="001620A5"/>
    <w:rsid w:val="00163464"/>
    <w:rsid w:val="00164E53"/>
    <w:rsid w:val="0016699D"/>
    <w:rsid w:val="00171189"/>
    <w:rsid w:val="00175159"/>
    <w:rsid w:val="00176208"/>
    <w:rsid w:val="00176A86"/>
    <w:rsid w:val="0018211B"/>
    <w:rsid w:val="001840D3"/>
    <w:rsid w:val="001900F8"/>
    <w:rsid w:val="001905B4"/>
    <w:rsid w:val="00191258"/>
    <w:rsid w:val="00192680"/>
    <w:rsid w:val="00193037"/>
    <w:rsid w:val="00193A2C"/>
    <w:rsid w:val="001A288E"/>
    <w:rsid w:val="001A28AB"/>
    <w:rsid w:val="001A389A"/>
    <w:rsid w:val="001A5086"/>
    <w:rsid w:val="001B3542"/>
    <w:rsid w:val="001B51E9"/>
    <w:rsid w:val="001B6DC2"/>
    <w:rsid w:val="001C0226"/>
    <w:rsid w:val="001C0837"/>
    <w:rsid w:val="001C149C"/>
    <w:rsid w:val="001C21AC"/>
    <w:rsid w:val="001C4731"/>
    <w:rsid w:val="001C47BA"/>
    <w:rsid w:val="001C52D5"/>
    <w:rsid w:val="001C59EA"/>
    <w:rsid w:val="001C6312"/>
    <w:rsid w:val="001C6477"/>
    <w:rsid w:val="001C6939"/>
    <w:rsid w:val="001D119A"/>
    <w:rsid w:val="001D18C0"/>
    <w:rsid w:val="001D406C"/>
    <w:rsid w:val="001D41EE"/>
    <w:rsid w:val="001E0380"/>
    <w:rsid w:val="001E05EC"/>
    <w:rsid w:val="001E13B1"/>
    <w:rsid w:val="001E2225"/>
    <w:rsid w:val="001E2244"/>
    <w:rsid w:val="001E3840"/>
    <w:rsid w:val="001E3E6C"/>
    <w:rsid w:val="001E4510"/>
    <w:rsid w:val="001E5C1B"/>
    <w:rsid w:val="001E67C6"/>
    <w:rsid w:val="001E7C20"/>
    <w:rsid w:val="001F3407"/>
    <w:rsid w:val="001F3A19"/>
    <w:rsid w:val="001F6A45"/>
    <w:rsid w:val="002014D3"/>
    <w:rsid w:val="00202957"/>
    <w:rsid w:val="002048D3"/>
    <w:rsid w:val="0021186D"/>
    <w:rsid w:val="00211A3A"/>
    <w:rsid w:val="00212D07"/>
    <w:rsid w:val="00212E14"/>
    <w:rsid w:val="00216DFD"/>
    <w:rsid w:val="00217195"/>
    <w:rsid w:val="00226F84"/>
    <w:rsid w:val="00227C3C"/>
    <w:rsid w:val="00232ACC"/>
    <w:rsid w:val="00234467"/>
    <w:rsid w:val="00234CC1"/>
    <w:rsid w:val="00235B8A"/>
    <w:rsid w:val="002376D9"/>
    <w:rsid w:val="00237C49"/>
    <w:rsid w:val="00237D8D"/>
    <w:rsid w:val="002408C6"/>
    <w:rsid w:val="00240980"/>
    <w:rsid w:val="00241DA2"/>
    <w:rsid w:val="00242181"/>
    <w:rsid w:val="0024273F"/>
    <w:rsid w:val="00247D11"/>
    <w:rsid w:val="00247FEE"/>
    <w:rsid w:val="00250E7D"/>
    <w:rsid w:val="002565D5"/>
    <w:rsid w:val="00256DE0"/>
    <w:rsid w:val="002609AB"/>
    <w:rsid w:val="00261AC0"/>
    <w:rsid w:val="00261FD8"/>
    <w:rsid w:val="002622C0"/>
    <w:rsid w:val="00267D4E"/>
    <w:rsid w:val="00271177"/>
    <w:rsid w:val="0027681A"/>
    <w:rsid w:val="002778AE"/>
    <w:rsid w:val="0028126A"/>
    <w:rsid w:val="0028269A"/>
    <w:rsid w:val="00283590"/>
    <w:rsid w:val="00286834"/>
    <w:rsid w:val="00286973"/>
    <w:rsid w:val="00292FB7"/>
    <w:rsid w:val="00294E70"/>
    <w:rsid w:val="002956CB"/>
    <w:rsid w:val="002975B4"/>
    <w:rsid w:val="002A1924"/>
    <w:rsid w:val="002A4B81"/>
    <w:rsid w:val="002A5CEB"/>
    <w:rsid w:val="002A7420"/>
    <w:rsid w:val="002B0F12"/>
    <w:rsid w:val="002B1308"/>
    <w:rsid w:val="002B15F9"/>
    <w:rsid w:val="002B387B"/>
    <w:rsid w:val="002B4554"/>
    <w:rsid w:val="002B4EF0"/>
    <w:rsid w:val="002C0665"/>
    <w:rsid w:val="002C15F9"/>
    <w:rsid w:val="002C72D8"/>
    <w:rsid w:val="002D018F"/>
    <w:rsid w:val="002D11FA"/>
    <w:rsid w:val="002D1775"/>
    <w:rsid w:val="002D67EC"/>
    <w:rsid w:val="002E0DDF"/>
    <w:rsid w:val="002E2906"/>
    <w:rsid w:val="002E4431"/>
    <w:rsid w:val="002E5635"/>
    <w:rsid w:val="002E64C3"/>
    <w:rsid w:val="002E6A2C"/>
    <w:rsid w:val="002F1D8C"/>
    <w:rsid w:val="002F21DA"/>
    <w:rsid w:val="002F33FD"/>
    <w:rsid w:val="002F446A"/>
    <w:rsid w:val="002F63C1"/>
    <w:rsid w:val="0030179A"/>
    <w:rsid w:val="00301F39"/>
    <w:rsid w:val="00320A38"/>
    <w:rsid w:val="00321103"/>
    <w:rsid w:val="00324383"/>
    <w:rsid w:val="00325926"/>
    <w:rsid w:val="00327A8A"/>
    <w:rsid w:val="00331D36"/>
    <w:rsid w:val="00336610"/>
    <w:rsid w:val="00342B8D"/>
    <w:rsid w:val="00343B1F"/>
    <w:rsid w:val="00343B79"/>
    <w:rsid w:val="00343F73"/>
    <w:rsid w:val="00345060"/>
    <w:rsid w:val="0034621D"/>
    <w:rsid w:val="00346684"/>
    <w:rsid w:val="00347566"/>
    <w:rsid w:val="00347C4D"/>
    <w:rsid w:val="0035323B"/>
    <w:rsid w:val="003608B4"/>
    <w:rsid w:val="003609D2"/>
    <w:rsid w:val="003625AA"/>
    <w:rsid w:val="00363F22"/>
    <w:rsid w:val="00366E5F"/>
    <w:rsid w:val="0037460C"/>
    <w:rsid w:val="00375564"/>
    <w:rsid w:val="00377AEA"/>
    <w:rsid w:val="00377B18"/>
    <w:rsid w:val="00383191"/>
    <w:rsid w:val="0038636F"/>
    <w:rsid w:val="00386DED"/>
    <w:rsid w:val="00387318"/>
    <w:rsid w:val="003912E7"/>
    <w:rsid w:val="00393947"/>
    <w:rsid w:val="00394A28"/>
    <w:rsid w:val="00395FFB"/>
    <w:rsid w:val="00396915"/>
    <w:rsid w:val="00396AD5"/>
    <w:rsid w:val="003A2275"/>
    <w:rsid w:val="003A429F"/>
    <w:rsid w:val="003A6A4F"/>
    <w:rsid w:val="003A6B9C"/>
    <w:rsid w:val="003A7088"/>
    <w:rsid w:val="003B00DF"/>
    <w:rsid w:val="003B1275"/>
    <w:rsid w:val="003B1778"/>
    <w:rsid w:val="003B36DA"/>
    <w:rsid w:val="003B5431"/>
    <w:rsid w:val="003C11CB"/>
    <w:rsid w:val="003C6AFE"/>
    <w:rsid w:val="003C75F3"/>
    <w:rsid w:val="003C78A3"/>
    <w:rsid w:val="003D3A51"/>
    <w:rsid w:val="003D48A4"/>
    <w:rsid w:val="003D5A77"/>
    <w:rsid w:val="003D749B"/>
    <w:rsid w:val="003E1867"/>
    <w:rsid w:val="003E3C0F"/>
    <w:rsid w:val="003E5729"/>
    <w:rsid w:val="003F07A2"/>
    <w:rsid w:val="003F1049"/>
    <w:rsid w:val="003F4EE0"/>
    <w:rsid w:val="003F6C43"/>
    <w:rsid w:val="003F6EDB"/>
    <w:rsid w:val="003F7AC4"/>
    <w:rsid w:val="00400C38"/>
    <w:rsid w:val="004010AF"/>
    <w:rsid w:val="00402153"/>
    <w:rsid w:val="00402FC1"/>
    <w:rsid w:val="00403D70"/>
    <w:rsid w:val="0041210E"/>
    <w:rsid w:val="00417AB7"/>
    <w:rsid w:val="0042341E"/>
    <w:rsid w:val="00424FB5"/>
    <w:rsid w:val="00425082"/>
    <w:rsid w:val="00426646"/>
    <w:rsid w:val="00431DEB"/>
    <w:rsid w:val="00436B4E"/>
    <w:rsid w:val="0043754C"/>
    <w:rsid w:val="00437747"/>
    <w:rsid w:val="00440DF3"/>
    <w:rsid w:val="0044566A"/>
    <w:rsid w:val="0044605C"/>
    <w:rsid w:val="00446B29"/>
    <w:rsid w:val="00451ED7"/>
    <w:rsid w:val="004522F2"/>
    <w:rsid w:val="00453F9A"/>
    <w:rsid w:val="00456ED6"/>
    <w:rsid w:val="0046006F"/>
    <w:rsid w:val="00471E91"/>
    <w:rsid w:val="00473538"/>
    <w:rsid w:val="00474675"/>
    <w:rsid w:val="0047470C"/>
    <w:rsid w:val="00476F1A"/>
    <w:rsid w:val="004809EB"/>
    <w:rsid w:val="004819E6"/>
    <w:rsid w:val="004871C8"/>
    <w:rsid w:val="004873AC"/>
    <w:rsid w:val="00490BC2"/>
    <w:rsid w:val="004919E6"/>
    <w:rsid w:val="00495D0F"/>
    <w:rsid w:val="00496C77"/>
    <w:rsid w:val="00497794"/>
    <w:rsid w:val="004A1406"/>
    <w:rsid w:val="004A1751"/>
    <w:rsid w:val="004A35F9"/>
    <w:rsid w:val="004A6B18"/>
    <w:rsid w:val="004A7AC0"/>
    <w:rsid w:val="004B24C1"/>
    <w:rsid w:val="004B4AD8"/>
    <w:rsid w:val="004B6BA3"/>
    <w:rsid w:val="004B7FF9"/>
    <w:rsid w:val="004C292F"/>
    <w:rsid w:val="004C2CFE"/>
    <w:rsid w:val="004C6A7D"/>
    <w:rsid w:val="004D2271"/>
    <w:rsid w:val="004D3A3E"/>
    <w:rsid w:val="004D48E2"/>
    <w:rsid w:val="004D717C"/>
    <w:rsid w:val="004E0E35"/>
    <w:rsid w:val="004E2363"/>
    <w:rsid w:val="004F02F6"/>
    <w:rsid w:val="004F064E"/>
    <w:rsid w:val="004F1FB3"/>
    <w:rsid w:val="004F27B3"/>
    <w:rsid w:val="005001DD"/>
    <w:rsid w:val="00500352"/>
    <w:rsid w:val="0050597C"/>
    <w:rsid w:val="00510280"/>
    <w:rsid w:val="0051047B"/>
    <w:rsid w:val="0051079D"/>
    <w:rsid w:val="00511127"/>
    <w:rsid w:val="00511AC5"/>
    <w:rsid w:val="00512969"/>
    <w:rsid w:val="00513D73"/>
    <w:rsid w:val="00514A43"/>
    <w:rsid w:val="00515C95"/>
    <w:rsid w:val="005174E5"/>
    <w:rsid w:val="00522393"/>
    <w:rsid w:val="00522620"/>
    <w:rsid w:val="005249C9"/>
    <w:rsid w:val="00525656"/>
    <w:rsid w:val="005310AF"/>
    <w:rsid w:val="00534C02"/>
    <w:rsid w:val="0054264B"/>
    <w:rsid w:val="00542862"/>
    <w:rsid w:val="00542B0F"/>
    <w:rsid w:val="00543786"/>
    <w:rsid w:val="0054778C"/>
    <w:rsid w:val="0055086C"/>
    <w:rsid w:val="005533D7"/>
    <w:rsid w:val="005543F6"/>
    <w:rsid w:val="00554F75"/>
    <w:rsid w:val="00555920"/>
    <w:rsid w:val="0055604F"/>
    <w:rsid w:val="00557C6E"/>
    <w:rsid w:val="0056160F"/>
    <w:rsid w:val="00562788"/>
    <w:rsid w:val="00562B09"/>
    <w:rsid w:val="00562EF7"/>
    <w:rsid w:val="00563FFF"/>
    <w:rsid w:val="005672CD"/>
    <w:rsid w:val="00567A07"/>
    <w:rsid w:val="005703DE"/>
    <w:rsid w:val="00571CA5"/>
    <w:rsid w:val="0057538F"/>
    <w:rsid w:val="00583DB1"/>
    <w:rsid w:val="0058464E"/>
    <w:rsid w:val="0059035A"/>
    <w:rsid w:val="00590806"/>
    <w:rsid w:val="00592680"/>
    <w:rsid w:val="00592E49"/>
    <w:rsid w:val="00593329"/>
    <w:rsid w:val="005947FB"/>
    <w:rsid w:val="00597816"/>
    <w:rsid w:val="005A01CB"/>
    <w:rsid w:val="005A0410"/>
    <w:rsid w:val="005A1048"/>
    <w:rsid w:val="005A58FF"/>
    <w:rsid w:val="005A5EAF"/>
    <w:rsid w:val="005A64C0"/>
    <w:rsid w:val="005A6CFC"/>
    <w:rsid w:val="005B0A72"/>
    <w:rsid w:val="005B3C11"/>
    <w:rsid w:val="005B47E5"/>
    <w:rsid w:val="005B5C32"/>
    <w:rsid w:val="005B5C5A"/>
    <w:rsid w:val="005C18A2"/>
    <w:rsid w:val="005C1C28"/>
    <w:rsid w:val="005C6DB5"/>
    <w:rsid w:val="005C7ED7"/>
    <w:rsid w:val="005D7C48"/>
    <w:rsid w:val="005E0B99"/>
    <w:rsid w:val="005E0FD0"/>
    <w:rsid w:val="005E10D6"/>
    <w:rsid w:val="005E19E7"/>
    <w:rsid w:val="005E3166"/>
    <w:rsid w:val="005E6A6C"/>
    <w:rsid w:val="005F2398"/>
    <w:rsid w:val="005F30BE"/>
    <w:rsid w:val="005F4709"/>
    <w:rsid w:val="00601BFC"/>
    <w:rsid w:val="00602BF7"/>
    <w:rsid w:val="00605772"/>
    <w:rsid w:val="00607D5F"/>
    <w:rsid w:val="00612E26"/>
    <w:rsid w:val="00613B22"/>
    <w:rsid w:val="00616312"/>
    <w:rsid w:val="0061716C"/>
    <w:rsid w:val="006243A1"/>
    <w:rsid w:val="00632E56"/>
    <w:rsid w:val="0063551F"/>
    <w:rsid w:val="00635616"/>
    <w:rsid w:val="00635CBA"/>
    <w:rsid w:val="00641C40"/>
    <w:rsid w:val="00642256"/>
    <w:rsid w:val="0064263A"/>
    <w:rsid w:val="0064338B"/>
    <w:rsid w:val="00646074"/>
    <w:rsid w:val="00646542"/>
    <w:rsid w:val="00646CF9"/>
    <w:rsid w:val="006504F4"/>
    <w:rsid w:val="00654BC9"/>
    <w:rsid w:val="006552FD"/>
    <w:rsid w:val="00657BD8"/>
    <w:rsid w:val="006602F5"/>
    <w:rsid w:val="00662945"/>
    <w:rsid w:val="00663AF3"/>
    <w:rsid w:val="006653A5"/>
    <w:rsid w:val="00666B6C"/>
    <w:rsid w:val="0068100D"/>
    <w:rsid w:val="006819E6"/>
    <w:rsid w:val="00682682"/>
    <w:rsid w:val="00682702"/>
    <w:rsid w:val="00685D60"/>
    <w:rsid w:val="00686AE9"/>
    <w:rsid w:val="00692368"/>
    <w:rsid w:val="00695190"/>
    <w:rsid w:val="00697C5C"/>
    <w:rsid w:val="006A2EBC"/>
    <w:rsid w:val="006A476A"/>
    <w:rsid w:val="006A5EA0"/>
    <w:rsid w:val="006A6933"/>
    <w:rsid w:val="006A783B"/>
    <w:rsid w:val="006A7B33"/>
    <w:rsid w:val="006B1F5C"/>
    <w:rsid w:val="006B3AFD"/>
    <w:rsid w:val="006B4E13"/>
    <w:rsid w:val="006B75DD"/>
    <w:rsid w:val="006C1E35"/>
    <w:rsid w:val="006C2A92"/>
    <w:rsid w:val="006C67E0"/>
    <w:rsid w:val="006C74CD"/>
    <w:rsid w:val="006C7ABA"/>
    <w:rsid w:val="006D05C9"/>
    <w:rsid w:val="006D0D60"/>
    <w:rsid w:val="006D0F1E"/>
    <w:rsid w:val="006D1122"/>
    <w:rsid w:val="006D3C00"/>
    <w:rsid w:val="006D4FED"/>
    <w:rsid w:val="006D7E8F"/>
    <w:rsid w:val="006E3675"/>
    <w:rsid w:val="006E3AD4"/>
    <w:rsid w:val="006E3D04"/>
    <w:rsid w:val="006E3E6B"/>
    <w:rsid w:val="006E3F30"/>
    <w:rsid w:val="006E4A7F"/>
    <w:rsid w:val="006F271F"/>
    <w:rsid w:val="006F3D73"/>
    <w:rsid w:val="006F40D9"/>
    <w:rsid w:val="006F5772"/>
    <w:rsid w:val="006F69D6"/>
    <w:rsid w:val="007000CB"/>
    <w:rsid w:val="007025F2"/>
    <w:rsid w:val="00704DF6"/>
    <w:rsid w:val="0070651C"/>
    <w:rsid w:val="00707010"/>
    <w:rsid w:val="007071E4"/>
    <w:rsid w:val="007076D9"/>
    <w:rsid w:val="007132A3"/>
    <w:rsid w:val="00713C13"/>
    <w:rsid w:val="00716421"/>
    <w:rsid w:val="00724EFB"/>
    <w:rsid w:val="007301F3"/>
    <w:rsid w:val="00732343"/>
    <w:rsid w:val="00734D60"/>
    <w:rsid w:val="00737824"/>
    <w:rsid w:val="007419C3"/>
    <w:rsid w:val="007455E7"/>
    <w:rsid w:val="00745F91"/>
    <w:rsid w:val="00746601"/>
    <w:rsid w:val="007467A7"/>
    <w:rsid w:val="007469AA"/>
    <w:rsid w:val="007469DD"/>
    <w:rsid w:val="0074741B"/>
    <w:rsid w:val="0074759E"/>
    <w:rsid w:val="007478EA"/>
    <w:rsid w:val="00752555"/>
    <w:rsid w:val="0075415C"/>
    <w:rsid w:val="0075644E"/>
    <w:rsid w:val="00756C06"/>
    <w:rsid w:val="00761E1F"/>
    <w:rsid w:val="00763502"/>
    <w:rsid w:val="00763B6D"/>
    <w:rsid w:val="00763BEA"/>
    <w:rsid w:val="00763C39"/>
    <w:rsid w:val="00766763"/>
    <w:rsid w:val="0076729F"/>
    <w:rsid w:val="00770120"/>
    <w:rsid w:val="007725B3"/>
    <w:rsid w:val="00775833"/>
    <w:rsid w:val="00775951"/>
    <w:rsid w:val="00776345"/>
    <w:rsid w:val="007774C4"/>
    <w:rsid w:val="007805D4"/>
    <w:rsid w:val="0078164C"/>
    <w:rsid w:val="007819C8"/>
    <w:rsid w:val="0078354F"/>
    <w:rsid w:val="00785BE9"/>
    <w:rsid w:val="00790180"/>
    <w:rsid w:val="007913AB"/>
    <w:rsid w:val="007914F7"/>
    <w:rsid w:val="007A1716"/>
    <w:rsid w:val="007A254B"/>
    <w:rsid w:val="007A303F"/>
    <w:rsid w:val="007B1625"/>
    <w:rsid w:val="007B2A3F"/>
    <w:rsid w:val="007B4FA2"/>
    <w:rsid w:val="007B6EC6"/>
    <w:rsid w:val="007B706E"/>
    <w:rsid w:val="007B71EB"/>
    <w:rsid w:val="007B7326"/>
    <w:rsid w:val="007C042F"/>
    <w:rsid w:val="007C0D3B"/>
    <w:rsid w:val="007C2F9F"/>
    <w:rsid w:val="007C6205"/>
    <w:rsid w:val="007C686A"/>
    <w:rsid w:val="007C728E"/>
    <w:rsid w:val="007C7385"/>
    <w:rsid w:val="007D1316"/>
    <w:rsid w:val="007D2AF2"/>
    <w:rsid w:val="007D2C53"/>
    <w:rsid w:val="007D3D60"/>
    <w:rsid w:val="007D7534"/>
    <w:rsid w:val="007E0F20"/>
    <w:rsid w:val="007E1980"/>
    <w:rsid w:val="007E351F"/>
    <w:rsid w:val="007E4B76"/>
    <w:rsid w:val="007E5EA8"/>
    <w:rsid w:val="007F0CF1"/>
    <w:rsid w:val="007F12A5"/>
    <w:rsid w:val="007F19D9"/>
    <w:rsid w:val="007F4CF1"/>
    <w:rsid w:val="007F758D"/>
    <w:rsid w:val="007F7D52"/>
    <w:rsid w:val="0080654C"/>
    <w:rsid w:val="008071C6"/>
    <w:rsid w:val="008132C1"/>
    <w:rsid w:val="00813F22"/>
    <w:rsid w:val="00814D52"/>
    <w:rsid w:val="00817A00"/>
    <w:rsid w:val="00817AED"/>
    <w:rsid w:val="00824C21"/>
    <w:rsid w:val="00830C61"/>
    <w:rsid w:val="008333BD"/>
    <w:rsid w:val="00835245"/>
    <w:rsid w:val="00835DB3"/>
    <w:rsid w:val="0083617B"/>
    <w:rsid w:val="008365E5"/>
    <w:rsid w:val="008371BD"/>
    <w:rsid w:val="008402D4"/>
    <w:rsid w:val="00843BA9"/>
    <w:rsid w:val="008502C2"/>
    <w:rsid w:val="008504A8"/>
    <w:rsid w:val="00851E61"/>
    <w:rsid w:val="0085258A"/>
    <w:rsid w:val="0085282E"/>
    <w:rsid w:val="00857295"/>
    <w:rsid w:val="008602BC"/>
    <w:rsid w:val="0087198C"/>
    <w:rsid w:val="008724EA"/>
    <w:rsid w:val="00872C1F"/>
    <w:rsid w:val="00873B42"/>
    <w:rsid w:val="00874A13"/>
    <w:rsid w:val="0087726F"/>
    <w:rsid w:val="0088221C"/>
    <w:rsid w:val="008856D8"/>
    <w:rsid w:val="00887F48"/>
    <w:rsid w:val="008917AC"/>
    <w:rsid w:val="00892E82"/>
    <w:rsid w:val="008B3314"/>
    <w:rsid w:val="008B6639"/>
    <w:rsid w:val="008C0BC2"/>
    <w:rsid w:val="008C1A04"/>
    <w:rsid w:val="008C1B58"/>
    <w:rsid w:val="008C39AE"/>
    <w:rsid w:val="008C3A4B"/>
    <w:rsid w:val="008C48AE"/>
    <w:rsid w:val="008C4AB9"/>
    <w:rsid w:val="008C5392"/>
    <w:rsid w:val="008C545E"/>
    <w:rsid w:val="008C590D"/>
    <w:rsid w:val="008C7D1A"/>
    <w:rsid w:val="008D18E3"/>
    <w:rsid w:val="008D4E86"/>
    <w:rsid w:val="008D63F8"/>
    <w:rsid w:val="008E011E"/>
    <w:rsid w:val="008E031B"/>
    <w:rsid w:val="008E7029"/>
    <w:rsid w:val="008E7EF6"/>
    <w:rsid w:val="008F1230"/>
    <w:rsid w:val="008F1F98"/>
    <w:rsid w:val="008F6758"/>
    <w:rsid w:val="0090407D"/>
    <w:rsid w:val="009040DD"/>
    <w:rsid w:val="00905AD0"/>
    <w:rsid w:val="00905B47"/>
    <w:rsid w:val="0090742E"/>
    <w:rsid w:val="009103F5"/>
    <w:rsid w:val="0091331C"/>
    <w:rsid w:val="00915198"/>
    <w:rsid w:val="00920A8C"/>
    <w:rsid w:val="00921772"/>
    <w:rsid w:val="00921CC4"/>
    <w:rsid w:val="0092396D"/>
    <w:rsid w:val="00926BB6"/>
    <w:rsid w:val="009275FE"/>
    <w:rsid w:val="009279DE"/>
    <w:rsid w:val="00930116"/>
    <w:rsid w:val="00931E3B"/>
    <w:rsid w:val="0093257B"/>
    <w:rsid w:val="0094212C"/>
    <w:rsid w:val="00944529"/>
    <w:rsid w:val="00944B95"/>
    <w:rsid w:val="00951C14"/>
    <w:rsid w:val="00952F21"/>
    <w:rsid w:val="00954689"/>
    <w:rsid w:val="00954D1F"/>
    <w:rsid w:val="009617C9"/>
    <w:rsid w:val="00961C93"/>
    <w:rsid w:val="00965324"/>
    <w:rsid w:val="0097091E"/>
    <w:rsid w:val="009718BD"/>
    <w:rsid w:val="009733F8"/>
    <w:rsid w:val="009741C6"/>
    <w:rsid w:val="009760D3"/>
    <w:rsid w:val="00977132"/>
    <w:rsid w:val="00980EC9"/>
    <w:rsid w:val="00980F34"/>
    <w:rsid w:val="00981A4B"/>
    <w:rsid w:val="00982501"/>
    <w:rsid w:val="00983B3B"/>
    <w:rsid w:val="00984244"/>
    <w:rsid w:val="009856AA"/>
    <w:rsid w:val="009877D3"/>
    <w:rsid w:val="009923D2"/>
    <w:rsid w:val="00994E8F"/>
    <w:rsid w:val="009951DC"/>
    <w:rsid w:val="009959BB"/>
    <w:rsid w:val="00997158"/>
    <w:rsid w:val="009A1279"/>
    <w:rsid w:val="009A35E5"/>
    <w:rsid w:val="009A3A7C"/>
    <w:rsid w:val="009A3F31"/>
    <w:rsid w:val="009B0684"/>
    <w:rsid w:val="009B2ADB"/>
    <w:rsid w:val="009B5C81"/>
    <w:rsid w:val="009B603A"/>
    <w:rsid w:val="009C18CF"/>
    <w:rsid w:val="009C2D0E"/>
    <w:rsid w:val="009C3DAC"/>
    <w:rsid w:val="009C42E0"/>
    <w:rsid w:val="009C610F"/>
    <w:rsid w:val="009C7ED1"/>
    <w:rsid w:val="009D144A"/>
    <w:rsid w:val="009D1FC4"/>
    <w:rsid w:val="009D5362"/>
    <w:rsid w:val="009D5DB3"/>
    <w:rsid w:val="009E1415"/>
    <w:rsid w:val="009E6116"/>
    <w:rsid w:val="009E7CC2"/>
    <w:rsid w:val="009F6AE3"/>
    <w:rsid w:val="009F6E7D"/>
    <w:rsid w:val="00A01E86"/>
    <w:rsid w:val="00A023C1"/>
    <w:rsid w:val="00A02C41"/>
    <w:rsid w:val="00A02E43"/>
    <w:rsid w:val="00A065F9"/>
    <w:rsid w:val="00A07F34"/>
    <w:rsid w:val="00A175F9"/>
    <w:rsid w:val="00A17C19"/>
    <w:rsid w:val="00A21C1F"/>
    <w:rsid w:val="00A22154"/>
    <w:rsid w:val="00A22E4E"/>
    <w:rsid w:val="00A23A65"/>
    <w:rsid w:val="00A25052"/>
    <w:rsid w:val="00A25C38"/>
    <w:rsid w:val="00A26DC9"/>
    <w:rsid w:val="00A27271"/>
    <w:rsid w:val="00A31EEE"/>
    <w:rsid w:val="00A344D2"/>
    <w:rsid w:val="00A363F3"/>
    <w:rsid w:val="00A36981"/>
    <w:rsid w:val="00A36BBE"/>
    <w:rsid w:val="00A37744"/>
    <w:rsid w:val="00A4307A"/>
    <w:rsid w:val="00A47EBB"/>
    <w:rsid w:val="00A50E09"/>
    <w:rsid w:val="00A51CDD"/>
    <w:rsid w:val="00A51EEB"/>
    <w:rsid w:val="00A550EB"/>
    <w:rsid w:val="00A60C63"/>
    <w:rsid w:val="00A6287E"/>
    <w:rsid w:val="00A63CDE"/>
    <w:rsid w:val="00A647A9"/>
    <w:rsid w:val="00A6665E"/>
    <w:rsid w:val="00A6730D"/>
    <w:rsid w:val="00A71625"/>
    <w:rsid w:val="00A71B9B"/>
    <w:rsid w:val="00A751C7"/>
    <w:rsid w:val="00A76A6B"/>
    <w:rsid w:val="00A81514"/>
    <w:rsid w:val="00A846E1"/>
    <w:rsid w:val="00A84A33"/>
    <w:rsid w:val="00A85F82"/>
    <w:rsid w:val="00A865DF"/>
    <w:rsid w:val="00A86CB5"/>
    <w:rsid w:val="00A87844"/>
    <w:rsid w:val="00A87DC3"/>
    <w:rsid w:val="00A87F0E"/>
    <w:rsid w:val="00A904D8"/>
    <w:rsid w:val="00AA038C"/>
    <w:rsid w:val="00AA1679"/>
    <w:rsid w:val="00AA7A09"/>
    <w:rsid w:val="00AB3B50"/>
    <w:rsid w:val="00AC05B1"/>
    <w:rsid w:val="00AC2957"/>
    <w:rsid w:val="00AC4982"/>
    <w:rsid w:val="00AD356C"/>
    <w:rsid w:val="00AD3EE4"/>
    <w:rsid w:val="00AD4F21"/>
    <w:rsid w:val="00AE2914"/>
    <w:rsid w:val="00AE486B"/>
    <w:rsid w:val="00AE4D7D"/>
    <w:rsid w:val="00AE6991"/>
    <w:rsid w:val="00AE6D15"/>
    <w:rsid w:val="00AE6E65"/>
    <w:rsid w:val="00AF02D9"/>
    <w:rsid w:val="00AF648C"/>
    <w:rsid w:val="00AF6DB3"/>
    <w:rsid w:val="00AF7189"/>
    <w:rsid w:val="00B031B1"/>
    <w:rsid w:val="00B04182"/>
    <w:rsid w:val="00B07AE3"/>
    <w:rsid w:val="00B11430"/>
    <w:rsid w:val="00B235EB"/>
    <w:rsid w:val="00B25694"/>
    <w:rsid w:val="00B30FB7"/>
    <w:rsid w:val="00B33789"/>
    <w:rsid w:val="00B337E7"/>
    <w:rsid w:val="00B347F0"/>
    <w:rsid w:val="00B353EB"/>
    <w:rsid w:val="00B439C4"/>
    <w:rsid w:val="00B441C6"/>
    <w:rsid w:val="00B4535E"/>
    <w:rsid w:val="00B52A8C"/>
    <w:rsid w:val="00B53F00"/>
    <w:rsid w:val="00B5489E"/>
    <w:rsid w:val="00B6098C"/>
    <w:rsid w:val="00B63646"/>
    <w:rsid w:val="00B636A8"/>
    <w:rsid w:val="00B65951"/>
    <w:rsid w:val="00B665C6"/>
    <w:rsid w:val="00B71FC3"/>
    <w:rsid w:val="00B72F15"/>
    <w:rsid w:val="00B72F41"/>
    <w:rsid w:val="00B75D3A"/>
    <w:rsid w:val="00B805AF"/>
    <w:rsid w:val="00B83309"/>
    <w:rsid w:val="00B8396A"/>
    <w:rsid w:val="00B869EC"/>
    <w:rsid w:val="00B921CE"/>
    <w:rsid w:val="00B926D5"/>
    <w:rsid w:val="00B9397A"/>
    <w:rsid w:val="00B9498B"/>
    <w:rsid w:val="00B9633D"/>
    <w:rsid w:val="00BA0EA8"/>
    <w:rsid w:val="00BA2EBE"/>
    <w:rsid w:val="00BA3DC8"/>
    <w:rsid w:val="00BB0F28"/>
    <w:rsid w:val="00BB1CCD"/>
    <w:rsid w:val="00BB458A"/>
    <w:rsid w:val="00BB5131"/>
    <w:rsid w:val="00BC7667"/>
    <w:rsid w:val="00BD00D3"/>
    <w:rsid w:val="00BD1659"/>
    <w:rsid w:val="00BD353C"/>
    <w:rsid w:val="00BD3AA9"/>
    <w:rsid w:val="00BD4A18"/>
    <w:rsid w:val="00BD68EC"/>
    <w:rsid w:val="00BD6DB2"/>
    <w:rsid w:val="00BE0320"/>
    <w:rsid w:val="00BE0CFB"/>
    <w:rsid w:val="00BE11CF"/>
    <w:rsid w:val="00BE21AB"/>
    <w:rsid w:val="00BE25C6"/>
    <w:rsid w:val="00BE55CB"/>
    <w:rsid w:val="00BF617A"/>
    <w:rsid w:val="00C00701"/>
    <w:rsid w:val="00C016CC"/>
    <w:rsid w:val="00C01A5A"/>
    <w:rsid w:val="00C0379D"/>
    <w:rsid w:val="00C03931"/>
    <w:rsid w:val="00C04683"/>
    <w:rsid w:val="00C04F89"/>
    <w:rsid w:val="00C05FE3"/>
    <w:rsid w:val="00C064A4"/>
    <w:rsid w:val="00C10631"/>
    <w:rsid w:val="00C17689"/>
    <w:rsid w:val="00C2136D"/>
    <w:rsid w:val="00C214EE"/>
    <w:rsid w:val="00C2314B"/>
    <w:rsid w:val="00C24971"/>
    <w:rsid w:val="00C261BE"/>
    <w:rsid w:val="00C26BE5"/>
    <w:rsid w:val="00C26E4D"/>
    <w:rsid w:val="00C27909"/>
    <w:rsid w:val="00C27B03"/>
    <w:rsid w:val="00C30FA8"/>
    <w:rsid w:val="00C314E1"/>
    <w:rsid w:val="00C32C39"/>
    <w:rsid w:val="00C34397"/>
    <w:rsid w:val="00C4095D"/>
    <w:rsid w:val="00C465D9"/>
    <w:rsid w:val="00C51831"/>
    <w:rsid w:val="00C518D3"/>
    <w:rsid w:val="00C52A25"/>
    <w:rsid w:val="00C52BA1"/>
    <w:rsid w:val="00C54742"/>
    <w:rsid w:val="00C601D2"/>
    <w:rsid w:val="00C60885"/>
    <w:rsid w:val="00C63840"/>
    <w:rsid w:val="00C64C21"/>
    <w:rsid w:val="00C657AB"/>
    <w:rsid w:val="00C65BCC"/>
    <w:rsid w:val="00C66970"/>
    <w:rsid w:val="00C71B76"/>
    <w:rsid w:val="00C7457D"/>
    <w:rsid w:val="00C77F0E"/>
    <w:rsid w:val="00C80419"/>
    <w:rsid w:val="00C8102A"/>
    <w:rsid w:val="00C83E1B"/>
    <w:rsid w:val="00C851F9"/>
    <w:rsid w:val="00C8691C"/>
    <w:rsid w:val="00C86C16"/>
    <w:rsid w:val="00C87D5B"/>
    <w:rsid w:val="00C94567"/>
    <w:rsid w:val="00C97DBD"/>
    <w:rsid w:val="00CA168A"/>
    <w:rsid w:val="00CA357E"/>
    <w:rsid w:val="00CA44F9"/>
    <w:rsid w:val="00CA4A69"/>
    <w:rsid w:val="00CA4F48"/>
    <w:rsid w:val="00CB135D"/>
    <w:rsid w:val="00CB7F2E"/>
    <w:rsid w:val="00CC00E9"/>
    <w:rsid w:val="00CC0E78"/>
    <w:rsid w:val="00CC2DA4"/>
    <w:rsid w:val="00CC3E0C"/>
    <w:rsid w:val="00CC58D3"/>
    <w:rsid w:val="00CC784D"/>
    <w:rsid w:val="00CD0AB6"/>
    <w:rsid w:val="00CD2489"/>
    <w:rsid w:val="00CD519F"/>
    <w:rsid w:val="00CD7057"/>
    <w:rsid w:val="00CE1E1D"/>
    <w:rsid w:val="00CE3296"/>
    <w:rsid w:val="00CE3602"/>
    <w:rsid w:val="00CE3A11"/>
    <w:rsid w:val="00CE43B8"/>
    <w:rsid w:val="00D0337B"/>
    <w:rsid w:val="00D07402"/>
    <w:rsid w:val="00D079B2"/>
    <w:rsid w:val="00D114E9"/>
    <w:rsid w:val="00D16C30"/>
    <w:rsid w:val="00D20B96"/>
    <w:rsid w:val="00D236E5"/>
    <w:rsid w:val="00D23E77"/>
    <w:rsid w:val="00D25F58"/>
    <w:rsid w:val="00D315E4"/>
    <w:rsid w:val="00D32334"/>
    <w:rsid w:val="00D32692"/>
    <w:rsid w:val="00D33A20"/>
    <w:rsid w:val="00D40B52"/>
    <w:rsid w:val="00D429C6"/>
    <w:rsid w:val="00D42F0D"/>
    <w:rsid w:val="00D435FB"/>
    <w:rsid w:val="00D44289"/>
    <w:rsid w:val="00D4541E"/>
    <w:rsid w:val="00D465E5"/>
    <w:rsid w:val="00D47748"/>
    <w:rsid w:val="00D514C7"/>
    <w:rsid w:val="00D524AC"/>
    <w:rsid w:val="00D5292E"/>
    <w:rsid w:val="00D537E9"/>
    <w:rsid w:val="00D54CC3"/>
    <w:rsid w:val="00D55305"/>
    <w:rsid w:val="00D565F5"/>
    <w:rsid w:val="00D6041A"/>
    <w:rsid w:val="00D633EB"/>
    <w:rsid w:val="00D63911"/>
    <w:rsid w:val="00D63F58"/>
    <w:rsid w:val="00D6582C"/>
    <w:rsid w:val="00D7002C"/>
    <w:rsid w:val="00D715EB"/>
    <w:rsid w:val="00D73E63"/>
    <w:rsid w:val="00D747D7"/>
    <w:rsid w:val="00D82FF7"/>
    <w:rsid w:val="00D83509"/>
    <w:rsid w:val="00D8426E"/>
    <w:rsid w:val="00D847FE"/>
    <w:rsid w:val="00D85897"/>
    <w:rsid w:val="00D964EA"/>
    <w:rsid w:val="00D966D0"/>
    <w:rsid w:val="00DA0C59"/>
    <w:rsid w:val="00DA3991"/>
    <w:rsid w:val="00DA4C3C"/>
    <w:rsid w:val="00DA6772"/>
    <w:rsid w:val="00DB450C"/>
    <w:rsid w:val="00DB7E6C"/>
    <w:rsid w:val="00DC1111"/>
    <w:rsid w:val="00DC194E"/>
    <w:rsid w:val="00DC21FE"/>
    <w:rsid w:val="00DC374A"/>
    <w:rsid w:val="00DC7D5C"/>
    <w:rsid w:val="00DD0C26"/>
    <w:rsid w:val="00DD4BD2"/>
    <w:rsid w:val="00DD58C7"/>
    <w:rsid w:val="00DD5A29"/>
    <w:rsid w:val="00DD5D9D"/>
    <w:rsid w:val="00DE09EA"/>
    <w:rsid w:val="00DE2831"/>
    <w:rsid w:val="00DE3550"/>
    <w:rsid w:val="00DE35CB"/>
    <w:rsid w:val="00DE3809"/>
    <w:rsid w:val="00DE43FC"/>
    <w:rsid w:val="00DE4463"/>
    <w:rsid w:val="00DE52E6"/>
    <w:rsid w:val="00DF0BE0"/>
    <w:rsid w:val="00DF1708"/>
    <w:rsid w:val="00DF21E9"/>
    <w:rsid w:val="00DF2A65"/>
    <w:rsid w:val="00DF73C3"/>
    <w:rsid w:val="00E00B17"/>
    <w:rsid w:val="00E00F14"/>
    <w:rsid w:val="00E06386"/>
    <w:rsid w:val="00E06F85"/>
    <w:rsid w:val="00E07CA5"/>
    <w:rsid w:val="00E07E2C"/>
    <w:rsid w:val="00E15094"/>
    <w:rsid w:val="00E240B4"/>
    <w:rsid w:val="00E24EB4"/>
    <w:rsid w:val="00E303AD"/>
    <w:rsid w:val="00E320ED"/>
    <w:rsid w:val="00E33AFB"/>
    <w:rsid w:val="00E34218"/>
    <w:rsid w:val="00E34581"/>
    <w:rsid w:val="00E359B9"/>
    <w:rsid w:val="00E37F7B"/>
    <w:rsid w:val="00E406D8"/>
    <w:rsid w:val="00E41580"/>
    <w:rsid w:val="00E46282"/>
    <w:rsid w:val="00E5216E"/>
    <w:rsid w:val="00E533A5"/>
    <w:rsid w:val="00E546AD"/>
    <w:rsid w:val="00E55480"/>
    <w:rsid w:val="00E56C2C"/>
    <w:rsid w:val="00E6463E"/>
    <w:rsid w:val="00E64F4A"/>
    <w:rsid w:val="00E670A5"/>
    <w:rsid w:val="00E76DDB"/>
    <w:rsid w:val="00E7705B"/>
    <w:rsid w:val="00E816AF"/>
    <w:rsid w:val="00E82344"/>
    <w:rsid w:val="00E83980"/>
    <w:rsid w:val="00E84775"/>
    <w:rsid w:val="00E84924"/>
    <w:rsid w:val="00E84C82"/>
    <w:rsid w:val="00E84D64"/>
    <w:rsid w:val="00E8668B"/>
    <w:rsid w:val="00E87408"/>
    <w:rsid w:val="00E8794F"/>
    <w:rsid w:val="00E87BF6"/>
    <w:rsid w:val="00E90687"/>
    <w:rsid w:val="00E914C4"/>
    <w:rsid w:val="00E917E5"/>
    <w:rsid w:val="00E934F5"/>
    <w:rsid w:val="00E94B93"/>
    <w:rsid w:val="00E95B1D"/>
    <w:rsid w:val="00E96961"/>
    <w:rsid w:val="00EA43D9"/>
    <w:rsid w:val="00EA51AB"/>
    <w:rsid w:val="00EA72EC"/>
    <w:rsid w:val="00EB11CB"/>
    <w:rsid w:val="00EB275A"/>
    <w:rsid w:val="00EB4B54"/>
    <w:rsid w:val="00EB5FCE"/>
    <w:rsid w:val="00EB786A"/>
    <w:rsid w:val="00EC0F26"/>
    <w:rsid w:val="00EC1578"/>
    <w:rsid w:val="00EC1C72"/>
    <w:rsid w:val="00EC25F8"/>
    <w:rsid w:val="00EC3CC9"/>
    <w:rsid w:val="00EC4F62"/>
    <w:rsid w:val="00EC5BA0"/>
    <w:rsid w:val="00EC6172"/>
    <w:rsid w:val="00EC680A"/>
    <w:rsid w:val="00ED0FB1"/>
    <w:rsid w:val="00ED7561"/>
    <w:rsid w:val="00EE20ED"/>
    <w:rsid w:val="00EE2BED"/>
    <w:rsid w:val="00EE374B"/>
    <w:rsid w:val="00EE484D"/>
    <w:rsid w:val="00EF0105"/>
    <w:rsid w:val="00EF04DD"/>
    <w:rsid w:val="00EF2FB6"/>
    <w:rsid w:val="00F01C53"/>
    <w:rsid w:val="00F02201"/>
    <w:rsid w:val="00F0224B"/>
    <w:rsid w:val="00F027E1"/>
    <w:rsid w:val="00F02E88"/>
    <w:rsid w:val="00F03F3B"/>
    <w:rsid w:val="00F0433A"/>
    <w:rsid w:val="00F0796D"/>
    <w:rsid w:val="00F110BA"/>
    <w:rsid w:val="00F11BB5"/>
    <w:rsid w:val="00F13281"/>
    <w:rsid w:val="00F1417B"/>
    <w:rsid w:val="00F141FE"/>
    <w:rsid w:val="00F17CFF"/>
    <w:rsid w:val="00F20898"/>
    <w:rsid w:val="00F233C4"/>
    <w:rsid w:val="00F244A9"/>
    <w:rsid w:val="00F253F5"/>
    <w:rsid w:val="00F3447C"/>
    <w:rsid w:val="00F3477F"/>
    <w:rsid w:val="00F34B99"/>
    <w:rsid w:val="00F3516A"/>
    <w:rsid w:val="00F37CB2"/>
    <w:rsid w:val="00F40EE2"/>
    <w:rsid w:val="00F42B98"/>
    <w:rsid w:val="00F52DAB"/>
    <w:rsid w:val="00F543F0"/>
    <w:rsid w:val="00F5508E"/>
    <w:rsid w:val="00F673A0"/>
    <w:rsid w:val="00F70904"/>
    <w:rsid w:val="00F756CC"/>
    <w:rsid w:val="00F81D29"/>
    <w:rsid w:val="00F84750"/>
    <w:rsid w:val="00F8738C"/>
    <w:rsid w:val="00F91C4D"/>
    <w:rsid w:val="00F92FD9"/>
    <w:rsid w:val="00F94E5C"/>
    <w:rsid w:val="00F96058"/>
    <w:rsid w:val="00F97E50"/>
    <w:rsid w:val="00FA2E58"/>
    <w:rsid w:val="00FA32DA"/>
    <w:rsid w:val="00FA6684"/>
    <w:rsid w:val="00FA731E"/>
    <w:rsid w:val="00FB2B38"/>
    <w:rsid w:val="00FB4D40"/>
    <w:rsid w:val="00FC5612"/>
    <w:rsid w:val="00FC6358"/>
    <w:rsid w:val="00FD2085"/>
    <w:rsid w:val="00FD320D"/>
    <w:rsid w:val="00FD3D9D"/>
    <w:rsid w:val="00FD4282"/>
    <w:rsid w:val="00FD7386"/>
    <w:rsid w:val="00FE16F1"/>
    <w:rsid w:val="00FE23DE"/>
    <w:rsid w:val="00FE6E57"/>
    <w:rsid w:val="00FF17AA"/>
    <w:rsid w:val="00FF4839"/>
    <w:rsid w:val="34007344"/>
    <w:rsid w:val="3B424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2">
    <w:name w:val="index 8"/>
    <w:basedOn w:val="1"/>
    <w:next w:val="1"/>
    <w:qFormat/>
    <w:uiPriority w:val="0"/>
    <w:pPr>
      <w:ind w:left="1680" w:hanging="210"/>
      <w:jc w:val="left"/>
    </w:pPr>
    <w:rPr>
      <w:rFonts w:ascii="Calibri" w:hAnsi="Calibri"/>
      <w:sz w:val="20"/>
      <w:szCs w:val="20"/>
    </w:rPr>
  </w:style>
  <w:style w:type="paragraph" w:styleId="3">
    <w:name w:val="caption"/>
    <w:basedOn w:val="1"/>
    <w:next w:val="1"/>
    <w:qFormat/>
    <w:uiPriority w:val="0"/>
    <w:pPr>
      <w:spacing w:before="152" w:after="160"/>
    </w:pPr>
    <w:rPr>
      <w:rFonts w:ascii="Arial" w:hAnsi="Arial" w:eastAsia="黑体" w:cs="Arial"/>
      <w:sz w:val="20"/>
      <w:szCs w:val="20"/>
    </w:rPr>
  </w:style>
  <w:style w:type="paragraph" w:styleId="4">
    <w:name w:val="index 5"/>
    <w:basedOn w:val="1"/>
    <w:next w:val="1"/>
    <w:qFormat/>
    <w:uiPriority w:val="0"/>
    <w:pPr>
      <w:ind w:left="1050" w:hanging="210"/>
      <w:jc w:val="left"/>
    </w:pPr>
    <w:rPr>
      <w:rFonts w:ascii="Calibri" w:hAnsi="Calibri"/>
      <w:sz w:val="20"/>
      <w:szCs w:val="20"/>
    </w:rPr>
  </w:style>
  <w:style w:type="paragraph" w:styleId="5">
    <w:name w:val="Document Map"/>
    <w:basedOn w:val="1"/>
    <w:semiHidden/>
    <w:uiPriority w:val="0"/>
    <w:pPr>
      <w:shd w:val="clear" w:color="auto" w:fill="000080"/>
    </w:pPr>
  </w:style>
  <w:style w:type="paragraph" w:styleId="6">
    <w:name w:val="annotation text"/>
    <w:basedOn w:val="1"/>
    <w:semiHidden/>
    <w:uiPriority w:val="0"/>
    <w:pPr>
      <w:jc w:val="left"/>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index 3"/>
    <w:basedOn w:val="1"/>
    <w:next w:val="1"/>
    <w:qFormat/>
    <w:uiPriority w:val="0"/>
    <w:pPr>
      <w:ind w:left="630" w:hanging="210"/>
      <w:jc w:val="left"/>
    </w:pPr>
    <w:rPr>
      <w:rFonts w:ascii="Calibri" w:hAnsi="Calibri"/>
      <w:sz w:val="20"/>
      <w:szCs w:val="20"/>
    </w:rPr>
  </w:style>
  <w:style w:type="paragraph" w:styleId="10">
    <w:name w:val="endnote text"/>
    <w:basedOn w:val="1"/>
    <w:semiHidden/>
    <w:uiPriority w:val="0"/>
    <w:pPr>
      <w:snapToGrid w:val="0"/>
      <w:jc w:val="left"/>
    </w:pPr>
  </w:style>
  <w:style w:type="paragraph" w:styleId="11">
    <w:name w:val="Balloon Text"/>
    <w:basedOn w:val="1"/>
    <w:link w:val="139"/>
    <w:uiPriority w:val="0"/>
    <w:rPr>
      <w:sz w:val="18"/>
      <w:szCs w:val="18"/>
      <w:lang w:val="zh-CN" w:eastAsia="zh-CN"/>
    </w:rPr>
  </w:style>
  <w:style w:type="paragraph" w:styleId="12">
    <w:name w:val="footer"/>
    <w:basedOn w:val="1"/>
    <w:link w:val="141"/>
    <w:qFormat/>
    <w:uiPriority w:val="99"/>
    <w:pPr>
      <w:snapToGrid w:val="0"/>
      <w:ind w:right="210" w:rightChars="100"/>
      <w:jc w:val="right"/>
    </w:pPr>
    <w:rPr>
      <w:sz w:val="18"/>
      <w:szCs w:val="18"/>
    </w:rPr>
  </w:style>
  <w:style w:type="paragraph" w:styleId="13">
    <w:name w:val="header"/>
    <w:basedOn w:val="1"/>
    <w:qFormat/>
    <w:uiPriority w:val="0"/>
    <w:pPr>
      <w:snapToGrid w:val="0"/>
      <w:jc w:val="left"/>
    </w:pPr>
    <w:rPr>
      <w:sz w:val="18"/>
      <w:szCs w:val="18"/>
    </w:rPr>
  </w:style>
  <w:style w:type="paragraph" w:styleId="14">
    <w:name w:val="index heading"/>
    <w:basedOn w:val="1"/>
    <w:next w:val="15"/>
    <w:uiPriority w:val="0"/>
    <w:pPr>
      <w:spacing w:before="120" w:after="120"/>
      <w:jc w:val="center"/>
    </w:pPr>
    <w:rPr>
      <w:rFonts w:ascii="Calibri" w:hAnsi="Calibri"/>
      <w:b/>
      <w:bCs/>
      <w:iCs/>
      <w:szCs w:val="20"/>
    </w:rPr>
  </w:style>
  <w:style w:type="paragraph" w:styleId="15">
    <w:name w:val="index 1"/>
    <w:basedOn w:val="1"/>
    <w:next w:val="16"/>
    <w:qFormat/>
    <w:uiPriority w:val="0"/>
    <w:pPr>
      <w:tabs>
        <w:tab w:val="right" w:leader="dot" w:pos="9299"/>
      </w:tabs>
      <w:jc w:val="left"/>
    </w:pPr>
    <w:rPr>
      <w:rFonts w:ascii="宋体"/>
      <w:szCs w:val="21"/>
    </w:rPr>
  </w:style>
  <w:style w:type="paragraph" w:customStyle="1" w:styleId="16">
    <w:name w:val="段"/>
    <w:link w:val="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7">
    <w:name w:val="footnote text"/>
    <w:basedOn w:val="1"/>
    <w:qFormat/>
    <w:uiPriority w:val="0"/>
    <w:pPr>
      <w:numPr>
        <w:ilvl w:val="0"/>
        <w:numId w:val="1"/>
      </w:numPr>
      <w:snapToGrid w:val="0"/>
      <w:jc w:val="left"/>
    </w:pPr>
    <w:rPr>
      <w:rFonts w:ascii="宋体"/>
      <w:sz w:val="18"/>
      <w:szCs w:val="18"/>
    </w:rPr>
  </w:style>
  <w:style w:type="paragraph" w:styleId="18">
    <w:name w:val="index 7"/>
    <w:basedOn w:val="1"/>
    <w:next w:val="1"/>
    <w:qFormat/>
    <w:uiPriority w:val="0"/>
    <w:pPr>
      <w:ind w:left="1470" w:hanging="210"/>
      <w:jc w:val="left"/>
    </w:pPr>
    <w:rPr>
      <w:rFonts w:ascii="Calibri" w:hAnsi="Calibri"/>
      <w:sz w:val="20"/>
      <w:szCs w:val="20"/>
    </w:rPr>
  </w:style>
  <w:style w:type="paragraph" w:styleId="19">
    <w:name w:val="index 9"/>
    <w:basedOn w:val="1"/>
    <w:next w:val="1"/>
    <w:qFormat/>
    <w:uiPriority w:val="0"/>
    <w:pPr>
      <w:ind w:left="1890" w:hanging="210"/>
      <w:jc w:val="left"/>
    </w:pPr>
    <w:rPr>
      <w:rFonts w:ascii="Calibri" w:hAnsi="Calibri"/>
      <w:sz w:val="20"/>
      <w:szCs w:val="20"/>
    </w:rPr>
  </w:style>
  <w:style w:type="paragraph" w:styleId="20">
    <w:name w:val="index 2"/>
    <w:basedOn w:val="1"/>
    <w:next w:val="1"/>
    <w:qFormat/>
    <w:uiPriority w:val="0"/>
    <w:pPr>
      <w:ind w:left="420" w:hanging="210"/>
      <w:jc w:val="left"/>
    </w:pPr>
    <w:rPr>
      <w:rFonts w:ascii="Calibri" w:hAnsi="Calibri"/>
      <w:sz w:val="20"/>
      <w:szCs w:val="20"/>
    </w:rPr>
  </w:style>
  <w:style w:type="paragraph" w:styleId="21">
    <w:name w:val="annotation subject"/>
    <w:basedOn w:val="6"/>
    <w:next w:val="6"/>
    <w:semiHidden/>
    <w:uiPriority w:val="0"/>
    <w:rPr>
      <w:b/>
      <w:bCs/>
    </w:rPr>
  </w:style>
  <w:style w:type="table" w:styleId="23">
    <w:name w:val="Table Grid"/>
    <w:basedOn w:val="22"/>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Strong"/>
    <w:qFormat/>
    <w:uiPriority w:val="22"/>
    <w:rPr>
      <w:b/>
      <w:bCs/>
    </w:rPr>
  </w:style>
  <w:style w:type="character" w:styleId="26">
    <w:name w:val="endnote reference"/>
    <w:semiHidden/>
    <w:uiPriority w:val="0"/>
    <w:rPr>
      <w:vertAlign w:val="superscript"/>
    </w:rPr>
  </w:style>
  <w:style w:type="character" w:styleId="27">
    <w:name w:val="page number"/>
    <w:uiPriority w:val="0"/>
    <w:rPr>
      <w:rFonts w:ascii="Times New Roman" w:hAnsi="Times New Roman" w:eastAsia="宋体"/>
      <w:sz w:val="18"/>
    </w:rPr>
  </w:style>
  <w:style w:type="character" w:styleId="28">
    <w:name w:val="Hyperlink"/>
    <w:qFormat/>
    <w:uiPriority w:val="0"/>
    <w:rPr>
      <w:color w:val="0000FF"/>
      <w:spacing w:val="0"/>
      <w:w w:val="100"/>
      <w:szCs w:val="21"/>
      <w:u w:val="single"/>
    </w:rPr>
  </w:style>
  <w:style w:type="character" w:styleId="29">
    <w:name w:val="annotation reference"/>
    <w:semiHidden/>
    <w:uiPriority w:val="0"/>
    <w:rPr>
      <w:sz w:val="21"/>
      <w:szCs w:val="21"/>
    </w:rPr>
  </w:style>
  <w:style w:type="character" w:styleId="30">
    <w:name w:val="footnote reference"/>
    <w:semiHidden/>
    <w:qFormat/>
    <w:uiPriority w:val="0"/>
    <w:rPr>
      <w:vertAlign w:val="superscript"/>
    </w:rPr>
  </w:style>
  <w:style w:type="character" w:customStyle="1" w:styleId="31">
    <w:name w:val="段 Char"/>
    <w:link w:val="16"/>
    <w:qFormat/>
    <w:uiPriority w:val="0"/>
    <w:rPr>
      <w:rFonts w:ascii="宋体"/>
      <w:sz w:val="21"/>
      <w:lang w:val="en-US" w:eastAsia="zh-CN" w:bidi="ar-SA"/>
    </w:rPr>
  </w:style>
  <w:style w:type="paragraph" w:customStyle="1" w:styleId="32">
    <w:name w:val="一级条标题"/>
    <w:next w:val="16"/>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3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5">
    <w:name w:val="章标题"/>
    <w:next w:val="16"/>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36">
    <w:name w:val="二级条标题"/>
    <w:basedOn w:val="32"/>
    <w:next w:val="16"/>
    <w:qFormat/>
    <w:uiPriority w:val="0"/>
    <w:pPr>
      <w:numPr>
        <w:ilvl w:val="2"/>
      </w:numPr>
      <w:spacing w:before="50" w:after="50"/>
      <w:outlineLvl w:val="3"/>
    </w:pPr>
  </w:style>
  <w:style w:type="paragraph" w:customStyle="1" w:styleId="3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8">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39">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0">
    <w:name w:val="目次、标准名称标题"/>
    <w:basedOn w:val="1"/>
    <w:next w:val="1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1">
    <w:name w:val="三级条标题"/>
    <w:basedOn w:val="36"/>
    <w:next w:val="16"/>
    <w:qFormat/>
    <w:uiPriority w:val="0"/>
    <w:pPr>
      <w:numPr>
        <w:ilvl w:val="3"/>
      </w:numPr>
      <w:outlineLvl w:val="4"/>
    </w:pPr>
  </w:style>
  <w:style w:type="paragraph" w:customStyle="1" w:styleId="42">
    <w:name w:val="示例"/>
    <w:next w:val="43"/>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4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44">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45">
    <w:name w:val="四级条标题"/>
    <w:basedOn w:val="41"/>
    <w:next w:val="16"/>
    <w:qFormat/>
    <w:uiPriority w:val="0"/>
    <w:pPr>
      <w:numPr>
        <w:ilvl w:val="4"/>
      </w:numPr>
      <w:outlineLvl w:val="5"/>
    </w:pPr>
  </w:style>
  <w:style w:type="paragraph" w:customStyle="1" w:styleId="46">
    <w:name w:val="五级条标题"/>
    <w:basedOn w:val="45"/>
    <w:next w:val="16"/>
    <w:qFormat/>
    <w:uiPriority w:val="0"/>
    <w:pPr>
      <w:numPr>
        <w:ilvl w:val="5"/>
      </w:numPr>
      <w:outlineLvl w:val="6"/>
    </w:pPr>
  </w:style>
  <w:style w:type="paragraph" w:customStyle="1" w:styleId="47">
    <w:name w:val="注："/>
    <w:next w:val="16"/>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48">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49">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50">
    <w:name w:val="列项◆（三级）"/>
    <w:basedOn w:val="1"/>
    <w:qFormat/>
    <w:uiPriority w:val="0"/>
    <w:pPr>
      <w:numPr>
        <w:ilvl w:val="2"/>
        <w:numId w:val="3"/>
      </w:numPr>
    </w:pPr>
    <w:rPr>
      <w:rFonts w:ascii="宋体"/>
      <w:szCs w:val="21"/>
    </w:rPr>
  </w:style>
  <w:style w:type="paragraph" w:customStyle="1" w:styleId="51">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52">
    <w:name w:val="示例×："/>
    <w:basedOn w:val="35"/>
    <w:qFormat/>
    <w:uiPriority w:val="0"/>
    <w:pPr>
      <w:numPr>
        <w:numId w:val="0"/>
      </w:numPr>
      <w:spacing w:beforeLines="0" w:afterLines="0"/>
      <w:ind w:firstLine="363"/>
      <w:outlineLvl w:val="9"/>
    </w:pPr>
    <w:rPr>
      <w:rFonts w:ascii="宋体" w:eastAsia="宋体"/>
      <w:sz w:val="18"/>
      <w:szCs w:val="18"/>
    </w:rPr>
  </w:style>
  <w:style w:type="paragraph" w:customStyle="1" w:styleId="53">
    <w:name w:val="二级无"/>
    <w:basedOn w:val="36"/>
    <w:qFormat/>
    <w:uiPriority w:val="0"/>
    <w:pPr>
      <w:spacing w:beforeLines="0" w:afterLines="0"/>
    </w:pPr>
    <w:rPr>
      <w:rFonts w:ascii="宋体" w:eastAsia="宋体"/>
    </w:rPr>
  </w:style>
  <w:style w:type="paragraph" w:customStyle="1" w:styleId="54">
    <w:name w:val="注：（正文）"/>
    <w:basedOn w:val="47"/>
    <w:next w:val="16"/>
    <w:qFormat/>
    <w:uiPriority w:val="0"/>
  </w:style>
  <w:style w:type="paragraph" w:customStyle="1" w:styleId="55">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5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5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5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59">
    <w:name w:val="标准书眉_偶数页"/>
    <w:basedOn w:val="34"/>
    <w:next w:val="1"/>
    <w:qFormat/>
    <w:uiPriority w:val="0"/>
    <w:pPr>
      <w:jc w:val="left"/>
    </w:pPr>
  </w:style>
  <w:style w:type="paragraph" w:customStyle="1" w:styleId="60">
    <w:name w:val="标准书眉一"/>
    <w:qFormat/>
    <w:uiPriority w:val="0"/>
    <w:pPr>
      <w:jc w:val="both"/>
    </w:pPr>
    <w:rPr>
      <w:rFonts w:ascii="Times New Roman" w:hAnsi="Times New Roman" w:eastAsia="宋体" w:cs="Times New Roman"/>
      <w:lang w:val="en-US" w:eastAsia="zh-CN" w:bidi="ar-SA"/>
    </w:rPr>
  </w:style>
  <w:style w:type="paragraph" w:customStyle="1" w:styleId="61">
    <w:name w:val="参考文献"/>
    <w:basedOn w:val="1"/>
    <w:next w:val="1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2">
    <w:name w:val="参考文献、索引标题"/>
    <w:basedOn w:val="1"/>
    <w:next w:val="16"/>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3">
    <w:name w:val="发布"/>
    <w:qFormat/>
    <w:uiPriority w:val="0"/>
    <w:rPr>
      <w:rFonts w:ascii="黑体" w:eastAsia="黑体"/>
      <w:spacing w:val="85"/>
      <w:w w:val="100"/>
      <w:position w:val="3"/>
      <w:sz w:val="28"/>
      <w:szCs w:val="28"/>
    </w:rPr>
  </w:style>
  <w:style w:type="paragraph" w:customStyle="1" w:styleId="64">
    <w:name w:val="发布部门"/>
    <w:next w:val="1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6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6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封面标准英文名称"/>
    <w:basedOn w:val="68"/>
    <w:qFormat/>
    <w:uiPriority w:val="0"/>
    <w:pPr>
      <w:framePr w:wrap="around"/>
      <w:spacing w:before="370" w:line="400" w:lineRule="exact"/>
    </w:pPr>
    <w:rPr>
      <w:rFonts w:ascii="Times New Roman"/>
      <w:sz w:val="28"/>
      <w:szCs w:val="28"/>
    </w:rPr>
  </w:style>
  <w:style w:type="paragraph" w:customStyle="1" w:styleId="70">
    <w:name w:val="封面一致性程度标识"/>
    <w:basedOn w:val="69"/>
    <w:qFormat/>
    <w:uiPriority w:val="0"/>
    <w:pPr>
      <w:framePr w:wrap="around"/>
      <w:spacing w:before="440"/>
    </w:pPr>
    <w:rPr>
      <w:rFonts w:ascii="宋体" w:eastAsia="宋体"/>
    </w:rPr>
  </w:style>
  <w:style w:type="paragraph" w:customStyle="1" w:styleId="71">
    <w:name w:val="封面标准文稿类别"/>
    <w:basedOn w:val="70"/>
    <w:qFormat/>
    <w:uiPriority w:val="0"/>
    <w:pPr>
      <w:framePr w:wrap="around"/>
      <w:spacing w:after="160" w:line="240" w:lineRule="auto"/>
    </w:pPr>
    <w:rPr>
      <w:sz w:val="24"/>
    </w:rPr>
  </w:style>
  <w:style w:type="paragraph" w:customStyle="1" w:styleId="72">
    <w:name w:val="封面标准文稿编辑信息"/>
    <w:basedOn w:val="71"/>
    <w:qFormat/>
    <w:uiPriority w:val="0"/>
    <w:pPr>
      <w:framePr w:wrap="around"/>
      <w:spacing w:before="180" w:line="180" w:lineRule="exact"/>
    </w:pPr>
    <w:rPr>
      <w:sz w:val="21"/>
    </w:rPr>
  </w:style>
  <w:style w:type="paragraph" w:customStyle="1" w:styleId="73">
    <w:name w:val="封面正文"/>
    <w:qFormat/>
    <w:uiPriority w:val="0"/>
    <w:pPr>
      <w:jc w:val="both"/>
    </w:pPr>
    <w:rPr>
      <w:rFonts w:ascii="Times New Roman" w:hAnsi="Times New Roman" w:eastAsia="宋体" w:cs="Times New Roman"/>
      <w:lang w:val="en-US" w:eastAsia="zh-CN" w:bidi="ar-SA"/>
    </w:rPr>
  </w:style>
  <w:style w:type="paragraph" w:customStyle="1" w:styleId="74">
    <w:name w:val="附录标识"/>
    <w:basedOn w:val="1"/>
    <w:next w:val="16"/>
    <w:qFormat/>
    <w:uiPriority w:val="0"/>
    <w:pPr>
      <w:keepNext/>
      <w:widowControl/>
      <w:numPr>
        <w:ilvl w:val="0"/>
        <w:numId w:val="6"/>
      </w:numPr>
      <w:shd w:val="clear" w:color="FFFFFF" w:fill="FFFFFF"/>
      <w:tabs>
        <w:tab w:val="left" w:pos="6405"/>
      </w:tabs>
      <w:spacing w:before="640" w:after="280"/>
      <w:jc w:val="center"/>
      <w:outlineLvl w:val="0"/>
    </w:pPr>
    <w:rPr>
      <w:rFonts w:ascii="黑体" w:eastAsia="黑体"/>
      <w:kern w:val="0"/>
      <w:szCs w:val="20"/>
    </w:rPr>
  </w:style>
  <w:style w:type="paragraph" w:customStyle="1" w:styleId="75">
    <w:name w:val="附录标题"/>
    <w:basedOn w:val="16"/>
    <w:next w:val="16"/>
    <w:qFormat/>
    <w:uiPriority w:val="0"/>
    <w:pPr>
      <w:ind w:firstLine="0" w:firstLineChars="0"/>
      <w:jc w:val="center"/>
    </w:pPr>
    <w:rPr>
      <w:rFonts w:ascii="黑体" w:eastAsia="黑体"/>
    </w:rPr>
  </w:style>
  <w:style w:type="paragraph" w:customStyle="1" w:styleId="76">
    <w:name w:val="附录表标号"/>
    <w:basedOn w:val="1"/>
    <w:next w:val="16"/>
    <w:qFormat/>
    <w:uiPriority w:val="0"/>
    <w:pPr>
      <w:numPr>
        <w:ilvl w:val="0"/>
        <w:numId w:val="7"/>
      </w:numPr>
      <w:tabs>
        <w:tab w:val="clear" w:pos="0"/>
      </w:tabs>
      <w:spacing w:line="14" w:lineRule="exact"/>
      <w:ind w:left="811" w:hanging="448"/>
      <w:jc w:val="center"/>
      <w:outlineLvl w:val="0"/>
    </w:pPr>
    <w:rPr>
      <w:color w:val="FFFFFF"/>
    </w:rPr>
  </w:style>
  <w:style w:type="paragraph" w:customStyle="1" w:styleId="77">
    <w:name w:val="附录表标题"/>
    <w:basedOn w:val="1"/>
    <w:next w:val="16"/>
    <w:qFormat/>
    <w:uiPriority w:val="0"/>
    <w:pPr>
      <w:numPr>
        <w:ilvl w:val="1"/>
        <w:numId w:val="7"/>
      </w:numPr>
      <w:tabs>
        <w:tab w:val="left" w:pos="180"/>
      </w:tabs>
      <w:spacing w:beforeLines="50" w:afterLines="50"/>
      <w:ind w:left="0" w:firstLine="0"/>
      <w:jc w:val="center"/>
    </w:pPr>
    <w:rPr>
      <w:rFonts w:ascii="黑体" w:eastAsia="黑体"/>
      <w:szCs w:val="21"/>
    </w:rPr>
  </w:style>
  <w:style w:type="paragraph" w:customStyle="1" w:styleId="78">
    <w:name w:val="附录二级条标题"/>
    <w:basedOn w:val="1"/>
    <w:next w:val="16"/>
    <w:qFormat/>
    <w:uiPriority w:val="0"/>
    <w:pPr>
      <w:widowControl/>
      <w:numPr>
        <w:ilvl w:val="3"/>
        <w:numId w:val="6"/>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79">
    <w:name w:val="附录二级无"/>
    <w:basedOn w:val="78"/>
    <w:qFormat/>
    <w:uiPriority w:val="0"/>
    <w:pPr>
      <w:spacing w:beforeLines="0" w:afterLines="0"/>
    </w:pPr>
    <w:rPr>
      <w:rFonts w:ascii="宋体" w:eastAsia="宋体"/>
      <w:szCs w:val="21"/>
    </w:rPr>
  </w:style>
  <w:style w:type="paragraph" w:customStyle="1" w:styleId="80">
    <w:name w:val="附录公式"/>
    <w:basedOn w:val="16"/>
    <w:next w:val="16"/>
    <w:link w:val="81"/>
    <w:qFormat/>
    <w:uiPriority w:val="0"/>
  </w:style>
  <w:style w:type="character" w:customStyle="1" w:styleId="81">
    <w:name w:val="附录公式 Char"/>
    <w:link w:val="80"/>
    <w:qFormat/>
    <w:uiPriority w:val="0"/>
    <w:rPr>
      <w:rFonts w:ascii="宋体"/>
      <w:sz w:val="21"/>
      <w:lang w:val="en-US" w:eastAsia="zh-CN" w:bidi="ar-SA"/>
    </w:rPr>
  </w:style>
  <w:style w:type="paragraph" w:customStyle="1" w:styleId="82">
    <w:name w:val="附录公式编号制表符"/>
    <w:basedOn w:val="1"/>
    <w:next w:val="16"/>
    <w:qFormat/>
    <w:uiPriority w:val="0"/>
    <w:pPr>
      <w:widowControl/>
      <w:tabs>
        <w:tab w:val="center" w:pos="4201"/>
        <w:tab w:val="right" w:leader="dot" w:pos="9298"/>
      </w:tabs>
      <w:autoSpaceDE w:val="0"/>
      <w:autoSpaceDN w:val="0"/>
    </w:pPr>
    <w:rPr>
      <w:rFonts w:ascii="宋体"/>
      <w:kern w:val="0"/>
      <w:szCs w:val="20"/>
    </w:rPr>
  </w:style>
  <w:style w:type="paragraph" w:customStyle="1" w:styleId="83">
    <w:name w:val="附录三级条标题"/>
    <w:basedOn w:val="78"/>
    <w:next w:val="16"/>
    <w:qFormat/>
    <w:uiPriority w:val="0"/>
    <w:pPr>
      <w:numPr>
        <w:ilvl w:val="4"/>
      </w:numPr>
      <w:tabs>
        <w:tab w:val="left" w:pos="360"/>
      </w:tabs>
      <w:outlineLvl w:val="4"/>
    </w:pPr>
  </w:style>
  <w:style w:type="paragraph" w:customStyle="1" w:styleId="84">
    <w:name w:val="附录三级无"/>
    <w:basedOn w:val="83"/>
    <w:qFormat/>
    <w:uiPriority w:val="0"/>
    <w:pPr>
      <w:tabs>
        <w:tab w:val="clear" w:pos="360"/>
      </w:tabs>
      <w:spacing w:beforeLines="0" w:afterLines="0"/>
    </w:pPr>
    <w:rPr>
      <w:rFonts w:ascii="宋体" w:eastAsia="宋体"/>
      <w:szCs w:val="21"/>
    </w:rPr>
  </w:style>
  <w:style w:type="paragraph" w:customStyle="1" w:styleId="85">
    <w:name w:val="附录数字编号列项（二级）"/>
    <w:qFormat/>
    <w:uiPriority w:val="0"/>
    <w:pPr>
      <w:numPr>
        <w:ilvl w:val="1"/>
        <w:numId w:val="8"/>
      </w:numPr>
    </w:pPr>
    <w:rPr>
      <w:rFonts w:ascii="宋体" w:hAnsi="Times New Roman" w:eastAsia="宋体" w:cs="Times New Roman"/>
      <w:sz w:val="21"/>
      <w:lang w:val="en-US" w:eastAsia="zh-CN" w:bidi="ar-SA"/>
    </w:rPr>
  </w:style>
  <w:style w:type="paragraph" w:customStyle="1" w:styleId="86">
    <w:name w:val="附录四级条标题"/>
    <w:basedOn w:val="83"/>
    <w:next w:val="16"/>
    <w:qFormat/>
    <w:uiPriority w:val="0"/>
    <w:pPr>
      <w:numPr>
        <w:ilvl w:val="5"/>
      </w:numPr>
      <w:outlineLvl w:val="5"/>
    </w:pPr>
  </w:style>
  <w:style w:type="paragraph" w:customStyle="1" w:styleId="87">
    <w:name w:val="附录四级无"/>
    <w:basedOn w:val="86"/>
    <w:qFormat/>
    <w:uiPriority w:val="0"/>
    <w:pPr>
      <w:tabs>
        <w:tab w:val="clear" w:pos="360"/>
      </w:tabs>
      <w:spacing w:beforeLines="0" w:afterLines="0"/>
    </w:pPr>
    <w:rPr>
      <w:rFonts w:ascii="宋体" w:eastAsia="宋体"/>
      <w:szCs w:val="21"/>
    </w:rPr>
  </w:style>
  <w:style w:type="paragraph" w:customStyle="1" w:styleId="88">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89">
    <w:name w:val="附录图标题"/>
    <w:basedOn w:val="1"/>
    <w:next w:val="16"/>
    <w:qFormat/>
    <w:uiPriority w:val="0"/>
    <w:pPr>
      <w:numPr>
        <w:ilvl w:val="1"/>
        <w:numId w:val="9"/>
      </w:numPr>
      <w:tabs>
        <w:tab w:val="left" w:pos="363"/>
      </w:tabs>
      <w:spacing w:beforeLines="50" w:afterLines="50"/>
      <w:ind w:left="0" w:firstLine="0"/>
      <w:jc w:val="center"/>
    </w:pPr>
    <w:rPr>
      <w:rFonts w:ascii="黑体" w:eastAsia="黑体"/>
      <w:szCs w:val="21"/>
    </w:rPr>
  </w:style>
  <w:style w:type="paragraph" w:customStyle="1" w:styleId="90">
    <w:name w:val="附录五级条标题"/>
    <w:basedOn w:val="86"/>
    <w:next w:val="16"/>
    <w:qFormat/>
    <w:uiPriority w:val="0"/>
    <w:pPr>
      <w:numPr>
        <w:ilvl w:val="6"/>
      </w:numPr>
      <w:outlineLvl w:val="6"/>
    </w:pPr>
  </w:style>
  <w:style w:type="paragraph" w:customStyle="1" w:styleId="91">
    <w:name w:val="附录五级无"/>
    <w:basedOn w:val="90"/>
    <w:qFormat/>
    <w:uiPriority w:val="0"/>
    <w:pPr>
      <w:tabs>
        <w:tab w:val="clear" w:pos="360"/>
      </w:tabs>
      <w:spacing w:beforeLines="0" w:afterLines="0"/>
    </w:pPr>
    <w:rPr>
      <w:rFonts w:ascii="宋体" w:eastAsia="宋体"/>
      <w:szCs w:val="21"/>
    </w:rPr>
  </w:style>
  <w:style w:type="paragraph" w:customStyle="1" w:styleId="92">
    <w:name w:val="附录章标题"/>
    <w:next w:val="16"/>
    <w:qFormat/>
    <w:uiPriority w:val="0"/>
    <w:pPr>
      <w:numPr>
        <w:ilvl w:val="1"/>
        <w:numId w:val="6"/>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附录一级条标题"/>
    <w:basedOn w:val="92"/>
    <w:next w:val="16"/>
    <w:qFormat/>
    <w:uiPriority w:val="0"/>
    <w:pPr>
      <w:numPr>
        <w:ilvl w:val="2"/>
      </w:numPr>
      <w:autoSpaceDN w:val="0"/>
      <w:spacing w:beforeLines="50" w:afterLines="50"/>
      <w:outlineLvl w:val="2"/>
    </w:pPr>
  </w:style>
  <w:style w:type="paragraph" w:customStyle="1" w:styleId="94">
    <w:name w:val="附录一级无"/>
    <w:basedOn w:val="93"/>
    <w:qFormat/>
    <w:uiPriority w:val="0"/>
    <w:pPr>
      <w:spacing w:beforeLines="0" w:afterLines="0"/>
    </w:pPr>
    <w:rPr>
      <w:rFonts w:ascii="宋体" w:eastAsia="宋体"/>
      <w:szCs w:val="21"/>
    </w:rPr>
  </w:style>
  <w:style w:type="paragraph" w:customStyle="1" w:styleId="95">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9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7">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9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9">
    <w:name w:val="目录 31"/>
    <w:basedOn w:val="1"/>
    <w:next w:val="1"/>
    <w:semiHidden/>
    <w:qFormat/>
    <w:uiPriority w:val="0"/>
    <w:pPr>
      <w:tabs>
        <w:tab w:val="right" w:leader="dot" w:pos="9241"/>
      </w:tabs>
      <w:ind w:firstLine="100" w:firstLineChars="100"/>
      <w:jc w:val="left"/>
    </w:pPr>
    <w:rPr>
      <w:rFonts w:ascii="宋体"/>
      <w:szCs w:val="21"/>
    </w:rPr>
  </w:style>
  <w:style w:type="paragraph" w:customStyle="1" w:styleId="100">
    <w:name w:val="目录 41"/>
    <w:basedOn w:val="1"/>
    <w:next w:val="1"/>
    <w:semiHidden/>
    <w:qFormat/>
    <w:uiPriority w:val="0"/>
    <w:pPr>
      <w:tabs>
        <w:tab w:val="right" w:leader="dot" w:pos="9241"/>
      </w:tabs>
      <w:ind w:firstLine="200" w:firstLineChars="200"/>
      <w:jc w:val="left"/>
    </w:pPr>
    <w:rPr>
      <w:rFonts w:ascii="宋体"/>
      <w:szCs w:val="21"/>
    </w:rPr>
  </w:style>
  <w:style w:type="paragraph" w:customStyle="1" w:styleId="101">
    <w:name w:val="目录 51"/>
    <w:basedOn w:val="1"/>
    <w:next w:val="1"/>
    <w:semiHidden/>
    <w:qFormat/>
    <w:uiPriority w:val="0"/>
    <w:pPr>
      <w:tabs>
        <w:tab w:val="right" w:leader="dot" w:pos="9241"/>
      </w:tabs>
      <w:ind w:firstLine="300" w:firstLineChars="300"/>
      <w:jc w:val="left"/>
    </w:pPr>
    <w:rPr>
      <w:rFonts w:ascii="宋体"/>
      <w:szCs w:val="21"/>
    </w:rPr>
  </w:style>
  <w:style w:type="paragraph" w:customStyle="1" w:styleId="102">
    <w:name w:val="目录 61"/>
    <w:basedOn w:val="1"/>
    <w:next w:val="1"/>
    <w:semiHidden/>
    <w:qFormat/>
    <w:uiPriority w:val="0"/>
    <w:pPr>
      <w:tabs>
        <w:tab w:val="right" w:leader="dot" w:pos="9241"/>
      </w:tabs>
      <w:ind w:firstLine="400" w:firstLineChars="400"/>
      <w:jc w:val="left"/>
    </w:pPr>
    <w:rPr>
      <w:rFonts w:ascii="宋体"/>
      <w:szCs w:val="21"/>
    </w:rPr>
  </w:style>
  <w:style w:type="paragraph" w:customStyle="1" w:styleId="103">
    <w:name w:val="目录 71"/>
    <w:basedOn w:val="1"/>
    <w:next w:val="1"/>
    <w:semiHidden/>
    <w:qFormat/>
    <w:uiPriority w:val="0"/>
    <w:pPr>
      <w:tabs>
        <w:tab w:val="right" w:leader="dot" w:pos="9241"/>
      </w:tabs>
      <w:ind w:firstLine="500" w:firstLineChars="500"/>
      <w:jc w:val="left"/>
    </w:pPr>
    <w:rPr>
      <w:rFonts w:ascii="宋体"/>
      <w:szCs w:val="21"/>
    </w:rPr>
  </w:style>
  <w:style w:type="paragraph" w:customStyle="1" w:styleId="104">
    <w:name w:val="目录 81"/>
    <w:basedOn w:val="1"/>
    <w:next w:val="1"/>
    <w:semiHidden/>
    <w:qFormat/>
    <w:uiPriority w:val="0"/>
    <w:pPr>
      <w:tabs>
        <w:tab w:val="right" w:leader="dot" w:pos="9241"/>
      </w:tabs>
      <w:ind w:firstLine="607" w:firstLineChars="600"/>
      <w:jc w:val="left"/>
    </w:pPr>
    <w:rPr>
      <w:rFonts w:ascii="宋体"/>
      <w:szCs w:val="21"/>
    </w:rPr>
  </w:style>
  <w:style w:type="paragraph" w:customStyle="1" w:styleId="105">
    <w:name w:val="目录 91"/>
    <w:basedOn w:val="1"/>
    <w:next w:val="1"/>
    <w:semiHidden/>
    <w:qFormat/>
    <w:uiPriority w:val="0"/>
    <w:pPr>
      <w:ind w:left="1470"/>
      <w:jc w:val="left"/>
    </w:pPr>
    <w:rPr>
      <w:sz w:val="20"/>
      <w:szCs w:val="20"/>
    </w:rPr>
  </w:style>
  <w:style w:type="paragraph" w:customStyle="1" w:styleId="106">
    <w:name w:val="其他标准标志"/>
    <w:basedOn w:val="56"/>
    <w:qFormat/>
    <w:uiPriority w:val="0"/>
    <w:pPr>
      <w:framePr w:w="6101" w:wrap="around" w:vAnchor="page" w:hAnchor="page" w:x="4673" w:y="942"/>
    </w:pPr>
    <w:rPr>
      <w:w w:val="130"/>
    </w:rPr>
  </w:style>
  <w:style w:type="paragraph" w:customStyle="1" w:styleId="10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8">
    <w:name w:val="其他发布部门"/>
    <w:basedOn w:val="64"/>
    <w:qFormat/>
    <w:uiPriority w:val="0"/>
    <w:pPr>
      <w:framePr w:wrap="around" w:y="15310"/>
      <w:spacing w:line="0" w:lineRule="atLeast"/>
    </w:pPr>
    <w:rPr>
      <w:rFonts w:ascii="黑体" w:eastAsia="黑体"/>
      <w:b w:val="0"/>
    </w:rPr>
  </w:style>
  <w:style w:type="paragraph" w:customStyle="1" w:styleId="109">
    <w:name w:val="前言、引言标题"/>
    <w:next w:val="1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0">
    <w:name w:val="三级无"/>
    <w:basedOn w:val="41"/>
    <w:qFormat/>
    <w:uiPriority w:val="0"/>
    <w:pPr>
      <w:spacing w:beforeLines="0" w:afterLines="0"/>
    </w:pPr>
    <w:rPr>
      <w:rFonts w:ascii="宋体" w:eastAsia="宋体"/>
    </w:rPr>
  </w:style>
  <w:style w:type="paragraph" w:customStyle="1" w:styleId="111">
    <w:name w:val="实施日期"/>
    <w:basedOn w:val="65"/>
    <w:qFormat/>
    <w:uiPriority w:val="0"/>
    <w:pPr>
      <w:framePr w:wrap="around" w:vAnchor="page" w:hAnchor="text"/>
      <w:jc w:val="right"/>
    </w:pPr>
  </w:style>
  <w:style w:type="paragraph" w:customStyle="1" w:styleId="112">
    <w:name w:val="示例后文字"/>
    <w:basedOn w:val="16"/>
    <w:next w:val="16"/>
    <w:qFormat/>
    <w:uiPriority w:val="0"/>
    <w:pPr>
      <w:ind w:firstLine="360"/>
    </w:pPr>
    <w:rPr>
      <w:sz w:val="18"/>
    </w:rPr>
  </w:style>
  <w:style w:type="paragraph" w:customStyle="1" w:styleId="113">
    <w:name w:val="首示例"/>
    <w:next w:val="16"/>
    <w:link w:val="114"/>
    <w:qFormat/>
    <w:uiPriority w:val="0"/>
    <w:pPr>
      <w:tabs>
        <w:tab w:val="left" w:pos="360"/>
      </w:tabs>
    </w:pPr>
    <w:rPr>
      <w:rFonts w:ascii="宋体" w:hAnsi="宋体" w:eastAsia="宋体" w:cs="Times New Roman"/>
      <w:kern w:val="2"/>
      <w:sz w:val="18"/>
      <w:szCs w:val="18"/>
      <w:lang w:val="en-US" w:eastAsia="zh-CN" w:bidi="ar-SA"/>
    </w:rPr>
  </w:style>
  <w:style w:type="character" w:customStyle="1" w:styleId="114">
    <w:name w:val="首示例 Char"/>
    <w:link w:val="113"/>
    <w:qFormat/>
    <w:uiPriority w:val="0"/>
    <w:rPr>
      <w:rFonts w:ascii="宋体" w:hAnsi="宋体"/>
      <w:kern w:val="2"/>
      <w:sz w:val="18"/>
      <w:szCs w:val="18"/>
      <w:lang w:val="en-US" w:eastAsia="zh-CN" w:bidi="ar-SA"/>
    </w:rPr>
  </w:style>
  <w:style w:type="paragraph" w:customStyle="1" w:styleId="115">
    <w:name w:val="四级无"/>
    <w:basedOn w:val="45"/>
    <w:qFormat/>
    <w:uiPriority w:val="0"/>
    <w:pPr>
      <w:spacing w:beforeLines="0" w:afterLines="0"/>
    </w:pPr>
    <w:rPr>
      <w:rFonts w:ascii="宋体" w:eastAsia="宋体"/>
    </w:rPr>
  </w:style>
  <w:style w:type="paragraph" w:customStyle="1" w:styleId="116">
    <w:name w:val="条文脚注"/>
    <w:basedOn w:val="17"/>
    <w:qFormat/>
    <w:uiPriority w:val="0"/>
    <w:pPr>
      <w:numPr>
        <w:numId w:val="0"/>
      </w:numPr>
      <w:jc w:val="both"/>
    </w:pPr>
  </w:style>
  <w:style w:type="paragraph" w:customStyle="1" w:styleId="117">
    <w:name w:val="图标脚注说明"/>
    <w:basedOn w:val="16"/>
    <w:qFormat/>
    <w:uiPriority w:val="0"/>
    <w:pPr>
      <w:ind w:left="840" w:hanging="420" w:firstLineChars="0"/>
    </w:pPr>
    <w:rPr>
      <w:sz w:val="18"/>
      <w:szCs w:val="18"/>
    </w:rPr>
  </w:style>
  <w:style w:type="paragraph" w:customStyle="1" w:styleId="118">
    <w:name w:val="图表脚注说明"/>
    <w:basedOn w:val="1"/>
    <w:qFormat/>
    <w:uiPriority w:val="0"/>
    <w:pPr>
      <w:ind w:left="544" w:hanging="181"/>
    </w:pPr>
    <w:rPr>
      <w:rFonts w:ascii="宋体"/>
      <w:sz w:val="18"/>
      <w:szCs w:val="18"/>
    </w:rPr>
  </w:style>
  <w:style w:type="paragraph" w:customStyle="1" w:styleId="119">
    <w:name w:val="图的脚注"/>
    <w:next w:val="1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1">
    <w:name w:val="五级无"/>
    <w:basedOn w:val="46"/>
    <w:qFormat/>
    <w:uiPriority w:val="0"/>
    <w:pPr>
      <w:spacing w:beforeLines="0" w:afterLines="0"/>
    </w:pPr>
    <w:rPr>
      <w:rFonts w:ascii="宋体" w:eastAsia="宋体"/>
    </w:rPr>
  </w:style>
  <w:style w:type="paragraph" w:customStyle="1" w:styleId="122">
    <w:name w:val="一级无"/>
    <w:basedOn w:val="32"/>
    <w:qFormat/>
    <w:uiPriority w:val="0"/>
    <w:pPr>
      <w:spacing w:beforeLines="0" w:afterLines="0"/>
    </w:pPr>
    <w:rPr>
      <w:rFonts w:ascii="宋体" w:eastAsia="宋体"/>
    </w:rPr>
  </w:style>
  <w:style w:type="character" w:customStyle="1" w:styleId="123">
    <w:name w:val="已访问的超链接1"/>
    <w:qFormat/>
    <w:uiPriority w:val="0"/>
    <w:rPr>
      <w:color w:val="800080"/>
      <w:u w:val="single"/>
    </w:rPr>
  </w:style>
  <w:style w:type="paragraph" w:customStyle="1" w:styleId="124">
    <w:name w:val="正文表标题"/>
    <w:next w:val="16"/>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5">
    <w:name w:val="正文公式编号制表符"/>
    <w:basedOn w:val="16"/>
    <w:next w:val="16"/>
    <w:qFormat/>
    <w:uiPriority w:val="0"/>
    <w:pPr>
      <w:ind w:firstLine="0" w:firstLineChars="0"/>
    </w:pPr>
  </w:style>
  <w:style w:type="paragraph" w:customStyle="1" w:styleId="126">
    <w:name w:val="正文图标题"/>
    <w:next w:val="16"/>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7">
    <w:name w:val="终结线"/>
    <w:basedOn w:val="1"/>
    <w:qFormat/>
    <w:uiPriority w:val="0"/>
    <w:pPr>
      <w:framePr w:hSpace="181" w:vSpace="181" w:wrap="around" w:vAnchor="text" w:hAnchor="margin" w:xAlign="center" w:y="285"/>
    </w:pPr>
  </w:style>
  <w:style w:type="paragraph" w:customStyle="1" w:styleId="128">
    <w:name w:val="其他发布日期"/>
    <w:basedOn w:val="65"/>
    <w:qFormat/>
    <w:uiPriority w:val="0"/>
    <w:pPr>
      <w:framePr w:wrap="around" w:vAnchor="page" w:hAnchor="text" w:x="1419"/>
    </w:pPr>
  </w:style>
  <w:style w:type="paragraph" w:customStyle="1" w:styleId="129">
    <w:name w:val="其他实施日期"/>
    <w:basedOn w:val="111"/>
    <w:qFormat/>
    <w:uiPriority w:val="0"/>
    <w:pPr>
      <w:framePr w:wrap="around"/>
    </w:pPr>
  </w:style>
  <w:style w:type="paragraph" w:customStyle="1" w:styleId="130">
    <w:name w:val="封面标准名称2"/>
    <w:basedOn w:val="68"/>
    <w:qFormat/>
    <w:uiPriority w:val="0"/>
    <w:pPr>
      <w:framePr w:wrap="around" w:y="4469"/>
      <w:spacing w:beforeLines="630"/>
    </w:pPr>
  </w:style>
  <w:style w:type="paragraph" w:customStyle="1" w:styleId="131">
    <w:name w:val="封面标准英文名称2"/>
    <w:basedOn w:val="69"/>
    <w:qFormat/>
    <w:uiPriority w:val="0"/>
    <w:pPr>
      <w:framePr w:wrap="around" w:y="4469"/>
    </w:pPr>
  </w:style>
  <w:style w:type="paragraph" w:customStyle="1" w:styleId="132">
    <w:name w:val="封面一致性程度标识2"/>
    <w:basedOn w:val="70"/>
    <w:qFormat/>
    <w:uiPriority w:val="0"/>
    <w:pPr>
      <w:framePr w:wrap="around" w:y="4469"/>
    </w:pPr>
  </w:style>
  <w:style w:type="paragraph" w:customStyle="1" w:styleId="133">
    <w:name w:val="封面标准文稿类别2"/>
    <w:basedOn w:val="71"/>
    <w:qFormat/>
    <w:uiPriority w:val="0"/>
    <w:pPr>
      <w:framePr w:wrap="around" w:y="4469"/>
    </w:pPr>
  </w:style>
  <w:style w:type="paragraph" w:customStyle="1" w:styleId="134">
    <w:name w:val="封面标准文稿编辑信息2"/>
    <w:basedOn w:val="72"/>
    <w:qFormat/>
    <w:uiPriority w:val="0"/>
    <w:pPr>
      <w:framePr w:wrap="around" w:y="4469"/>
    </w:pPr>
  </w:style>
  <w:style w:type="character" w:customStyle="1" w:styleId="135">
    <w:name w:val="段 Char Char"/>
    <w:qFormat/>
    <w:uiPriority w:val="0"/>
    <w:rPr>
      <w:rFonts w:ascii="宋体"/>
      <w:sz w:val="21"/>
      <w:lang w:val="en-US" w:eastAsia="zh-CN" w:bidi="ar-SA"/>
    </w:rPr>
  </w:style>
  <w:style w:type="paragraph" w:customStyle="1" w:styleId="136">
    <w:name w:val="目录 11"/>
    <w:basedOn w:val="1"/>
    <w:next w:val="1"/>
    <w:semiHidden/>
    <w:qFormat/>
    <w:uiPriority w:val="0"/>
    <w:pPr>
      <w:tabs>
        <w:tab w:val="right" w:leader="dot" w:pos="9242"/>
      </w:tabs>
      <w:spacing w:beforeLines="25" w:afterLines="25"/>
      <w:jc w:val="left"/>
    </w:pPr>
    <w:rPr>
      <w:rFonts w:ascii="宋体"/>
      <w:szCs w:val="21"/>
    </w:rPr>
  </w:style>
  <w:style w:type="paragraph" w:customStyle="1" w:styleId="137">
    <w:name w:val="目录 21"/>
    <w:basedOn w:val="1"/>
    <w:next w:val="1"/>
    <w:semiHidden/>
    <w:qFormat/>
    <w:uiPriority w:val="0"/>
    <w:pPr>
      <w:tabs>
        <w:tab w:val="right" w:leader="dot" w:pos="9242"/>
      </w:tabs>
    </w:pPr>
    <w:rPr>
      <w:rFonts w:ascii="宋体"/>
      <w:szCs w:val="21"/>
    </w:rPr>
  </w:style>
  <w:style w:type="character" w:customStyle="1" w:styleId="138">
    <w:name w:val="fontstyle01"/>
    <w:qFormat/>
    <w:uiPriority w:val="0"/>
    <w:rPr>
      <w:rFonts w:hint="eastAsia" w:ascii="宋体" w:hAnsi="宋体" w:eastAsia="宋体"/>
      <w:color w:val="000000"/>
      <w:sz w:val="22"/>
      <w:szCs w:val="22"/>
    </w:rPr>
  </w:style>
  <w:style w:type="character" w:customStyle="1" w:styleId="139">
    <w:name w:val="批注框文本 字符"/>
    <w:link w:val="11"/>
    <w:qFormat/>
    <w:uiPriority w:val="0"/>
    <w:rPr>
      <w:kern w:val="2"/>
      <w:sz w:val="18"/>
      <w:szCs w:val="18"/>
    </w:rPr>
  </w:style>
  <w:style w:type="character" w:styleId="140">
    <w:name w:val="Placeholder Text"/>
    <w:semiHidden/>
    <w:qFormat/>
    <w:uiPriority w:val="99"/>
    <w:rPr>
      <w:color w:val="808080"/>
    </w:rPr>
  </w:style>
  <w:style w:type="character" w:customStyle="1" w:styleId="141">
    <w:name w:val="页脚 字符"/>
    <w:link w:val="12"/>
    <w:qFormat/>
    <w:uiPriority w:val="99"/>
    <w:rPr>
      <w:kern w:val="2"/>
      <w:sz w:val="18"/>
      <w:szCs w:val="18"/>
    </w:rPr>
  </w:style>
  <w:style w:type="paragraph" w:customStyle="1" w:styleId="142">
    <w:name w:val="Revision"/>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search2\Desktop\TC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34BF5-1D9E-42F7-B9B2-0C04CB925580}">
  <ds:schemaRefs/>
</ds:datastoreItem>
</file>

<file path=docProps/app.xml><?xml version="1.0" encoding="utf-8"?>
<Properties xmlns="http://schemas.openxmlformats.org/officeDocument/2006/extended-properties" xmlns:vt="http://schemas.openxmlformats.org/officeDocument/2006/docPropsVTypes">
  <Template>TCS</Template>
  <Pages>12</Pages>
  <Words>2804</Words>
  <Characters>3521</Characters>
  <Lines>27</Lines>
  <Paragraphs>7</Paragraphs>
  <TotalTime>5</TotalTime>
  <ScaleCrop>false</ScaleCrop>
  <LinksUpToDate>false</LinksUpToDate>
  <CharactersWithSpaces>3799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2022-07-05T13:39:00Z</dcterms:created>
  <dcterms:modified xsi:type="dcterms:W3CDTF">2022-07-07T07:36:18Z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7A08B0050B634BA1BDF4DC1EF4E142FE</vt:lpwstr>
  </property>
</Properties>
</file>