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     </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2022</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地理标志产品</w:t>
      </w:r>
      <w:r>
        <w:tab/>
      </w:r>
      <w:r>
        <w:t xml:space="preserve"> </w:t>
      </w:r>
      <w:r>
        <w:rPr>
          <w:rFonts w:hint="eastAsia"/>
          <w:lang w:eastAsia="zh-CN"/>
        </w:rPr>
        <w:t>安平白</w:t>
      </w:r>
      <w:r>
        <w:t>山药</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Product of geographical indication-</w:t>
      </w:r>
      <w:r>
        <w:rPr>
          <w:rFonts w:hint="eastAsia" w:eastAsia="黑体"/>
          <w:szCs w:val="28"/>
          <w:lang w:val="en-US" w:eastAsia="zh-CN"/>
        </w:rPr>
        <w:t>Anping w</w:t>
      </w:r>
      <w:r>
        <w:rPr>
          <w:rFonts w:hint="eastAsia" w:eastAsia="黑体"/>
          <w:szCs w:val="28"/>
        </w:rPr>
        <w:t>hite</w:t>
      </w:r>
      <w:r>
        <w:rPr>
          <w:rFonts w:eastAsia="黑体"/>
          <w:szCs w:val="28"/>
        </w:rPr>
        <w:t>yam</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2</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中国农业国际合作促进会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0" w:name="BookMark2"/>
      <w:r>
        <w:rPr>
          <w:spacing w:val="320"/>
        </w:rPr>
        <w:t>前</w:t>
      </w:r>
      <w:r>
        <w:t>言</w:t>
      </w:r>
    </w:p>
    <w:p>
      <w:pPr>
        <w:pStyle w:val="56"/>
        <w:ind w:firstLine="420"/>
        <w:rPr>
          <w:rFonts w:ascii="Times New Roman"/>
        </w:rPr>
      </w:pPr>
      <w:r>
        <w:rPr>
          <w:rFonts w:ascii="Times New Roman"/>
        </w:rPr>
        <w:t>本文件按照GB/T 1.1—2020《标准化工作导则  第1部分：标准化文件的结构和起草规则》的规定起草。</w:t>
      </w:r>
    </w:p>
    <w:p>
      <w:pPr>
        <w:pStyle w:val="13"/>
        <w:spacing w:line="279" w:lineRule="auto"/>
        <w:ind w:firstLine="420"/>
        <w:rPr>
          <w:rFonts w:ascii="Times New Roman"/>
          <w:spacing w:val="13"/>
        </w:rPr>
      </w:pPr>
      <w:r>
        <w:rPr>
          <w:rFonts w:ascii="Times New Roman"/>
        </w:rPr>
        <w:t>请注意本文件的某些内容可能涉及专利。本文件的发布机构不承担识别专利的责任。</w:t>
      </w:r>
    </w:p>
    <w:p>
      <w:pPr>
        <w:pStyle w:val="56"/>
        <w:ind w:firstLine="472"/>
        <w:rPr>
          <w:rFonts w:ascii="Times New Roman"/>
          <w:spacing w:val="13"/>
        </w:rPr>
      </w:pPr>
      <w:r>
        <w:rPr>
          <w:rFonts w:ascii="Times New Roman"/>
          <w:spacing w:val="13"/>
        </w:rPr>
        <w:t>本文件由</w:t>
      </w:r>
      <w:r>
        <w:rPr>
          <w:rFonts w:hint="eastAsia" w:ascii="Times New Roman"/>
          <w:spacing w:val="13"/>
        </w:rPr>
        <w:t>安平县白山药科学技术服务中心</w:t>
      </w:r>
      <w:r>
        <w:rPr>
          <w:rFonts w:ascii="Times New Roman"/>
          <w:spacing w:val="13"/>
        </w:rPr>
        <w:t>提出。</w:t>
      </w:r>
    </w:p>
    <w:p>
      <w:pPr>
        <w:pStyle w:val="56"/>
        <w:ind w:firstLine="472"/>
        <w:rPr>
          <w:rFonts w:ascii="Times New Roman"/>
          <w:spacing w:val="13"/>
        </w:rPr>
      </w:pPr>
      <w:r>
        <w:rPr>
          <w:rFonts w:ascii="Times New Roman"/>
          <w:spacing w:val="13"/>
        </w:rPr>
        <w:t>本文件由中国农业国际合作促进会归口。</w:t>
      </w:r>
    </w:p>
    <w:p>
      <w:pPr>
        <w:pStyle w:val="56"/>
        <w:ind w:firstLine="472"/>
        <w:rPr>
          <w:rFonts w:ascii="Times New Roman"/>
          <w:spacing w:val="13"/>
        </w:rPr>
      </w:pPr>
      <w:r>
        <w:rPr>
          <w:rFonts w:ascii="Times New Roman"/>
          <w:spacing w:val="13"/>
        </w:rPr>
        <w:t>本文件起草单位：</w:t>
      </w:r>
    </w:p>
    <w:p>
      <w:pPr>
        <w:pStyle w:val="56"/>
        <w:ind w:firstLine="472"/>
        <w:rPr>
          <w:rFonts w:ascii="Times New Roman"/>
        </w:rPr>
      </w:pPr>
      <w:r>
        <w:rPr>
          <w:rFonts w:ascii="Times New Roman"/>
          <w:spacing w:val="13"/>
        </w:rPr>
        <w:t>本文件主要起草人：</w:t>
      </w:r>
    </w:p>
    <w:p>
      <w:pPr>
        <w:pStyle w:val="56"/>
        <w:spacing w:line="276" w:lineRule="auto"/>
        <w:ind w:firstLine="420"/>
        <w:rPr>
          <w:rFonts w:ascii="Times New Roman"/>
        </w:rPr>
      </w:pPr>
      <w:r>
        <w:rPr>
          <w:rFonts w:ascii="Times New Roman"/>
        </w:rPr>
        <w:t xml:space="preserve"> </w:t>
      </w: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45BBE882CDA94CA5AF57632CDB088104"/>
        </w:placeholder>
      </w:sdtPr>
      <w:sdtContent>
        <w:p>
          <w:pPr>
            <w:pStyle w:val="177"/>
            <w:spacing w:before="2" w:beforeLines="1" w:after="528" w:afterLines="220"/>
          </w:pPr>
          <w:bookmarkStart w:id="22" w:name="NEW_STAND_NAME"/>
          <w:r>
            <w:rPr>
              <w:rFonts w:hint="eastAsia"/>
            </w:rPr>
            <w:t>地理标志产品</w:t>
          </w:r>
          <w:r>
            <w:tab/>
          </w:r>
          <w:r>
            <w:t xml:space="preserve"> </w:t>
          </w:r>
          <w:r>
            <w:rPr>
              <w:rFonts w:hint="eastAsia"/>
              <w:lang w:val="en-US" w:eastAsia="zh-CN"/>
            </w:rPr>
            <w:t>安平白</w:t>
          </w:r>
          <w:r>
            <w:t>山药</w:t>
          </w:r>
        </w:p>
      </w:sdtContent>
    </w:sdt>
    <w:bookmarkEnd w:id="22"/>
    <w:p>
      <w:pPr>
        <w:pStyle w:val="104"/>
        <w:spacing w:before="240" w:after="240"/>
      </w:pPr>
      <w:bookmarkStart w:id="23" w:name="_Toc17233325"/>
      <w:bookmarkStart w:id="24" w:name="_Toc26718930"/>
      <w:bookmarkStart w:id="25" w:name="_Toc26986530"/>
      <w:bookmarkStart w:id="26" w:name="_Toc26648465"/>
      <w:bookmarkStart w:id="27" w:name="_Toc17233333"/>
      <w:bookmarkStart w:id="28" w:name="_Toc24884211"/>
      <w:bookmarkStart w:id="29" w:name="_Toc26986771"/>
      <w:bookmarkStart w:id="30" w:name="_Toc24884218"/>
      <w:r>
        <w:rPr>
          <w:rFonts w:hint="eastAsia"/>
        </w:rPr>
        <w:t>范围</w:t>
      </w:r>
      <w:bookmarkEnd w:id="23"/>
      <w:bookmarkEnd w:id="24"/>
      <w:bookmarkEnd w:id="25"/>
      <w:bookmarkEnd w:id="26"/>
      <w:bookmarkEnd w:id="27"/>
      <w:bookmarkEnd w:id="28"/>
      <w:bookmarkEnd w:id="29"/>
      <w:bookmarkEnd w:id="30"/>
    </w:p>
    <w:p>
      <w:pPr>
        <w:pStyle w:val="56"/>
        <w:ind w:firstLine="472"/>
        <w:rPr>
          <w:szCs w:val="21"/>
        </w:rPr>
      </w:pPr>
      <w:bookmarkStart w:id="31" w:name="_Toc26648466"/>
      <w:bookmarkStart w:id="32" w:name="_Toc24884219"/>
      <w:bookmarkStart w:id="33" w:name="_Toc17233334"/>
      <w:bookmarkStart w:id="34" w:name="_Toc26718931"/>
      <w:bookmarkStart w:id="35" w:name="_Toc26986531"/>
      <w:bookmarkStart w:id="36" w:name="_Toc24884212"/>
      <w:bookmarkStart w:id="37" w:name="_Toc17233326"/>
      <w:bookmarkStart w:id="38" w:name="_Toc26986772"/>
      <w:r>
        <w:rPr>
          <w:rFonts w:hint="eastAsia"/>
          <w:spacing w:val="13"/>
        </w:rPr>
        <w:t>本文件</w:t>
      </w:r>
      <w:r>
        <w:rPr>
          <w:rFonts w:hint="eastAsia"/>
        </w:rPr>
        <w:t>规定了地理标志产品</w:t>
      </w:r>
      <w:r>
        <w:rPr>
          <w:rFonts w:hint="eastAsia"/>
          <w:lang w:val="en-US" w:eastAsia="zh-CN"/>
        </w:rPr>
        <w:t>安平白</w:t>
      </w:r>
      <w:r>
        <w:rPr>
          <w:rFonts w:hint="eastAsia"/>
        </w:rPr>
        <w:t>山药的术语和定义、地理标志保护范围、自然环境、要求、检验方法、检验规则、标识、包装、运输及贮存。</w:t>
      </w:r>
    </w:p>
    <w:p>
      <w:pPr>
        <w:pStyle w:val="56"/>
        <w:ind w:firstLine="420"/>
        <w:rPr>
          <w:rFonts w:hint="eastAsia"/>
          <w:sz w:val="24"/>
          <w:szCs w:val="24"/>
        </w:rPr>
      </w:pPr>
      <w:r>
        <w:rPr>
          <w:rFonts w:hint="eastAsia"/>
        </w:rPr>
        <w:t>本文件适用于地理标志产品</w:t>
      </w:r>
      <w:r>
        <w:rPr>
          <w:rFonts w:hint="eastAsia"/>
          <w:lang w:val="en-US" w:eastAsia="zh-CN"/>
        </w:rPr>
        <w:t>安平白</w:t>
      </w:r>
      <w:r>
        <w:rPr>
          <w:rFonts w:hint="eastAsia"/>
        </w:rPr>
        <w:t>山药山药产品。</w:t>
      </w:r>
    </w:p>
    <w:p>
      <w:pPr>
        <w:pStyle w:val="104"/>
        <w:spacing w:before="240" w:after="240"/>
      </w:pPr>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B1163AEEB64C6DBE5D840845AE45C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szCs w:val="21"/>
        </w:rPr>
      </w:pPr>
      <w:r>
        <w:rPr>
          <w:rFonts w:ascii="Times New Roman"/>
        </w:rPr>
        <w:t>GB/T 191 包装储运图示标志</w:t>
      </w:r>
    </w:p>
    <w:p>
      <w:pPr>
        <w:pStyle w:val="56"/>
        <w:ind w:firstLine="420"/>
        <w:rPr>
          <w:rFonts w:ascii="Times New Roman"/>
        </w:rPr>
      </w:pPr>
      <w:r>
        <w:rPr>
          <w:rFonts w:ascii="Times New Roman"/>
        </w:rPr>
        <w:t>GB 2762 食品安全国家标准</w:t>
      </w:r>
      <w:r>
        <w:rPr>
          <w:rFonts w:hint="eastAsia" w:ascii="Times New Roman"/>
          <w:lang w:val="en-US" w:eastAsia="zh-CN"/>
        </w:rPr>
        <w:t xml:space="preserve"> </w:t>
      </w:r>
      <w:r>
        <w:rPr>
          <w:rFonts w:ascii="Times New Roman"/>
        </w:rPr>
        <w:t>食品中污染物限量</w:t>
      </w:r>
    </w:p>
    <w:p>
      <w:pPr>
        <w:pStyle w:val="56"/>
        <w:ind w:firstLine="420"/>
        <w:rPr>
          <w:rFonts w:ascii="Times New Roman"/>
        </w:rPr>
      </w:pPr>
      <w:r>
        <w:rPr>
          <w:rFonts w:ascii="Times New Roman"/>
        </w:rPr>
        <w:t>GB 2763 食品安全国家标准</w:t>
      </w:r>
      <w:r>
        <w:rPr>
          <w:rFonts w:hint="eastAsia" w:ascii="Times New Roman"/>
          <w:lang w:val="en-US" w:eastAsia="zh-CN"/>
        </w:rPr>
        <w:t xml:space="preserve"> </w:t>
      </w:r>
      <w:r>
        <w:rPr>
          <w:rFonts w:ascii="Times New Roman"/>
        </w:rPr>
        <w:t>食品中农药最大残留限量</w:t>
      </w:r>
    </w:p>
    <w:p>
      <w:pPr>
        <w:pStyle w:val="56"/>
        <w:ind w:firstLine="420"/>
        <w:rPr>
          <w:rFonts w:ascii="Times New Roman"/>
        </w:rPr>
      </w:pPr>
      <w:r>
        <w:rPr>
          <w:rFonts w:ascii="Times New Roman"/>
        </w:rPr>
        <w:t>GB 5009. 3 食品安全国家标准</w:t>
      </w:r>
      <w:r>
        <w:rPr>
          <w:rFonts w:hint="eastAsia" w:ascii="Times New Roman"/>
          <w:lang w:val="en-US" w:eastAsia="zh-CN"/>
        </w:rPr>
        <w:t xml:space="preserve"> </w:t>
      </w:r>
      <w:r>
        <w:rPr>
          <w:rFonts w:ascii="Times New Roman"/>
        </w:rPr>
        <w:t>食品中水分的测定</w:t>
      </w:r>
    </w:p>
    <w:p>
      <w:pPr>
        <w:pStyle w:val="56"/>
        <w:ind w:firstLine="420"/>
        <w:rPr>
          <w:rFonts w:ascii="Times New Roman"/>
        </w:rPr>
      </w:pPr>
      <w:r>
        <w:rPr>
          <w:rFonts w:ascii="Times New Roman"/>
        </w:rPr>
        <w:t>GB 5009. 5 食品安全国家标准</w:t>
      </w:r>
      <w:r>
        <w:rPr>
          <w:rFonts w:hint="eastAsia" w:ascii="Times New Roman"/>
          <w:lang w:val="en-US" w:eastAsia="zh-CN"/>
        </w:rPr>
        <w:t xml:space="preserve"> </w:t>
      </w:r>
      <w:r>
        <w:rPr>
          <w:rFonts w:ascii="Times New Roman"/>
        </w:rPr>
        <w:t>食品中蛋白质的测定</w:t>
      </w:r>
    </w:p>
    <w:p>
      <w:pPr>
        <w:pStyle w:val="56"/>
        <w:ind w:firstLine="420"/>
        <w:rPr>
          <w:rFonts w:ascii="Times New Roman"/>
        </w:rPr>
      </w:pPr>
      <w:r>
        <w:rPr>
          <w:rFonts w:ascii="Times New Roman"/>
        </w:rPr>
        <w:t>GB 5009. 7 食品安全国家标准</w:t>
      </w:r>
      <w:r>
        <w:rPr>
          <w:rFonts w:hint="eastAsia" w:ascii="Times New Roman"/>
          <w:lang w:val="en-US" w:eastAsia="zh-CN"/>
        </w:rPr>
        <w:t xml:space="preserve"> </w:t>
      </w:r>
      <w:r>
        <w:rPr>
          <w:rFonts w:ascii="Times New Roman"/>
        </w:rPr>
        <w:t>食品中还原糖的测定</w:t>
      </w:r>
    </w:p>
    <w:p>
      <w:pPr>
        <w:pStyle w:val="56"/>
        <w:ind w:firstLine="420"/>
        <w:rPr>
          <w:rFonts w:ascii="Times New Roman"/>
        </w:rPr>
      </w:pPr>
      <w:r>
        <w:rPr>
          <w:rFonts w:ascii="Times New Roman"/>
        </w:rPr>
        <w:t>GB 5009. 9 食品安全国家标准</w:t>
      </w:r>
      <w:r>
        <w:rPr>
          <w:rFonts w:hint="eastAsia" w:ascii="Times New Roman"/>
          <w:lang w:val="en-US" w:eastAsia="zh-CN"/>
        </w:rPr>
        <w:t xml:space="preserve"> </w:t>
      </w:r>
      <w:r>
        <w:rPr>
          <w:rFonts w:ascii="Times New Roman"/>
        </w:rPr>
        <w:t>食品中淀粉的测定</w:t>
      </w:r>
    </w:p>
    <w:p>
      <w:pPr>
        <w:pStyle w:val="56"/>
        <w:ind w:firstLine="420"/>
        <w:rPr>
          <w:rFonts w:ascii="Times New Roman"/>
        </w:rPr>
      </w:pPr>
      <w:r>
        <w:rPr>
          <w:rFonts w:ascii="Times New Roman"/>
        </w:rPr>
        <w:t>GB 7718 食品安全国家标准 预包装食品标签通则</w:t>
      </w:r>
    </w:p>
    <w:p>
      <w:pPr>
        <w:pStyle w:val="56"/>
        <w:ind w:firstLine="420"/>
        <w:rPr>
          <w:rFonts w:ascii="Times New Roman"/>
        </w:rPr>
      </w:pPr>
      <w:r>
        <w:rPr>
          <w:rFonts w:ascii="Times New Roman"/>
        </w:rPr>
        <w:t xml:space="preserve">GB/T 17924 地理标志产品标准通用要求  </w:t>
      </w:r>
    </w:p>
    <w:p>
      <w:pPr>
        <w:pStyle w:val="56"/>
        <w:ind w:firstLine="420"/>
        <w:rPr>
          <w:rFonts w:ascii="Times New Roman"/>
        </w:rPr>
      </w:pPr>
      <w:r>
        <w:rPr>
          <w:rFonts w:hint="eastAsia" w:ascii="Times New Roman"/>
        </w:rPr>
        <w:t>GB/T 34343 农产品物流包装容器通用技术要求</w:t>
      </w:r>
    </w:p>
    <w:p>
      <w:pPr>
        <w:pStyle w:val="56"/>
        <w:ind w:firstLine="420"/>
        <w:rPr>
          <w:rFonts w:ascii="Times New Roman"/>
        </w:rPr>
      </w:pPr>
      <w:r>
        <w:rPr>
          <w:rFonts w:ascii="Times New Roman"/>
        </w:rPr>
        <w:t>NY/T 1276 农药安全使用规范</w:t>
      </w:r>
    </w:p>
    <w:p>
      <w:pPr>
        <w:pStyle w:val="104"/>
        <w:spacing w:before="240" w:after="240"/>
      </w:pPr>
      <w:r>
        <w:rPr>
          <w:rFonts w:hint="eastAsia"/>
          <w:szCs w:val="21"/>
        </w:rPr>
        <w:t>术语和定义</w:t>
      </w:r>
    </w:p>
    <w:sdt>
      <w:sdtPr>
        <w:id w:val="-1909835108"/>
        <w:placeholder>
          <w:docPart w:val="1C7B3C476FBD46CCA12999463DB794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9" w:name="_Toc26986532"/>
          <w:bookmarkEnd w:id="39"/>
          <w:r>
            <w:t>下列术语和定义适用于本文件。</w:t>
          </w:r>
        </w:p>
      </w:sdtContent>
    </w:sdt>
    <w:p>
      <w:pPr>
        <w:pStyle w:val="223"/>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lang w:eastAsia="zh-CN"/>
        </w:rPr>
        <w:t>安平白</w:t>
      </w:r>
      <w:r>
        <w:rPr>
          <w:rFonts w:hint="eastAsia" w:ascii="黑体" w:hAnsi="黑体" w:eastAsia="黑体"/>
          <w:highlight w:val="none"/>
        </w:rPr>
        <w:t xml:space="preserve">山药  </w:t>
      </w:r>
      <w:r>
        <w:rPr>
          <w:rFonts w:hint="eastAsia" w:ascii="黑体" w:hAnsi="黑体" w:eastAsia="黑体"/>
          <w:highlight w:val="none"/>
          <w:lang w:val="en-US" w:eastAsia="zh-CN"/>
        </w:rPr>
        <w:t>Anping</w:t>
      </w:r>
      <w:r>
        <w:rPr>
          <w:rFonts w:hint="eastAsia" w:ascii="黑体" w:hAnsi="黑体" w:eastAsia="黑体"/>
          <w:highlight w:val="none"/>
        </w:rPr>
        <w:t xml:space="preserve"> </w:t>
      </w:r>
      <w:r>
        <w:rPr>
          <w:rFonts w:hint="eastAsia" w:ascii="黑体" w:hAnsi="黑体" w:eastAsia="黑体"/>
          <w:highlight w:val="none"/>
          <w:lang w:val="en-US" w:eastAsia="zh-CN"/>
        </w:rPr>
        <w:t>w</w:t>
      </w:r>
      <w:r>
        <w:rPr>
          <w:rFonts w:hint="eastAsia" w:ascii="黑体" w:hAnsi="黑体" w:eastAsia="黑体"/>
          <w:highlight w:val="none"/>
        </w:rPr>
        <w:t>hite yam</w:t>
      </w:r>
    </w:p>
    <w:p>
      <w:pPr>
        <w:pStyle w:val="13"/>
        <w:spacing w:line="278" w:lineRule="auto"/>
        <w:ind w:firstLine="420" w:firstLineChars="200"/>
        <w:rPr>
          <w:rFonts w:ascii="宋体" w:hAnsi="宋体" w:cs="宋体"/>
          <w:kern w:val="0"/>
          <w:highlight w:val="none"/>
        </w:rPr>
      </w:pPr>
      <w:r>
        <w:rPr>
          <w:rFonts w:hint="eastAsia"/>
          <w:highlight w:val="none"/>
        </w:rPr>
        <w:t>在地理标志保护范围内种植，符合</w:t>
      </w:r>
      <w:r>
        <w:rPr>
          <w:rFonts w:hint="eastAsia"/>
          <w:spacing w:val="13"/>
          <w:highlight w:val="none"/>
        </w:rPr>
        <w:t>本文件</w:t>
      </w:r>
      <w:r>
        <w:rPr>
          <w:rFonts w:hint="eastAsia"/>
          <w:highlight w:val="none"/>
        </w:rPr>
        <w:t>规定的</w:t>
      </w:r>
      <w:r>
        <w:rPr>
          <w:rFonts w:hint="eastAsia"/>
          <w:highlight w:val="none"/>
          <w:lang w:val="en-US" w:eastAsia="zh-CN"/>
        </w:rPr>
        <w:t>安平</w:t>
      </w:r>
      <w:r>
        <w:rPr>
          <w:rFonts w:hint="eastAsia"/>
          <w:highlight w:val="none"/>
        </w:rPr>
        <w:t>当</w:t>
      </w:r>
      <w:r>
        <w:rPr>
          <w:rFonts w:hint="eastAsia"/>
          <w:highlight w:val="none"/>
          <w:lang w:eastAsia="zh-CN"/>
        </w:rPr>
        <w:t>县</w:t>
      </w:r>
      <w:r>
        <w:rPr>
          <w:rFonts w:hint="eastAsia"/>
          <w:highlight w:val="none"/>
        </w:rPr>
        <w:t>地种植的</w:t>
      </w:r>
      <w:r>
        <w:rPr>
          <w:rFonts w:hint="eastAsia"/>
          <w:highlight w:val="none"/>
          <w:lang w:eastAsia="zh-CN"/>
        </w:rPr>
        <w:t>安平白</w:t>
      </w:r>
      <w:r>
        <w:rPr>
          <w:rFonts w:hint="eastAsia"/>
          <w:highlight w:val="none"/>
        </w:rPr>
        <w:t>山药。</w:t>
      </w:r>
    </w:p>
    <w:p>
      <w:pPr>
        <w:pStyle w:val="104"/>
        <w:spacing w:before="240" w:after="240"/>
        <w:rPr>
          <w:rFonts w:ascii="Times New Roman"/>
        </w:rPr>
      </w:pPr>
      <w:r>
        <w:rPr>
          <w:rFonts w:ascii="Times New Roman"/>
        </w:rPr>
        <w:t>地理标志产品保护范围</w:t>
      </w:r>
    </w:p>
    <w:p>
      <w:pPr>
        <w:pStyle w:val="56"/>
        <w:ind w:firstLine="420"/>
        <w:rPr>
          <w:rFonts w:ascii="Times New Roman"/>
          <w:kern w:val="44"/>
          <w:szCs w:val="21"/>
        </w:rPr>
      </w:pPr>
      <w:r>
        <w:rPr>
          <w:rFonts w:hint="eastAsia"/>
          <w:lang w:val="en-US" w:eastAsia="zh-CN"/>
        </w:rPr>
        <w:t>安平白</w:t>
      </w:r>
      <w:r>
        <w:rPr>
          <w:rFonts w:hint="eastAsia"/>
        </w:rPr>
        <w:t>山药</w:t>
      </w:r>
      <w:r>
        <w:t>产地范围为</w:t>
      </w:r>
      <w:r>
        <w:rPr>
          <w:rFonts w:hint="eastAsia"/>
          <w:lang w:val="en-US" w:eastAsia="zh-CN"/>
        </w:rPr>
        <w:t>分布在安平县沿滹沱河两岸的马店镇、何庄乡和程油子乡三个乡镇</w:t>
      </w:r>
      <w:r>
        <w:t>，地理坐标为东经</w:t>
      </w:r>
      <w:r>
        <w:rPr>
          <w:rFonts w:ascii="Times New Roman"/>
        </w:rPr>
        <w:t>1</w:t>
      </w:r>
      <w:r>
        <w:rPr>
          <w:rFonts w:hint="eastAsia" w:ascii="Times New Roman"/>
        </w:rPr>
        <w:t>15</w:t>
      </w:r>
      <w:r>
        <w:rPr>
          <w:rFonts w:ascii="Times New Roman"/>
        </w:rPr>
        <w:t>°</w:t>
      </w:r>
      <w:r>
        <w:rPr>
          <w:rFonts w:hint="eastAsia" w:ascii="Times New Roman"/>
          <w:lang w:val="en-US" w:eastAsia="zh-CN"/>
        </w:rPr>
        <w:t>38</w:t>
      </w:r>
      <w:r>
        <w:rPr>
          <w:rFonts w:ascii="Times New Roman"/>
        </w:rPr>
        <w:t>′</w:t>
      </w:r>
      <w:r>
        <w:rPr>
          <w:rFonts w:hint="eastAsia" w:ascii="Times New Roman"/>
        </w:rPr>
        <w:t>~</w:t>
      </w:r>
      <w:r>
        <w:rPr>
          <w:rFonts w:ascii="Times New Roman"/>
        </w:rPr>
        <w:t>1</w:t>
      </w:r>
      <w:r>
        <w:rPr>
          <w:rFonts w:hint="eastAsia" w:ascii="Times New Roman"/>
        </w:rPr>
        <w:t>15</w:t>
      </w:r>
      <w:r>
        <w:rPr>
          <w:rFonts w:ascii="Times New Roman"/>
        </w:rPr>
        <w:t>°</w:t>
      </w:r>
      <w:r>
        <w:rPr>
          <w:rFonts w:hint="eastAsia" w:ascii="Times New Roman"/>
          <w:lang w:val="en-US" w:eastAsia="zh-CN"/>
        </w:rPr>
        <w:t>65</w:t>
      </w:r>
      <w:r>
        <w:rPr>
          <w:rFonts w:ascii="Times New Roman"/>
        </w:rPr>
        <w:t>′</w:t>
      </w:r>
      <w:r>
        <w:t>，北纬</w:t>
      </w:r>
      <w:r>
        <w:rPr>
          <w:rFonts w:hint="eastAsia" w:ascii="Times New Roman"/>
          <w:lang w:val="en-US" w:eastAsia="zh-CN"/>
        </w:rPr>
        <w:t>38</w:t>
      </w:r>
      <w:r>
        <w:rPr>
          <w:rFonts w:ascii="Times New Roman"/>
        </w:rPr>
        <w:t>°</w:t>
      </w:r>
      <w:r>
        <w:rPr>
          <w:rFonts w:hint="eastAsia" w:ascii="Times New Roman"/>
          <w:lang w:val="en-US" w:eastAsia="zh-CN"/>
        </w:rPr>
        <w:t>22</w:t>
      </w:r>
      <w:r>
        <w:rPr>
          <w:rFonts w:ascii="Times New Roman"/>
        </w:rPr>
        <w:t>′</w:t>
      </w:r>
      <w:r>
        <w:rPr>
          <w:rFonts w:hint="eastAsia" w:ascii="Times New Roman"/>
        </w:rPr>
        <w:t>~ 3</w:t>
      </w:r>
      <w:r>
        <w:rPr>
          <w:rFonts w:hint="eastAsia" w:ascii="Times New Roman"/>
          <w:lang w:val="en-US" w:eastAsia="zh-CN"/>
        </w:rPr>
        <w:t>8</w:t>
      </w:r>
      <w:r>
        <w:rPr>
          <w:rFonts w:ascii="Times New Roman"/>
        </w:rPr>
        <w:t>°</w:t>
      </w:r>
      <w:r>
        <w:rPr>
          <w:rFonts w:hint="eastAsia" w:ascii="Times New Roman"/>
          <w:lang w:val="en-US" w:eastAsia="zh-CN"/>
        </w:rPr>
        <w:t>31</w:t>
      </w:r>
      <w:r>
        <w:rPr>
          <w:rFonts w:ascii="Times New Roman"/>
        </w:rPr>
        <w:t>′</w:t>
      </w:r>
      <w:r>
        <w:t>，见附录</w:t>
      </w:r>
      <w:r>
        <w:rPr>
          <w:rFonts w:ascii="Times New Roman"/>
        </w:rPr>
        <w:t>A</w:t>
      </w:r>
      <w:r>
        <w:t>。</w:t>
      </w:r>
    </w:p>
    <w:p>
      <w:pPr>
        <w:pStyle w:val="104"/>
        <w:spacing w:before="240" w:after="240"/>
        <w:rPr>
          <w:rFonts w:ascii="Times New Roman"/>
        </w:rPr>
      </w:pPr>
      <w:r>
        <w:rPr>
          <w:rFonts w:ascii="Times New Roman"/>
        </w:rPr>
        <w:t>自然条件</w:t>
      </w:r>
    </w:p>
    <w:p>
      <w:pPr>
        <w:pStyle w:val="105"/>
        <w:spacing w:before="120" w:after="120"/>
        <w:rPr>
          <w:rFonts w:ascii="Tahoma" w:hAnsi="Tahoma"/>
        </w:rPr>
      </w:pPr>
      <w:r>
        <w:rPr>
          <w:rFonts w:hint="eastAsia"/>
        </w:rPr>
        <w:t>气候</w:t>
      </w:r>
    </w:p>
    <w:p>
      <w:pPr>
        <w:pStyle w:val="230"/>
        <w:spacing w:line="278" w:lineRule="auto"/>
        <w:ind w:left="0" w:firstLine="420"/>
        <w:rPr>
          <w:rFonts w:hint="default" w:ascii="Times New Roman" w:hAnsi="Times New Roman" w:cs="Times New Roman"/>
          <w:sz w:val="21"/>
          <w:szCs w:val="21"/>
        </w:rPr>
      </w:pPr>
      <w:r>
        <w:rPr>
          <w:rFonts w:hint="default" w:ascii="Times New Roman" w:hAnsi="Times New Roman" w:cs="Times New Roman"/>
          <w:sz w:val="21"/>
          <w:szCs w:val="21"/>
        </w:rPr>
        <w:t>该地区属半旱半湿润大陆性季风气候区，年平均气温 12.4℃，年均气温时数为2526.7h，无霜期187d，年均降水量537.2ml，光照充足，四季分明。</w:t>
      </w:r>
    </w:p>
    <w:p>
      <w:pPr>
        <w:pStyle w:val="105"/>
        <w:spacing w:before="120" w:after="120"/>
        <w:rPr>
          <w:rFonts w:hint="default" w:ascii="Times New Roman" w:hAnsi="Times New Roman" w:cs="Times New Roman"/>
        </w:rPr>
      </w:pPr>
      <w:r>
        <w:rPr>
          <w:rFonts w:hint="default" w:ascii="Times New Roman" w:hAnsi="Times New Roman" w:cs="Times New Roman"/>
        </w:rPr>
        <w:t xml:space="preserve"> 土壤</w:t>
      </w:r>
    </w:p>
    <w:p>
      <w:pPr>
        <w:pStyle w:val="230"/>
        <w:spacing w:line="278" w:lineRule="auto"/>
        <w:ind w:left="0" w:firstLine="420"/>
        <w:rPr>
          <w:rFonts w:hint="default" w:ascii="Times New Roman" w:hAnsi="Times New Roman" w:cs="Times New Roman"/>
          <w:sz w:val="21"/>
          <w:szCs w:val="21"/>
        </w:rPr>
      </w:pPr>
      <w:r>
        <w:rPr>
          <w:rFonts w:hint="default" w:ascii="Times New Roman" w:hAnsi="Times New Roman" w:cs="Times New Roman"/>
          <w:sz w:val="21"/>
          <w:szCs w:val="21"/>
        </w:rPr>
        <w:t xml:space="preserve">该地区地处华北平原，毗邻滹沱河，拥有优质沙性土壤，土壤pH值 </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.5左右，土层深厚，土质疏松，有机质含量为</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.5% ~</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%，适于须根系作物生长。</w:t>
      </w:r>
    </w:p>
    <w:p>
      <w:pPr>
        <w:pStyle w:val="104"/>
        <w:spacing w:before="240" w:after="240"/>
        <w:rPr>
          <w:rFonts w:hint="default" w:ascii="Times New Roman" w:hAnsi="Times New Roman" w:cs="Times New Roman"/>
        </w:rPr>
      </w:pPr>
      <w:r>
        <w:rPr>
          <w:rFonts w:hint="default" w:ascii="Times New Roman" w:hAnsi="Times New Roman" w:cs="Times New Roman"/>
        </w:rPr>
        <w:t>要求</w:t>
      </w:r>
    </w:p>
    <w:p>
      <w:pPr>
        <w:pStyle w:val="105"/>
        <w:spacing w:before="120" w:after="120"/>
        <w:rPr>
          <w:rFonts w:hint="default" w:ascii="Times New Roman" w:hAnsi="Times New Roman" w:cs="Times New Roman"/>
        </w:rPr>
      </w:pPr>
      <w:r>
        <w:rPr>
          <w:rFonts w:hint="default" w:ascii="Times New Roman" w:hAnsi="Times New Roman" w:cs="Times New Roman"/>
        </w:rPr>
        <w:t>品种</w:t>
      </w:r>
    </w:p>
    <w:p>
      <w:pPr>
        <w:pStyle w:val="230"/>
        <w:spacing w:line="278" w:lineRule="auto"/>
        <w:ind w:left="0" w:firstLine="420"/>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选用适宜本地种植的</w:t>
      </w:r>
      <w:r>
        <w:rPr>
          <w:rFonts w:hint="default" w:ascii="Times New Roman" w:hAnsi="Times New Roman" w:cs="Times New Roman"/>
          <w:sz w:val="21"/>
          <w:szCs w:val="21"/>
          <w:highlight w:val="none"/>
          <w:lang w:val="en-US" w:eastAsia="zh-CN"/>
        </w:rPr>
        <w:t>白</w:t>
      </w:r>
      <w:r>
        <w:rPr>
          <w:rFonts w:hint="default" w:ascii="Times New Roman" w:hAnsi="Times New Roman" w:cs="Times New Roman"/>
          <w:sz w:val="21"/>
          <w:szCs w:val="21"/>
          <w:highlight w:val="none"/>
        </w:rPr>
        <w:t>山药</w:t>
      </w:r>
      <w:r>
        <w:rPr>
          <w:rFonts w:hint="default" w:ascii="Times New Roman" w:hAnsi="Times New Roman" w:cs="Times New Roman"/>
          <w:sz w:val="21"/>
          <w:szCs w:val="21"/>
        </w:rPr>
        <w:t>品种。</w:t>
      </w:r>
    </w:p>
    <w:p>
      <w:pPr>
        <w:pStyle w:val="105"/>
        <w:spacing w:before="120" w:after="120"/>
        <w:rPr>
          <w:rFonts w:hint="default" w:ascii="Times New Roman" w:hAnsi="Times New Roman" w:cs="Times New Roman"/>
        </w:rPr>
      </w:pPr>
      <w:r>
        <w:rPr>
          <w:rFonts w:hint="default" w:ascii="Times New Roman" w:hAnsi="Times New Roman" w:cs="Times New Roman"/>
        </w:rPr>
        <w:t xml:space="preserve">栽培管理要求 </w:t>
      </w:r>
    </w:p>
    <w:p>
      <w:pPr>
        <w:pStyle w:val="230"/>
        <w:spacing w:line="278" w:lineRule="auto"/>
        <w:ind w:left="0" w:firstLine="420"/>
        <w:rPr>
          <w:rFonts w:hint="default" w:ascii="Times New Roman" w:hAnsi="Times New Roman" w:cs="Times New Roman"/>
          <w:sz w:val="21"/>
          <w:szCs w:val="21"/>
        </w:rPr>
      </w:pPr>
      <w:r>
        <w:rPr>
          <w:rFonts w:hint="default" w:ascii="Times New Roman" w:hAnsi="Times New Roman" w:cs="Times New Roman"/>
          <w:sz w:val="21"/>
          <w:szCs w:val="21"/>
        </w:rPr>
        <w:t>栽培管理见附录B。</w:t>
      </w:r>
    </w:p>
    <w:p>
      <w:pPr>
        <w:pStyle w:val="105"/>
        <w:spacing w:before="120" w:after="120"/>
        <w:rPr>
          <w:rFonts w:hint="default" w:ascii="Times New Roman" w:hAnsi="Times New Roman" w:cs="Times New Roman"/>
        </w:rPr>
      </w:pPr>
      <w:r>
        <w:rPr>
          <w:rFonts w:hint="default" w:ascii="Times New Roman" w:hAnsi="Times New Roman" w:cs="Times New Roman"/>
        </w:rPr>
        <w:t>感官</w:t>
      </w:r>
      <w:r>
        <w:rPr>
          <w:rFonts w:hint="eastAsia" w:ascii="Times New Roman" w:cs="Times New Roman"/>
          <w:lang w:eastAsia="zh-CN"/>
        </w:rPr>
        <w:t>指标</w:t>
      </w:r>
    </w:p>
    <w:p>
      <w:pPr>
        <w:pStyle w:val="230"/>
        <w:spacing w:line="278" w:lineRule="auto"/>
        <w:ind w:left="0" w:firstLine="420"/>
        <w:rPr>
          <w:rFonts w:hint="default" w:ascii="Times New Roman" w:hAnsi="Times New Roman" w:cs="Times New Roman"/>
          <w:sz w:val="21"/>
          <w:szCs w:val="21"/>
        </w:rPr>
      </w:pPr>
      <w:r>
        <w:rPr>
          <w:rFonts w:hint="default" w:ascii="Times New Roman" w:hAnsi="Times New Roman" w:cs="Times New Roman"/>
          <w:sz w:val="21"/>
          <w:szCs w:val="21"/>
        </w:rPr>
        <w:t>圆柱形、长90~120</w:t>
      </w:r>
      <w:r>
        <w:rPr>
          <w:rFonts w:hint="eastAsia" w:ascii="Times New Roman" w:hAnsi="Times New Roman" w:cs="Times New Roman"/>
          <w:sz w:val="21"/>
          <w:szCs w:val="21"/>
          <w:lang w:val="en-US" w:eastAsia="zh-CN"/>
        </w:rPr>
        <w:t>cm，</w:t>
      </w:r>
      <w:r>
        <w:rPr>
          <w:rFonts w:hint="default" w:ascii="Times New Roman" w:hAnsi="Times New Roman" w:cs="Times New Roman"/>
          <w:sz w:val="21"/>
          <w:szCs w:val="21"/>
        </w:rPr>
        <w:t>皮白、光滑、细毛、表面细白有片状红斑，顶部</w:t>
      </w:r>
      <w:r>
        <w:rPr>
          <w:rFonts w:hint="eastAsia" w:ascii="Times New Roman" w:hAnsi="Times New Roman" w:cs="Times New Roman"/>
          <w:sz w:val="21"/>
          <w:szCs w:val="21"/>
          <w:lang w:val="en-US" w:eastAsia="zh-CN"/>
        </w:rPr>
        <w:t>圆润、</w:t>
      </w:r>
      <w:r>
        <w:rPr>
          <w:rFonts w:hint="default" w:ascii="Times New Roman" w:hAnsi="Times New Roman" w:cs="Times New Roman"/>
          <w:sz w:val="21"/>
          <w:szCs w:val="21"/>
        </w:rPr>
        <w:t>白净具凹痕，肉质细腻、口感绵甜。</w:t>
      </w:r>
    </w:p>
    <w:p>
      <w:pPr>
        <w:pStyle w:val="105"/>
        <w:spacing w:before="120" w:after="120"/>
        <w:rPr>
          <w:rFonts w:hint="default" w:ascii="Times New Roman" w:hAnsi="Times New Roman" w:cs="Times New Roman"/>
        </w:rPr>
      </w:pPr>
      <w:r>
        <w:rPr>
          <w:rFonts w:hint="default" w:ascii="Times New Roman" w:hAnsi="Times New Roman" w:cs="Times New Roman"/>
        </w:rPr>
        <w:t xml:space="preserve"> 理化</w:t>
      </w:r>
      <w:r>
        <w:rPr>
          <w:rFonts w:hint="eastAsia" w:ascii="Times New Roman" w:cs="Times New Roman"/>
          <w:lang w:eastAsia="zh-CN"/>
        </w:rPr>
        <w:t>指标</w:t>
      </w:r>
    </w:p>
    <w:p>
      <w:pPr>
        <w:pStyle w:val="230"/>
        <w:spacing w:line="278" w:lineRule="auto"/>
        <w:ind w:left="837" w:leftChars="164" w:hanging="493" w:hangingChars="235"/>
        <w:rPr>
          <w:rFonts w:hint="default" w:ascii="Times New Roman" w:hAnsi="Times New Roman" w:cs="Times New Roman"/>
          <w:sz w:val="21"/>
          <w:szCs w:val="21"/>
        </w:rPr>
      </w:pPr>
      <w:r>
        <w:rPr>
          <w:rFonts w:hint="default" w:ascii="Times New Roman" w:hAnsi="Times New Roman" w:cs="Times New Roman"/>
          <w:sz w:val="21"/>
          <w:szCs w:val="21"/>
        </w:rPr>
        <w:t>理化指标应符合表1的规定。</w:t>
      </w:r>
    </w:p>
    <w:p>
      <w:pPr>
        <w:pStyle w:val="112"/>
        <w:spacing w:before="120" w:after="120"/>
        <w:rPr>
          <w:rFonts w:hint="default" w:ascii="Times New Roman" w:hAnsi="Times New Roman" w:cs="Times New Roman"/>
        </w:rPr>
      </w:pPr>
      <w:r>
        <w:rPr>
          <w:rFonts w:hint="default" w:ascii="Times New Roman" w:hAnsi="Times New Roman" w:cs="Times New Roman"/>
        </w:rPr>
        <w:t>理化指标</w:t>
      </w:r>
    </w:p>
    <w:tbl>
      <w:tblPr>
        <w:tblStyle w:val="26"/>
        <w:tblW w:w="81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042"/>
        <w:gridCol w:w="40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5" w:hRule="atLeast"/>
          <w:jc w:val="center"/>
        </w:trPr>
        <w:tc>
          <w:tcPr>
            <w:tcW w:w="4042" w:type="dxa"/>
            <w:tcBorders>
              <w:top w:val="single" w:color="auto" w:sz="8" w:space="0"/>
              <w:bottom w:val="single" w:color="auto" w:sz="8" w:space="0"/>
            </w:tcBorders>
            <w:shd w:val="clear" w:color="auto" w:fill="FFFFFF"/>
            <w:vAlign w:val="center"/>
          </w:tcPr>
          <w:p>
            <w:pPr>
              <w:pStyle w:val="233"/>
              <w:spacing w:after="0"/>
              <w:ind w:firstLine="0"/>
              <w:jc w:val="center"/>
              <w:rPr>
                <w:rFonts w:hint="default" w:ascii="Times New Roman" w:hAnsi="Times New Roman" w:cs="Times New Roman"/>
                <w:sz w:val="18"/>
                <w:szCs w:val="18"/>
              </w:rPr>
            </w:pPr>
            <w:r>
              <w:rPr>
                <w:rFonts w:hint="default" w:ascii="Times New Roman" w:hAnsi="Times New Roman" w:cs="Times New Roman"/>
                <w:sz w:val="18"/>
                <w:szCs w:val="18"/>
              </w:rPr>
              <w:t>项目</w:t>
            </w:r>
          </w:p>
        </w:tc>
        <w:tc>
          <w:tcPr>
            <w:tcW w:w="4097" w:type="dxa"/>
            <w:tcBorders>
              <w:top w:val="single" w:color="auto" w:sz="8" w:space="0"/>
              <w:bottom w:val="single" w:color="auto" w:sz="8" w:space="0"/>
            </w:tcBorders>
            <w:shd w:val="clear" w:color="auto" w:fill="FFFFFF"/>
            <w:vAlign w:val="center"/>
          </w:tcPr>
          <w:p>
            <w:pPr>
              <w:pStyle w:val="233"/>
              <w:spacing w:after="0"/>
              <w:ind w:firstLine="0"/>
              <w:jc w:val="center"/>
              <w:rPr>
                <w:rFonts w:hint="default" w:ascii="Times New Roman" w:hAnsi="Times New Roman" w:cs="Times New Roman"/>
                <w:sz w:val="18"/>
                <w:szCs w:val="18"/>
              </w:rPr>
            </w:pPr>
            <w:r>
              <w:rPr>
                <w:rFonts w:hint="default" w:ascii="Times New Roman" w:hAnsi="Times New Roman" w:cs="Times New Roman"/>
                <w:sz w:val="18"/>
                <w:szCs w:val="18"/>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4042" w:type="dxa"/>
            <w:tcBorders>
              <w:top w:val="single" w:color="auto" w:sz="8" w:space="0"/>
            </w:tcBorders>
            <w:shd w:val="clear" w:color="auto" w:fill="FFFFFF"/>
            <w:vAlign w:val="center"/>
          </w:tcPr>
          <w:p>
            <w:pPr>
              <w:pStyle w:val="233"/>
              <w:spacing w:after="0"/>
              <w:ind w:firstLine="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水分/%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w:t>
            </w:r>
          </w:p>
        </w:tc>
        <w:tc>
          <w:tcPr>
            <w:tcW w:w="4097" w:type="dxa"/>
            <w:tcBorders>
              <w:top w:val="single" w:color="auto" w:sz="8" w:space="0"/>
            </w:tcBorders>
            <w:shd w:val="clear" w:color="auto" w:fill="FFFFFF"/>
            <w:vAlign w:val="center"/>
          </w:tcPr>
          <w:p>
            <w:pPr>
              <w:pStyle w:val="233"/>
              <w:spacing w:after="0"/>
              <w:ind w:firstLine="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7</w:t>
            </w:r>
            <w:r>
              <w:rPr>
                <w:rFonts w:hint="default" w:ascii="Times New Roman" w:hAnsi="Times New Roman" w:cs="Times New Roman"/>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4042" w:type="dxa"/>
            <w:shd w:val="clear" w:color="auto" w:fill="FFFFFF"/>
            <w:vAlign w:val="center"/>
          </w:tcPr>
          <w:p>
            <w:pPr>
              <w:pStyle w:val="233"/>
              <w:spacing w:after="0"/>
              <w:ind w:firstLine="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淀粉/%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p>
        </w:tc>
        <w:tc>
          <w:tcPr>
            <w:tcW w:w="4097" w:type="dxa"/>
            <w:shd w:val="clear" w:color="auto" w:fill="FFFFFF"/>
            <w:vAlign w:val="center"/>
          </w:tcPr>
          <w:p>
            <w:pPr>
              <w:pStyle w:val="233"/>
              <w:spacing w:after="0"/>
              <w:ind w:firstLine="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4042" w:type="dxa"/>
            <w:shd w:val="clear" w:color="auto" w:fill="FFFFFF"/>
            <w:vAlign w:val="center"/>
          </w:tcPr>
          <w:p>
            <w:pPr>
              <w:pStyle w:val="233"/>
              <w:spacing w:after="0"/>
              <w:ind w:firstLine="180" w:firstLineChars="10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还原糖</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p>
        </w:tc>
        <w:tc>
          <w:tcPr>
            <w:tcW w:w="4097" w:type="dxa"/>
            <w:shd w:val="clear" w:color="auto" w:fill="FFFFFF"/>
            <w:vAlign w:val="center"/>
          </w:tcPr>
          <w:p>
            <w:pPr>
              <w:pStyle w:val="233"/>
              <w:spacing w:after="0"/>
              <w:ind w:firstLine="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4042" w:type="dxa"/>
            <w:shd w:val="clear" w:color="auto" w:fill="FFFFFF"/>
            <w:vAlign w:val="center"/>
          </w:tcPr>
          <w:p>
            <w:pPr>
              <w:pStyle w:val="233"/>
              <w:spacing w:after="0"/>
              <w:ind w:firstLine="0"/>
              <w:jc w:val="center"/>
              <w:rPr>
                <w:rFonts w:hint="default" w:ascii="Times New Roman" w:hAnsi="Times New Roman" w:cs="Times New Roman"/>
                <w:sz w:val="18"/>
                <w:szCs w:val="18"/>
              </w:rPr>
            </w:pPr>
            <w:r>
              <w:rPr>
                <w:rFonts w:hint="default" w:ascii="Times New Roman" w:hAnsi="Times New Roman" w:cs="Times New Roman"/>
                <w:color w:val="000000" w:themeColor="text1"/>
                <w:sz w:val="18"/>
                <w:szCs w:val="18"/>
                <w:lang w:val="en-US" w:eastAsia="zh-CN"/>
                <w14:textFill>
                  <w14:solidFill>
                    <w14:schemeClr w14:val="tx1"/>
                  </w14:solidFill>
                </w14:textFill>
              </w:rPr>
              <w:t>蛋白质</w:t>
            </w:r>
            <w:r>
              <w:rPr>
                <w:rFonts w:hint="default" w:ascii="Times New Roman" w:hAnsi="Times New Roman" w:cs="Times New Roman"/>
                <w:color w:val="000000" w:themeColor="text1"/>
                <w:sz w:val="18"/>
                <w:szCs w:val="18"/>
                <w14:textFill>
                  <w14:solidFill>
                    <w14:schemeClr w14:val="tx1"/>
                  </w14:solidFill>
                </w14:textFill>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p>
        </w:tc>
        <w:tc>
          <w:tcPr>
            <w:tcW w:w="4097" w:type="dxa"/>
            <w:shd w:val="clear" w:color="auto" w:fill="FFFFFF"/>
            <w:vAlign w:val="center"/>
          </w:tcPr>
          <w:p>
            <w:pPr>
              <w:pStyle w:val="233"/>
              <w:spacing w:after="0"/>
              <w:ind w:firstLine="0"/>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4042" w:type="dxa"/>
            <w:shd w:val="clear" w:color="auto" w:fill="FFFFFF"/>
            <w:vAlign w:val="center"/>
          </w:tcPr>
          <w:p>
            <w:pPr>
              <w:pStyle w:val="233"/>
              <w:spacing w:after="0"/>
              <w:ind w:firstLine="180" w:firstLineChars="100"/>
              <w:jc w:val="both"/>
              <w:rPr>
                <w:rFonts w:hint="default" w:ascii="Times New Roman" w:hAnsi="Times New Roman" w:cs="Times New Roman"/>
                <w:sz w:val="18"/>
                <w:szCs w:val="18"/>
              </w:rPr>
            </w:pPr>
            <w:r>
              <w:rPr>
                <w:rFonts w:hint="default" w:ascii="Times New Roman" w:hAnsi="Times New Roman" w:cs="Times New Roman"/>
                <w:sz w:val="18"/>
                <w:szCs w:val="18"/>
              </w:rPr>
              <w:t xml:space="preserve">单个块茎重/g                         </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p>
        </w:tc>
        <w:tc>
          <w:tcPr>
            <w:tcW w:w="4097" w:type="dxa"/>
            <w:shd w:val="clear" w:color="auto" w:fill="FFFFFF"/>
            <w:vAlign w:val="center"/>
          </w:tcPr>
          <w:p>
            <w:pPr>
              <w:pStyle w:val="233"/>
              <w:spacing w:after="0"/>
              <w:ind w:firstLine="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20</w:t>
            </w:r>
            <w:r>
              <w:rPr>
                <w:rFonts w:hint="default" w:ascii="Times New Roman" w:hAnsi="Times New Roman" w:cs="Times New Roman"/>
                <w:sz w:val="18"/>
                <w:szCs w:val="18"/>
              </w:rPr>
              <w:t>0</w:t>
            </w:r>
          </w:p>
        </w:tc>
      </w:tr>
    </w:tbl>
    <w:p>
      <w:pPr>
        <w:pStyle w:val="105"/>
        <w:spacing w:before="120" w:after="120"/>
        <w:rPr>
          <w:rFonts w:hint="default" w:ascii="Times New Roman" w:hAnsi="Times New Roman" w:cs="Times New Roman"/>
        </w:rPr>
      </w:pPr>
      <w:r>
        <w:rPr>
          <w:rFonts w:hint="default" w:ascii="Times New Roman" w:hAnsi="Times New Roman" w:cs="Times New Roman"/>
        </w:rPr>
        <w:t>安全卫生</w:t>
      </w:r>
      <w:r>
        <w:rPr>
          <w:rFonts w:hint="eastAsia" w:ascii="Times New Roman" w:cs="Times New Roman"/>
          <w:lang w:eastAsia="zh-CN"/>
        </w:rPr>
        <w:t>指标</w:t>
      </w:r>
    </w:p>
    <w:p>
      <w:pPr>
        <w:pStyle w:val="230"/>
        <w:spacing w:line="278" w:lineRule="auto"/>
        <w:ind w:left="0" w:firstLine="420"/>
        <w:rPr>
          <w:rFonts w:hint="default" w:ascii="Times New Roman" w:hAnsi="Times New Roman" w:cs="Times New Roman"/>
          <w:sz w:val="21"/>
          <w:szCs w:val="21"/>
        </w:rPr>
      </w:pPr>
      <w:r>
        <w:rPr>
          <w:rFonts w:hint="default" w:ascii="Times New Roman" w:hAnsi="Times New Roman" w:cs="Times New Roman"/>
          <w:sz w:val="21"/>
          <w:szCs w:val="21"/>
        </w:rPr>
        <w:t>污染物限量应符合GB 2762 中相关的规定，农药残留限量应符合GB 2763 中的规定。</w:t>
      </w:r>
    </w:p>
    <w:p>
      <w:pPr>
        <w:pStyle w:val="104"/>
        <w:spacing w:before="240" w:after="240"/>
        <w:rPr>
          <w:rFonts w:hint="default" w:ascii="Times New Roman" w:hAnsi="Times New Roman" w:cs="Times New Roman"/>
        </w:rPr>
      </w:pPr>
      <w:r>
        <w:rPr>
          <w:rFonts w:hint="default" w:ascii="Times New Roman" w:hAnsi="Times New Roman" w:cs="Times New Roman"/>
        </w:rPr>
        <w:t>检验方法</w:t>
      </w:r>
    </w:p>
    <w:p>
      <w:pPr>
        <w:pStyle w:val="105"/>
        <w:spacing w:before="120" w:after="120"/>
        <w:rPr>
          <w:rFonts w:hint="default" w:ascii="Times New Roman" w:hAnsi="Times New Roman" w:cs="Times New Roman"/>
        </w:rPr>
      </w:pPr>
      <w:r>
        <w:rPr>
          <w:rFonts w:hint="default" w:ascii="Times New Roman" w:hAnsi="Times New Roman" w:cs="Times New Roman"/>
        </w:rPr>
        <w:t>感官检验</w:t>
      </w:r>
    </w:p>
    <w:p>
      <w:pPr>
        <w:pStyle w:val="230"/>
        <w:spacing w:line="278" w:lineRule="auto"/>
        <w:ind w:left="0" w:firstLine="420" w:firstLineChars="200"/>
        <w:rPr>
          <w:rFonts w:hint="default" w:ascii="Times New Roman" w:hAnsi="Times New Roman" w:cs="Times New Roman"/>
          <w:sz w:val="21"/>
          <w:szCs w:val="21"/>
        </w:rPr>
      </w:pPr>
      <w:r>
        <w:rPr>
          <w:rFonts w:hint="eastAsia" w:ascii="Times New Roman" w:hAnsi="Times New Roman" w:cs="Times New Roman"/>
          <w:sz w:val="21"/>
          <w:szCs w:val="21"/>
          <w:lang w:eastAsia="zh-CN"/>
        </w:rPr>
        <w:t>使用精度为</w:t>
      </w:r>
      <w:r>
        <w:rPr>
          <w:rFonts w:hint="eastAsia" w:ascii="Times New Roman" w:hAnsi="Times New Roman" w:cs="Times New Roman"/>
          <w:sz w:val="21"/>
          <w:szCs w:val="21"/>
          <w:lang w:val="en-US" w:eastAsia="zh-CN"/>
        </w:rPr>
        <w:t>0.1cm的量尺测量其长度；</w:t>
      </w:r>
      <w:r>
        <w:rPr>
          <w:rFonts w:hint="default" w:ascii="Times New Roman" w:hAnsi="Times New Roman" w:cs="Times New Roman"/>
          <w:sz w:val="21"/>
          <w:szCs w:val="21"/>
        </w:rPr>
        <w:t>采用目测法检验形状、颜色；取折断样品，检验断面肉色及黏液；煮后尝其口感。</w:t>
      </w:r>
    </w:p>
    <w:p>
      <w:pPr>
        <w:pStyle w:val="105"/>
        <w:spacing w:before="120" w:after="120"/>
        <w:rPr>
          <w:rFonts w:hint="default" w:ascii="Times New Roman" w:hAnsi="Times New Roman" w:cs="Times New Roman"/>
        </w:rPr>
      </w:pPr>
      <w:r>
        <w:rPr>
          <w:rFonts w:hint="default" w:ascii="Times New Roman" w:hAnsi="Times New Roman" w:cs="Times New Roman"/>
        </w:rPr>
        <w:t>理化检验</w:t>
      </w:r>
    </w:p>
    <w:p>
      <w:pPr>
        <w:pStyle w:val="65"/>
        <w:spacing w:before="120" w:after="120"/>
        <w:rPr>
          <w:rFonts w:hint="default" w:ascii="Times New Roman" w:hAnsi="Times New Roman" w:cs="Times New Roman"/>
        </w:rPr>
      </w:pPr>
      <w:r>
        <w:rPr>
          <w:rFonts w:hint="default" w:ascii="Times New Roman" w:hAnsi="Times New Roman" w:cs="Times New Roman"/>
        </w:rPr>
        <w:t>水分</w:t>
      </w:r>
    </w:p>
    <w:p>
      <w:pPr>
        <w:pStyle w:val="230"/>
        <w:spacing w:line="278" w:lineRule="auto"/>
        <w:ind w:left="825" w:leftChars="259" w:hanging="281" w:hangingChars="134"/>
        <w:rPr>
          <w:rFonts w:hint="default" w:ascii="Times New Roman" w:hAnsi="Times New Roman" w:cs="Times New Roman"/>
          <w:sz w:val="21"/>
          <w:szCs w:val="21"/>
        </w:rPr>
      </w:pPr>
      <w:r>
        <w:rPr>
          <w:rFonts w:hint="default" w:ascii="Times New Roman" w:hAnsi="Times New Roman" w:cs="Times New Roman"/>
          <w:sz w:val="21"/>
          <w:szCs w:val="21"/>
        </w:rPr>
        <w:t>按GB 5009.3中规定的方法执行。</w:t>
      </w:r>
    </w:p>
    <w:p>
      <w:pPr>
        <w:pStyle w:val="65"/>
        <w:spacing w:before="120" w:after="120"/>
        <w:rPr>
          <w:rFonts w:hint="default" w:ascii="Times New Roman" w:hAnsi="Times New Roman" w:cs="Times New Roman"/>
        </w:rPr>
      </w:pPr>
      <w:r>
        <w:rPr>
          <w:rFonts w:hint="default" w:ascii="Times New Roman" w:hAnsi="Times New Roman" w:cs="Times New Roman"/>
        </w:rPr>
        <w:t>淀粉</w:t>
      </w:r>
    </w:p>
    <w:p>
      <w:pPr>
        <w:pStyle w:val="230"/>
        <w:spacing w:line="278" w:lineRule="auto"/>
        <w:ind w:left="825" w:leftChars="259" w:hanging="281" w:hangingChars="134"/>
        <w:rPr>
          <w:rFonts w:hint="default" w:ascii="Times New Roman" w:hAnsi="Times New Roman" w:cs="Times New Roman"/>
          <w:sz w:val="21"/>
          <w:szCs w:val="21"/>
        </w:rPr>
      </w:pPr>
      <w:r>
        <w:rPr>
          <w:rFonts w:hint="default" w:ascii="Times New Roman" w:hAnsi="Times New Roman" w:cs="Times New Roman"/>
          <w:sz w:val="21"/>
          <w:szCs w:val="21"/>
        </w:rPr>
        <w:t>按GB 5009.9中规定的方法执行。</w:t>
      </w:r>
    </w:p>
    <w:p>
      <w:pPr>
        <w:pStyle w:val="65"/>
        <w:spacing w:before="120" w:after="120"/>
        <w:rPr>
          <w:rFonts w:hint="default" w:ascii="Times New Roman" w:hAnsi="Times New Roman" w:cs="Times New Roman"/>
        </w:rPr>
      </w:pPr>
      <w:r>
        <w:rPr>
          <w:rFonts w:hint="default" w:ascii="Times New Roman" w:hAnsi="Times New Roman" w:cs="Times New Roman"/>
        </w:rPr>
        <w:t>还原糖</w:t>
      </w:r>
    </w:p>
    <w:p>
      <w:pPr>
        <w:pStyle w:val="230"/>
        <w:spacing w:line="278" w:lineRule="auto"/>
        <w:ind w:left="825" w:leftChars="259" w:hanging="281" w:hangingChars="134"/>
        <w:rPr>
          <w:rFonts w:hint="default" w:ascii="Times New Roman" w:hAnsi="Times New Roman" w:cs="Times New Roman"/>
          <w:sz w:val="21"/>
          <w:szCs w:val="21"/>
        </w:rPr>
      </w:pPr>
      <w:r>
        <w:rPr>
          <w:rFonts w:hint="default" w:ascii="Times New Roman" w:hAnsi="Times New Roman" w:cs="Times New Roman"/>
          <w:sz w:val="21"/>
          <w:szCs w:val="21"/>
        </w:rPr>
        <w:t>按GB 5009.7中规定的方法执行。</w:t>
      </w:r>
    </w:p>
    <w:p>
      <w:pPr>
        <w:pStyle w:val="65"/>
        <w:spacing w:before="120" w:after="120"/>
        <w:rPr>
          <w:rFonts w:hint="default" w:ascii="Times New Roman" w:hAnsi="Times New Roman" w:cs="Times New Roman"/>
        </w:rPr>
      </w:pPr>
      <w:r>
        <w:rPr>
          <w:rFonts w:hint="default" w:ascii="Times New Roman" w:hAnsi="Times New Roman" w:cs="Times New Roman"/>
        </w:rPr>
        <w:t>蛋白</w:t>
      </w:r>
      <w:r>
        <w:rPr>
          <w:rFonts w:hint="eastAsia" w:ascii="Times New Roman" w:cs="Times New Roman"/>
          <w:lang w:eastAsia="zh-CN"/>
        </w:rPr>
        <w:t>质</w:t>
      </w:r>
    </w:p>
    <w:p>
      <w:pPr>
        <w:pStyle w:val="230"/>
        <w:spacing w:line="278" w:lineRule="auto"/>
        <w:ind w:left="825" w:leftChars="259" w:hanging="281" w:hangingChars="134"/>
        <w:rPr>
          <w:rFonts w:hint="default" w:ascii="Times New Roman" w:hAnsi="Times New Roman" w:cs="Times New Roman"/>
          <w:sz w:val="21"/>
          <w:szCs w:val="21"/>
        </w:rPr>
      </w:pPr>
      <w:r>
        <w:rPr>
          <w:rFonts w:hint="default" w:ascii="Times New Roman" w:hAnsi="Times New Roman" w:cs="Times New Roman"/>
          <w:sz w:val="21"/>
          <w:szCs w:val="21"/>
        </w:rPr>
        <w:t>按GB 5009.5中规定的方法执行。</w:t>
      </w:r>
    </w:p>
    <w:p>
      <w:pPr>
        <w:pStyle w:val="65"/>
        <w:spacing w:before="120" w:after="120"/>
        <w:rPr>
          <w:rFonts w:hint="default" w:ascii="Times New Roman" w:hAnsi="Times New Roman" w:cs="Times New Roman"/>
        </w:rPr>
      </w:pPr>
      <w:r>
        <w:rPr>
          <w:rFonts w:hint="default" w:ascii="Times New Roman" w:hAnsi="Times New Roman" w:cs="Times New Roman"/>
        </w:rPr>
        <w:t>单个块净重</w:t>
      </w:r>
    </w:p>
    <w:p>
      <w:pPr>
        <w:pStyle w:val="230"/>
        <w:spacing w:line="278" w:lineRule="auto"/>
        <w:ind w:left="825" w:leftChars="259" w:hanging="281" w:hangingChars="134"/>
        <w:rPr>
          <w:rFonts w:hint="default" w:ascii="Times New Roman" w:hAnsi="Times New Roman" w:cs="Times New Roman"/>
          <w:sz w:val="21"/>
          <w:szCs w:val="21"/>
        </w:rPr>
      </w:pPr>
      <w:r>
        <w:rPr>
          <w:rFonts w:hint="default" w:ascii="Times New Roman" w:hAnsi="Times New Roman" w:cs="Times New Roman"/>
          <w:sz w:val="21"/>
          <w:szCs w:val="21"/>
        </w:rPr>
        <w:t>使用精度为0.1g的天平进行称量。</w:t>
      </w:r>
    </w:p>
    <w:p>
      <w:pPr>
        <w:pStyle w:val="104"/>
        <w:spacing w:before="240" w:after="240"/>
        <w:rPr>
          <w:rFonts w:hint="default" w:ascii="Times New Roman" w:hAnsi="Times New Roman" w:cs="Times New Roman"/>
        </w:rPr>
      </w:pPr>
      <w:r>
        <w:rPr>
          <w:rFonts w:hint="default" w:ascii="Times New Roman" w:hAnsi="Times New Roman" w:cs="Times New Roman"/>
        </w:rPr>
        <w:t>检验规则</w:t>
      </w:r>
    </w:p>
    <w:p>
      <w:pPr>
        <w:pStyle w:val="105"/>
        <w:spacing w:before="120" w:after="120"/>
        <w:rPr>
          <w:rFonts w:hint="default" w:ascii="Times New Roman" w:hAnsi="Times New Roman" w:cs="Times New Roman"/>
        </w:rPr>
      </w:pPr>
      <w:r>
        <w:rPr>
          <w:rFonts w:hint="default" w:ascii="Times New Roman" w:hAnsi="Times New Roman" w:cs="Times New Roman"/>
        </w:rPr>
        <w:t>组批</w:t>
      </w:r>
    </w:p>
    <w:p>
      <w:pPr>
        <w:pStyle w:val="230"/>
        <w:spacing w:line="278" w:lineRule="auto"/>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在相同或相近自然环境区域内，同一时间栽培、采收、加工的</w:t>
      </w:r>
      <w:r>
        <w:rPr>
          <w:rFonts w:hint="default" w:ascii="Times New Roman" w:hAnsi="Times New Roman" w:cs="Times New Roman"/>
          <w:sz w:val="21"/>
          <w:szCs w:val="21"/>
          <w:lang w:val="en-US" w:eastAsia="zh-CN"/>
        </w:rPr>
        <w:t>白</w:t>
      </w:r>
      <w:r>
        <w:rPr>
          <w:rFonts w:hint="default" w:ascii="Times New Roman" w:hAnsi="Times New Roman" w:cs="Times New Roman"/>
          <w:sz w:val="21"/>
          <w:szCs w:val="21"/>
        </w:rPr>
        <w:t>山药产品为一组批。</w:t>
      </w:r>
    </w:p>
    <w:p>
      <w:pPr>
        <w:pStyle w:val="105"/>
        <w:spacing w:before="120" w:after="120"/>
        <w:rPr>
          <w:rFonts w:hint="default" w:ascii="Times New Roman" w:hAnsi="Times New Roman" w:cs="Times New Roman"/>
        </w:rPr>
      </w:pPr>
      <w:r>
        <w:rPr>
          <w:rFonts w:hint="default" w:ascii="Times New Roman" w:hAnsi="Times New Roman" w:cs="Times New Roman"/>
        </w:rPr>
        <w:t>抽样</w:t>
      </w:r>
    </w:p>
    <w:p>
      <w:pPr>
        <w:pStyle w:val="230"/>
        <w:spacing w:line="278" w:lineRule="auto"/>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在储藏库房里存放的同一批次产品中随机抽取30个或不少于3kg样品，平均分成3份，1份用于检验, 1份用于备查，1份用于仲裁。</w:t>
      </w:r>
    </w:p>
    <w:p>
      <w:pPr>
        <w:pStyle w:val="105"/>
        <w:spacing w:before="120" w:after="120"/>
        <w:rPr>
          <w:rFonts w:hint="default" w:ascii="Times New Roman" w:hAnsi="Times New Roman" w:cs="Times New Roman"/>
        </w:rPr>
      </w:pPr>
      <w:r>
        <w:rPr>
          <w:rFonts w:hint="default" w:ascii="Times New Roman" w:hAnsi="Times New Roman" w:cs="Times New Roman"/>
        </w:rPr>
        <w:t>交收检验</w:t>
      </w:r>
    </w:p>
    <w:p>
      <w:pPr>
        <w:pStyle w:val="230"/>
        <w:spacing w:line="278" w:lineRule="auto"/>
        <w:ind w:left="10" w:leftChars="5" w:firstLine="428" w:firstLineChars="204"/>
        <w:rPr>
          <w:rFonts w:hint="default" w:ascii="Times New Roman" w:hAnsi="Times New Roman" w:cs="Times New Roman"/>
          <w:sz w:val="21"/>
          <w:szCs w:val="21"/>
        </w:rPr>
      </w:pPr>
      <w:r>
        <w:rPr>
          <w:rFonts w:hint="default" w:ascii="Times New Roman" w:hAnsi="Times New Roman" w:cs="Times New Roman"/>
          <w:sz w:val="21"/>
          <w:szCs w:val="21"/>
        </w:rPr>
        <w:t>产品交收时应经企业质检部门逐批检验，并签发质量合格证。交收检验项目包括感官检验和理化检验。</w:t>
      </w:r>
    </w:p>
    <w:p>
      <w:pPr>
        <w:pStyle w:val="105"/>
        <w:spacing w:before="120" w:after="120"/>
        <w:rPr>
          <w:rFonts w:hint="default" w:ascii="Times New Roman" w:hAnsi="Times New Roman" w:cs="Times New Roman"/>
        </w:rPr>
      </w:pPr>
      <w:r>
        <w:rPr>
          <w:rFonts w:hint="default" w:ascii="Times New Roman" w:hAnsi="Times New Roman" w:cs="Times New Roman"/>
        </w:rPr>
        <w:t>型式检验</w:t>
      </w:r>
    </w:p>
    <w:p>
      <w:pPr>
        <w:pStyle w:val="230"/>
        <w:spacing w:line="278" w:lineRule="auto"/>
        <w:ind w:left="10" w:leftChars="5" w:firstLine="428" w:firstLineChars="204"/>
        <w:rPr>
          <w:rFonts w:hint="default" w:ascii="Times New Roman" w:hAnsi="Times New Roman" w:cs="Times New Roman"/>
          <w:sz w:val="21"/>
          <w:szCs w:val="21"/>
        </w:rPr>
      </w:pPr>
      <w:r>
        <w:rPr>
          <w:rFonts w:hint="default" w:ascii="Times New Roman" w:hAnsi="Times New Roman" w:cs="Times New Roman"/>
          <w:sz w:val="21"/>
          <w:szCs w:val="21"/>
        </w:rPr>
        <w:t>型式检验项目为本文件第6.3~6.5条规定全部检验项目。型式检验</w:t>
      </w:r>
      <w:r>
        <w:rPr>
          <w:rFonts w:hint="default" w:ascii="Times New Roman" w:hAnsi="Times New Roman" w:cs="Times New Roman"/>
          <w:sz w:val="20"/>
          <w:szCs w:val="20"/>
        </w:rPr>
        <w:t>每年</w:t>
      </w:r>
      <w:r>
        <w:rPr>
          <w:rFonts w:hint="default" w:ascii="Times New Roman" w:hAnsi="Times New Roman" w:cs="Times New Roman"/>
          <w:sz w:val="21"/>
          <w:szCs w:val="21"/>
        </w:rPr>
        <w:t>第一批采收时进行一次，有在下列情况之一，应进行型式检验：</w:t>
      </w:r>
    </w:p>
    <w:p>
      <w:pPr>
        <w:pStyle w:val="13"/>
        <w:numPr>
          <w:ilvl w:val="0"/>
          <w:numId w:val="32"/>
        </w:numPr>
        <w:autoSpaceDE w:val="0"/>
        <w:autoSpaceDN w:val="0"/>
        <w:adjustRightInd/>
        <w:spacing w:after="0" w:line="278" w:lineRule="auto"/>
        <w:ind w:firstLine="15"/>
        <w:jc w:val="left"/>
        <w:rPr>
          <w:rFonts w:hint="default" w:ascii="Times New Roman" w:hAnsi="Times New Roman" w:cs="Times New Roman"/>
        </w:rPr>
      </w:pPr>
      <w:r>
        <w:rPr>
          <w:rFonts w:hint="default" w:ascii="Times New Roman" w:hAnsi="Times New Roman" w:cs="Times New Roman"/>
        </w:rPr>
        <w:t>生长环境、栽培和加工技术有重大改变，可能影响产品质量时；</w:t>
      </w:r>
    </w:p>
    <w:p>
      <w:pPr>
        <w:pStyle w:val="13"/>
        <w:numPr>
          <w:ilvl w:val="0"/>
          <w:numId w:val="32"/>
        </w:numPr>
        <w:autoSpaceDE w:val="0"/>
        <w:autoSpaceDN w:val="0"/>
        <w:adjustRightInd/>
        <w:spacing w:after="0" w:line="278" w:lineRule="auto"/>
        <w:ind w:firstLine="15"/>
        <w:jc w:val="left"/>
        <w:rPr>
          <w:rFonts w:hint="default" w:ascii="Times New Roman" w:hAnsi="Times New Roman" w:cs="Times New Roman"/>
        </w:rPr>
      </w:pPr>
      <w:r>
        <w:rPr>
          <w:rFonts w:hint="default" w:ascii="Times New Roman" w:hAnsi="Times New Roman" w:cs="Times New Roman"/>
        </w:rPr>
        <w:t>停产3个月以上恢复生产时；</w:t>
      </w:r>
    </w:p>
    <w:p>
      <w:pPr>
        <w:pStyle w:val="13"/>
        <w:numPr>
          <w:ilvl w:val="0"/>
          <w:numId w:val="32"/>
        </w:numPr>
        <w:autoSpaceDE w:val="0"/>
        <w:autoSpaceDN w:val="0"/>
        <w:adjustRightInd/>
        <w:spacing w:after="0" w:line="278" w:lineRule="auto"/>
        <w:ind w:firstLine="15"/>
        <w:jc w:val="left"/>
        <w:rPr>
          <w:rFonts w:hint="default" w:ascii="Times New Roman" w:hAnsi="Times New Roman" w:cs="Times New Roman"/>
        </w:rPr>
      </w:pPr>
      <w:r>
        <w:rPr>
          <w:rFonts w:hint="default" w:ascii="Times New Roman" w:hAnsi="Times New Roman" w:cs="Times New Roman"/>
        </w:rPr>
        <w:t>交收检验结果与上次型式检验的结果有较大差异时；</w:t>
      </w:r>
    </w:p>
    <w:p>
      <w:pPr>
        <w:pStyle w:val="13"/>
        <w:numPr>
          <w:ilvl w:val="0"/>
          <w:numId w:val="32"/>
        </w:numPr>
        <w:autoSpaceDE w:val="0"/>
        <w:autoSpaceDN w:val="0"/>
        <w:adjustRightInd/>
        <w:spacing w:after="0" w:line="278" w:lineRule="auto"/>
        <w:ind w:firstLine="15"/>
        <w:jc w:val="left"/>
        <w:rPr>
          <w:rFonts w:hint="default" w:ascii="Times New Roman" w:hAnsi="Times New Roman" w:cs="Times New Roman"/>
        </w:rPr>
      </w:pPr>
      <w:r>
        <w:rPr>
          <w:rFonts w:ascii="Times New Roman" w:hAnsi="Times New Roman" w:cs="Times New Roman"/>
          <w:color w:val="auto"/>
          <w:spacing w:val="-5"/>
          <w:sz w:val="21"/>
          <w:highlight w:val="none"/>
        </w:rPr>
        <w:t>国家</w:t>
      </w:r>
      <w:r>
        <w:rPr>
          <w:rFonts w:hint="eastAsia" w:ascii="Times New Roman" w:hAnsi="Times New Roman" w:cs="Times New Roman"/>
          <w:color w:val="auto"/>
          <w:spacing w:val="-5"/>
          <w:sz w:val="21"/>
          <w:highlight w:val="none"/>
          <w:lang w:val="en-US" w:eastAsia="zh-CN"/>
        </w:rPr>
        <w:t>市场</w:t>
      </w:r>
      <w:r>
        <w:rPr>
          <w:rFonts w:ascii="Times New Roman" w:hAnsi="Times New Roman" w:cs="Times New Roman"/>
          <w:color w:val="auto"/>
          <w:spacing w:val="-5"/>
          <w:sz w:val="21"/>
          <w:highlight w:val="none"/>
        </w:rPr>
        <w:t>监</w:t>
      </w:r>
      <w:r>
        <w:rPr>
          <w:rFonts w:hint="eastAsia" w:ascii="Times New Roman" w:hAnsi="Times New Roman" w:cs="Times New Roman"/>
          <w:color w:val="auto"/>
          <w:spacing w:val="-5"/>
          <w:sz w:val="21"/>
          <w:highlight w:val="none"/>
          <w:lang w:val="en-US" w:eastAsia="zh-CN"/>
        </w:rPr>
        <w:t>管</w:t>
      </w:r>
      <w:r>
        <w:rPr>
          <w:rFonts w:ascii="Times New Roman" w:hAnsi="Times New Roman" w:cs="Times New Roman"/>
          <w:color w:val="auto"/>
          <w:spacing w:val="-5"/>
          <w:sz w:val="21"/>
          <w:highlight w:val="none"/>
        </w:rPr>
        <w:t>机构或主管部门提出检验要求时</w:t>
      </w:r>
      <w:r>
        <w:rPr>
          <w:rFonts w:hint="default" w:ascii="Times New Roman" w:hAnsi="Times New Roman" w:cs="Times New Roman"/>
        </w:rPr>
        <w:t>。</w:t>
      </w:r>
    </w:p>
    <w:p>
      <w:pPr>
        <w:pStyle w:val="105"/>
        <w:spacing w:before="120" w:after="120"/>
        <w:rPr>
          <w:rFonts w:hint="default" w:ascii="Times New Roman" w:hAnsi="Times New Roman" w:cs="Times New Roman"/>
        </w:rPr>
      </w:pPr>
      <w:r>
        <w:rPr>
          <w:rFonts w:hint="default" w:ascii="Times New Roman" w:hAnsi="Times New Roman" w:cs="Times New Roman"/>
        </w:rPr>
        <w:t>判定规则</w:t>
      </w:r>
    </w:p>
    <w:p>
      <w:pPr>
        <w:pStyle w:val="230"/>
        <w:spacing w:line="278"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检验项目全部符合本标准，判该批产品合格。检验结果中安全卫生</w:t>
      </w:r>
      <w:r>
        <w:rPr>
          <w:rFonts w:hint="eastAsia" w:ascii="Times New Roman" w:hAnsi="Times New Roman" w:cs="Times New Roman"/>
          <w:sz w:val="21"/>
          <w:szCs w:val="21"/>
          <w:lang w:eastAsia="zh-CN"/>
        </w:rPr>
        <w:t>指标</w:t>
      </w:r>
      <w:r>
        <w:rPr>
          <w:rFonts w:hint="default" w:ascii="Times New Roman" w:hAnsi="Times New Roman" w:cs="Times New Roman"/>
          <w:sz w:val="21"/>
          <w:szCs w:val="21"/>
        </w:rPr>
        <w:t>有不符合项时，即判该批产品不合格</w:t>
      </w:r>
      <w:r>
        <w:rPr>
          <w:rFonts w:hint="eastAsia" w:ascii="Times New Roman" w:hAnsi="Times New Roman" w:cs="Times New Roman"/>
          <w:sz w:val="21"/>
          <w:szCs w:val="21"/>
          <w:lang w:eastAsia="zh-CN"/>
        </w:rPr>
        <w:t>，不得复检</w:t>
      </w:r>
      <w:r>
        <w:rPr>
          <w:rFonts w:hint="default" w:ascii="Times New Roman" w:hAnsi="Times New Roman" w:cs="Times New Roman"/>
          <w:sz w:val="21"/>
          <w:szCs w:val="21"/>
        </w:rPr>
        <w:t>。理化指标和感官检验有不合格项的，可加倍取样复检，复检仍不合格，即判该批产品不合格。</w:t>
      </w:r>
    </w:p>
    <w:p>
      <w:pPr>
        <w:pStyle w:val="104"/>
        <w:spacing w:before="240" w:after="240"/>
        <w:rPr>
          <w:rFonts w:hint="default" w:ascii="Times New Roman" w:hAnsi="Times New Roman" w:cs="Times New Roman"/>
        </w:rPr>
      </w:pPr>
      <w:r>
        <w:rPr>
          <w:rFonts w:hint="default" w:ascii="Times New Roman" w:hAnsi="Times New Roman" w:cs="Times New Roman"/>
        </w:rPr>
        <w:t>标识、包装、运输及贮藏</w:t>
      </w:r>
    </w:p>
    <w:p>
      <w:pPr>
        <w:pStyle w:val="105"/>
        <w:spacing w:before="120" w:after="120"/>
        <w:rPr>
          <w:rFonts w:hint="default" w:ascii="Times New Roman" w:hAnsi="Times New Roman" w:cs="Times New Roman"/>
        </w:rPr>
      </w:pPr>
      <w:r>
        <w:rPr>
          <w:rFonts w:hint="default" w:ascii="Times New Roman" w:hAnsi="Times New Roman" w:cs="Times New Roman"/>
        </w:rPr>
        <w:t>标签</w:t>
      </w:r>
    </w:p>
    <w:p>
      <w:pPr>
        <w:pStyle w:val="230"/>
        <w:spacing w:line="278" w:lineRule="auto"/>
        <w:ind w:left="825" w:leftChars="259" w:hanging="281" w:hangingChars="134"/>
        <w:rPr>
          <w:rFonts w:hint="default" w:ascii="Times New Roman" w:hAnsi="Times New Roman" w:cs="Times New Roman"/>
          <w:sz w:val="21"/>
          <w:szCs w:val="21"/>
        </w:rPr>
      </w:pPr>
      <w:r>
        <w:rPr>
          <w:rFonts w:hint="default" w:ascii="Times New Roman" w:hAnsi="Times New Roman" w:cs="Times New Roman"/>
          <w:sz w:val="21"/>
          <w:szCs w:val="21"/>
        </w:rPr>
        <w:t>应符合GB 7718中的规定。</w:t>
      </w:r>
    </w:p>
    <w:p>
      <w:pPr>
        <w:pStyle w:val="105"/>
        <w:spacing w:before="120" w:after="120"/>
        <w:rPr>
          <w:rFonts w:hint="default" w:ascii="Times New Roman" w:hAnsi="Times New Roman" w:cs="Times New Roman"/>
        </w:rPr>
      </w:pPr>
      <w:r>
        <w:rPr>
          <w:rFonts w:hint="default" w:ascii="Times New Roman" w:hAnsi="Times New Roman" w:cs="Times New Roman"/>
        </w:rPr>
        <w:t>标志</w:t>
      </w:r>
    </w:p>
    <w:p>
      <w:pPr>
        <w:pStyle w:val="165"/>
        <w:rPr>
          <w:rFonts w:hint="default" w:ascii="Times New Roman" w:hAnsi="Times New Roman" w:cs="Times New Roman"/>
        </w:rPr>
      </w:pPr>
      <w:r>
        <w:rPr>
          <w:rFonts w:hint="default" w:ascii="Times New Roman" w:hAnsi="Times New Roman" w:cs="Times New Roman"/>
        </w:rPr>
        <w:t>包装储运图示标志应符合GB/T 191的规定。</w:t>
      </w:r>
    </w:p>
    <w:p>
      <w:pPr>
        <w:pStyle w:val="165"/>
        <w:rPr>
          <w:rFonts w:hint="default" w:ascii="Times New Roman" w:hAnsi="Times New Roman" w:cs="Times New Roman"/>
        </w:rPr>
      </w:pPr>
      <w:r>
        <w:rPr>
          <w:rFonts w:hint="default" w:ascii="Times New Roman" w:hAnsi="Times New Roman" w:cs="Times New Roman"/>
        </w:rPr>
        <w:t>地理标志产品包装上使用的标志应符合国家知识产权局公告第354号《</w:t>
      </w:r>
      <w:r>
        <w:rPr>
          <w:rStyle w:val="232"/>
          <w:rFonts w:hint="default" w:ascii="Times New Roman" w:hAnsi="Times New Roman" w:cs="Times New Roman"/>
          <w:bCs/>
          <w:i w:val="0"/>
          <w:kern w:val="36"/>
          <w:szCs w:val="21"/>
          <w:shd w:val="clear" w:color="auto" w:fill="FFFFFF"/>
        </w:rPr>
        <w:t>地理标志专用标志使用管理办法</w:t>
      </w:r>
      <w:r>
        <w:rPr>
          <w:rFonts w:hint="default" w:ascii="Times New Roman" w:hAnsi="Times New Roman" w:cs="Times New Roman"/>
          <w:kern w:val="36"/>
          <w:shd w:val="clear" w:color="auto" w:fill="FFFFFF"/>
        </w:rPr>
        <w:t>(试行)</w:t>
      </w:r>
      <w:r>
        <w:rPr>
          <w:rFonts w:hint="default" w:ascii="Times New Roman" w:hAnsi="Times New Roman" w:cs="Times New Roman"/>
        </w:rPr>
        <w:t>》 的要求。</w:t>
      </w:r>
    </w:p>
    <w:p>
      <w:pPr>
        <w:pStyle w:val="105"/>
        <w:spacing w:before="120" w:after="120"/>
        <w:rPr>
          <w:rFonts w:hint="default" w:ascii="Times New Roman" w:hAnsi="Times New Roman" w:cs="Times New Roman"/>
        </w:rPr>
      </w:pPr>
      <w:r>
        <w:rPr>
          <w:rFonts w:hint="default" w:ascii="Times New Roman" w:hAnsi="Times New Roman" w:cs="Times New Roman"/>
        </w:rPr>
        <w:t>包装</w:t>
      </w:r>
    </w:p>
    <w:p>
      <w:pPr>
        <w:pStyle w:val="230"/>
        <w:spacing w:line="278" w:lineRule="auto"/>
        <w:ind w:left="825" w:leftChars="259" w:hanging="281" w:hangingChars="134"/>
        <w:rPr>
          <w:rFonts w:hint="default" w:ascii="Times New Roman" w:hAnsi="Times New Roman" w:cs="Times New Roman"/>
          <w:sz w:val="21"/>
          <w:szCs w:val="21"/>
        </w:rPr>
      </w:pPr>
      <w:r>
        <w:rPr>
          <w:rFonts w:hint="default" w:ascii="Times New Roman" w:hAnsi="Times New Roman" w:cs="Times New Roman"/>
          <w:sz w:val="21"/>
          <w:szCs w:val="21"/>
        </w:rPr>
        <w:t>使用环保透气的包装容器包装。</w:t>
      </w:r>
    </w:p>
    <w:p>
      <w:pPr>
        <w:pStyle w:val="105"/>
        <w:spacing w:before="120" w:after="120"/>
        <w:rPr>
          <w:rFonts w:hint="default" w:ascii="Times New Roman" w:hAnsi="Times New Roman" w:cs="Times New Roman"/>
        </w:rPr>
      </w:pPr>
      <w:r>
        <w:rPr>
          <w:rFonts w:hint="default" w:ascii="Times New Roman" w:hAnsi="Times New Roman" w:cs="Times New Roman"/>
        </w:rPr>
        <w:t>运输</w:t>
      </w:r>
    </w:p>
    <w:p>
      <w:pPr>
        <w:pStyle w:val="230"/>
        <w:spacing w:line="278" w:lineRule="auto"/>
        <w:ind w:lef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运输工具应清洁卫生。产品不得与有害、有毒、有腐蚀性、易挥发或有异味的物品混装混运。搬运过程中应轻拿轻放、严禁扔摔、撞击、挤压。运输过程中不得曝晒、雨淋、受潮。</w:t>
      </w:r>
    </w:p>
    <w:p>
      <w:pPr>
        <w:pStyle w:val="105"/>
        <w:spacing w:before="120" w:after="120"/>
        <w:rPr>
          <w:rFonts w:hint="default" w:ascii="Times New Roman" w:hAnsi="Times New Roman" w:cs="Times New Roman"/>
        </w:rPr>
      </w:pPr>
      <w:r>
        <w:rPr>
          <w:rFonts w:hint="default" w:ascii="Times New Roman" w:hAnsi="Times New Roman" w:cs="Times New Roman"/>
        </w:rPr>
        <w:t>储藏</w:t>
      </w:r>
    </w:p>
    <w:p>
      <w:pPr>
        <w:pStyle w:val="56"/>
        <w:ind w:firstLine="420"/>
        <w:rPr>
          <w:rFonts w:hint="default" w:ascii="Times New Roman" w:hAnsi="Times New Roman" w:cs="Times New Roman"/>
          <w:sz w:val="22"/>
          <w:szCs w:val="22"/>
        </w:rPr>
      </w:pPr>
      <w:r>
        <w:rPr>
          <w:rFonts w:hint="default" w:ascii="Times New Roman" w:hAnsi="Times New Roman" w:cs="Times New Roman"/>
        </w:rPr>
        <w:t>严防低温冻害，置于通风、干燥处。</w:t>
      </w:r>
    </w:p>
    <w:p>
      <w:pPr>
        <w:pStyle w:val="56"/>
        <w:ind w:firstLine="420"/>
        <w:rPr>
          <w:rFonts w:hint="default" w:ascii="Times New Roman" w:hAnsi="Times New Roman" w:cs="Times New Roman"/>
        </w:rPr>
        <w:sectPr>
          <w:pgSz w:w="11906" w:h="16838"/>
          <w:pgMar w:top="2410" w:right="1134" w:bottom="1134" w:left="1134" w:header="1418" w:footer="1134" w:gutter="284"/>
          <w:pgNumType w:start="1"/>
          <w:cols w:space="425" w:num="1"/>
          <w:formProt w:val="0"/>
          <w:docGrid w:linePitch="312" w:charSpace="0"/>
        </w:sectPr>
      </w:pPr>
    </w:p>
    <w:bookmarkEnd w:id="21"/>
    <w:p>
      <w:pPr>
        <w:pStyle w:val="198"/>
        <w:rPr>
          <w:vanish w:val="0"/>
        </w:rPr>
      </w:pPr>
      <w:bookmarkStart w:id="40" w:name="BookMark5"/>
    </w:p>
    <w:p>
      <w:pPr>
        <w:pStyle w:val="199"/>
        <w:rPr>
          <w:vanish w:val="0"/>
        </w:rPr>
      </w:pPr>
    </w:p>
    <w:p>
      <w:pPr>
        <w:pStyle w:val="76"/>
        <w:spacing w:before="60" w:after="120"/>
      </w:pPr>
      <w:r>
        <w:br w:type="textWrapping"/>
      </w:r>
      <w:r>
        <w:rPr>
          <w:rFonts w:hint="eastAsia"/>
        </w:rPr>
        <w:t>（规范性）</w:t>
      </w:r>
      <w:r>
        <w:br w:type="textWrapping"/>
      </w:r>
      <w:r>
        <w:rPr>
          <w:rFonts w:hint="eastAsia"/>
          <w:lang w:val="en-US" w:eastAsia="zh-CN"/>
        </w:rPr>
        <w:t>安平白</w:t>
      </w:r>
      <w:r>
        <w:rPr>
          <w:rFonts w:hint="eastAsia"/>
        </w:rPr>
        <w:t>山药地理标志产品保护范围</w:t>
      </w:r>
    </w:p>
    <w:p>
      <w:pPr>
        <w:pStyle w:val="56"/>
        <w:ind w:firstLine="420"/>
      </w:pPr>
    </w:p>
    <w:p>
      <w:pPr>
        <w:pStyle w:val="56"/>
        <w:ind w:firstLine="420"/>
        <w:rPr>
          <w:rFonts w:hint="eastAsia" w:ascii="黑体" w:eastAsia="宋体"/>
          <w:lang w:eastAsia="zh-CN"/>
        </w:rPr>
      </w:pPr>
      <w:r>
        <w:rPr>
          <w:rFonts w:hint="eastAsia"/>
          <w:lang w:val="en-US" w:eastAsia="zh-CN"/>
        </w:rPr>
        <w:t>安平白</w:t>
      </w:r>
      <w:r>
        <w:rPr>
          <w:rFonts w:hint="eastAsia"/>
        </w:rPr>
        <w:t>山药地理标志产品保护范围见图A.1。</w:t>
      </w:r>
      <w:bookmarkStart w:id="42" w:name="_GoBack"/>
      <w:bookmarkEnd w:id="42"/>
    </w:p>
    <w:p>
      <w:pPr>
        <w:autoSpaceDE w:val="0"/>
        <w:autoSpaceDN w:val="0"/>
        <w:adjustRightInd/>
        <w:spacing w:line="240" w:lineRule="auto"/>
        <w:jc w:val="both"/>
        <w:rPr>
          <w:rFonts w:ascii="宋体" w:hAnsi="宋体" w:cs="宋体"/>
          <w:kern w:val="0"/>
          <w:sz w:val="22"/>
          <w:szCs w:val="22"/>
        </w:rPr>
      </w:pPr>
    </w:p>
    <w:p>
      <w:pPr>
        <w:autoSpaceDE w:val="0"/>
        <w:autoSpaceDN w:val="0"/>
        <w:adjustRightInd/>
        <w:spacing w:line="240" w:lineRule="auto"/>
        <w:jc w:val="center"/>
        <w:rPr>
          <w:rFonts w:ascii="宋体" w:hAnsi="宋体" w:cs="宋体"/>
          <w:kern w:val="0"/>
          <w:sz w:val="22"/>
          <w:szCs w:val="22"/>
        </w:rPr>
      </w:pPr>
    </w:p>
    <w:p>
      <w:pPr>
        <w:autoSpaceDE w:val="0"/>
        <w:autoSpaceDN w:val="0"/>
        <w:adjustRightInd/>
        <w:spacing w:line="240" w:lineRule="auto"/>
        <w:jc w:val="center"/>
        <w:rPr>
          <w:rFonts w:ascii="宋体" w:hAnsi="宋体" w:cs="宋体"/>
          <w:kern w:val="0"/>
          <w:sz w:val="22"/>
          <w:szCs w:val="22"/>
        </w:rPr>
      </w:pPr>
      <w:r>
        <w:rPr>
          <w:rFonts w:ascii="宋体" w:hAnsi="宋体" w:eastAsia="宋体" w:cs="宋体"/>
          <w:sz w:val="24"/>
          <w:szCs w:val="24"/>
        </w:rPr>
        <w:drawing>
          <wp:inline distT="0" distB="0" distL="114300" distR="114300">
            <wp:extent cx="3749040" cy="3644265"/>
            <wp:effectExtent l="0" t="0" r="3810" b="133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7"/>
                    <a:stretch>
                      <a:fillRect/>
                    </a:stretch>
                  </pic:blipFill>
                  <pic:spPr>
                    <a:xfrm>
                      <a:off x="0" y="0"/>
                      <a:ext cx="3749040" cy="3644265"/>
                    </a:xfrm>
                    <a:prstGeom prst="rect">
                      <a:avLst/>
                    </a:prstGeom>
                    <a:noFill/>
                    <a:ln w="9525">
                      <a:noFill/>
                    </a:ln>
                  </pic:spPr>
                </pic:pic>
              </a:graphicData>
            </a:graphic>
          </wp:inline>
        </w:drawing>
      </w:r>
    </w:p>
    <w:p>
      <w:pPr>
        <w:autoSpaceDE w:val="0"/>
        <w:autoSpaceDN w:val="0"/>
        <w:adjustRightInd/>
        <w:spacing w:line="240" w:lineRule="auto"/>
        <w:jc w:val="center"/>
        <w:rPr>
          <w:rFonts w:ascii="宋体" w:hAnsi="宋体" w:cs="宋体"/>
          <w:kern w:val="0"/>
          <w:sz w:val="22"/>
          <w:szCs w:val="22"/>
        </w:rPr>
      </w:pPr>
    </w:p>
    <w:p>
      <w:pPr>
        <w:autoSpaceDE w:val="0"/>
        <w:autoSpaceDN w:val="0"/>
        <w:adjustRightInd/>
        <w:spacing w:line="240" w:lineRule="auto"/>
        <w:jc w:val="center"/>
        <w:rPr>
          <w:rFonts w:ascii="宋体" w:hAnsi="宋体" w:cs="宋体"/>
          <w:kern w:val="0"/>
          <w:sz w:val="22"/>
          <w:szCs w:val="22"/>
        </w:rPr>
      </w:pPr>
    </w:p>
    <w:p>
      <w:pPr>
        <w:pStyle w:val="179"/>
      </w:pPr>
      <w:r>
        <w:rPr>
          <w:rFonts w:hint="eastAsia"/>
          <w:lang w:val="en-US" w:eastAsia="zh-CN"/>
        </w:rPr>
        <w:t>安平白</w:t>
      </w:r>
      <w:r>
        <w:t>山药地理标志产品保护范围</w:t>
      </w:r>
      <w:r>
        <w:rPr>
          <w:rFonts w:hint="eastAsia"/>
        </w:rPr>
        <w:t>为</w:t>
      </w:r>
      <w:r>
        <w:rPr>
          <w:rFonts w:hint="eastAsia"/>
          <w:lang w:val="en-US" w:eastAsia="zh-CN"/>
        </w:rPr>
        <w:t>安平县沿滹沱河两岸的马店镇、何庄乡和程油子乡三个乡镇</w:t>
      </w:r>
      <w:r>
        <w:t>，地理坐标为东经</w:t>
      </w:r>
      <w:r>
        <w:rPr>
          <w:rFonts w:ascii="Times New Roman"/>
        </w:rPr>
        <w:t>1</w:t>
      </w:r>
      <w:r>
        <w:rPr>
          <w:rFonts w:hint="eastAsia" w:ascii="Times New Roman"/>
        </w:rPr>
        <w:t>15</w:t>
      </w:r>
      <w:r>
        <w:rPr>
          <w:rFonts w:ascii="Times New Roman"/>
        </w:rPr>
        <w:t>°</w:t>
      </w:r>
      <w:r>
        <w:rPr>
          <w:rFonts w:hint="eastAsia" w:ascii="Times New Roman"/>
          <w:lang w:val="en-US" w:eastAsia="zh-CN"/>
        </w:rPr>
        <w:t>38</w:t>
      </w:r>
      <w:r>
        <w:rPr>
          <w:rFonts w:ascii="Times New Roman"/>
        </w:rPr>
        <w:t>′</w:t>
      </w:r>
      <w:r>
        <w:rPr>
          <w:rFonts w:hint="eastAsia" w:ascii="Times New Roman"/>
        </w:rPr>
        <w:t>~</w:t>
      </w:r>
      <w:r>
        <w:rPr>
          <w:rFonts w:ascii="Times New Roman"/>
        </w:rPr>
        <w:t>1</w:t>
      </w:r>
      <w:r>
        <w:rPr>
          <w:rFonts w:hint="eastAsia" w:ascii="Times New Roman"/>
        </w:rPr>
        <w:t>15</w:t>
      </w:r>
      <w:r>
        <w:rPr>
          <w:rFonts w:ascii="Times New Roman"/>
        </w:rPr>
        <w:t>°</w:t>
      </w:r>
      <w:r>
        <w:rPr>
          <w:rFonts w:hint="eastAsia" w:ascii="Times New Roman"/>
          <w:lang w:val="en-US" w:eastAsia="zh-CN"/>
        </w:rPr>
        <w:t>65</w:t>
      </w:r>
      <w:r>
        <w:rPr>
          <w:rFonts w:ascii="Times New Roman"/>
        </w:rPr>
        <w:t>′</w:t>
      </w:r>
      <w:r>
        <w:t>，北纬</w:t>
      </w:r>
      <w:r>
        <w:rPr>
          <w:rFonts w:hint="eastAsia" w:ascii="Times New Roman"/>
          <w:lang w:val="en-US" w:eastAsia="zh-CN"/>
        </w:rPr>
        <w:t>38</w:t>
      </w:r>
      <w:r>
        <w:rPr>
          <w:rFonts w:ascii="Times New Roman"/>
        </w:rPr>
        <w:t>°</w:t>
      </w:r>
      <w:r>
        <w:rPr>
          <w:rFonts w:hint="eastAsia" w:ascii="Times New Roman"/>
          <w:lang w:val="en-US" w:eastAsia="zh-CN"/>
        </w:rPr>
        <w:t>22</w:t>
      </w:r>
      <w:r>
        <w:rPr>
          <w:rFonts w:ascii="Times New Roman"/>
        </w:rPr>
        <w:t>′</w:t>
      </w:r>
      <w:r>
        <w:rPr>
          <w:rFonts w:hint="eastAsia" w:ascii="Times New Roman"/>
        </w:rPr>
        <w:t>~ 3</w:t>
      </w:r>
      <w:r>
        <w:rPr>
          <w:rFonts w:hint="eastAsia" w:ascii="Times New Roman"/>
          <w:lang w:val="en-US" w:eastAsia="zh-CN"/>
        </w:rPr>
        <w:t>8</w:t>
      </w:r>
      <w:r>
        <w:rPr>
          <w:rFonts w:ascii="Times New Roman"/>
        </w:rPr>
        <w:t>°</w:t>
      </w:r>
      <w:r>
        <w:rPr>
          <w:rFonts w:hint="eastAsia" w:ascii="Times New Roman"/>
          <w:lang w:val="en-US" w:eastAsia="zh-CN"/>
        </w:rPr>
        <w:t>31</w:t>
      </w:r>
      <w:r>
        <w:rPr>
          <w:rFonts w:ascii="Times New Roman"/>
        </w:rPr>
        <w:t>′</w:t>
      </w:r>
      <w:r>
        <w:rPr>
          <w:rFonts w:hint="eastAsia"/>
        </w:rPr>
        <w:t>。</w:t>
      </w:r>
    </w:p>
    <w:p>
      <w:pPr>
        <w:pStyle w:val="179"/>
        <w:numPr>
          <w:ilvl w:val="0"/>
          <w:numId w:val="0"/>
        </w:numPr>
        <w:ind w:left="737"/>
        <w:rPr>
          <w:rFonts w:hint="eastAsia"/>
          <w:highlight w:val="yellow"/>
        </w:rPr>
      </w:pPr>
    </w:p>
    <w:p>
      <w:pPr>
        <w:pStyle w:val="83"/>
        <w:spacing w:before="120" w:after="120"/>
      </w:pPr>
      <w:r>
        <w:rPr>
          <w:rFonts w:hint="eastAsia"/>
          <w:lang w:val="en-US" w:eastAsia="zh-CN"/>
        </w:rPr>
        <w:t>安平白</w:t>
      </w:r>
      <w:r>
        <w:rPr>
          <w:rFonts w:hint="eastAsia"/>
        </w:rPr>
        <w:t>山药地理标志产品保护范围</w:t>
      </w:r>
    </w:p>
    <w:p>
      <w:pPr>
        <w:pStyle w:val="56"/>
        <w:ind w:firstLine="420"/>
        <w:sectPr>
          <w:pgSz w:w="11906" w:h="16838"/>
          <w:pgMar w:top="2410" w:right="1134" w:bottom="1134" w:left="1134" w:header="1418" w:footer="1134" w:gutter="284"/>
          <w:cols w:space="425" w:num="1"/>
          <w:formProt w:val="0"/>
          <w:docGrid w:linePitch="312" w:charSpace="0"/>
        </w:sectPr>
      </w:pPr>
    </w:p>
    <w:p>
      <w:pPr>
        <w:pStyle w:val="198"/>
        <w:rPr>
          <w:rFonts w:hint="eastAsia"/>
          <w:vanish w:val="0"/>
        </w:rPr>
      </w:pPr>
    </w:p>
    <w:p>
      <w:pPr>
        <w:pStyle w:val="199"/>
        <w:rPr>
          <w:rFonts w:hint="eastAsia"/>
          <w:vanish w:val="0"/>
        </w:rPr>
      </w:pPr>
    </w:p>
    <w:p>
      <w:pPr>
        <w:pStyle w:val="76"/>
        <w:spacing w:before="60" w:after="120"/>
        <w:rPr>
          <w:rFonts w:hint="eastAsia"/>
        </w:rPr>
      </w:pPr>
      <w:r>
        <w:br w:type="textWrapping"/>
      </w:r>
      <w:r>
        <w:rPr>
          <w:rFonts w:hint="eastAsia"/>
        </w:rPr>
        <w:t>（资料性）</w:t>
      </w:r>
      <w:r>
        <w:br w:type="textWrapping"/>
      </w:r>
      <w:r>
        <w:rPr>
          <w:rFonts w:hint="eastAsia"/>
          <w:lang w:val="en-US" w:eastAsia="zh-CN"/>
        </w:rPr>
        <w:t>安平白</w:t>
      </w:r>
      <w:r>
        <w:rPr>
          <w:rFonts w:hint="eastAsia"/>
        </w:rPr>
        <w:t>山药栽培管理</w:t>
      </w:r>
    </w:p>
    <w:p>
      <w:pPr>
        <w:pStyle w:val="56"/>
        <w:ind w:firstLine="420"/>
        <w:rPr>
          <w:rFonts w:hint="eastAsia"/>
        </w:rPr>
      </w:pPr>
    </w:p>
    <w:p>
      <w:pPr>
        <w:pStyle w:val="78"/>
        <w:spacing w:before="120" w:after="120"/>
        <w:rPr>
          <w:kern w:val="0"/>
          <w:highlight w:val="none"/>
        </w:rPr>
      </w:pPr>
      <w:r>
        <w:rPr>
          <w:rFonts w:hint="eastAsia"/>
          <w:highlight w:val="none"/>
        </w:rPr>
        <w:t>山药选择</w:t>
      </w:r>
    </w:p>
    <w:p>
      <w:pPr>
        <w:pStyle w:val="233"/>
        <w:spacing w:after="0" w:line="288" w:lineRule="auto"/>
        <w:ind w:firstLine="420"/>
        <w:jc w:val="both"/>
        <w:rPr>
          <w:rFonts w:hint="eastAsia"/>
          <w:highlight w:val="none"/>
        </w:rPr>
      </w:pPr>
      <w:r>
        <w:rPr>
          <w:rFonts w:hint="eastAsia"/>
          <w:highlight w:val="none"/>
        </w:rPr>
        <w:t>外观新鲜，色泽均匀，表面无明显凹凸、霉斑、黑斑、腐烂等症状。</w:t>
      </w:r>
    </w:p>
    <w:p>
      <w:pPr>
        <w:pStyle w:val="78"/>
        <w:spacing w:before="120" w:after="120"/>
        <w:rPr>
          <w:rFonts w:hint="eastAsia"/>
          <w:highlight w:val="none"/>
        </w:rPr>
      </w:pPr>
      <w:r>
        <w:rPr>
          <w:rFonts w:hint="eastAsia"/>
          <w:highlight w:val="none"/>
        </w:rPr>
        <w:t>整地作畦</w:t>
      </w:r>
    </w:p>
    <w:p>
      <w:pPr>
        <w:pStyle w:val="233"/>
        <w:spacing w:after="0" w:line="288" w:lineRule="auto"/>
        <w:ind w:firstLine="420"/>
        <w:jc w:val="both"/>
        <w:rPr>
          <w:rFonts w:hint="eastAsia" w:ascii="Times New Roman" w:hAnsi="Times New Roman" w:cs="Times New Roman"/>
          <w:sz w:val="21"/>
          <w:szCs w:val="21"/>
          <w:highlight w:val="none"/>
        </w:rPr>
      </w:pPr>
      <w:r>
        <w:rPr>
          <w:rFonts w:cs="Times New Roman"/>
          <w:sz w:val="21"/>
          <w:szCs w:val="21"/>
          <w:highlight w:val="none"/>
        </w:rPr>
        <w:t>山药栽培的土壤要深翻，翻土深度不低于</w:t>
      </w:r>
      <w:r>
        <w:rPr>
          <w:rFonts w:ascii="Times New Roman" w:hAnsi="Times New Roman" w:cs="Times New Roman"/>
          <w:sz w:val="21"/>
          <w:szCs w:val="21"/>
          <w:highlight w:val="none"/>
        </w:rPr>
        <w:t>30cm</w:t>
      </w:r>
      <w:r>
        <w:rPr>
          <w:rFonts w:cs="Times New Roman"/>
          <w:sz w:val="21"/>
          <w:szCs w:val="21"/>
          <w:highlight w:val="none"/>
        </w:rPr>
        <w:t>，耕作后作</w:t>
      </w:r>
      <w:r>
        <w:rPr>
          <w:rFonts w:ascii="Times New Roman" w:hAnsi="Times New Roman" w:cs="Times New Roman"/>
          <w:sz w:val="21"/>
          <w:szCs w:val="21"/>
          <w:highlight w:val="none"/>
        </w:rPr>
        <w:t>1.2m</w:t>
      </w:r>
      <w:r>
        <w:rPr>
          <w:rFonts w:cs="Times New Roman"/>
          <w:sz w:val="21"/>
          <w:szCs w:val="21"/>
          <w:highlight w:val="none"/>
        </w:rPr>
        <w:t>宽的高畦，沟深</w:t>
      </w:r>
      <w:r>
        <w:rPr>
          <w:rFonts w:ascii="Times New Roman" w:hAnsi="Times New Roman" w:cs="Times New Roman"/>
          <w:sz w:val="21"/>
          <w:szCs w:val="21"/>
          <w:highlight w:val="none"/>
        </w:rPr>
        <w:t>35cm</w:t>
      </w:r>
      <w:r>
        <w:rPr>
          <w:rFonts w:cs="Times New Roman"/>
          <w:sz w:val="21"/>
          <w:szCs w:val="21"/>
          <w:highlight w:val="none"/>
        </w:rPr>
        <w:t>以上。</w:t>
      </w:r>
    </w:p>
    <w:p>
      <w:pPr>
        <w:pStyle w:val="78"/>
        <w:spacing w:before="120" w:after="120"/>
        <w:rPr>
          <w:rFonts w:cs="宋体"/>
          <w:highlight w:val="none"/>
        </w:rPr>
      </w:pPr>
      <w:r>
        <w:rPr>
          <w:rFonts w:hint="eastAsia"/>
          <w:highlight w:val="none"/>
        </w:rPr>
        <w:t>施基肥</w:t>
      </w:r>
    </w:p>
    <w:p>
      <w:pPr>
        <w:pStyle w:val="233"/>
        <w:spacing w:after="0" w:line="288" w:lineRule="auto"/>
        <w:ind w:firstLine="420"/>
        <w:jc w:val="both"/>
        <w:rPr>
          <w:rFonts w:hint="eastAsia" w:ascii="Times New Roman" w:hAnsi="Times New Roman" w:cs="Times New Roman"/>
          <w:sz w:val="21"/>
          <w:szCs w:val="21"/>
          <w:highlight w:val="none"/>
        </w:rPr>
      </w:pPr>
      <w:r>
        <w:rPr>
          <w:rFonts w:hint="eastAsia" w:cs="Times New Roman"/>
          <w:sz w:val="21"/>
          <w:szCs w:val="21"/>
          <w:highlight w:val="none"/>
        </w:rPr>
        <w:t>下种后到出苗前，将栽种沟两侧行间泥土深翻20～30cm，施入基肥。有机肥和无机肥要共同施用，施腐熟厩肥或粪肥2000～4000kg/667m</w:t>
      </w:r>
      <w:r>
        <w:rPr>
          <w:rFonts w:hint="eastAsia" w:cs="Times New Roman"/>
          <w:sz w:val="21"/>
          <w:szCs w:val="21"/>
          <w:highlight w:val="none"/>
          <w:vertAlign w:val="superscript"/>
        </w:rPr>
        <w:t>2</w:t>
      </w:r>
      <w:r>
        <w:rPr>
          <w:rFonts w:hint="eastAsia" w:cs="Times New Roman"/>
          <w:sz w:val="21"/>
          <w:szCs w:val="21"/>
          <w:highlight w:val="none"/>
        </w:rPr>
        <w:t>，外加尿素20～25kg，过磷酸钙15kg，硫酸钾25～35kg，并与翻土充沛夹杂</w:t>
      </w:r>
      <w:r>
        <w:rPr>
          <w:rFonts w:cs="Times New Roman"/>
          <w:sz w:val="21"/>
          <w:szCs w:val="21"/>
          <w:highlight w:val="none"/>
        </w:rPr>
        <w:t>。</w:t>
      </w:r>
    </w:p>
    <w:p>
      <w:pPr>
        <w:pStyle w:val="78"/>
        <w:spacing w:before="120" w:after="120"/>
        <w:rPr>
          <w:rFonts w:cs="宋体"/>
          <w:highlight w:val="none"/>
        </w:rPr>
      </w:pPr>
      <w:r>
        <w:rPr>
          <w:rFonts w:hint="eastAsia"/>
          <w:highlight w:val="none"/>
        </w:rPr>
        <w:t>繁殖</w:t>
      </w:r>
    </w:p>
    <w:p>
      <w:pPr>
        <w:pStyle w:val="233"/>
        <w:spacing w:after="0" w:line="288" w:lineRule="auto"/>
        <w:ind w:firstLine="420"/>
        <w:jc w:val="both"/>
        <w:rPr>
          <w:rFonts w:hint="eastAsia" w:ascii="Times New Roman" w:hAnsi="Times New Roman" w:cs="Times New Roman"/>
          <w:sz w:val="21"/>
          <w:szCs w:val="21"/>
          <w:highlight w:val="none"/>
        </w:rPr>
      </w:pPr>
      <w:r>
        <w:rPr>
          <w:rFonts w:cs="Times New Roman"/>
          <w:sz w:val="21"/>
          <w:szCs w:val="21"/>
          <w:highlight w:val="none"/>
        </w:rPr>
        <w:t>采用块茎切块繁殖。</w:t>
      </w:r>
    </w:p>
    <w:p>
      <w:pPr>
        <w:pStyle w:val="78"/>
        <w:spacing w:before="120" w:after="120"/>
        <w:rPr>
          <w:rFonts w:hAnsi="黑体" w:cs="宋体"/>
          <w:szCs w:val="21"/>
          <w:highlight w:val="none"/>
        </w:rPr>
      </w:pPr>
      <w:r>
        <w:rPr>
          <w:rFonts w:hint="eastAsia"/>
          <w:highlight w:val="none"/>
        </w:rPr>
        <w:t>种薯处理</w:t>
      </w:r>
    </w:p>
    <w:p>
      <w:pPr>
        <w:pStyle w:val="233"/>
        <w:spacing w:after="0" w:line="288" w:lineRule="auto"/>
        <w:ind w:firstLine="420"/>
        <w:jc w:val="both"/>
        <w:rPr>
          <w:rFonts w:hint="eastAsia" w:ascii="Times New Roman" w:hAnsi="Times New Roman" w:cs="Times New Roman"/>
          <w:sz w:val="21"/>
          <w:szCs w:val="21"/>
          <w:highlight w:val="none"/>
        </w:rPr>
      </w:pPr>
      <w:r>
        <w:rPr>
          <w:rFonts w:cs="Times New Roman"/>
          <w:sz w:val="21"/>
          <w:szCs w:val="21"/>
          <w:highlight w:val="none"/>
        </w:rPr>
        <w:t>将选好的山药块茎</w:t>
      </w:r>
      <w:r>
        <w:rPr>
          <w:rFonts w:hint="eastAsia" w:cs="Times New Roman"/>
          <w:sz w:val="21"/>
          <w:szCs w:val="21"/>
          <w:highlight w:val="none"/>
          <w:lang w:val="en-US" w:eastAsia="zh-CN"/>
        </w:rPr>
        <w:t>即</w:t>
      </w:r>
      <w:r>
        <w:rPr>
          <w:rFonts w:hint="eastAsia" w:cs="Times New Roman"/>
          <w:sz w:val="21"/>
          <w:szCs w:val="21"/>
          <w:highlight w:val="none"/>
        </w:rPr>
        <w:t>长1m左右，横径2.5～4.5cm的较细块根，切分</w:t>
      </w:r>
      <w:r>
        <w:rPr>
          <w:rFonts w:hint="eastAsia" w:cs="Times New Roman"/>
          <w:sz w:val="21"/>
          <w:szCs w:val="21"/>
          <w:highlight w:val="none"/>
          <w:lang w:val="en-US" w:eastAsia="zh-CN"/>
        </w:rPr>
        <w:t>成</w:t>
      </w:r>
      <w:r>
        <w:rPr>
          <w:rFonts w:hint="eastAsia" w:cs="Times New Roman"/>
          <w:sz w:val="21"/>
          <w:szCs w:val="21"/>
          <w:highlight w:val="none"/>
        </w:rPr>
        <w:t>15～20cm长的若干小段，</w:t>
      </w:r>
      <w:r>
        <w:rPr>
          <w:rFonts w:cs="Times New Roman"/>
          <w:sz w:val="21"/>
          <w:szCs w:val="21"/>
          <w:highlight w:val="none"/>
        </w:rPr>
        <w:t>在切口沾上</w:t>
      </w:r>
      <w:r>
        <w:rPr>
          <w:rFonts w:hint="eastAsia" w:cs="Times New Roman"/>
          <w:sz w:val="21"/>
          <w:szCs w:val="21"/>
          <w:highlight w:val="none"/>
        </w:rPr>
        <w:t>草木灰</w:t>
      </w:r>
      <w:r>
        <w:rPr>
          <w:rFonts w:cs="Times New Roman"/>
          <w:sz w:val="21"/>
          <w:szCs w:val="21"/>
          <w:highlight w:val="none"/>
        </w:rPr>
        <w:t>或用</w:t>
      </w:r>
      <w:r>
        <w:rPr>
          <w:rFonts w:hint="eastAsia" w:ascii="Times New Roman" w:hAnsi="Times New Roman" w:cs="Times New Roman"/>
          <w:sz w:val="21"/>
          <w:szCs w:val="21"/>
          <w:highlight w:val="none"/>
        </w:rPr>
        <w:t>50</w:t>
      </w:r>
      <w:r>
        <w:rPr>
          <w:rFonts w:ascii="Times New Roman" w:hAnsi="Times New Roman" w:cs="Times New Roman"/>
          <w:sz w:val="21"/>
          <w:szCs w:val="21"/>
          <w:highlight w:val="none"/>
        </w:rPr>
        <w:t>%</w:t>
      </w:r>
      <w:r>
        <w:rPr>
          <w:rFonts w:cs="Times New Roman"/>
          <w:sz w:val="21"/>
          <w:szCs w:val="21"/>
          <w:highlight w:val="none"/>
        </w:rPr>
        <w:t>多菌灵对伤口进行杀菌，在室内放置或太阳下晾晒</w:t>
      </w:r>
      <w:r>
        <w:rPr>
          <w:rFonts w:hint="eastAsia" w:ascii="Times New Roman" w:hAnsi="Times New Roman" w:cs="Times New Roman"/>
          <w:sz w:val="21"/>
          <w:szCs w:val="21"/>
          <w:highlight w:val="none"/>
        </w:rPr>
        <w:t>1</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2</w:t>
      </w:r>
      <w:r>
        <w:rPr>
          <w:rFonts w:hint="eastAsia" w:cs="Times New Roman"/>
          <w:sz w:val="21"/>
          <w:szCs w:val="21"/>
          <w:highlight w:val="none"/>
        </w:rPr>
        <w:t>天</w:t>
      </w:r>
      <w:r>
        <w:rPr>
          <w:rFonts w:cs="Times New Roman"/>
          <w:sz w:val="21"/>
          <w:szCs w:val="21"/>
          <w:highlight w:val="none"/>
        </w:rPr>
        <w:t>，待切面伤口愈合后即可栽种。</w:t>
      </w:r>
    </w:p>
    <w:p>
      <w:pPr>
        <w:pStyle w:val="78"/>
        <w:spacing w:before="120" w:after="120"/>
        <w:rPr>
          <w:rFonts w:cs="宋体"/>
          <w:highlight w:val="none"/>
        </w:rPr>
      </w:pPr>
      <w:r>
        <w:rPr>
          <w:rFonts w:hint="eastAsia"/>
          <w:highlight w:val="none"/>
        </w:rPr>
        <w:t>播种</w:t>
      </w:r>
    </w:p>
    <w:p>
      <w:pPr>
        <w:pStyle w:val="79"/>
        <w:spacing w:before="120" w:after="120"/>
        <w:rPr>
          <w:rFonts w:hint="eastAsia"/>
          <w:highlight w:val="none"/>
        </w:rPr>
      </w:pPr>
      <w:r>
        <w:rPr>
          <w:rFonts w:hint="eastAsia"/>
          <w:highlight w:val="none"/>
        </w:rPr>
        <w:t>播种时期</w:t>
      </w:r>
    </w:p>
    <w:p>
      <w:pPr>
        <w:pStyle w:val="56"/>
        <w:ind w:firstLine="420"/>
        <w:rPr>
          <w:rFonts w:hint="eastAsia" w:ascii="Times New Roman"/>
          <w:highlight w:val="none"/>
        </w:rPr>
      </w:pPr>
      <w:r>
        <w:rPr>
          <w:highlight w:val="none"/>
        </w:rPr>
        <w:t>在</w:t>
      </w:r>
      <w:r>
        <w:rPr>
          <w:rFonts w:hint="eastAsia" w:ascii="Times New Roman"/>
          <w:highlight w:val="none"/>
          <w:lang w:val="en-US" w:eastAsia="zh-CN"/>
        </w:rPr>
        <w:t>3</w:t>
      </w:r>
      <w:r>
        <w:rPr>
          <w:highlight w:val="none"/>
        </w:rPr>
        <w:t>月</w:t>
      </w:r>
      <w:r>
        <w:rPr>
          <w:rFonts w:hint="eastAsia"/>
          <w:highlight w:val="none"/>
          <w:lang w:val="en-US" w:eastAsia="zh-CN"/>
        </w:rPr>
        <w:t>中</w:t>
      </w:r>
      <w:r>
        <w:rPr>
          <w:highlight w:val="none"/>
        </w:rPr>
        <w:t>旬</w:t>
      </w:r>
      <w:r>
        <w:rPr>
          <w:rFonts w:hint="eastAsia"/>
          <w:highlight w:val="none"/>
        </w:rPr>
        <w:t>至</w:t>
      </w:r>
      <w:r>
        <w:rPr>
          <w:rFonts w:hint="eastAsia" w:ascii="Times New Roman"/>
          <w:highlight w:val="none"/>
          <w:lang w:val="en-US" w:eastAsia="zh-CN"/>
        </w:rPr>
        <w:t>4</w:t>
      </w:r>
      <w:r>
        <w:rPr>
          <w:highlight w:val="none"/>
        </w:rPr>
        <w:t>月上旬，当地表下</w:t>
      </w:r>
      <w:r>
        <w:rPr>
          <w:rFonts w:ascii="Times New Roman"/>
          <w:highlight w:val="none"/>
        </w:rPr>
        <w:t>10cm</w:t>
      </w:r>
      <w:r>
        <w:rPr>
          <w:highlight w:val="none"/>
        </w:rPr>
        <w:t>深处地温稳定在</w:t>
      </w:r>
      <w:r>
        <w:rPr>
          <w:rFonts w:ascii="Times New Roman"/>
          <w:highlight w:val="none"/>
        </w:rPr>
        <w:t>10°C</w:t>
      </w:r>
      <w:r>
        <w:rPr>
          <w:highlight w:val="none"/>
        </w:rPr>
        <w:t>以上时播种。</w:t>
      </w:r>
    </w:p>
    <w:p>
      <w:pPr>
        <w:pStyle w:val="79"/>
        <w:spacing w:before="120" w:after="120"/>
        <w:rPr>
          <w:rFonts w:cs="宋体"/>
          <w:highlight w:val="none"/>
        </w:rPr>
      </w:pPr>
      <w:r>
        <w:rPr>
          <w:rFonts w:hint="eastAsia"/>
          <w:highlight w:val="none"/>
        </w:rPr>
        <w:t>播种方法及密度</w:t>
      </w:r>
    </w:p>
    <w:p>
      <w:pPr>
        <w:pStyle w:val="56"/>
        <w:ind w:firstLine="420"/>
        <w:rPr>
          <w:rFonts w:hint="eastAsia" w:ascii="Times New Roman"/>
          <w:highlight w:val="none"/>
        </w:rPr>
      </w:pPr>
      <w:r>
        <w:rPr>
          <w:highlight w:val="none"/>
        </w:rPr>
        <w:t>沿整好的畦面开两条浅沟，沟行距</w:t>
      </w:r>
      <w:r>
        <w:rPr>
          <w:rFonts w:ascii="Times New Roman"/>
          <w:highlight w:val="none"/>
        </w:rPr>
        <w:t>40cm,</w:t>
      </w:r>
      <w:r>
        <w:rPr>
          <w:highlight w:val="none"/>
        </w:rPr>
        <w:t>沟深</w:t>
      </w:r>
      <w:r>
        <w:rPr>
          <w:rFonts w:ascii="Times New Roman"/>
          <w:highlight w:val="none"/>
        </w:rPr>
        <w:t>6cm</w:t>
      </w:r>
      <w:r>
        <w:rPr>
          <w:rFonts w:hint="eastAsia" w:ascii="Times New Roman"/>
          <w:highlight w:val="none"/>
        </w:rPr>
        <w:t>~</w:t>
      </w:r>
      <w:r>
        <w:rPr>
          <w:rFonts w:ascii="Times New Roman"/>
          <w:highlight w:val="none"/>
        </w:rPr>
        <w:t>8cm</w:t>
      </w:r>
      <w:r>
        <w:rPr>
          <w:highlight w:val="none"/>
        </w:rPr>
        <w:t>。将处理过的种薯芽朝上，整齐摆放在沟内，株距为</w:t>
      </w:r>
      <w:r>
        <w:rPr>
          <w:rFonts w:ascii="Times New Roman"/>
          <w:highlight w:val="none"/>
        </w:rPr>
        <w:t>25cm</w:t>
      </w:r>
      <w:r>
        <w:rPr>
          <w:highlight w:val="none"/>
        </w:rPr>
        <w:t>左右。然后用土覆盖，覆盖厚度为</w:t>
      </w:r>
      <w:r>
        <w:rPr>
          <w:rFonts w:ascii="Times New Roman"/>
          <w:highlight w:val="none"/>
        </w:rPr>
        <w:t>2cm</w:t>
      </w:r>
      <w:r>
        <w:rPr>
          <w:highlight w:val="none"/>
        </w:rPr>
        <w:t>左右。种植密</w:t>
      </w:r>
      <w:r>
        <w:rPr>
          <w:rFonts w:hint="eastAsia"/>
          <w:highlight w:val="none"/>
        </w:rPr>
        <w:t>度</w:t>
      </w:r>
      <w:r>
        <w:rPr>
          <w:highlight w:val="none"/>
        </w:rPr>
        <w:t>为</w:t>
      </w:r>
      <w:r>
        <w:rPr>
          <w:rFonts w:hint="eastAsia"/>
          <w:highlight w:val="none"/>
        </w:rPr>
        <w:t>每667</w:t>
      </w:r>
      <w:r>
        <w:rPr>
          <w:highlight w:val="none"/>
        </w:rPr>
        <w:t>m</w:t>
      </w:r>
      <w:r>
        <w:rPr>
          <w:highlight w:val="none"/>
          <w:vertAlign w:val="superscript"/>
        </w:rPr>
        <w:t>2</w:t>
      </w:r>
      <w:r>
        <w:rPr>
          <w:rFonts w:hint="eastAsia"/>
          <w:highlight w:val="none"/>
        </w:rPr>
        <w:t>种植</w:t>
      </w:r>
      <w:r>
        <w:rPr>
          <w:rFonts w:hint="eastAsia" w:ascii="Times New Roman"/>
          <w:highlight w:val="none"/>
        </w:rPr>
        <w:t>5</w:t>
      </w:r>
      <w:r>
        <w:rPr>
          <w:rFonts w:ascii="Times New Roman"/>
          <w:highlight w:val="none"/>
        </w:rPr>
        <w:t>000~</w:t>
      </w:r>
      <w:r>
        <w:rPr>
          <w:rFonts w:hint="eastAsia" w:ascii="Times New Roman"/>
          <w:highlight w:val="none"/>
        </w:rPr>
        <w:t>7000</w:t>
      </w:r>
      <w:r>
        <w:rPr>
          <w:highlight w:val="none"/>
        </w:rPr>
        <w:t>株。</w:t>
      </w:r>
    </w:p>
    <w:p>
      <w:pPr>
        <w:pStyle w:val="78"/>
        <w:spacing w:before="120" w:after="120"/>
        <w:rPr>
          <w:rFonts w:cs="宋体"/>
          <w:highlight w:val="none"/>
        </w:rPr>
      </w:pPr>
      <w:r>
        <w:rPr>
          <w:rFonts w:hint="eastAsia"/>
          <w:highlight w:val="none"/>
        </w:rPr>
        <w:t>水分管理</w:t>
      </w:r>
    </w:p>
    <w:p>
      <w:pPr>
        <w:pStyle w:val="56"/>
        <w:ind w:firstLine="420"/>
        <w:rPr>
          <w:rFonts w:hint="eastAsia" w:ascii="Times New Roman"/>
          <w:highlight w:val="none"/>
        </w:rPr>
      </w:pPr>
      <w:r>
        <w:rPr>
          <w:highlight w:val="none"/>
        </w:rPr>
        <w:t>播种后</w:t>
      </w:r>
      <w:r>
        <w:rPr>
          <w:rFonts w:ascii="Times New Roman"/>
          <w:highlight w:val="none"/>
        </w:rPr>
        <w:t>3d</w:t>
      </w:r>
      <w:r>
        <w:rPr>
          <w:rFonts w:hint="eastAsia" w:ascii="Times New Roman"/>
          <w:highlight w:val="none"/>
        </w:rPr>
        <w:t>~</w:t>
      </w:r>
      <w:r>
        <w:rPr>
          <w:rFonts w:ascii="Times New Roman"/>
          <w:highlight w:val="none"/>
        </w:rPr>
        <w:t>5d,</w:t>
      </w:r>
      <w:r>
        <w:rPr>
          <w:highlight w:val="none"/>
        </w:rPr>
        <w:t>浇透水一次；苗岀齐后，若干旱可再浇透水一次；块茎生长旺盛期，应始终保持土壤处于湿润状态，一般</w:t>
      </w:r>
      <w:r>
        <w:rPr>
          <w:rFonts w:ascii="Times New Roman"/>
          <w:highlight w:val="none"/>
        </w:rPr>
        <w:t>2d</w:t>
      </w:r>
      <w:r>
        <w:rPr>
          <w:rFonts w:hint="eastAsia" w:ascii="Times New Roman"/>
          <w:highlight w:val="none"/>
        </w:rPr>
        <w:t>~</w:t>
      </w:r>
      <w:r>
        <w:rPr>
          <w:rFonts w:ascii="Times New Roman"/>
          <w:highlight w:val="none"/>
        </w:rPr>
        <w:t>3d</w:t>
      </w:r>
      <w:r>
        <w:rPr>
          <w:highlight w:val="none"/>
        </w:rPr>
        <w:t>浇水一次；采收前</w:t>
      </w:r>
      <w:r>
        <w:rPr>
          <w:rFonts w:ascii="Times New Roman"/>
          <w:highlight w:val="none"/>
        </w:rPr>
        <w:t>7 d</w:t>
      </w:r>
      <w:r>
        <w:rPr>
          <w:highlight w:val="none"/>
        </w:rPr>
        <w:t>停止浇水。山药耐旱怕渍，要求排水良好，生长期注意排水、防渍。</w:t>
      </w:r>
    </w:p>
    <w:p>
      <w:pPr>
        <w:pStyle w:val="78"/>
        <w:spacing w:before="120" w:after="120"/>
        <w:rPr>
          <w:rFonts w:cs="宋体"/>
          <w:highlight w:val="none"/>
        </w:rPr>
      </w:pPr>
      <w:r>
        <w:rPr>
          <w:rFonts w:hint="eastAsia"/>
          <w:highlight w:val="none"/>
        </w:rPr>
        <w:t>整枝</w:t>
      </w:r>
    </w:p>
    <w:p>
      <w:pPr>
        <w:pStyle w:val="56"/>
        <w:ind w:firstLine="420"/>
        <w:rPr>
          <w:rFonts w:hint="eastAsia" w:ascii="Times New Roman"/>
          <w:highlight w:val="none"/>
        </w:rPr>
      </w:pPr>
      <w:r>
        <w:rPr>
          <w:rFonts w:hint="eastAsia"/>
          <w:highlight w:val="none"/>
        </w:rPr>
        <w:t>扶苗上架</w:t>
      </w:r>
      <w:r>
        <w:rPr>
          <w:highlight w:val="none"/>
        </w:rPr>
        <w:t>选留</w:t>
      </w:r>
      <w:r>
        <w:rPr>
          <w:rFonts w:ascii="Times New Roman"/>
          <w:highlight w:val="none"/>
        </w:rPr>
        <w:t>1</w:t>
      </w:r>
      <w:r>
        <w:rPr>
          <w:rFonts w:hint="eastAsia" w:ascii="Times New Roman"/>
          <w:highlight w:val="none"/>
        </w:rPr>
        <w:t>~</w:t>
      </w:r>
      <w:r>
        <w:rPr>
          <w:rFonts w:ascii="Times New Roman"/>
          <w:highlight w:val="none"/>
        </w:rPr>
        <w:t>2</w:t>
      </w:r>
      <w:r>
        <w:rPr>
          <w:highlight w:val="none"/>
        </w:rPr>
        <w:t>个强壮芽，侧枝发生过多的植株，应及时摘去基部侧蔓，仅保留上部侧蔓。</w:t>
      </w:r>
    </w:p>
    <w:p>
      <w:pPr>
        <w:pStyle w:val="78"/>
        <w:spacing w:before="120" w:after="120"/>
        <w:rPr>
          <w:rFonts w:cs="宋体"/>
          <w:highlight w:val="none"/>
        </w:rPr>
      </w:pPr>
      <w:r>
        <w:rPr>
          <w:rFonts w:hint="eastAsia"/>
          <w:highlight w:val="none"/>
        </w:rPr>
        <w:t>搭架</w:t>
      </w:r>
    </w:p>
    <w:p>
      <w:pPr>
        <w:pStyle w:val="56"/>
        <w:ind w:firstLine="420"/>
        <w:rPr>
          <w:rFonts w:hint="eastAsia" w:ascii="Times New Roman"/>
          <w:highlight w:val="none"/>
        </w:rPr>
      </w:pPr>
      <w:r>
        <w:rPr>
          <w:highlight w:val="none"/>
        </w:rPr>
        <w:t>当</w:t>
      </w:r>
      <w:r>
        <w:rPr>
          <w:rFonts w:hint="eastAsia"/>
          <w:highlight w:val="none"/>
        </w:rPr>
        <w:t>出苗率达到</w:t>
      </w:r>
      <w:r>
        <w:rPr>
          <w:rFonts w:hint="eastAsia" w:ascii="Times New Roman"/>
          <w:highlight w:val="none"/>
        </w:rPr>
        <w:t>30%</w:t>
      </w:r>
      <w:r>
        <w:rPr>
          <w:highlight w:val="none"/>
        </w:rPr>
        <w:t>苗长至</w:t>
      </w:r>
      <w:r>
        <w:rPr>
          <w:rFonts w:ascii="Times New Roman"/>
          <w:highlight w:val="none"/>
        </w:rPr>
        <w:t>30cm</w:t>
      </w:r>
      <w:r>
        <w:rPr>
          <w:highlight w:val="none"/>
        </w:rPr>
        <w:t>高时，搭成</w:t>
      </w:r>
      <w:r>
        <w:rPr>
          <w:rFonts w:ascii="Times New Roman"/>
          <w:highlight w:val="none"/>
        </w:rPr>
        <w:t>“</w:t>
      </w:r>
      <w:r>
        <w:rPr>
          <w:highlight w:val="none"/>
        </w:rPr>
        <w:t>人</w:t>
      </w:r>
      <w:r>
        <w:rPr>
          <w:rFonts w:ascii="Times New Roman"/>
          <w:highlight w:val="none"/>
        </w:rPr>
        <w:t>”</w:t>
      </w:r>
      <w:r>
        <w:rPr>
          <w:highlight w:val="none"/>
        </w:rPr>
        <w:t>字架。架高不低于</w:t>
      </w:r>
      <w:r>
        <w:rPr>
          <w:rFonts w:hint="eastAsia" w:ascii="Times New Roman"/>
          <w:highlight w:val="none"/>
          <w:lang w:val="en-US" w:eastAsia="zh-CN"/>
        </w:rPr>
        <w:t>2</w:t>
      </w:r>
      <w:r>
        <w:rPr>
          <w:rFonts w:ascii="Times New Roman"/>
          <w:highlight w:val="none"/>
        </w:rPr>
        <w:t>cm~</w:t>
      </w:r>
      <w:r>
        <w:rPr>
          <w:rFonts w:hint="eastAsia" w:ascii="Times New Roman"/>
          <w:highlight w:val="none"/>
          <w:lang w:val="en-US" w:eastAsia="zh-CN"/>
        </w:rPr>
        <w:t>2.5</w:t>
      </w:r>
      <w:r>
        <w:rPr>
          <w:rFonts w:ascii="Times New Roman"/>
          <w:highlight w:val="none"/>
        </w:rPr>
        <w:t>m</w:t>
      </w:r>
      <w:r>
        <w:rPr>
          <w:highlight w:val="none"/>
        </w:rPr>
        <w:t>并及时引蔓上架。</w:t>
      </w:r>
    </w:p>
    <w:p>
      <w:pPr>
        <w:pStyle w:val="78"/>
        <w:spacing w:before="120" w:after="120"/>
        <w:rPr>
          <w:rFonts w:cs="宋体"/>
          <w:highlight w:val="none"/>
        </w:rPr>
      </w:pPr>
      <w:r>
        <w:rPr>
          <w:rFonts w:hint="eastAsia"/>
          <w:highlight w:val="none"/>
        </w:rPr>
        <w:t>中耕除草</w:t>
      </w:r>
    </w:p>
    <w:p>
      <w:pPr>
        <w:pStyle w:val="56"/>
        <w:ind w:firstLine="420"/>
        <w:rPr>
          <w:rFonts w:hint="eastAsia" w:ascii="Times New Roman"/>
          <w:highlight w:val="none"/>
        </w:rPr>
      </w:pPr>
      <w:r>
        <w:rPr>
          <w:highlight w:val="none"/>
        </w:rPr>
        <w:t>中耕除草宜在封行前进行，耕层宜浅，植株近处的杂草宜用手拔。</w:t>
      </w:r>
    </w:p>
    <w:p>
      <w:pPr>
        <w:pStyle w:val="78"/>
        <w:spacing w:before="120" w:after="120"/>
        <w:rPr>
          <w:rFonts w:cs="宋体"/>
          <w:highlight w:val="none"/>
        </w:rPr>
      </w:pPr>
      <w:r>
        <w:rPr>
          <w:rFonts w:hint="eastAsia"/>
          <w:highlight w:val="none"/>
        </w:rPr>
        <w:t>追肥</w:t>
      </w:r>
    </w:p>
    <w:p>
      <w:pPr>
        <w:pStyle w:val="56"/>
        <w:ind w:firstLine="420"/>
        <w:rPr>
          <w:rFonts w:ascii="Times New Roman"/>
          <w:highlight w:val="none"/>
        </w:rPr>
      </w:pPr>
      <w:r>
        <w:rPr>
          <w:rFonts w:ascii="Times New Roman"/>
          <w:highlight w:val="none"/>
        </w:rPr>
        <w:t>追肥期、数量和方法按以下方式进行：</w:t>
      </w:r>
    </w:p>
    <w:p>
      <w:pPr>
        <w:pStyle w:val="174"/>
        <w:rPr>
          <w:rFonts w:ascii="Times New Roman"/>
          <w:highlight w:val="none"/>
        </w:rPr>
      </w:pPr>
      <w:r>
        <w:rPr>
          <w:rFonts w:ascii="Times New Roman"/>
          <w:highlight w:val="none"/>
        </w:rPr>
        <w:t>齐苗后施一次稀粪尿</w:t>
      </w:r>
      <w:r>
        <w:rPr>
          <w:rFonts w:hint="eastAsia" w:ascii="Times New Roman"/>
          <w:highlight w:val="none"/>
        </w:rPr>
        <w:t>每</w:t>
      </w:r>
      <w:r>
        <w:rPr>
          <w:rFonts w:ascii="Times New Roman"/>
          <w:highlight w:val="none"/>
        </w:rPr>
        <w:t>667m²</w:t>
      </w:r>
      <w:r>
        <w:rPr>
          <w:rFonts w:hint="eastAsia" w:ascii="Times New Roman"/>
          <w:highlight w:val="none"/>
        </w:rPr>
        <w:t>施</w:t>
      </w:r>
      <w:r>
        <w:rPr>
          <w:rFonts w:ascii="Times New Roman"/>
          <w:highlight w:val="none"/>
        </w:rPr>
        <w:t>1000kg左右；</w:t>
      </w:r>
    </w:p>
    <w:p>
      <w:pPr>
        <w:pStyle w:val="174"/>
        <w:rPr>
          <w:rFonts w:ascii="Times New Roman"/>
          <w:highlight w:val="none"/>
        </w:rPr>
      </w:pPr>
      <w:r>
        <w:rPr>
          <w:rFonts w:ascii="Times New Roman"/>
          <w:highlight w:val="none"/>
        </w:rPr>
        <w:t>茎蔓满架时，发现有脱肥现象，可再追一次肥，用量667 kg/667m²左右；以后每隔20 d~30 d,沟施腐熟的粪尿肥</w:t>
      </w:r>
      <w:r>
        <w:rPr>
          <w:rFonts w:hint="eastAsia" w:ascii="Times New Roman"/>
          <w:highlight w:val="none"/>
        </w:rPr>
        <w:t>每</w:t>
      </w:r>
      <w:r>
        <w:rPr>
          <w:rFonts w:ascii="Times New Roman"/>
          <w:highlight w:val="none"/>
        </w:rPr>
        <w:t>667m²</w:t>
      </w:r>
      <w:r>
        <w:rPr>
          <w:rFonts w:hint="eastAsia" w:ascii="Times New Roman"/>
          <w:highlight w:val="none"/>
        </w:rPr>
        <w:t>施</w:t>
      </w:r>
      <w:r>
        <w:rPr>
          <w:rFonts w:ascii="Times New Roman"/>
          <w:highlight w:val="none"/>
        </w:rPr>
        <w:t>1000 kg ~1500kg，或硫酸钾复合肥</w:t>
      </w:r>
      <w:r>
        <w:rPr>
          <w:rFonts w:hint="eastAsia" w:ascii="Times New Roman"/>
          <w:highlight w:val="none"/>
        </w:rPr>
        <w:t>每</w:t>
      </w:r>
      <w:r>
        <w:rPr>
          <w:rFonts w:ascii="Times New Roman"/>
          <w:highlight w:val="none"/>
        </w:rPr>
        <w:t>667m²</w:t>
      </w:r>
      <w:r>
        <w:rPr>
          <w:rFonts w:hint="eastAsia" w:ascii="Times New Roman"/>
          <w:highlight w:val="none"/>
        </w:rPr>
        <w:t>施</w:t>
      </w:r>
      <w:r>
        <w:rPr>
          <w:rFonts w:ascii="Times New Roman"/>
          <w:highlight w:val="none"/>
        </w:rPr>
        <w:t>15 kg~20 kg；</w:t>
      </w:r>
    </w:p>
    <w:p>
      <w:pPr>
        <w:pStyle w:val="174"/>
        <w:rPr>
          <w:rFonts w:ascii="Times New Roman"/>
          <w:highlight w:val="none"/>
        </w:rPr>
      </w:pPr>
      <w:r>
        <w:rPr>
          <w:rFonts w:ascii="Times New Roman"/>
          <w:highlight w:val="none"/>
        </w:rPr>
        <w:t>块茎膨大期，应重施较浓的人粪尿和饼肥混合液</w:t>
      </w:r>
      <w:r>
        <w:rPr>
          <w:rFonts w:hint="eastAsia" w:ascii="Times New Roman"/>
          <w:highlight w:val="none"/>
        </w:rPr>
        <w:t>每</w:t>
      </w:r>
      <w:r>
        <w:rPr>
          <w:rFonts w:ascii="Times New Roman"/>
          <w:highlight w:val="none"/>
        </w:rPr>
        <w:t>667m²</w:t>
      </w:r>
      <w:r>
        <w:rPr>
          <w:rFonts w:hint="eastAsia" w:ascii="Times New Roman"/>
          <w:highlight w:val="none"/>
        </w:rPr>
        <w:t>施</w:t>
      </w:r>
      <w:r>
        <w:rPr>
          <w:rFonts w:ascii="Times New Roman"/>
          <w:highlight w:val="none"/>
        </w:rPr>
        <w:t>2000 k~4000 kg，或硫酸钾复合肥（N:P:K 总含量 45% 以上，且不含氯）</w:t>
      </w:r>
      <w:r>
        <w:rPr>
          <w:rFonts w:hint="eastAsia" w:ascii="Times New Roman"/>
          <w:highlight w:val="none"/>
        </w:rPr>
        <w:t>每</w:t>
      </w:r>
      <w:r>
        <w:rPr>
          <w:rFonts w:ascii="Times New Roman"/>
          <w:highlight w:val="none"/>
        </w:rPr>
        <w:t>667m²</w:t>
      </w:r>
      <w:r>
        <w:rPr>
          <w:rFonts w:hint="eastAsia" w:ascii="Times New Roman"/>
          <w:highlight w:val="none"/>
        </w:rPr>
        <w:t>施</w:t>
      </w:r>
      <w:r>
        <w:rPr>
          <w:rFonts w:ascii="Times New Roman"/>
          <w:highlight w:val="none"/>
        </w:rPr>
        <w:t>20 kg ~30 kg；</w:t>
      </w:r>
    </w:p>
    <w:p>
      <w:pPr>
        <w:pStyle w:val="174"/>
        <w:rPr>
          <w:rFonts w:ascii="Times New Roman"/>
          <w:highlight w:val="none"/>
        </w:rPr>
      </w:pPr>
      <w:r>
        <w:rPr>
          <w:rFonts w:ascii="Times New Roman"/>
          <w:highlight w:val="none"/>
        </w:rPr>
        <w:t>立秋后视植株长势，补肥1次，以提高块茎产量和品质。</w:t>
      </w:r>
    </w:p>
    <w:p>
      <w:pPr>
        <w:pStyle w:val="78"/>
        <w:spacing w:before="120" w:after="120"/>
        <w:rPr>
          <w:rFonts w:cs="宋体"/>
          <w:highlight w:val="none"/>
        </w:rPr>
      </w:pPr>
      <w:r>
        <w:rPr>
          <w:rFonts w:hint="eastAsia"/>
          <w:highlight w:val="none"/>
        </w:rPr>
        <w:t>病虫害防治</w:t>
      </w:r>
    </w:p>
    <w:p>
      <w:pPr>
        <w:pStyle w:val="79"/>
        <w:spacing w:before="120" w:after="120"/>
        <w:rPr>
          <w:rFonts w:hint="eastAsia"/>
          <w:highlight w:val="none"/>
        </w:rPr>
      </w:pPr>
      <w:r>
        <w:rPr>
          <w:rFonts w:hint="eastAsia"/>
          <w:highlight w:val="none"/>
        </w:rPr>
        <w:t>要病虫害种类</w:t>
      </w:r>
    </w:p>
    <w:p>
      <w:pPr>
        <w:pStyle w:val="56"/>
        <w:ind w:firstLine="420"/>
        <w:rPr>
          <w:rFonts w:hint="eastAsia" w:ascii="Times New Roman"/>
          <w:highlight w:val="none"/>
        </w:rPr>
      </w:pPr>
      <w:r>
        <w:rPr>
          <w:highlight w:val="none"/>
        </w:rPr>
        <w:t>山药主要病害有：炭疽病、枯萎病、根腐病等。主要虫害有：红蜘蛛、斜纹夜蛾</w:t>
      </w:r>
      <w:r>
        <w:rPr>
          <w:rFonts w:hint="eastAsia"/>
          <w:highlight w:val="none"/>
        </w:rPr>
        <w:t>、甜菜夜蛾</w:t>
      </w:r>
      <w:r>
        <w:rPr>
          <w:highlight w:val="none"/>
        </w:rPr>
        <w:t>等。</w:t>
      </w:r>
    </w:p>
    <w:p>
      <w:pPr>
        <w:pStyle w:val="79"/>
        <w:spacing w:before="120" w:after="120"/>
        <w:rPr>
          <w:rFonts w:cs="宋体"/>
          <w:highlight w:val="none"/>
        </w:rPr>
      </w:pPr>
      <w:r>
        <w:rPr>
          <w:rFonts w:hint="eastAsia"/>
          <w:highlight w:val="none"/>
        </w:rPr>
        <w:t>防治原则</w:t>
      </w:r>
    </w:p>
    <w:p>
      <w:pPr>
        <w:pStyle w:val="56"/>
        <w:ind w:firstLine="420"/>
        <w:rPr>
          <w:rFonts w:hint="eastAsia" w:ascii="Times New Roman"/>
          <w:highlight w:val="none"/>
        </w:rPr>
      </w:pPr>
      <w:r>
        <w:rPr>
          <w:highlight w:val="none"/>
        </w:rPr>
        <w:t>按照</w:t>
      </w:r>
      <w:r>
        <w:rPr>
          <w:rFonts w:ascii="Times New Roman"/>
          <w:highlight w:val="none"/>
        </w:rPr>
        <w:t>“</w:t>
      </w:r>
      <w:r>
        <w:rPr>
          <w:highlight w:val="none"/>
        </w:rPr>
        <w:t>预防为主、综合防治</w:t>
      </w:r>
      <w:r>
        <w:rPr>
          <w:rFonts w:ascii="Times New Roman"/>
          <w:highlight w:val="none"/>
        </w:rPr>
        <w:t>”</w:t>
      </w:r>
      <w:r>
        <w:rPr>
          <w:highlight w:val="none"/>
        </w:rPr>
        <w:t>的植保方针，遵循</w:t>
      </w:r>
      <w:r>
        <w:rPr>
          <w:rFonts w:ascii="Times New Roman"/>
          <w:highlight w:val="none"/>
        </w:rPr>
        <w:t>“</w:t>
      </w:r>
      <w:r>
        <w:rPr>
          <w:highlight w:val="none"/>
        </w:rPr>
        <w:t>农业防治、物理防治、生物防治为主，化学防治为辅</w:t>
      </w:r>
      <w:r>
        <w:rPr>
          <w:rFonts w:ascii="Times New Roman"/>
          <w:highlight w:val="none"/>
        </w:rPr>
        <w:t>”</w:t>
      </w:r>
      <w:r>
        <w:rPr>
          <w:highlight w:val="none"/>
        </w:rPr>
        <w:t>的防治原则。</w:t>
      </w:r>
    </w:p>
    <w:p>
      <w:pPr>
        <w:pStyle w:val="79"/>
        <w:spacing w:before="120" w:after="120"/>
        <w:rPr>
          <w:rFonts w:cs="宋体"/>
          <w:highlight w:val="none"/>
        </w:rPr>
      </w:pPr>
      <w:r>
        <w:rPr>
          <w:rFonts w:hint="eastAsia"/>
          <w:highlight w:val="none"/>
        </w:rPr>
        <w:t>防治方法</w:t>
      </w:r>
    </w:p>
    <w:p>
      <w:pPr>
        <w:pStyle w:val="81"/>
        <w:spacing w:before="120" w:after="120"/>
        <w:rPr>
          <w:rFonts w:hint="eastAsia"/>
          <w:highlight w:val="none"/>
        </w:rPr>
      </w:pPr>
      <w:r>
        <w:rPr>
          <w:rFonts w:hint="eastAsia"/>
          <w:highlight w:val="none"/>
        </w:rPr>
        <w:t>农业防治</w:t>
      </w:r>
    </w:p>
    <w:p>
      <w:pPr>
        <w:pStyle w:val="174"/>
        <w:numPr>
          <w:ilvl w:val="0"/>
          <w:numId w:val="33"/>
        </w:numPr>
        <w:rPr>
          <w:rFonts w:hint="eastAsia" w:ascii="Times New Roman"/>
          <w:highlight w:val="none"/>
        </w:rPr>
      </w:pPr>
      <w:r>
        <w:rPr>
          <w:highlight w:val="none"/>
        </w:rPr>
        <w:t>选择健康种薯留作种子。</w:t>
      </w:r>
    </w:p>
    <w:p>
      <w:pPr>
        <w:pStyle w:val="174"/>
        <w:rPr>
          <w:rFonts w:ascii="Times New Roman"/>
          <w:highlight w:val="none"/>
        </w:rPr>
      </w:pPr>
      <w:r>
        <w:rPr>
          <w:highlight w:val="none"/>
        </w:rPr>
        <w:t>种植一季后，次年应与非薯类作物合理轮作。</w:t>
      </w:r>
    </w:p>
    <w:p>
      <w:pPr>
        <w:pStyle w:val="174"/>
        <w:rPr>
          <w:rFonts w:ascii="Times New Roman"/>
          <w:highlight w:val="none"/>
        </w:rPr>
      </w:pPr>
      <w:r>
        <w:rPr>
          <w:highlight w:val="none"/>
        </w:rPr>
        <w:t>因地制宜，设计畦向，利于通风透光。</w:t>
      </w:r>
    </w:p>
    <w:p>
      <w:pPr>
        <w:pStyle w:val="174"/>
        <w:rPr>
          <w:rFonts w:ascii="Times New Roman"/>
          <w:highlight w:val="none"/>
        </w:rPr>
      </w:pPr>
      <w:r>
        <w:rPr>
          <w:highlight w:val="none"/>
        </w:rPr>
        <w:t>科学施肥，多施充分腐熟的有机肥，少施化肥。</w:t>
      </w:r>
    </w:p>
    <w:p>
      <w:pPr>
        <w:pStyle w:val="81"/>
        <w:spacing w:before="120" w:after="120"/>
        <w:rPr>
          <w:rFonts w:cs="宋体"/>
          <w:highlight w:val="none"/>
        </w:rPr>
      </w:pPr>
      <w:r>
        <w:rPr>
          <w:rFonts w:hint="eastAsia"/>
          <w:highlight w:val="none"/>
        </w:rPr>
        <w:t>物理防治</w:t>
      </w:r>
    </w:p>
    <w:p>
      <w:pPr>
        <w:pStyle w:val="174"/>
        <w:numPr>
          <w:ilvl w:val="0"/>
          <w:numId w:val="34"/>
        </w:numPr>
        <w:rPr>
          <w:rFonts w:hint="eastAsia" w:ascii="Times New Roman"/>
          <w:highlight w:val="none"/>
        </w:rPr>
      </w:pPr>
      <w:r>
        <w:rPr>
          <w:highlight w:val="none"/>
        </w:rPr>
        <w:t>摘除初发病的山药叶片、茎蔓等。</w:t>
      </w:r>
    </w:p>
    <w:p>
      <w:pPr>
        <w:pStyle w:val="174"/>
        <w:rPr>
          <w:rFonts w:ascii="Times New Roman"/>
          <w:highlight w:val="none"/>
        </w:rPr>
      </w:pPr>
      <w:r>
        <w:rPr>
          <w:highlight w:val="none"/>
        </w:rPr>
        <w:t>采用</w:t>
      </w:r>
      <w:r>
        <w:rPr>
          <w:rFonts w:hint="eastAsia"/>
          <w:highlight w:val="none"/>
        </w:rPr>
        <w:t>黄板</w:t>
      </w:r>
      <w:r>
        <w:rPr>
          <w:highlight w:val="none"/>
        </w:rPr>
        <w:t>诱杀夜蛾科害虫成虫。</w:t>
      </w:r>
    </w:p>
    <w:p>
      <w:pPr>
        <w:pStyle w:val="174"/>
        <w:rPr>
          <w:rFonts w:ascii="Times New Roman"/>
          <w:highlight w:val="none"/>
        </w:rPr>
      </w:pPr>
      <w:r>
        <w:rPr>
          <w:highlight w:val="none"/>
        </w:rPr>
        <w:t>采用杀虫灯进行诱杀害虫成虫。</w:t>
      </w:r>
    </w:p>
    <w:p>
      <w:pPr>
        <w:pStyle w:val="81"/>
        <w:spacing w:before="120" w:after="120"/>
        <w:rPr>
          <w:rFonts w:cs="宋体"/>
          <w:highlight w:val="none"/>
        </w:rPr>
      </w:pPr>
      <w:r>
        <w:rPr>
          <w:rFonts w:hint="eastAsia"/>
          <w:highlight w:val="none"/>
        </w:rPr>
        <w:t>生物防治</w:t>
      </w:r>
    </w:p>
    <w:p>
      <w:pPr>
        <w:pStyle w:val="56"/>
        <w:ind w:firstLine="420"/>
        <w:rPr>
          <w:rFonts w:hint="eastAsia" w:ascii="Times New Roman"/>
          <w:highlight w:val="none"/>
        </w:rPr>
      </w:pPr>
      <w:r>
        <w:rPr>
          <w:highlight w:val="none"/>
        </w:rPr>
        <w:t>利用杀螟杆菌、苏云金杆菌等生物药剂防治有关害虫。</w:t>
      </w:r>
    </w:p>
    <w:p>
      <w:pPr>
        <w:pStyle w:val="81"/>
        <w:spacing w:before="120" w:after="120"/>
        <w:rPr>
          <w:rFonts w:cs="宋体"/>
          <w:highlight w:val="none"/>
        </w:rPr>
      </w:pPr>
      <w:r>
        <w:rPr>
          <w:rFonts w:hint="eastAsia"/>
          <w:highlight w:val="none"/>
        </w:rPr>
        <w:t>化学防治</w:t>
      </w:r>
    </w:p>
    <w:p>
      <w:pPr>
        <w:pStyle w:val="56"/>
        <w:ind w:firstLine="420"/>
        <w:rPr>
          <w:rFonts w:hint="eastAsia" w:ascii="Times New Roman"/>
          <w:highlight w:val="none"/>
        </w:rPr>
      </w:pPr>
      <w:r>
        <w:rPr>
          <w:highlight w:val="none"/>
        </w:rPr>
        <w:t>应符合</w:t>
      </w:r>
      <w:r>
        <w:rPr>
          <w:rFonts w:ascii="Times New Roman"/>
          <w:highlight w:val="none"/>
        </w:rPr>
        <w:t>NY/T 1276</w:t>
      </w:r>
      <w:r>
        <w:rPr>
          <w:highlight w:val="none"/>
        </w:rPr>
        <w:t>的规定，并在采收前</w:t>
      </w:r>
      <w:r>
        <w:rPr>
          <w:rFonts w:ascii="Times New Roman"/>
          <w:highlight w:val="none"/>
        </w:rPr>
        <w:t>15d</w:t>
      </w:r>
      <w:r>
        <w:rPr>
          <w:highlight w:val="none"/>
        </w:rPr>
        <w:t>停止用药。</w:t>
      </w:r>
    </w:p>
    <w:p>
      <w:pPr>
        <w:pStyle w:val="78"/>
        <w:spacing w:before="120" w:after="120"/>
        <w:rPr>
          <w:rFonts w:cs="宋体"/>
          <w:highlight w:val="none"/>
        </w:rPr>
      </w:pPr>
      <w:r>
        <w:rPr>
          <w:rFonts w:hint="eastAsia"/>
          <w:highlight w:val="none"/>
        </w:rPr>
        <w:t>采收</w:t>
      </w:r>
    </w:p>
    <w:p>
      <w:pPr>
        <w:pStyle w:val="56"/>
        <w:ind w:firstLine="420"/>
        <w:jc w:val="left"/>
        <w:rPr>
          <w:rFonts w:hint="eastAsia" w:ascii="黑体" w:hAnsi="宋体" w:eastAsia="PMingLiU"/>
          <w:sz w:val="20"/>
          <w:highlight w:val="none"/>
        </w:rPr>
      </w:pPr>
      <w:r>
        <w:rPr>
          <w:rFonts w:ascii="Times New Roman"/>
          <w:highlight w:val="none"/>
        </w:rPr>
        <w:t>10</w:t>
      </w:r>
      <w:r>
        <w:rPr>
          <w:highlight w:val="none"/>
        </w:rPr>
        <w:t>月中下旬，当茎叶经初霜枯黄时即可采收，直至次年</w:t>
      </w:r>
      <w:r>
        <w:rPr>
          <w:rFonts w:ascii="Times New Roman"/>
          <w:highlight w:val="none"/>
        </w:rPr>
        <w:t>4</w:t>
      </w:r>
      <w:r>
        <w:rPr>
          <w:highlight w:val="none"/>
        </w:rPr>
        <w:t>月上旬。</w:t>
      </w:r>
    </w:p>
    <w:p>
      <w:pPr>
        <w:pStyle w:val="56"/>
        <w:ind w:firstLine="0" w:firstLineChars="0"/>
        <w:rPr>
          <w:rFonts w:hint="eastAsia"/>
        </w:rPr>
      </w:pPr>
    </w:p>
    <w:bookmarkEnd w:id="40"/>
    <w:p>
      <w:pPr>
        <w:pStyle w:val="56"/>
        <w:ind w:firstLine="0" w:firstLineChars="0"/>
        <w:jc w:val="center"/>
      </w:pPr>
      <w:bookmarkStart w:id="41"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Bookshelf Symbol 7">
    <w:panose1 w:val="05010101010101010101"/>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T/CAI      —2022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426" w:firstLine="0"/>
      </w:pPr>
    </w:lvl>
    <w:lvl w:ilvl="1" w:tentative="0">
      <w:start w:val="1"/>
      <w:numFmt w:val="decimal"/>
      <w:lvlText w:val="%1.%2"/>
      <w:lvlJc w:val="left"/>
      <w:pPr>
        <w:tabs>
          <w:tab w:val="left" w:pos="-2268"/>
        </w:tabs>
        <w:ind w:left="-2268" w:hanging="567"/>
      </w:pPr>
    </w:lvl>
    <w:lvl w:ilvl="2" w:tentative="0">
      <w:start w:val="1"/>
      <w:numFmt w:val="decimal"/>
      <w:lvlText w:val="%1.%2.%3"/>
      <w:lvlJc w:val="left"/>
      <w:pPr>
        <w:tabs>
          <w:tab w:val="left" w:pos="-1843"/>
        </w:tabs>
        <w:ind w:left="-1843" w:hanging="567"/>
      </w:pPr>
    </w:lvl>
    <w:lvl w:ilvl="3" w:tentative="0">
      <w:start w:val="1"/>
      <w:numFmt w:val="decimal"/>
      <w:lvlText w:val="%1.%2.%3.%4"/>
      <w:lvlJc w:val="left"/>
      <w:pPr>
        <w:tabs>
          <w:tab w:val="left" w:pos="-1276"/>
        </w:tabs>
        <w:ind w:left="-1276" w:hanging="708"/>
      </w:pPr>
    </w:lvl>
    <w:lvl w:ilvl="4" w:tentative="0">
      <w:start w:val="1"/>
      <w:numFmt w:val="decimal"/>
      <w:lvlText w:val="%1.%2.%3.%4.%5"/>
      <w:lvlJc w:val="left"/>
      <w:pPr>
        <w:tabs>
          <w:tab w:val="left" w:pos="-709"/>
        </w:tabs>
        <w:ind w:left="-709" w:hanging="850"/>
      </w:pPr>
    </w:lvl>
    <w:lvl w:ilvl="5" w:tentative="0">
      <w:start w:val="1"/>
      <w:numFmt w:val="decimal"/>
      <w:lvlText w:val="%1.%2.%3.%4.%5.%6"/>
      <w:lvlJc w:val="left"/>
      <w:pPr>
        <w:tabs>
          <w:tab w:val="left" w:pos="0"/>
        </w:tabs>
        <w:ind w:left="0" w:hanging="1134"/>
      </w:pPr>
    </w:lvl>
    <w:lvl w:ilvl="6" w:tentative="0">
      <w:start w:val="1"/>
      <w:numFmt w:val="decimal"/>
      <w:lvlText w:val="%1.%2.%3.%4.%5.%6.%7"/>
      <w:lvlJc w:val="left"/>
      <w:pPr>
        <w:tabs>
          <w:tab w:val="left" w:pos="567"/>
        </w:tabs>
        <w:ind w:left="567" w:hanging="1276"/>
      </w:pPr>
    </w:lvl>
    <w:lvl w:ilvl="7" w:tentative="0">
      <w:start w:val="1"/>
      <w:numFmt w:val="decimal"/>
      <w:lvlText w:val="%1.%2.%3.%4.%5.%6.%7.%8"/>
      <w:lvlJc w:val="left"/>
      <w:pPr>
        <w:tabs>
          <w:tab w:val="left" w:pos="1134"/>
        </w:tabs>
        <w:ind w:left="1134" w:hanging="1418"/>
      </w:pPr>
    </w:lvl>
    <w:lvl w:ilvl="8" w:tentative="0">
      <w:start w:val="1"/>
      <w:numFmt w:val="decimal"/>
      <w:lvlText w:val="%1.%2.%3.%4.%5.%6.%7.%8.%9"/>
      <w:lvlJc w:val="left"/>
      <w:pPr>
        <w:tabs>
          <w:tab w:val="left" w:pos="1842"/>
        </w:tabs>
        <w:ind w:left="184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lang w:val="en-US"/>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7E63E5B"/>
    <w:multiLevelType w:val="multilevel"/>
    <w:tmpl w:val="67E63E5B"/>
    <w:lvl w:ilvl="0" w:tentative="0">
      <w:start w:val="1"/>
      <w:numFmt w:val="lowerLetter"/>
      <w:lvlText w:val="%1)"/>
      <w:lvlJc w:val="left"/>
      <w:pPr>
        <w:tabs>
          <w:tab w:val="left" w:pos="42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8DTdWp0GNgIEPnqrCrGk1ZXI/o4WQYBBkZcR+CZAL6wftFMPpDwps0imX2jCQdFL5tRUNnC5TEAitVaB1qIYQg==" w:salt="avpqyZRtnnXHScubntzSA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NzY1MGZhMmJiMGE4MTA1NWY0YTEwMGU4NjNmNDEifQ=="/>
  </w:docVars>
  <w:rsids>
    <w:rsidRoot w:val="008E65A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C67"/>
    <w:rsid w:val="000E6FD7"/>
    <w:rsid w:val="000F06E1"/>
    <w:rsid w:val="000F0E3C"/>
    <w:rsid w:val="000F19D5"/>
    <w:rsid w:val="000F4050"/>
    <w:rsid w:val="000F4AEA"/>
    <w:rsid w:val="000F67E9"/>
    <w:rsid w:val="00104926"/>
    <w:rsid w:val="001113B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C04"/>
    <w:rsid w:val="00432DAA"/>
    <w:rsid w:val="00434305"/>
    <w:rsid w:val="00435DF7"/>
    <w:rsid w:val="0044083F"/>
    <w:rsid w:val="00441AE7"/>
    <w:rsid w:val="00443124"/>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5CB"/>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CC1"/>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D74"/>
    <w:rsid w:val="00636E3E"/>
    <w:rsid w:val="006379F7"/>
    <w:rsid w:val="00637E4D"/>
    <w:rsid w:val="00640620"/>
    <w:rsid w:val="00641A1F"/>
    <w:rsid w:val="006433F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E69"/>
    <w:rsid w:val="006770F4"/>
    <w:rsid w:val="00677A84"/>
    <w:rsid w:val="0068026D"/>
    <w:rsid w:val="00680A27"/>
    <w:rsid w:val="006816A4"/>
    <w:rsid w:val="006819B8"/>
    <w:rsid w:val="006840A6"/>
    <w:rsid w:val="006850CD"/>
    <w:rsid w:val="00685AAB"/>
    <w:rsid w:val="00686D1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708"/>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23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AB"/>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FB7"/>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C00"/>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BA"/>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6C8"/>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E07"/>
    <w:rsid w:val="00DB1E6D"/>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03"/>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42F"/>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DDF"/>
    <w:rsid w:val="00FF3E7D"/>
    <w:rsid w:val="00FF5B99"/>
    <w:rsid w:val="00FF730C"/>
    <w:rsid w:val="00FF73F4"/>
    <w:rsid w:val="00FF7CE4"/>
    <w:rsid w:val="00FF7E39"/>
    <w:rsid w:val="03162062"/>
    <w:rsid w:val="0A096582"/>
    <w:rsid w:val="0CFA3DDA"/>
    <w:rsid w:val="29404983"/>
    <w:rsid w:val="3AD515DB"/>
    <w:rsid w:val="4BBC0474"/>
    <w:rsid w:val="4C1307BA"/>
    <w:rsid w:val="773E340B"/>
    <w:rsid w:val="7929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3"/>
    <w:qFormat/>
    <w:uiPriority w:val="99"/>
    <w:rPr>
      <w:rFonts w:ascii="Times New Roman" w:hAnsi="Times New Roman" w:eastAsia="宋体" w:cs="Times New Roman"/>
      <w:b/>
      <w:bCs/>
      <w:kern w:val="44"/>
      <w:sz w:val="44"/>
      <w:szCs w:val="44"/>
    </w:rPr>
  </w:style>
  <w:style w:type="character" w:customStyle="1" w:styleId="35">
    <w:name w:val="标题 2 字符"/>
    <w:link w:val="4"/>
    <w:qFormat/>
    <w:uiPriority w:val="0"/>
    <w:rPr>
      <w:rFonts w:ascii="Arial" w:hAnsi="Arial" w:eastAsia="黑体" w:cs="Times New Roman"/>
      <w:b/>
      <w:bCs/>
      <w:sz w:val="32"/>
      <w:szCs w:val="32"/>
    </w:rPr>
  </w:style>
  <w:style w:type="character" w:customStyle="1" w:styleId="36">
    <w:name w:val="标题 3 字符"/>
    <w:link w:val="2"/>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99"/>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styleId="230">
    <w:name w:val="List Paragraph"/>
    <w:basedOn w:val="1"/>
    <w:qFormat/>
    <w:uiPriority w:val="99"/>
    <w:pPr>
      <w:autoSpaceDE w:val="0"/>
      <w:autoSpaceDN w:val="0"/>
      <w:adjustRightInd/>
      <w:spacing w:line="240" w:lineRule="auto"/>
      <w:ind w:left="873" w:hanging="736"/>
      <w:jc w:val="left"/>
    </w:pPr>
    <w:rPr>
      <w:rFonts w:ascii="宋体" w:hAnsi="宋体" w:cs="宋体"/>
      <w:kern w:val="0"/>
      <w:sz w:val="22"/>
      <w:szCs w:val="22"/>
      <w:lang w:val="zh-CN" w:bidi="zh-CN"/>
    </w:rPr>
  </w:style>
  <w:style w:type="paragraph" w:customStyle="1" w:styleId="231">
    <w:name w:val="Table Paragraph"/>
    <w:basedOn w:val="1"/>
    <w:qFormat/>
    <w:uiPriority w:val="1"/>
    <w:pPr>
      <w:autoSpaceDE w:val="0"/>
      <w:autoSpaceDN w:val="0"/>
      <w:adjustRightInd/>
      <w:spacing w:before="38" w:line="240" w:lineRule="auto"/>
      <w:jc w:val="center"/>
    </w:pPr>
    <w:rPr>
      <w:rFonts w:ascii="宋体" w:hAnsi="宋体" w:cs="宋体"/>
      <w:kern w:val="0"/>
      <w:sz w:val="22"/>
      <w:szCs w:val="22"/>
      <w:lang w:val="zh-CN" w:bidi="zh-CN"/>
    </w:rPr>
  </w:style>
  <w:style w:type="character" w:customStyle="1" w:styleId="232">
    <w:name w:val="15"/>
    <w:basedOn w:val="28"/>
    <w:qFormat/>
    <w:uiPriority w:val="0"/>
    <w:rPr>
      <w:rFonts w:hint="default" w:ascii="Times New Roman" w:hAnsi="Times New Roman" w:cs="Times New Roman"/>
      <w:i/>
    </w:rPr>
  </w:style>
  <w:style w:type="paragraph" w:customStyle="1" w:styleId="233">
    <w:name w:val="Body text|1"/>
    <w:basedOn w:val="1"/>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 w:type="paragraph" w:customStyle="1" w:styleId="234">
    <w:name w:val="Heading #2|1"/>
    <w:basedOn w:val="1"/>
    <w:qFormat/>
    <w:uiPriority w:val="0"/>
    <w:pPr>
      <w:autoSpaceDE w:val="0"/>
      <w:autoSpaceDN w:val="0"/>
      <w:adjustRightInd/>
      <w:spacing w:before="100" w:beforeAutospacing="1" w:after="420" w:line="240" w:lineRule="auto"/>
      <w:jc w:val="center"/>
      <w:outlineLvl w:val="1"/>
    </w:pPr>
    <w:rPr>
      <w:rFonts w:ascii="宋体" w:hAnsi="宋体" w:cs="宋体"/>
      <w:kern w:val="0"/>
      <w:sz w:val="50"/>
      <w:szCs w:val="5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BBE882CDA94CA5AF57632CDB088104"/>
        <w:style w:val=""/>
        <w:category>
          <w:name w:val="常规"/>
          <w:gallery w:val="placeholder"/>
        </w:category>
        <w:types>
          <w:type w:val="bbPlcHdr"/>
        </w:types>
        <w:behaviors>
          <w:behavior w:val="content"/>
        </w:behaviors>
        <w:description w:val=""/>
        <w:guid w:val="{6C18ECDA-A908-404C-8A7E-5A1B58B4113D}"/>
      </w:docPartPr>
      <w:docPartBody>
        <w:p>
          <w:pPr>
            <w:pStyle w:val="5"/>
          </w:pPr>
          <w:r>
            <w:rPr>
              <w:rStyle w:val="4"/>
              <w:rFonts w:hint="eastAsia"/>
            </w:rPr>
            <w:t>单击或点击此处输入文字。</w:t>
          </w:r>
        </w:p>
      </w:docPartBody>
    </w:docPart>
    <w:docPart>
      <w:docPartPr>
        <w:name w:val="E8B1163AEEB64C6DBE5D840845AE45CA"/>
        <w:style w:val=""/>
        <w:category>
          <w:name w:val="常规"/>
          <w:gallery w:val="placeholder"/>
        </w:category>
        <w:types>
          <w:type w:val="bbPlcHdr"/>
        </w:types>
        <w:behaviors>
          <w:behavior w:val="content"/>
        </w:behaviors>
        <w:description w:val=""/>
        <w:guid w:val="{A61E364B-CEF4-48B2-AF4F-22B7E4D95B85}"/>
      </w:docPartPr>
      <w:docPartBody>
        <w:p>
          <w:pPr>
            <w:pStyle w:val="6"/>
          </w:pPr>
          <w:r>
            <w:rPr>
              <w:rStyle w:val="4"/>
              <w:rFonts w:hint="eastAsia"/>
            </w:rPr>
            <w:t>选择一项。</w:t>
          </w:r>
        </w:p>
      </w:docPartBody>
    </w:docPart>
    <w:docPart>
      <w:docPartPr>
        <w:name w:val="1C7B3C476FBD46CCA12999463DB794D2"/>
        <w:style w:val=""/>
        <w:category>
          <w:name w:val="常规"/>
          <w:gallery w:val="placeholder"/>
        </w:category>
        <w:types>
          <w:type w:val="bbPlcHdr"/>
        </w:types>
        <w:behaviors>
          <w:behavior w:val="content"/>
        </w:behaviors>
        <w:description w:val=""/>
        <w:guid w:val="{DEAEE4E4-CF78-46FF-87B4-FB5447DD784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E"/>
    <w:rsid w:val="004F2BF7"/>
    <w:rsid w:val="007367BE"/>
    <w:rsid w:val="008C7685"/>
    <w:rsid w:val="008D764B"/>
    <w:rsid w:val="008E57C8"/>
    <w:rsid w:val="00A9060E"/>
    <w:rsid w:val="00D7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5BBE882CDA94CA5AF57632CDB0881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B1163AEEB64C6DBE5D840845AE45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7B3C476FBD46CCA12999463DB794D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91D60-498C-4470-AD79-FC44BB3CE25F}">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2991</Words>
  <Characters>3505</Characters>
  <Lines>29</Lines>
  <Paragraphs>8</Paragraphs>
  <TotalTime>3</TotalTime>
  <ScaleCrop>false</ScaleCrop>
  <LinksUpToDate>false</LinksUpToDate>
  <CharactersWithSpaces>3768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2022-01-21T07:41:00Z</dcterms:created>
  <dc:creator>Sky123.Org</dc:creator>
  <dc:description>&lt;config cover="true" show_menu="true" version="1.0.0" doctype="SDKXY"&gt;_x000d_
&lt;/config&gt;</dc:description>
  <cp:lastModifiedBy>ICCAW</cp:lastModifiedBy>
  <cp:lastPrinted>2021-02-02T08:22:00Z</cp:lastPrinted>
  <dcterms:modified xsi:type="dcterms:W3CDTF">2022-07-04T11:15:58Z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FE7C3B4125974DDFB0A6170519DB90C2</vt:lpwstr>
  </property>
</Properties>
</file>