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65.080.01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2"/>
                    <w:framePr w:wrap="notBeside" w:vAnchor="page" w:hAnchor="page" w:x="1372" w:y="568"/>
                    <w:ind w:left="420" w:right="349"/>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t>PUCIA</w:t>
                  </w:r>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 xml:space="preserve">B </w:t>
            </w:r>
            <w:r>
              <w:rPr>
                <w:rFonts w:hint="eastAsia" w:ascii="黑体" w:hAnsi="黑体" w:eastAsia="黑体"/>
                <w:sz w:val="21"/>
                <w:szCs w:val="21"/>
              </w:rPr>
              <w:t>31</w:t>
            </w:r>
          </w:p>
        </w:tc>
      </w:tr>
    </w:tbl>
    <w:p>
      <w:pPr>
        <w:pStyle w:val="53"/>
        <w:framePr w:w="9639" w:h="624" w:hRule="exact" w:hSpace="181" w:vSpace="181" w:wrap="around" w:hAnchor="page" w:x="1305" w:y="2269"/>
        <w:rPr>
          <w:rFonts w:ascii="黑体" w:hAnsi="黑体" w:eastAsia="黑体"/>
          <w:b w:val="0"/>
          <w:bCs w:val="0"/>
          <w:w w:val="100"/>
          <w:sz w:val="48"/>
          <w:szCs w:val="48"/>
        </w:rPr>
      </w:pPr>
      <w:bookmarkStart w:id="0" w:name="_Hlk26473981"/>
      <w:r>
        <w:rPr>
          <w:rFonts w:hint="eastAsia" w:ascii="黑体" w:eastAsia="黑体"/>
          <w:b w:val="0"/>
          <w:w w:val="100"/>
          <w:sz w:val="48"/>
        </w:rPr>
        <w:t>蒲江丑柑产业协会团体</w:t>
      </w:r>
      <w:r>
        <w:rPr>
          <w:rFonts w:hint="eastAsia" w:ascii="黑体" w:hAnsi="黑体" w:eastAsia="黑体"/>
          <w:b w:val="0"/>
          <w:bCs w:val="0"/>
          <w:w w:val="100"/>
          <w:sz w:val="48"/>
          <w:szCs w:val="48"/>
        </w:rPr>
        <w:t>标准</w:t>
      </w:r>
    </w:p>
    <w:bookmarkEnd w:id="0"/>
    <w:p>
      <w:pPr>
        <w:pStyle w:val="198"/>
        <w:framePr/>
      </w:pPr>
      <w:r>
        <w:t>T/PUCIA</w:t>
      </w:r>
      <w:r>
        <w:rPr>
          <w:rFonts w:hint="eastAsia"/>
        </w:rPr>
        <w:t xml:space="preserve"> 013</w:t>
      </w:r>
      <w:r>
        <w:rPr>
          <w:rFonts w:hAnsi="黑体"/>
        </w:rPr>
        <w:t>—</w:t>
      </w:r>
      <w:r>
        <w:rPr>
          <w:rFonts w:hint="eastAsia"/>
        </w:rPr>
        <w:t>2022</w:t>
      </w: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rPr>
          <w:rFonts w:hint="eastAsia"/>
        </w:rPr>
        <w:t>蒲江柑橘产品质量分级</w:t>
      </w:r>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t>Grading standard for products</w:t>
      </w:r>
      <w:r>
        <w:rPr>
          <w:rFonts w:hint="eastAsia" w:ascii="黑体" w:hAnsi="黑体" w:eastAsia="黑体"/>
          <w:szCs w:val="28"/>
        </w:rPr>
        <w:t xml:space="preserve"> of Pujiang citrus</w:t>
      </w:r>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spacing w:before="180" w:line="240" w:lineRule="atLeast"/>
        <w:textAlignment w:val="bottom"/>
        <w:rPr>
          <w:sz w:val="21"/>
          <w:szCs w:val="28"/>
        </w:rPr>
      </w:pPr>
    </w:p>
    <w:p>
      <w:pPr>
        <w:pStyle w:val="128"/>
        <w:framePr w:w="9639" w:h="6974" w:hRule="exact" w:wrap="around" w:vAnchor="page" w:hAnchor="page" w:x="1419" w:y="6408" w:anchorLock="1"/>
        <w:spacing w:before="720" w:beforeLines="300" w:after="72" w:afterLines="30" w:line="240" w:lineRule="auto"/>
        <w:textAlignment w:val="bottom"/>
        <w:rPr>
          <w:b/>
          <w:sz w:val="21"/>
          <w:szCs w:val="28"/>
        </w:rPr>
      </w:pPr>
    </w:p>
    <w:p>
      <w:pPr>
        <w:pStyle w:val="196"/>
        <w:framePr w:wrap="around" w:y="14176"/>
      </w:pPr>
      <w:r>
        <w:rPr>
          <w:rFonts w:hint="eastAsia" w:ascii="黑体"/>
        </w:rPr>
        <w:t>2022</w:t>
      </w:r>
      <w:r>
        <w:t xml:space="preserve"> </w:t>
      </w:r>
      <w:r>
        <w:rPr>
          <w:rFonts w:ascii="黑体"/>
        </w:rPr>
        <w:t>-</w:t>
      </w:r>
      <w:r>
        <w:rPr>
          <w:rFonts w:hint="eastAsia" w:ascii="黑体"/>
        </w:rPr>
        <w:t xml:space="preserve"> 06</w:t>
      </w:r>
      <w:r>
        <w:t xml:space="preserve"> </w:t>
      </w:r>
      <w:r>
        <w:rPr>
          <w:rFonts w:ascii="黑体"/>
        </w:rPr>
        <w:t xml:space="preserve">- </w:t>
      </w:r>
      <w:r>
        <w:rPr>
          <w:rFonts w:hint="eastAsia" w:ascii="黑体"/>
        </w:rPr>
        <w:t>17</w:t>
      </w:r>
      <w:r>
        <w:t xml:space="preserve"> </w:t>
      </w:r>
      <w:r>
        <w:rPr>
          <w:rFonts w:hint="eastAsia"/>
        </w:rPr>
        <w:t>发布</w:t>
      </w:r>
    </w:p>
    <w:p>
      <w:pPr>
        <w:pStyle w:val="197"/>
        <w:framePr w:wrap="around" w:y="14176"/>
      </w:pPr>
      <w:r>
        <w:rPr>
          <w:rFonts w:hint="eastAsia" w:ascii="黑体"/>
        </w:rPr>
        <w:t>2022</w:t>
      </w:r>
      <w:r>
        <w:t xml:space="preserve"> </w:t>
      </w:r>
      <w:r>
        <w:rPr>
          <w:rFonts w:ascii="黑体"/>
        </w:rPr>
        <w:t xml:space="preserve">- </w:t>
      </w:r>
      <w:r>
        <w:rPr>
          <w:rFonts w:hint="eastAsia" w:ascii="黑体"/>
        </w:rPr>
        <w:t>07</w:t>
      </w:r>
      <w:r>
        <w:t xml:space="preserve"> </w:t>
      </w:r>
      <w:r>
        <w:rPr>
          <w:rFonts w:ascii="黑体"/>
        </w:rPr>
        <w:t>-</w:t>
      </w:r>
      <w:r>
        <w:t xml:space="preserve"> </w:t>
      </w:r>
      <w:r>
        <w:rPr>
          <w:rFonts w:hint="eastAsia" w:ascii="黑体"/>
        </w:rPr>
        <w:t>01</w:t>
      </w:r>
      <w:r>
        <w:rPr>
          <w:rFonts w:hint="eastAsia"/>
        </w:rPr>
        <w:t>实施</w:t>
      </w:r>
    </w:p>
    <w:p>
      <w:pPr>
        <w:pStyle w:val="154"/>
        <w:framePr w:h="584" w:hRule="exact" w:hSpace="181" w:vSpace="181" w:wrap="around" w:y="14800"/>
        <w:rPr>
          <w:rFonts w:hAnsi="黑体"/>
        </w:rPr>
      </w:pPr>
      <w:r>
        <w:rPr>
          <w:rFonts w:hint="eastAsia" w:hAnsi="黑体"/>
          <w:w w:val="100"/>
          <w:sz w:val="28"/>
        </w:rPr>
        <w:t>蒲江丑柑产业协会</w:t>
      </w:r>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360"/>
      </w:pPr>
      <w:bookmarkStart w:id="1" w:name="BookMark1"/>
      <w:r>
        <w:rPr>
          <w:rFonts w:hint="eastAsia"/>
          <w:spacing w:val="320"/>
        </w:rPr>
        <w:t>目</w:t>
      </w:r>
      <w:r>
        <w:rPr>
          <w:rFonts w:hint="eastAsia"/>
        </w:rPr>
        <w:t>次</w:t>
      </w:r>
    </w:p>
    <w:p>
      <w:pPr>
        <w:pStyle w:val="19"/>
        <w:tabs>
          <w:tab w:val="right" w:leader="dot" w:pos="9344"/>
        </w:tabs>
        <w:jc w:val="left"/>
      </w:pPr>
      <w:r>
        <w:fldChar w:fldCharType="begin"/>
      </w:r>
      <w:r>
        <w:instrText xml:space="preserve"> TOC \o "1-1" \h \t "标准文件_一级条标题,2,标准文件_附录一级条标题,2," </w:instrText>
      </w:r>
      <w:r>
        <w:fldChar w:fldCharType="separate"/>
      </w:r>
      <w:r>
        <w:rPr>
          <w:rFonts w:hint="eastAsia"/>
        </w:rPr>
        <w:t>前言</w:t>
      </w:r>
      <w:r>
        <w:fldChar w:fldCharType="begin"/>
      </w:r>
      <w:r>
        <w:instrText xml:space="preserve"> HYPERLINK \l "_Toc106180236" </w:instrText>
      </w:r>
      <w:r>
        <w:fldChar w:fldCharType="separate"/>
      </w:r>
      <w:r>
        <w:tab/>
      </w:r>
      <w:r>
        <w:fldChar w:fldCharType="begin"/>
      </w:r>
      <w:r>
        <w:instrText xml:space="preserve"> PAGEREF _Toc106180236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"_Toc106180237" </w:instrText>
      </w:r>
      <w:r>
        <w:fldChar w:fldCharType="separate"/>
      </w:r>
      <w:r>
        <w:rPr>
          <w:rStyle w:val="32"/>
        </w:rPr>
        <w:t>1</w:t>
      </w:r>
      <w:r>
        <w:rPr>
          <w:rStyle w:val="32"/>
          <w:rFonts w:hint="eastAsia"/>
        </w:rPr>
        <w:t xml:space="preserve"> 范围</w:t>
      </w:r>
      <w:r>
        <w:tab/>
      </w:r>
      <w:r>
        <w:fldChar w:fldCharType="begin"/>
      </w:r>
      <w:r>
        <w:instrText xml:space="preserve"> PAGEREF _Toc106180237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"_Toc106180238" </w:instrText>
      </w:r>
      <w:r>
        <w:fldChar w:fldCharType="separate"/>
      </w:r>
      <w:r>
        <w:rPr>
          <w:rStyle w:val="32"/>
        </w:rPr>
        <w:t>2</w:t>
      </w:r>
      <w:r>
        <w:rPr>
          <w:rStyle w:val="32"/>
          <w:rFonts w:hint="eastAsia"/>
        </w:rPr>
        <w:t xml:space="preserve"> 规范性引用文件</w:t>
      </w:r>
      <w:r>
        <w:tab/>
      </w:r>
      <w:r>
        <w:fldChar w:fldCharType="begin"/>
      </w:r>
      <w:r>
        <w:instrText xml:space="preserve"> PAGEREF _Toc106180238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"_Toc106180239" </w:instrText>
      </w:r>
      <w:r>
        <w:fldChar w:fldCharType="separate"/>
      </w:r>
      <w:r>
        <w:rPr>
          <w:rStyle w:val="32"/>
        </w:rPr>
        <w:t>3</w:t>
      </w:r>
      <w:r>
        <w:rPr>
          <w:rStyle w:val="32"/>
          <w:rFonts w:hint="eastAsia"/>
        </w:rPr>
        <w:t xml:space="preserve"> 术语和定义</w:t>
      </w:r>
      <w:r>
        <w:tab/>
      </w:r>
      <w:r>
        <w:fldChar w:fldCharType="begin"/>
      </w:r>
      <w:r>
        <w:instrText xml:space="preserve"> PAGEREF _Toc106180239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"_Toc106180240" </w:instrText>
      </w:r>
      <w:r>
        <w:fldChar w:fldCharType="separate"/>
      </w:r>
      <w:r>
        <w:rPr>
          <w:rStyle w:val="32"/>
        </w:rPr>
        <w:t>4</w:t>
      </w:r>
      <w:r>
        <w:rPr>
          <w:rStyle w:val="32"/>
          <w:rFonts w:hint="eastAsia"/>
        </w:rPr>
        <w:t xml:space="preserve"> 分等要求</w:t>
      </w:r>
      <w:r>
        <w:tab/>
      </w:r>
      <w:r>
        <w:fldChar w:fldCharType="begin"/>
      </w:r>
      <w:r>
        <w:instrText xml:space="preserve"> PAGEREF _Toc106180240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"_Toc106180244" </w:instrText>
      </w:r>
      <w:r>
        <w:fldChar w:fldCharType="separate"/>
      </w:r>
      <w:r>
        <w:rPr>
          <w:rStyle w:val="32"/>
        </w:rPr>
        <w:t>5</w:t>
      </w:r>
      <w:r>
        <w:rPr>
          <w:rStyle w:val="32"/>
          <w:rFonts w:hint="eastAsia"/>
        </w:rPr>
        <w:t xml:space="preserve"> 分级要求</w:t>
      </w:r>
      <w:r>
        <w:tab/>
      </w:r>
      <w:r>
        <w:fldChar w:fldCharType="begin"/>
      </w:r>
      <w:r>
        <w:instrText xml:space="preserve"> PAGEREF _Toc106180244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"_Toc106180245" </w:instrText>
      </w:r>
      <w:r>
        <w:fldChar w:fldCharType="separate"/>
      </w:r>
      <w:r>
        <w:rPr>
          <w:rStyle w:val="32"/>
        </w:rPr>
        <w:t>6</w:t>
      </w:r>
      <w:r>
        <w:rPr>
          <w:rStyle w:val="32"/>
          <w:rFonts w:hint="eastAsia"/>
        </w:rPr>
        <w:t xml:space="preserve"> 检验方法</w:t>
      </w:r>
      <w:r>
        <w:tab/>
      </w:r>
      <w:r>
        <w:fldChar w:fldCharType="begin"/>
      </w:r>
      <w:r>
        <w:instrText xml:space="preserve"> PAGEREF _Toc106180245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"_Toc106180248" </w:instrText>
      </w:r>
      <w:r>
        <w:fldChar w:fldCharType="separate"/>
      </w:r>
      <w:r>
        <w:rPr>
          <w:rStyle w:val="32"/>
        </w:rPr>
        <w:t>7</w:t>
      </w:r>
      <w:r>
        <w:rPr>
          <w:rStyle w:val="32"/>
          <w:rFonts w:hint="eastAsia"/>
        </w:rPr>
        <w:t xml:space="preserve"> 检验规则</w:t>
      </w:r>
      <w:r>
        <w:tab/>
      </w:r>
      <w:r>
        <w:fldChar w:fldCharType="begin"/>
      </w:r>
      <w:r>
        <w:instrText xml:space="preserve"> PAGEREF _Toc106180248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"_Toc106180249" </w:instrText>
      </w:r>
      <w:r>
        <w:fldChar w:fldCharType="separate"/>
      </w:r>
      <w:r>
        <w:rPr>
          <w:rStyle w:val="32"/>
        </w:rPr>
        <w:t>8</w:t>
      </w:r>
      <w:r>
        <w:rPr>
          <w:rStyle w:val="32"/>
          <w:rFonts w:hint="eastAsia"/>
        </w:rPr>
        <w:t xml:space="preserve"> 包装标志</w:t>
      </w:r>
      <w:r>
        <w:tab/>
      </w:r>
      <w:r>
        <w:fldChar w:fldCharType="begin"/>
      </w:r>
      <w:r>
        <w:instrText xml:space="preserve"> PAGEREF _Toc106180249 \h </w:instrText>
      </w:r>
      <w:r>
        <w:fldChar w:fldCharType="separate"/>
      </w:r>
      <w:r>
        <w:t>3</w:t>
      </w:r>
      <w:r>
        <w:fldChar w:fldCharType="end"/>
      </w:r>
      <w:r>
        <w:fldChar w:fldCharType="end"/>
      </w:r>
    </w:p>
    <w:p>
      <w:pPr>
        <w:pStyle w:val="94"/>
        <w:spacing w:after="360"/>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1"/>
    <w:p>
      <w:pPr>
        <w:pStyle w:val="92"/>
        <w:spacing w:after="360"/>
      </w:pPr>
      <w:bookmarkStart w:id="2" w:name="_Toc106180236"/>
      <w:bookmarkStart w:id="3" w:name="BookMark2"/>
      <w:r>
        <w:rPr>
          <w:spacing w:val="320"/>
        </w:rPr>
        <w:t>前</w:t>
      </w:r>
      <w:r>
        <w:t>言</w:t>
      </w:r>
      <w:bookmarkEnd w:id="2"/>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本文件由蒲江丑柑产业协会提出并归口。</w:t>
      </w:r>
    </w:p>
    <w:p>
      <w:pPr>
        <w:pStyle w:val="59"/>
        <w:ind w:firstLine="420"/>
      </w:pPr>
      <w:r>
        <w:rPr>
          <w:rFonts w:hint="eastAsia"/>
        </w:rPr>
        <w:t>本文件起草单位：蒲江丑柑产业协会、蒲江县农业农村局、四川万豪企业管理咨询有限公司、四川省农业标准化技术委员会。</w:t>
      </w:r>
    </w:p>
    <w:p>
      <w:pPr>
        <w:pStyle w:val="59"/>
        <w:ind w:firstLine="420"/>
      </w:pPr>
      <w:r>
        <w:rPr>
          <w:rFonts w:hint="eastAsia"/>
        </w:rPr>
        <w:t>本文件主要起草人：徐建、姚雄辉、钟军、唐翠芳、胡秀芝、陈瑶、何琳。</w:t>
      </w:r>
    </w:p>
    <w:p>
      <w:pPr>
        <w:pStyle w:val="59"/>
        <w:ind w:firstLine="420"/>
      </w:pPr>
    </w:p>
    <w:p>
      <w:pPr>
        <w:pStyle w:val="59"/>
        <w:ind w:firstLine="420"/>
        <w:sectPr>
          <w:headerReference r:id="rId13" w:type="default"/>
          <w:footerReference r:id="rId15" w:type="default"/>
          <w:headerReference r:id="rId14" w:type="even"/>
          <w:footerReference r:id="rId16" w:type="even"/>
          <w:pgSz w:w="11906" w:h="16838"/>
          <w:pgMar w:top="2410" w:right="1134" w:bottom="1134" w:left="1134" w:header="1418" w:footer="1134" w:gutter="284"/>
          <w:pgNumType w:fmt="upperRoman" w:start="3"/>
          <w:cols w:space="425" w:num="1"/>
          <w:formProt w:val="0"/>
          <w:docGrid w:linePitch="312" w:charSpace="0"/>
        </w:sectPr>
      </w:pPr>
    </w:p>
    <w:bookmarkEnd w:id="3"/>
    <w:p>
      <w:pPr>
        <w:spacing w:line="20" w:lineRule="exact"/>
        <w:jc w:val="center"/>
        <w:rPr>
          <w:rFonts w:ascii="黑体" w:hAnsi="黑体" w:eastAsia="黑体"/>
          <w:sz w:val="32"/>
          <w:szCs w:val="32"/>
        </w:rPr>
      </w:pPr>
      <w:bookmarkStart w:id="4" w:name="BookMark4"/>
    </w:p>
    <w:p>
      <w:pPr>
        <w:spacing w:line="20" w:lineRule="exact"/>
        <w:jc w:val="center"/>
        <w:rPr>
          <w:rFonts w:ascii="黑体" w:hAnsi="黑体" w:eastAsia="黑体"/>
          <w:sz w:val="32"/>
          <w:szCs w:val="32"/>
        </w:rPr>
      </w:pPr>
    </w:p>
    <w:sdt>
      <w:sdtPr>
        <w:tag w:val="NEW_STAND_NAME"/>
        <w:id w:val="595910757"/>
        <w:lock w:val="sdtLocked"/>
        <w:placeholder>
          <w:docPart w:val="7B7675CCFB074D529C391823AC2DAA98"/>
        </w:placeholder>
      </w:sdtPr>
      <w:sdtContent>
        <w:sdt>
          <w:sdtPr>
            <w:tag w:val="NEW_STAND_NAME"/>
            <w:id w:val="-1041903814"/>
            <w:placeholder>
              <w:docPart w:val="0FF4879392B04B938B08D4E54996C184"/>
            </w:placeholder>
          </w:sdtPr>
          <w:sdtContent>
            <w:p>
              <w:pPr>
                <w:pStyle w:val="180"/>
                <w:spacing w:before="240" w:beforeLines="100" w:after="528" w:afterLines="220"/>
              </w:pPr>
              <w:bookmarkStart w:id="5" w:name="NEW_STAND_NAME"/>
              <w:r>
                <w:rPr>
                  <w:rFonts w:hint="eastAsia"/>
                </w:rPr>
                <w:t>蒲江柑橘产品质量分级</w:t>
              </w:r>
            </w:p>
          </w:sdtContent>
        </w:sdt>
      </w:sdtContent>
    </w:sdt>
    <w:bookmarkEnd w:id="5"/>
    <w:p>
      <w:pPr>
        <w:pStyle w:val="107"/>
        <w:numPr>
          <w:ilvl w:val="1"/>
          <w:numId w:val="31"/>
        </w:numPr>
        <w:spacing w:before="240" w:after="240"/>
      </w:pPr>
      <w:bookmarkStart w:id="6" w:name="_Toc26648465"/>
      <w:bookmarkStart w:id="7" w:name="_Toc24884218"/>
      <w:bookmarkStart w:id="8" w:name="_Toc65162529"/>
      <w:bookmarkStart w:id="9" w:name="_Toc26718930"/>
      <w:bookmarkStart w:id="10" w:name="_Toc17233333"/>
      <w:bookmarkStart w:id="11" w:name="_Toc99553429"/>
      <w:bookmarkStart w:id="12" w:name="_Toc106180237"/>
      <w:bookmarkStart w:id="13" w:name="_Toc24884211"/>
      <w:bookmarkStart w:id="14" w:name="_Toc17233325"/>
      <w:bookmarkStart w:id="15" w:name="_Toc26986771"/>
      <w:bookmarkStart w:id="16" w:name="_Toc26986530"/>
      <w:r>
        <w:rPr>
          <w:rFonts w:hint="eastAsia"/>
        </w:rPr>
        <w:t>范围</w:t>
      </w:r>
      <w:bookmarkEnd w:id="6"/>
      <w:bookmarkEnd w:id="7"/>
      <w:bookmarkEnd w:id="8"/>
      <w:bookmarkEnd w:id="9"/>
      <w:bookmarkEnd w:id="10"/>
      <w:bookmarkEnd w:id="11"/>
      <w:bookmarkEnd w:id="12"/>
      <w:bookmarkEnd w:id="13"/>
      <w:bookmarkEnd w:id="14"/>
      <w:bookmarkEnd w:id="15"/>
      <w:bookmarkEnd w:id="16"/>
    </w:p>
    <w:p>
      <w:pPr>
        <w:pStyle w:val="59"/>
        <w:ind w:firstLine="420"/>
      </w:pPr>
      <w:bookmarkStart w:id="17" w:name="_Toc24884212"/>
      <w:bookmarkStart w:id="18" w:name="_Toc24884219"/>
      <w:bookmarkStart w:id="19" w:name="_Toc17233334"/>
      <w:bookmarkStart w:id="20" w:name="_Toc26648466"/>
      <w:bookmarkStart w:id="21" w:name="_Toc17233326"/>
      <w:r>
        <w:rPr>
          <w:rFonts w:hint="eastAsia"/>
        </w:rPr>
        <w:t>本文件规定了蒲江柑橘的分等</w:t>
      </w:r>
      <w:r>
        <w:rPr>
          <w:rFonts w:hint="eastAsia"/>
          <w:lang w:val="en-US" w:eastAsia="zh-CN"/>
        </w:rPr>
        <w:t>要求</w:t>
      </w:r>
      <w:r>
        <w:rPr>
          <w:rFonts w:hint="eastAsia"/>
        </w:rPr>
        <w:t>、分级</w:t>
      </w:r>
      <w:r>
        <w:rPr>
          <w:rFonts w:hint="eastAsia"/>
          <w:lang w:val="en-US" w:eastAsia="zh-CN"/>
        </w:rPr>
        <w:t>要求</w:t>
      </w:r>
      <w:r>
        <w:rPr>
          <w:rFonts w:hint="eastAsia"/>
        </w:rPr>
        <w:t>、检验方法、检验</w:t>
      </w:r>
      <w:bookmarkStart w:id="67" w:name="_GoBack"/>
      <w:bookmarkEnd w:id="67"/>
      <w:r>
        <w:rPr>
          <w:rFonts w:hint="eastAsia"/>
        </w:rPr>
        <w:t>规则、包装标志等要求。</w:t>
      </w:r>
    </w:p>
    <w:p>
      <w:pPr>
        <w:pStyle w:val="59"/>
        <w:ind w:firstLine="420"/>
      </w:pPr>
      <w:r>
        <w:rPr>
          <w:rFonts w:hint="eastAsia"/>
        </w:rPr>
        <w:t>本文件适用于蒲江丑柑产业协会生产的蒲江柑橘果品的质量分级，其他社会团体按照本协会的规定自愿采用。</w:t>
      </w:r>
    </w:p>
    <w:p>
      <w:pPr>
        <w:pStyle w:val="107"/>
        <w:numPr>
          <w:ilvl w:val="1"/>
          <w:numId w:val="31"/>
        </w:numPr>
        <w:spacing w:before="240" w:after="240"/>
      </w:pPr>
      <w:bookmarkStart w:id="22" w:name="_Toc65162530"/>
      <w:bookmarkStart w:id="23" w:name="_Toc26986531"/>
      <w:bookmarkStart w:id="24" w:name="_Toc106180238"/>
      <w:bookmarkStart w:id="25" w:name="_Toc26986772"/>
      <w:bookmarkStart w:id="26" w:name="_Toc99553430"/>
      <w:bookmarkStart w:id="27" w:name="_Toc26718931"/>
      <w:r>
        <w:rPr>
          <w:rFonts w:hint="eastAsia"/>
        </w:rPr>
        <w:t>规范性引用文件</w:t>
      </w:r>
      <w:bookmarkEnd w:id="17"/>
      <w:bookmarkEnd w:id="18"/>
      <w:bookmarkEnd w:id="19"/>
      <w:bookmarkEnd w:id="20"/>
      <w:bookmarkEnd w:id="21"/>
      <w:bookmarkEnd w:id="22"/>
      <w:bookmarkEnd w:id="23"/>
      <w:bookmarkEnd w:id="24"/>
      <w:bookmarkEnd w:id="25"/>
      <w:bookmarkEnd w:id="26"/>
      <w:bookmarkEnd w:id="27"/>
    </w:p>
    <w:sdt>
      <w:sdtPr>
        <w:rPr>
          <w:rFonts w:hint="eastAsia"/>
        </w:rPr>
        <w:id w:val="1605609436"/>
        <w:placeholder>
          <w:docPart w:val="A7DABD9CA6F647F2ACC2488CD1BD455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rPr>
              <w:rFonts w:ascii="Calibri" w:hAnsi="Calibri"/>
              <w:kern w:val="2"/>
              <w:szCs w:val="21"/>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pPr>
      <w:r>
        <w:rPr>
          <w:rFonts w:hint="eastAsia"/>
        </w:rPr>
        <w:t>GB/T 191  包装储运图示标志</w:t>
      </w:r>
    </w:p>
    <w:p>
      <w:pPr>
        <w:pStyle w:val="59"/>
        <w:ind w:firstLine="420"/>
      </w:pPr>
      <w:r>
        <w:rPr>
          <w:rFonts w:hint="eastAsia"/>
        </w:rPr>
        <w:t>GB/T 8210  柑桔鲜果检验方法</w:t>
      </w:r>
    </w:p>
    <w:p>
      <w:pPr>
        <w:pStyle w:val="59"/>
        <w:ind w:firstLine="420"/>
      </w:pPr>
      <w:r>
        <w:rPr>
          <w:rFonts w:hint="eastAsia"/>
        </w:rPr>
        <w:t>GB/T 40446  果品质量分级导则</w:t>
      </w:r>
    </w:p>
    <w:p>
      <w:pPr>
        <w:pStyle w:val="59"/>
        <w:ind w:firstLine="420"/>
      </w:pPr>
      <w:r>
        <w:rPr>
          <w:rFonts w:hint="eastAsia"/>
        </w:rPr>
        <w:t>NY/T 426  绿色食品 柑橘类水果</w:t>
      </w:r>
    </w:p>
    <w:p>
      <w:pPr>
        <w:pStyle w:val="59"/>
        <w:ind w:firstLine="420"/>
      </w:pPr>
      <w:r>
        <w:rPr>
          <w:rFonts w:hint="eastAsia"/>
        </w:rPr>
        <w:t>NY/T 896  绿色食品 产品抽样准则</w:t>
      </w:r>
    </w:p>
    <w:p>
      <w:pPr>
        <w:pStyle w:val="59"/>
        <w:ind w:firstLine="420"/>
      </w:pPr>
      <w:r>
        <w:rPr>
          <w:rFonts w:hint="eastAsia"/>
        </w:rPr>
        <w:t>NY/T 1190  柑橘等级规格</w:t>
      </w:r>
    </w:p>
    <w:p>
      <w:pPr>
        <w:pStyle w:val="107"/>
        <w:numPr>
          <w:ilvl w:val="1"/>
          <w:numId w:val="31"/>
        </w:numPr>
        <w:spacing w:before="240" w:after="240"/>
      </w:pPr>
      <w:bookmarkStart w:id="28" w:name="_Toc65162531"/>
      <w:bookmarkStart w:id="29" w:name="_Toc99553431"/>
      <w:bookmarkStart w:id="30" w:name="_Toc106180239"/>
      <w:r>
        <w:rPr>
          <w:rFonts w:hint="eastAsia"/>
        </w:rPr>
        <w:t>术语和定义</w:t>
      </w:r>
      <w:bookmarkEnd w:id="28"/>
      <w:bookmarkEnd w:id="29"/>
      <w:bookmarkEnd w:id="30"/>
    </w:p>
    <w:p>
      <w:pPr>
        <w:pStyle w:val="59"/>
        <w:ind w:firstLine="420"/>
      </w:pPr>
      <w:bookmarkStart w:id="31" w:name="_Toc26986532"/>
      <w:bookmarkEnd w:id="31"/>
      <w:bookmarkStart w:id="32" w:name="_Toc64994210"/>
      <w:bookmarkEnd w:id="32"/>
      <w:r>
        <w:rPr>
          <w:rFonts w:hint="eastAsia"/>
        </w:rPr>
        <w:t>GB/T 40446和NY/T 1190</w:t>
      </w:r>
      <w:r>
        <w:t>界定的</w:t>
      </w:r>
      <w:r>
        <w:rPr>
          <w:rFonts w:hint="eastAsia"/>
        </w:rPr>
        <w:t>术语和定义适用于本文件。</w:t>
      </w:r>
      <w:bookmarkStart w:id="33" w:name="_Toc65140081"/>
      <w:bookmarkEnd w:id="33"/>
      <w:bookmarkStart w:id="34" w:name="_Toc100838844"/>
      <w:bookmarkEnd w:id="34"/>
      <w:bookmarkStart w:id="35" w:name="_Toc99618072"/>
      <w:bookmarkEnd w:id="35"/>
      <w:bookmarkStart w:id="36" w:name="_Toc65152648"/>
      <w:bookmarkEnd w:id="36"/>
      <w:bookmarkStart w:id="37" w:name="_Toc100838845"/>
      <w:bookmarkEnd w:id="37"/>
      <w:bookmarkStart w:id="38" w:name="_Toc99553432"/>
      <w:bookmarkEnd w:id="38"/>
      <w:bookmarkStart w:id="39" w:name="_Toc65162532"/>
      <w:bookmarkEnd w:id="39"/>
      <w:bookmarkStart w:id="40" w:name="_Toc65162533"/>
    </w:p>
    <w:p>
      <w:pPr>
        <w:pStyle w:val="226"/>
        <w:numPr>
          <w:ilvl w:val="2"/>
          <w:numId w:val="31"/>
        </w:numPr>
        <w:ind w:left="420" w:hanging="420" w:hangingChars="200"/>
        <w:rPr>
          <w:rFonts w:ascii="黑体" w:eastAsia="黑体"/>
        </w:rPr>
      </w:pPr>
      <w:r>
        <w:rPr>
          <w:rFonts w:ascii="黑体" w:eastAsia="黑体"/>
        </w:rPr>
        <w:br w:type="textWrapping"/>
      </w:r>
      <w:r>
        <w:rPr>
          <w:rFonts w:hint="eastAsia" w:ascii="黑体" w:eastAsia="黑体"/>
        </w:rPr>
        <w:t>蒲江</w:t>
      </w:r>
      <w:r>
        <w:rPr>
          <w:rFonts w:ascii="黑体" w:eastAsia="黑体"/>
        </w:rPr>
        <w:t>柑橘</w:t>
      </w:r>
    </w:p>
    <w:p>
      <w:pPr>
        <w:pStyle w:val="59"/>
        <w:ind w:firstLine="420"/>
      </w:pPr>
      <w:r>
        <w:rPr>
          <w:rFonts w:hint="eastAsia"/>
        </w:rPr>
        <w:t>在蒲江县境内种植，以春见、爱媛38号、不知火、明日见、甘平等为主要品种，果品质量符合本文件要求及柑橘国家标准、行业标准及地方标准要求的柑橘果实。</w:t>
      </w:r>
    </w:p>
    <w:bookmarkEnd w:id="40"/>
    <w:p>
      <w:pPr>
        <w:pStyle w:val="107"/>
        <w:numPr>
          <w:ilvl w:val="1"/>
          <w:numId w:val="31"/>
        </w:numPr>
        <w:spacing w:before="240" w:after="240"/>
      </w:pPr>
      <w:bookmarkStart w:id="41" w:name="_Toc106180240"/>
      <w:r>
        <w:rPr>
          <w:rFonts w:hint="eastAsia"/>
        </w:rPr>
        <w:t>分等要求</w:t>
      </w:r>
      <w:bookmarkEnd w:id="41"/>
    </w:p>
    <w:p>
      <w:pPr>
        <w:pStyle w:val="108"/>
        <w:numPr>
          <w:ilvl w:val="2"/>
          <w:numId w:val="31"/>
        </w:numPr>
        <w:spacing w:before="120" w:after="120"/>
      </w:pPr>
      <w:bookmarkStart w:id="42" w:name="_Toc103844578"/>
      <w:bookmarkStart w:id="43" w:name="_Toc31861"/>
      <w:bookmarkStart w:id="44" w:name="_Toc103017061"/>
      <w:bookmarkStart w:id="45" w:name="_Toc106180241"/>
      <w:r>
        <w:t>基本要求</w:t>
      </w:r>
      <w:bookmarkEnd w:id="42"/>
      <w:bookmarkEnd w:id="43"/>
      <w:bookmarkEnd w:id="44"/>
      <w:bookmarkEnd w:id="45"/>
    </w:p>
    <w:p>
      <w:pPr>
        <w:pStyle w:val="59"/>
        <w:ind w:firstLine="420"/>
      </w:pPr>
      <w:bookmarkStart w:id="46" w:name="_Toc14380"/>
      <w:bookmarkStart w:id="47" w:name="_Toc103017062"/>
      <w:r>
        <w:rPr>
          <w:rFonts w:hint="eastAsia"/>
        </w:rPr>
        <w:t>所有柑橘产品应满足以下基本要求：</w:t>
      </w:r>
    </w:p>
    <w:p>
      <w:pPr>
        <w:pStyle w:val="59"/>
        <w:ind w:firstLine="420"/>
      </w:pPr>
      <w:r>
        <w:rPr>
          <w:rFonts w:hint="eastAsia"/>
        </w:rPr>
        <w:t>——果实完整新鲜、风味正常，无明显缺陷；</w:t>
      </w:r>
    </w:p>
    <w:p>
      <w:pPr>
        <w:pStyle w:val="59"/>
        <w:ind w:firstLine="420"/>
      </w:pPr>
      <w:r>
        <w:rPr>
          <w:rFonts w:hint="eastAsia"/>
        </w:rPr>
        <w:t>——果实达到适于市场或贮运要求的成熟度；</w:t>
      </w:r>
    </w:p>
    <w:p>
      <w:pPr>
        <w:pStyle w:val="59"/>
        <w:ind w:left="850" w:leftChars="203" w:hanging="424" w:hangingChars="202"/>
        <w:jc w:val="left"/>
      </w:pPr>
      <w:r>
        <w:rPr>
          <w:rFonts w:hint="eastAsia"/>
        </w:rPr>
        <w:t>——具有品种的典型特征，果实可溶性固形物含量应达到蒲江县农业农村局每年度发布的柑橘适采期和采摘标准的相关规定。</w:t>
      </w:r>
    </w:p>
    <w:bookmarkEnd w:id="46"/>
    <w:bookmarkEnd w:id="47"/>
    <w:p>
      <w:pPr>
        <w:pStyle w:val="108"/>
        <w:numPr>
          <w:ilvl w:val="2"/>
          <w:numId w:val="31"/>
        </w:numPr>
        <w:spacing w:before="120" w:after="120"/>
      </w:pPr>
      <w:bookmarkStart w:id="48" w:name="_Toc106180242"/>
      <w:r>
        <w:rPr>
          <w:rFonts w:hint="eastAsia"/>
        </w:rPr>
        <w:t>感官指标</w:t>
      </w:r>
      <w:bookmarkEnd w:id="48"/>
    </w:p>
    <w:p>
      <w:pPr>
        <w:pStyle w:val="59"/>
        <w:ind w:firstLine="420"/>
      </w:pPr>
      <w:r>
        <w:rPr>
          <w:rFonts w:hint="eastAsia"/>
        </w:rPr>
        <w:t>将达到基本要求的蒲江柑橘鲜果分为特等品、一等品、二等品，各等别应符合表1规定。</w:t>
      </w:r>
    </w:p>
    <w:p>
      <w:pPr>
        <w:pStyle w:val="59"/>
        <w:spacing w:before="120" w:beforeLines="50" w:after="120" w:afterLines="50"/>
        <w:ind w:firstLine="420"/>
        <w:jc w:val="center"/>
        <w:rPr>
          <w:rFonts w:ascii="黑体" w:hAnsi="黑体" w:eastAsia="黑体"/>
        </w:rPr>
      </w:pPr>
      <w:r>
        <w:rPr>
          <w:rFonts w:hint="eastAsia" w:ascii="黑体" w:hAnsi="黑体" w:eastAsia="黑体"/>
        </w:rPr>
        <w:t>表1  蒲江柑橘分等要求</w:t>
      </w:r>
    </w:p>
    <w:tbl>
      <w:tblPr>
        <w:tblStyle w:val="27"/>
        <w:tblW w:w="0" w:type="auto"/>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2737"/>
        <w:gridCol w:w="2494"/>
        <w:gridCol w:w="27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9" w:type="dxa"/>
            <w:tcBorders>
              <w:bottom w:val="single" w:color="auto" w:sz="12" w:space="0"/>
            </w:tcBorders>
          </w:tcPr>
          <w:p>
            <w:pPr>
              <w:pStyle w:val="59"/>
              <w:ind w:firstLine="0" w:firstLineChars="0"/>
              <w:jc w:val="center"/>
              <w:rPr>
                <w:sz w:val="18"/>
                <w:szCs w:val="18"/>
              </w:rPr>
            </w:pPr>
            <w:r>
              <w:rPr>
                <w:rFonts w:hint="eastAsia"/>
                <w:sz w:val="18"/>
                <w:szCs w:val="18"/>
              </w:rPr>
              <w:t>项目</w:t>
            </w:r>
          </w:p>
        </w:tc>
        <w:tc>
          <w:tcPr>
            <w:tcW w:w="2737" w:type="dxa"/>
            <w:tcBorders>
              <w:bottom w:val="single" w:color="auto" w:sz="12" w:space="0"/>
            </w:tcBorders>
          </w:tcPr>
          <w:p>
            <w:pPr>
              <w:pStyle w:val="59"/>
              <w:ind w:firstLine="0" w:firstLineChars="0"/>
              <w:jc w:val="center"/>
              <w:rPr>
                <w:sz w:val="18"/>
                <w:szCs w:val="18"/>
              </w:rPr>
            </w:pPr>
            <w:r>
              <w:rPr>
                <w:rFonts w:hint="eastAsia"/>
                <w:sz w:val="18"/>
                <w:szCs w:val="18"/>
              </w:rPr>
              <w:t>特等品</w:t>
            </w:r>
          </w:p>
        </w:tc>
        <w:tc>
          <w:tcPr>
            <w:tcW w:w="2494" w:type="dxa"/>
            <w:tcBorders>
              <w:bottom w:val="single" w:color="auto" w:sz="12" w:space="0"/>
            </w:tcBorders>
          </w:tcPr>
          <w:p>
            <w:pPr>
              <w:pStyle w:val="59"/>
              <w:ind w:firstLine="0" w:firstLineChars="0"/>
              <w:jc w:val="center"/>
              <w:rPr>
                <w:sz w:val="18"/>
                <w:szCs w:val="18"/>
              </w:rPr>
            </w:pPr>
            <w:r>
              <w:rPr>
                <w:rFonts w:hint="eastAsia"/>
                <w:sz w:val="18"/>
                <w:szCs w:val="18"/>
              </w:rPr>
              <w:t>一等品</w:t>
            </w:r>
          </w:p>
        </w:tc>
        <w:tc>
          <w:tcPr>
            <w:tcW w:w="2738" w:type="dxa"/>
            <w:tcBorders>
              <w:bottom w:val="single" w:color="auto" w:sz="12" w:space="0"/>
            </w:tcBorders>
          </w:tcPr>
          <w:p>
            <w:pPr>
              <w:pStyle w:val="59"/>
              <w:ind w:firstLine="0" w:firstLineChars="0"/>
              <w:jc w:val="center"/>
              <w:rPr>
                <w:sz w:val="18"/>
                <w:szCs w:val="18"/>
              </w:rPr>
            </w:pPr>
            <w:r>
              <w:rPr>
                <w:rFonts w:hint="eastAsia"/>
                <w:sz w:val="18"/>
                <w:szCs w:val="18"/>
              </w:rPr>
              <w:t>二等品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69" w:type="dxa"/>
            <w:tcBorders>
              <w:top w:val="single" w:color="auto" w:sz="12" w:space="0"/>
              <w:tl2br w:val="nil"/>
              <w:tr2bl w:val="nil"/>
            </w:tcBorders>
            <w:vAlign w:val="center"/>
          </w:tcPr>
          <w:p>
            <w:pPr>
              <w:pStyle w:val="59"/>
              <w:ind w:firstLine="0" w:firstLineChars="0"/>
              <w:jc w:val="center"/>
              <w:rPr>
                <w:sz w:val="18"/>
                <w:szCs w:val="18"/>
              </w:rPr>
            </w:pPr>
            <w:r>
              <w:rPr>
                <w:rFonts w:hint="eastAsia"/>
                <w:sz w:val="18"/>
                <w:szCs w:val="18"/>
              </w:rPr>
              <w:t>果形</w:t>
            </w:r>
          </w:p>
        </w:tc>
        <w:tc>
          <w:tcPr>
            <w:tcW w:w="7969" w:type="dxa"/>
            <w:gridSpan w:val="3"/>
            <w:tcBorders>
              <w:top w:val="single" w:color="auto" w:sz="12" w:space="0"/>
              <w:tl2br w:val="nil"/>
              <w:tr2bl w:val="nil"/>
            </w:tcBorders>
          </w:tcPr>
          <w:p>
            <w:pPr>
              <w:pStyle w:val="59"/>
              <w:ind w:firstLine="0" w:firstLineChars="0"/>
              <w:jc w:val="center"/>
              <w:rPr>
                <w:sz w:val="18"/>
                <w:szCs w:val="18"/>
              </w:rPr>
            </w:pPr>
            <w:r>
              <w:rPr>
                <w:rFonts w:hint="eastAsia"/>
                <w:sz w:val="18"/>
                <w:szCs w:val="18"/>
              </w:rPr>
              <w:t>具有该品种形状特征，果形端正，形状整齐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69" w:type="dxa"/>
            <w:tcBorders>
              <w:tl2br w:val="nil"/>
              <w:tr2bl w:val="nil"/>
            </w:tcBorders>
            <w:vAlign w:val="center"/>
          </w:tcPr>
          <w:p>
            <w:pPr>
              <w:pStyle w:val="59"/>
              <w:ind w:firstLine="0" w:firstLineChars="0"/>
              <w:jc w:val="center"/>
              <w:rPr>
                <w:sz w:val="18"/>
                <w:szCs w:val="18"/>
              </w:rPr>
            </w:pPr>
            <w:r>
              <w:rPr>
                <w:rFonts w:hint="eastAsia"/>
                <w:sz w:val="18"/>
                <w:szCs w:val="18"/>
              </w:rPr>
              <w:t>色泽</w:t>
            </w:r>
          </w:p>
        </w:tc>
        <w:tc>
          <w:tcPr>
            <w:tcW w:w="7969" w:type="dxa"/>
            <w:gridSpan w:val="3"/>
            <w:tcBorders>
              <w:tl2br w:val="nil"/>
              <w:tr2bl w:val="nil"/>
            </w:tcBorders>
          </w:tcPr>
          <w:p>
            <w:pPr>
              <w:pStyle w:val="59"/>
              <w:ind w:firstLine="0" w:firstLineChars="0"/>
              <w:jc w:val="center"/>
              <w:rPr>
                <w:sz w:val="18"/>
                <w:szCs w:val="18"/>
              </w:rPr>
            </w:pPr>
            <w:r>
              <w:rPr>
                <w:rFonts w:hint="eastAsia"/>
                <w:sz w:val="18"/>
                <w:szCs w:val="18"/>
              </w:rPr>
              <w:t>具有该品种典型色泽，色泽均匀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69" w:type="dxa"/>
            <w:tcBorders>
              <w:tl2br w:val="nil"/>
              <w:tr2bl w:val="nil"/>
            </w:tcBorders>
            <w:vAlign w:val="center"/>
          </w:tcPr>
          <w:p>
            <w:pPr>
              <w:pStyle w:val="59"/>
              <w:ind w:firstLine="0" w:firstLineChars="0"/>
              <w:jc w:val="center"/>
              <w:rPr>
                <w:sz w:val="18"/>
                <w:szCs w:val="18"/>
              </w:rPr>
            </w:pPr>
            <w:r>
              <w:rPr>
                <w:rFonts w:hint="eastAsia"/>
                <w:sz w:val="18"/>
                <w:szCs w:val="18"/>
              </w:rPr>
              <w:t>缺陷</w:t>
            </w:r>
          </w:p>
        </w:tc>
        <w:tc>
          <w:tcPr>
            <w:tcW w:w="2737" w:type="dxa"/>
            <w:tcBorders>
              <w:tl2br w:val="nil"/>
              <w:tr2bl w:val="nil"/>
            </w:tcBorders>
          </w:tcPr>
          <w:p>
            <w:pPr>
              <w:pStyle w:val="59"/>
              <w:ind w:firstLine="0" w:firstLineChars="0"/>
              <w:jc w:val="left"/>
              <w:rPr>
                <w:sz w:val="18"/>
                <w:szCs w:val="18"/>
              </w:rPr>
            </w:pPr>
            <w:r>
              <w:rPr>
                <w:rFonts w:hint="eastAsia"/>
                <w:sz w:val="18"/>
                <w:szCs w:val="18"/>
              </w:rPr>
              <w:t>无雹伤、日灼、干疤；允许轻微油斑、菌斑、药迹等缺陷。单果斑点不超过2个，斑点直径小于1.5mm；无水肿、枯水、浮皮果</w:t>
            </w:r>
          </w:p>
        </w:tc>
        <w:tc>
          <w:tcPr>
            <w:tcW w:w="2494" w:type="dxa"/>
            <w:tcBorders>
              <w:tl2br w:val="nil"/>
              <w:tr2bl w:val="nil"/>
            </w:tcBorders>
          </w:tcPr>
          <w:p>
            <w:pPr>
              <w:pStyle w:val="59"/>
              <w:ind w:firstLine="0" w:firstLineChars="0"/>
              <w:jc w:val="left"/>
              <w:rPr>
                <w:sz w:val="18"/>
                <w:szCs w:val="18"/>
              </w:rPr>
            </w:pPr>
            <w:r>
              <w:rPr>
                <w:rFonts w:hint="eastAsia"/>
                <w:sz w:val="18"/>
                <w:szCs w:val="18"/>
              </w:rPr>
              <w:t>无雹伤、允许单果有轻微日灼、干疤、油斑、菌斑、药迹等缺陷。单果斑点不超过4个，斑点直径小于2.5mm；无水肿、枯水、浮皮果</w:t>
            </w:r>
          </w:p>
        </w:tc>
        <w:tc>
          <w:tcPr>
            <w:tcW w:w="2738" w:type="dxa"/>
            <w:tcBorders>
              <w:tl2br w:val="nil"/>
              <w:tr2bl w:val="nil"/>
            </w:tcBorders>
          </w:tcPr>
          <w:p>
            <w:pPr>
              <w:pStyle w:val="59"/>
              <w:ind w:firstLine="0" w:firstLineChars="0"/>
              <w:jc w:val="left"/>
              <w:rPr>
                <w:sz w:val="18"/>
                <w:szCs w:val="18"/>
              </w:rPr>
            </w:pPr>
            <w:r>
              <w:rPr>
                <w:rFonts w:hint="eastAsia"/>
                <w:sz w:val="18"/>
                <w:szCs w:val="18"/>
              </w:rPr>
              <w:t>无雹伤、允许轻微日灼、干疤、油斑、菌斑、药迹等缺陷。单果斑点不超过6个，斑点直径小于3.0mm；无水肿、枯水、浮皮果</w:t>
            </w:r>
          </w:p>
        </w:tc>
      </w:tr>
    </w:tbl>
    <w:p>
      <w:pPr>
        <w:pStyle w:val="59"/>
        <w:ind w:firstLine="360"/>
        <w:jc w:val="center"/>
        <w:rPr>
          <w:rFonts w:ascii="黑体" w:hAnsi="黑体" w:eastAsia="黑体"/>
          <w:sz w:val="18"/>
        </w:rPr>
      </w:pPr>
    </w:p>
    <w:p>
      <w:pPr>
        <w:pStyle w:val="108"/>
        <w:numPr>
          <w:ilvl w:val="2"/>
          <w:numId w:val="31"/>
        </w:numPr>
        <w:spacing w:before="120" w:after="120"/>
      </w:pPr>
      <w:bookmarkStart w:id="49" w:name="_Toc106180243"/>
      <w:bookmarkStart w:id="50" w:name="_Toc20268"/>
      <w:bookmarkStart w:id="51" w:name="_Toc103017063"/>
      <w:bookmarkStart w:id="52" w:name="_Toc103844580"/>
      <w:bookmarkStart w:id="53" w:name="_Toc100647285"/>
      <w:r>
        <w:rPr>
          <w:rFonts w:hint="eastAsia"/>
        </w:rPr>
        <w:t>安全指标</w:t>
      </w:r>
      <w:bookmarkEnd w:id="49"/>
    </w:p>
    <w:p>
      <w:pPr>
        <w:pStyle w:val="59"/>
        <w:ind w:firstLine="420"/>
      </w:pPr>
      <w:r>
        <w:rPr>
          <w:rFonts w:hint="eastAsia"/>
        </w:rPr>
        <w:t>各等别果品的污染物和农药残留限量应符合NY/T 426的相关规定。</w:t>
      </w:r>
    </w:p>
    <w:bookmarkEnd w:id="50"/>
    <w:bookmarkEnd w:id="51"/>
    <w:bookmarkEnd w:id="52"/>
    <w:p>
      <w:pPr>
        <w:pStyle w:val="107"/>
        <w:numPr>
          <w:ilvl w:val="1"/>
          <w:numId w:val="31"/>
        </w:numPr>
        <w:spacing w:before="240" w:after="240"/>
      </w:pPr>
      <w:bookmarkStart w:id="54" w:name="_Toc106180244"/>
      <w:r>
        <w:rPr>
          <w:rFonts w:hint="eastAsia"/>
        </w:rPr>
        <w:t>分级</w:t>
      </w:r>
      <w:bookmarkEnd w:id="54"/>
      <w:r>
        <w:rPr>
          <w:rFonts w:hint="eastAsia"/>
        </w:rPr>
        <w:t>要求</w:t>
      </w:r>
    </w:p>
    <w:p>
      <w:pPr>
        <w:pStyle w:val="59"/>
        <w:ind w:firstLine="420"/>
      </w:pPr>
      <w:r>
        <w:rPr>
          <w:rFonts w:hint="eastAsia" w:hAnsi="宋体"/>
          <w:szCs w:val="21"/>
        </w:rPr>
        <w:t>同等别蒲江柑</w:t>
      </w:r>
      <w:r>
        <w:rPr>
          <w:rFonts w:hint="eastAsia"/>
        </w:rPr>
        <w:t>橘果品根据自然生长状态下的单果横径大小，分为L、M、S三种规格，果实横径大于L或小于S均视为等外果，具体见表2。</w:t>
      </w:r>
    </w:p>
    <w:p>
      <w:pPr>
        <w:pStyle w:val="59"/>
        <w:spacing w:before="120" w:beforeLines="50" w:after="120" w:afterLines="50"/>
        <w:ind w:firstLine="420"/>
        <w:jc w:val="center"/>
        <w:rPr>
          <w:rFonts w:ascii="黑体" w:hAnsi="黑体" w:eastAsia="黑体"/>
        </w:rPr>
      </w:pPr>
      <w:r>
        <w:rPr>
          <w:rFonts w:hint="eastAsia" w:ascii="黑体" w:hAnsi="黑体" w:eastAsia="黑体"/>
        </w:rPr>
        <w:t>表2  蒲江柑橘分级要求</w:t>
      </w:r>
    </w:p>
    <w:tbl>
      <w:tblPr>
        <w:tblStyle w:val="27"/>
        <w:tblW w:w="0" w:type="auto"/>
        <w:tblInd w:w="25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2597"/>
        <w:gridCol w:w="1753"/>
        <w:gridCol w:w="1860"/>
        <w:gridCol w:w="18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6" w:type="dxa"/>
            <w:vMerge w:val="restart"/>
            <w:vAlign w:val="center"/>
          </w:tcPr>
          <w:p>
            <w:pPr>
              <w:pStyle w:val="59"/>
              <w:ind w:firstLine="0" w:firstLineChars="0"/>
              <w:jc w:val="center"/>
              <w:rPr>
                <w:sz w:val="18"/>
                <w:szCs w:val="18"/>
              </w:rPr>
            </w:pPr>
            <w:r>
              <w:rPr>
                <w:rFonts w:hint="eastAsia"/>
                <w:sz w:val="18"/>
                <w:szCs w:val="18"/>
              </w:rPr>
              <w:t>品种</w:t>
            </w:r>
          </w:p>
        </w:tc>
        <w:tc>
          <w:tcPr>
            <w:tcW w:w="8044" w:type="dxa"/>
            <w:gridSpan w:val="4"/>
          </w:tcPr>
          <w:p>
            <w:pPr>
              <w:pStyle w:val="59"/>
              <w:ind w:firstLine="0" w:firstLineChars="0"/>
              <w:jc w:val="center"/>
              <w:rPr>
                <w:sz w:val="18"/>
                <w:szCs w:val="18"/>
              </w:rPr>
            </w:pPr>
            <w:r>
              <w:rPr>
                <w:rFonts w:hint="eastAsia"/>
                <w:sz w:val="18"/>
                <w:szCs w:val="18"/>
              </w:rPr>
              <w:t>横径（mm）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6" w:type="dxa"/>
            <w:vMerge w:val="continue"/>
            <w:tcBorders>
              <w:bottom w:val="single" w:color="auto" w:sz="12" w:space="0"/>
            </w:tcBorders>
          </w:tcPr>
          <w:p>
            <w:pPr>
              <w:pStyle w:val="59"/>
              <w:ind w:firstLine="0" w:firstLineChars="0"/>
              <w:jc w:val="center"/>
              <w:rPr>
                <w:sz w:val="18"/>
                <w:szCs w:val="18"/>
              </w:rPr>
            </w:pPr>
          </w:p>
        </w:tc>
        <w:tc>
          <w:tcPr>
            <w:tcW w:w="2597" w:type="dxa"/>
            <w:tcBorders>
              <w:bottom w:val="single" w:color="auto" w:sz="12" w:space="0"/>
            </w:tcBorders>
          </w:tcPr>
          <w:p>
            <w:pPr>
              <w:pStyle w:val="59"/>
              <w:ind w:firstLine="0" w:firstLineChars="0"/>
              <w:jc w:val="center"/>
              <w:rPr>
                <w:sz w:val="18"/>
                <w:szCs w:val="18"/>
              </w:rPr>
            </w:pPr>
            <w:r>
              <w:rPr>
                <w:rFonts w:hint="eastAsia"/>
                <w:sz w:val="18"/>
                <w:szCs w:val="18"/>
              </w:rPr>
              <w:t>L</w:t>
            </w:r>
          </w:p>
        </w:tc>
        <w:tc>
          <w:tcPr>
            <w:tcW w:w="1753" w:type="dxa"/>
            <w:tcBorders>
              <w:bottom w:val="single" w:color="auto" w:sz="12" w:space="0"/>
            </w:tcBorders>
          </w:tcPr>
          <w:p>
            <w:pPr>
              <w:pStyle w:val="59"/>
              <w:ind w:firstLine="0" w:firstLineChars="0"/>
              <w:jc w:val="center"/>
              <w:rPr>
                <w:sz w:val="18"/>
                <w:szCs w:val="18"/>
              </w:rPr>
            </w:pPr>
            <w:r>
              <w:rPr>
                <w:rFonts w:hint="eastAsia"/>
                <w:sz w:val="18"/>
                <w:szCs w:val="18"/>
              </w:rPr>
              <w:t>M</w:t>
            </w:r>
          </w:p>
        </w:tc>
        <w:tc>
          <w:tcPr>
            <w:tcW w:w="1860" w:type="dxa"/>
            <w:tcBorders>
              <w:bottom w:val="single" w:color="auto" w:sz="12" w:space="0"/>
            </w:tcBorders>
          </w:tcPr>
          <w:p>
            <w:pPr>
              <w:pStyle w:val="59"/>
              <w:ind w:firstLine="0" w:firstLineChars="0"/>
              <w:jc w:val="center"/>
              <w:rPr>
                <w:sz w:val="18"/>
                <w:szCs w:val="18"/>
              </w:rPr>
            </w:pPr>
            <w:r>
              <w:rPr>
                <w:rFonts w:hint="eastAsia"/>
                <w:sz w:val="18"/>
                <w:szCs w:val="18"/>
              </w:rPr>
              <w:t>S</w:t>
            </w:r>
          </w:p>
        </w:tc>
        <w:tc>
          <w:tcPr>
            <w:tcW w:w="1834" w:type="dxa"/>
            <w:tcBorders>
              <w:bottom w:val="single" w:color="auto" w:sz="12" w:space="0"/>
            </w:tcBorders>
          </w:tcPr>
          <w:p>
            <w:pPr>
              <w:pStyle w:val="59"/>
              <w:ind w:firstLine="0" w:firstLineChars="0"/>
              <w:jc w:val="center"/>
              <w:rPr>
                <w:sz w:val="18"/>
                <w:szCs w:val="18"/>
              </w:rPr>
            </w:pPr>
            <w:r>
              <w:rPr>
                <w:sz w:val="18"/>
                <w:szCs w:val="18"/>
              </w:rPr>
              <w:t>等外果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276" w:type="dxa"/>
            <w:tcBorders>
              <w:top w:val="single" w:color="auto" w:sz="12" w:space="0"/>
              <w:tl2br w:val="nil"/>
              <w:tr2bl w:val="nil"/>
            </w:tcBorders>
            <w:vAlign w:val="center"/>
          </w:tcPr>
          <w:p>
            <w:pPr>
              <w:pStyle w:val="59"/>
              <w:ind w:firstLine="0" w:firstLineChars="0"/>
              <w:jc w:val="center"/>
              <w:rPr>
                <w:sz w:val="18"/>
                <w:szCs w:val="18"/>
              </w:rPr>
            </w:pPr>
            <w:r>
              <w:rPr>
                <w:rFonts w:hint="eastAsia"/>
                <w:sz w:val="18"/>
                <w:szCs w:val="18"/>
              </w:rPr>
              <w:t>不知火</w:t>
            </w:r>
          </w:p>
        </w:tc>
        <w:tc>
          <w:tcPr>
            <w:tcW w:w="2597" w:type="dxa"/>
            <w:tcBorders>
              <w:top w:val="single" w:color="auto" w:sz="12" w:space="0"/>
              <w:tl2br w:val="nil"/>
              <w:tr2bl w:val="nil"/>
            </w:tcBorders>
          </w:tcPr>
          <w:p>
            <w:pPr>
              <w:pStyle w:val="59"/>
              <w:ind w:firstLine="0" w:firstLineChars="0"/>
              <w:jc w:val="center"/>
              <w:rPr>
                <w:sz w:val="18"/>
                <w:szCs w:val="18"/>
              </w:rPr>
            </w:pPr>
            <w:r>
              <w:rPr>
                <w:rFonts w:hint="eastAsia"/>
                <w:sz w:val="18"/>
                <w:szCs w:val="18"/>
              </w:rPr>
              <w:t>105～120</w:t>
            </w:r>
          </w:p>
        </w:tc>
        <w:tc>
          <w:tcPr>
            <w:tcW w:w="1753" w:type="dxa"/>
            <w:tcBorders>
              <w:top w:val="single" w:color="auto" w:sz="12" w:space="0"/>
              <w:tl2br w:val="nil"/>
              <w:tr2bl w:val="nil"/>
            </w:tcBorders>
          </w:tcPr>
          <w:p>
            <w:pPr>
              <w:pStyle w:val="59"/>
              <w:ind w:firstLine="0" w:firstLineChars="0"/>
              <w:jc w:val="center"/>
              <w:rPr>
                <w:sz w:val="18"/>
                <w:szCs w:val="18"/>
              </w:rPr>
            </w:pPr>
            <w:r>
              <w:rPr>
                <w:rFonts w:hint="eastAsia"/>
                <w:sz w:val="18"/>
                <w:szCs w:val="18"/>
              </w:rPr>
              <w:t>90～105</w:t>
            </w:r>
          </w:p>
        </w:tc>
        <w:tc>
          <w:tcPr>
            <w:tcW w:w="1860" w:type="dxa"/>
            <w:tcBorders>
              <w:top w:val="single" w:color="auto" w:sz="12" w:space="0"/>
              <w:tl2br w:val="nil"/>
              <w:tr2bl w:val="nil"/>
            </w:tcBorders>
          </w:tcPr>
          <w:p>
            <w:pPr>
              <w:pStyle w:val="59"/>
              <w:ind w:firstLine="0" w:firstLineChars="0"/>
              <w:jc w:val="center"/>
              <w:rPr>
                <w:sz w:val="18"/>
                <w:szCs w:val="18"/>
              </w:rPr>
            </w:pPr>
            <w:r>
              <w:rPr>
                <w:rFonts w:hint="eastAsia"/>
                <w:sz w:val="18"/>
                <w:szCs w:val="18"/>
              </w:rPr>
              <w:t>75～90</w:t>
            </w:r>
          </w:p>
        </w:tc>
        <w:tc>
          <w:tcPr>
            <w:tcW w:w="1834" w:type="dxa"/>
            <w:tcBorders>
              <w:top w:val="single" w:color="auto" w:sz="12" w:space="0"/>
              <w:tl2br w:val="nil"/>
              <w:tr2bl w:val="nil"/>
            </w:tcBorders>
          </w:tcPr>
          <w:p>
            <w:pPr>
              <w:pStyle w:val="59"/>
              <w:ind w:firstLine="0" w:firstLineChars="0"/>
              <w:jc w:val="center"/>
              <w:rPr>
                <w:sz w:val="18"/>
                <w:szCs w:val="18"/>
              </w:rPr>
            </w:pPr>
            <w:r>
              <w:rPr>
                <w:rFonts w:hint="eastAsia" w:ascii="Cambria Math" w:hAnsi="Cambria Math" w:cs="Cambria Math"/>
                <w:sz w:val="18"/>
                <w:szCs w:val="18"/>
              </w:rPr>
              <w:t>＜75或＞120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76" w:type="dxa"/>
            <w:tcBorders>
              <w:tl2br w:val="nil"/>
              <w:tr2bl w:val="nil"/>
            </w:tcBorders>
          </w:tcPr>
          <w:p>
            <w:pPr>
              <w:pStyle w:val="59"/>
              <w:ind w:firstLine="0" w:firstLineChars="0"/>
              <w:jc w:val="center"/>
              <w:rPr>
                <w:sz w:val="18"/>
                <w:szCs w:val="18"/>
              </w:rPr>
            </w:pPr>
            <w:r>
              <w:rPr>
                <w:rFonts w:hint="eastAsia"/>
                <w:sz w:val="18"/>
                <w:szCs w:val="18"/>
              </w:rPr>
              <w:t>春见</w:t>
            </w:r>
          </w:p>
        </w:tc>
        <w:tc>
          <w:tcPr>
            <w:tcW w:w="2597" w:type="dxa"/>
            <w:tcBorders>
              <w:tl2br w:val="nil"/>
              <w:tr2bl w:val="nil"/>
            </w:tcBorders>
          </w:tcPr>
          <w:p>
            <w:pPr>
              <w:pStyle w:val="59"/>
              <w:ind w:firstLine="0" w:firstLineChars="0"/>
              <w:jc w:val="center"/>
              <w:rPr>
                <w:sz w:val="18"/>
                <w:szCs w:val="18"/>
              </w:rPr>
            </w:pPr>
            <w:r>
              <w:rPr>
                <w:rFonts w:hint="eastAsia"/>
                <w:sz w:val="18"/>
                <w:szCs w:val="18"/>
              </w:rPr>
              <w:t>100～</w:t>
            </w:r>
            <w:r>
              <w:rPr>
                <w:sz w:val="18"/>
                <w:szCs w:val="18"/>
              </w:rPr>
              <w:t>1</w:t>
            </w:r>
            <w:r>
              <w:rPr>
                <w:rFonts w:hint="eastAsia"/>
                <w:sz w:val="18"/>
                <w:szCs w:val="18"/>
              </w:rPr>
              <w:t>15</w:t>
            </w:r>
          </w:p>
        </w:tc>
        <w:tc>
          <w:tcPr>
            <w:tcW w:w="1753" w:type="dxa"/>
            <w:tcBorders>
              <w:tl2br w:val="nil"/>
              <w:tr2bl w:val="nil"/>
            </w:tcBorders>
          </w:tcPr>
          <w:p>
            <w:pPr>
              <w:pStyle w:val="59"/>
              <w:ind w:firstLine="0" w:firstLineChars="0"/>
              <w:jc w:val="center"/>
              <w:rPr>
                <w:sz w:val="18"/>
                <w:szCs w:val="18"/>
              </w:rPr>
            </w:pPr>
            <w:r>
              <w:rPr>
                <w:sz w:val="18"/>
                <w:szCs w:val="18"/>
              </w:rPr>
              <w:t>8</w:t>
            </w:r>
            <w:r>
              <w:rPr>
                <w:rFonts w:hint="eastAsia"/>
                <w:sz w:val="18"/>
                <w:szCs w:val="18"/>
              </w:rPr>
              <w:t>5～100</w:t>
            </w:r>
          </w:p>
        </w:tc>
        <w:tc>
          <w:tcPr>
            <w:tcW w:w="1860" w:type="dxa"/>
            <w:tcBorders>
              <w:tl2br w:val="nil"/>
              <w:tr2bl w:val="nil"/>
            </w:tcBorders>
          </w:tcPr>
          <w:p>
            <w:pPr>
              <w:pStyle w:val="59"/>
              <w:ind w:firstLine="0" w:firstLineChars="0"/>
              <w:jc w:val="center"/>
              <w:rPr>
                <w:sz w:val="18"/>
                <w:szCs w:val="18"/>
              </w:rPr>
            </w:pPr>
            <w:r>
              <w:rPr>
                <w:sz w:val="18"/>
                <w:szCs w:val="18"/>
              </w:rPr>
              <w:t>70</w:t>
            </w:r>
            <w:r>
              <w:rPr>
                <w:rFonts w:hint="eastAsia"/>
                <w:sz w:val="18"/>
                <w:szCs w:val="18"/>
              </w:rPr>
              <w:t>～</w:t>
            </w:r>
            <w:r>
              <w:rPr>
                <w:sz w:val="18"/>
                <w:szCs w:val="18"/>
              </w:rPr>
              <w:t>8</w:t>
            </w:r>
            <w:r>
              <w:rPr>
                <w:rFonts w:hint="eastAsia"/>
                <w:sz w:val="18"/>
                <w:szCs w:val="18"/>
              </w:rPr>
              <w:t>5</w:t>
            </w:r>
          </w:p>
        </w:tc>
        <w:tc>
          <w:tcPr>
            <w:tcW w:w="1834" w:type="dxa"/>
            <w:tcBorders>
              <w:tl2br w:val="nil"/>
              <w:tr2bl w:val="nil"/>
            </w:tcBorders>
          </w:tcPr>
          <w:p>
            <w:pPr>
              <w:pStyle w:val="59"/>
              <w:ind w:firstLine="0" w:firstLineChars="0"/>
              <w:jc w:val="center"/>
              <w:rPr>
                <w:sz w:val="18"/>
                <w:szCs w:val="18"/>
              </w:rPr>
            </w:pPr>
            <w:r>
              <w:rPr>
                <w:rFonts w:hint="eastAsia" w:ascii="Cambria Math" w:hAnsi="Cambria Math" w:cs="Cambria Math"/>
                <w:sz w:val="18"/>
                <w:szCs w:val="18"/>
              </w:rPr>
              <w:t>＜70或＞</w:t>
            </w:r>
            <w:r>
              <w:rPr>
                <w:sz w:val="18"/>
                <w:szCs w:val="18"/>
              </w:rPr>
              <w:t>1</w:t>
            </w:r>
            <w:r>
              <w:rPr>
                <w:rFonts w:hint="eastAsia"/>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76" w:type="dxa"/>
            <w:tcBorders>
              <w:tl2br w:val="nil"/>
              <w:tr2bl w:val="nil"/>
            </w:tcBorders>
          </w:tcPr>
          <w:p>
            <w:pPr>
              <w:pStyle w:val="59"/>
              <w:ind w:firstLine="0" w:firstLineChars="0"/>
              <w:jc w:val="center"/>
              <w:rPr>
                <w:sz w:val="18"/>
                <w:szCs w:val="18"/>
              </w:rPr>
            </w:pPr>
            <w:r>
              <w:rPr>
                <w:rFonts w:hint="eastAsia"/>
                <w:sz w:val="18"/>
                <w:szCs w:val="18"/>
              </w:rPr>
              <w:t>爱媛</w:t>
            </w:r>
          </w:p>
        </w:tc>
        <w:tc>
          <w:tcPr>
            <w:tcW w:w="2597" w:type="dxa"/>
            <w:tcBorders>
              <w:tl2br w:val="nil"/>
              <w:tr2bl w:val="nil"/>
            </w:tcBorders>
          </w:tcPr>
          <w:p>
            <w:pPr>
              <w:pStyle w:val="59"/>
              <w:ind w:firstLine="0" w:firstLineChars="0"/>
              <w:jc w:val="center"/>
              <w:rPr>
                <w:sz w:val="18"/>
                <w:szCs w:val="18"/>
              </w:rPr>
            </w:pPr>
            <w:r>
              <w:rPr>
                <w:rFonts w:hint="eastAsia"/>
                <w:sz w:val="18"/>
                <w:szCs w:val="18"/>
              </w:rPr>
              <w:t>90～105</w:t>
            </w:r>
          </w:p>
        </w:tc>
        <w:tc>
          <w:tcPr>
            <w:tcW w:w="1753" w:type="dxa"/>
            <w:tcBorders>
              <w:tl2br w:val="nil"/>
              <w:tr2bl w:val="nil"/>
            </w:tcBorders>
          </w:tcPr>
          <w:p>
            <w:pPr>
              <w:pStyle w:val="59"/>
              <w:ind w:firstLine="0" w:firstLineChars="0"/>
              <w:jc w:val="center"/>
              <w:rPr>
                <w:sz w:val="18"/>
                <w:szCs w:val="18"/>
              </w:rPr>
            </w:pPr>
            <w:r>
              <w:rPr>
                <w:rFonts w:hint="eastAsia"/>
                <w:sz w:val="18"/>
                <w:szCs w:val="18"/>
              </w:rPr>
              <w:t>80～90</w:t>
            </w:r>
          </w:p>
        </w:tc>
        <w:tc>
          <w:tcPr>
            <w:tcW w:w="1860" w:type="dxa"/>
            <w:tcBorders>
              <w:tl2br w:val="nil"/>
              <w:tr2bl w:val="nil"/>
            </w:tcBorders>
          </w:tcPr>
          <w:p>
            <w:pPr>
              <w:pStyle w:val="59"/>
              <w:ind w:firstLine="0" w:firstLineChars="0"/>
              <w:jc w:val="center"/>
              <w:rPr>
                <w:sz w:val="18"/>
                <w:szCs w:val="18"/>
              </w:rPr>
            </w:pPr>
            <w:r>
              <w:rPr>
                <w:rFonts w:hint="eastAsia"/>
                <w:sz w:val="18"/>
                <w:szCs w:val="18"/>
              </w:rPr>
              <w:t>70～80</w:t>
            </w:r>
          </w:p>
        </w:tc>
        <w:tc>
          <w:tcPr>
            <w:tcW w:w="1834" w:type="dxa"/>
            <w:tcBorders>
              <w:tl2br w:val="nil"/>
              <w:tr2bl w:val="nil"/>
            </w:tcBorders>
          </w:tcPr>
          <w:p>
            <w:pPr>
              <w:pStyle w:val="59"/>
              <w:ind w:firstLine="0" w:firstLineChars="0"/>
              <w:jc w:val="center"/>
              <w:rPr>
                <w:sz w:val="18"/>
                <w:szCs w:val="18"/>
              </w:rPr>
            </w:pPr>
            <w:r>
              <w:rPr>
                <w:rFonts w:hint="eastAsia" w:ascii="Cambria Math" w:hAnsi="Cambria Math" w:cs="Cambria Math"/>
                <w:sz w:val="18"/>
                <w:szCs w:val="18"/>
              </w:rPr>
              <w:t>＜65或＞95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76" w:type="dxa"/>
            <w:tcBorders>
              <w:tl2br w:val="nil"/>
              <w:tr2bl w:val="nil"/>
            </w:tcBorders>
          </w:tcPr>
          <w:p>
            <w:pPr>
              <w:pStyle w:val="59"/>
              <w:ind w:firstLine="0" w:firstLineChars="0"/>
              <w:jc w:val="center"/>
              <w:rPr>
                <w:sz w:val="18"/>
                <w:szCs w:val="18"/>
              </w:rPr>
            </w:pPr>
            <w:r>
              <w:rPr>
                <w:rFonts w:hint="eastAsia"/>
                <w:sz w:val="18"/>
                <w:szCs w:val="18"/>
              </w:rPr>
              <w:t>明日见</w:t>
            </w:r>
          </w:p>
        </w:tc>
        <w:tc>
          <w:tcPr>
            <w:tcW w:w="2597" w:type="dxa"/>
            <w:tcBorders>
              <w:tl2br w:val="nil"/>
              <w:tr2bl w:val="nil"/>
            </w:tcBorders>
          </w:tcPr>
          <w:p>
            <w:pPr>
              <w:pStyle w:val="59"/>
              <w:ind w:firstLine="0" w:firstLineChars="0"/>
              <w:jc w:val="center"/>
              <w:rPr>
                <w:sz w:val="18"/>
                <w:szCs w:val="18"/>
              </w:rPr>
            </w:pPr>
            <w:r>
              <w:rPr>
                <w:sz w:val="18"/>
                <w:szCs w:val="18"/>
              </w:rPr>
              <w:t>8</w:t>
            </w:r>
            <w:r>
              <w:rPr>
                <w:rFonts w:hint="eastAsia"/>
                <w:sz w:val="18"/>
                <w:szCs w:val="18"/>
              </w:rPr>
              <w:t>5～100</w:t>
            </w:r>
          </w:p>
        </w:tc>
        <w:tc>
          <w:tcPr>
            <w:tcW w:w="1753" w:type="dxa"/>
            <w:tcBorders>
              <w:tl2br w:val="nil"/>
              <w:tr2bl w:val="nil"/>
            </w:tcBorders>
          </w:tcPr>
          <w:p>
            <w:pPr>
              <w:pStyle w:val="59"/>
              <w:ind w:firstLine="0" w:firstLineChars="0"/>
              <w:jc w:val="center"/>
              <w:rPr>
                <w:sz w:val="18"/>
                <w:szCs w:val="18"/>
              </w:rPr>
            </w:pPr>
            <w:r>
              <w:rPr>
                <w:sz w:val="18"/>
                <w:szCs w:val="18"/>
              </w:rPr>
              <w:t>70</w:t>
            </w:r>
            <w:r>
              <w:rPr>
                <w:rFonts w:hint="eastAsia"/>
                <w:sz w:val="18"/>
                <w:szCs w:val="18"/>
              </w:rPr>
              <w:t>～</w:t>
            </w:r>
            <w:r>
              <w:rPr>
                <w:sz w:val="18"/>
                <w:szCs w:val="18"/>
              </w:rPr>
              <w:t>8</w:t>
            </w:r>
            <w:r>
              <w:rPr>
                <w:rFonts w:hint="eastAsia"/>
                <w:sz w:val="18"/>
                <w:szCs w:val="18"/>
              </w:rPr>
              <w:t>5</w:t>
            </w:r>
          </w:p>
        </w:tc>
        <w:tc>
          <w:tcPr>
            <w:tcW w:w="1860" w:type="dxa"/>
            <w:tcBorders>
              <w:tl2br w:val="nil"/>
              <w:tr2bl w:val="nil"/>
            </w:tcBorders>
          </w:tcPr>
          <w:p>
            <w:pPr>
              <w:pStyle w:val="59"/>
              <w:ind w:firstLine="0" w:firstLineChars="0"/>
              <w:jc w:val="center"/>
              <w:rPr>
                <w:sz w:val="18"/>
                <w:szCs w:val="18"/>
              </w:rPr>
            </w:pPr>
            <w:r>
              <w:rPr>
                <w:sz w:val="18"/>
                <w:szCs w:val="18"/>
              </w:rPr>
              <w:t>60</w:t>
            </w:r>
            <w:r>
              <w:rPr>
                <w:rFonts w:hint="eastAsia"/>
                <w:sz w:val="18"/>
                <w:szCs w:val="18"/>
              </w:rPr>
              <w:t>～</w:t>
            </w:r>
            <w:r>
              <w:rPr>
                <w:sz w:val="18"/>
                <w:szCs w:val="18"/>
              </w:rPr>
              <w:t>70</w:t>
            </w:r>
          </w:p>
        </w:tc>
        <w:tc>
          <w:tcPr>
            <w:tcW w:w="1834" w:type="dxa"/>
            <w:tcBorders>
              <w:tl2br w:val="nil"/>
              <w:tr2bl w:val="nil"/>
            </w:tcBorders>
          </w:tcPr>
          <w:p>
            <w:pPr>
              <w:pStyle w:val="59"/>
              <w:ind w:firstLine="0" w:firstLineChars="0"/>
              <w:jc w:val="center"/>
              <w:rPr>
                <w:sz w:val="18"/>
                <w:szCs w:val="18"/>
              </w:rPr>
            </w:pPr>
            <w:r>
              <w:rPr>
                <w:rFonts w:hint="eastAsia" w:ascii="Cambria Math" w:hAnsi="Cambria Math" w:cs="Cambria Math"/>
                <w:sz w:val="18"/>
                <w:szCs w:val="18"/>
              </w:rPr>
              <w:t>＜60或＞</w:t>
            </w:r>
            <w:r>
              <w:rPr>
                <w:rFonts w:hint="eastAsia"/>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276" w:type="dxa"/>
            <w:tcBorders>
              <w:tl2br w:val="nil"/>
              <w:tr2bl w:val="nil"/>
            </w:tcBorders>
          </w:tcPr>
          <w:p>
            <w:pPr>
              <w:pStyle w:val="59"/>
              <w:ind w:firstLine="0" w:firstLineChars="0"/>
              <w:jc w:val="center"/>
              <w:rPr>
                <w:sz w:val="18"/>
                <w:szCs w:val="18"/>
              </w:rPr>
            </w:pPr>
            <w:r>
              <w:rPr>
                <w:rFonts w:hint="eastAsia"/>
                <w:sz w:val="18"/>
                <w:szCs w:val="18"/>
              </w:rPr>
              <w:t>甘平</w:t>
            </w:r>
          </w:p>
        </w:tc>
        <w:tc>
          <w:tcPr>
            <w:tcW w:w="2597" w:type="dxa"/>
            <w:tcBorders>
              <w:tl2br w:val="nil"/>
              <w:tr2bl w:val="nil"/>
            </w:tcBorders>
          </w:tcPr>
          <w:p>
            <w:pPr>
              <w:pStyle w:val="59"/>
              <w:ind w:firstLine="0" w:firstLineChars="0"/>
              <w:jc w:val="center"/>
              <w:rPr>
                <w:sz w:val="18"/>
                <w:szCs w:val="18"/>
              </w:rPr>
            </w:pPr>
            <w:r>
              <w:rPr>
                <w:rFonts w:hint="eastAsia"/>
                <w:sz w:val="18"/>
                <w:szCs w:val="18"/>
              </w:rPr>
              <w:t>90～105</w:t>
            </w:r>
          </w:p>
        </w:tc>
        <w:tc>
          <w:tcPr>
            <w:tcW w:w="1753" w:type="dxa"/>
            <w:tcBorders>
              <w:tl2br w:val="nil"/>
              <w:tr2bl w:val="nil"/>
            </w:tcBorders>
          </w:tcPr>
          <w:p>
            <w:pPr>
              <w:pStyle w:val="59"/>
              <w:ind w:firstLine="0" w:firstLineChars="0"/>
              <w:jc w:val="center"/>
              <w:rPr>
                <w:sz w:val="18"/>
                <w:szCs w:val="18"/>
              </w:rPr>
            </w:pPr>
            <w:r>
              <w:rPr>
                <w:rFonts w:hint="eastAsia"/>
                <w:sz w:val="18"/>
                <w:szCs w:val="18"/>
              </w:rPr>
              <w:t>80～90</w:t>
            </w:r>
          </w:p>
        </w:tc>
        <w:tc>
          <w:tcPr>
            <w:tcW w:w="1860" w:type="dxa"/>
            <w:tcBorders>
              <w:tl2br w:val="nil"/>
              <w:tr2bl w:val="nil"/>
            </w:tcBorders>
          </w:tcPr>
          <w:p>
            <w:pPr>
              <w:pStyle w:val="59"/>
              <w:ind w:firstLine="0" w:firstLineChars="0"/>
              <w:jc w:val="center"/>
              <w:rPr>
                <w:sz w:val="18"/>
                <w:szCs w:val="18"/>
              </w:rPr>
            </w:pPr>
            <w:r>
              <w:rPr>
                <w:rFonts w:hint="eastAsia"/>
                <w:sz w:val="18"/>
                <w:szCs w:val="18"/>
              </w:rPr>
              <w:t>70～80</w:t>
            </w:r>
          </w:p>
        </w:tc>
        <w:tc>
          <w:tcPr>
            <w:tcW w:w="1834" w:type="dxa"/>
            <w:tcBorders>
              <w:tl2br w:val="nil"/>
              <w:tr2bl w:val="nil"/>
            </w:tcBorders>
          </w:tcPr>
          <w:p>
            <w:pPr>
              <w:pStyle w:val="59"/>
              <w:ind w:firstLine="0" w:firstLineChars="0"/>
              <w:jc w:val="center"/>
              <w:rPr>
                <w:rFonts w:hint="eastAsia" w:ascii="Cambria Math" w:hAnsi="Cambria Math" w:cs="Cambria Math"/>
                <w:sz w:val="18"/>
                <w:szCs w:val="18"/>
              </w:rPr>
            </w:pPr>
            <w:r>
              <w:rPr>
                <w:rFonts w:hint="eastAsia" w:ascii="Cambria Math" w:hAnsi="Cambria Math" w:cs="Cambria Math"/>
                <w:sz w:val="18"/>
                <w:szCs w:val="18"/>
              </w:rPr>
              <w:t>＜70或＞105</w:t>
            </w:r>
          </w:p>
        </w:tc>
      </w:tr>
    </w:tbl>
    <w:p>
      <w:pPr>
        <w:pStyle w:val="226"/>
        <w:numPr>
          <w:ilvl w:val="2"/>
          <w:numId w:val="31"/>
        </w:numPr>
        <w:spacing w:before="120" w:beforeLines="50" w:after="120" w:afterLines="50"/>
        <w:ind w:left="420" w:hanging="420" w:hangingChars="200"/>
        <w:rPr>
          <w:rFonts w:ascii="黑体" w:eastAsia="黑体"/>
        </w:rPr>
      </w:pPr>
      <w:r>
        <w:rPr>
          <w:rFonts w:hint="eastAsia" w:ascii="黑体" w:eastAsia="黑体"/>
        </w:rPr>
        <w:t>级差容许度</w:t>
      </w:r>
    </w:p>
    <w:p>
      <w:pPr>
        <w:pStyle w:val="59"/>
        <w:ind w:firstLine="420"/>
      </w:pPr>
      <w:r>
        <w:rPr>
          <w:rFonts w:hint="eastAsia"/>
        </w:rPr>
        <w:t>同批产品中同一等级果实大小差异不宜过于显著，不应有隔级果，含邻级果的个数不应超过5％。</w:t>
      </w:r>
    </w:p>
    <w:p>
      <w:pPr>
        <w:pStyle w:val="107"/>
        <w:numPr>
          <w:ilvl w:val="1"/>
          <w:numId w:val="31"/>
        </w:numPr>
        <w:spacing w:before="240" w:after="240"/>
      </w:pPr>
      <w:bookmarkStart w:id="55" w:name="_Toc103259837"/>
      <w:bookmarkStart w:id="56" w:name="_Toc106180245"/>
      <w:r>
        <w:rPr>
          <w:rFonts w:hint="eastAsia"/>
        </w:rPr>
        <w:t>检验方法</w:t>
      </w:r>
      <w:bookmarkEnd w:id="53"/>
      <w:bookmarkEnd w:id="55"/>
      <w:bookmarkEnd w:id="56"/>
    </w:p>
    <w:p>
      <w:pPr>
        <w:pStyle w:val="108"/>
        <w:numPr>
          <w:ilvl w:val="2"/>
          <w:numId w:val="31"/>
        </w:numPr>
        <w:spacing w:before="120" w:after="120"/>
      </w:pPr>
      <w:bookmarkStart w:id="57" w:name="_Toc106180246"/>
      <w:r>
        <w:rPr>
          <w:rFonts w:hint="eastAsia"/>
        </w:rPr>
        <w:t>感官</w:t>
      </w:r>
      <w:r>
        <w:rPr>
          <w:rFonts w:hint="eastAsia" w:hAnsi="Times New Roman"/>
        </w:rPr>
        <w:t>指标</w:t>
      </w:r>
      <w:bookmarkEnd w:id="57"/>
    </w:p>
    <w:p>
      <w:pPr>
        <w:pStyle w:val="237"/>
        <w:numPr>
          <w:ilvl w:val="3"/>
          <w:numId w:val="31"/>
        </w:numPr>
        <w:spacing w:before="120" w:after="120"/>
      </w:pPr>
      <w:r>
        <w:rPr>
          <w:rFonts w:hint="eastAsia"/>
        </w:rPr>
        <w:t>果形、色泽、缺陷</w:t>
      </w:r>
    </w:p>
    <w:p>
      <w:pPr>
        <w:pStyle w:val="59"/>
        <w:ind w:firstLine="420"/>
        <w:jc w:val="left"/>
        <w:rPr>
          <w:highlight w:val="yellow"/>
        </w:rPr>
      </w:pPr>
      <w:r>
        <w:rPr>
          <w:rFonts w:hint="eastAsia"/>
        </w:rPr>
        <w:t>按GB/T 8210规定的方法测定。</w:t>
      </w:r>
    </w:p>
    <w:p>
      <w:pPr>
        <w:pStyle w:val="237"/>
        <w:numPr>
          <w:ilvl w:val="3"/>
          <w:numId w:val="31"/>
        </w:numPr>
        <w:spacing w:before="120" w:after="120"/>
      </w:pPr>
      <w:r>
        <w:rPr>
          <w:rFonts w:hint="eastAsia"/>
        </w:rPr>
        <w:t>横径</w:t>
      </w:r>
    </w:p>
    <w:p>
      <w:pPr>
        <w:pStyle w:val="59"/>
        <w:ind w:firstLine="420"/>
      </w:pPr>
      <w:r>
        <w:rPr>
          <w:rFonts w:hint="eastAsia"/>
        </w:rPr>
        <w:t>用精确度为0.1 mm的游标卡尺测定样品果最大横切面的直径。</w:t>
      </w:r>
    </w:p>
    <w:p>
      <w:pPr>
        <w:pStyle w:val="108"/>
        <w:numPr>
          <w:ilvl w:val="2"/>
          <w:numId w:val="31"/>
        </w:numPr>
        <w:spacing w:before="120" w:after="120"/>
      </w:pPr>
      <w:bookmarkStart w:id="58" w:name="_Toc106180247"/>
      <w:r>
        <w:rPr>
          <w:rFonts w:hint="eastAsia"/>
        </w:rPr>
        <w:t>理化指标</w:t>
      </w:r>
      <w:bookmarkEnd w:id="58"/>
    </w:p>
    <w:p>
      <w:pPr>
        <w:pStyle w:val="59"/>
        <w:ind w:firstLine="420"/>
      </w:pPr>
      <w:r>
        <w:rPr>
          <w:rFonts w:hint="eastAsia"/>
        </w:rPr>
        <w:t>可溶性固形物按GB/T 8210规定的方法执行。</w:t>
      </w:r>
    </w:p>
    <w:p>
      <w:pPr>
        <w:pStyle w:val="108"/>
        <w:numPr>
          <w:ilvl w:val="2"/>
          <w:numId w:val="31"/>
        </w:numPr>
        <w:spacing w:before="120" w:after="120"/>
      </w:pPr>
      <w:r>
        <w:rPr>
          <w:rFonts w:hint="eastAsia"/>
        </w:rPr>
        <w:t>安全指标</w:t>
      </w:r>
    </w:p>
    <w:p>
      <w:pPr>
        <w:pStyle w:val="59"/>
        <w:ind w:firstLine="420"/>
      </w:pPr>
      <w:r>
        <w:rPr>
          <w:rFonts w:hint="eastAsia"/>
        </w:rPr>
        <w:t>污染物和农药残留量按NY/T 426规定的相应方法和标准执行。</w:t>
      </w:r>
    </w:p>
    <w:p>
      <w:pPr>
        <w:pStyle w:val="107"/>
        <w:numPr>
          <w:ilvl w:val="1"/>
          <w:numId w:val="31"/>
        </w:numPr>
        <w:spacing w:before="240" w:after="240"/>
      </w:pPr>
      <w:bookmarkStart w:id="59" w:name="_Toc103259838"/>
      <w:bookmarkStart w:id="60" w:name="_Toc106180248"/>
      <w:r>
        <w:rPr>
          <w:rFonts w:hint="eastAsia"/>
        </w:rPr>
        <w:t>检验规则</w:t>
      </w:r>
      <w:bookmarkEnd w:id="59"/>
      <w:bookmarkEnd w:id="60"/>
    </w:p>
    <w:p>
      <w:pPr>
        <w:pStyle w:val="226"/>
        <w:numPr>
          <w:ilvl w:val="2"/>
          <w:numId w:val="31"/>
        </w:numPr>
        <w:spacing w:before="120" w:beforeLines="50" w:after="120" w:afterLines="50"/>
        <w:ind w:left="420" w:hanging="420" w:hangingChars="200"/>
        <w:rPr>
          <w:rFonts w:ascii="黑体" w:eastAsia="黑体"/>
        </w:rPr>
      </w:pPr>
      <w:r>
        <w:rPr>
          <w:rFonts w:hint="eastAsia" w:ascii="黑体" w:eastAsia="黑体"/>
        </w:rPr>
        <w:t>组批</w:t>
      </w:r>
    </w:p>
    <w:p>
      <w:pPr>
        <w:pStyle w:val="59"/>
        <w:ind w:firstLine="420"/>
      </w:pPr>
      <w:r>
        <w:rPr>
          <w:rFonts w:hint="eastAsia"/>
        </w:rPr>
        <w:t>同一批次收购、同一质量等级、同一包装日期的产品为同一组批。</w:t>
      </w:r>
    </w:p>
    <w:p>
      <w:pPr>
        <w:pStyle w:val="226"/>
        <w:numPr>
          <w:ilvl w:val="2"/>
          <w:numId w:val="31"/>
        </w:numPr>
        <w:spacing w:before="120" w:beforeLines="50" w:after="120" w:afterLines="50"/>
        <w:ind w:left="420" w:hanging="420" w:hangingChars="200"/>
        <w:rPr>
          <w:rFonts w:ascii="黑体" w:eastAsia="黑体"/>
        </w:rPr>
      </w:pPr>
      <w:r>
        <w:rPr>
          <w:rFonts w:hint="eastAsia" w:ascii="黑体" w:eastAsia="黑体"/>
        </w:rPr>
        <w:t>抽样</w:t>
      </w:r>
    </w:p>
    <w:p>
      <w:pPr>
        <w:pStyle w:val="59"/>
        <w:ind w:firstLine="420"/>
      </w:pPr>
      <w:r>
        <w:rPr>
          <w:rFonts w:hint="eastAsia"/>
        </w:rPr>
        <w:t>按NY/T 896规定的方法执行，抽样量应满足检验需要。</w:t>
      </w:r>
    </w:p>
    <w:p>
      <w:pPr>
        <w:pStyle w:val="226"/>
        <w:numPr>
          <w:ilvl w:val="2"/>
          <w:numId w:val="31"/>
        </w:numPr>
        <w:spacing w:before="120" w:beforeLines="50" w:after="120" w:afterLines="50"/>
        <w:ind w:left="420" w:hanging="420" w:hangingChars="200"/>
        <w:rPr>
          <w:rFonts w:ascii="黑体" w:eastAsia="黑体"/>
        </w:rPr>
      </w:pPr>
      <w:r>
        <w:rPr>
          <w:rFonts w:hint="eastAsia" w:ascii="黑体" w:eastAsia="黑体"/>
        </w:rPr>
        <w:t>交收检验</w:t>
      </w:r>
    </w:p>
    <w:p>
      <w:pPr>
        <w:pStyle w:val="59"/>
        <w:ind w:firstLine="420"/>
      </w:pPr>
      <w:r>
        <w:rPr>
          <w:rFonts w:hint="eastAsia"/>
        </w:rPr>
        <w:t>每批产品交收前，生产单位都应进行交收检验，检验项目为本文件第4章规定的所有项目。检验合格的产品方可交收。</w:t>
      </w:r>
    </w:p>
    <w:p>
      <w:pPr>
        <w:pStyle w:val="226"/>
        <w:numPr>
          <w:ilvl w:val="2"/>
          <w:numId w:val="31"/>
        </w:numPr>
        <w:spacing w:before="120" w:beforeLines="50" w:after="120" w:afterLines="50"/>
        <w:ind w:left="420" w:hanging="420" w:hangingChars="200"/>
        <w:rPr>
          <w:rFonts w:ascii="黑体" w:eastAsia="黑体"/>
        </w:rPr>
      </w:pPr>
      <w:bookmarkStart w:id="61" w:name="_Toc100647286"/>
      <w:r>
        <w:rPr>
          <w:rFonts w:hint="eastAsia" w:ascii="黑体" w:eastAsia="黑体"/>
        </w:rPr>
        <w:t>判定规则</w:t>
      </w:r>
    </w:p>
    <w:p>
      <w:pPr>
        <w:pStyle w:val="237"/>
        <w:numPr>
          <w:ilvl w:val="3"/>
          <w:numId w:val="31"/>
        </w:numPr>
        <w:spacing w:before="0" w:beforeLines="0" w:after="0" w:afterLines="0"/>
        <w:rPr>
          <w:rFonts w:ascii="宋体" w:hAnsi="宋体" w:eastAsia="宋体"/>
        </w:rPr>
      </w:pPr>
      <w:r>
        <w:rPr>
          <w:rFonts w:hint="eastAsia" w:ascii="宋体" w:hAnsi="宋体" w:eastAsia="宋体"/>
        </w:rPr>
        <w:t>检测项目全部合格，判定为该批次产品合同。</w:t>
      </w:r>
    </w:p>
    <w:p>
      <w:pPr>
        <w:pStyle w:val="237"/>
        <w:numPr>
          <w:ilvl w:val="3"/>
          <w:numId w:val="31"/>
        </w:numPr>
        <w:spacing w:before="0" w:beforeLines="0" w:after="0" w:afterLines="0"/>
        <w:rPr>
          <w:rFonts w:ascii="宋体" w:hAnsi="宋体" w:eastAsia="宋体"/>
        </w:rPr>
      </w:pPr>
      <w:r>
        <w:rPr>
          <w:rFonts w:hint="eastAsia" w:ascii="宋体" w:hAnsi="宋体" w:eastAsia="宋体"/>
        </w:rPr>
        <w:t>检测项目中任何指标不合格时，可从同批产品中重新加倍取样进行复检；若复检有一项不符合本文件规定，即判定该批次产品不合格。</w:t>
      </w:r>
    </w:p>
    <w:p>
      <w:pPr>
        <w:pStyle w:val="237"/>
        <w:numPr>
          <w:ilvl w:val="3"/>
          <w:numId w:val="31"/>
        </w:numPr>
        <w:spacing w:before="0" w:beforeLines="0" w:after="0" w:afterLines="0"/>
        <w:rPr>
          <w:rFonts w:ascii="宋体" w:hAnsi="宋体" w:eastAsia="宋体"/>
        </w:rPr>
      </w:pPr>
      <w:r>
        <w:rPr>
          <w:rFonts w:hint="eastAsia" w:ascii="宋体" w:hAnsi="宋体" w:eastAsia="宋体"/>
        </w:rPr>
        <w:t>等级判定原则如下：</w:t>
      </w:r>
    </w:p>
    <w:p>
      <w:pPr>
        <w:pStyle w:val="59"/>
        <w:ind w:firstLine="420"/>
      </w:pPr>
      <w:r>
        <w:rPr>
          <w:rFonts w:hint="eastAsia"/>
        </w:rPr>
        <w:t>a)综合判定：抽检样品的各项指标均同时符合某一质量等级时，则判定所代表的该批次产品为该质量等级；当有任意一项指标低于该质量等级标准时，则按较低单项指标所在等级定级，任意一项低于最低级别标准（或高于最高级别标准）时，则判定所代表的该批次产品为等外级产品。</w:t>
      </w:r>
    </w:p>
    <w:p>
      <w:pPr>
        <w:pStyle w:val="59"/>
        <w:ind w:firstLine="420"/>
      </w:pPr>
      <w:r>
        <w:rPr>
          <w:rFonts w:hint="eastAsia"/>
        </w:rPr>
        <w:t>b)分项判定时，抽检样品某一项（或几项）符合某一质量等级时，则判定所代表的该批次产品符合该项（或几项）指标的质量等级。</w:t>
      </w:r>
    </w:p>
    <w:bookmarkEnd w:id="61"/>
    <w:p>
      <w:pPr>
        <w:pStyle w:val="107"/>
        <w:numPr>
          <w:ilvl w:val="1"/>
          <w:numId w:val="31"/>
        </w:numPr>
        <w:spacing w:before="240" w:after="240"/>
      </w:pPr>
      <w:bookmarkStart w:id="62" w:name="_Toc100647287"/>
      <w:bookmarkStart w:id="63" w:name="_Toc103259839"/>
      <w:bookmarkStart w:id="64" w:name="_Toc106180249"/>
      <w:r>
        <w:t>包装</w:t>
      </w:r>
      <w:bookmarkEnd w:id="62"/>
      <w:r>
        <w:t>标志</w:t>
      </w:r>
      <w:bookmarkEnd w:id="63"/>
      <w:bookmarkEnd w:id="64"/>
    </w:p>
    <w:p>
      <w:pPr>
        <w:pStyle w:val="226"/>
        <w:numPr>
          <w:ilvl w:val="2"/>
          <w:numId w:val="31"/>
        </w:numPr>
        <w:ind w:left="420" w:hanging="420" w:hangingChars="200"/>
      </w:pPr>
      <w:r>
        <w:rPr>
          <w:rFonts w:hint="eastAsia"/>
        </w:rPr>
        <w:t>包装材料和包装容器应符合卫生、透气性和强度要求，保证适宜蒲江柑橘的运输和贮藏。</w:t>
      </w:r>
    </w:p>
    <w:p>
      <w:pPr>
        <w:pStyle w:val="226"/>
        <w:numPr>
          <w:ilvl w:val="2"/>
          <w:numId w:val="31"/>
        </w:numPr>
        <w:ind w:left="420" w:hanging="420" w:hangingChars="200"/>
      </w:pPr>
      <w:r>
        <w:rPr>
          <w:rFonts w:hint="eastAsia"/>
        </w:rPr>
        <w:t>图示标志应符合GB/T 191的规定。</w:t>
      </w:r>
    </w:p>
    <w:p>
      <w:pPr>
        <w:pStyle w:val="59"/>
        <w:ind w:firstLine="0" w:firstLineChars="0"/>
      </w:pPr>
    </w:p>
    <w:bookmarkEnd w:id="4"/>
    <w:p>
      <w:pPr>
        <w:pStyle w:val="59"/>
        <w:ind w:firstLine="0" w:firstLineChars="0"/>
        <w:jc w:val="center"/>
        <w:rPr>
          <w:vanish/>
        </w:rPr>
      </w:pPr>
      <w:bookmarkStart w:id="65" w:name="BookMark5"/>
      <w:bookmarkEnd w:id="65"/>
      <w:bookmarkStart w:id="66"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4"/>
                    <a:stretch>
                      <a:fillRect/>
                    </a:stretch>
                  </pic:blipFill>
                  <pic:spPr>
                    <a:xfrm>
                      <a:off x="0" y="0"/>
                      <a:ext cx="1485900" cy="317500"/>
                    </a:xfrm>
                    <a:prstGeom prst="rect">
                      <a:avLst/>
                    </a:prstGeom>
                  </pic:spPr>
                </pic:pic>
              </a:graphicData>
            </a:graphic>
          </wp:inline>
        </w:drawing>
      </w:r>
      <w:bookmarkEnd w:id="66"/>
    </w:p>
    <w:sectPr>
      <w:headerReference r:id="rId17" w:type="default"/>
      <w:footerReference r:id="rId19" w:type="default"/>
      <w:headerReference r:id="rId18" w:type="even"/>
      <w:footerReference r:id="rId20" w:type="even"/>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ind w:firstLine="8820" w:firstLineChars="4900"/>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T/PUCIA 013—2022</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T/PUCIA 013—2022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T/PUCIA 013—2022</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ind w:right="420"/>
      <w:jc w:val="right"/>
    </w:pPr>
    <w:r>
      <w:fldChar w:fldCharType="begin"/>
    </w:r>
    <w:r>
      <w:instrText xml:space="preserve"> STYLEREF  标准文件_文件编号 \* MERGEFORMAT </w:instrText>
    </w:r>
    <w:r>
      <w:fldChar w:fldCharType="separate"/>
    </w:r>
    <w:r>
      <w:t>T/PUCIA 013—2022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T/PUCIA 013—2022</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T/PUCIA 013—2022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default"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851"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5"/>
  </w:num>
  <w:num w:numId="3">
    <w:abstractNumId w:val="23"/>
  </w:num>
  <w:num w:numId="4">
    <w:abstractNumId w:val="18"/>
  </w:num>
  <w:num w:numId="5">
    <w:abstractNumId w:val="13"/>
  </w:num>
  <w:num w:numId="6">
    <w:abstractNumId w:val="8"/>
  </w:num>
  <w:num w:numId="7">
    <w:abstractNumId w:val="3"/>
  </w:num>
  <w:num w:numId="8">
    <w:abstractNumId w:val="9"/>
  </w:num>
  <w:num w:numId="9">
    <w:abstractNumId w:val="16"/>
  </w:num>
  <w:num w:numId="10">
    <w:abstractNumId w:val="25"/>
  </w:num>
  <w:num w:numId="11">
    <w:abstractNumId w:val="11"/>
  </w:num>
  <w:num w:numId="12">
    <w:abstractNumId w:val="12"/>
  </w:num>
  <w:num w:numId="13">
    <w:abstractNumId w:val="7"/>
  </w:num>
  <w:num w:numId="14">
    <w:abstractNumId w:val="19"/>
  </w:num>
  <w:num w:numId="15">
    <w:abstractNumId w:val="21"/>
  </w:num>
  <w:num w:numId="16">
    <w:abstractNumId w:val="17"/>
  </w:num>
  <w:num w:numId="17">
    <w:abstractNumId w:val="29"/>
  </w:num>
  <w:num w:numId="18">
    <w:abstractNumId w:val="15"/>
  </w:num>
  <w:num w:numId="19">
    <w:abstractNumId w:val="1"/>
  </w:num>
  <w:num w:numId="20">
    <w:abstractNumId w:val="10"/>
  </w:num>
  <w:num w:numId="21">
    <w:abstractNumId w:val="30"/>
  </w:num>
  <w:num w:numId="22">
    <w:abstractNumId w:val="20"/>
  </w:num>
  <w:num w:numId="23">
    <w:abstractNumId w:val="6"/>
  </w:num>
  <w:num w:numId="24">
    <w:abstractNumId w:val="26"/>
  </w:num>
  <w:num w:numId="25">
    <w:abstractNumId w:val="28"/>
  </w:num>
  <w:num w:numId="26">
    <w:abstractNumId w:val="2"/>
  </w:num>
  <w:num w:numId="27">
    <w:abstractNumId w:val="4"/>
  </w:num>
  <w:num w:numId="28">
    <w:abstractNumId w:val="14"/>
  </w:num>
  <w:num w:numId="29">
    <w:abstractNumId w:val="24"/>
  </w:num>
  <w:num w:numId="30">
    <w:abstractNumId w:val="2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Y2JlNjMyNmU0OTJiY2U5MWVmNjZkMTNhZDUwYmQifQ=="/>
  </w:docVars>
  <w:rsids>
    <w:rsidRoot w:val="21347BEE"/>
    <w:rsid w:val="0000040A"/>
    <w:rsid w:val="00000A94"/>
    <w:rsid w:val="00001972"/>
    <w:rsid w:val="00001D9A"/>
    <w:rsid w:val="00004D77"/>
    <w:rsid w:val="000051AD"/>
    <w:rsid w:val="00007B3A"/>
    <w:rsid w:val="000107E0"/>
    <w:rsid w:val="00010DE1"/>
    <w:rsid w:val="00011F58"/>
    <w:rsid w:val="00011FDE"/>
    <w:rsid w:val="00012FFD"/>
    <w:rsid w:val="00013FCB"/>
    <w:rsid w:val="00014162"/>
    <w:rsid w:val="00014340"/>
    <w:rsid w:val="0001441C"/>
    <w:rsid w:val="00014F30"/>
    <w:rsid w:val="00015687"/>
    <w:rsid w:val="00015D65"/>
    <w:rsid w:val="00016A9C"/>
    <w:rsid w:val="00017D08"/>
    <w:rsid w:val="00022184"/>
    <w:rsid w:val="00022762"/>
    <w:rsid w:val="00023128"/>
    <w:rsid w:val="000238E0"/>
    <w:rsid w:val="00023E3F"/>
    <w:rsid w:val="0002437C"/>
    <w:rsid w:val="000248A0"/>
    <w:rsid w:val="000249DB"/>
    <w:rsid w:val="0002595E"/>
    <w:rsid w:val="000303C3"/>
    <w:rsid w:val="000322B1"/>
    <w:rsid w:val="000331D3"/>
    <w:rsid w:val="000346A5"/>
    <w:rsid w:val="000359C3"/>
    <w:rsid w:val="00035A7D"/>
    <w:rsid w:val="000363F4"/>
    <w:rsid w:val="000365ED"/>
    <w:rsid w:val="00036E1F"/>
    <w:rsid w:val="000416E0"/>
    <w:rsid w:val="00041A6F"/>
    <w:rsid w:val="0004249A"/>
    <w:rsid w:val="00042BA1"/>
    <w:rsid w:val="00042D18"/>
    <w:rsid w:val="00043282"/>
    <w:rsid w:val="00044217"/>
    <w:rsid w:val="00044286"/>
    <w:rsid w:val="0004692F"/>
    <w:rsid w:val="00047F28"/>
    <w:rsid w:val="000503AA"/>
    <w:rsid w:val="000506A1"/>
    <w:rsid w:val="000515DD"/>
    <w:rsid w:val="0005265A"/>
    <w:rsid w:val="000539DD"/>
    <w:rsid w:val="00053BD3"/>
    <w:rsid w:val="00053DDD"/>
    <w:rsid w:val="0005441D"/>
    <w:rsid w:val="000551EE"/>
    <w:rsid w:val="000556ED"/>
    <w:rsid w:val="00055FE2"/>
    <w:rsid w:val="0005616F"/>
    <w:rsid w:val="00060C2E"/>
    <w:rsid w:val="00061033"/>
    <w:rsid w:val="000619E9"/>
    <w:rsid w:val="000622D4"/>
    <w:rsid w:val="0006357D"/>
    <w:rsid w:val="0006684E"/>
    <w:rsid w:val="00067F1E"/>
    <w:rsid w:val="00071CC0"/>
    <w:rsid w:val="00071CFC"/>
    <w:rsid w:val="00073B68"/>
    <w:rsid w:val="00073C8C"/>
    <w:rsid w:val="000743DA"/>
    <w:rsid w:val="0007595F"/>
    <w:rsid w:val="00076813"/>
    <w:rsid w:val="00077B64"/>
    <w:rsid w:val="00080A1C"/>
    <w:rsid w:val="00082317"/>
    <w:rsid w:val="00083D2C"/>
    <w:rsid w:val="00085496"/>
    <w:rsid w:val="00086005"/>
    <w:rsid w:val="00086AA1"/>
    <w:rsid w:val="00087A77"/>
    <w:rsid w:val="00090CA6"/>
    <w:rsid w:val="0009185A"/>
    <w:rsid w:val="00092B8A"/>
    <w:rsid w:val="00092FB0"/>
    <w:rsid w:val="000931AE"/>
    <w:rsid w:val="000934C5"/>
    <w:rsid w:val="00093D25"/>
    <w:rsid w:val="00093DAB"/>
    <w:rsid w:val="00094B62"/>
    <w:rsid w:val="00094B93"/>
    <w:rsid w:val="00094D73"/>
    <w:rsid w:val="00096D63"/>
    <w:rsid w:val="000970D4"/>
    <w:rsid w:val="000A0876"/>
    <w:rsid w:val="000A0B60"/>
    <w:rsid w:val="000A0EB8"/>
    <w:rsid w:val="000A19FC"/>
    <w:rsid w:val="000A296B"/>
    <w:rsid w:val="000A551D"/>
    <w:rsid w:val="000A6738"/>
    <w:rsid w:val="000A7311"/>
    <w:rsid w:val="000A737F"/>
    <w:rsid w:val="000B060F"/>
    <w:rsid w:val="000B0D08"/>
    <w:rsid w:val="000B1592"/>
    <w:rsid w:val="000B1FF2"/>
    <w:rsid w:val="000B287F"/>
    <w:rsid w:val="000B2D20"/>
    <w:rsid w:val="000B36B8"/>
    <w:rsid w:val="000B3A01"/>
    <w:rsid w:val="000B3CDA"/>
    <w:rsid w:val="000B6A0B"/>
    <w:rsid w:val="000B7385"/>
    <w:rsid w:val="000B7C54"/>
    <w:rsid w:val="000C0F6C"/>
    <w:rsid w:val="000C11DB"/>
    <w:rsid w:val="000C1492"/>
    <w:rsid w:val="000C1ADC"/>
    <w:rsid w:val="000C1BC6"/>
    <w:rsid w:val="000C2FBD"/>
    <w:rsid w:val="000C4B41"/>
    <w:rsid w:val="000C57D6"/>
    <w:rsid w:val="000C5BD3"/>
    <w:rsid w:val="000C6362"/>
    <w:rsid w:val="000C653F"/>
    <w:rsid w:val="000C7666"/>
    <w:rsid w:val="000D0A9C"/>
    <w:rsid w:val="000D1795"/>
    <w:rsid w:val="000D2331"/>
    <w:rsid w:val="000D2C19"/>
    <w:rsid w:val="000D329A"/>
    <w:rsid w:val="000D4B9C"/>
    <w:rsid w:val="000D4EB6"/>
    <w:rsid w:val="000D5382"/>
    <w:rsid w:val="000D753B"/>
    <w:rsid w:val="000E02A8"/>
    <w:rsid w:val="000E0FA8"/>
    <w:rsid w:val="000E1927"/>
    <w:rsid w:val="000E3F9A"/>
    <w:rsid w:val="000E4C9E"/>
    <w:rsid w:val="000E6FD7"/>
    <w:rsid w:val="000F05D5"/>
    <w:rsid w:val="000F06E1"/>
    <w:rsid w:val="000F08FE"/>
    <w:rsid w:val="000F0E3C"/>
    <w:rsid w:val="000F19D5"/>
    <w:rsid w:val="000F2AEE"/>
    <w:rsid w:val="000F4050"/>
    <w:rsid w:val="000F46F2"/>
    <w:rsid w:val="000F4AEA"/>
    <w:rsid w:val="000F67E9"/>
    <w:rsid w:val="00102C5E"/>
    <w:rsid w:val="00104926"/>
    <w:rsid w:val="00107801"/>
    <w:rsid w:val="00107FAA"/>
    <w:rsid w:val="001126E1"/>
    <w:rsid w:val="00113B1E"/>
    <w:rsid w:val="0011711C"/>
    <w:rsid w:val="001173B7"/>
    <w:rsid w:val="00121488"/>
    <w:rsid w:val="00121E48"/>
    <w:rsid w:val="0012376A"/>
    <w:rsid w:val="00123DB0"/>
    <w:rsid w:val="00124CC5"/>
    <w:rsid w:val="00124E4F"/>
    <w:rsid w:val="001260B7"/>
    <w:rsid w:val="001265CB"/>
    <w:rsid w:val="00131649"/>
    <w:rsid w:val="001321C6"/>
    <w:rsid w:val="001325C4"/>
    <w:rsid w:val="00132A55"/>
    <w:rsid w:val="00132E96"/>
    <w:rsid w:val="00133010"/>
    <w:rsid w:val="001338EE"/>
    <w:rsid w:val="00133AAE"/>
    <w:rsid w:val="001348C7"/>
    <w:rsid w:val="00135323"/>
    <w:rsid w:val="001356C4"/>
    <w:rsid w:val="00135DBA"/>
    <w:rsid w:val="001362CD"/>
    <w:rsid w:val="00136568"/>
    <w:rsid w:val="00137565"/>
    <w:rsid w:val="00140DA6"/>
    <w:rsid w:val="00140EE1"/>
    <w:rsid w:val="00141081"/>
    <w:rsid w:val="00141114"/>
    <w:rsid w:val="00142969"/>
    <w:rsid w:val="00142F86"/>
    <w:rsid w:val="00143D0E"/>
    <w:rsid w:val="001446C2"/>
    <w:rsid w:val="001457E7"/>
    <w:rsid w:val="00145C27"/>
    <w:rsid w:val="00145D9D"/>
    <w:rsid w:val="00146388"/>
    <w:rsid w:val="0014641F"/>
    <w:rsid w:val="001529E5"/>
    <w:rsid w:val="00152FB3"/>
    <w:rsid w:val="001538F1"/>
    <w:rsid w:val="00153C7E"/>
    <w:rsid w:val="001566DB"/>
    <w:rsid w:val="00156B25"/>
    <w:rsid w:val="00156E1A"/>
    <w:rsid w:val="00157894"/>
    <w:rsid w:val="00157B55"/>
    <w:rsid w:val="001605D7"/>
    <w:rsid w:val="00160A67"/>
    <w:rsid w:val="0016214C"/>
    <w:rsid w:val="001642FA"/>
    <w:rsid w:val="001649EB"/>
    <w:rsid w:val="00164BAF"/>
    <w:rsid w:val="00164FA8"/>
    <w:rsid w:val="00165065"/>
    <w:rsid w:val="00165434"/>
    <w:rsid w:val="0016580B"/>
    <w:rsid w:val="00165F49"/>
    <w:rsid w:val="00166B88"/>
    <w:rsid w:val="0016770A"/>
    <w:rsid w:val="001701C7"/>
    <w:rsid w:val="00170804"/>
    <w:rsid w:val="001708E9"/>
    <w:rsid w:val="00170F86"/>
    <w:rsid w:val="001721C5"/>
    <w:rsid w:val="0017340B"/>
    <w:rsid w:val="00173FB1"/>
    <w:rsid w:val="001746AE"/>
    <w:rsid w:val="00176DFD"/>
    <w:rsid w:val="0017732D"/>
    <w:rsid w:val="00180FB7"/>
    <w:rsid w:val="0018368F"/>
    <w:rsid w:val="001852C9"/>
    <w:rsid w:val="00187A0B"/>
    <w:rsid w:val="00190087"/>
    <w:rsid w:val="001913C4"/>
    <w:rsid w:val="00191AB6"/>
    <w:rsid w:val="0019348F"/>
    <w:rsid w:val="00193A07"/>
    <w:rsid w:val="00194C3A"/>
    <w:rsid w:val="00194C95"/>
    <w:rsid w:val="00195C34"/>
    <w:rsid w:val="00196EF5"/>
    <w:rsid w:val="001A1A53"/>
    <w:rsid w:val="001A234A"/>
    <w:rsid w:val="001A2813"/>
    <w:rsid w:val="001A4CF3"/>
    <w:rsid w:val="001A6696"/>
    <w:rsid w:val="001A7D87"/>
    <w:rsid w:val="001B06E8"/>
    <w:rsid w:val="001B6A0A"/>
    <w:rsid w:val="001B71D0"/>
    <w:rsid w:val="001B71EE"/>
    <w:rsid w:val="001B77F7"/>
    <w:rsid w:val="001C04A8"/>
    <w:rsid w:val="001C0938"/>
    <w:rsid w:val="001C2C03"/>
    <w:rsid w:val="001C42F7"/>
    <w:rsid w:val="001C45BC"/>
    <w:rsid w:val="001C49E5"/>
    <w:rsid w:val="001C4BE4"/>
    <w:rsid w:val="001C6201"/>
    <w:rsid w:val="001C680C"/>
    <w:rsid w:val="001C7F05"/>
    <w:rsid w:val="001C7FEA"/>
    <w:rsid w:val="001D0499"/>
    <w:rsid w:val="001D0BBE"/>
    <w:rsid w:val="001D0ED4"/>
    <w:rsid w:val="001D1603"/>
    <w:rsid w:val="001D212F"/>
    <w:rsid w:val="001D29D7"/>
    <w:rsid w:val="001D2AF1"/>
    <w:rsid w:val="001D2DE7"/>
    <w:rsid w:val="001D3B8D"/>
    <w:rsid w:val="001D411C"/>
    <w:rsid w:val="001D4E10"/>
    <w:rsid w:val="001D6578"/>
    <w:rsid w:val="001E03BF"/>
    <w:rsid w:val="001E12DF"/>
    <w:rsid w:val="001E1B6A"/>
    <w:rsid w:val="001E2484"/>
    <w:rsid w:val="001E272F"/>
    <w:rsid w:val="001E3CC4"/>
    <w:rsid w:val="001E4882"/>
    <w:rsid w:val="001E4973"/>
    <w:rsid w:val="001E4FA7"/>
    <w:rsid w:val="001E50E5"/>
    <w:rsid w:val="001E5580"/>
    <w:rsid w:val="001E5E80"/>
    <w:rsid w:val="001E67A8"/>
    <w:rsid w:val="001E6A36"/>
    <w:rsid w:val="001E73AB"/>
    <w:rsid w:val="001E7680"/>
    <w:rsid w:val="001F092D"/>
    <w:rsid w:val="001F143A"/>
    <w:rsid w:val="001F1605"/>
    <w:rsid w:val="001F2508"/>
    <w:rsid w:val="001F2D39"/>
    <w:rsid w:val="001F4816"/>
    <w:rsid w:val="001F49B3"/>
    <w:rsid w:val="001F528F"/>
    <w:rsid w:val="001F641C"/>
    <w:rsid w:val="001F69B4"/>
    <w:rsid w:val="001F77C7"/>
    <w:rsid w:val="00200183"/>
    <w:rsid w:val="00200333"/>
    <w:rsid w:val="0020107D"/>
    <w:rsid w:val="00202595"/>
    <w:rsid w:val="00202AA4"/>
    <w:rsid w:val="002031F7"/>
    <w:rsid w:val="002040E6"/>
    <w:rsid w:val="0020527B"/>
    <w:rsid w:val="00205F2C"/>
    <w:rsid w:val="00207221"/>
    <w:rsid w:val="00210B15"/>
    <w:rsid w:val="00212E22"/>
    <w:rsid w:val="002139B9"/>
    <w:rsid w:val="002142EA"/>
    <w:rsid w:val="00215ADD"/>
    <w:rsid w:val="002170AF"/>
    <w:rsid w:val="0021786E"/>
    <w:rsid w:val="002204BB"/>
    <w:rsid w:val="00221B79"/>
    <w:rsid w:val="00221C6B"/>
    <w:rsid w:val="0022319F"/>
    <w:rsid w:val="002253A1"/>
    <w:rsid w:val="00225CF8"/>
    <w:rsid w:val="0022794E"/>
    <w:rsid w:val="00227CE9"/>
    <w:rsid w:val="00231DA3"/>
    <w:rsid w:val="0023356F"/>
    <w:rsid w:val="0023397F"/>
    <w:rsid w:val="00233D64"/>
    <w:rsid w:val="0023482A"/>
    <w:rsid w:val="002359CB"/>
    <w:rsid w:val="00236DA7"/>
    <w:rsid w:val="002378E3"/>
    <w:rsid w:val="00237DA9"/>
    <w:rsid w:val="00237DD7"/>
    <w:rsid w:val="00241A56"/>
    <w:rsid w:val="00243540"/>
    <w:rsid w:val="0024497B"/>
    <w:rsid w:val="0024515B"/>
    <w:rsid w:val="00245E2F"/>
    <w:rsid w:val="00246021"/>
    <w:rsid w:val="0024666E"/>
    <w:rsid w:val="00246E73"/>
    <w:rsid w:val="00247F52"/>
    <w:rsid w:val="00250B25"/>
    <w:rsid w:val="00250BBE"/>
    <w:rsid w:val="002515C2"/>
    <w:rsid w:val="0025194F"/>
    <w:rsid w:val="002519FD"/>
    <w:rsid w:val="0025737C"/>
    <w:rsid w:val="0026148A"/>
    <w:rsid w:val="00261D25"/>
    <w:rsid w:val="00262696"/>
    <w:rsid w:val="00262B38"/>
    <w:rsid w:val="00263C4B"/>
    <w:rsid w:val="00263D25"/>
    <w:rsid w:val="002643C3"/>
    <w:rsid w:val="00264A0C"/>
    <w:rsid w:val="00266EEB"/>
    <w:rsid w:val="00267EF4"/>
    <w:rsid w:val="00270CB8"/>
    <w:rsid w:val="00271F27"/>
    <w:rsid w:val="0027298D"/>
    <w:rsid w:val="00272B08"/>
    <w:rsid w:val="0027480B"/>
    <w:rsid w:val="00280297"/>
    <w:rsid w:val="002804A2"/>
    <w:rsid w:val="00281BB8"/>
    <w:rsid w:val="00281E9E"/>
    <w:rsid w:val="00282405"/>
    <w:rsid w:val="00285170"/>
    <w:rsid w:val="00285361"/>
    <w:rsid w:val="00285DEE"/>
    <w:rsid w:val="00290733"/>
    <w:rsid w:val="002907D8"/>
    <w:rsid w:val="00292D4B"/>
    <w:rsid w:val="00292D60"/>
    <w:rsid w:val="00293B30"/>
    <w:rsid w:val="00294D34"/>
    <w:rsid w:val="00294E3B"/>
    <w:rsid w:val="00296193"/>
    <w:rsid w:val="00296C66"/>
    <w:rsid w:val="00296E70"/>
    <w:rsid w:val="00296EBE"/>
    <w:rsid w:val="002974E3"/>
    <w:rsid w:val="002A084B"/>
    <w:rsid w:val="002A1260"/>
    <w:rsid w:val="002A13F0"/>
    <w:rsid w:val="002A1589"/>
    <w:rsid w:val="002A1608"/>
    <w:rsid w:val="002A25DC"/>
    <w:rsid w:val="002A3AAB"/>
    <w:rsid w:val="002A3C68"/>
    <w:rsid w:val="002A450D"/>
    <w:rsid w:val="002A4CEA"/>
    <w:rsid w:val="002A5977"/>
    <w:rsid w:val="002A5A13"/>
    <w:rsid w:val="002A61DC"/>
    <w:rsid w:val="002A757F"/>
    <w:rsid w:val="002A792B"/>
    <w:rsid w:val="002A7F44"/>
    <w:rsid w:val="002B008F"/>
    <w:rsid w:val="002B05DD"/>
    <w:rsid w:val="002B0C40"/>
    <w:rsid w:val="002B1373"/>
    <w:rsid w:val="002B1966"/>
    <w:rsid w:val="002B4508"/>
    <w:rsid w:val="002B5779"/>
    <w:rsid w:val="002B610E"/>
    <w:rsid w:val="002B61E7"/>
    <w:rsid w:val="002B7332"/>
    <w:rsid w:val="002B7F51"/>
    <w:rsid w:val="002C09E7"/>
    <w:rsid w:val="002C1E06"/>
    <w:rsid w:val="002C3F07"/>
    <w:rsid w:val="002C5278"/>
    <w:rsid w:val="002C77A1"/>
    <w:rsid w:val="002C7A22"/>
    <w:rsid w:val="002C7EBB"/>
    <w:rsid w:val="002D06C1"/>
    <w:rsid w:val="002D125D"/>
    <w:rsid w:val="002D3A5E"/>
    <w:rsid w:val="002D42B5"/>
    <w:rsid w:val="002D4F1A"/>
    <w:rsid w:val="002D525C"/>
    <w:rsid w:val="002D6EC6"/>
    <w:rsid w:val="002D778A"/>
    <w:rsid w:val="002D79AC"/>
    <w:rsid w:val="002E039D"/>
    <w:rsid w:val="002E0A1B"/>
    <w:rsid w:val="002E2C14"/>
    <w:rsid w:val="002E2F67"/>
    <w:rsid w:val="002E3CCB"/>
    <w:rsid w:val="002E4D5A"/>
    <w:rsid w:val="002E6326"/>
    <w:rsid w:val="002E7991"/>
    <w:rsid w:val="002F07CC"/>
    <w:rsid w:val="002F18B0"/>
    <w:rsid w:val="002F1FA2"/>
    <w:rsid w:val="002F1FED"/>
    <w:rsid w:val="002F30E0"/>
    <w:rsid w:val="002F35E4"/>
    <w:rsid w:val="002F36B5"/>
    <w:rsid w:val="002F3730"/>
    <w:rsid w:val="002F38E1"/>
    <w:rsid w:val="002F42D0"/>
    <w:rsid w:val="002F4B9A"/>
    <w:rsid w:val="002F7AF6"/>
    <w:rsid w:val="00300E63"/>
    <w:rsid w:val="0030143B"/>
    <w:rsid w:val="003015F8"/>
    <w:rsid w:val="00302D37"/>
    <w:rsid w:val="00302F5F"/>
    <w:rsid w:val="0030441D"/>
    <w:rsid w:val="00306063"/>
    <w:rsid w:val="0030642B"/>
    <w:rsid w:val="003106B1"/>
    <w:rsid w:val="003109B1"/>
    <w:rsid w:val="003110F9"/>
    <w:rsid w:val="0031186B"/>
    <w:rsid w:val="00313B85"/>
    <w:rsid w:val="00315F74"/>
    <w:rsid w:val="00316428"/>
    <w:rsid w:val="00317988"/>
    <w:rsid w:val="00317E44"/>
    <w:rsid w:val="003203CE"/>
    <w:rsid w:val="003221B4"/>
    <w:rsid w:val="0032258D"/>
    <w:rsid w:val="00322E62"/>
    <w:rsid w:val="00324D13"/>
    <w:rsid w:val="00324EDD"/>
    <w:rsid w:val="00324FCF"/>
    <w:rsid w:val="00326242"/>
    <w:rsid w:val="003309D8"/>
    <w:rsid w:val="00332F59"/>
    <w:rsid w:val="003331E4"/>
    <w:rsid w:val="00333F39"/>
    <w:rsid w:val="003343F9"/>
    <w:rsid w:val="00335891"/>
    <w:rsid w:val="00336241"/>
    <w:rsid w:val="003363D1"/>
    <w:rsid w:val="00336C64"/>
    <w:rsid w:val="00337162"/>
    <w:rsid w:val="0034194F"/>
    <w:rsid w:val="00342497"/>
    <w:rsid w:val="00344605"/>
    <w:rsid w:val="00344B2A"/>
    <w:rsid w:val="0034506C"/>
    <w:rsid w:val="0034518D"/>
    <w:rsid w:val="003474AA"/>
    <w:rsid w:val="00350D1D"/>
    <w:rsid w:val="00352A90"/>
    <w:rsid w:val="00352C83"/>
    <w:rsid w:val="00352F1A"/>
    <w:rsid w:val="0035620E"/>
    <w:rsid w:val="003562B9"/>
    <w:rsid w:val="00357DC5"/>
    <w:rsid w:val="00357EC7"/>
    <w:rsid w:val="00360114"/>
    <w:rsid w:val="0036107C"/>
    <w:rsid w:val="003615D2"/>
    <w:rsid w:val="0036429C"/>
    <w:rsid w:val="00364A53"/>
    <w:rsid w:val="00364D06"/>
    <w:rsid w:val="003654CB"/>
    <w:rsid w:val="00365AA9"/>
    <w:rsid w:val="00365C07"/>
    <w:rsid w:val="00365F86"/>
    <w:rsid w:val="00365F87"/>
    <w:rsid w:val="00366E89"/>
    <w:rsid w:val="003672DD"/>
    <w:rsid w:val="003705F4"/>
    <w:rsid w:val="00370D58"/>
    <w:rsid w:val="00371316"/>
    <w:rsid w:val="003722C1"/>
    <w:rsid w:val="00376713"/>
    <w:rsid w:val="00376BAE"/>
    <w:rsid w:val="00380E32"/>
    <w:rsid w:val="0038175E"/>
    <w:rsid w:val="00381815"/>
    <w:rsid w:val="00381900"/>
    <w:rsid w:val="003819AF"/>
    <w:rsid w:val="003820E9"/>
    <w:rsid w:val="00382C76"/>
    <w:rsid w:val="00382DE7"/>
    <w:rsid w:val="00383FBF"/>
    <w:rsid w:val="00384FFC"/>
    <w:rsid w:val="003872FC"/>
    <w:rsid w:val="00387ADC"/>
    <w:rsid w:val="00390020"/>
    <w:rsid w:val="003903D6"/>
    <w:rsid w:val="00390EE6"/>
    <w:rsid w:val="0039118F"/>
    <w:rsid w:val="00391E2B"/>
    <w:rsid w:val="00392986"/>
    <w:rsid w:val="00392AD7"/>
    <w:rsid w:val="003938D9"/>
    <w:rsid w:val="00393C0F"/>
    <w:rsid w:val="00394376"/>
    <w:rsid w:val="003943FF"/>
    <w:rsid w:val="00394821"/>
    <w:rsid w:val="00395F8F"/>
    <w:rsid w:val="00396A20"/>
    <w:rsid w:val="003970BC"/>
    <w:rsid w:val="003974EB"/>
    <w:rsid w:val="00397CC5"/>
    <w:rsid w:val="003A0C8E"/>
    <w:rsid w:val="003A1582"/>
    <w:rsid w:val="003A16DD"/>
    <w:rsid w:val="003A302E"/>
    <w:rsid w:val="003A3196"/>
    <w:rsid w:val="003A3D9C"/>
    <w:rsid w:val="003A4077"/>
    <w:rsid w:val="003A4AA7"/>
    <w:rsid w:val="003A6CC1"/>
    <w:rsid w:val="003A71DA"/>
    <w:rsid w:val="003A7DCC"/>
    <w:rsid w:val="003B0611"/>
    <w:rsid w:val="003B09AD"/>
    <w:rsid w:val="003B0FCA"/>
    <w:rsid w:val="003B126E"/>
    <w:rsid w:val="003B15C8"/>
    <w:rsid w:val="003B1F18"/>
    <w:rsid w:val="003B5BF0"/>
    <w:rsid w:val="003B60BF"/>
    <w:rsid w:val="003B6BE3"/>
    <w:rsid w:val="003B6FCC"/>
    <w:rsid w:val="003B6FF5"/>
    <w:rsid w:val="003B7639"/>
    <w:rsid w:val="003C010C"/>
    <w:rsid w:val="003C0A6C"/>
    <w:rsid w:val="003C14F8"/>
    <w:rsid w:val="003C3538"/>
    <w:rsid w:val="003C5A43"/>
    <w:rsid w:val="003C5F70"/>
    <w:rsid w:val="003C61F5"/>
    <w:rsid w:val="003D0519"/>
    <w:rsid w:val="003D0FF6"/>
    <w:rsid w:val="003D1296"/>
    <w:rsid w:val="003D262C"/>
    <w:rsid w:val="003D5C45"/>
    <w:rsid w:val="003D6D61"/>
    <w:rsid w:val="003D7436"/>
    <w:rsid w:val="003E091D"/>
    <w:rsid w:val="003E1C53"/>
    <w:rsid w:val="003E1D61"/>
    <w:rsid w:val="003E2A69"/>
    <w:rsid w:val="003E2D49"/>
    <w:rsid w:val="003E2FD4"/>
    <w:rsid w:val="003E49F6"/>
    <w:rsid w:val="003E5EE4"/>
    <w:rsid w:val="003E660F"/>
    <w:rsid w:val="003E6E53"/>
    <w:rsid w:val="003E6F81"/>
    <w:rsid w:val="003E7878"/>
    <w:rsid w:val="003F0841"/>
    <w:rsid w:val="003F23D3"/>
    <w:rsid w:val="003F3F08"/>
    <w:rsid w:val="003F49F1"/>
    <w:rsid w:val="003F53F9"/>
    <w:rsid w:val="003F6272"/>
    <w:rsid w:val="004001F7"/>
    <w:rsid w:val="004006DB"/>
    <w:rsid w:val="00400700"/>
    <w:rsid w:val="00400E72"/>
    <w:rsid w:val="00401400"/>
    <w:rsid w:val="00402B90"/>
    <w:rsid w:val="00404242"/>
    <w:rsid w:val="00404869"/>
    <w:rsid w:val="00405884"/>
    <w:rsid w:val="00406FFB"/>
    <w:rsid w:val="004076F5"/>
    <w:rsid w:val="00407D39"/>
    <w:rsid w:val="00412E59"/>
    <w:rsid w:val="004132FB"/>
    <w:rsid w:val="0041353C"/>
    <w:rsid w:val="0041477A"/>
    <w:rsid w:val="004167A3"/>
    <w:rsid w:val="004176CD"/>
    <w:rsid w:val="00420860"/>
    <w:rsid w:val="00422CD1"/>
    <w:rsid w:val="00424D7D"/>
    <w:rsid w:val="00432DAA"/>
    <w:rsid w:val="004341E5"/>
    <w:rsid w:val="00434305"/>
    <w:rsid w:val="004344B6"/>
    <w:rsid w:val="00435DF7"/>
    <w:rsid w:val="004363A4"/>
    <w:rsid w:val="00437523"/>
    <w:rsid w:val="0044083F"/>
    <w:rsid w:val="0044088D"/>
    <w:rsid w:val="00440E6C"/>
    <w:rsid w:val="00441AE7"/>
    <w:rsid w:val="00443785"/>
    <w:rsid w:val="004447E8"/>
    <w:rsid w:val="004451BF"/>
    <w:rsid w:val="00445574"/>
    <w:rsid w:val="004467FB"/>
    <w:rsid w:val="0044722D"/>
    <w:rsid w:val="00452D6B"/>
    <w:rsid w:val="00454039"/>
    <w:rsid w:val="00454484"/>
    <w:rsid w:val="0045517B"/>
    <w:rsid w:val="00456553"/>
    <w:rsid w:val="00456B8F"/>
    <w:rsid w:val="00461055"/>
    <w:rsid w:val="00463845"/>
    <w:rsid w:val="00463B77"/>
    <w:rsid w:val="00463C7B"/>
    <w:rsid w:val="00463DCB"/>
    <w:rsid w:val="004644A6"/>
    <w:rsid w:val="004647DE"/>
    <w:rsid w:val="004659BD"/>
    <w:rsid w:val="004666D1"/>
    <w:rsid w:val="0046761E"/>
    <w:rsid w:val="0047026E"/>
    <w:rsid w:val="00470775"/>
    <w:rsid w:val="004723B2"/>
    <w:rsid w:val="00472BC1"/>
    <w:rsid w:val="004746B1"/>
    <w:rsid w:val="0047583F"/>
    <w:rsid w:val="00475DE8"/>
    <w:rsid w:val="00480A92"/>
    <w:rsid w:val="004811D2"/>
    <w:rsid w:val="004816E4"/>
    <w:rsid w:val="00481C44"/>
    <w:rsid w:val="00481F87"/>
    <w:rsid w:val="00483AD0"/>
    <w:rsid w:val="00484936"/>
    <w:rsid w:val="00485C89"/>
    <w:rsid w:val="00486BE3"/>
    <w:rsid w:val="004905E4"/>
    <w:rsid w:val="00490708"/>
    <w:rsid w:val="00490969"/>
    <w:rsid w:val="00490A89"/>
    <w:rsid w:val="00490AB4"/>
    <w:rsid w:val="00492F02"/>
    <w:rsid w:val="004939AE"/>
    <w:rsid w:val="00493A98"/>
    <w:rsid w:val="00495D4E"/>
    <w:rsid w:val="00497A39"/>
    <w:rsid w:val="004A12DF"/>
    <w:rsid w:val="004A1BA8"/>
    <w:rsid w:val="004A4B57"/>
    <w:rsid w:val="004A4B7E"/>
    <w:rsid w:val="004A63FA"/>
    <w:rsid w:val="004A6A3D"/>
    <w:rsid w:val="004A6B9B"/>
    <w:rsid w:val="004A7309"/>
    <w:rsid w:val="004B0272"/>
    <w:rsid w:val="004B08DF"/>
    <w:rsid w:val="004B2211"/>
    <w:rsid w:val="004B2701"/>
    <w:rsid w:val="004B2E1B"/>
    <w:rsid w:val="004B3AA8"/>
    <w:rsid w:val="004B3E93"/>
    <w:rsid w:val="004B42F4"/>
    <w:rsid w:val="004B67EA"/>
    <w:rsid w:val="004B6C4D"/>
    <w:rsid w:val="004B6F68"/>
    <w:rsid w:val="004C0EE4"/>
    <w:rsid w:val="004C16F8"/>
    <w:rsid w:val="004C1C7C"/>
    <w:rsid w:val="004C1FBC"/>
    <w:rsid w:val="004C25A2"/>
    <w:rsid w:val="004C2CB2"/>
    <w:rsid w:val="004C3B8F"/>
    <w:rsid w:val="004C3F1D"/>
    <w:rsid w:val="004C458D"/>
    <w:rsid w:val="004C50B0"/>
    <w:rsid w:val="004C58AC"/>
    <w:rsid w:val="004C65FC"/>
    <w:rsid w:val="004C6B38"/>
    <w:rsid w:val="004C7556"/>
    <w:rsid w:val="004C7668"/>
    <w:rsid w:val="004C7E8B"/>
    <w:rsid w:val="004C7E9D"/>
    <w:rsid w:val="004C7F67"/>
    <w:rsid w:val="004D076D"/>
    <w:rsid w:val="004D07F9"/>
    <w:rsid w:val="004D0976"/>
    <w:rsid w:val="004D0EF1"/>
    <w:rsid w:val="004D2253"/>
    <w:rsid w:val="004D3D8D"/>
    <w:rsid w:val="004D4046"/>
    <w:rsid w:val="004D4406"/>
    <w:rsid w:val="004D5571"/>
    <w:rsid w:val="004D74C6"/>
    <w:rsid w:val="004D7578"/>
    <w:rsid w:val="004D7C42"/>
    <w:rsid w:val="004E012D"/>
    <w:rsid w:val="004E0465"/>
    <w:rsid w:val="004E1082"/>
    <w:rsid w:val="004E127B"/>
    <w:rsid w:val="004E1C0A"/>
    <w:rsid w:val="004E30C5"/>
    <w:rsid w:val="004E4AA5"/>
    <w:rsid w:val="004E4AEE"/>
    <w:rsid w:val="004E59E3"/>
    <w:rsid w:val="004E61D7"/>
    <w:rsid w:val="004E67C0"/>
    <w:rsid w:val="004E6B81"/>
    <w:rsid w:val="004F33C0"/>
    <w:rsid w:val="004F391A"/>
    <w:rsid w:val="004F3CFB"/>
    <w:rsid w:val="004F42F5"/>
    <w:rsid w:val="004F5016"/>
    <w:rsid w:val="004F6456"/>
    <w:rsid w:val="004F696E"/>
    <w:rsid w:val="004F6C71"/>
    <w:rsid w:val="004F71BF"/>
    <w:rsid w:val="00500694"/>
    <w:rsid w:val="00501139"/>
    <w:rsid w:val="005032DF"/>
    <w:rsid w:val="005035CF"/>
    <w:rsid w:val="0050363E"/>
    <w:rsid w:val="005039BC"/>
    <w:rsid w:val="00503BAC"/>
    <w:rsid w:val="005040F1"/>
    <w:rsid w:val="005043BB"/>
    <w:rsid w:val="00504A3D"/>
    <w:rsid w:val="00505752"/>
    <w:rsid w:val="00505767"/>
    <w:rsid w:val="005058C0"/>
    <w:rsid w:val="0050660D"/>
    <w:rsid w:val="00506693"/>
    <w:rsid w:val="005073F0"/>
    <w:rsid w:val="0050747A"/>
    <w:rsid w:val="00510A7B"/>
    <w:rsid w:val="00511FF2"/>
    <w:rsid w:val="00512F6E"/>
    <w:rsid w:val="00513038"/>
    <w:rsid w:val="00513CEB"/>
    <w:rsid w:val="00514174"/>
    <w:rsid w:val="0051497C"/>
    <w:rsid w:val="0051586D"/>
    <w:rsid w:val="00515C30"/>
    <w:rsid w:val="00516088"/>
    <w:rsid w:val="00516B0B"/>
    <w:rsid w:val="005216CC"/>
    <w:rsid w:val="005220EC"/>
    <w:rsid w:val="0052316F"/>
    <w:rsid w:val="00523F95"/>
    <w:rsid w:val="00524D65"/>
    <w:rsid w:val="00525B16"/>
    <w:rsid w:val="00527A20"/>
    <w:rsid w:val="00527D8B"/>
    <w:rsid w:val="0053050B"/>
    <w:rsid w:val="00531033"/>
    <w:rsid w:val="005321BA"/>
    <w:rsid w:val="00533D04"/>
    <w:rsid w:val="00534804"/>
    <w:rsid w:val="00534BDF"/>
    <w:rsid w:val="005354EA"/>
    <w:rsid w:val="0053585F"/>
    <w:rsid w:val="00535EC4"/>
    <w:rsid w:val="00535ED9"/>
    <w:rsid w:val="0053692B"/>
    <w:rsid w:val="0054067C"/>
    <w:rsid w:val="00541853"/>
    <w:rsid w:val="00543BDA"/>
    <w:rsid w:val="005441CC"/>
    <w:rsid w:val="00544DC5"/>
    <w:rsid w:val="005479DA"/>
    <w:rsid w:val="00547BCC"/>
    <w:rsid w:val="0055013B"/>
    <w:rsid w:val="00551545"/>
    <w:rsid w:val="00551F6F"/>
    <w:rsid w:val="005520E2"/>
    <w:rsid w:val="00552611"/>
    <w:rsid w:val="0055402D"/>
    <w:rsid w:val="00554A04"/>
    <w:rsid w:val="00555044"/>
    <w:rsid w:val="005550C3"/>
    <w:rsid w:val="00561475"/>
    <w:rsid w:val="00561776"/>
    <w:rsid w:val="00562308"/>
    <w:rsid w:val="00563583"/>
    <w:rsid w:val="0056364D"/>
    <w:rsid w:val="0056487B"/>
    <w:rsid w:val="00564FB9"/>
    <w:rsid w:val="00570B2A"/>
    <w:rsid w:val="00571157"/>
    <w:rsid w:val="00572E35"/>
    <w:rsid w:val="00573D9E"/>
    <w:rsid w:val="00574986"/>
    <w:rsid w:val="00574E9A"/>
    <w:rsid w:val="00575949"/>
    <w:rsid w:val="00576741"/>
    <w:rsid w:val="00576F0C"/>
    <w:rsid w:val="005801E3"/>
    <w:rsid w:val="00580AAC"/>
    <w:rsid w:val="00581802"/>
    <w:rsid w:val="0058222A"/>
    <w:rsid w:val="005836A8"/>
    <w:rsid w:val="005839C4"/>
    <w:rsid w:val="0058409C"/>
    <w:rsid w:val="00584262"/>
    <w:rsid w:val="00586630"/>
    <w:rsid w:val="005868CD"/>
    <w:rsid w:val="005875CF"/>
    <w:rsid w:val="00587ADD"/>
    <w:rsid w:val="00593A49"/>
    <w:rsid w:val="00595D0A"/>
    <w:rsid w:val="00596160"/>
    <w:rsid w:val="005966E2"/>
    <w:rsid w:val="00597007"/>
    <w:rsid w:val="00597D6F"/>
    <w:rsid w:val="005A0966"/>
    <w:rsid w:val="005A11B7"/>
    <w:rsid w:val="005A260B"/>
    <w:rsid w:val="005A3311"/>
    <w:rsid w:val="005A4A1B"/>
    <w:rsid w:val="005A7830"/>
    <w:rsid w:val="005A7C52"/>
    <w:rsid w:val="005A7FCE"/>
    <w:rsid w:val="005B010D"/>
    <w:rsid w:val="005B0F3F"/>
    <w:rsid w:val="005B191C"/>
    <w:rsid w:val="005B2433"/>
    <w:rsid w:val="005B323E"/>
    <w:rsid w:val="005B3571"/>
    <w:rsid w:val="005B4903"/>
    <w:rsid w:val="005B51CE"/>
    <w:rsid w:val="005B5771"/>
    <w:rsid w:val="005B5885"/>
    <w:rsid w:val="005B5CD7"/>
    <w:rsid w:val="005B6CF6"/>
    <w:rsid w:val="005B725C"/>
    <w:rsid w:val="005B7422"/>
    <w:rsid w:val="005C24E5"/>
    <w:rsid w:val="005C29B8"/>
    <w:rsid w:val="005C4FBE"/>
    <w:rsid w:val="005C5F21"/>
    <w:rsid w:val="005C7156"/>
    <w:rsid w:val="005C7826"/>
    <w:rsid w:val="005D01F6"/>
    <w:rsid w:val="005D0C75"/>
    <w:rsid w:val="005D22F3"/>
    <w:rsid w:val="005D3597"/>
    <w:rsid w:val="005D4171"/>
    <w:rsid w:val="005D55FA"/>
    <w:rsid w:val="005D617A"/>
    <w:rsid w:val="005D6A95"/>
    <w:rsid w:val="005D6B2C"/>
    <w:rsid w:val="005D6D9C"/>
    <w:rsid w:val="005D7AFF"/>
    <w:rsid w:val="005E1287"/>
    <w:rsid w:val="005E2335"/>
    <w:rsid w:val="005E23AE"/>
    <w:rsid w:val="005E34CA"/>
    <w:rsid w:val="005E3C18"/>
    <w:rsid w:val="005E4250"/>
    <w:rsid w:val="005E5010"/>
    <w:rsid w:val="005E6172"/>
    <w:rsid w:val="005E6812"/>
    <w:rsid w:val="005E7881"/>
    <w:rsid w:val="005E78E0"/>
    <w:rsid w:val="005E7A86"/>
    <w:rsid w:val="005F0D9C"/>
    <w:rsid w:val="005F284E"/>
    <w:rsid w:val="005F45E4"/>
    <w:rsid w:val="006015CE"/>
    <w:rsid w:val="00602714"/>
    <w:rsid w:val="00604566"/>
    <w:rsid w:val="00604784"/>
    <w:rsid w:val="0060480A"/>
    <w:rsid w:val="00605423"/>
    <w:rsid w:val="00606419"/>
    <w:rsid w:val="00606A5A"/>
    <w:rsid w:val="006072D3"/>
    <w:rsid w:val="00607D29"/>
    <w:rsid w:val="0061172A"/>
    <w:rsid w:val="00612952"/>
    <w:rsid w:val="0061295D"/>
    <w:rsid w:val="00613E66"/>
    <w:rsid w:val="00614CC1"/>
    <w:rsid w:val="00615A9D"/>
    <w:rsid w:val="00615FF0"/>
    <w:rsid w:val="00616E33"/>
    <w:rsid w:val="00617387"/>
    <w:rsid w:val="006205D6"/>
    <w:rsid w:val="00621C9F"/>
    <w:rsid w:val="00622757"/>
    <w:rsid w:val="006252D8"/>
    <w:rsid w:val="006259BC"/>
    <w:rsid w:val="0062636B"/>
    <w:rsid w:val="00630CCE"/>
    <w:rsid w:val="00630F52"/>
    <w:rsid w:val="006312F5"/>
    <w:rsid w:val="00632182"/>
    <w:rsid w:val="00632AB6"/>
    <w:rsid w:val="00632AE0"/>
    <w:rsid w:val="00633C17"/>
    <w:rsid w:val="00633FDE"/>
    <w:rsid w:val="006343B5"/>
    <w:rsid w:val="0063464D"/>
    <w:rsid w:val="00634D9E"/>
    <w:rsid w:val="00635ACD"/>
    <w:rsid w:val="00636AAA"/>
    <w:rsid w:val="00636E3E"/>
    <w:rsid w:val="006379F7"/>
    <w:rsid w:val="00637E4D"/>
    <w:rsid w:val="00640620"/>
    <w:rsid w:val="00641A1F"/>
    <w:rsid w:val="00642185"/>
    <w:rsid w:val="006428B3"/>
    <w:rsid w:val="00644CE9"/>
    <w:rsid w:val="00645904"/>
    <w:rsid w:val="00646A62"/>
    <w:rsid w:val="00646B09"/>
    <w:rsid w:val="0065085A"/>
    <w:rsid w:val="00651ACB"/>
    <w:rsid w:val="00651C47"/>
    <w:rsid w:val="0065249A"/>
    <w:rsid w:val="00652AB2"/>
    <w:rsid w:val="00653FED"/>
    <w:rsid w:val="00654EC0"/>
    <w:rsid w:val="0065525B"/>
    <w:rsid w:val="00655D4F"/>
    <w:rsid w:val="00656D29"/>
    <w:rsid w:val="006640E5"/>
    <w:rsid w:val="006646F1"/>
    <w:rsid w:val="00664929"/>
    <w:rsid w:val="00664B4B"/>
    <w:rsid w:val="00664E05"/>
    <w:rsid w:val="00664F62"/>
    <w:rsid w:val="006655E1"/>
    <w:rsid w:val="00665F29"/>
    <w:rsid w:val="0066729E"/>
    <w:rsid w:val="006674FD"/>
    <w:rsid w:val="00672060"/>
    <w:rsid w:val="006726BF"/>
    <w:rsid w:val="00672BFD"/>
    <w:rsid w:val="00675165"/>
    <w:rsid w:val="006767A8"/>
    <w:rsid w:val="006770F4"/>
    <w:rsid w:val="00677A84"/>
    <w:rsid w:val="0068026D"/>
    <w:rsid w:val="00680A27"/>
    <w:rsid w:val="006816A4"/>
    <w:rsid w:val="006819B8"/>
    <w:rsid w:val="00682576"/>
    <w:rsid w:val="00682CEC"/>
    <w:rsid w:val="006837A1"/>
    <w:rsid w:val="006840A6"/>
    <w:rsid w:val="00684C68"/>
    <w:rsid w:val="006850CD"/>
    <w:rsid w:val="00685AAB"/>
    <w:rsid w:val="00691362"/>
    <w:rsid w:val="00691F54"/>
    <w:rsid w:val="00692149"/>
    <w:rsid w:val="0069442D"/>
    <w:rsid w:val="00694B89"/>
    <w:rsid w:val="006960CD"/>
    <w:rsid w:val="006A07AA"/>
    <w:rsid w:val="006A16AC"/>
    <w:rsid w:val="006A25E5"/>
    <w:rsid w:val="006A2B46"/>
    <w:rsid w:val="006A336D"/>
    <w:rsid w:val="006A3702"/>
    <w:rsid w:val="006A37B9"/>
    <w:rsid w:val="006A5A02"/>
    <w:rsid w:val="006A5D67"/>
    <w:rsid w:val="006B2672"/>
    <w:rsid w:val="006B3DF1"/>
    <w:rsid w:val="006B47BF"/>
    <w:rsid w:val="006B54BF"/>
    <w:rsid w:val="006B5F44"/>
    <w:rsid w:val="006B5F90"/>
    <w:rsid w:val="006B62E4"/>
    <w:rsid w:val="006B6F8B"/>
    <w:rsid w:val="006C03E2"/>
    <w:rsid w:val="006C1BBA"/>
    <w:rsid w:val="006C2079"/>
    <w:rsid w:val="006C306B"/>
    <w:rsid w:val="006C5A62"/>
    <w:rsid w:val="006C5D68"/>
    <w:rsid w:val="006C609F"/>
    <w:rsid w:val="006C6976"/>
    <w:rsid w:val="006C6DD0"/>
    <w:rsid w:val="006C781B"/>
    <w:rsid w:val="006D04EA"/>
    <w:rsid w:val="006D16C4"/>
    <w:rsid w:val="006D3E96"/>
    <w:rsid w:val="006D4515"/>
    <w:rsid w:val="006D4BB1"/>
    <w:rsid w:val="006D4D4B"/>
    <w:rsid w:val="006D600F"/>
    <w:rsid w:val="006D6593"/>
    <w:rsid w:val="006D708F"/>
    <w:rsid w:val="006D716C"/>
    <w:rsid w:val="006D7F02"/>
    <w:rsid w:val="006E1338"/>
    <w:rsid w:val="006E2BDC"/>
    <w:rsid w:val="006E4D02"/>
    <w:rsid w:val="006E50FB"/>
    <w:rsid w:val="006E56B4"/>
    <w:rsid w:val="006F03A8"/>
    <w:rsid w:val="006F119C"/>
    <w:rsid w:val="006F1C86"/>
    <w:rsid w:val="006F2055"/>
    <w:rsid w:val="006F2A10"/>
    <w:rsid w:val="006F2ACA"/>
    <w:rsid w:val="006F2ADC"/>
    <w:rsid w:val="006F2BFE"/>
    <w:rsid w:val="006F31E9"/>
    <w:rsid w:val="006F4DC9"/>
    <w:rsid w:val="006F6284"/>
    <w:rsid w:val="006F6BEB"/>
    <w:rsid w:val="006F6E9F"/>
    <w:rsid w:val="006F771E"/>
    <w:rsid w:val="007002C5"/>
    <w:rsid w:val="00704387"/>
    <w:rsid w:val="00707501"/>
    <w:rsid w:val="00707669"/>
    <w:rsid w:val="00711CBA"/>
    <w:rsid w:val="00711FB5"/>
    <w:rsid w:val="00712A01"/>
    <w:rsid w:val="00713288"/>
    <w:rsid w:val="00714F58"/>
    <w:rsid w:val="00715C61"/>
    <w:rsid w:val="0071672B"/>
    <w:rsid w:val="00716C61"/>
    <w:rsid w:val="00717FE0"/>
    <w:rsid w:val="00722FBF"/>
    <w:rsid w:val="00722FC2"/>
    <w:rsid w:val="00723BD2"/>
    <w:rsid w:val="00724E1B"/>
    <w:rsid w:val="00725949"/>
    <w:rsid w:val="00727FA2"/>
    <w:rsid w:val="007322D9"/>
    <w:rsid w:val="00732301"/>
    <w:rsid w:val="00732BC0"/>
    <w:rsid w:val="007331C1"/>
    <w:rsid w:val="007345A6"/>
    <w:rsid w:val="00735882"/>
    <w:rsid w:val="007362F2"/>
    <w:rsid w:val="0073720F"/>
    <w:rsid w:val="00737796"/>
    <w:rsid w:val="00737DF9"/>
    <w:rsid w:val="007402AF"/>
    <w:rsid w:val="0074165C"/>
    <w:rsid w:val="00742C35"/>
    <w:rsid w:val="007432CA"/>
    <w:rsid w:val="007439EB"/>
    <w:rsid w:val="00743CB4"/>
    <w:rsid w:val="00743E32"/>
    <w:rsid w:val="00743F0A"/>
    <w:rsid w:val="007444E8"/>
    <w:rsid w:val="00744C44"/>
    <w:rsid w:val="0074548E"/>
    <w:rsid w:val="00745773"/>
    <w:rsid w:val="00746800"/>
    <w:rsid w:val="00746B7A"/>
    <w:rsid w:val="00746C4E"/>
    <w:rsid w:val="00747A05"/>
    <w:rsid w:val="007501A8"/>
    <w:rsid w:val="007508B6"/>
    <w:rsid w:val="00750D61"/>
    <w:rsid w:val="00750EE1"/>
    <w:rsid w:val="00752B4D"/>
    <w:rsid w:val="00755402"/>
    <w:rsid w:val="00756B26"/>
    <w:rsid w:val="00756EDF"/>
    <w:rsid w:val="00757399"/>
    <w:rsid w:val="007600E3"/>
    <w:rsid w:val="00765C43"/>
    <w:rsid w:val="00765EFB"/>
    <w:rsid w:val="007669C4"/>
    <w:rsid w:val="00766F6B"/>
    <w:rsid w:val="007671CA"/>
    <w:rsid w:val="00767510"/>
    <w:rsid w:val="00767C61"/>
    <w:rsid w:val="0077005B"/>
    <w:rsid w:val="00770069"/>
    <w:rsid w:val="0077008A"/>
    <w:rsid w:val="00772011"/>
    <w:rsid w:val="007722C9"/>
    <w:rsid w:val="00773C1F"/>
    <w:rsid w:val="00774DA4"/>
    <w:rsid w:val="00775E43"/>
    <w:rsid w:val="00776599"/>
    <w:rsid w:val="00776E0C"/>
    <w:rsid w:val="0077749C"/>
    <w:rsid w:val="00777D8E"/>
    <w:rsid w:val="00780405"/>
    <w:rsid w:val="0078114B"/>
    <w:rsid w:val="00781374"/>
    <w:rsid w:val="00781675"/>
    <w:rsid w:val="00781DD2"/>
    <w:rsid w:val="00781E85"/>
    <w:rsid w:val="00782138"/>
    <w:rsid w:val="00782202"/>
    <w:rsid w:val="00783ECF"/>
    <w:rsid w:val="0078413A"/>
    <w:rsid w:val="00792582"/>
    <w:rsid w:val="0079574C"/>
    <w:rsid w:val="007959E8"/>
    <w:rsid w:val="00795E9C"/>
    <w:rsid w:val="0079679B"/>
    <w:rsid w:val="00796892"/>
    <w:rsid w:val="00797FB0"/>
    <w:rsid w:val="007A0521"/>
    <w:rsid w:val="007A0947"/>
    <w:rsid w:val="007A1CF3"/>
    <w:rsid w:val="007A2E12"/>
    <w:rsid w:val="007A3475"/>
    <w:rsid w:val="007A41C8"/>
    <w:rsid w:val="007A4810"/>
    <w:rsid w:val="007A54CE"/>
    <w:rsid w:val="007A6FD9"/>
    <w:rsid w:val="007A739D"/>
    <w:rsid w:val="007A76D0"/>
    <w:rsid w:val="007A7FFA"/>
    <w:rsid w:val="007B04EB"/>
    <w:rsid w:val="007B0D3C"/>
    <w:rsid w:val="007B0D4F"/>
    <w:rsid w:val="007B5A3D"/>
    <w:rsid w:val="007B5B95"/>
    <w:rsid w:val="007B6032"/>
    <w:rsid w:val="007B68EA"/>
    <w:rsid w:val="007B7453"/>
    <w:rsid w:val="007C0292"/>
    <w:rsid w:val="007C18AA"/>
    <w:rsid w:val="007C2D89"/>
    <w:rsid w:val="007C387B"/>
    <w:rsid w:val="007C3F6C"/>
    <w:rsid w:val="007C4593"/>
    <w:rsid w:val="007C5309"/>
    <w:rsid w:val="007C5B87"/>
    <w:rsid w:val="007C6069"/>
    <w:rsid w:val="007D06C4"/>
    <w:rsid w:val="007D0AB6"/>
    <w:rsid w:val="007D127A"/>
    <w:rsid w:val="007D1352"/>
    <w:rsid w:val="007D2508"/>
    <w:rsid w:val="007D346A"/>
    <w:rsid w:val="007D6518"/>
    <w:rsid w:val="007D6719"/>
    <w:rsid w:val="007D76BD"/>
    <w:rsid w:val="007E0BF1"/>
    <w:rsid w:val="007E1CB9"/>
    <w:rsid w:val="007E3BC0"/>
    <w:rsid w:val="007E59CF"/>
    <w:rsid w:val="007E6C50"/>
    <w:rsid w:val="007E756A"/>
    <w:rsid w:val="007E7A7C"/>
    <w:rsid w:val="007F0ED8"/>
    <w:rsid w:val="007F0F63"/>
    <w:rsid w:val="007F22CA"/>
    <w:rsid w:val="007F4B2E"/>
    <w:rsid w:val="007F6C5A"/>
    <w:rsid w:val="007F72C8"/>
    <w:rsid w:val="007F75CE"/>
    <w:rsid w:val="008013A4"/>
    <w:rsid w:val="00801B9E"/>
    <w:rsid w:val="008027CE"/>
    <w:rsid w:val="00802F42"/>
    <w:rsid w:val="00803951"/>
    <w:rsid w:val="00804383"/>
    <w:rsid w:val="00804BB7"/>
    <w:rsid w:val="00804D41"/>
    <w:rsid w:val="00810257"/>
    <w:rsid w:val="008104F5"/>
    <w:rsid w:val="00811072"/>
    <w:rsid w:val="00811369"/>
    <w:rsid w:val="0081426F"/>
    <w:rsid w:val="00815419"/>
    <w:rsid w:val="008163C8"/>
    <w:rsid w:val="008164A1"/>
    <w:rsid w:val="00816569"/>
    <w:rsid w:val="00817325"/>
    <w:rsid w:val="00817BC3"/>
    <w:rsid w:val="008209E6"/>
    <w:rsid w:val="008216B9"/>
    <w:rsid w:val="00821DC1"/>
    <w:rsid w:val="00823303"/>
    <w:rsid w:val="008233B2"/>
    <w:rsid w:val="00823A9F"/>
    <w:rsid w:val="00823C85"/>
    <w:rsid w:val="00823EB0"/>
    <w:rsid w:val="00825138"/>
    <w:rsid w:val="00826365"/>
    <w:rsid w:val="00826689"/>
    <w:rsid w:val="008269DD"/>
    <w:rsid w:val="00826DA3"/>
    <w:rsid w:val="00827063"/>
    <w:rsid w:val="00830621"/>
    <w:rsid w:val="0083348C"/>
    <w:rsid w:val="008373D3"/>
    <w:rsid w:val="00840617"/>
    <w:rsid w:val="00840F84"/>
    <w:rsid w:val="00842A47"/>
    <w:rsid w:val="00842D26"/>
    <w:rsid w:val="00843C13"/>
    <w:rsid w:val="008454F8"/>
    <w:rsid w:val="00845A47"/>
    <w:rsid w:val="008473B0"/>
    <w:rsid w:val="00850069"/>
    <w:rsid w:val="0085173A"/>
    <w:rsid w:val="0085294E"/>
    <w:rsid w:val="00853C3C"/>
    <w:rsid w:val="00853DCA"/>
    <w:rsid w:val="00856907"/>
    <w:rsid w:val="00856FFD"/>
    <w:rsid w:val="00857193"/>
    <w:rsid w:val="008571AF"/>
    <w:rsid w:val="008603CE"/>
    <w:rsid w:val="008620FC"/>
    <w:rsid w:val="00862643"/>
    <w:rsid w:val="008627A5"/>
    <w:rsid w:val="00863176"/>
    <w:rsid w:val="0086360C"/>
    <w:rsid w:val="00863E05"/>
    <w:rsid w:val="00865ACA"/>
    <w:rsid w:val="00865D28"/>
    <w:rsid w:val="00865F85"/>
    <w:rsid w:val="0086624A"/>
    <w:rsid w:val="00866BC5"/>
    <w:rsid w:val="00867C10"/>
    <w:rsid w:val="00870439"/>
    <w:rsid w:val="00870B12"/>
    <w:rsid w:val="00870DA1"/>
    <w:rsid w:val="00871167"/>
    <w:rsid w:val="00871C83"/>
    <w:rsid w:val="008720F2"/>
    <w:rsid w:val="008737EE"/>
    <w:rsid w:val="00874744"/>
    <w:rsid w:val="00874DF7"/>
    <w:rsid w:val="00874E03"/>
    <w:rsid w:val="00877C0F"/>
    <w:rsid w:val="00881E17"/>
    <w:rsid w:val="00882D21"/>
    <w:rsid w:val="00883F93"/>
    <w:rsid w:val="00884DB3"/>
    <w:rsid w:val="00885A9D"/>
    <w:rsid w:val="00885CCE"/>
    <w:rsid w:val="008864F6"/>
    <w:rsid w:val="008866C5"/>
    <w:rsid w:val="0088678E"/>
    <w:rsid w:val="0089049D"/>
    <w:rsid w:val="008928C9"/>
    <w:rsid w:val="008930CB"/>
    <w:rsid w:val="008938DC"/>
    <w:rsid w:val="00893FCE"/>
    <w:rsid w:val="00893FD1"/>
    <w:rsid w:val="008945EF"/>
    <w:rsid w:val="00894836"/>
    <w:rsid w:val="00895172"/>
    <w:rsid w:val="00895680"/>
    <w:rsid w:val="00896DFF"/>
    <w:rsid w:val="0089762C"/>
    <w:rsid w:val="008A173B"/>
    <w:rsid w:val="008A1893"/>
    <w:rsid w:val="008A432F"/>
    <w:rsid w:val="008A48D9"/>
    <w:rsid w:val="008A57E6"/>
    <w:rsid w:val="008A6F81"/>
    <w:rsid w:val="008A70C9"/>
    <w:rsid w:val="008A769A"/>
    <w:rsid w:val="008B0C9C"/>
    <w:rsid w:val="008B1078"/>
    <w:rsid w:val="008B1263"/>
    <w:rsid w:val="008B146A"/>
    <w:rsid w:val="008B166D"/>
    <w:rsid w:val="008B17F4"/>
    <w:rsid w:val="008B3615"/>
    <w:rsid w:val="008B3785"/>
    <w:rsid w:val="008B3FB2"/>
    <w:rsid w:val="008B40ED"/>
    <w:rsid w:val="008B4AC4"/>
    <w:rsid w:val="008B50C8"/>
    <w:rsid w:val="008B5281"/>
    <w:rsid w:val="008B736C"/>
    <w:rsid w:val="008B7E05"/>
    <w:rsid w:val="008C1797"/>
    <w:rsid w:val="008C219C"/>
    <w:rsid w:val="008C42C6"/>
    <w:rsid w:val="008C475E"/>
    <w:rsid w:val="008C5E55"/>
    <w:rsid w:val="008C619A"/>
    <w:rsid w:val="008D0CE8"/>
    <w:rsid w:val="008D16E8"/>
    <w:rsid w:val="008D28BE"/>
    <w:rsid w:val="008D2BED"/>
    <w:rsid w:val="008D2D1D"/>
    <w:rsid w:val="008D453D"/>
    <w:rsid w:val="008D4AEE"/>
    <w:rsid w:val="008D53AD"/>
    <w:rsid w:val="008D562B"/>
    <w:rsid w:val="008D5733"/>
    <w:rsid w:val="008D5C41"/>
    <w:rsid w:val="008D622B"/>
    <w:rsid w:val="008D666C"/>
    <w:rsid w:val="008D7B54"/>
    <w:rsid w:val="008E09E5"/>
    <w:rsid w:val="008E0C9D"/>
    <w:rsid w:val="008E1648"/>
    <w:rsid w:val="008E1B3E"/>
    <w:rsid w:val="008E20B0"/>
    <w:rsid w:val="008E2319"/>
    <w:rsid w:val="008E4BB6"/>
    <w:rsid w:val="008E5518"/>
    <w:rsid w:val="008E56FE"/>
    <w:rsid w:val="008E5ABC"/>
    <w:rsid w:val="008E6A84"/>
    <w:rsid w:val="008E7F2E"/>
    <w:rsid w:val="008F0CDC"/>
    <w:rsid w:val="008F17A3"/>
    <w:rsid w:val="008F1A23"/>
    <w:rsid w:val="008F1ED3"/>
    <w:rsid w:val="008F2F3D"/>
    <w:rsid w:val="008F4173"/>
    <w:rsid w:val="008F4C29"/>
    <w:rsid w:val="008F5742"/>
    <w:rsid w:val="008F6170"/>
    <w:rsid w:val="008F70BD"/>
    <w:rsid w:val="008F7151"/>
    <w:rsid w:val="008F7619"/>
    <w:rsid w:val="008F788F"/>
    <w:rsid w:val="008F7EA2"/>
    <w:rsid w:val="0090156C"/>
    <w:rsid w:val="009015B0"/>
    <w:rsid w:val="00902722"/>
    <w:rsid w:val="009027BC"/>
    <w:rsid w:val="00903810"/>
    <w:rsid w:val="0090602B"/>
    <w:rsid w:val="009062E6"/>
    <w:rsid w:val="009071E8"/>
    <w:rsid w:val="00907545"/>
    <w:rsid w:val="0090792B"/>
    <w:rsid w:val="00911BE5"/>
    <w:rsid w:val="00913CA9"/>
    <w:rsid w:val="009145AE"/>
    <w:rsid w:val="009146CE"/>
    <w:rsid w:val="00914CA7"/>
    <w:rsid w:val="00915C3E"/>
    <w:rsid w:val="009161A8"/>
    <w:rsid w:val="009217FD"/>
    <w:rsid w:val="00921DCF"/>
    <w:rsid w:val="0092330D"/>
    <w:rsid w:val="009245AE"/>
    <w:rsid w:val="009245F5"/>
    <w:rsid w:val="009249EC"/>
    <w:rsid w:val="0092503F"/>
    <w:rsid w:val="00925182"/>
    <w:rsid w:val="0092524B"/>
    <w:rsid w:val="00925B5F"/>
    <w:rsid w:val="009273B3"/>
    <w:rsid w:val="009276E5"/>
    <w:rsid w:val="00927B20"/>
    <w:rsid w:val="009305B5"/>
    <w:rsid w:val="00934F1E"/>
    <w:rsid w:val="009378DD"/>
    <w:rsid w:val="009423DB"/>
    <w:rsid w:val="009429D5"/>
    <w:rsid w:val="00942BF1"/>
    <w:rsid w:val="009442D0"/>
    <w:rsid w:val="0094494E"/>
    <w:rsid w:val="00945180"/>
    <w:rsid w:val="00945428"/>
    <w:rsid w:val="0094607B"/>
    <w:rsid w:val="0094648D"/>
    <w:rsid w:val="00946E74"/>
    <w:rsid w:val="00951515"/>
    <w:rsid w:val="00953604"/>
    <w:rsid w:val="0095496B"/>
    <w:rsid w:val="009557DB"/>
    <w:rsid w:val="00960F1E"/>
    <w:rsid w:val="009610DC"/>
    <w:rsid w:val="00961490"/>
    <w:rsid w:val="0096381A"/>
    <w:rsid w:val="00963876"/>
    <w:rsid w:val="00964F50"/>
    <w:rsid w:val="00965E04"/>
    <w:rsid w:val="009674AD"/>
    <w:rsid w:val="00970CDC"/>
    <w:rsid w:val="009710E0"/>
    <w:rsid w:val="00972D1F"/>
    <w:rsid w:val="00974E7B"/>
    <w:rsid w:val="00975317"/>
    <w:rsid w:val="00975727"/>
    <w:rsid w:val="00977010"/>
    <w:rsid w:val="00977D02"/>
    <w:rsid w:val="00977FF9"/>
    <w:rsid w:val="009806B3"/>
    <w:rsid w:val="009809BB"/>
    <w:rsid w:val="0098364B"/>
    <w:rsid w:val="0098395C"/>
    <w:rsid w:val="00983AAF"/>
    <w:rsid w:val="009908A3"/>
    <w:rsid w:val="009911AF"/>
    <w:rsid w:val="00991875"/>
    <w:rsid w:val="00991F92"/>
    <w:rsid w:val="00992283"/>
    <w:rsid w:val="00992985"/>
    <w:rsid w:val="009937C2"/>
    <w:rsid w:val="00993889"/>
    <w:rsid w:val="00993931"/>
    <w:rsid w:val="0099551B"/>
    <w:rsid w:val="00996BD2"/>
    <w:rsid w:val="00997B93"/>
    <w:rsid w:val="00997BF1"/>
    <w:rsid w:val="009A089C"/>
    <w:rsid w:val="009A0BD3"/>
    <w:rsid w:val="009A118E"/>
    <w:rsid w:val="009A21CD"/>
    <w:rsid w:val="009A278C"/>
    <w:rsid w:val="009A2BC2"/>
    <w:rsid w:val="009A42C1"/>
    <w:rsid w:val="009A476D"/>
    <w:rsid w:val="009A4865"/>
    <w:rsid w:val="009A5429"/>
    <w:rsid w:val="009A5794"/>
    <w:rsid w:val="009A72AD"/>
    <w:rsid w:val="009A7EB4"/>
    <w:rsid w:val="009B09E0"/>
    <w:rsid w:val="009B0BC5"/>
    <w:rsid w:val="009B1247"/>
    <w:rsid w:val="009B364A"/>
    <w:rsid w:val="009B55C0"/>
    <w:rsid w:val="009B6029"/>
    <w:rsid w:val="009B6971"/>
    <w:rsid w:val="009B7188"/>
    <w:rsid w:val="009C20DD"/>
    <w:rsid w:val="009C27F1"/>
    <w:rsid w:val="009C3152"/>
    <w:rsid w:val="009C3257"/>
    <w:rsid w:val="009C4CFA"/>
    <w:rsid w:val="009C4F30"/>
    <w:rsid w:val="009C5070"/>
    <w:rsid w:val="009C6CCB"/>
    <w:rsid w:val="009D0888"/>
    <w:rsid w:val="009D112C"/>
    <w:rsid w:val="009D1385"/>
    <w:rsid w:val="009D1F78"/>
    <w:rsid w:val="009D47FA"/>
    <w:rsid w:val="009D4C5B"/>
    <w:rsid w:val="009D50D2"/>
    <w:rsid w:val="009D6BCA"/>
    <w:rsid w:val="009D7A76"/>
    <w:rsid w:val="009E05B3"/>
    <w:rsid w:val="009E0F62"/>
    <w:rsid w:val="009E3484"/>
    <w:rsid w:val="009E4A58"/>
    <w:rsid w:val="009E5506"/>
    <w:rsid w:val="009E5A2D"/>
    <w:rsid w:val="009E5AB2"/>
    <w:rsid w:val="009E6219"/>
    <w:rsid w:val="009E788E"/>
    <w:rsid w:val="009F03B3"/>
    <w:rsid w:val="009F0405"/>
    <w:rsid w:val="009F258A"/>
    <w:rsid w:val="009F284D"/>
    <w:rsid w:val="009F39C8"/>
    <w:rsid w:val="009F4674"/>
    <w:rsid w:val="009F75CC"/>
    <w:rsid w:val="00A0096C"/>
    <w:rsid w:val="00A009B8"/>
    <w:rsid w:val="00A00F2F"/>
    <w:rsid w:val="00A01757"/>
    <w:rsid w:val="00A01BC9"/>
    <w:rsid w:val="00A028C0"/>
    <w:rsid w:val="00A02BAE"/>
    <w:rsid w:val="00A0452C"/>
    <w:rsid w:val="00A04998"/>
    <w:rsid w:val="00A06A6B"/>
    <w:rsid w:val="00A07250"/>
    <w:rsid w:val="00A07E47"/>
    <w:rsid w:val="00A11E12"/>
    <w:rsid w:val="00A129D0"/>
    <w:rsid w:val="00A12C33"/>
    <w:rsid w:val="00A13803"/>
    <w:rsid w:val="00A138BA"/>
    <w:rsid w:val="00A14C8E"/>
    <w:rsid w:val="00A153D9"/>
    <w:rsid w:val="00A15F09"/>
    <w:rsid w:val="00A169B6"/>
    <w:rsid w:val="00A2271D"/>
    <w:rsid w:val="00A22D56"/>
    <w:rsid w:val="00A237D5"/>
    <w:rsid w:val="00A3099F"/>
    <w:rsid w:val="00A30EFC"/>
    <w:rsid w:val="00A31322"/>
    <w:rsid w:val="00A31984"/>
    <w:rsid w:val="00A3290D"/>
    <w:rsid w:val="00A32D73"/>
    <w:rsid w:val="00A3316D"/>
    <w:rsid w:val="00A3367B"/>
    <w:rsid w:val="00A3597D"/>
    <w:rsid w:val="00A35A10"/>
    <w:rsid w:val="00A36DD1"/>
    <w:rsid w:val="00A37166"/>
    <w:rsid w:val="00A37E72"/>
    <w:rsid w:val="00A4006C"/>
    <w:rsid w:val="00A40091"/>
    <w:rsid w:val="00A4030F"/>
    <w:rsid w:val="00A41C79"/>
    <w:rsid w:val="00A41CB5"/>
    <w:rsid w:val="00A42CDF"/>
    <w:rsid w:val="00A4452E"/>
    <w:rsid w:val="00A4472C"/>
    <w:rsid w:val="00A44A93"/>
    <w:rsid w:val="00A44E69"/>
    <w:rsid w:val="00A4661E"/>
    <w:rsid w:val="00A53019"/>
    <w:rsid w:val="00A533DF"/>
    <w:rsid w:val="00A54009"/>
    <w:rsid w:val="00A54201"/>
    <w:rsid w:val="00A55BD6"/>
    <w:rsid w:val="00A55D50"/>
    <w:rsid w:val="00A56779"/>
    <w:rsid w:val="00A57142"/>
    <w:rsid w:val="00A63973"/>
    <w:rsid w:val="00A639FF"/>
    <w:rsid w:val="00A63E16"/>
    <w:rsid w:val="00A648CD"/>
    <w:rsid w:val="00A6537A"/>
    <w:rsid w:val="00A6737E"/>
    <w:rsid w:val="00A67866"/>
    <w:rsid w:val="00A67E3F"/>
    <w:rsid w:val="00A70B07"/>
    <w:rsid w:val="00A715D3"/>
    <w:rsid w:val="00A723F8"/>
    <w:rsid w:val="00A7274E"/>
    <w:rsid w:val="00A731AD"/>
    <w:rsid w:val="00A74563"/>
    <w:rsid w:val="00A7661E"/>
    <w:rsid w:val="00A76935"/>
    <w:rsid w:val="00A77CCB"/>
    <w:rsid w:val="00A802C4"/>
    <w:rsid w:val="00A83D8D"/>
    <w:rsid w:val="00A8446B"/>
    <w:rsid w:val="00A8473F"/>
    <w:rsid w:val="00A847AE"/>
    <w:rsid w:val="00A862D6"/>
    <w:rsid w:val="00A8715E"/>
    <w:rsid w:val="00A87E3F"/>
    <w:rsid w:val="00A9295B"/>
    <w:rsid w:val="00A939AE"/>
    <w:rsid w:val="00A93B09"/>
    <w:rsid w:val="00A952D7"/>
    <w:rsid w:val="00A95625"/>
    <w:rsid w:val="00A963F7"/>
    <w:rsid w:val="00A96AD8"/>
    <w:rsid w:val="00AA052C"/>
    <w:rsid w:val="00AA055D"/>
    <w:rsid w:val="00AA17F8"/>
    <w:rsid w:val="00AA1E45"/>
    <w:rsid w:val="00AA3678"/>
    <w:rsid w:val="00AA4286"/>
    <w:rsid w:val="00AA4418"/>
    <w:rsid w:val="00AA456B"/>
    <w:rsid w:val="00AA57F5"/>
    <w:rsid w:val="00AA5CFD"/>
    <w:rsid w:val="00AA672E"/>
    <w:rsid w:val="00AA6EC9"/>
    <w:rsid w:val="00AA7DEF"/>
    <w:rsid w:val="00AB1B41"/>
    <w:rsid w:val="00AB2C31"/>
    <w:rsid w:val="00AB3404"/>
    <w:rsid w:val="00AB342F"/>
    <w:rsid w:val="00AB6309"/>
    <w:rsid w:val="00AB6C5F"/>
    <w:rsid w:val="00AB7129"/>
    <w:rsid w:val="00AC27A6"/>
    <w:rsid w:val="00AC30F7"/>
    <w:rsid w:val="00AC3A5A"/>
    <w:rsid w:val="00AC4D95"/>
    <w:rsid w:val="00AC5DF4"/>
    <w:rsid w:val="00AD0728"/>
    <w:rsid w:val="00AD0AEF"/>
    <w:rsid w:val="00AD11B7"/>
    <w:rsid w:val="00AD1A94"/>
    <w:rsid w:val="00AD1C05"/>
    <w:rsid w:val="00AD2E96"/>
    <w:rsid w:val="00AD4126"/>
    <w:rsid w:val="00AD421C"/>
    <w:rsid w:val="00AD44FA"/>
    <w:rsid w:val="00AD4865"/>
    <w:rsid w:val="00AD540E"/>
    <w:rsid w:val="00AD692A"/>
    <w:rsid w:val="00AD76B2"/>
    <w:rsid w:val="00AE070A"/>
    <w:rsid w:val="00AE101C"/>
    <w:rsid w:val="00AE2A69"/>
    <w:rsid w:val="00AE3460"/>
    <w:rsid w:val="00AE37E5"/>
    <w:rsid w:val="00AE3D79"/>
    <w:rsid w:val="00AE5EB4"/>
    <w:rsid w:val="00AE5F03"/>
    <w:rsid w:val="00AE6293"/>
    <w:rsid w:val="00AE68A1"/>
    <w:rsid w:val="00AE7C15"/>
    <w:rsid w:val="00AF0C18"/>
    <w:rsid w:val="00AF47C5"/>
    <w:rsid w:val="00AF4901"/>
    <w:rsid w:val="00AF4AA4"/>
    <w:rsid w:val="00AF5398"/>
    <w:rsid w:val="00AF6138"/>
    <w:rsid w:val="00AF6CA1"/>
    <w:rsid w:val="00B005C3"/>
    <w:rsid w:val="00B010A6"/>
    <w:rsid w:val="00B013EA"/>
    <w:rsid w:val="00B0159D"/>
    <w:rsid w:val="00B027A3"/>
    <w:rsid w:val="00B0412A"/>
    <w:rsid w:val="00B049AF"/>
    <w:rsid w:val="00B04D00"/>
    <w:rsid w:val="00B06991"/>
    <w:rsid w:val="00B07242"/>
    <w:rsid w:val="00B10534"/>
    <w:rsid w:val="00B113DB"/>
    <w:rsid w:val="00B11D8A"/>
    <w:rsid w:val="00B12981"/>
    <w:rsid w:val="00B13629"/>
    <w:rsid w:val="00B1473C"/>
    <w:rsid w:val="00B147DD"/>
    <w:rsid w:val="00B1538B"/>
    <w:rsid w:val="00B156FD"/>
    <w:rsid w:val="00B15750"/>
    <w:rsid w:val="00B16F64"/>
    <w:rsid w:val="00B1730C"/>
    <w:rsid w:val="00B1731E"/>
    <w:rsid w:val="00B2077B"/>
    <w:rsid w:val="00B21F61"/>
    <w:rsid w:val="00B25154"/>
    <w:rsid w:val="00B254A6"/>
    <w:rsid w:val="00B261F1"/>
    <w:rsid w:val="00B265BC"/>
    <w:rsid w:val="00B27075"/>
    <w:rsid w:val="00B30D06"/>
    <w:rsid w:val="00B31FB1"/>
    <w:rsid w:val="00B33952"/>
    <w:rsid w:val="00B33C5E"/>
    <w:rsid w:val="00B342F4"/>
    <w:rsid w:val="00B34369"/>
    <w:rsid w:val="00B34DC2"/>
    <w:rsid w:val="00B3755B"/>
    <w:rsid w:val="00B378E5"/>
    <w:rsid w:val="00B40DB8"/>
    <w:rsid w:val="00B4346D"/>
    <w:rsid w:val="00B440F4"/>
    <w:rsid w:val="00B444AD"/>
    <w:rsid w:val="00B447A5"/>
    <w:rsid w:val="00B45E39"/>
    <w:rsid w:val="00B4654C"/>
    <w:rsid w:val="00B47293"/>
    <w:rsid w:val="00B50471"/>
    <w:rsid w:val="00B50E50"/>
    <w:rsid w:val="00B52120"/>
    <w:rsid w:val="00B53B03"/>
    <w:rsid w:val="00B54180"/>
    <w:rsid w:val="00B54ABC"/>
    <w:rsid w:val="00B555AD"/>
    <w:rsid w:val="00B5591F"/>
    <w:rsid w:val="00B5656F"/>
    <w:rsid w:val="00B56FBE"/>
    <w:rsid w:val="00B60ACF"/>
    <w:rsid w:val="00B62B58"/>
    <w:rsid w:val="00B636FB"/>
    <w:rsid w:val="00B64BEA"/>
    <w:rsid w:val="00B65149"/>
    <w:rsid w:val="00B66567"/>
    <w:rsid w:val="00B66D9C"/>
    <w:rsid w:val="00B66F52"/>
    <w:rsid w:val="00B66FE5"/>
    <w:rsid w:val="00B72880"/>
    <w:rsid w:val="00B74377"/>
    <w:rsid w:val="00B74763"/>
    <w:rsid w:val="00B758BF"/>
    <w:rsid w:val="00B77818"/>
    <w:rsid w:val="00B77BD3"/>
    <w:rsid w:val="00B77EC8"/>
    <w:rsid w:val="00B80814"/>
    <w:rsid w:val="00B827A6"/>
    <w:rsid w:val="00B829DF"/>
    <w:rsid w:val="00B82BEC"/>
    <w:rsid w:val="00B831CE"/>
    <w:rsid w:val="00B84BDD"/>
    <w:rsid w:val="00B85825"/>
    <w:rsid w:val="00B85E50"/>
    <w:rsid w:val="00B86677"/>
    <w:rsid w:val="00B87131"/>
    <w:rsid w:val="00B933DB"/>
    <w:rsid w:val="00B939B1"/>
    <w:rsid w:val="00B9417F"/>
    <w:rsid w:val="00B96D40"/>
    <w:rsid w:val="00B971D7"/>
    <w:rsid w:val="00B97386"/>
    <w:rsid w:val="00BA263B"/>
    <w:rsid w:val="00BA26D0"/>
    <w:rsid w:val="00BA285D"/>
    <w:rsid w:val="00BA42B2"/>
    <w:rsid w:val="00BA58D4"/>
    <w:rsid w:val="00BA5977"/>
    <w:rsid w:val="00BA5B9E"/>
    <w:rsid w:val="00BA6E9E"/>
    <w:rsid w:val="00BA7C9A"/>
    <w:rsid w:val="00BB15DC"/>
    <w:rsid w:val="00BB36BC"/>
    <w:rsid w:val="00BB3BC7"/>
    <w:rsid w:val="00BB4694"/>
    <w:rsid w:val="00BB52FE"/>
    <w:rsid w:val="00BB5375"/>
    <w:rsid w:val="00BB53BE"/>
    <w:rsid w:val="00BB5F8F"/>
    <w:rsid w:val="00BB657A"/>
    <w:rsid w:val="00BC1A4E"/>
    <w:rsid w:val="00BC2D7C"/>
    <w:rsid w:val="00BC4D13"/>
    <w:rsid w:val="00BC5DC7"/>
    <w:rsid w:val="00BC5F43"/>
    <w:rsid w:val="00BC62BC"/>
    <w:rsid w:val="00BC6B8B"/>
    <w:rsid w:val="00BC73D8"/>
    <w:rsid w:val="00BD1C72"/>
    <w:rsid w:val="00BD4D79"/>
    <w:rsid w:val="00BD52D7"/>
    <w:rsid w:val="00BD5AD2"/>
    <w:rsid w:val="00BD727E"/>
    <w:rsid w:val="00BD7D66"/>
    <w:rsid w:val="00BE1065"/>
    <w:rsid w:val="00BE1D9D"/>
    <w:rsid w:val="00BE22F3"/>
    <w:rsid w:val="00BE4D10"/>
    <w:rsid w:val="00BE5B52"/>
    <w:rsid w:val="00BE754A"/>
    <w:rsid w:val="00BE7B8D"/>
    <w:rsid w:val="00BF0408"/>
    <w:rsid w:val="00BF0993"/>
    <w:rsid w:val="00BF10A9"/>
    <w:rsid w:val="00BF1703"/>
    <w:rsid w:val="00BF231C"/>
    <w:rsid w:val="00BF30CE"/>
    <w:rsid w:val="00BF3157"/>
    <w:rsid w:val="00BF51E5"/>
    <w:rsid w:val="00BF74A6"/>
    <w:rsid w:val="00C00B09"/>
    <w:rsid w:val="00C013AD"/>
    <w:rsid w:val="00C01A31"/>
    <w:rsid w:val="00C03246"/>
    <w:rsid w:val="00C04904"/>
    <w:rsid w:val="00C056B3"/>
    <w:rsid w:val="00C060FC"/>
    <w:rsid w:val="00C06593"/>
    <w:rsid w:val="00C103E5"/>
    <w:rsid w:val="00C12E91"/>
    <w:rsid w:val="00C13319"/>
    <w:rsid w:val="00C13A8B"/>
    <w:rsid w:val="00C13EE9"/>
    <w:rsid w:val="00C14680"/>
    <w:rsid w:val="00C153C6"/>
    <w:rsid w:val="00C158EB"/>
    <w:rsid w:val="00C15F6B"/>
    <w:rsid w:val="00C1605A"/>
    <w:rsid w:val="00C21540"/>
    <w:rsid w:val="00C21906"/>
    <w:rsid w:val="00C21BFA"/>
    <w:rsid w:val="00C22B14"/>
    <w:rsid w:val="00C24C8D"/>
    <w:rsid w:val="00C25FE2"/>
    <w:rsid w:val="00C26B53"/>
    <w:rsid w:val="00C279B2"/>
    <w:rsid w:val="00C33E50"/>
    <w:rsid w:val="00C34C20"/>
    <w:rsid w:val="00C352AF"/>
    <w:rsid w:val="00C35A3E"/>
    <w:rsid w:val="00C41CF4"/>
    <w:rsid w:val="00C42130"/>
    <w:rsid w:val="00C423A4"/>
    <w:rsid w:val="00C423E3"/>
    <w:rsid w:val="00C4477A"/>
    <w:rsid w:val="00C44BF5"/>
    <w:rsid w:val="00C4680A"/>
    <w:rsid w:val="00C50518"/>
    <w:rsid w:val="00C521D6"/>
    <w:rsid w:val="00C5305D"/>
    <w:rsid w:val="00C541AC"/>
    <w:rsid w:val="00C5495F"/>
    <w:rsid w:val="00C54B68"/>
    <w:rsid w:val="00C54C67"/>
    <w:rsid w:val="00C55232"/>
    <w:rsid w:val="00C553A4"/>
    <w:rsid w:val="00C55A06"/>
    <w:rsid w:val="00C55D03"/>
    <w:rsid w:val="00C55EA9"/>
    <w:rsid w:val="00C573BB"/>
    <w:rsid w:val="00C5792C"/>
    <w:rsid w:val="00C601BC"/>
    <w:rsid w:val="00C60D12"/>
    <w:rsid w:val="00C60E81"/>
    <w:rsid w:val="00C62745"/>
    <w:rsid w:val="00C6329F"/>
    <w:rsid w:val="00C63340"/>
    <w:rsid w:val="00C643F9"/>
    <w:rsid w:val="00C64E95"/>
    <w:rsid w:val="00C67846"/>
    <w:rsid w:val="00C71372"/>
    <w:rsid w:val="00C7152E"/>
    <w:rsid w:val="00C71707"/>
    <w:rsid w:val="00C7188D"/>
    <w:rsid w:val="00C72410"/>
    <w:rsid w:val="00C7287F"/>
    <w:rsid w:val="00C748AE"/>
    <w:rsid w:val="00C74F37"/>
    <w:rsid w:val="00C80CB8"/>
    <w:rsid w:val="00C819F8"/>
    <w:rsid w:val="00C8248C"/>
    <w:rsid w:val="00C84E33"/>
    <w:rsid w:val="00C86D6F"/>
    <w:rsid w:val="00C86E78"/>
    <w:rsid w:val="00C905FC"/>
    <w:rsid w:val="00C92588"/>
    <w:rsid w:val="00C92D03"/>
    <w:rsid w:val="00C9319C"/>
    <w:rsid w:val="00C9435D"/>
    <w:rsid w:val="00C9482A"/>
    <w:rsid w:val="00C94DF2"/>
    <w:rsid w:val="00C95A36"/>
    <w:rsid w:val="00C96741"/>
    <w:rsid w:val="00CA0B7D"/>
    <w:rsid w:val="00CA11AB"/>
    <w:rsid w:val="00CA2D1B"/>
    <w:rsid w:val="00CA34C1"/>
    <w:rsid w:val="00CA375D"/>
    <w:rsid w:val="00CA65F1"/>
    <w:rsid w:val="00CA662A"/>
    <w:rsid w:val="00CA7AFD"/>
    <w:rsid w:val="00CA7C3C"/>
    <w:rsid w:val="00CB0189"/>
    <w:rsid w:val="00CB0BA2"/>
    <w:rsid w:val="00CB1A42"/>
    <w:rsid w:val="00CB1B0C"/>
    <w:rsid w:val="00CB2945"/>
    <w:rsid w:val="00CB2C0B"/>
    <w:rsid w:val="00CB2FEA"/>
    <w:rsid w:val="00CB5028"/>
    <w:rsid w:val="00CB517D"/>
    <w:rsid w:val="00CB75A1"/>
    <w:rsid w:val="00CC038D"/>
    <w:rsid w:val="00CC08DB"/>
    <w:rsid w:val="00CC39FF"/>
    <w:rsid w:val="00CC3C2F"/>
    <w:rsid w:val="00CC3E97"/>
    <w:rsid w:val="00CC3F6D"/>
    <w:rsid w:val="00CC41E4"/>
    <w:rsid w:val="00CC4AC8"/>
    <w:rsid w:val="00CC5233"/>
    <w:rsid w:val="00CC5A6E"/>
    <w:rsid w:val="00CC5DE6"/>
    <w:rsid w:val="00CC6E4E"/>
    <w:rsid w:val="00CC6FE8"/>
    <w:rsid w:val="00CC7202"/>
    <w:rsid w:val="00CC72DF"/>
    <w:rsid w:val="00CD2808"/>
    <w:rsid w:val="00CD28BF"/>
    <w:rsid w:val="00CD4092"/>
    <w:rsid w:val="00CD44D5"/>
    <w:rsid w:val="00CD4A20"/>
    <w:rsid w:val="00CD50A1"/>
    <w:rsid w:val="00CD519E"/>
    <w:rsid w:val="00CD647E"/>
    <w:rsid w:val="00CD6824"/>
    <w:rsid w:val="00CD75D1"/>
    <w:rsid w:val="00CE0C4F"/>
    <w:rsid w:val="00CE1067"/>
    <w:rsid w:val="00CE1701"/>
    <w:rsid w:val="00CE280B"/>
    <w:rsid w:val="00CE30EA"/>
    <w:rsid w:val="00CE3D11"/>
    <w:rsid w:val="00CF048A"/>
    <w:rsid w:val="00CF155A"/>
    <w:rsid w:val="00CF28D6"/>
    <w:rsid w:val="00CF2947"/>
    <w:rsid w:val="00CF59AE"/>
    <w:rsid w:val="00CF686F"/>
    <w:rsid w:val="00CF6E60"/>
    <w:rsid w:val="00CF7BCA"/>
    <w:rsid w:val="00D008FD"/>
    <w:rsid w:val="00D0321C"/>
    <w:rsid w:val="00D035EC"/>
    <w:rsid w:val="00D058DF"/>
    <w:rsid w:val="00D06AB1"/>
    <w:rsid w:val="00D06FC1"/>
    <w:rsid w:val="00D072ED"/>
    <w:rsid w:val="00D0776B"/>
    <w:rsid w:val="00D07A16"/>
    <w:rsid w:val="00D07E65"/>
    <w:rsid w:val="00D1067E"/>
    <w:rsid w:val="00D10F50"/>
    <w:rsid w:val="00D11272"/>
    <w:rsid w:val="00D116C8"/>
    <w:rsid w:val="00D126F5"/>
    <w:rsid w:val="00D1489E"/>
    <w:rsid w:val="00D15269"/>
    <w:rsid w:val="00D15287"/>
    <w:rsid w:val="00D20737"/>
    <w:rsid w:val="00D21E81"/>
    <w:rsid w:val="00D223DE"/>
    <w:rsid w:val="00D226A7"/>
    <w:rsid w:val="00D22DAF"/>
    <w:rsid w:val="00D232D5"/>
    <w:rsid w:val="00D23BBE"/>
    <w:rsid w:val="00D249F9"/>
    <w:rsid w:val="00D25E37"/>
    <w:rsid w:val="00D2661A"/>
    <w:rsid w:val="00D27582"/>
    <w:rsid w:val="00D27EC4"/>
    <w:rsid w:val="00D30346"/>
    <w:rsid w:val="00D308D0"/>
    <w:rsid w:val="00D3170A"/>
    <w:rsid w:val="00D32719"/>
    <w:rsid w:val="00D33333"/>
    <w:rsid w:val="00D352A2"/>
    <w:rsid w:val="00D36972"/>
    <w:rsid w:val="00D36BF1"/>
    <w:rsid w:val="00D36DA4"/>
    <w:rsid w:val="00D4081A"/>
    <w:rsid w:val="00D413E0"/>
    <w:rsid w:val="00D41440"/>
    <w:rsid w:val="00D4162B"/>
    <w:rsid w:val="00D4514F"/>
    <w:rsid w:val="00D451E2"/>
    <w:rsid w:val="00D45998"/>
    <w:rsid w:val="00D45E89"/>
    <w:rsid w:val="00D45E8D"/>
    <w:rsid w:val="00D466AE"/>
    <w:rsid w:val="00D47089"/>
    <w:rsid w:val="00D4734F"/>
    <w:rsid w:val="00D50B33"/>
    <w:rsid w:val="00D50C2B"/>
    <w:rsid w:val="00D51BF3"/>
    <w:rsid w:val="00D522F4"/>
    <w:rsid w:val="00D54274"/>
    <w:rsid w:val="00D54A1B"/>
    <w:rsid w:val="00D56E63"/>
    <w:rsid w:val="00D575DA"/>
    <w:rsid w:val="00D5790B"/>
    <w:rsid w:val="00D60355"/>
    <w:rsid w:val="00D616DC"/>
    <w:rsid w:val="00D61C3B"/>
    <w:rsid w:val="00D6545A"/>
    <w:rsid w:val="00D65944"/>
    <w:rsid w:val="00D66846"/>
    <w:rsid w:val="00D675FB"/>
    <w:rsid w:val="00D71F25"/>
    <w:rsid w:val="00D72A9C"/>
    <w:rsid w:val="00D76293"/>
    <w:rsid w:val="00D77031"/>
    <w:rsid w:val="00D82792"/>
    <w:rsid w:val="00D83498"/>
    <w:rsid w:val="00D84941"/>
    <w:rsid w:val="00D84FA1"/>
    <w:rsid w:val="00D851F0"/>
    <w:rsid w:val="00D855B7"/>
    <w:rsid w:val="00D86DB7"/>
    <w:rsid w:val="00D87AAD"/>
    <w:rsid w:val="00D87BF5"/>
    <w:rsid w:val="00D90531"/>
    <w:rsid w:val="00D90721"/>
    <w:rsid w:val="00D926D0"/>
    <w:rsid w:val="00D929E1"/>
    <w:rsid w:val="00D93030"/>
    <w:rsid w:val="00D94332"/>
    <w:rsid w:val="00D950E1"/>
    <w:rsid w:val="00D952A6"/>
    <w:rsid w:val="00D95BEE"/>
    <w:rsid w:val="00D95CBC"/>
    <w:rsid w:val="00D97F99"/>
    <w:rsid w:val="00DA1E08"/>
    <w:rsid w:val="00DA24F8"/>
    <w:rsid w:val="00DA28E8"/>
    <w:rsid w:val="00DA378B"/>
    <w:rsid w:val="00DA37F6"/>
    <w:rsid w:val="00DA38D3"/>
    <w:rsid w:val="00DA3932"/>
    <w:rsid w:val="00DA3AFC"/>
    <w:rsid w:val="00DA52BD"/>
    <w:rsid w:val="00DA5879"/>
    <w:rsid w:val="00DA64F8"/>
    <w:rsid w:val="00DA6C15"/>
    <w:rsid w:val="00DA76B9"/>
    <w:rsid w:val="00DA7F08"/>
    <w:rsid w:val="00DB0258"/>
    <w:rsid w:val="00DB26DA"/>
    <w:rsid w:val="00DB3169"/>
    <w:rsid w:val="00DB38EE"/>
    <w:rsid w:val="00DB498B"/>
    <w:rsid w:val="00DB66CA"/>
    <w:rsid w:val="00DB6BCA"/>
    <w:rsid w:val="00DB6F54"/>
    <w:rsid w:val="00DB73F7"/>
    <w:rsid w:val="00DC026A"/>
    <w:rsid w:val="00DC0321"/>
    <w:rsid w:val="00DC1A0C"/>
    <w:rsid w:val="00DC3067"/>
    <w:rsid w:val="00DC35A3"/>
    <w:rsid w:val="00DC370B"/>
    <w:rsid w:val="00DC4B85"/>
    <w:rsid w:val="00DC5781"/>
    <w:rsid w:val="00DC5B90"/>
    <w:rsid w:val="00DC5CDE"/>
    <w:rsid w:val="00DC5E2D"/>
    <w:rsid w:val="00DC620F"/>
    <w:rsid w:val="00DD00FF"/>
    <w:rsid w:val="00DD0619"/>
    <w:rsid w:val="00DD07FB"/>
    <w:rsid w:val="00DD25C6"/>
    <w:rsid w:val="00DD4FE5"/>
    <w:rsid w:val="00DD54B0"/>
    <w:rsid w:val="00DD579E"/>
    <w:rsid w:val="00DD57EE"/>
    <w:rsid w:val="00DD669C"/>
    <w:rsid w:val="00DD6BCC"/>
    <w:rsid w:val="00DD78FB"/>
    <w:rsid w:val="00DE0A4B"/>
    <w:rsid w:val="00DE2410"/>
    <w:rsid w:val="00DE2939"/>
    <w:rsid w:val="00DE2B78"/>
    <w:rsid w:val="00DE337E"/>
    <w:rsid w:val="00DE48E0"/>
    <w:rsid w:val="00DE4E1F"/>
    <w:rsid w:val="00DE51F5"/>
    <w:rsid w:val="00DE6AF9"/>
    <w:rsid w:val="00DE6E81"/>
    <w:rsid w:val="00DE703F"/>
    <w:rsid w:val="00DE7595"/>
    <w:rsid w:val="00DF1466"/>
    <w:rsid w:val="00DF1961"/>
    <w:rsid w:val="00DF44DE"/>
    <w:rsid w:val="00DF51D7"/>
    <w:rsid w:val="00E01138"/>
    <w:rsid w:val="00E02DFB"/>
    <w:rsid w:val="00E030F9"/>
    <w:rsid w:val="00E0311A"/>
    <w:rsid w:val="00E03138"/>
    <w:rsid w:val="00E036F1"/>
    <w:rsid w:val="00E06404"/>
    <w:rsid w:val="00E11A85"/>
    <w:rsid w:val="00E12495"/>
    <w:rsid w:val="00E12761"/>
    <w:rsid w:val="00E14394"/>
    <w:rsid w:val="00E1442D"/>
    <w:rsid w:val="00E15CCD"/>
    <w:rsid w:val="00E202EF"/>
    <w:rsid w:val="00E20319"/>
    <w:rsid w:val="00E20FCB"/>
    <w:rsid w:val="00E210B5"/>
    <w:rsid w:val="00E2552F"/>
    <w:rsid w:val="00E30D49"/>
    <w:rsid w:val="00E3137A"/>
    <w:rsid w:val="00E32CCF"/>
    <w:rsid w:val="00E334C0"/>
    <w:rsid w:val="00E34871"/>
    <w:rsid w:val="00E34A98"/>
    <w:rsid w:val="00E35D1E"/>
    <w:rsid w:val="00E364F9"/>
    <w:rsid w:val="00E365FA"/>
    <w:rsid w:val="00E36789"/>
    <w:rsid w:val="00E37E8E"/>
    <w:rsid w:val="00E4020C"/>
    <w:rsid w:val="00E403B9"/>
    <w:rsid w:val="00E407E9"/>
    <w:rsid w:val="00E43091"/>
    <w:rsid w:val="00E446EE"/>
    <w:rsid w:val="00E44A83"/>
    <w:rsid w:val="00E502C1"/>
    <w:rsid w:val="00E502DD"/>
    <w:rsid w:val="00E503A3"/>
    <w:rsid w:val="00E50D3A"/>
    <w:rsid w:val="00E51387"/>
    <w:rsid w:val="00E51E68"/>
    <w:rsid w:val="00E52EFD"/>
    <w:rsid w:val="00E5408A"/>
    <w:rsid w:val="00E54FCC"/>
    <w:rsid w:val="00E552ED"/>
    <w:rsid w:val="00E56800"/>
    <w:rsid w:val="00E56F6F"/>
    <w:rsid w:val="00E5726F"/>
    <w:rsid w:val="00E60811"/>
    <w:rsid w:val="00E60C63"/>
    <w:rsid w:val="00E61544"/>
    <w:rsid w:val="00E61793"/>
    <w:rsid w:val="00E62FF9"/>
    <w:rsid w:val="00E63350"/>
    <w:rsid w:val="00E635D6"/>
    <w:rsid w:val="00E639BC"/>
    <w:rsid w:val="00E65945"/>
    <w:rsid w:val="00E664CC"/>
    <w:rsid w:val="00E702BB"/>
    <w:rsid w:val="00E70388"/>
    <w:rsid w:val="00E706E5"/>
    <w:rsid w:val="00E70F92"/>
    <w:rsid w:val="00E72287"/>
    <w:rsid w:val="00E72DF7"/>
    <w:rsid w:val="00E7383C"/>
    <w:rsid w:val="00E73F5A"/>
    <w:rsid w:val="00E74313"/>
    <w:rsid w:val="00E74C54"/>
    <w:rsid w:val="00E76D4A"/>
    <w:rsid w:val="00E77A03"/>
    <w:rsid w:val="00E77F53"/>
    <w:rsid w:val="00E809E3"/>
    <w:rsid w:val="00E822E8"/>
    <w:rsid w:val="00E82554"/>
    <w:rsid w:val="00E82606"/>
    <w:rsid w:val="00E831C1"/>
    <w:rsid w:val="00E846C8"/>
    <w:rsid w:val="00E84777"/>
    <w:rsid w:val="00E84957"/>
    <w:rsid w:val="00E84A55"/>
    <w:rsid w:val="00E851CC"/>
    <w:rsid w:val="00E8579E"/>
    <w:rsid w:val="00E85BFF"/>
    <w:rsid w:val="00E90166"/>
    <w:rsid w:val="00E90391"/>
    <w:rsid w:val="00E90393"/>
    <w:rsid w:val="00E90536"/>
    <w:rsid w:val="00E906C2"/>
    <w:rsid w:val="00E92D85"/>
    <w:rsid w:val="00E9311F"/>
    <w:rsid w:val="00E934D1"/>
    <w:rsid w:val="00E935F5"/>
    <w:rsid w:val="00E94AF0"/>
    <w:rsid w:val="00E953CD"/>
    <w:rsid w:val="00E95D13"/>
    <w:rsid w:val="00E95DD3"/>
    <w:rsid w:val="00E969D5"/>
    <w:rsid w:val="00E97E8A"/>
    <w:rsid w:val="00EA10F4"/>
    <w:rsid w:val="00EA15FD"/>
    <w:rsid w:val="00EA58D1"/>
    <w:rsid w:val="00EA5DCA"/>
    <w:rsid w:val="00EA61BC"/>
    <w:rsid w:val="00EA681A"/>
    <w:rsid w:val="00EA735B"/>
    <w:rsid w:val="00EA77CC"/>
    <w:rsid w:val="00EB1E69"/>
    <w:rsid w:val="00EB2086"/>
    <w:rsid w:val="00EB31ED"/>
    <w:rsid w:val="00EB3BEA"/>
    <w:rsid w:val="00EB5E06"/>
    <w:rsid w:val="00EB5EDF"/>
    <w:rsid w:val="00EB60FE"/>
    <w:rsid w:val="00EB6694"/>
    <w:rsid w:val="00EB7071"/>
    <w:rsid w:val="00EB7449"/>
    <w:rsid w:val="00EB74DB"/>
    <w:rsid w:val="00EC5359"/>
    <w:rsid w:val="00EC562A"/>
    <w:rsid w:val="00EC7AAD"/>
    <w:rsid w:val="00ED067A"/>
    <w:rsid w:val="00ED0CD8"/>
    <w:rsid w:val="00ED235D"/>
    <w:rsid w:val="00ED2B50"/>
    <w:rsid w:val="00ED58F0"/>
    <w:rsid w:val="00ED63BC"/>
    <w:rsid w:val="00EE0350"/>
    <w:rsid w:val="00EE0719"/>
    <w:rsid w:val="00EE0E80"/>
    <w:rsid w:val="00EE0EB2"/>
    <w:rsid w:val="00EE129D"/>
    <w:rsid w:val="00EE2023"/>
    <w:rsid w:val="00EE3D4D"/>
    <w:rsid w:val="00EE5537"/>
    <w:rsid w:val="00EE5663"/>
    <w:rsid w:val="00EE613F"/>
    <w:rsid w:val="00EE7295"/>
    <w:rsid w:val="00EE75D8"/>
    <w:rsid w:val="00EE7869"/>
    <w:rsid w:val="00EF03B9"/>
    <w:rsid w:val="00EF054A"/>
    <w:rsid w:val="00EF1C0D"/>
    <w:rsid w:val="00EF1D7F"/>
    <w:rsid w:val="00EF1DA6"/>
    <w:rsid w:val="00EF3235"/>
    <w:rsid w:val="00EF59BB"/>
    <w:rsid w:val="00EF604B"/>
    <w:rsid w:val="00EF7E72"/>
    <w:rsid w:val="00F05273"/>
    <w:rsid w:val="00F0616E"/>
    <w:rsid w:val="00F06D37"/>
    <w:rsid w:val="00F071E0"/>
    <w:rsid w:val="00F07B9D"/>
    <w:rsid w:val="00F07E7C"/>
    <w:rsid w:val="00F114B0"/>
    <w:rsid w:val="00F11586"/>
    <w:rsid w:val="00F1183B"/>
    <w:rsid w:val="00F11C9F"/>
    <w:rsid w:val="00F11F82"/>
    <w:rsid w:val="00F12160"/>
    <w:rsid w:val="00F12263"/>
    <w:rsid w:val="00F127D8"/>
    <w:rsid w:val="00F130FE"/>
    <w:rsid w:val="00F13519"/>
    <w:rsid w:val="00F139CC"/>
    <w:rsid w:val="00F13FE1"/>
    <w:rsid w:val="00F1409D"/>
    <w:rsid w:val="00F14214"/>
    <w:rsid w:val="00F157A9"/>
    <w:rsid w:val="00F15D08"/>
    <w:rsid w:val="00F160F1"/>
    <w:rsid w:val="00F16704"/>
    <w:rsid w:val="00F16F00"/>
    <w:rsid w:val="00F206D7"/>
    <w:rsid w:val="00F221E3"/>
    <w:rsid w:val="00F246CD"/>
    <w:rsid w:val="00F25128"/>
    <w:rsid w:val="00F25BB6"/>
    <w:rsid w:val="00F26B7E"/>
    <w:rsid w:val="00F26D8B"/>
    <w:rsid w:val="00F27A3B"/>
    <w:rsid w:val="00F33216"/>
    <w:rsid w:val="00F33817"/>
    <w:rsid w:val="00F33908"/>
    <w:rsid w:val="00F33C6F"/>
    <w:rsid w:val="00F33D6E"/>
    <w:rsid w:val="00F40154"/>
    <w:rsid w:val="00F4042B"/>
    <w:rsid w:val="00F41895"/>
    <w:rsid w:val="00F420D5"/>
    <w:rsid w:val="00F44F1E"/>
    <w:rsid w:val="00F451EA"/>
    <w:rsid w:val="00F45447"/>
    <w:rsid w:val="00F45676"/>
    <w:rsid w:val="00F456C6"/>
    <w:rsid w:val="00F4577B"/>
    <w:rsid w:val="00F45EAD"/>
    <w:rsid w:val="00F46496"/>
    <w:rsid w:val="00F474D0"/>
    <w:rsid w:val="00F50179"/>
    <w:rsid w:val="00F515EE"/>
    <w:rsid w:val="00F5388E"/>
    <w:rsid w:val="00F56511"/>
    <w:rsid w:val="00F571F6"/>
    <w:rsid w:val="00F6124D"/>
    <w:rsid w:val="00F6194E"/>
    <w:rsid w:val="00F61C01"/>
    <w:rsid w:val="00F623AC"/>
    <w:rsid w:val="00F62E8D"/>
    <w:rsid w:val="00F6337D"/>
    <w:rsid w:val="00F63858"/>
    <w:rsid w:val="00F6412A"/>
    <w:rsid w:val="00F64495"/>
    <w:rsid w:val="00F65893"/>
    <w:rsid w:val="00F664F2"/>
    <w:rsid w:val="00F66A4A"/>
    <w:rsid w:val="00F67B4B"/>
    <w:rsid w:val="00F7048E"/>
    <w:rsid w:val="00F717FD"/>
    <w:rsid w:val="00F71E22"/>
    <w:rsid w:val="00F72142"/>
    <w:rsid w:val="00F72AE7"/>
    <w:rsid w:val="00F72B7E"/>
    <w:rsid w:val="00F73FBE"/>
    <w:rsid w:val="00F7421D"/>
    <w:rsid w:val="00F767F7"/>
    <w:rsid w:val="00F8057E"/>
    <w:rsid w:val="00F809BA"/>
    <w:rsid w:val="00F81671"/>
    <w:rsid w:val="00F833BA"/>
    <w:rsid w:val="00F83E4D"/>
    <w:rsid w:val="00F8460A"/>
    <w:rsid w:val="00F84B66"/>
    <w:rsid w:val="00F84FD0"/>
    <w:rsid w:val="00F859A8"/>
    <w:rsid w:val="00F86D87"/>
    <w:rsid w:val="00F8780E"/>
    <w:rsid w:val="00F90943"/>
    <w:rsid w:val="00F9108B"/>
    <w:rsid w:val="00F91349"/>
    <w:rsid w:val="00F9173E"/>
    <w:rsid w:val="00F93A8A"/>
    <w:rsid w:val="00F95248"/>
    <w:rsid w:val="00F9536E"/>
    <w:rsid w:val="00F956A9"/>
    <w:rsid w:val="00F9594A"/>
    <w:rsid w:val="00F95E30"/>
    <w:rsid w:val="00F963ED"/>
    <w:rsid w:val="00F966CF"/>
    <w:rsid w:val="00F96B20"/>
    <w:rsid w:val="00F96CAE"/>
    <w:rsid w:val="00F97C99"/>
    <w:rsid w:val="00FA203B"/>
    <w:rsid w:val="00FA3841"/>
    <w:rsid w:val="00FA662D"/>
    <w:rsid w:val="00FA6C26"/>
    <w:rsid w:val="00FA73B1"/>
    <w:rsid w:val="00FB07B8"/>
    <w:rsid w:val="00FB0CB9"/>
    <w:rsid w:val="00FB231D"/>
    <w:rsid w:val="00FB45F1"/>
    <w:rsid w:val="00FB4A37"/>
    <w:rsid w:val="00FB4A72"/>
    <w:rsid w:val="00FB54E8"/>
    <w:rsid w:val="00FB7054"/>
    <w:rsid w:val="00FB731C"/>
    <w:rsid w:val="00FB782E"/>
    <w:rsid w:val="00FC17B7"/>
    <w:rsid w:val="00FC19E7"/>
    <w:rsid w:val="00FC2581"/>
    <w:rsid w:val="00FC2CB7"/>
    <w:rsid w:val="00FC4090"/>
    <w:rsid w:val="00FC4CDD"/>
    <w:rsid w:val="00FC51FA"/>
    <w:rsid w:val="00FC55B4"/>
    <w:rsid w:val="00FC60FB"/>
    <w:rsid w:val="00FC7D93"/>
    <w:rsid w:val="00FD00E6"/>
    <w:rsid w:val="00FD035D"/>
    <w:rsid w:val="00FD09A1"/>
    <w:rsid w:val="00FD09BA"/>
    <w:rsid w:val="00FD1A3B"/>
    <w:rsid w:val="00FD21E4"/>
    <w:rsid w:val="00FD27A5"/>
    <w:rsid w:val="00FD2A42"/>
    <w:rsid w:val="00FD2A7C"/>
    <w:rsid w:val="00FD2F2C"/>
    <w:rsid w:val="00FD59EB"/>
    <w:rsid w:val="00FD5DC5"/>
    <w:rsid w:val="00FD7299"/>
    <w:rsid w:val="00FE12E6"/>
    <w:rsid w:val="00FE1FBE"/>
    <w:rsid w:val="00FE2255"/>
    <w:rsid w:val="00FE2279"/>
    <w:rsid w:val="00FE35D6"/>
    <w:rsid w:val="00FE3901"/>
    <w:rsid w:val="00FE39D3"/>
    <w:rsid w:val="00FE3F52"/>
    <w:rsid w:val="00FE4BCE"/>
    <w:rsid w:val="00FE5378"/>
    <w:rsid w:val="00FE54AE"/>
    <w:rsid w:val="00FE552B"/>
    <w:rsid w:val="00FE576A"/>
    <w:rsid w:val="00FE61DD"/>
    <w:rsid w:val="00FE746F"/>
    <w:rsid w:val="00FE78C9"/>
    <w:rsid w:val="00FE7E79"/>
    <w:rsid w:val="00FF051E"/>
    <w:rsid w:val="00FF0DB1"/>
    <w:rsid w:val="00FF1E9B"/>
    <w:rsid w:val="00FF3E7D"/>
    <w:rsid w:val="00FF4999"/>
    <w:rsid w:val="00FF5B99"/>
    <w:rsid w:val="00FF6E1E"/>
    <w:rsid w:val="00FF730C"/>
    <w:rsid w:val="00FF73F4"/>
    <w:rsid w:val="00FF7BCE"/>
    <w:rsid w:val="00FF7CE4"/>
    <w:rsid w:val="00FF7E39"/>
    <w:rsid w:val="013637D1"/>
    <w:rsid w:val="0AAB2612"/>
    <w:rsid w:val="0C715E3C"/>
    <w:rsid w:val="0D891AA7"/>
    <w:rsid w:val="0E1B19B0"/>
    <w:rsid w:val="0F0354BF"/>
    <w:rsid w:val="15B66837"/>
    <w:rsid w:val="1FCE3F40"/>
    <w:rsid w:val="20C703C4"/>
    <w:rsid w:val="21347BEE"/>
    <w:rsid w:val="2564005E"/>
    <w:rsid w:val="277C287E"/>
    <w:rsid w:val="28EC45F2"/>
    <w:rsid w:val="31665C3D"/>
    <w:rsid w:val="3504770B"/>
    <w:rsid w:val="3864742F"/>
    <w:rsid w:val="3FB44B49"/>
    <w:rsid w:val="42591487"/>
    <w:rsid w:val="4D7A36CB"/>
    <w:rsid w:val="4EA175B4"/>
    <w:rsid w:val="500365A3"/>
    <w:rsid w:val="51EB11CD"/>
    <w:rsid w:val="52EA7720"/>
    <w:rsid w:val="63802FCE"/>
    <w:rsid w:val="65850CB8"/>
    <w:rsid w:val="67332E10"/>
    <w:rsid w:val="68F0116E"/>
    <w:rsid w:val="6AB504D0"/>
    <w:rsid w:val="71175551"/>
    <w:rsid w:val="73674CC6"/>
    <w:rsid w:val="742B3769"/>
    <w:rsid w:val="75FF2A93"/>
    <w:rsid w:val="760E3597"/>
    <w:rsid w:val="76647254"/>
    <w:rsid w:val="76E527AD"/>
    <w:rsid w:val="7C4164F6"/>
    <w:rsid w:val="7D5D2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9"/>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8"/>
    <w:semiHidden/>
    <w:unhideWhenUsed/>
    <w:qFormat/>
    <w:uiPriority w:val="99"/>
    <w:rPr>
      <w:sz w:val="18"/>
      <w:szCs w:val="18"/>
    </w:rPr>
  </w:style>
  <w:style w:type="paragraph" w:styleId="17">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6"/>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51"/>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paragraph" w:customStyle="1" w:styleId="34">
    <w:name w:val="章标题"/>
    <w:next w:val="1"/>
    <w:qFormat/>
    <w:uiPriority w:val="0"/>
    <w:pPr>
      <w:spacing w:before="312" w:beforeLines="100" w:after="312" w:afterLines="100"/>
      <w:jc w:val="both"/>
      <w:outlineLvl w:val="1"/>
    </w:pPr>
    <w:rPr>
      <w:rFonts w:ascii="黑体" w:hAnsi="Calibri" w:eastAsia="黑体" w:cs="Times New Roman"/>
      <w:sz w:val="21"/>
      <w:lang w:val="en-US" w:eastAsia="zh-CN" w:bidi="ar-SA"/>
    </w:rPr>
  </w:style>
  <w:style w:type="paragraph" w:customStyle="1" w:styleId="35">
    <w:name w:val="一级条标题"/>
    <w:next w:val="1"/>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6">
    <w:name w:val="二级无"/>
    <w:basedOn w:val="1"/>
    <w:qFormat/>
    <w:uiPriority w:val="0"/>
    <w:pPr>
      <w:widowControl/>
      <w:adjustRightInd/>
      <w:spacing w:line="240" w:lineRule="auto"/>
      <w:jc w:val="left"/>
      <w:outlineLvl w:val="3"/>
    </w:pPr>
    <w:rPr>
      <w:rFonts w:ascii="宋体" w:hAnsi="Times New Roman"/>
      <w:kern w:val="0"/>
    </w:rPr>
  </w:style>
  <w:style w:type="character" w:customStyle="1" w:styleId="37">
    <w:name w:val="标题 1 Char"/>
    <w:link w:val="2"/>
    <w:qFormat/>
    <w:uiPriority w:val="0"/>
    <w:rPr>
      <w:rFonts w:ascii="Times New Roman" w:hAnsi="Times New Roman" w:eastAsia="宋体" w:cs="Times New Roman"/>
      <w:b/>
      <w:bCs/>
      <w:kern w:val="44"/>
      <w:sz w:val="44"/>
      <w:szCs w:val="44"/>
    </w:rPr>
  </w:style>
  <w:style w:type="character" w:customStyle="1" w:styleId="38">
    <w:name w:val="标题 2 Char"/>
    <w:link w:val="3"/>
    <w:qFormat/>
    <w:uiPriority w:val="0"/>
    <w:rPr>
      <w:rFonts w:ascii="Arial" w:hAnsi="Arial" w:eastAsia="黑体" w:cs="Times New Roman"/>
      <w:b/>
      <w:bCs/>
      <w:sz w:val="32"/>
      <w:szCs w:val="32"/>
    </w:rPr>
  </w:style>
  <w:style w:type="character" w:customStyle="1" w:styleId="39">
    <w:name w:val="标题 3 Char"/>
    <w:link w:val="4"/>
    <w:qFormat/>
    <w:uiPriority w:val="0"/>
    <w:rPr>
      <w:rFonts w:ascii="Times New Roman" w:hAnsi="Times New Roman" w:eastAsia="宋体" w:cs="Times New Roman"/>
      <w:b/>
      <w:bCs/>
      <w:sz w:val="32"/>
      <w:szCs w:val="32"/>
    </w:rPr>
  </w:style>
  <w:style w:type="character" w:customStyle="1" w:styleId="40">
    <w:name w:val="标题 4 Char"/>
    <w:link w:val="5"/>
    <w:qFormat/>
    <w:uiPriority w:val="0"/>
    <w:rPr>
      <w:rFonts w:ascii="Arial" w:hAnsi="Arial" w:eastAsia="黑体" w:cs="Times New Roman"/>
      <w:b/>
      <w:bCs/>
      <w:sz w:val="28"/>
      <w:szCs w:val="28"/>
    </w:rPr>
  </w:style>
  <w:style w:type="character" w:customStyle="1" w:styleId="41">
    <w:name w:val="标题 5 Char"/>
    <w:link w:val="6"/>
    <w:qFormat/>
    <w:uiPriority w:val="0"/>
    <w:rPr>
      <w:rFonts w:ascii="Times New Roman" w:hAnsi="Times New Roman" w:eastAsia="宋体" w:cs="Times New Roman"/>
      <w:b/>
      <w:bCs/>
      <w:sz w:val="28"/>
      <w:szCs w:val="28"/>
    </w:rPr>
  </w:style>
  <w:style w:type="character" w:customStyle="1" w:styleId="42">
    <w:name w:val="标题 6 Char"/>
    <w:link w:val="7"/>
    <w:qFormat/>
    <w:uiPriority w:val="0"/>
    <w:rPr>
      <w:rFonts w:ascii="Arial" w:hAnsi="Arial" w:eastAsia="黑体" w:cs="Times New Roman"/>
      <w:b/>
      <w:bCs/>
      <w:sz w:val="24"/>
      <w:szCs w:val="24"/>
    </w:rPr>
  </w:style>
  <w:style w:type="character" w:customStyle="1" w:styleId="43">
    <w:name w:val="标题 7 Char"/>
    <w:link w:val="8"/>
    <w:qFormat/>
    <w:uiPriority w:val="0"/>
    <w:rPr>
      <w:rFonts w:ascii="Times New Roman" w:hAnsi="Times New Roman" w:eastAsia="宋体" w:cs="Times New Roman"/>
      <w:b/>
      <w:bCs/>
      <w:sz w:val="24"/>
      <w:szCs w:val="24"/>
    </w:rPr>
  </w:style>
  <w:style w:type="character" w:customStyle="1" w:styleId="44">
    <w:name w:val="标题 8 Char"/>
    <w:link w:val="9"/>
    <w:qFormat/>
    <w:uiPriority w:val="0"/>
    <w:rPr>
      <w:rFonts w:ascii="Arial" w:hAnsi="Arial" w:eastAsia="黑体" w:cs="Times New Roman"/>
      <w:sz w:val="24"/>
      <w:szCs w:val="24"/>
    </w:rPr>
  </w:style>
  <w:style w:type="character" w:customStyle="1" w:styleId="45">
    <w:name w:val="标题 9 Char"/>
    <w:link w:val="10"/>
    <w:qFormat/>
    <w:uiPriority w:val="0"/>
    <w:rPr>
      <w:rFonts w:ascii="Arial" w:hAnsi="Arial" w:eastAsia="黑体" w:cs="Times New Roman"/>
      <w:szCs w:val="21"/>
    </w:rPr>
  </w:style>
  <w:style w:type="character" w:customStyle="1" w:styleId="46">
    <w:name w:val="页眉 Char"/>
    <w:link w:val="18"/>
    <w:qFormat/>
    <w:uiPriority w:val="99"/>
    <w:rPr>
      <w:rFonts w:ascii="Times New Roman" w:hAnsi="Times New Roman" w:eastAsia="宋体" w:cs="Times New Roman"/>
      <w:sz w:val="18"/>
      <w:szCs w:val="18"/>
    </w:rPr>
  </w:style>
  <w:style w:type="character" w:customStyle="1" w:styleId="47">
    <w:name w:val="页脚 Char"/>
    <w:link w:val="17"/>
    <w:qFormat/>
    <w:uiPriority w:val="99"/>
    <w:rPr>
      <w:rFonts w:ascii="宋体" w:hAnsi="Times New Roman" w:eastAsia="宋体" w:cs="Times New Roman"/>
      <w:sz w:val="18"/>
      <w:szCs w:val="18"/>
    </w:rPr>
  </w:style>
  <w:style w:type="character" w:customStyle="1" w:styleId="48">
    <w:name w:val="批注框文本 Char"/>
    <w:link w:val="16"/>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rPr>
  </w:style>
  <w:style w:type="character" w:customStyle="1" w:styleId="51">
    <w:name w:val="标题 Char"/>
    <w:link w:val="25"/>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2"/>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3"/>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4"/>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3"/>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3"/>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3"/>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5"/>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3"/>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3"/>
    <w:qFormat/>
    <w:uiPriority w:val="0"/>
    <w:pPr>
      <w:numPr>
        <w:ilvl w:val="0"/>
        <w:numId w:val="6"/>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3"/>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7"/>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8"/>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9"/>
      </w:numPr>
      <w:ind w:left="0" w:firstLine="200"/>
    </w:pPr>
  </w:style>
  <w:style w:type="paragraph" w:customStyle="1" w:styleId="97">
    <w:name w:val="标准文件_三级条标题"/>
    <w:basedOn w:val="68"/>
    <w:next w:val="59"/>
    <w:qFormat/>
    <w:uiPriority w:val="0"/>
    <w:pPr>
      <w:widowControl/>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0"/>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1"/>
    <w:semiHidden/>
    <w:qFormat/>
    <w:uiPriority w:val="0"/>
    <w:rPr>
      <w:rFonts w:ascii="宋体" w:hAnsi="Times New Roman" w:eastAsia="宋体" w:cs="Times New Roman"/>
      <w:sz w:val="18"/>
      <w:szCs w:val="18"/>
    </w:rPr>
  </w:style>
  <w:style w:type="paragraph" w:customStyle="1" w:styleId="103">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1"/>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spacing w:before="50" w:beforeLines="50" w:after="50" w:afterLines="50"/>
      <w:outlineLvl w:val="1"/>
    </w:pPr>
    <w:rPr>
      <w:rFonts w:hAnsi="黑体"/>
      <w:szCs w:val="21"/>
    </w:r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5"/>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19"/>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19"/>
      </w:numPr>
      <w:adjustRightInd/>
    </w:pPr>
    <w:rPr>
      <w:szCs w:val="24"/>
    </w:rPr>
  </w:style>
  <w:style w:type="paragraph" w:customStyle="1" w:styleId="162">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2"/>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3"/>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0"/>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4"/>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28"/>
    <w:semiHidden/>
    <w:qFormat/>
    <w:uiPriority w:val="99"/>
    <w:rPr>
      <w:color w:val="808080"/>
    </w:rPr>
  </w:style>
  <w:style w:type="paragraph" w:customStyle="1" w:styleId="190">
    <w:name w:val="标准文件_二级项2"/>
    <w:basedOn w:val="59"/>
    <w:qFormat/>
    <w:uiPriority w:val="0"/>
    <w:pPr>
      <w:numPr>
        <w:ilvl w:val="1"/>
        <w:numId w:val="20"/>
      </w:numPr>
      <w:ind w:left="1271" w:hanging="420" w:firstLineChars="0"/>
    </w:pPr>
  </w:style>
  <w:style w:type="paragraph" w:customStyle="1" w:styleId="191">
    <w:name w:val="标准文件_三级项2"/>
    <w:basedOn w:val="59"/>
    <w:qFormat/>
    <w:uiPriority w:val="0"/>
    <w:pPr>
      <w:numPr>
        <w:ilvl w:val="0"/>
        <w:numId w:val="29"/>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0"/>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28"/>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4"/>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7"/>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7"/>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7"/>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7"/>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7"/>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28"/>
    <w:qFormat/>
    <w:uiPriority w:val="0"/>
    <w:rPr>
      <w:rFonts w:ascii="黑体" w:eastAsia="黑体"/>
      <w:spacing w:val="85"/>
      <w:w w:val="100"/>
      <w:position w:val="3"/>
      <w:sz w:val="28"/>
      <w:szCs w:val="28"/>
    </w:rPr>
  </w:style>
  <w:style w:type="paragraph" w:customStyle="1" w:styleId="233">
    <w:name w:val="三级条标题"/>
    <w:basedOn w:val="1"/>
    <w:next w:val="1"/>
    <w:qFormat/>
    <w:uiPriority w:val="0"/>
    <w:pPr>
      <w:widowControl/>
      <w:adjustRightInd/>
      <w:spacing w:before="50" w:beforeLines="50" w:after="50" w:afterLines="50" w:line="240" w:lineRule="auto"/>
      <w:jc w:val="left"/>
      <w:outlineLvl w:val="4"/>
    </w:pPr>
    <w:rPr>
      <w:rFonts w:ascii="黑体" w:hAnsi="Times New Roman" w:eastAsia="黑体"/>
      <w:kern w:val="0"/>
    </w:rPr>
  </w:style>
  <w:style w:type="paragraph" w:customStyle="1" w:styleId="234">
    <w:name w:val="列项——（一级）"/>
    <w:qFormat/>
    <w:uiPriority w:val="0"/>
    <w:pPr>
      <w:widowControl w:val="0"/>
      <w:jc w:val="both"/>
    </w:pPr>
    <w:rPr>
      <w:rFonts w:ascii="宋体" w:hAnsi="Times New Roman" w:eastAsia="宋体" w:cs="Times New Roman"/>
      <w:sz w:val="21"/>
      <w:lang w:val="en-US" w:eastAsia="zh-CN" w:bidi="ar-SA"/>
    </w:rPr>
  </w:style>
  <w:style w:type="character" w:customStyle="1" w:styleId="235">
    <w:name w:val="段 Char"/>
    <w:link w:val="236"/>
    <w:qFormat/>
    <w:uiPriority w:val="0"/>
    <w:rPr>
      <w:rFonts w:ascii="宋体"/>
      <w:sz w:val="21"/>
    </w:rPr>
  </w:style>
  <w:style w:type="paragraph" w:customStyle="1" w:styleId="236">
    <w:name w:val="段"/>
    <w:link w:val="235"/>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7">
    <w:name w:val="二级条标题"/>
    <w:basedOn w:val="35"/>
    <w:next w:val="236"/>
    <w:qFormat/>
    <w:uiPriority w:val="0"/>
    <w:pPr>
      <w:spacing w:before="50" w:after="50"/>
      <w:outlineLvl w:val="3"/>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jpe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26631;&#20934;&#25991;&#20214;&#36890;&#30693;\SET2020&#27169;&#26495;\&#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B7675CCFB074D529C391823AC2DAA98"/>
        <w:style w:val=""/>
        <w:category>
          <w:name w:val="常规"/>
          <w:gallery w:val="placeholder"/>
        </w:category>
        <w:types>
          <w:type w:val="bbPlcHdr"/>
        </w:types>
        <w:behaviors>
          <w:behavior w:val="content"/>
        </w:behaviors>
        <w:description w:val=""/>
        <w:guid w:val="{665199BF-9481-4EA0-8F88-948180B5A81C}"/>
      </w:docPartPr>
      <w:docPartBody>
        <w:p>
          <w:pPr>
            <w:pStyle w:val="5"/>
          </w:pPr>
          <w:r>
            <w:rPr>
              <w:rStyle w:val="4"/>
              <w:rFonts w:hint="eastAsia"/>
            </w:rPr>
            <w:t>单击或点击此处输入文字。</w:t>
          </w:r>
        </w:p>
      </w:docPartBody>
    </w:docPart>
    <w:docPart>
      <w:docPartPr>
        <w:name w:val="0FF4879392B04B938B08D4E54996C184"/>
        <w:style w:val=""/>
        <w:category>
          <w:name w:val="常规"/>
          <w:gallery w:val="placeholder"/>
        </w:category>
        <w:types>
          <w:type w:val="bbPlcHdr"/>
        </w:types>
        <w:behaviors>
          <w:behavior w:val="content"/>
        </w:behaviors>
        <w:description w:val=""/>
        <w:guid w:val="{8A2AA118-53BE-420A-82F3-B3616D29D6ED}"/>
      </w:docPartPr>
      <w:docPartBody>
        <w:p>
          <w:pPr>
            <w:pStyle w:val="8"/>
          </w:pPr>
          <w:r>
            <w:rPr>
              <w:rStyle w:val="4"/>
              <w:rFonts w:hint="eastAsia"/>
            </w:rPr>
            <w:t>单击或点击此处输入文字。</w:t>
          </w:r>
        </w:p>
      </w:docPartBody>
    </w:docPart>
    <w:docPart>
      <w:docPartPr>
        <w:name w:val="A7DABD9CA6F647F2ACC2488CD1BD455C"/>
        <w:style w:val=""/>
        <w:category>
          <w:name w:val="常规"/>
          <w:gallery w:val="placeholder"/>
        </w:category>
        <w:types>
          <w:type w:val="bbPlcHdr"/>
        </w:types>
        <w:behaviors>
          <w:behavior w:val="content"/>
        </w:behaviors>
        <w:description w:val=""/>
        <w:guid w:val="{5B1AE630-1774-4C91-B672-37D700C183DF}"/>
      </w:docPartPr>
      <w:docPartBody>
        <w:p>
          <w:pPr>
            <w:pStyle w:val="12"/>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E"/>
    <w:rsid w:val="000078FE"/>
    <w:rsid w:val="0001122A"/>
    <w:rsid w:val="00021B1C"/>
    <w:rsid w:val="00066C3F"/>
    <w:rsid w:val="00076912"/>
    <w:rsid w:val="000F0F2F"/>
    <w:rsid w:val="001325AF"/>
    <w:rsid w:val="00175C59"/>
    <w:rsid w:val="001D19AF"/>
    <w:rsid w:val="00217A38"/>
    <w:rsid w:val="00236E9C"/>
    <w:rsid w:val="00243C76"/>
    <w:rsid w:val="0027166D"/>
    <w:rsid w:val="002A601E"/>
    <w:rsid w:val="002D3353"/>
    <w:rsid w:val="00333688"/>
    <w:rsid w:val="003F036A"/>
    <w:rsid w:val="003F09A1"/>
    <w:rsid w:val="00456FDC"/>
    <w:rsid w:val="004C7FDF"/>
    <w:rsid w:val="004D6F88"/>
    <w:rsid w:val="00522E34"/>
    <w:rsid w:val="0058092C"/>
    <w:rsid w:val="0058774D"/>
    <w:rsid w:val="00591D47"/>
    <w:rsid w:val="00597BD4"/>
    <w:rsid w:val="005A04BE"/>
    <w:rsid w:val="005E68C2"/>
    <w:rsid w:val="006168CC"/>
    <w:rsid w:val="00631284"/>
    <w:rsid w:val="0064722E"/>
    <w:rsid w:val="006C0E8D"/>
    <w:rsid w:val="006C75B7"/>
    <w:rsid w:val="006D5B98"/>
    <w:rsid w:val="006E2166"/>
    <w:rsid w:val="006F0468"/>
    <w:rsid w:val="006F6E2C"/>
    <w:rsid w:val="00725FF3"/>
    <w:rsid w:val="007727E0"/>
    <w:rsid w:val="0077538C"/>
    <w:rsid w:val="007A338C"/>
    <w:rsid w:val="0081340D"/>
    <w:rsid w:val="00872939"/>
    <w:rsid w:val="00920DB2"/>
    <w:rsid w:val="00930249"/>
    <w:rsid w:val="009A54AE"/>
    <w:rsid w:val="009C5E43"/>
    <w:rsid w:val="009E4349"/>
    <w:rsid w:val="00A7540B"/>
    <w:rsid w:val="00A9122E"/>
    <w:rsid w:val="00AD3814"/>
    <w:rsid w:val="00AE1C14"/>
    <w:rsid w:val="00B423C2"/>
    <w:rsid w:val="00B7676B"/>
    <w:rsid w:val="00B861B2"/>
    <w:rsid w:val="00BC723F"/>
    <w:rsid w:val="00BD76A1"/>
    <w:rsid w:val="00C146D5"/>
    <w:rsid w:val="00C1758F"/>
    <w:rsid w:val="00C24099"/>
    <w:rsid w:val="00C75768"/>
    <w:rsid w:val="00CA60E8"/>
    <w:rsid w:val="00CF5C8D"/>
    <w:rsid w:val="00D27680"/>
    <w:rsid w:val="00DA07ED"/>
    <w:rsid w:val="00DA5BE7"/>
    <w:rsid w:val="00DD3B42"/>
    <w:rsid w:val="00DE42F6"/>
    <w:rsid w:val="00DF68ED"/>
    <w:rsid w:val="00E54D2B"/>
    <w:rsid w:val="00E55586"/>
    <w:rsid w:val="00E8545E"/>
    <w:rsid w:val="00F65371"/>
    <w:rsid w:val="00F93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7B7675CCFB074D529C391823AC2DAA9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C88C206CB2C437BA6AD2F626C67CDA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FB8789C99224FF2851587FDC51794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0FF4879392B04B938B08D4E54996C18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A361ECEE787242158EFBBAEF36F2524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9179371A725442988EF5AA041569ED0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C2BDC45CD30C4F05BCF6AD3CEB7A4F9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A7DABD9CA6F647F2ACC2488CD1BD455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85BDB8-9461-480C-B082-A40108C229EF}">
  <ds:schemaRefs/>
</ds:datastoreItem>
</file>

<file path=docProps/app.xml><?xml version="1.0" encoding="utf-8"?>
<Properties xmlns="http://schemas.openxmlformats.org/officeDocument/2006/extended-properties" xmlns:vt="http://schemas.openxmlformats.org/officeDocument/2006/docPropsVTypes">
  <Template>团体标准</Template>
  <Company>SysCeo.com</Company>
  <Pages>9</Pages>
  <Words>1812</Words>
  <Characters>2046</Characters>
  <Lines>20</Lines>
  <Paragraphs>5</Paragraphs>
  <TotalTime>319</TotalTime>
  <ScaleCrop>false</ScaleCrop>
  <LinksUpToDate>false</LinksUpToDate>
  <CharactersWithSpaces>2121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2022-05-12T08:03:00Z</dcterms:created>
  <dc:creator>陈圳</dc:creator>
  <dc:description>&lt;config cover="true" show_menu="true" version="1.0.0" doctype="SDKXY"&gt;_x000d_
&lt;/config&gt;</dc:description>
  <cp:lastModifiedBy>CY</cp:lastModifiedBy>
  <cp:lastPrinted>2022-05-10T01:04:00Z</cp:lastPrinted>
  <dcterms:modified xsi:type="dcterms:W3CDTF">2022-06-15T09:01:26Z</dcterms:modified>
  <dc:title>团体标准</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ICV">
    <vt:lpwstr>5906BFE12BCC44BBAB430B193E93C1D3</vt:lpwstr>
  </property>
  <property fmtid="{D5CDD505-2E9C-101B-9397-08002B2CF9AE}" pid="16" name="KSOProductBuildVer">
    <vt:lpwstr>2052-11.1.0.11744</vt:lpwstr>
  </property>
</Properties>
</file>