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CCS</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B</w:t>
            </w:r>
            <w:r>
              <w:rPr>
                <w:rFonts w:hint="eastAsia" w:ascii="黑体" w:hAnsi="黑体" w:eastAsia="黑体"/>
                <w:sz w:val="21"/>
                <w:szCs w:val="21"/>
              </w:rPr>
              <w:t xml:space="preserve"> 15</w:t>
            </w:r>
          </w:p>
        </w:tc>
      </w:tr>
    </w:tbl>
    <w:p>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ascii="黑体" w:eastAsia="黑体"/>
          <w:b w:val="0"/>
          <w:w w:val="100"/>
          <w:sz w:val="48"/>
        </w:rPr>
        <w:t>蒲江丑柑产业协会</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6"/>
        <w:framePr/>
      </w:pPr>
      <w:r>
        <w:t xml:space="preserve">T/PUCIA </w:t>
      </w:r>
      <w:r>
        <w:rPr>
          <w:rFonts w:hint="eastAsia"/>
        </w:rPr>
        <w:t>008</w:t>
      </w:r>
      <w:r>
        <w:t>—2022</w:t>
      </w:r>
    </w:p>
    <w:p>
      <w:pPr>
        <w:pStyle w:val="197"/>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蒲江柑橘投入品使用管理规范</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Management</w:t>
      </w:r>
      <w:r>
        <w:rPr>
          <w:rFonts w:hint="eastAsia" w:ascii="黑体" w:hAnsi="黑体" w:eastAsia="黑体"/>
          <w:szCs w:val="28"/>
        </w:rPr>
        <w:t xml:space="preserve"> specification </w:t>
      </w:r>
      <w:r>
        <w:rPr>
          <w:rFonts w:ascii="黑体" w:hAnsi="黑体" w:eastAsia="黑体"/>
          <w:szCs w:val="28"/>
        </w:rPr>
        <w:t>for</w:t>
      </w:r>
      <w:r>
        <w:rPr>
          <w:rFonts w:hint="eastAsia" w:ascii="黑体" w:hAnsi="黑体" w:eastAsia="黑体"/>
          <w:szCs w:val="28"/>
        </w:rPr>
        <w:t xml:space="preserve"> inputs use of </w:t>
      </w:r>
      <w:r>
        <w:rPr>
          <w:rFonts w:ascii="黑体" w:hAnsi="黑体" w:eastAsia="黑体"/>
          <w:szCs w:val="28"/>
        </w:rPr>
        <w:t>Pujiang</w:t>
      </w:r>
      <w:r>
        <w:rPr>
          <w:rFonts w:hint="eastAsia" w:ascii="黑体" w:hAnsi="黑体" w:eastAsia="黑体"/>
          <w:szCs w:val="28"/>
        </w:rPr>
        <w:t xml:space="preserve"> c</w:t>
      </w:r>
      <w:r>
        <w:rPr>
          <w:rFonts w:ascii="黑体" w:hAnsi="黑体" w:eastAsia="黑体"/>
          <w:szCs w:val="28"/>
        </w:rPr>
        <w:t>itrus</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
    </w:p>
    <w:p>
      <w:pPr>
        <w:pStyle w:val="194"/>
        <w:framePr w:wrap="around" w:y="14176"/>
      </w:pPr>
      <w:r>
        <w:rPr>
          <w:rFonts w:hint="eastAsia" w:ascii="黑体"/>
        </w:rPr>
        <w:t>2022</w:t>
      </w:r>
      <w:r>
        <w:t xml:space="preserve"> </w:t>
      </w:r>
      <w:r>
        <w:rPr>
          <w:rFonts w:ascii="黑体"/>
        </w:rPr>
        <w:t>-</w:t>
      </w:r>
      <w:r>
        <w:t xml:space="preserve"> </w:t>
      </w:r>
      <w:r>
        <w:rPr>
          <w:rFonts w:hint="eastAsia" w:ascii="黑体"/>
        </w:rPr>
        <w:t>06</w:t>
      </w:r>
      <w:r>
        <w:t xml:space="preserve"> </w:t>
      </w:r>
      <w:r>
        <w:rPr>
          <w:rFonts w:ascii="黑体"/>
        </w:rPr>
        <w:t>-</w:t>
      </w:r>
      <w:r>
        <w:t xml:space="preserve"> </w:t>
      </w:r>
      <w:r>
        <w:rPr>
          <w:rFonts w:hint="eastAsia" w:ascii="黑体"/>
        </w:rPr>
        <w:t>17</w:t>
      </w:r>
      <w:r>
        <w:rPr>
          <w:rFonts w:hint="eastAsia"/>
        </w:rPr>
        <w:t>发布</w:t>
      </w:r>
    </w:p>
    <w:p>
      <w:pPr>
        <w:pStyle w:val="195"/>
        <w:framePr w:wrap="around" w:y="14176"/>
      </w:pPr>
      <w:r>
        <w:rPr>
          <w:rFonts w:hint="eastAsia" w:ascii="黑体"/>
        </w:rPr>
        <w:t>2022</w:t>
      </w:r>
      <w:r>
        <w:t xml:space="preserve"> </w:t>
      </w:r>
      <w:r>
        <w:rPr>
          <w:rFonts w:ascii="黑体"/>
        </w:rPr>
        <w:t>-</w:t>
      </w:r>
      <w:r>
        <w:t xml:space="preserve"> </w:t>
      </w:r>
      <w:r>
        <w:rPr>
          <w:rFonts w:hint="eastAsia" w:ascii="黑体"/>
        </w:rPr>
        <w:t>07</w:t>
      </w:r>
      <w:r>
        <w:t xml:space="preserve"> </w:t>
      </w:r>
      <w:r>
        <w:rPr>
          <w:rFonts w:ascii="黑体"/>
        </w:rPr>
        <w:t>-</w:t>
      </w:r>
      <w:r>
        <w:t xml:space="preserve"> </w:t>
      </w:r>
      <w:r>
        <w:rPr>
          <w:rFonts w:hint="eastAsia" w:ascii="黑体"/>
        </w:rPr>
        <w:t>01</w:t>
      </w:r>
      <w:r>
        <w:rPr>
          <w:rFonts w:hint="eastAsia"/>
        </w:rPr>
        <w:t>实施</w:t>
      </w:r>
    </w:p>
    <w:p>
      <w:pPr>
        <w:pStyle w:val="152"/>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2"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"_Toc103852313" </w:instrText>
      </w:r>
      <w:r>
        <w:fldChar w:fldCharType="separate"/>
      </w:r>
      <w:r>
        <w:rPr>
          <w:rStyle w:val="33"/>
          <w:rFonts w:hint="eastAsia"/>
        </w:rPr>
        <w:t>前言</w:t>
      </w:r>
      <w:r>
        <w:tab/>
      </w:r>
      <w:r>
        <w:fldChar w:fldCharType="begin"/>
      </w:r>
      <w:r>
        <w:instrText xml:space="preserve"> PAGEREF _Toc103852312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"_Toc103852313" </w:instrText>
      </w:r>
      <w:r>
        <w:fldChar w:fldCharType="separate"/>
      </w:r>
      <w:r>
        <w:rPr>
          <w:rStyle w:val="33"/>
        </w:rPr>
        <w:t>1</w:t>
      </w:r>
      <w:r>
        <w:rPr>
          <w:rStyle w:val="33"/>
          <w:rFonts w:hint="eastAsia"/>
        </w:rPr>
        <w:t xml:space="preserve"> 范围</w:t>
      </w:r>
      <w:r>
        <w:tab/>
      </w:r>
      <w:r>
        <w:fldChar w:fldCharType="begin"/>
      </w:r>
      <w:r>
        <w:instrText xml:space="preserve"> PAGEREF _Toc103852313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"_Toc103852314" </w:instrText>
      </w:r>
      <w:r>
        <w:fldChar w:fldCharType="separate"/>
      </w:r>
      <w:r>
        <w:rPr>
          <w:rStyle w:val="33"/>
        </w:rPr>
        <w:t>2</w:t>
      </w:r>
      <w:r>
        <w:rPr>
          <w:rStyle w:val="33"/>
          <w:rFonts w:hint="eastAsia"/>
        </w:rPr>
        <w:t xml:space="preserve"> 规范性引用文件</w:t>
      </w:r>
      <w:r>
        <w:tab/>
      </w:r>
      <w:r>
        <w:fldChar w:fldCharType="begin"/>
      </w:r>
      <w:r>
        <w:instrText xml:space="preserve"> PAGEREF _Toc103852314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"_Toc103852315" </w:instrText>
      </w:r>
      <w:r>
        <w:fldChar w:fldCharType="separate"/>
      </w:r>
      <w:r>
        <w:rPr>
          <w:rStyle w:val="33"/>
        </w:rPr>
        <w:t>3</w:t>
      </w:r>
      <w:r>
        <w:rPr>
          <w:rStyle w:val="33"/>
          <w:rFonts w:hint="eastAsia"/>
        </w:rPr>
        <w:t xml:space="preserve"> 术语和定义</w:t>
      </w:r>
      <w:r>
        <w:tab/>
      </w:r>
      <w:r>
        <w:fldChar w:fldCharType="begin"/>
      </w:r>
      <w:r>
        <w:instrText xml:space="preserve"> PAGEREF _Toc103852315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"_Toc103852316" </w:instrText>
      </w:r>
      <w:r>
        <w:fldChar w:fldCharType="separate"/>
      </w:r>
      <w:r>
        <w:rPr>
          <w:rStyle w:val="33"/>
        </w:rPr>
        <w:t>4</w:t>
      </w:r>
      <w:r>
        <w:rPr>
          <w:rStyle w:val="33"/>
          <w:rFonts w:hint="eastAsia"/>
        </w:rPr>
        <w:t xml:space="preserve"> 基本要求</w:t>
      </w:r>
      <w:r>
        <w:tab/>
      </w:r>
      <w:r>
        <w:fldChar w:fldCharType="begin"/>
      </w:r>
      <w:r>
        <w:instrText xml:space="preserve"> PAGEREF _Toc103852316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"_Toc103852317" </w:instrText>
      </w:r>
      <w:r>
        <w:fldChar w:fldCharType="separate"/>
      </w:r>
      <w:r>
        <w:rPr>
          <w:rStyle w:val="33"/>
        </w:rPr>
        <w:t>5</w:t>
      </w:r>
      <w:r>
        <w:rPr>
          <w:rStyle w:val="33"/>
          <w:rFonts w:hint="eastAsia"/>
        </w:rPr>
        <w:t xml:space="preserve"> 采购管理</w:t>
      </w:r>
      <w:r>
        <w:tab/>
      </w:r>
      <w:r>
        <w:fldChar w:fldCharType="begin"/>
      </w:r>
      <w:r>
        <w:instrText xml:space="preserve"> PAGEREF _Toc103852317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"_Toc103852320" </w:instrText>
      </w:r>
      <w:r>
        <w:fldChar w:fldCharType="separate"/>
      </w:r>
      <w:r>
        <w:rPr>
          <w:rStyle w:val="33"/>
        </w:rPr>
        <w:t>6</w:t>
      </w:r>
      <w:r>
        <w:rPr>
          <w:rStyle w:val="33"/>
          <w:rFonts w:hint="eastAsia"/>
        </w:rPr>
        <w:t xml:space="preserve"> 贮存管理</w:t>
      </w:r>
      <w:r>
        <w:tab/>
      </w:r>
      <w:r>
        <w:fldChar w:fldCharType="begin"/>
      </w:r>
      <w:r>
        <w:instrText xml:space="preserve"> PAGEREF _Toc103852320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"_Toc103852327" </w:instrText>
      </w:r>
      <w:r>
        <w:fldChar w:fldCharType="separate"/>
      </w:r>
      <w:r>
        <w:rPr>
          <w:rStyle w:val="33"/>
        </w:rPr>
        <w:t>7</w:t>
      </w:r>
      <w:r>
        <w:rPr>
          <w:rStyle w:val="33"/>
          <w:rFonts w:hint="eastAsia"/>
        </w:rPr>
        <w:t xml:space="preserve"> 使用管理</w:t>
      </w:r>
      <w:r>
        <w:tab/>
      </w:r>
      <w:r>
        <w:fldChar w:fldCharType="begin"/>
      </w:r>
      <w:r>
        <w:instrText xml:space="preserve"> PAGEREF _Toc103852327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"_Toc103852333" </w:instrText>
      </w:r>
      <w:r>
        <w:fldChar w:fldCharType="separate"/>
      </w:r>
      <w:r>
        <w:rPr>
          <w:rStyle w:val="33"/>
        </w:rPr>
        <w:t>8</w:t>
      </w:r>
      <w:r>
        <w:rPr>
          <w:rStyle w:val="33"/>
          <w:rFonts w:hint="eastAsia"/>
        </w:rPr>
        <w:t xml:space="preserve"> 废弃物管理</w:t>
      </w:r>
      <w:r>
        <w:tab/>
      </w:r>
      <w:r>
        <w:fldChar w:fldCharType="begin"/>
      </w:r>
      <w:r>
        <w:instrText xml:space="preserve"> PAGEREF _Toc103852333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"_Toc103852334" </w:instrText>
      </w:r>
      <w:r>
        <w:fldChar w:fldCharType="separate"/>
      </w:r>
      <w:r>
        <w:rPr>
          <w:rStyle w:val="33"/>
          <w:rFonts w:hint="eastAsia"/>
        </w:rPr>
        <w:t>附　录　A</w:t>
      </w:r>
      <w:r>
        <w:rPr>
          <w:rStyle w:val="33"/>
          <w:rFonts w:hint="eastAsia" w:hAnsi="黑体"/>
        </w:rPr>
        <w:t xml:space="preserve"> （资料性）</w:t>
      </w:r>
      <w:r>
        <w:rPr>
          <w:rStyle w:val="33"/>
        </w:rPr>
        <w:t xml:space="preserve"> </w:t>
      </w:r>
      <w:r>
        <w:rPr>
          <w:rStyle w:val="33"/>
          <w:rFonts w:hint="eastAsia"/>
        </w:rPr>
        <w:t>蒲江柑橘投入品使用管理记录</w:t>
      </w:r>
      <w:r>
        <w:tab/>
      </w:r>
      <w:r>
        <w:fldChar w:fldCharType="begin"/>
      </w:r>
      <w:r>
        <w:instrText xml:space="preserve"> PAGEREF _Toc103852334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"_Toc103852335" </w:instrText>
      </w:r>
      <w:r>
        <w:fldChar w:fldCharType="separate"/>
      </w:r>
      <w:r>
        <w:rPr>
          <w:rStyle w:val="33"/>
          <w:rFonts w:hint="eastAsia"/>
        </w:rPr>
        <w:t>参考文献</w:t>
      </w:r>
      <w:r>
        <w:tab/>
      </w:r>
      <w:r>
        <w:fldChar w:fldCharType="begin"/>
      </w:r>
      <w:r>
        <w:instrText xml:space="preserve"> PAGEREF _Toc103852335 \h </w:instrText>
      </w:r>
      <w:r>
        <w:fldChar w:fldCharType="separate"/>
      </w:r>
      <w:r>
        <w:t>6</w:t>
      </w:r>
      <w:r>
        <w:fldChar w:fldCharType="end"/>
      </w:r>
      <w:r>
        <w:fldChar w:fldCharType="end"/>
      </w:r>
    </w:p>
    <w:p>
      <w:pPr>
        <w:pStyle w:val="92"/>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
    <w:p>
      <w:pPr>
        <w:pStyle w:val="90"/>
        <w:spacing w:after="360"/>
      </w:pPr>
      <w:bookmarkStart w:id="3" w:name="_Toc103852312"/>
      <w:bookmarkStart w:id="4" w:name="BookMark2"/>
      <w:bookmarkStart w:id="55" w:name="_GoBack"/>
      <w:bookmarkEnd w:id="55"/>
      <w:r>
        <w:rPr>
          <w:spacing w:val="320"/>
        </w:rPr>
        <w:t>前</w:t>
      </w:r>
      <w:r>
        <w:t>言</w:t>
      </w:r>
      <w:bookmarkEnd w:id="3"/>
    </w:p>
    <w:p>
      <w:pPr>
        <w:pStyle w:val="57"/>
        <w:ind w:firstLine="420"/>
      </w:pPr>
      <w:r>
        <w:rPr>
          <w:rFonts w:hint="eastAsia"/>
        </w:rPr>
        <w:t>本文件按照GB/T 1.1—2020《标准化工作导则  第1部分：标准化文件的结构和起草规则》的规定起草。</w:t>
      </w:r>
    </w:p>
    <w:p>
      <w:pPr>
        <w:pStyle w:val="57"/>
        <w:ind w:firstLine="420"/>
      </w:pPr>
      <w:r>
        <w:t>本文件由蒲江丑柑产业协会提出并归口</w:t>
      </w:r>
      <w:r>
        <w:rPr>
          <w:rFonts w:hint="eastAsia"/>
        </w:rPr>
        <w:t>。</w:t>
      </w:r>
    </w:p>
    <w:p>
      <w:pPr>
        <w:pStyle w:val="57"/>
        <w:ind w:firstLine="420"/>
      </w:pPr>
      <w:r>
        <w:rPr>
          <w:rFonts w:hint="eastAsia"/>
        </w:rPr>
        <w:t>本文件起草单位：蒲江丑柑产业协会、蒲江县农业农村局、四川万豪企业管理咨询有限公司、四川省农业标准化技术委员会。</w:t>
      </w:r>
    </w:p>
    <w:p>
      <w:pPr>
        <w:pStyle w:val="57"/>
        <w:ind w:firstLine="420"/>
      </w:pPr>
      <w:r>
        <w:rPr>
          <w:rFonts w:hint="eastAsia"/>
        </w:rPr>
        <w:t>本文件主要起草人：徐建、姚雄辉、钟军、唐翠芳、胡秀芝、高烽焱、刘玲利。</w:t>
      </w:r>
    </w:p>
    <w:p>
      <w:pPr>
        <w:pStyle w:val="57"/>
        <w:ind w:firstLine="420"/>
      </w:pPr>
    </w:p>
    <w:p>
      <w:pPr>
        <w:pStyle w:val="57"/>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4"/>
    <w:p>
      <w:pPr>
        <w:spacing w:line="20" w:lineRule="exact"/>
        <w:jc w:val="center"/>
        <w:rPr>
          <w:rFonts w:ascii="黑体" w:hAnsi="黑体" w:eastAsia="黑体"/>
          <w:sz w:val="32"/>
          <w:szCs w:val="32"/>
        </w:rPr>
      </w:pPr>
      <w:bookmarkStart w:id="5" w:name="BookMark4"/>
    </w:p>
    <w:p>
      <w:pPr>
        <w:spacing w:line="20" w:lineRule="exact"/>
        <w:jc w:val="center"/>
        <w:rPr>
          <w:rFonts w:ascii="黑体" w:hAnsi="黑体" w:eastAsia="黑体"/>
          <w:sz w:val="32"/>
          <w:szCs w:val="32"/>
        </w:rPr>
      </w:pPr>
    </w:p>
    <w:sdt>
      <w:sdtPr>
        <w:rPr>
          <w:rFonts w:ascii="黑体" w:hAnsi="黑体" w:eastAsia="黑体"/>
          <w:sz w:val="32"/>
          <w:szCs w:val="32"/>
        </w:rPr>
        <w:tag w:val="NEW_STAND_NAME"/>
        <w:id w:val="595910757"/>
        <w:lock w:val="sdtLocked"/>
        <w:placeholder>
          <w:docPart w:val="7B7675CCFB074D529C391823AC2DAA98"/>
        </w:placeholder>
      </w:sdtPr>
      <w:sdtEndPr>
        <w:rPr>
          <w:rFonts w:ascii="黑体" w:hAnsi="黑体" w:eastAsia="黑体"/>
          <w:sz w:val="32"/>
          <w:szCs w:val="32"/>
        </w:rPr>
      </w:sdtEndPr>
      <w:sdtContent>
        <w:p>
          <w:pPr>
            <w:spacing w:line="20" w:lineRule="exact"/>
            <w:jc w:val="center"/>
            <w:rPr>
              <w:rFonts w:ascii="黑体" w:hAnsi="黑体" w:eastAsia="黑体"/>
              <w:sz w:val="32"/>
              <w:szCs w:val="32"/>
            </w:rPr>
          </w:pPr>
          <w:bookmarkStart w:id="6" w:name="NEW_STAND_NAME"/>
        </w:p>
        <w:p>
          <w:pPr>
            <w:spacing w:line="20" w:lineRule="exact"/>
            <w:jc w:val="center"/>
            <w:rPr>
              <w:rFonts w:ascii="黑体" w:hAnsi="黑体" w:eastAsia="黑体"/>
              <w:sz w:val="32"/>
              <w:szCs w:val="32"/>
            </w:rPr>
          </w:pPr>
        </w:p>
        <w:sdt>
          <w:sdtPr>
            <w:tag w:val="NEW_STAND_NAME"/>
            <w:id w:val="-1141035303"/>
            <w:placeholder>
              <w:docPart w:val="393CDCA0DBA847188B33EE97CABA8B7B"/>
            </w:placeholder>
          </w:sdtPr>
          <w:sdtContent>
            <w:p>
              <w:pPr>
                <w:pStyle w:val="178"/>
                <w:spacing w:after="528" w:afterLines="220"/>
              </w:pPr>
              <w:r>
                <w:rPr>
                  <w:rFonts w:hint="eastAsia"/>
                </w:rPr>
                <w:t>蒲江柑橘投入品使用管理规范</w:t>
              </w:r>
            </w:p>
          </w:sdtContent>
        </w:sdt>
      </w:sdtContent>
    </w:sdt>
    <w:bookmarkEnd w:id="6"/>
    <w:p>
      <w:pPr>
        <w:pStyle w:val="105"/>
        <w:spacing w:before="240" w:after="240"/>
      </w:pPr>
      <w:bookmarkStart w:id="7" w:name="_Toc26648465"/>
      <w:bookmarkStart w:id="8" w:name="_Toc26986530"/>
      <w:bookmarkStart w:id="9" w:name="_Toc103852313"/>
      <w:bookmarkStart w:id="10" w:name="_Toc24884211"/>
      <w:bookmarkStart w:id="11" w:name="_Toc24884218"/>
      <w:bookmarkStart w:id="12" w:name="_Toc26986771"/>
      <w:bookmarkStart w:id="13" w:name="_Toc17233325"/>
      <w:bookmarkStart w:id="14" w:name="_Toc17233333"/>
      <w:bookmarkStart w:id="15" w:name="_Toc26718930"/>
      <w:r>
        <w:rPr>
          <w:rFonts w:hint="eastAsia"/>
        </w:rPr>
        <w:t>范围</w:t>
      </w:r>
      <w:bookmarkEnd w:id="7"/>
      <w:bookmarkEnd w:id="8"/>
      <w:bookmarkEnd w:id="9"/>
      <w:bookmarkEnd w:id="10"/>
      <w:bookmarkEnd w:id="11"/>
      <w:bookmarkEnd w:id="12"/>
      <w:bookmarkEnd w:id="13"/>
      <w:bookmarkEnd w:id="14"/>
      <w:bookmarkEnd w:id="15"/>
    </w:p>
    <w:p>
      <w:pPr>
        <w:pStyle w:val="57"/>
        <w:ind w:firstLine="420"/>
      </w:pPr>
      <w:bookmarkStart w:id="16" w:name="_Toc17233334"/>
      <w:bookmarkStart w:id="17" w:name="_Toc17233326"/>
      <w:bookmarkStart w:id="18" w:name="_Toc24884219"/>
      <w:bookmarkStart w:id="19" w:name="_Toc24884212"/>
      <w:bookmarkStart w:id="20" w:name="_Toc26648466"/>
      <w:r>
        <w:rPr>
          <w:rFonts w:hint="eastAsia"/>
        </w:rPr>
        <w:t>本文件规定了蒲江柑橘生产中投入品的基本要求、采购管理、贮存管理、使用管理和废弃物管理的要求。</w:t>
      </w:r>
    </w:p>
    <w:p>
      <w:pPr>
        <w:pStyle w:val="57"/>
        <w:ind w:firstLine="420"/>
      </w:pPr>
      <w:r>
        <w:rPr>
          <w:rFonts w:hint="eastAsia"/>
        </w:rPr>
        <w:t>本文件适用于蒲江丑柑产业协会柑橘投入品（如农药、肥料、果袋、棚膜等）使用的管理，其他社会团体按照本协会的规定自愿采用。</w:t>
      </w:r>
    </w:p>
    <w:p>
      <w:pPr>
        <w:pStyle w:val="105"/>
        <w:spacing w:before="240" w:after="240"/>
      </w:pPr>
      <w:bookmarkStart w:id="21" w:name="_Toc26718931"/>
      <w:bookmarkStart w:id="22" w:name="_Toc26986772"/>
      <w:bookmarkStart w:id="23" w:name="_Toc26986531"/>
      <w:bookmarkStart w:id="24" w:name="_Toc103852314"/>
      <w:r>
        <w:rPr>
          <w:rFonts w:hint="eastAsia"/>
        </w:rPr>
        <w:t>规范性引用文件</w:t>
      </w:r>
      <w:bookmarkEnd w:id="16"/>
      <w:bookmarkEnd w:id="17"/>
      <w:bookmarkEnd w:id="18"/>
      <w:bookmarkEnd w:id="19"/>
      <w:bookmarkEnd w:id="20"/>
      <w:bookmarkEnd w:id="21"/>
      <w:bookmarkEnd w:id="22"/>
      <w:bookmarkEnd w:id="23"/>
      <w:bookmarkEnd w:id="24"/>
    </w:p>
    <w:sdt>
      <w:sdtPr>
        <w:rPr>
          <w:rFonts w:hint="eastAsia"/>
        </w:rPr>
        <w:id w:val="715848253"/>
        <w:placeholder>
          <w:docPart w:val="8C88C206CB2C437BA6AD2F626C67CD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4455  农业用聚乙烯吹塑棚膜</w:t>
      </w:r>
    </w:p>
    <w:p>
      <w:pPr>
        <w:pStyle w:val="57"/>
        <w:ind w:firstLine="420"/>
      </w:pPr>
      <w:r>
        <w:rPr>
          <w:rFonts w:hint="eastAsia"/>
        </w:rPr>
        <w:t>GB/T 8321（所有部分）  农药合理使用准则</w:t>
      </w:r>
    </w:p>
    <w:p>
      <w:pPr>
        <w:pStyle w:val="57"/>
        <w:ind w:firstLine="420"/>
      </w:pPr>
      <w:r>
        <w:rPr>
          <w:rFonts w:hint="eastAsia"/>
        </w:rPr>
        <w:t>GB/T 19341  育果袋纸</w:t>
      </w:r>
    </w:p>
    <w:p>
      <w:pPr>
        <w:pStyle w:val="57"/>
        <w:ind w:firstLine="420"/>
      </w:pPr>
      <w:r>
        <w:rPr>
          <w:rFonts w:hint="eastAsia"/>
        </w:rPr>
        <w:t>NY/T 393  绿色食品  农药使用准则</w:t>
      </w:r>
    </w:p>
    <w:p>
      <w:pPr>
        <w:pStyle w:val="57"/>
        <w:ind w:firstLine="420"/>
      </w:pPr>
      <w:r>
        <w:rPr>
          <w:rFonts w:hint="eastAsia"/>
        </w:rPr>
        <w:t>NY/T 394  绿色食品  肥料使用准则</w:t>
      </w:r>
    </w:p>
    <w:p>
      <w:pPr>
        <w:pStyle w:val="57"/>
        <w:ind w:firstLine="420"/>
      </w:pPr>
      <w:r>
        <w:rPr>
          <w:rFonts w:hint="eastAsia"/>
        </w:rPr>
        <w:t>NY/T 496  肥料合理使用准则  通则</w:t>
      </w:r>
    </w:p>
    <w:p>
      <w:pPr>
        <w:pStyle w:val="57"/>
        <w:ind w:firstLine="420"/>
      </w:pPr>
      <w:r>
        <w:t>N</w:t>
      </w:r>
      <w:r>
        <w:rPr>
          <w:rFonts w:hint="eastAsia"/>
        </w:rPr>
        <w:t>Y</w:t>
      </w:r>
      <w:r>
        <w:t>/T</w:t>
      </w:r>
      <w:r>
        <w:rPr>
          <w:rFonts w:hint="eastAsia"/>
        </w:rPr>
        <w:t xml:space="preserve"> </w:t>
      </w:r>
      <w:r>
        <w:t>1276</w:t>
      </w:r>
      <w:r>
        <w:rPr>
          <w:rFonts w:hint="eastAsia"/>
        </w:rPr>
        <w:t xml:space="preserve">  农药安全使用规范</w:t>
      </w:r>
    </w:p>
    <w:p>
      <w:pPr>
        <w:pStyle w:val="57"/>
        <w:ind w:firstLine="420"/>
      </w:pPr>
      <w:r>
        <w:rPr>
          <w:rFonts w:hint="eastAsia"/>
        </w:rPr>
        <w:t>NY/T 1868  肥料合理使用准则  有机肥料</w:t>
      </w:r>
    </w:p>
    <w:p>
      <w:pPr>
        <w:pStyle w:val="57"/>
        <w:ind w:firstLine="420"/>
      </w:pPr>
      <w:r>
        <w:t>T/PUCIA 003</w:t>
      </w:r>
      <w:r>
        <w:rPr>
          <w:rFonts w:hint="eastAsia"/>
        </w:rPr>
        <w:t xml:space="preserve">  晚熟柑橘套袋技术规程</w:t>
      </w:r>
    </w:p>
    <w:p>
      <w:pPr>
        <w:pStyle w:val="57"/>
        <w:ind w:firstLine="420"/>
      </w:pPr>
      <w:r>
        <w:t>T/PUCIA 005</w:t>
      </w:r>
      <w:r>
        <w:rPr>
          <w:rFonts w:hint="eastAsia"/>
        </w:rPr>
        <w:t xml:space="preserve">  蒲江高标准绿色柑橘施肥技术规程</w:t>
      </w:r>
    </w:p>
    <w:p>
      <w:pPr>
        <w:pStyle w:val="105"/>
        <w:spacing w:before="240" w:after="240"/>
      </w:pPr>
      <w:bookmarkStart w:id="25" w:name="_Toc103852315"/>
      <w:r>
        <w:rPr>
          <w:rFonts w:hint="eastAsia"/>
          <w:szCs w:val="21"/>
        </w:rPr>
        <w:t>术语和定义</w:t>
      </w:r>
      <w:bookmarkEnd w:id="25"/>
    </w:p>
    <w:bookmarkEnd w:id="5"/>
    <w:p>
      <w:pPr>
        <w:pStyle w:val="57"/>
        <w:ind w:firstLine="420"/>
      </w:pPr>
      <w:bookmarkStart w:id="26" w:name="_Toc26986532"/>
      <w:bookmarkEnd w:id="26"/>
      <w:bookmarkStart w:id="27" w:name="BookMark8"/>
      <w:r>
        <w:rPr>
          <w:rFonts w:hint="eastAsia"/>
        </w:rPr>
        <w:t>本文件没有需要界定的术语和定义。</w:t>
      </w:r>
    </w:p>
    <w:p>
      <w:pPr>
        <w:pStyle w:val="105"/>
        <w:spacing w:before="240" w:after="240"/>
        <w:rPr>
          <w:szCs w:val="21"/>
        </w:rPr>
      </w:pPr>
      <w:bookmarkStart w:id="28" w:name="_Toc103852316"/>
      <w:r>
        <w:rPr>
          <w:rFonts w:hint="eastAsia"/>
          <w:szCs w:val="21"/>
        </w:rPr>
        <w:t>基本要求</w:t>
      </w:r>
      <w:bookmarkEnd w:id="28"/>
    </w:p>
    <w:p>
      <w:pPr>
        <w:pStyle w:val="239"/>
        <w:numPr>
          <w:ilvl w:val="2"/>
          <w:numId w:val="2"/>
        </w:numPr>
        <w:ind w:left="0"/>
        <w:outlineLvl w:val="9"/>
      </w:pPr>
      <w:r>
        <w:t>设置</w:t>
      </w:r>
      <w:r>
        <w:rPr>
          <w:rFonts w:hint="eastAsia"/>
        </w:rPr>
        <w:t>1名～2名投入品管理人员，</w:t>
      </w:r>
      <w:r>
        <w:t>负责投入品的采购</w:t>
      </w:r>
      <w:r>
        <w:rPr>
          <w:rFonts w:hint="eastAsia"/>
        </w:rPr>
        <w:t>、</w:t>
      </w:r>
      <w:r>
        <w:t>接收</w:t>
      </w:r>
      <w:r>
        <w:rPr>
          <w:rFonts w:hint="eastAsia"/>
        </w:rPr>
        <w:t>、</w:t>
      </w:r>
      <w:r>
        <w:t>贮存</w:t>
      </w:r>
      <w:r>
        <w:rPr>
          <w:rFonts w:hint="eastAsia"/>
        </w:rPr>
        <w:t>、</w:t>
      </w:r>
      <w:r>
        <w:t>检验</w:t>
      </w:r>
      <w:r>
        <w:rPr>
          <w:rFonts w:hint="eastAsia"/>
        </w:rPr>
        <w:t>、</w:t>
      </w:r>
      <w:r>
        <w:t>废弃物回收的管理</w:t>
      </w:r>
      <w:r>
        <w:rPr>
          <w:rFonts w:hint="eastAsia"/>
        </w:rPr>
        <w:t>，</w:t>
      </w:r>
      <w:r>
        <w:t>管理人员上岗前应经过农业职业经理人培训</w:t>
      </w:r>
      <w:r>
        <w:rPr>
          <w:rFonts w:hint="eastAsia"/>
        </w:rPr>
        <w:t>，</w:t>
      </w:r>
      <w:r>
        <w:t>掌握农药使用</w:t>
      </w:r>
      <w:r>
        <w:rPr>
          <w:rFonts w:hint="eastAsia"/>
        </w:rPr>
        <w:t>、</w:t>
      </w:r>
      <w:r>
        <w:t>肥料使用</w:t>
      </w:r>
      <w:r>
        <w:rPr>
          <w:rFonts w:hint="eastAsia"/>
        </w:rPr>
        <w:t>、</w:t>
      </w:r>
      <w:r>
        <w:t>柑橘生产等相应技术</w:t>
      </w:r>
      <w:r>
        <w:rPr>
          <w:rFonts w:hint="eastAsia"/>
        </w:rPr>
        <w:t>。</w:t>
      </w:r>
    </w:p>
    <w:p>
      <w:pPr>
        <w:pStyle w:val="239"/>
        <w:numPr>
          <w:ilvl w:val="2"/>
          <w:numId w:val="2"/>
        </w:numPr>
        <w:ind w:left="0"/>
        <w:outlineLvl w:val="9"/>
      </w:pPr>
      <w:r>
        <w:rPr>
          <w:rFonts w:hint="eastAsia"/>
        </w:rPr>
        <w:t>建立投入品采购、入库查验、贮存、使用等管理制度。</w:t>
      </w:r>
    </w:p>
    <w:p>
      <w:pPr>
        <w:pStyle w:val="239"/>
        <w:numPr>
          <w:ilvl w:val="2"/>
          <w:numId w:val="2"/>
        </w:numPr>
        <w:ind w:left="0"/>
        <w:outlineLvl w:val="9"/>
      </w:pPr>
      <w:r>
        <w:rPr>
          <w:rFonts w:hint="eastAsia"/>
        </w:rPr>
        <w:t>建立投入品采购、使用等记录，各种记录编号后分类归档，便于检索、查阅。记录应妥善保管，保存期不少于2 年，各类记录样式见附录A。</w:t>
      </w:r>
    </w:p>
    <w:p>
      <w:pPr>
        <w:pStyle w:val="239"/>
        <w:numPr>
          <w:ilvl w:val="2"/>
          <w:numId w:val="2"/>
        </w:numPr>
        <w:ind w:left="0"/>
        <w:outlineLvl w:val="9"/>
      </w:pPr>
      <w:r>
        <w:rPr>
          <w:rFonts w:hint="eastAsia"/>
        </w:rPr>
        <w:t>投入品使用应符合蒲江“两个替代”工程要求。</w:t>
      </w:r>
    </w:p>
    <w:p>
      <w:pPr>
        <w:pStyle w:val="105"/>
        <w:spacing w:before="240" w:after="240"/>
        <w:rPr>
          <w:szCs w:val="21"/>
        </w:rPr>
      </w:pPr>
      <w:bookmarkStart w:id="29" w:name="_Toc103852317"/>
      <w:r>
        <w:rPr>
          <w:rFonts w:hint="eastAsia"/>
          <w:szCs w:val="21"/>
        </w:rPr>
        <w:t>采购管理</w:t>
      </w:r>
      <w:bookmarkEnd w:id="29"/>
    </w:p>
    <w:p>
      <w:pPr>
        <w:pStyle w:val="106"/>
        <w:spacing w:before="120" w:after="120"/>
        <w:ind w:left="0"/>
      </w:pPr>
      <w:bookmarkStart w:id="30" w:name="_Toc103852318"/>
      <w:bookmarkStart w:id="31" w:name="_Toc4423"/>
      <w:r>
        <w:rPr>
          <w:rFonts w:hint="eastAsia"/>
        </w:rPr>
        <w:t>一般要求</w:t>
      </w:r>
      <w:bookmarkEnd w:id="30"/>
      <w:bookmarkEnd w:id="31"/>
    </w:p>
    <w:p>
      <w:pPr>
        <w:pStyle w:val="66"/>
        <w:spacing w:before="0" w:beforeLines="0" w:after="0" w:afterLines="0"/>
        <w:ind w:left="0"/>
        <w:outlineLvl w:val="9"/>
        <w:rPr>
          <w:rFonts w:asciiTheme="minorEastAsia" w:hAnsiTheme="minorEastAsia" w:eastAsiaTheme="minorEastAsia"/>
        </w:rPr>
      </w:pPr>
      <w:r>
        <w:rPr>
          <w:rFonts w:hint="eastAsia" w:asciiTheme="minorEastAsia" w:hAnsiTheme="minorEastAsia" w:eastAsiaTheme="minorEastAsia"/>
        </w:rPr>
        <w:t>应通过正规渠道购买柑橘投入品，购买时检验投入品的产品批号、标签标识，不应采购“三无”（无生产厂家、无生产日期、无产品批准文号）、质量差、批准文号过期的投入品。</w:t>
      </w:r>
    </w:p>
    <w:p>
      <w:pPr>
        <w:pStyle w:val="66"/>
        <w:spacing w:before="0" w:beforeLines="0" w:after="0" w:afterLines="0"/>
        <w:ind w:left="0"/>
        <w:outlineLvl w:val="9"/>
        <w:rPr>
          <w:rFonts w:asciiTheme="minorEastAsia" w:hAnsiTheme="minorEastAsia" w:eastAsiaTheme="minorEastAsia"/>
        </w:rPr>
      </w:pPr>
      <w:r>
        <w:rPr>
          <w:rFonts w:hint="eastAsia" w:asciiTheme="minorEastAsia" w:hAnsiTheme="minorEastAsia" w:eastAsiaTheme="minorEastAsia"/>
        </w:rPr>
        <w:t>保留投入品采购票据，采购数量较大时宜签订采购协议，收集保存生产许可证复印件、标签和本批次检测报告、质量检验合格证等相关资料。</w:t>
      </w:r>
    </w:p>
    <w:p>
      <w:pPr>
        <w:pStyle w:val="106"/>
        <w:spacing w:before="120" w:after="120"/>
        <w:ind w:left="0"/>
      </w:pPr>
      <w:bookmarkStart w:id="32" w:name="_Toc16016"/>
      <w:bookmarkStart w:id="33" w:name="_Toc103852319"/>
      <w:r>
        <w:rPr>
          <w:rFonts w:hint="eastAsia"/>
        </w:rPr>
        <w:t>种类要求</w:t>
      </w:r>
      <w:bookmarkEnd w:id="32"/>
      <w:bookmarkEnd w:id="33"/>
    </w:p>
    <w:p>
      <w:pPr>
        <w:pStyle w:val="66"/>
        <w:spacing w:before="120" w:after="120"/>
        <w:ind w:left="0"/>
      </w:pPr>
      <w:r>
        <w:rPr>
          <w:rFonts w:hint="eastAsia"/>
        </w:rPr>
        <w:t>肥料</w:t>
      </w:r>
    </w:p>
    <w:p>
      <w:pPr>
        <w:pStyle w:val="57"/>
        <w:ind w:firstLine="420"/>
      </w:pPr>
      <w:r>
        <w:rPr>
          <w:rFonts w:hint="eastAsia"/>
        </w:rPr>
        <w:t>肥料采购种类应符合NY/T 394规定的肥料清单。</w:t>
      </w:r>
    </w:p>
    <w:p>
      <w:pPr>
        <w:pStyle w:val="66"/>
        <w:spacing w:before="120" w:after="120"/>
        <w:ind w:left="0"/>
      </w:pPr>
      <w:r>
        <w:rPr>
          <w:rFonts w:hint="eastAsia"/>
        </w:rPr>
        <w:t>农药</w:t>
      </w:r>
    </w:p>
    <w:p>
      <w:pPr>
        <w:pStyle w:val="57"/>
        <w:ind w:firstLine="420"/>
      </w:pPr>
      <w:r>
        <w:rPr>
          <w:rFonts w:hint="eastAsia"/>
        </w:rPr>
        <w:t>农药采购种类应符合NY/T 393规定的农药清单，不应采购剧毒、高毒（含砷酸盐）、高残留（含丙溴磷）农药以及最新发布的《蒲江县食用农产品生产环节禁用投入品名录》规定的农药种类，不应采购对人类健康安全和柑橘品质有影响的农药。</w:t>
      </w:r>
    </w:p>
    <w:p>
      <w:pPr>
        <w:pStyle w:val="66"/>
        <w:spacing w:before="120" w:after="120"/>
        <w:ind w:left="0"/>
      </w:pPr>
      <w:r>
        <w:rPr>
          <w:rFonts w:hint="eastAsia"/>
        </w:rPr>
        <w:t>果袋</w:t>
      </w:r>
    </w:p>
    <w:p>
      <w:pPr>
        <w:pStyle w:val="57"/>
        <w:ind w:firstLine="420"/>
      </w:pPr>
      <w:r>
        <w:rPr>
          <w:rFonts w:hint="eastAsia"/>
        </w:rPr>
        <w:t>育果袋纸要求应符合GB/T 19341的规定。应根据生产面积和产量，选择白色半透明木浆纸袋，果袋规格与果实大小相适应。</w:t>
      </w:r>
    </w:p>
    <w:p>
      <w:pPr>
        <w:pStyle w:val="66"/>
        <w:spacing w:before="120" w:after="120"/>
        <w:ind w:left="0"/>
      </w:pPr>
      <w:r>
        <w:rPr>
          <w:rFonts w:hint="eastAsia"/>
        </w:rPr>
        <w:t>棚膜</w:t>
      </w:r>
    </w:p>
    <w:p>
      <w:pPr>
        <w:pStyle w:val="57"/>
        <w:ind w:firstLine="420"/>
      </w:pPr>
      <w:r>
        <w:rPr>
          <w:rFonts w:hint="eastAsia"/>
        </w:rPr>
        <w:t>棚膜各项性能指标要求应符合GB/T 4455规定，不应采购易对环境造成污染的超薄、不易降解的产品。</w:t>
      </w:r>
    </w:p>
    <w:p>
      <w:pPr>
        <w:pStyle w:val="66"/>
        <w:spacing w:before="120" w:after="120"/>
        <w:ind w:left="0"/>
      </w:pPr>
      <w:r>
        <w:rPr>
          <w:rFonts w:hint="eastAsia"/>
        </w:rPr>
        <w:t>其他投入品</w:t>
      </w:r>
    </w:p>
    <w:p>
      <w:pPr>
        <w:pStyle w:val="57"/>
        <w:ind w:firstLine="420"/>
      </w:pPr>
      <w:r>
        <w:rPr>
          <w:rFonts w:hint="eastAsia"/>
        </w:rPr>
        <w:t>微耕机、割草机、剪枝器等农用机械设备采购应符合相关规定，宜采购杀虫灯、黄板、诱蝇球、潜叶蛾诱捕器等绿色防控物资。</w:t>
      </w:r>
    </w:p>
    <w:p>
      <w:pPr>
        <w:pStyle w:val="105"/>
        <w:spacing w:before="240" w:after="240"/>
        <w:rPr>
          <w:szCs w:val="21"/>
        </w:rPr>
      </w:pPr>
      <w:bookmarkStart w:id="34" w:name="_Toc103852320"/>
      <w:r>
        <w:rPr>
          <w:rFonts w:hint="eastAsia"/>
          <w:szCs w:val="21"/>
        </w:rPr>
        <w:t>贮存管理</w:t>
      </w:r>
      <w:bookmarkEnd w:id="34"/>
    </w:p>
    <w:p>
      <w:pPr>
        <w:pStyle w:val="106"/>
        <w:spacing w:before="120" w:after="120"/>
        <w:ind w:left="0"/>
      </w:pPr>
      <w:bookmarkStart w:id="35" w:name="_Toc103852321"/>
      <w:r>
        <w:rPr>
          <w:rFonts w:hint="eastAsia"/>
        </w:rPr>
        <w:t>基本要求</w:t>
      </w:r>
      <w:bookmarkEnd w:id="35"/>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遵循“安全第一”的原则和监督原则。</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设置专用的独立库房，根据各投入品的数量、形状等特点合理规划库房，投入品分类分区贮存，设置醒目的标志。</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库房保持良好的通风，做好防鼠、防虫、防潮等措施。</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库房应严禁烟火和明火作业，配备相应消防器材，管理人员应掌握必要的消防知识。</w:t>
      </w:r>
    </w:p>
    <w:p>
      <w:pPr>
        <w:pStyle w:val="106"/>
        <w:spacing w:before="120" w:after="120"/>
        <w:ind w:left="0"/>
      </w:pPr>
      <w:bookmarkStart w:id="36" w:name="_Toc103852322"/>
      <w:r>
        <w:rPr>
          <w:rFonts w:hint="eastAsia"/>
        </w:rPr>
        <w:t>肥料</w:t>
      </w:r>
      <w:bookmarkEnd w:id="36"/>
    </w:p>
    <w:p>
      <w:pPr>
        <w:pStyle w:val="239"/>
        <w:ind w:firstLine="420" w:firstLineChars="200"/>
        <w:outlineLvl w:val="9"/>
      </w:pPr>
      <w:r>
        <w:rPr>
          <w:rFonts w:hint="eastAsia"/>
        </w:rPr>
        <w:t>应存放在低温、干燥、避光和清洁的环境条件下，根据肥料产品规定的有效期推陈贮新。</w:t>
      </w:r>
    </w:p>
    <w:p>
      <w:pPr>
        <w:pStyle w:val="106"/>
        <w:spacing w:before="120" w:after="120"/>
        <w:ind w:left="0"/>
      </w:pPr>
      <w:bookmarkStart w:id="37" w:name="_Toc103852323"/>
      <w:r>
        <w:rPr>
          <w:rFonts w:hint="eastAsia"/>
        </w:rPr>
        <w:t>农药</w:t>
      </w:r>
      <w:bookmarkEnd w:id="37"/>
    </w:p>
    <w:p>
      <w:pPr>
        <w:pStyle w:val="239"/>
        <w:ind w:firstLine="420" w:firstLineChars="200"/>
        <w:outlineLvl w:val="9"/>
      </w:pPr>
      <w:r>
        <w:t>易燃</w:t>
      </w:r>
      <w:r>
        <w:rPr>
          <w:rFonts w:hint="eastAsia"/>
        </w:rPr>
        <w:t>、</w:t>
      </w:r>
      <w:r>
        <w:t>易爆</w:t>
      </w:r>
      <w:r>
        <w:rPr>
          <w:rFonts w:hint="eastAsia"/>
        </w:rPr>
        <w:t>、</w:t>
      </w:r>
      <w:r>
        <w:t>有腐蚀性的农药</w:t>
      </w:r>
      <w:r>
        <w:rPr>
          <w:rFonts w:hint="eastAsia"/>
        </w:rPr>
        <w:t>，</w:t>
      </w:r>
      <w:r>
        <w:t>应单独</w:t>
      </w:r>
      <w:r>
        <w:rPr>
          <w:rFonts w:hint="eastAsia"/>
        </w:rPr>
        <w:t>放在</w:t>
      </w:r>
      <w:r>
        <w:t>低温处或专库内加锁</w:t>
      </w:r>
      <w:r>
        <w:rPr>
          <w:rFonts w:hint="eastAsia"/>
        </w:rPr>
        <w:t>，不应</w:t>
      </w:r>
      <w:r>
        <w:t>与其它农药混合存放</w:t>
      </w:r>
      <w:r>
        <w:rPr>
          <w:rFonts w:hint="eastAsia"/>
        </w:rPr>
        <w:t>。</w:t>
      </w:r>
    </w:p>
    <w:p>
      <w:pPr>
        <w:pStyle w:val="106"/>
        <w:spacing w:before="120" w:after="120"/>
        <w:ind w:left="0"/>
      </w:pPr>
      <w:bookmarkStart w:id="38" w:name="_Toc103852324"/>
      <w:r>
        <w:rPr>
          <w:rFonts w:hint="eastAsia"/>
        </w:rPr>
        <w:t>果袋</w:t>
      </w:r>
      <w:bookmarkEnd w:id="38"/>
    </w:p>
    <w:p>
      <w:pPr>
        <w:pStyle w:val="239"/>
        <w:ind w:firstLine="420" w:firstLineChars="200"/>
        <w:outlineLvl w:val="9"/>
      </w:pPr>
      <w:r>
        <w:rPr>
          <w:rFonts w:hint="eastAsia"/>
        </w:rPr>
        <w:t>不应直接放在地面，</w:t>
      </w:r>
      <w:r>
        <w:t>防止雨雪及潮气的影响</w:t>
      </w:r>
      <w:r>
        <w:rPr>
          <w:rFonts w:hint="eastAsia"/>
        </w:rPr>
        <w:t>。</w:t>
      </w:r>
    </w:p>
    <w:p>
      <w:pPr>
        <w:pStyle w:val="106"/>
        <w:spacing w:before="120" w:after="120"/>
        <w:ind w:left="0"/>
      </w:pPr>
      <w:r>
        <w:t>棚膜</w:t>
      </w:r>
    </w:p>
    <w:p>
      <w:pPr>
        <w:pStyle w:val="239"/>
        <w:ind w:firstLine="420" w:firstLineChars="200"/>
        <w:outlineLvl w:val="9"/>
      </w:pPr>
      <w:r>
        <w:rPr>
          <w:rFonts w:hint="eastAsia"/>
        </w:rPr>
        <w:t>应放在阴凉、干燥、通风处，宜存放于黑色包装袋中。</w:t>
      </w:r>
    </w:p>
    <w:p>
      <w:pPr>
        <w:pStyle w:val="106"/>
        <w:spacing w:before="120" w:after="120"/>
        <w:ind w:left="0"/>
      </w:pPr>
      <w:bookmarkStart w:id="39" w:name="_Toc103852326"/>
      <w:r>
        <w:t>其它投入品</w:t>
      </w:r>
      <w:bookmarkEnd w:id="39"/>
    </w:p>
    <w:p>
      <w:pPr>
        <w:pStyle w:val="239"/>
        <w:ind w:firstLine="420" w:firstLineChars="200"/>
        <w:outlineLvl w:val="9"/>
      </w:pPr>
      <w:r>
        <w:rPr>
          <w:rFonts w:hint="eastAsia"/>
        </w:rPr>
        <w:t>其它投入品如绿色防控物资等应放在阴凉、干燥、通风处。</w:t>
      </w:r>
    </w:p>
    <w:p>
      <w:pPr>
        <w:pStyle w:val="105"/>
        <w:spacing w:before="240" w:after="240"/>
        <w:rPr>
          <w:szCs w:val="21"/>
        </w:rPr>
      </w:pPr>
      <w:bookmarkStart w:id="40" w:name="_Toc103852327"/>
      <w:r>
        <w:rPr>
          <w:rFonts w:hint="eastAsia"/>
          <w:szCs w:val="21"/>
        </w:rPr>
        <w:t>使用管理</w:t>
      </w:r>
      <w:bookmarkEnd w:id="40"/>
    </w:p>
    <w:p>
      <w:pPr>
        <w:pStyle w:val="106"/>
        <w:spacing w:before="120" w:after="120"/>
        <w:ind w:left="0"/>
      </w:pPr>
      <w:r>
        <w:rPr>
          <w:rFonts w:hint="eastAsia"/>
        </w:rPr>
        <w:t>基本要求</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建立投入品使用过程责任追溯体系和生产档案管理制度，及时记录。</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投入品应由基地技术员统一规划使用和管理，生产者不应私自使用。</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不应使用已过有效期的投入品。</w:t>
      </w:r>
    </w:p>
    <w:p>
      <w:pPr>
        <w:pStyle w:val="106"/>
        <w:spacing w:before="120" w:after="120"/>
        <w:ind w:left="0"/>
      </w:pPr>
      <w:bookmarkStart w:id="41" w:name="_Toc100837040"/>
      <w:bookmarkStart w:id="42" w:name="_Toc103852328"/>
      <w:bookmarkStart w:id="43" w:name="_Toc3151"/>
      <w:r>
        <w:rPr>
          <w:rFonts w:hint="eastAsia"/>
        </w:rPr>
        <w:t>肥料</w:t>
      </w:r>
      <w:bookmarkEnd w:id="41"/>
      <w:bookmarkEnd w:id="42"/>
      <w:bookmarkEnd w:id="43"/>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生产主体应遵循“科学测定，合理施用”的原则，提倡增加有机肥使用量，减少化学肥料使用，提倡测土配方施肥、自然生草+绿肥技术，使用水肥一体化设施。</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肥料使用应符合NY/T 394 、NY/T 496、NY/T 1868的规定，施肥量以及施肥方法应符合</w:t>
      </w:r>
      <w:r>
        <w:rPr>
          <w:rFonts w:asciiTheme="majorEastAsia" w:hAnsiTheme="majorEastAsia" w:eastAsiaTheme="majorEastAsia"/>
        </w:rPr>
        <w:t>T/PUCIA 005</w:t>
      </w:r>
      <w:r>
        <w:rPr>
          <w:rFonts w:hint="eastAsia" w:asciiTheme="majorEastAsia" w:hAnsiTheme="majorEastAsia" w:eastAsiaTheme="majorEastAsia"/>
        </w:rPr>
        <w:t>相关规定。</w:t>
      </w:r>
    </w:p>
    <w:p>
      <w:pPr>
        <w:pStyle w:val="106"/>
        <w:spacing w:before="120" w:after="120"/>
        <w:ind w:left="0"/>
      </w:pPr>
      <w:bookmarkStart w:id="44" w:name="_Toc103852329"/>
      <w:bookmarkStart w:id="45" w:name="_Toc17468"/>
      <w:bookmarkStart w:id="46" w:name="_Toc100837041"/>
      <w:r>
        <w:rPr>
          <w:rFonts w:hint="eastAsia"/>
        </w:rPr>
        <w:t>农药</w:t>
      </w:r>
      <w:bookmarkEnd w:id="44"/>
      <w:bookmarkEnd w:id="45"/>
      <w:bookmarkEnd w:id="46"/>
      <w:r>
        <w:rPr>
          <w:rFonts w:hint="eastAsia"/>
        </w:rPr>
        <w:t xml:space="preserve"> </w:t>
      </w:r>
    </w:p>
    <w:p>
      <w:pPr>
        <w:pStyle w:val="66"/>
        <w:spacing w:before="0" w:beforeLines="0" w:after="0" w:afterLines="0"/>
        <w:ind w:left="0"/>
        <w:outlineLvl w:val="9"/>
        <w:rPr>
          <w:rFonts w:asciiTheme="majorEastAsia" w:hAnsiTheme="majorEastAsia" w:eastAsiaTheme="majorEastAsia"/>
        </w:rPr>
      </w:pPr>
      <w:bookmarkStart w:id="47" w:name="_Toc26653"/>
      <w:bookmarkStart w:id="48" w:name="_Toc100837043"/>
      <w:r>
        <w:rPr>
          <w:rFonts w:hint="eastAsia" w:asciiTheme="majorEastAsia" w:hAnsiTheme="majorEastAsia" w:eastAsiaTheme="majorEastAsia"/>
        </w:rPr>
        <w:t>农药使用前，技术人员应做好安全防护（如：着安全服、戴护目镜等）工作，应根据病虫害防治指标，结合生产基地实际，合理制定农药使用计划，科学确定用药时间、次数。</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农药使用应遵循“预防为主，综合防治”的方针，在优先采用农业防治的基础上，协调运用物理、生物、化学方法来控制病虫害发生。</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农药使用应遵循“对症施药，严控用量”的原则，按照GB/T 8321、NY/T 393、NY/T 1276相关规定执行。</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提倡使用矿物源、植物源、生物农药和天地昆虫，减少使用化学农药，开展柑橘病虫害统防统治和全程绿色防控，提升绿色防控能力。</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剩余农药，应严格密封并存储到库房规定位置，进行统一保存。</w:t>
      </w:r>
    </w:p>
    <w:p>
      <w:pPr>
        <w:pStyle w:val="106"/>
        <w:spacing w:before="120" w:after="120"/>
        <w:ind w:left="0"/>
      </w:pPr>
      <w:bookmarkStart w:id="49" w:name="_Toc103852330"/>
      <w:r>
        <w:rPr>
          <w:rFonts w:hint="eastAsia"/>
        </w:rPr>
        <w:t>果袋</w:t>
      </w:r>
      <w:bookmarkEnd w:id="47"/>
      <w:bookmarkEnd w:id="48"/>
      <w:bookmarkEnd w:id="49"/>
    </w:p>
    <w:p>
      <w:pPr>
        <w:pStyle w:val="57"/>
        <w:ind w:firstLine="420"/>
      </w:pPr>
      <w:r>
        <w:rPr>
          <w:rFonts w:hint="eastAsia"/>
        </w:rPr>
        <w:t>柑橘果袋使用应按照</w:t>
      </w:r>
      <w:r>
        <w:t>T/PUCIA 003</w:t>
      </w:r>
      <w:r>
        <w:rPr>
          <w:rFonts w:hint="eastAsia"/>
        </w:rPr>
        <w:t>的</w:t>
      </w:r>
      <w:r>
        <w:t>规定执行</w:t>
      </w:r>
      <w:r>
        <w:rPr>
          <w:rFonts w:hint="eastAsia"/>
        </w:rPr>
        <w:t>。</w:t>
      </w:r>
    </w:p>
    <w:p>
      <w:pPr>
        <w:pStyle w:val="106"/>
        <w:spacing w:before="120" w:after="120"/>
        <w:ind w:left="0"/>
      </w:pPr>
      <w:r>
        <w:rPr>
          <w:rFonts w:hint="eastAsia"/>
        </w:rPr>
        <w:t>棚膜</w:t>
      </w:r>
    </w:p>
    <w:p>
      <w:pPr>
        <w:pStyle w:val="57"/>
        <w:ind w:firstLine="420"/>
      </w:pPr>
      <w:r>
        <w:t>霜冻前采用</w:t>
      </w:r>
      <w:r>
        <w:rPr>
          <w:rFonts w:hint="eastAsia"/>
        </w:rPr>
        <w:t>棚膜</w:t>
      </w:r>
      <w:r>
        <w:t>覆盖树冠，并保证薄膜与树冠之间保持20</w:t>
      </w:r>
      <w:r>
        <w:rPr>
          <w:rFonts w:hint="eastAsia"/>
        </w:rPr>
        <w:t xml:space="preserve"> </w:t>
      </w:r>
      <w:r>
        <w:t>cm～25</w:t>
      </w:r>
      <w:r>
        <w:rPr>
          <w:rFonts w:hint="eastAsia"/>
        </w:rPr>
        <w:t xml:space="preserve"> </w:t>
      </w:r>
      <w:r>
        <w:t>cm的间隙，同时薄膜底端离地高度宜为45</w:t>
      </w:r>
      <w:r>
        <w:rPr>
          <w:rFonts w:hint="eastAsia"/>
        </w:rPr>
        <w:t xml:space="preserve"> </w:t>
      </w:r>
      <w:r>
        <w:t>cm～60</w:t>
      </w:r>
      <w:r>
        <w:rPr>
          <w:rFonts w:hint="eastAsia"/>
        </w:rPr>
        <w:t xml:space="preserve"> </w:t>
      </w:r>
      <w:r>
        <w:t>cm，确保膜内空气流通且湿度可调。</w:t>
      </w:r>
    </w:p>
    <w:p>
      <w:pPr>
        <w:pStyle w:val="106"/>
        <w:spacing w:before="120" w:after="120"/>
        <w:ind w:left="0"/>
      </w:pPr>
      <w:bookmarkStart w:id="50" w:name="_Toc103852332"/>
      <w:bookmarkStart w:id="51" w:name="_Toc17589"/>
      <w:r>
        <w:rPr>
          <w:rFonts w:hint="eastAsia"/>
        </w:rPr>
        <w:t>其他投入品</w:t>
      </w:r>
      <w:bookmarkEnd w:id="50"/>
      <w:bookmarkEnd w:id="51"/>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农用机械设备应按照相关技术规定经培训合格后安全使用，使用前应对机械设备正常运行情况、零件完整等进行检查，使用后应定期维护和校检。</w:t>
      </w:r>
    </w:p>
    <w:p>
      <w:pPr>
        <w:pStyle w:val="66"/>
        <w:spacing w:before="0" w:beforeLines="0" w:after="0" w:afterLines="0"/>
        <w:ind w:left="0"/>
        <w:outlineLvl w:val="9"/>
        <w:rPr>
          <w:rFonts w:asciiTheme="majorEastAsia" w:hAnsiTheme="majorEastAsia" w:eastAsiaTheme="majorEastAsia"/>
        </w:rPr>
      </w:pPr>
      <w:r>
        <w:rPr>
          <w:rFonts w:hint="eastAsia" w:asciiTheme="majorEastAsia" w:hAnsiTheme="majorEastAsia" w:eastAsiaTheme="majorEastAsia"/>
        </w:rPr>
        <w:t>杀虫灯、黄板、诱蝇球、潜叶蛾诱捕器等绿色防控物资使用应严格按照行业相关规定正确使用。</w:t>
      </w:r>
    </w:p>
    <w:p>
      <w:pPr>
        <w:pStyle w:val="105"/>
        <w:spacing w:before="240" w:after="240"/>
        <w:rPr>
          <w:szCs w:val="21"/>
        </w:rPr>
      </w:pPr>
      <w:bookmarkStart w:id="52" w:name="_Toc103852333"/>
      <w:r>
        <w:rPr>
          <w:rFonts w:hint="eastAsia"/>
          <w:szCs w:val="21"/>
        </w:rPr>
        <w:t>废弃物管理</w:t>
      </w:r>
      <w:bookmarkEnd w:id="52"/>
    </w:p>
    <w:p>
      <w:pPr>
        <w:pStyle w:val="239"/>
        <w:numPr>
          <w:ilvl w:val="2"/>
          <w:numId w:val="2"/>
        </w:numPr>
        <w:ind w:left="0"/>
        <w:outlineLvl w:val="9"/>
      </w:pPr>
      <w:r>
        <w:rPr>
          <w:rFonts w:hint="eastAsia"/>
        </w:rPr>
        <w:t>农药包装废弃物处理按照《农药包装废弃物回收处理管理办法》执行。</w:t>
      </w:r>
    </w:p>
    <w:p>
      <w:pPr>
        <w:pStyle w:val="239"/>
        <w:numPr>
          <w:ilvl w:val="2"/>
          <w:numId w:val="2"/>
        </w:numPr>
        <w:ind w:left="0"/>
        <w:outlineLvl w:val="9"/>
      </w:pPr>
      <w:r>
        <w:rPr>
          <w:rFonts w:hint="eastAsia"/>
        </w:rPr>
        <w:t>农药使用者应及时收集投入品废弃物并交回当地农资经营者或镇、村农资废弃物回收站点。</w:t>
      </w:r>
    </w:p>
    <w:p>
      <w:pPr>
        <w:pStyle w:val="239"/>
        <w:numPr>
          <w:ilvl w:val="2"/>
          <w:numId w:val="2"/>
        </w:numPr>
        <w:ind w:left="0"/>
        <w:outlineLvl w:val="9"/>
      </w:pPr>
      <w:r>
        <w:rPr>
          <w:rFonts w:hint="eastAsia"/>
        </w:rPr>
        <w:t>生产投入品使用者在交回投入品废弃物前，应采取防止污染环境和人员伤害的措施，不应丢弃、遗撒废弃物，运输工具应当满足防雨、防渗漏、防遗撒要求。</w:t>
      </w:r>
    </w:p>
    <w:p>
      <w:pPr>
        <w:pStyle w:val="239"/>
        <w:numPr>
          <w:ilvl w:val="2"/>
          <w:numId w:val="2"/>
        </w:numPr>
        <w:ind w:left="0"/>
        <w:outlineLvl w:val="9"/>
      </w:pPr>
      <w:r>
        <w:rPr>
          <w:rFonts w:hint="eastAsia"/>
        </w:rPr>
        <w:t>技术人员在施用过程中，应通过清洗等方式充分利用包装物中的农药、肥料，减少残留。</w:t>
      </w:r>
    </w:p>
    <w:p>
      <w:pPr>
        <w:pStyle w:val="106"/>
        <w:spacing w:before="0" w:beforeLines="0" w:after="0" w:afterLines="0"/>
        <w:ind w:left="0"/>
      </w:pPr>
      <w:r>
        <w:rPr>
          <w:rFonts w:hint="eastAsia" w:ascii="宋体" w:eastAsia="宋体"/>
          <w:szCs w:val="21"/>
        </w:rPr>
        <w:t>废弃棚膜收集到村回收点、乡镇回收站，再由回收利用企业统一回收。无利用价值的废旧棚膜，由使用者负责归集整理、清运至当地农村生活垃圾回收点，统一清运至农村生活垃圾处置点。</w:t>
      </w:r>
    </w:p>
    <w:p>
      <w:pPr>
        <w:widowControl/>
        <w:adjustRightInd/>
        <w:spacing w:line="240" w:lineRule="auto"/>
        <w:jc w:val="left"/>
        <w:rPr>
          <w:rFonts w:ascii="宋体" w:hAnsi="Times New Roman"/>
          <w:kern w:val="0"/>
          <w:szCs w:val="20"/>
        </w:rPr>
      </w:pPr>
      <w:r>
        <w:br w:type="page"/>
      </w:r>
    </w:p>
    <w:p>
      <w:pPr>
        <w:pStyle w:val="57"/>
        <w:ind w:firstLine="199" w:firstLineChars="95"/>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pPr>
    </w:p>
    <w:p>
      <w:pPr>
        <w:pStyle w:val="57"/>
        <w:ind w:firstLine="0" w:firstLineChars="0"/>
      </w:pPr>
    </w:p>
    <w:p>
      <w:pPr>
        <w:pStyle w:val="237"/>
        <w:numPr>
          <w:ilvl w:val="0"/>
          <w:numId w:val="32"/>
        </w:numPr>
        <w:spacing w:before="120" w:after="240" w:afterLines="100"/>
      </w:pPr>
      <w:r>
        <w:rPr>
          <w:rFonts w:hint="eastAsia"/>
        </w:rPr>
        <w:br w:type="textWrapping"/>
      </w:r>
      <w:bookmarkStart w:id="53" w:name="_Toc103852334"/>
      <w:r>
        <w:rPr>
          <w:rFonts w:hint="eastAsia" w:hAnsi="黑体"/>
        </w:rPr>
        <w:t>（资料性）</w:t>
      </w:r>
      <w:r>
        <w:rPr>
          <w:rFonts w:hint="eastAsia"/>
        </w:rPr>
        <w:br w:type="textWrapping"/>
      </w:r>
      <w:r>
        <w:rPr>
          <w:rFonts w:hint="eastAsia"/>
        </w:rPr>
        <w:t>蒲江柑橘投入品使用管理记录</w:t>
      </w:r>
      <w:bookmarkEnd w:id="53"/>
    </w:p>
    <w:bookmarkEnd w:id="27"/>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A.1 投入品采购记录</w:t>
      </w:r>
    </w:p>
    <w:p>
      <w:pPr>
        <w:pStyle w:val="234"/>
        <w:spacing w:after="120" w:afterLines="50"/>
      </w:pPr>
      <w:r>
        <w:rPr>
          <w:rFonts w:hint="eastAsia"/>
        </w:rPr>
        <w:t>投入品采购记录样表见表A.1所示。</w:t>
      </w:r>
    </w:p>
    <w:p>
      <w:pPr>
        <w:pStyle w:val="57"/>
        <w:spacing w:before="120" w:beforeLines="50" w:after="120" w:afterLines="50"/>
        <w:ind w:firstLine="0" w:firstLineChars="0"/>
        <w:jc w:val="center"/>
        <w:rPr>
          <w:rFonts w:ascii="黑体" w:hAnsi="黑体" w:eastAsia="黑体"/>
          <w:bCs/>
          <w:szCs w:val="21"/>
        </w:rPr>
      </w:pPr>
      <w:r>
        <w:rPr>
          <w:rFonts w:hint="eastAsia" w:ascii="黑体" w:hAnsi="黑体" w:eastAsia="黑体"/>
          <w:bCs/>
          <w:szCs w:val="21"/>
        </w:rPr>
        <w:t>表A.1 投入品采购记录表</w:t>
      </w:r>
    </w:p>
    <w:tbl>
      <w:tblPr>
        <w:tblStyle w:val="27"/>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0"/>
        <w:gridCol w:w="1361"/>
        <w:gridCol w:w="1235"/>
        <w:gridCol w:w="1235"/>
        <w:gridCol w:w="1233"/>
        <w:gridCol w:w="1235"/>
        <w:gridCol w:w="1235"/>
        <w:gridCol w:w="10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2" w:type="pct"/>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宋体" w:hAnsi="宋体"/>
                <w:bCs/>
                <w:sz w:val="18"/>
                <w:szCs w:val="22"/>
              </w:rPr>
            </w:pPr>
            <w:r>
              <w:rPr>
                <w:rFonts w:hint="eastAsia" w:ascii="宋体" w:hAnsi="宋体"/>
                <w:bCs/>
                <w:sz w:val="18"/>
                <w:szCs w:val="22"/>
              </w:rPr>
              <w:t>名称</w:t>
            </w:r>
          </w:p>
        </w:tc>
        <w:tc>
          <w:tcPr>
            <w:tcW w:w="711" w:type="pct"/>
            <w:tcBorders>
              <w:top w:val="single" w:color="auto" w:sz="12" w:space="0"/>
              <w:left w:val="single" w:color="auto" w:sz="4" w:space="0"/>
              <w:bottom w:val="single" w:color="auto" w:sz="12" w:space="0"/>
              <w:right w:val="single" w:color="auto" w:sz="4" w:space="0"/>
            </w:tcBorders>
            <w:shd w:val="clear" w:color="auto" w:fill="auto"/>
            <w:vAlign w:val="center"/>
          </w:tcPr>
          <w:p>
            <w:pPr>
              <w:jc w:val="center"/>
              <w:rPr>
                <w:rFonts w:ascii="宋体" w:hAnsi="宋体"/>
                <w:bCs/>
                <w:sz w:val="18"/>
                <w:szCs w:val="22"/>
              </w:rPr>
            </w:pPr>
            <w:r>
              <w:rPr>
                <w:rFonts w:hint="eastAsia" w:ascii="宋体" w:hAnsi="宋体"/>
                <w:bCs/>
                <w:sz w:val="18"/>
                <w:szCs w:val="22"/>
              </w:rPr>
              <w:t>生产企业</w:t>
            </w:r>
          </w:p>
        </w:tc>
        <w:tc>
          <w:tcPr>
            <w:tcW w:w="645" w:type="pct"/>
            <w:tcBorders>
              <w:top w:val="single" w:color="auto" w:sz="12" w:space="0"/>
              <w:left w:val="single" w:color="auto" w:sz="4" w:space="0"/>
              <w:bottom w:val="single" w:color="auto" w:sz="12" w:space="0"/>
              <w:right w:val="single" w:color="auto" w:sz="4" w:space="0"/>
            </w:tcBorders>
            <w:vAlign w:val="center"/>
          </w:tcPr>
          <w:p>
            <w:pPr>
              <w:jc w:val="center"/>
              <w:rPr>
                <w:rFonts w:ascii="宋体" w:hAnsi="宋体"/>
                <w:bCs/>
                <w:sz w:val="18"/>
                <w:szCs w:val="22"/>
              </w:rPr>
            </w:pPr>
            <w:r>
              <w:rPr>
                <w:rFonts w:hint="eastAsia" w:ascii="宋体" w:hAnsi="宋体"/>
                <w:bCs/>
                <w:sz w:val="18"/>
                <w:szCs w:val="22"/>
              </w:rPr>
              <w:t>登记证</w:t>
            </w:r>
          </w:p>
        </w:tc>
        <w:tc>
          <w:tcPr>
            <w:tcW w:w="645" w:type="pct"/>
            <w:tcBorders>
              <w:top w:val="single" w:color="auto" w:sz="12" w:space="0"/>
              <w:left w:val="single" w:color="auto" w:sz="4" w:space="0"/>
              <w:bottom w:val="single" w:color="auto" w:sz="12" w:space="0"/>
              <w:right w:val="single" w:color="auto" w:sz="4" w:space="0"/>
            </w:tcBorders>
            <w:shd w:val="clear" w:color="auto" w:fill="auto"/>
            <w:vAlign w:val="center"/>
          </w:tcPr>
          <w:p>
            <w:pPr>
              <w:jc w:val="center"/>
              <w:rPr>
                <w:rFonts w:ascii="宋体" w:hAnsi="宋体"/>
                <w:bCs/>
                <w:sz w:val="18"/>
                <w:szCs w:val="22"/>
              </w:rPr>
            </w:pPr>
            <w:r>
              <w:rPr>
                <w:rFonts w:hint="eastAsia" w:ascii="宋体" w:hAnsi="宋体"/>
                <w:bCs/>
                <w:sz w:val="18"/>
                <w:szCs w:val="22"/>
              </w:rPr>
              <w:t>供应商</w:t>
            </w:r>
          </w:p>
        </w:tc>
        <w:tc>
          <w:tcPr>
            <w:tcW w:w="644" w:type="pct"/>
            <w:tcBorders>
              <w:top w:val="single" w:color="auto" w:sz="12" w:space="0"/>
              <w:left w:val="single" w:color="auto" w:sz="4" w:space="0"/>
              <w:bottom w:val="single" w:color="auto" w:sz="12" w:space="0"/>
              <w:right w:val="single" w:color="auto" w:sz="4" w:space="0"/>
            </w:tcBorders>
            <w:shd w:val="clear" w:color="auto" w:fill="auto"/>
            <w:vAlign w:val="center"/>
          </w:tcPr>
          <w:p>
            <w:pPr>
              <w:jc w:val="center"/>
              <w:rPr>
                <w:rFonts w:ascii="宋体" w:hAnsi="宋体"/>
                <w:bCs/>
                <w:sz w:val="18"/>
                <w:szCs w:val="22"/>
              </w:rPr>
            </w:pPr>
            <w:r>
              <w:rPr>
                <w:rFonts w:hint="eastAsia" w:ascii="宋体" w:hAnsi="宋体"/>
                <w:bCs/>
                <w:sz w:val="18"/>
                <w:szCs w:val="22"/>
              </w:rPr>
              <w:t>购买日期</w:t>
            </w:r>
          </w:p>
        </w:tc>
        <w:tc>
          <w:tcPr>
            <w:tcW w:w="645" w:type="pct"/>
            <w:tcBorders>
              <w:top w:val="single" w:color="auto" w:sz="12" w:space="0"/>
              <w:left w:val="single" w:color="auto" w:sz="4" w:space="0"/>
              <w:bottom w:val="single" w:color="auto" w:sz="12" w:space="0"/>
              <w:right w:val="single" w:color="auto" w:sz="4" w:space="0"/>
            </w:tcBorders>
            <w:vAlign w:val="center"/>
          </w:tcPr>
          <w:p>
            <w:pPr>
              <w:jc w:val="center"/>
              <w:rPr>
                <w:rFonts w:ascii="宋体" w:hAnsi="宋体"/>
                <w:bCs/>
                <w:spacing w:val="-6"/>
                <w:sz w:val="18"/>
                <w:szCs w:val="22"/>
              </w:rPr>
            </w:pPr>
            <w:r>
              <w:rPr>
                <w:rFonts w:hint="eastAsia" w:ascii="宋体" w:hAnsi="宋体"/>
                <w:bCs/>
                <w:spacing w:val="-6"/>
                <w:sz w:val="18"/>
                <w:szCs w:val="22"/>
              </w:rPr>
              <w:t>保质期</w:t>
            </w:r>
          </w:p>
        </w:tc>
        <w:tc>
          <w:tcPr>
            <w:tcW w:w="645" w:type="pct"/>
            <w:tcBorders>
              <w:top w:val="single" w:color="auto" w:sz="12" w:space="0"/>
              <w:left w:val="single" w:color="auto" w:sz="4" w:space="0"/>
              <w:bottom w:val="single" w:color="auto" w:sz="12" w:space="0"/>
              <w:right w:val="single" w:color="auto" w:sz="4" w:space="0"/>
            </w:tcBorders>
            <w:shd w:val="clear" w:color="auto" w:fill="auto"/>
            <w:vAlign w:val="center"/>
          </w:tcPr>
          <w:p>
            <w:pPr>
              <w:jc w:val="center"/>
              <w:rPr>
                <w:rFonts w:ascii="宋体" w:hAnsi="宋体"/>
                <w:bCs/>
                <w:spacing w:val="-6"/>
                <w:sz w:val="18"/>
                <w:szCs w:val="22"/>
              </w:rPr>
            </w:pPr>
            <w:r>
              <w:rPr>
                <w:rFonts w:hint="eastAsia" w:ascii="宋体" w:hAnsi="宋体"/>
                <w:bCs/>
                <w:spacing w:val="-6"/>
                <w:sz w:val="18"/>
                <w:szCs w:val="22"/>
              </w:rPr>
              <w:t>购买数量</w:t>
            </w:r>
          </w:p>
        </w:tc>
        <w:tc>
          <w:tcPr>
            <w:tcW w:w="562" w:type="pct"/>
            <w:tcBorders>
              <w:top w:val="single" w:color="auto" w:sz="12" w:space="0"/>
              <w:left w:val="single" w:color="auto" w:sz="4" w:space="0"/>
              <w:bottom w:val="single" w:color="auto" w:sz="12" w:space="0"/>
              <w:right w:val="single" w:color="auto" w:sz="12" w:space="0"/>
            </w:tcBorders>
            <w:shd w:val="clear" w:color="auto" w:fill="auto"/>
            <w:vAlign w:val="center"/>
          </w:tcPr>
          <w:p>
            <w:pPr>
              <w:jc w:val="center"/>
              <w:rPr>
                <w:rFonts w:ascii="宋体" w:hAnsi="宋体"/>
                <w:bCs/>
                <w:sz w:val="18"/>
                <w:szCs w:val="22"/>
              </w:rPr>
            </w:pPr>
            <w:r>
              <w:rPr>
                <w:rFonts w:hint="eastAsia" w:ascii="宋体" w:hAnsi="宋体"/>
                <w:bCs/>
                <w:sz w:val="18"/>
                <w:szCs w:val="22"/>
              </w:rPr>
              <w:t>购买签字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4"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4"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4"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6"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02" w:type="pct"/>
            <w:tcBorders>
              <w:top w:val="single" w:color="auto" w:sz="6" w:space="0"/>
              <w:bottom w:val="single" w:color="auto" w:sz="12"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711"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12" w:space="0"/>
              <w:right w:val="single" w:color="auto" w:sz="6" w:space="0"/>
            </w:tcBorders>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4"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12" w:space="0"/>
              <w:right w:val="single" w:color="auto" w:sz="6" w:space="0"/>
            </w:tcBorders>
          </w:tcPr>
          <w:p>
            <w:pPr>
              <w:spacing w:line="240" w:lineRule="atLeast"/>
              <w:jc w:val="center"/>
              <w:rPr>
                <w:rFonts w:ascii="宋体" w:hAnsi="宋体"/>
                <w:bCs/>
                <w:sz w:val="28"/>
                <w:szCs w:val="28"/>
              </w:rPr>
            </w:pPr>
          </w:p>
        </w:tc>
        <w:tc>
          <w:tcPr>
            <w:tcW w:w="645"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tLeast"/>
              <w:jc w:val="center"/>
              <w:rPr>
                <w:rFonts w:ascii="宋体" w:hAnsi="宋体"/>
                <w:bCs/>
                <w:sz w:val="28"/>
                <w:szCs w:val="28"/>
              </w:rPr>
            </w:pPr>
          </w:p>
        </w:tc>
        <w:tc>
          <w:tcPr>
            <w:tcW w:w="562" w:type="pct"/>
            <w:tcBorders>
              <w:top w:val="single" w:color="auto" w:sz="6" w:space="0"/>
              <w:left w:val="single" w:color="auto" w:sz="6" w:space="0"/>
              <w:bottom w:val="single" w:color="auto" w:sz="12" w:space="0"/>
            </w:tcBorders>
            <w:shd w:val="clear" w:color="auto" w:fill="auto"/>
            <w:vAlign w:val="center"/>
          </w:tcPr>
          <w:p>
            <w:pPr>
              <w:spacing w:line="240" w:lineRule="atLeast"/>
              <w:jc w:val="center"/>
              <w:rPr>
                <w:rFonts w:ascii="宋体" w:hAnsi="宋体"/>
                <w:bCs/>
                <w:sz w:val="28"/>
                <w:szCs w:val="28"/>
              </w:rPr>
            </w:pPr>
          </w:p>
        </w:tc>
      </w:tr>
    </w:tbl>
    <w:p>
      <w:pPr>
        <w:pStyle w:val="232"/>
        <w:widowControl/>
        <w:adjustRightInd/>
        <w:spacing w:line="240" w:lineRule="auto"/>
        <w:ind w:firstLine="0" w:firstLineChars="0"/>
        <w:jc w:val="left"/>
        <w:rPr>
          <w:rFonts w:ascii="黑体" w:hAnsi="黑体" w:eastAsia="黑体"/>
          <w:bCs/>
          <w:kern w:val="0"/>
        </w:rPr>
      </w:pPr>
    </w:p>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A.2 投入品使用情况记录</w:t>
      </w:r>
    </w:p>
    <w:p>
      <w:pPr>
        <w:pStyle w:val="234"/>
        <w:spacing w:after="120" w:afterLines="50"/>
      </w:pPr>
      <w:r>
        <w:rPr>
          <w:rFonts w:hint="eastAsia"/>
        </w:rPr>
        <w:t>投入品使用情况记录样表见表A.2所示。</w:t>
      </w:r>
    </w:p>
    <w:p>
      <w:pPr>
        <w:pStyle w:val="57"/>
        <w:spacing w:before="120" w:beforeLines="50" w:after="120" w:afterLines="50"/>
        <w:ind w:firstLine="0" w:firstLineChars="0"/>
        <w:jc w:val="center"/>
        <w:rPr>
          <w:rFonts w:ascii="黑体" w:hAnsi="黑体" w:eastAsia="黑体"/>
          <w:bCs/>
        </w:rPr>
      </w:pPr>
      <w:r>
        <w:rPr>
          <w:rFonts w:hint="eastAsia" w:ascii="黑体" w:hAnsi="黑体" w:eastAsia="黑体"/>
          <w:bCs/>
          <w:szCs w:val="21"/>
        </w:rPr>
        <w:t>表A.2 投入品使用情况记录表</w:t>
      </w:r>
    </w:p>
    <w:tbl>
      <w:tblPr>
        <w:tblStyle w:val="27"/>
        <w:tblW w:w="52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133"/>
        <w:gridCol w:w="1556"/>
        <w:gridCol w:w="2023"/>
        <w:gridCol w:w="967"/>
        <w:gridCol w:w="997"/>
        <w:gridCol w:w="1129"/>
        <w:gridCol w:w="1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41" w:type="pct"/>
            <w:tcBorders>
              <w:top w:val="single" w:color="auto" w:sz="12" w:space="0"/>
              <w:bottom w:val="single" w:color="auto" w:sz="12" w:space="0"/>
            </w:tcBorders>
            <w:shd w:val="clear" w:color="auto" w:fill="auto"/>
            <w:vAlign w:val="center"/>
          </w:tcPr>
          <w:p>
            <w:pPr>
              <w:jc w:val="center"/>
              <w:rPr>
                <w:rFonts w:ascii="宋体" w:hAnsi="宋体"/>
                <w:bCs/>
                <w:sz w:val="18"/>
                <w:szCs w:val="18"/>
              </w:rPr>
            </w:pPr>
            <w:r>
              <w:rPr>
                <w:rFonts w:hint="eastAsia" w:ascii="宋体" w:hAnsi="宋体"/>
                <w:bCs/>
                <w:sz w:val="18"/>
                <w:szCs w:val="18"/>
              </w:rPr>
              <w:t>名称</w:t>
            </w:r>
          </w:p>
        </w:tc>
        <w:tc>
          <w:tcPr>
            <w:tcW w:w="565" w:type="pct"/>
            <w:tcBorders>
              <w:top w:val="single" w:color="auto" w:sz="12" w:space="0"/>
              <w:bottom w:val="single" w:color="auto" w:sz="12" w:space="0"/>
            </w:tcBorders>
            <w:shd w:val="clear" w:color="auto" w:fill="auto"/>
            <w:vAlign w:val="center"/>
          </w:tcPr>
          <w:p>
            <w:pPr>
              <w:jc w:val="center"/>
              <w:rPr>
                <w:rFonts w:ascii="宋体" w:hAnsi="宋体"/>
                <w:bCs/>
                <w:sz w:val="18"/>
                <w:szCs w:val="18"/>
              </w:rPr>
            </w:pPr>
            <w:r>
              <w:rPr>
                <w:rFonts w:ascii="宋体" w:hAnsi="宋体"/>
                <w:bCs/>
                <w:sz w:val="18"/>
                <w:szCs w:val="18"/>
              </w:rPr>
              <w:t>用途</w:t>
            </w:r>
          </w:p>
        </w:tc>
        <w:tc>
          <w:tcPr>
            <w:tcW w:w="776" w:type="pct"/>
            <w:tcBorders>
              <w:top w:val="single" w:color="auto" w:sz="12" w:space="0"/>
              <w:bottom w:val="single" w:color="auto" w:sz="12" w:space="0"/>
            </w:tcBorders>
            <w:vAlign w:val="center"/>
          </w:tcPr>
          <w:p>
            <w:pPr>
              <w:jc w:val="center"/>
              <w:rPr>
                <w:rFonts w:ascii="宋体" w:hAnsi="宋体"/>
                <w:bCs/>
                <w:sz w:val="18"/>
                <w:szCs w:val="18"/>
              </w:rPr>
            </w:pPr>
            <w:r>
              <w:rPr>
                <w:rFonts w:ascii="宋体" w:hAnsi="宋体"/>
                <w:bCs/>
                <w:sz w:val="18"/>
                <w:szCs w:val="18"/>
              </w:rPr>
              <w:t>使用对象</w:t>
            </w:r>
          </w:p>
        </w:tc>
        <w:tc>
          <w:tcPr>
            <w:tcW w:w="1009" w:type="pct"/>
            <w:tcBorders>
              <w:top w:val="single" w:color="auto" w:sz="12" w:space="0"/>
              <w:bottom w:val="single" w:color="auto" w:sz="12" w:space="0"/>
            </w:tcBorders>
            <w:shd w:val="clear" w:color="auto" w:fill="auto"/>
            <w:vAlign w:val="center"/>
          </w:tcPr>
          <w:p>
            <w:pPr>
              <w:jc w:val="center"/>
              <w:rPr>
                <w:rFonts w:ascii="宋体" w:hAnsi="宋体"/>
                <w:bCs/>
                <w:sz w:val="18"/>
                <w:szCs w:val="18"/>
              </w:rPr>
            </w:pPr>
            <w:r>
              <w:rPr>
                <w:rFonts w:hint="eastAsia" w:ascii="宋体" w:hAnsi="宋体"/>
                <w:bCs/>
                <w:sz w:val="18"/>
                <w:szCs w:val="18"/>
              </w:rPr>
              <w:t>用量/数量/次数（设备）</w:t>
            </w:r>
          </w:p>
        </w:tc>
        <w:tc>
          <w:tcPr>
            <w:tcW w:w="482" w:type="pct"/>
            <w:tcBorders>
              <w:top w:val="single" w:color="auto" w:sz="12" w:space="0"/>
              <w:bottom w:val="single" w:color="auto" w:sz="12" w:space="0"/>
            </w:tcBorders>
            <w:shd w:val="clear" w:color="auto" w:fill="auto"/>
            <w:vAlign w:val="center"/>
          </w:tcPr>
          <w:p>
            <w:pPr>
              <w:jc w:val="center"/>
              <w:rPr>
                <w:rFonts w:ascii="宋体" w:hAnsi="宋体"/>
                <w:bCs/>
                <w:sz w:val="18"/>
                <w:szCs w:val="18"/>
              </w:rPr>
            </w:pPr>
            <w:r>
              <w:rPr>
                <w:rFonts w:hint="eastAsia" w:ascii="宋体" w:hAnsi="宋体"/>
                <w:bCs/>
                <w:sz w:val="18"/>
                <w:szCs w:val="18"/>
              </w:rPr>
              <w:t>使用方法</w:t>
            </w:r>
          </w:p>
        </w:tc>
        <w:tc>
          <w:tcPr>
            <w:tcW w:w="497" w:type="pct"/>
            <w:tcBorders>
              <w:top w:val="single" w:color="auto" w:sz="12" w:space="0"/>
              <w:bottom w:val="single" w:color="auto" w:sz="12" w:space="0"/>
            </w:tcBorders>
            <w:vAlign w:val="center"/>
          </w:tcPr>
          <w:p>
            <w:pPr>
              <w:jc w:val="center"/>
              <w:rPr>
                <w:rFonts w:ascii="宋体" w:hAnsi="宋体"/>
                <w:bCs/>
                <w:sz w:val="18"/>
                <w:szCs w:val="18"/>
              </w:rPr>
            </w:pPr>
            <w:r>
              <w:rPr>
                <w:rFonts w:hint="eastAsia" w:ascii="宋体" w:hAnsi="宋体"/>
                <w:bCs/>
                <w:sz w:val="18"/>
                <w:szCs w:val="18"/>
              </w:rPr>
              <w:t>使用日期</w:t>
            </w:r>
          </w:p>
        </w:tc>
        <w:tc>
          <w:tcPr>
            <w:tcW w:w="563" w:type="pct"/>
            <w:tcBorders>
              <w:top w:val="single" w:color="auto" w:sz="12" w:space="0"/>
              <w:bottom w:val="single" w:color="auto" w:sz="12" w:space="0"/>
            </w:tcBorders>
            <w:vAlign w:val="center"/>
          </w:tcPr>
          <w:p>
            <w:pPr>
              <w:jc w:val="center"/>
              <w:rPr>
                <w:rFonts w:ascii="宋体" w:hAnsi="宋体"/>
                <w:bCs/>
                <w:sz w:val="18"/>
                <w:szCs w:val="18"/>
              </w:rPr>
            </w:pPr>
            <w:r>
              <w:rPr>
                <w:rFonts w:hint="eastAsia" w:ascii="宋体" w:hAnsi="宋体"/>
                <w:bCs/>
                <w:sz w:val="18"/>
                <w:szCs w:val="18"/>
              </w:rPr>
              <w:t>使用人签字</w:t>
            </w:r>
          </w:p>
        </w:tc>
        <w:tc>
          <w:tcPr>
            <w:tcW w:w="565" w:type="pct"/>
            <w:tcBorders>
              <w:top w:val="single" w:color="auto" w:sz="12" w:space="0"/>
              <w:bottom w:val="single" w:color="auto" w:sz="12" w:space="0"/>
            </w:tcBorders>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tcBorders>
              <w:top w:val="single" w:color="auto" w:sz="12" w:space="0"/>
            </w:tcBorders>
            <w:shd w:val="clear" w:color="auto" w:fill="auto"/>
            <w:vAlign w:val="center"/>
          </w:tcPr>
          <w:p>
            <w:pPr>
              <w:spacing w:line="240" w:lineRule="atLeast"/>
              <w:jc w:val="center"/>
              <w:rPr>
                <w:rFonts w:ascii="宋体" w:hAnsi="宋体"/>
                <w:bCs/>
                <w:sz w:val="28"/>
                <w:szCs w:val="28"/>
              </w:rPr>
            </w:pPr>
          </w:p>
        </w:tc>
        <w:tc>
          <w:tcPr>
            <w:tcW w:w="565" w:type="pct"/>
            <w:tcBorders>
              <w:top w:val="single" w:color="auto" w:sz="12" w:space="0"/>
            </w:tcBorders>
            <w:shd w:val="clear" w:color="auto" w:fill="auto"/>
            <w:vAlign w:val="center"/>
          </w:tcPr>
          <w:p>
            <w:pPr>
              <w:spacing w:line="240" w:lineRule="atLeast"/>
              <w:jc w:val="center"/>
              <w:rPr>
                <w:rFonts w:ascii="宋体" w:hAnsi="宋体"/>
                <w:bCs/>
                <w:sz w:val="28"/>
                <w:szCs w:val="28"/>
              </w:rPr>
            </w:pPr>
          </w:p>
        </w:tc>
        <w:tc>
          <w:tcPr>
            <w:tcW w:w="776" w:type="pct"/>
            <w:tcBorders>
              <w:top w:val="single" w:color="auto" w:sz="12" w:space="0"/>
            </w:tcBorders>
            <w:vAlign w:val="center"/>
          </w:tcPr>
          <w:p>
            <w:pPr>
              <w:spacing w:line="240" w:lineRule="atLeast"/>
              <w:jc w:val="center"/>
              <w:rPr>
                <w:rFonts w:ascii="宋体" w:hAnsi="宋体"/>
                <w:bCs/>
                <w:sz w:val="28"/>
                <w:szCs w:val="28"/>
              </w:rPr>
            </w:pPr>
          </w:p>
        </w:tc>
        <w:tc>
          <w:tcPr>
            <w:tcW w:w="1009" w:type="pct"/>
            <w:tcBorders>
              <w:top w:val="single" w:color="auto" w:sz="12" w:space="0"/>
            </w:tcBorders>
            <w:shd w:val="clear" w:color="auto" w:fill="auto"/>
            <w:vAlign w:val="center"/>
          </w:tcPr>
          <w:p>
            <w:pPr>
              <w:spacing w:line="240" w:lineRule="atLeast"/>
              <w:jc w:val="center"/>
              <w:rPr>
                <w:rFonts w:ascii="宋体" w:hAnsi="宋体"/>
                <w:bCs/>
                <w:sz w:val="28"/>
                <w:szCs w:val="28"/>
              </w:rPr>
            </w:pPr>
          </w:p>
        </w:tc>
        <w:tc>
          <w:tcPr>
            <w:tcW w:w="482" w:type="pct"/>
            <w:tcBorders>
              <w:top w:val="single" w:color="auto" w:sz="12" w:space="0"/>
            </w:tcBorders>
            <w:shd w:val="clear" w:color="auto" w:fill="auto"/>
            <w:vAlign w:val="center"/>
          </w:tcPr>
          <w:p>
            <w:pPr>
              <w:spacing w:line="240" w:lineRule="atLeast"/>
              <w:jc w:val="center"/>
              <w:rPr>
                <w:rFonts w:ascii="宋体" w:hAnsi="宋体"/>
                <w:bCs/>
                <w:sz w:val="28"/>
                <w:szCs w:val="28"/>
              </w:rPr>
            </w:pPr>
          </w:p>
        </w:tc>
        <w:tc>
          <w:tcPr>
            <w:tcW w:w="497" w:type="pct"/>
            <w:tcBorders>
              <w:top w:val="single" w:color="auto" w:sz="12" w:space="0"/>
            </w:tcBorders>
            <w:vAlign w:val="center"/>
          </w:tcPr>
          <w:p>
            <w:pPr>
              <w:spacing w:line="240" w:lineRule="atLeast"/>
              <w:jc w:val="center"/>
              <w:rPr>
                <w:rFonts w:ascii="宋体" w:hAnsi="宋体"/>
                <w:bCs/>
                <w:sz w:val="28"/>
                <w:szCs w:val="28"/>
              </w:rPr>
            </w:pPr>
          </w:p>
        </w:tc>
        <w:tc>
          <w:tcPr>
            <w:tcW w:w="563" w:type="pct"/>
            <w:tcBorders>
              <w:top w:val="single" w:color="auto" w:sz="12" w:space="0"/>
            </w:tcBorders>
            <w:vAlign w:val="center"/>
          </w:tcPr>
          <w:p>
            <w:pPr>
              <w:jc w:val="center"/>
              <w:rPr>
                <w:rFonts w:ascii="宋体" w:hAnsi="宋体"/>
                <w:bCs/>
                <w:sz w:val="18"/>
                <w:szCs w:val="18"/>
              </w:rPr>
            </w:pPr>
          </w:p>
        </w:tc>
        <w:tc>
          <w:tcPr>
            <w:tcW w:w="565" w:type="pct"/>
            <w:tcBorders>
              <w:top w:val="single" w:color="auto" w:sz="12" w:space="0"/>
            </w:tcBorders>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1" w:type="pct"/>
            <w:shd w:val="clear" w:color="auto" w:fill="auto"/>
            <w:vAlign w:val="center"/>
          </w:tcPr>
          <w:p>
            <w:pPr>
              <w:spacing w:line="240" w:lineRule="atLeast"/>
              <w:jc w:val="center"/>
              <w:rPr>
                <w:rFonts w:ascii="宋体" w:hAnsi="宋体"/>
                <w:bCs/>
                <w:sz w:val="28"/>
                <w:szCs w:val="28"/>
              </w:rPr>
            </w:pPr>
          </w:p>
        </w:tc>
        <w:tc>
          <w:tcPr>
            <w:tcW w:w="565" w:type="pct"/>
            <w:shd w:val="clear" w:color="auto" w:fill="auto"/>
            <w:vAlign w:val="center"/>
          </w:tcPr>
          <w:p>
            <w:pPr>
              <w:spacing w:line="240" w:lineRule="atLeast"/>
              <w:jc w:val="center"/>
              <w:rPr>
                <w:rFonts w:ascii="宋体" w:hAnsi="宋体"/>
                <w:bCs/>
                <w:sz w:val="28"/>
                <w:szCs w:val="28"/>
              </w:rPr>
            </w:pPr>
          </w:p>
        </w:tc>
        <w:tc>
          <w:tcPr>
            <w:tcW w:w="776" w:type="pct"/>
            <w:vAlign w:val="center"/>
          </w:tcPr>
          <w:p>
            <w:pPr>
              <w:spacing w:line="240" w:lineRule="atLeast"/>
              <w:jc w:val="center"/>
              <w:rPr>
                <w:rFonts w:ascii="宋体" w:hAnsi="宋体"/>
                <w:bCs/>
                <w:sz w:val="28"/>
                <w:szCs w:val="28"/>
              </w:rPr>
            </w:pPr>
          </w:p>
        </w:tc>
        <w:tc>
          <w:tcPr>
            <w:tcW w:w="10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497" w:type="pct"/>
            <w:vAlign w:val="center"/>
          </w:tcPr>
          <w:p>
            <w:pPr>
              <w:spacing w:line="240" w:lineRule="atLeast"/>
              <w:jc w:val="center"/>
              <w:rPr>
                <w:rFonts w:ascii="宋体" w:hAnsi="宋体"/>
                <w:bCs/>
                <w:sz w:val="28"/>
                <w:szCs w:val="28"/>
              </w:rPr>
            </w:pPr>
          </w:p>
        </w:tc>
        <w:tc>
          <w:tcPr>
            <w:tcW w:w="563" w:type="pct"/>
            <w:vAlign w:val="center"/>
          </w:tcPr>
          <w:p>
            <w:pPr>
              <w:jc w:val="center"/>
              <w:rPr>
                <w:rFonts w:ascii="宋体" w:hAnsi="宋体"/>
                <w:bCs/>
                <w:sz w:val="18"/>
                <w:szCs w:val="18"/>
              </w:rPr>
            </w:pPr>
          </w:p>
        </w:tc>
        <w:tc>
          <w:tcPr>
            <w:tcW w:w="565" w:type="pct"/>
          </w:tcPr>
          <w:p>
            <w:pPr>
              <w:jc w:val="center"/>
              <w:rPr>
                <w:rFonts w:ascii="宋体" w:hAnsi="宋体"/>
                <w:bCs/>
                <w:sz w:val="18"/>
                <w:szCs w:val="18"/>
              </w:rPr>
            </w:pPr>
          </w:p>
        </w:tc>
      </w:tr>
    </w:tbl>
    <w:p>
      <w:pPr>
        <w:pStyle w:val="57"/>
        <w:ind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注：农药使用安全间隔期、机械设备维修保养等投入品使用记录应在备注一栏体现。</w:t>
      </w:r>
    </w:p>
    <w:p>
      <w:pPr>
        <w:pStyle w:val="57"/>
        <w:spacing w:before="240" w:beforeLines="100" w:after="240" w:afterLines="100"/>
        <w:ind w:firstLine="0" w:firstLineChars="0"/>
        <w:jc w:val="center"/>
        <w:rPr>
          <w:rFonts w:ascii="黑体" w:hAnsi="黑体" w:eastAsia="黑体"/>
          <w:bCs/>
        </w:rPr>
      </w:pPr>
    </w:p>
    <w:p>
      <w:pPr>
        <w:pStyle w:val="57"/>
        <w:spacing w:before="240" w:beforeLines="100" w:after="240" w:afterLines="100"/>
        <w:ind w:firstLine="0" w:firstLineChars="0"/>
        <w:rPr>
          <w:rFonts w:ascii="黑体" w:hAnsi="黑体" w:eastAsia="黑体"/>
          <w:bCs/>
        </w:rPr>
      </w:pPr>
    </w:p>
    <w:p>
      <w:pPr>
        <w:pStyle w:val="237"/>
        <w:numPr>
          <w:ilvl w:val="0"/>
          <w:numId w:val="0"/>
        </w:numPr>
        <w:spacing w:before="120" w:after="240" w:afterLines="100"/>
      </w:pPr>
      <w:bookmarkStart w:id="54" w:name="_Toc103852335"/>
      <w:r>
        <w:t>参</w:t>
      </w:r>
      <w:r>
        <w:rPr>
          <w:rFonts w:hint="eastAsia"/>
        </w:rPr>
        <w:t xml:space="preserve">  </w:t>
      </w:r>
      <w:r>
        <w:t>考</w:t>
      </w:r>
      <w:r>
        <w:rPr>
          <w:rFonts w:hint="eastAsia"/>
        </w:rPr>
        <w:t xml:space="preserve">  </w:t>
      </w:r>
      <w:r>
        <w:t>文</w:t>
      </w:r>
      <w:r>
        <w:rPr>
          <w:rFonts w:hint="eastAsia"/>
        </w:rPr>
        <w:t xml:space="preserve">  </w:t>
      </w:r>
      <w:r>
        <w:t>献</w:t>
      </w:r>
      <w:bookmarkEnd w:id="54"/>
    </w:p>
    <w:p>
      <w:pPr>
        <w:pStyle w:val="57"/>
        <w:ind w:firstLine="420"/>
      </w:pPr>
      <w:r>
        <w:rPr>
          <w:rFonts w:hint="eastAsia" w:ascii="黑体" w:hAnsi="黑体" w:eastAsia="黑体"/>
        </w:rPr>
        <w:t xml:space="preserve">[1] </w:t>
      </w:r>
      <w:r>
        <w:rPr>
          <w:rFonts w:hint="eastAsia"/>
        </w:rPr>
        <w:t>《农药包装废弃物回收处理管理办法》</w:t>
      </w:r>
    </w:p>
    <w:p>
      <w:pPr>
        <w:pStyle w:val="57"/>
        <w:ind w:firstLine="0" w:firstLineChars="0"/>
        <w:jc w:val="center"/>
      </w:pPr>
    </w:p>
    <w:p>
      <w:pPr>
        <w:pStyle w:val="57"/>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008—2022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008—2022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008—2022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right"/>
    </w:pPr>
    <w:r>
      <w:fldChar w:fldCharType="begin"/>
    </w:r>
    <w:r>
      <w:instrText xml:space="preserve"> STYLEREF  标准文件_文件编号 \* MERGEFORMAT </w:instrText>
    </w:r>
    <w:r>
      <w:fldChar w:fldCharType="separate"/>
    </w:r>
    <w:r>
      <w:t>T/PUCIA 008—2022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008—2022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008—2022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23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2127" w:firstLine="0"/>
      </w:pPr>
      <w:rPr>
        <w:rFonts w:hint="eastAsia" w:ascii="黑体" w:eastAsia="黑体"/>
        <w:b w:val="0"/>
        <w:i w:val="0"/>
        <w:sz w:val="21"/>
      </w:rPr>
    </w:lvl>
    <w:lvl w:ilvl="4" w:tentative="0">
      <w:start w:val="1"/>
      <w:numFmt w:val="decimal"/>
      <w:pStyle w:val="95"/>
      <w:suff w:val="nothing"/>
      <w:lvlText w:val="%1%2.%3.%4.%5　"/>
      <w:lvlJc w:val="left"/>
      <w:pPr>
        <w:ind w:left="156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08D17AC"/>
    <w:multiLevelType w:val="multilevel"/>
    <w:tmpl w:val="708D17AC"/>
    <w:lvl w:ilvl="0" w:tentative="0">
      <w:start w:val="1"/>
      <w:numFmt w:val="upperLetter"/>
      <w:suff w:val="nothing"/>
      <w:lvlText w:val="附　录　%1"/>
      <w:lvlJc w:val="left"/>
      <w:pPr>
        <w:ind w:left="0" w:firstLine="0"/>
      </w:pPr>
      <w:rPr>
        <w:rFonts w:hint="eastAsia" w:ascii="黑体" w:hAnsi="Times New Roman" w:eastAsia="黑体"/>
        <w:b w:val="0"/>
        <w:bCs w:val="0"/>
        <w:i w:val="0"/>
        <w:iCs w:val="0"/>
        <w:spacing w:val="0"/>
        <w:sz w:val="21"/>
        <w:szCs w:val="21"/>
      </w:rPr>
    </w:lvl>
    <w:lvl w:ilvl="1" w:tentative="0">
      <w:start w:val="1"/>
      <w:numFmt w:val="decimal"/>
      <w:suff w:val="nothing"/>
      <w:lvlText w:val="%1.%2　"/>
      <w:lvlJc w:val="left"/>
      <w:pPr>
        <w:ind w:left="0" w:firstLine="0"/>
      </w:pPr>
      <w:rPr>
        <w:rFonts w:hint="eastAsia" w:ascii="黑体" w:hAnsi="Times New Roman" w:eastAsia="黑体"/>
        <w:b w:val="0"/>
        <w:bCs w:val="0"/>
        <w:i w:val="0"/>
        <w:iCs w:val="0"/>
        <w:spacing w:val="0"/>
        <w:kern w:val="21"/>
        <w:sz w:val="21"/>
        <w:szCs w:val="21"/>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18"/>
  </w:num>
  <w:num w:numId="5">
    <w:abstractNumId w:val="23"/>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147"/>
    <w:rsid w:val="00001972"/>
    <w:rsid w:val="00001D9A"/>
    <w:rsid w:val="00006FB8"/>
    <w:rsid w:val="00007B3A"/>
    <w:rsid w:val="000107E0"/>
    <w:rsid w:val="00011FDE"/>
    <w:rsid w:val="00012874"/>
    <w:rsid w:val="00012FFD"/>
    <w:rsid w:val="00014162"/>
    <w:rsid w:val="00014340"/>
    <w:rsid w:val="000147A3"/>
    <w:rsid w:val="00016A9C"/>
    <w:rsid w:val="0002111B"/>
    <w:rsid w:val="00022184"/>
    <w:rsid w:val="0002256A"/>
    <w:rsid w:val="00022762"/>
    <w:rsid w:val="000238E0"/>
    <w:rsid w:val="000249DB"/>
    <w:rsid w:val="0002595E"/>
    <w:rsid w:val="000303C3"/>
    <w:rsid w:val="00032136"/>
    <w:rsid w:val="0003250B"/>
    <w:rsid w:val="000331D3"/>
    <w:rsid w:val="0003396A"/>
    <w:rsid w:val="000346A5"/>
    <w:rsid w:val="000359C3"/>
    <w:rsid w:val="00035A7D"/>
    <w:rsid w:val="000365ED"/>
    <w:rsid w:val="0004249A"/>
    <w:rsid w:val="00043282"/>
    <w:rsid w:val="00044286"/>
    <w:rsid w:val="00046EDF"/>
    <w:rsid w:val="00047F28"/>
    <w:rsid w:val="000503AA"/>
    <w:rsid w:val="000506A1"/>
    <w:rsid w:val="00050E61"/>
    <w:rsid w:val="000515DD"/>
    <w:rsid w:val="0005265A"/>
    <w:rsid w:val="0005289E"/>
    <w:rsid w:val="000539DD"/>
    <w:rsid w:val="00053BD3"/>
    <w:rsid w:val="000556ED"/>
    <w:rsid w:val="00055FE2"/>
    <w:rsid w:val="0005616F"/>
    <w:rsid w:val="000607DB"/>
    <w:rsid w:val="00060C2E"/>
    <w:rsid w:val="00061033"/>
    <w:rsid w:val="000619E9"/>
    <w:rsid w:val="000622D4"/>
    <w:rsid w:val="00063174"/>
    <w:rsid w:val="0006357D"/>
    <w:rsid w:val="00066015"/>
    <w:rsid w:val="00066045"/>
    <w:rsid w:val="00067F1E"/>
    <w:rsid w:val="00071CC0"/>
    <w:rsid w:val="00071CFC"/>
    <w:rsid w:val="00073C8C"/>
    <w:rsid w:val="0007456A"/>
    <w:rsid w:val="000776B1"/>
    <w:rsid w:val="00077B64"/>
    <w:rsid w:val="00080A1C"/>
    <w:rsid w:val="00082317"/>
    <w:rsid w:val="00083B0E"/>
    <w:rsid w:val="00083D2C"/>
    <w:rsid w:val="00084D30"/>
    <w:rsid w:val="00086AA1"/>
    <w:rsid w:val="00086AB0"/>
    <w:rsid w:val="00087387"/>
    <w:rsid w:val="00087A77"/>
    <w:rsid w:val="00090CA6"/>
    <w:rsid w:val="00091DAC"/>
    <w:rsid w:val="00092B8A"/>
    <w:rsid w:val="00092FB0"/>
    <w:rsid w:val="000934C5"/>
    <w:rsid w:val="00093D25"/>
    <w:rsid w:val="00093DAB"/>
    <w:rsid w:val="00094D73"/>
    <w:rsid w:val="00096D63"/>
    <w:rsid w:val="000A0B60"/>
    <w:rsid w:val="000A0EB8"/>
    <w:rsid w:val="000A19FC"/>
    <w:rsid w:val="000A296B"/>
    <w:rsid w:val="000A3B3C"/>
    <w:rsid w:val="000A7311"/>
    <w:rsid w:val="000B060F"/>
    <w:rsid w:val="000B1592"/>
    <w:rsid w:val="000B1FF2"/>
    <w:rsid w:val="000B3CDA"/>
    <w:rsid w:val="000B6A0B"/>
    <w:rsid w:val="000C0F6C"/>
    <w:rsid w:val="000C107D"/>
    <w:rsid w:val="000C11DB"/>
    <w:rsid w:val="000C1492"/>
    <w:rsid w:val="000C2FBD"/>
    <w:rsid w:val="000C4B41"/>
    <w:rsid w:val="000C57D6"/>
    <w:rsid w:val="000C6362"/>
    <w:rsid w:val="000C701B"/>
    <w:rsid w:val="000C7666"/>
    <w:rsid w:val="000C7BB8"/>
    <w:rsid w:val="000D0A9C"/>
    <w:rsid w:val="000D1795"/>
    <w:rsid w:val="000D29BD"/>
    <w:rsid w:val="000D329A"/>
    <w:rsid w:val="000D414C"/>
    <w:rsid w:val="000D4B9C"/>
    <w:rsid w:val="000D4EB6"/>
    <w:rsid w:val="000D527E"/>
    <w:rsid w:val="000D753B"/>
    <w:rsid w:val="000E32F2"/>
    <w:rsid w:val="000E4C9E"/>
    <w:rsid w:val="000E69BE"/>
    <w:rsid w:val="000E6FD7"/>
    <w:rsid w:val="000F06E1"/>
    <w:rsid w:val="000F0E3C"/>
    <w:rsid w:val="000F19D5"/>
    <w:rsid w:val="000F2055"/>
    <w:rsid w:val="000F4050"/>
    <w:rsid w:val="000F4AEA"/>
    <w:rsid w:val="000F67E9"/>
    <w:rsid w:val="00104926"/>
    <w:rsid w:val="001103DE"/>
    <w:rsid w:val="00113B1E"/>
    <w:rsid w:val="00114F5E"/>
    <w:rsid w:val="0011711C"/>
    <w:rsid w:val="0012078F"/>
    <w:rsid w:val="00121875"/>
    <w:rsid w:val="0012467C"/>
    <w:rsid w:val="00124E4F"/>
    <w:rsid w:val="001260B7"/>
    <w:rsid w:val="001265CB"/>
    <w:rsid w:val="00126C3B"/>
    <w:rsid w:val="001321C6"/>
    <w:rsid w:val="001325C4"/>
    <w:rsid w:val="00133010"/>
    <w:rsid w:val="001338EE"/>
    <w:rsid w:val="00133AAE"/>
    <w:rsid w:val="001342A7"/>
    <w:rsid w:val="00135323"/>
    <w:rsid w:val="001356C4"/>
    <w:rsid w:val="00137565"/>
    <w:rsid w:val="001377B0"/>
    <w:rsid w:val="00141114"/>
    <w:rsid w:val="00142969"/>
    <w:rsid w:val="001446C2"/>
    <w:rsid w:val="001457E7"/>
    <w:rsid w:val="00145D9D"/>
    <w:rsid w:val="00145F5B"/>
    <w:rsid w:val="00146388"/>
    <w:rsid w:val="00151F56"/>
    <w:rsid w:val="001529E5"/>
    <w:rsid w:val="00152FB3"/>
    <w:rsid w:val="00153C7E"/>
    <w:rsid w:val="00154D88"/>
    <w:rsid w:val="00156B25"/>
    <w:rsid w:val="00156E1A"/>
    <w:rsid w:val="00157894"/>
    <w:rsid w:val="00157B55"/>
    <w:rsid w:val="0016396E"/>
    <w:rsid w:val="001642FA"/>
    <w:rsid w:val="001649EB"/>
    <w:rsid w:val="00164BAF"/>
    <w:rsid w:val="00164FA8"/>
    <w:rsid w:val="00165065"/>
    <w:rsid w:val="00165434"/>
    <w:rsid w:val="0016580B"/>
    <w:rsid w:val="00165F49"/>
    <w:rsid w:val="00166B88"/>
    <w:rsid w:val="0016770A"/>
    <w:rsid w:val="00170804"/>
    <w:rsid w:val="001708E9"/>
    <w:rsid w:val="001727CB"/>
    <w:rsid w:val="0017340B"/>
    <w:rsid w:val="00173FB1"/>
    <w:rsid w:val="00176DFD"/>
    <w:rsid w:val="00183630"/>
    <w:rsid w:val="00183A4E"/>
    <w:rsid w:val="001852C9"/>
    <w:rsid w:val="00187A0B"/>
    <w:rsid w:val="0019000E"/>
    <w:rsid w:val="00190087"/>
    <w:rsid w:val="001913C4"/>
    <w:rsid w:val="0019348F"/>
    <w:rsid w:val="00193A07"/>
    <w:rsid w:val="00194C95"/>
    <w:rsid w:val="00195C34"/>
    <w:rsid w:val="00196EF5"/>
    <w:rsid w:val="00197FFC"/>
    <w:rsid w:val="001A1A53"/>
    <w:rsid w:val="001A234A"/>
    <w:rsid w:val="001A2FCB"/>
    <w:rsid w:val="001A4CF3"/>
    <w:rsid w:val="001A6696"/>
    <w:rsid w:val="001A7711"/>
    <w:rsid w:val="001B06E8"/>
    <w:rsid w:val="001B4501"/>
    <w:rsid w:val="001B71D0"/>
    <w:rsid w:val="001B71EE"/>
    <w:rsid w:val="001C04A8"/>
    <w:rsid w:val="001C2C03"/>
    <w:rsid w:val="001C42F7"/>
    <w:rsid w:val="001C473B"/>
    <w:rsid w:val="001C49E5"/>
    <w:rsid w:val="001C5418"/>
    <w:rsid w:val="001C680C"/>
    <w:rsid w:val="001C7E1A"/>
    <w:rsid w:val="001C7FEA"/>
    <w:rsid w:val="001D0499"/>
    <w:rsid w:val="001D0BBE"/>
    <w:rsid w:val="001D0ED4"/>
    <w:rsid w:val="001D212F"/>
    <w:rsid w:val="001D29D7"/>
    <w:rsid w:val="001D2DE7"/>
    <w:rsid w:val="001D4029"/>
    <w:rsid w:val="001D411C"/>
    <w:rsid w:val="001D72B4"/>
    <w:rsid w:val="001E1B6A"/>
    <w:rsid w:val="001E2484"/>
    <w:rsid w:val="001E31B1"/>
    <w:rsid w:val="001E3615"/>
    <w:rsid w:val="001E3CC4"/>
    <w:rsid w:val="001E404B"/>
    <w:rsid w:val="001E4882"/>
    <w:rsid w:val="001E73AB"/>
    <w:rsid w:val="001F092D"/>
    <w:rsid w:val="001F143A"/>
    <w:rsid w:val="001F1605"/>
    <w:rsid w:val="001F2508"/>
    <w:rsid w:val="001F2B18"/>
    <w:rsid w:val="001F3D44"/>
    <w:rsid w:val="001F4816"/>
    <w:rsid w:val="001F69B4"/>
    <w:rsid w:val="001F77C7"/>
    <w:rsid w:val="001F7CC7"/>
    <w:rsid w:val="00200183"/>
    <w:rsid w:val="00200333"/>
    <w:rsid w:val="0020107D"/>
    <w:rsid w:val="00202AA4"/>
    <w:rsid w:val="002031F7"/>
    <w:rsid w:val="002040E6"/>
    <w:rsid w:val="0020527B"/>
    <w:rsid w:val="002055DA"/>
    <w:rsid w:val="00205F2C"/>
    <w:rsid w:val="00210B15"/>
    <w:rsid w:val="002142EA"/>
    <w:rsid w:val="00215ADD"/>
    <w:rsid w:val="0021791D"/>
    <w:rsid w:val="002204BB"/>
    <w:rsid w:val="00221B79"/>
    <w:rsid w:val="00221C6B"/>
    <w:rsid w:val="002253A1"/>
    <w:rsid w:val="00225CF8"/>
    <w:rsid w:val="0022794E"/>
    <w:rsid w:val="00233D64"/>
    <w:rsid w:val="0023482A"/>
    <w:rsid w:val="00234AF2"/>
    <w:rsid w:val="002359CB"/>
    <w:rsid w:val="00242757"/>
    <w:rsid w:val="00243540"/>
    <w:rsid w:val="0024497B"/>
    <w:rsid w:val="00244ED1"/>
    <w:rsid w:val="0024515B"/>
    <w:rsid w:val="00246021"/>
    <w:rsid w:val="0024666E"/>
    <w:rsid w:val="002476B8"/>
    <w:rsid w:val="00247F52"/>
    <w:rsid w:val="00250B25"/>
    <w:rsid w:val="00250BBE"/>
    <w:rsid w:val="00251098"/>
    <w:rsid w:val="002515C2"/>
    <w:rsid w:val="0025194F"/>
    <w:rsid w:val="0026148A"/>
    <w:rsid w:val="00262696"/>
    <w:rsid w:val="00263D25"/>
    <w:rsid w:val="002643C3"/>
    <w:rsid w:val="00264A0C"/>
    <w:rsid w:val="00266EEB"/>
    <w:rsid w:val="00267EF4"/>
    <w:rsid w:val="00270CB8"/>
    <w:rsid w:val="00272B08"/>
    <w:rsid w:val="002770F2"/>
    <w:rsid w:val="00281BB8"/>
    <w:rsid w:val="00281E9E"/>
    <w:rsid w:val="00282405"/>
    <w:rsid w:val="00283A38"/>
    <w:rsid w:val="00285170"/>
    <w:rsid w:val="00285256"/>
    <w:rsid w:val="00285361"/>
    <w:rsid w:val="00287D2E"/>
    <w:rsid w:val="00291539"/>
    <w:rsid w:val="00291D4D"/>
    <w:rsid w:val="00292D60"/>
    <w:rsid w:val="00293B30"/>
    <w:rsid w:val="0029469C"/>
    <w:rsid w:val="00294D34"/>
    <w:rsid w:val="00294E3B"/>
    <w:rsid w:val="00296193"/>
    <w:rsid w:val="00296C66"/>
    <w:rsid w:val="00296EBE"/>
    <w:rsid w:val="002974E3"/>
    <w:rsid w:val="002A084B"/>
    <w:rsid w:val="002A1260"/>
    <w:rsid w:val="002A1589"/>
    <w:rsid w:val="002A1608"/>
    <w:rsid w:val="002A25DC"/>
    <w:rsid w:val="002A3AAB"/>
    <w:rsid w:val="002A3D3F"/>
    <w:rsid w:val="002A4757"/>
    <w:rsid w:val="002A4CEA"/>
    <w:rsid w:val="002A5977"/>
    <w:rsid w:val="002A5A13"/>
    <w:rsid w:val="002A757F"/>
    <w:rsid w:val="002A7845"/>
    <w:rsid w:val="002A7F44"/>
    <w:rsid w:val="002B0C40"/>
    <w:rsid w:val="002B1966"/>
    <w:rsid w:val="002B4508"/>
    <w:rsid w:val="002B5779"/>
    <w:rsid w:val="002B7332"/>
    <w:rsid w:val="002B7F51"/>
    <w:rsid w:val="002C09E7"/>
    <w:rsid w:val="002C1E06"/>
    <w:rsid w:val="002C3F07"/>
    <w:rsid w:val="002C5278"/>
    <w:rsid w:val="002C7EBB"/>
    <w:rsid w:val="002D06C1"/>
    <w:rsid w:val="002D1D7E"/>
    <w:rsid w:val="002D42B5"/>
    <w:rsid w:val="002D4BB8"/>
    <w:rsid w:val="002D4F1A"/>
    <w:rsid w:val="002D6449"/>
    <w:rsid w:val="002D6EC6"/>
    <w:rsid w:val="002D79AC"/>
    <w:rsid w:val="002E039D"/>
    <w:rsid w:val="002E4691"/>
    <w:rsid w:val="002E4D5A"/>
    <w:rsid w:val="002E6326"/>
    <w:rsid w:val="002F1E9D"/>
    <w:rsid w:val="002F2B34"/>
    <w:rsid w:val="002F30E0"/>
    <w:rsid w:val="002F33B1"/>
    <w:rsid w:val="002F35E4"/>
    <w:rsid w:val="002F3730"/>
    <w:rsid w:val="002F38E1"/>
    <w:rsid w:val="002F5080"/>
    <w:rsid w:val="002F777C"/>
    <w:rsid w:val="002F7AF6"/>
    <w:rsid w:val="00300E63"/>
    <w:rsid w:val="003010D8"/>
    <w:rsid w:val="00302F5F"/>
    <w:rsid w:val="0030441D"/>
    <w:rsid w:val="00306063"/>
    <w:rsid w:val="00306C2F"/>
    <w:rsid w:val="00313B85"/>
    <w:rsid w:val="00317669"/>
    <w:rsid w:val="00317782"/>
    <w:rsid w:val="00317988"/>
    <w:rsid w:val="003221B4"/>
    <w:rsid w:val="0032236C"/>
    <w:rsid w:val="00322423"/>
    <w:rsid w:val="0032258D"/>
    <w:rsid w:val="00322E62"/>
    <w:rsid w:val="00324B33"/>
    <w:rsid w:val="00324D13"/>
    <w:rsid w:val="00324EDD"/>
    <w:rsid w:val="0032519F"/>
    <w:rsid w:val="003259F4"/>
    <w:rsid w:val="00330DE4"/>
    <w:rsid w:val="003314B1"/>
    <w:rsid w:val="003331E4"/>
    <w:rsid w:val="00335928"/>
    <w:rsid w:val="00336C64"/>
    <w:rsid w:val="00337162"/>
    <w:rsid w:val="0034194F"/>
    <w:rsid w:val="00344605"/>
    <w:rsid w:val="003474AA"/>
    <w:rsid w:val="00350D1D"/>
    <w:rsid w:val="00352C83"/>
    <w:rsid w:val="00352F1A"/>
    <w:rsid w:val="00355524"/>
    <w:rsid w:val="0036107C"/>
    <w:rsid w:val="003615D2"/>
    <w:rsid w:val="0036429C"/>
    <w:rsid w:val="00364A53"/>
    <w:rsid w:val="00364CD8"/>
    <w:rsid w:val="003654CB"/>
    <w:rsid w:val="00365AA9"/>
    <w:rsid w:val="00365F86"/>
    <w:rsid w:val="00365F87"/>
    <w:rsid w:val="00366E89"/>
    <w:rsid w:val="003674C4"/>
    <w:rsid w:val="003705F4"/>
    <w:rsid w:val="00370D58"/>
    <w:rsid w:val="00371316"/>
    <w:rsid w:val="003723CE"/>
    <w:rsid w:val="0037348D"/>
    <w:rsid w:val="0037644F"/>
    <w:rsid w:val="00376713"/>
    <w:rsid w:val="003769F9"/>
    <w:rsid w:val="00381815"/>
    <w:rsid w:val="003819AF"/>
    <w:rsid w:val="003820E9"/>
    <w:rsid w:val="00382DE7"/>
    <w:rsid w:val="00383394"/>
    <w:rsid w:val="00384FFC"/>
    <w:rsid w:val="003872FC"/>
    <w:rsid w:val="00387ADC"/>
    <w:rsid w:val="00390020"/>
    <w:rsid w:val="003903D6"/>
    <w:rsid w:val="00390EE6"/>
    <w:rsid w:val="0039118F"/>
    <w:rsid w:val="0039202C"/>
    <w:rsid w:val="00392AD7"/>
    <w:rsid w:val="003938D9"/>
    <w:rsid w:val="00394376"/>
    <w:rsid w:val="003943FF"/>
    <w:rsid w:val="003974EB"/>
    <w:rsid w:val="00397CC5"/>
    <w:rsid w:val="003A1582"/>
    <w:rsid w:val="003A3D9C"/>
    <w:rsid w:val="003A4077"/>
    <w:rsid w:val="003A4AA7"/>
    <w:rsid w:val="003B09AD"/>
    <w:rsid w:val="003B1F18"/>
    <w:rsid w:val="003B3083"/>
    <w:rsid w:val="003B3A7B"/>
    <w:rsid w:val="003B5BF0"/>
    <w:rsid w:val="003B60BF"/>
    <w:rsid w:val="003B6BE3"/>
    <w:rsid w:val="003B7A50"/>
    <w:rsid w:val="003C010C"/>
    <w:rsid w:val="003C0A6C"/>
    <w:rsid w:val="003C14F8"/>
    <w:rsid w:val="003C3025"/>
    <w:rsid w:val="003C5A43"/>
    <w:rsid w:val="003D0519"/>
    <w:rsid w:val="003D0FF6"/>
    <w:rsid w:val="003D262C"/>
    <w:rsid w:val="003D2FCD"/>
    <w:rsid w:val="003D4FC9"/>
    <w:rsid w:val="003D5DFB"/>
    <w:rsid w:val="003D6D61"/>
    <w:rsid w:val="003E091D"/>
    <w:rsid w:val="003E15DE"/>
    <w:rsid w:val="003E1C53"/>
    <w:rsid w:val="003E2A69"/>
    <w:rsid w:val="003E2D49"/>
    <w:rsid w:val="003E2FD4"/>
    <w:rsid w:val="003E3EF6"/>
    <w:rsid w:val="003E49F6"/>
    <w:rsid w:val="003E660F"/>
    <w:rsid w:val="003F0841"/>
    <w:rsid w:val="003F23D3"/>
    <w:rsid w:val="003F25BA"/>
    <w:rsid w:val="003F3F08"/>
    <w:rsid w:val="003F49F1"/>
    <w:rsid w:val="003F6272"/>
    <w:rsid w:val="00400E72"/>
    <w:rsid w:val="00401400"/>
    <w:rsid w:val="00403878"/>
    <w:rsid w:val="00404869"/>
    <w:rsid w:val="00405884"/>
    <w:rsid w:val="00405C50"/>
    <w:rsid w:val="00407D39"/>
    <w:rsid w:val="0041477A"/>
    <w:rsid w:val="00416259"/>
    <w:rsid w:val="00416789"/>
    <w:rsid w:val="004167A3"/>
    <w:rsid w:val="00417837"/>
    <w:rsid w:val="00417F2D"/>
    <w:rsid w:val="00423ED8"/>
    <w:rsid w:val="004258AA"/>
    <w:rsid w:val="00432DAA"/>
    <w:rsid w:val="00433843"/>
    <w:rsid w:val="00434305"/>
    <w:rsid w:val="00435DF7"/>
    <w:rsid w:val="00436A0C"/>
    <w:rsid w:val="0044083F"/>
    <w:rsid w:val="00441AE7"/>
    <w:rsid w:val="00443FFB"/>
    <w:rsid w:val="00445574"/>
    <w:rsid w:val="004467FB"/>
    <w:rsid w:val="00447E57"/>
    <w:rsid w:val="0045023E"/>
    <w:rsid w:val="00452900"/>
    <w:rsid w:val="00452D6B"/>
    <w:rsid w:val="00453C8E"/>
    <w:rsid w:val="00454484"/>
    <w:rsid w:val="0045517B"/>
    <w:rsid w:val="00456CCA"/>
    <w:rsid w:val="004637B8"/>
    <w:rsid w:val="00463B77"/>
    <w:rsid w:val="00463BEA"/>
    <w:rsid w:val="00463C7B"/>
    <w:rsid w:val="004644A6"/>
    <w:rsid w:val="004659BD"/>
    <w:rsid w:val="0046622D"/>
    <w:rsid w:val="004669A0"/>
    <w:rsid w:val="00470775"/>
    <w:rsid w:val="004746B1"/>
    <w:rsid w:val="0047583F"/>
    <w:rsid w:val="00475DE8"/>
    <w:rsid w:val="00476BA8"/>
    <w:rsid w:val="00481C44"/>
    <w:rsid w:val="0048359C"/>
    <w:rsid w:val="00484936"/>
    <w:rsid w:val="00485C89"/>
    <w:rsid w:val="00486BE3"/>
    <w:rsid w:val="004905E4"/>
    <w:rsid w:val="00490A89"/>
    <w:rsid w:val="00490AB4"/>
    <w:rsid w:val="00492F02"/>
    <w:rsid w:val="004939AE"/>
    <w:rsid w:val="00496B26"/>
    <w:rsid w:val="004A12DF"/>
    <w:rsid w:val="004A1BA8"/>
    <w:rsid w:val="004A3D38"/>
    <w:rsid w:val="004A4B57"/>
    <w:rsid w:val="004A4EEC"/>
    <w:rsid w:val="004A63FA"/>
    <w:rsid w:val="004A6A3D"/>
    <w:rsid w:val="004B0272"/>
    <w:rsid w:val="004B2701"/>
    <w:rsid w:val="004B2E1B"/>
    <w:rsid w:val="004B3AA8"/>
    <w:rsid w:val="004B3C70"/>
    <w:rsid w:val="004B3E93"/>
    <w:rsid w:val="004B768B"/>
    <w:rsid w:val="004C1FBC"/>
    <w:rsid w:val="004C25A2"/>
    <w:rsid w:val="004C3F1D"/>
    <w:rsid w:val="004C458D"/>
    <w:rsid w:val="004C7556"/>
    <w:rsid w:val="004C7E8B"/>
    <w:rsid w:val="004C7E9D"/>
    <w:rsid w:val="004C7F67"/>
    <w:rsid w:val="004D076D"/>
    <w:rsid w:val="004D0EF1"/>
    <w:rsid w:val="004D2253"/>
    <w:rsid w:val="004D4406"/>
    <w:rsid w:val="004D4D25"/>
    <w:rsid w:val="004D501D"/>
    <w:rsid w:val="004D7C42"/>
    <w:rsid w:val="004E0465"/>
    <w:rsid w:val="004E127B"/>
    <w:rsid w:val="004E1C0A"/>
    <w:rsid w:val="004E30C5"/>
    <w:rsid w:val="004E4A21"/>
    <w:rsid w:val="004E4AA5"/>
    <w:rsid w:val="004E4AEE"/>
    <w:rsid w:val="004E59E3"/>
    <w:rsid w:val="004E67C0"/>
    <w:rsid w:val="004F391A"/>
    <w:rsid w:val="004F3CFB"/>
    <w:rsid w:val="004F4F71"/>
    <w:rsid w:val="004F6456"/>
    <w:rsid w:val="004F696E"/>
    <w:rsid w:val="004F6C71"/>
    <w:rsid w:val="00501139"/>
    <w:rsid w:val="00501BB4"/>
    <w:rsid w:val="0050363E"/>
    <w:rsid w:val="00503900"/>
    <w:rsid w:val="005039BC"/>
    <w:rsid w:val="005043BB"/>
    <w:rsid w:val="00504A3D"/>
    <w:rsid w:val="00505767"/>
    <w:rsid w:val="005073F0"/>
    <w:rsid w:val="00507C99"/>
    <w:rsid w:val="00510A7B"/>
    <w:rsid w:val="00512F6E"/>
    <w:rsid w:val="00513038"/>
    <w:rsid w:val="00513CEB"/>
    <w:rsid w:val="00514174"/>
    <w:rsid w:val="00516088"/>
    <w:rsid w:val="00516B0B"/>
    <w:rsid w:val="005220EC"/>
    <w:rsid w:val="005223B5"/>
    <w:rsid w:val="00523F95"/>
    <w:rsid w:val="00524D65"/>
    <w:rsid w:val="00525B16"/>
    <w:rsid w:val="00533D04"/>
    <w:rsid w:val="00534804"/>
    <w:rsid w:val="00534BDF"/>
    <w:rsid w:val="005354EA"/>
    <w:rsid w:val="0053585F"/>
    <w:rsid w:val="00535EC4"/>
    <w:rsid w:val="00535ED9"/>
    <w:rsid w:val="0053692B"/>
    <w:rsid w:val="005411DF"/>
    <w:rsid w:val="00541853"/>
    <w:rsid w:val="00543BDA"/>
    <w:rsid w:val="005441CC"/>
    <w:rsid w:val="005479DA"/>
    <w:rsid w:val="00547BCC"/>
    <w:rsid w:val="0055013B"/>
    <w:rsid w:val="00551F6F"/>
    <w:rsid w:val="005536F9"/>
    <w:rsid w:val="00555044"/>
    <w:rsid w:val="00561181"/>
    <w:rsid w:val="00561475"/>
    <w:rsid w:val="00562308"/>
    <w:rsid w:val="0056487B"/>
    <w:rsid w:val="00564FB9"/>
    <w:rsid w:val="005677DE"/>
    <w:rsid w:val="00573D9E"/>
    <w:rsid w:val="005773B0"/>
    <w:rsid w:val="005801E3"/>
    <w:rsid w:val="0058054B"/>
    <w:rsid w:val="00581802"/>
    <w:rsid w:val="005822AC"/>
    <w:rsid w:val="005836A8"/>
    <w:rsid w:val="0058409C"/>
    <w:rsid w:val="00584262"/>
    <w:rsid w:val="00586630"/>
    <w:rsid w:val="00586669"/>
    <w:rsid w:val="00587009"/>
    <w:rsid w:val="00587ADD"/>
    <w:rsid w:val="00593A49"/>
    <w:rsid w:val="00594887"/>
    <w:rsid w:val="00596160"/>
    <w:rsid w:val="005966E2"/>
    <w:rsid w:val="00597007"/>
    <w:rsid w:val="00597FFA"/>
    <w:rsid w:val="005A0966"/>
    <w:rsid w:val="005A11B7"/>
    <w:rsid w:val="005A260B"/>
    <w:rsid w:val="005A4A1B"/>
    <w:rsid w:val="005A50E2"/>
    <w:rsid w:val="005A7830"/>
    <w:rsid w:val="005A7FCE"/>
    <w:rsid w:val="005B01BF"/>
    <w:rsid w:val="005B0F3F"/>
    <w:rsid w:val="005B191C"/>
    <w:rsid w:val="005B340D"/>
    <w:rsid w:val="005B4903"/>
    <w:rsid w:val="005B51CE"/>
    <w:rsid w:val="005B5885"/>
    <w:rsid w:val="005B5CD7"/>
    <w:rsid w:val="005B6CF6"/>
    <w:rsid w:val="005B7422"/>
    <w:rsid w:val="005C29B8"/>
    <w:rsid w:val="005C366E"/>
    <w:rsid w:val="005C5F21"/>
    <w:rsid w:val="005C7156"/>
    <w:rsid w:val="005D0C75"/>
    <w:rsid w:val="005D4171"/>
    <w:rsid w:val="005D6A95"/>
    <w:rsid w:val="005D6B2C"/>
    <w:rsid w:val="005D6D9C"/>
    <w:rsid w:val="005E2335"/>
    <w:rsid w:val="005E34CA"/>
    <w:rsid w:val="005E3C0A"/>
    <w:rsid w:val="005E3C18"/>
    <w:rsid w:val="005E4250"/>
    <w:rsid w:val="005E5EBC"/>
    <w:rsid w:val="005E6812"/>
    <w:rsid w:val="005E74E7"/>
    <w:rsid w:val="005E7881"/>
    <w:rsid w:val="005E78E0"/>
    <w:rsid w:val="005F0D9C"/>
    <w:rsid w:val="005F284E"/>
    <w:rsid w:val="005F3D0B"/>
    <w:rsid w:val="005F6FF3"/>
    <w:rsid w:val="006015CE"/>
    <w:rsid w:val="00601F13"/>
    <w:rsid w:val="006032FB"/>
    <w:rsid w:val="00603731"/>
    <w:rsid w:val="00604784"/>
    <w:rsid w:val="00606419"/>
    <w:rsid w:val="00607D29"/>
    <w:rsid w:val="006106A3"/>
    <w:rsid w:val="00612952"/>
    <w:rsid w:val="00614CC1"/>
    <w:rsid w:val="00615A9D"/>
    <w:rsid w:val="00617387"/>
    <w:rsid w:val="0061747E"/>
    <w:rsid w:val="006205D6"/>
    <w:rsid w:val="00625068"/>
    <w:rsid w:val="006252D8"/>
    <w:rsid w:val="006259BC"/>
    <w:rsid w:val="0062636B"/>
    <w:rsid w:val="006310AF"/>
    <w:rsid w:val="00631352"/>
    <w:rsid w:val="00632182"/>
    <w:rsid w:val="00632ACF"/>
    <w:rsid w:val="00632AE0"/>
    <w:rsid w:val="00633C17"/>
    <w:rsid w:val="00634D9E"/>
    <w:rsid w:val="00636E3E"/>
    <w:rsid w:val="006379F7"/>
    <w:rsid w:val="00637E4D"/>
    <w:rsid w:val="00640620"/>
    <w:rsid w:val="00641A1F"/>
    <w:rsid w:val="00644B75"/>
    <w:rsid w:val="00645543"/>
    <w:rsid w:val="00645904"/>
    <w:rsid w:val="00651ACB"/>
    <w:rsid w:val="00651C47"/>
    <w:rsid w:val="00652AB2"/>
    <w:rsid w:val="00653B3C"/>
    <w:rsid w:val="00653E52"/>
    <w:rsid w:val="00653FED"/>
    <w:rsid w:val="00654EC0"/>
    <w:rsid w:val="0065525B"/>
    <w:rsid w:val="00655D4F"/>
    <w:rsid w:val="00656D29"/>
    <w:rsid w:val="006619E2"/>
    <w:rsid w:val="0066229C"/>
    <w:rsid w:val="00663D49"/>
    <w:rsid w:val="006640E5"/>
    <w:rsid w:val="006646F1"/>
    <w:rsid w:val="00664929"/>
    <w:rsid w:val="00664F62"/>
    <w:rsid w:val="006655E1"/>
    <w:rsid w:val="00666174"/>
    <w:rsid w:val="00670502"/>
    <w:rsid w:val="00672060"/>
    <w:rsid w:val="00672BFD"/>
    <w:rsid w:val="006770F4"/>
    <w:rsid w:val="0067788B"/>
    <w:rsid w:val="00677A84"/>
    <w:rsid w:val="0068026D"/>
    <w:rsid w:val="00680A27"/>
    <w:rsid w:val="006816A4"/>
    <w:rsid w:val="006819B8"/>
    <w:rsid w:val="006840A6"/>
    <w:rsid w:val="006840CB"/>
    <w:rsid w:val="006850CD"/>
    <w:rsid w:val="00685AAB"/>
    <w:rsid w:val="006860B9"/>
    <w:rsid w:val="006A07AA"/>
    <w:rsid w:val="006A0AE3"/>
    <w:rsid w:val="006A25E5"/>
    <w:rsid w:val="006A2B46"/>
    <w:rsid w:val="006A336D"/>
    <w:rsid w:val="006A37B9"/>
    <w:rsid w:val="006A5A91"/>
    <w:rsid w:val="006B1976"/>
    <w:rsid w:val="006B2672"/>
    <w:rsid w:val="006B54BF"/>
    <w:rsid w:val="006B567B"/>
    <w:rsid w:val="006B5F44"/>
    <w:rsid w:val="006B5F90"/>
    <w:rsid w:val="006B62E4"/>
    <w:rsid w:val="006B7A55"/>
    <w:rsid w:val="006C1BBA"/>
    <w:rsid w:val="006C2079"/>
    <w:rsid w:val="006C2CEF"/>
    <w:rsid w:val="006C5A62"/>
    <w:rsid w:val="006C5D68"/>
    <w:rsid w:val="006C6976"/>
    <w:rsid w:val="006C6DD0"/>
    <w:rsid w:val="006D04EA"/>
    <w:rsid w:val="006D07FE"/>
    <w:rsid w:val="006D16C4"/>
    <w:rsid w:val="006D3E96"/>
    <w:rsid w:val="006D4515"/>
    <w:rsid w:val="006D4BB1"/>
    <w:rsid w:val="006D5DE1"/>
    <w:rsid w:val="006D6593"/>
    <w:rsid w:val="006E0FEC"/>
    <w:rsid w:val="006E255E"/>
    <w:rsid w:val="006E2E48"/>
    <w:rsid w:val="006F03A8"/>
    <w:rsid w:val="006F2ACA"/>
    <w:rsid w:val="006F2ADC"/>
    <w:rsid w:val="006F2BFE"/>
    <w:rsid w:val="006F31E9"/>
    <w:rsid w:val="006F6284"/>
    <w:rsid w:val="006F7209"/>
    <w:rsid w:val="007002C5"/>
    <w:rsid w:val="00703131"/>
    <w:rsid w:val="007042F7"/>
    <w:rsid w:val="00704387"/>
    <w:rsid w:val="00707669"/>
    <w:rsid w:val="00711CBA"/>
    <w:rsid w:val="00711FB5"/>
    <w:rsid w:val="00712A01"/>
    <w:rsid w:val="007139B0"/>
    <w:rsid w:val="00714F58"/>
    <w:rsid w:val="007161A1"/>
    <w:rsid w:val="00721732"/>
    <w:rsid w:val="00722FBF"/>
    <w:rsid w:val="00722FC2"/>
    <w:rsid w:val="00724E1B"/>
    <w:rsid w:val="00725949"/>
    <w:rsid w:val="00725A9C"/>
    <w:rsid w:val="00727EB6"/>
    <w:rsid w:val="00727FA2"/>
    <w:rsid w:val="007317DC"/>
    <w:rsid w:val="007322D9"/>
    <w:rsid w:val="00732BC0"/>
    <w:rsid w:val="0073472C"/>
    <w:rsid w:val="0073720F"/>
    <w:rsid w:val="00737796"/>
    <w:rsid w:val="00741263"/>
    <w:rsid w:val="0074165C"/>
    <w:rsid w:val="00742C35"/>
    <w:rsid w:val="007432CA"/>
    <w:rsid w:val="007439EB"/>
    <w:rsid w:val="00743CB4"/>
    <w:rsid w:val="00743F0A"/>
    <w:rsid w:val="007444E8"/>
    <w:rsid w:val="0074548E"/>
    <w:rsid w:val="00745773"/>
    <w:rsid w:val="00746800"/>
    <w:rsid w:val="007471AB"/>
    <w:rsid w:val="007501A8"/>
    <w:rsid w:val="00750D61"/>
    <w:rsid w:val="00750EE1"/>
    <w:rsid w:val="00752B4D"/>
    <w:rsid w:val="00753D71"/>
    <w:rsid w:val="00755402"/>
    <w:rsid w:val="00755612"/>
    <w:rsid w:val="00756B26"/>
    <w:rsid w:val="00756EDF"/>
    <w:rsid w:val="007600E3"/>
    <w:rsid w:val="00760FE8"/>
    <w:rsid w:val="00762E9E"/>
    <w:rsid w:val="00764167"/>
    <w:rsid w:val="00764727"/>
    <w:rsid w:val="007659D6"/>
    <w:rsid w:val="00765C43"/>
    <w:rsid w:val="00765EFB"/>
    <w:rsid w:val="007671CA"/>
    <w:rsid w:val="00767C61"/>
    <w:rsid w:val="0077008A"/>
    <w:rsid w:val="007724C6"/>
    <w:rsid w:val="00773C1F"/>
    <w:rsid w:val="00774DA4"/>
    <w:rsid w:val="00776599"/>
    <w:rsid w:val="00780104"/>
    <w:rsid w:val="0078114B"/>
    <w:rsid w:val="00781DD2"/>
    <w:rsid w:val="007825AB"/>
    <w:rsid w:val="00783ECF"/>
    <w:rsid w:val="0078413A"/>
    <w:rsid w:val="0079158A"/>
    <w:rsid w:val="0079230C"/>
    <w:rsid w:val="007934A0"/>
    <w:rsid w:val="00793FE2"/>
    <w:rsid w:val="007959E8"/>
    <w:rsid w:val="00795E9C"/>
    <w:rsid w:val="00797378"/>
    <w:rsid w:val="007A000F"/>
    <w:rsid w:val="007A0521"/>
    <w:rsid w:val="007A2E12"/>
    <w:rsid w:val="007A3475"/>
    <w:rsid w:val="007A41C8"/>
    <w:rsid w:val="007A54CE"/>
    <w:rsid w:val="007A5D2E"/>
    <w:rsid w:val="007A6FD9"/>
    <w:rsid w:val="007A75BD"/>
    <w:rsid w:val="007A7B7A"/>
    <w:rsid w:val="007A7FFA"/>
    <w:rsid w:val="007B04EB"/>
    <w:rsid w:val="007B09FE"/>
    <w:rsid w:val="007B0D4F"/>
    <w:rsid w:val="007B5A3D"/>
    <w:rsid w:val="007B5B95"/>
    <w:rsid w:val="007B6032"/>
    <w:rsid w:val="007B68CD"/>
    <w:rsid w:val="007B68EA"/>
    <w:rsid w:val="007B7453"/>
    <w:rsid w:val="007C2D89"/>
    <w:rsid w:val="007C4593"/>
    <w:rsid w:val="007C5309"/>
    <w:rsid w:val="007C6069"/>
    <w:rsid w:val="007C7A7A"/>
    <w:rsid w:val="007D06C4"/>
    <w:rsid w:val="007D07BB"/>
    <w:rsid w:val="007D1352"/>
    <w:rsid w:val="007D2508"/>
    <w:rsid w:val="007D346A"/>
    <w:rsid w:val="007D5A95"/>
    <w:rsid w:val="007D6518"/>
    <w:rsid w:val="007D76BD"/>
    <w:rsid w:val="007E0BF1"/>
    <w:rsid w:val="007E3438"/>
    <w:rsid w:val="007E78CE"/>
    <w:rsid w:val="007F0ED8"/>
    <w:rsid w:val="007F0F63"/>
    <w:rsid w:val="007F417B"/>
    <w:rsid w:val="007F417C"/>
    <w:rsid w:val="007F4512"/>
    <w:rsid w:val="007F75CE"/>
    <w:rsid w:val="008013A4"/>
    <w:rsid w:val="008027CE"/>
    <w:rsid w:val="00802F42"/>
    <w:rsid w:val="00804383"/>
    <w:rsid w:val="00804BB7"/>
    <w:rsid w:val="00804D41"/>
    <w:rsid w:val="00810257"/>
    <w:rsid w:val="008104F5"/>
    <w:rsid w:val="00811072"/>
    <w:rsid w:val="00811369"/>
    <w:rsid w:val="008135A4"/>
    <w:rsid w:val="00815419"/>
    <w:rsid w:val="008163C8"/>
    <w:rsid w:val="008164A1"/>
    <w:rsid w:val="00817325"/>
    <w:rsid w:val="008209E6"/>
    <w:rsid w:val="00823303"/>
    <w:rsid w:val="008233B2"/>
    <w:rsid w:val="00823A9F"/>
    <w:rsid w:val="00823C85"/>
    <w:rsid w:val="00825108"/>
    <w:rsid w:val="00825138"/>
    <w:rsid w:val="008269DD"/>
    <w:rsid w:val="00830621"/>
    <w:rsid w:val="0083348C"/>
    <w:rsid w:val="00836867"/>
    <w:rsid w:val="008373D3"/>
    <w:rsid w:val="00840617"/>
    <w:rsid w:val="00840F84"/>
    <w:rsid w:val="00842A47"/>
    <w:rsid w:val="00843C13"/>
    <w:rsid w:val="008454F8"/>
    <w:rsid w:val="00845648"/>
    <w:rsid w:val="00845FC3"/>
    <w:rsid w:val="008512E8"/>
    <w:rsid w:val="0085173A"/>
    <w:rsid w:val="00855095"/>
    <w:rsid w:val="00856754"/>
    <w:rsid w:val="00856755"/>
    <w:rsid w:val="008603CE"/>
    <w:rsid w:val="008620FC"/>
    <w:rsid w:val="008627A5"/>
    <w:rsid w:val="00863E05"/>
    <w:rsid w:val="00865ACA"/>
    <w:rsid w:val="00865D28"/>
    <w:rsid w:val="00865F85"/>
    <w:rsid w:val="00867C10"/>
    <w:rsid w:val="00870439"/>
    <w:rsid w:val="00870DA1"/>
    <w:rsid w:val="00870F06"/>
    <w:rsid w:val="008763E0"/>
    <w:rsid w:val="00883F93"/>
    <w:rsid w:val="00884DB3"/>
    <w:rsid w:val="00885A9D"/>
    <w:rsid w:val="008864F6"/>
    <w:rsid w:val="0089049D"/>
    <w:rsid w:val="008928C9"/>
    <w:rsid w:val="008930CB"/>
    <w:rsid w:val="008938DC"/>
    <w:rsid w:val="00893FD1"/>
    <w:rsid w:val="00894836"/>
    <w:rsid w:val="00895172"/>
    <w:rsid w:val="00895365"/>
    <w:rsid w:val="00895680"/>
    <w:rsid w:val="00896DFF"/>
    <w:rsid w:val="0089762C"/>
    <w:rsid w:val="00897BC3"/>
    <w:rsid w:val="008A0552"/>
    <w:rsid w:val="008A173B"/>
    <w:rsid w:val="008A1893"/>
    <w:rsid w:val="008A1C93"/>
    <w:rsid w:val="008A57E6"/>
    <w:rsid w:val="008A6F81"/>
    <w:rsid w:val="008A769A"/>
    <w:rsid w:val="008B0C9C"/>
    <w:rsid w:val="008B166D"/>
    <w:rsid w:val="008B17F4"/>
    <w:rsid w:val="008B3615"/>
    <w:rsid w:val="008B4AC4"/>
    <w:rsid w:val="008B50C8"/>
    <w:rsid w:val="008B5281"/>
    <w:rsid w:val="008B6AB2"/>
    <w:rsid w:val="008B7E05"/>
    <w:rsid w:val="008C0840"/>
    <w:rsid w:val="008C1797"/>
    <w:rsid w:val="008C219C"/>
    <w:rsid w:val="008C2E62"/>
    <w:rsid w:val="008C475E"/>
    <w:rsid w:val="008C619A"/>
    <w:rsid w:val="008C61DB"/>
    <w:rsid w:val="008D0CE8"/>
    <w:rsid w:val="008D22E2"/>
    <w:rsid w:val="008D2D1D"/>
    <w:rsid w:val="008D453D"/>
    <w:rsid w:val="008D53AD"/>
    <w:rsid w:val="008D562B"/>
    <w:rsid w:val="008D5733"/>
    <w:rsid w:val="008D583C"/>
    <w:rsid w:val="008D622B"/>
    <w:rsid w:val="008D666C"/>
    <w:rsid w:val="008D76B2"/>
    <w:rsid w:val="008D7B54"/>
    <w:rsid w:val="008D7E79"/>
    <w:rsid w:val="008E0A6E"/>
    <w:rsid w:val="008E0C9D"/>
    <w:rsid w:val="008E1648"/>
    <w:rsid w:val="008E1B3E"/>
    <w:rsid w:val="008E2319"/>
    <w:rsid w:val="008E26CA"/>
    <w:rsid w:val="008E4BB6"/>
    <w:rsid w:val="008E535F"/>
    <w:rsid w:val="008E5518"/>
    <w:rsid w:val="008E6A84"/>
    <w:rsid w:val="008E71BE"/>
    <w:rsid w:val="008F0CDC"/>
    <w:rsid w:val="008F17A3"/>
    <w:rsid w:val="008F1ED3"/>
    <w:rsid w:val="008F4C29"/>
    <w:rsid w:val="008F4CCA"/>
    <w:rsid w:val="008F6900"/>
    <w:rsid w:val="008F6D20"/>
    <w:rsid w:val="008F70BD"/>
    <w:rsid w:val="008F73E1"/>
    <w:rsid w:val="008F788F"/>
    <w:rsid w:val="008F7EA2"/>
    <w:rsid w:val="00900B49"/>
    <w:rsid w:val="009018F1"/>
    <w:rsid w:val="00902722"/>
    <w:rsid w:val="009027BC"/>
    <w:rsid w:val="00905713"/>
    <w:rsid w:val="009062E6"/>
    <w:rsid w:val="00911105"/>
    <w:rsid w:val="00911B08"/>
    <w:rsid w:val="00911BE5"/>
    <w:rsid w:val="00913CA9"/>
    <w:rsid w:val="009145AE"/>
    <w:rsid w:val="009146CE"/>
    <w:rsid w:val="00914CA7"/>
    <w:rsid w:val="00915C3E"/>
    <w:rsid w:val="009161A8"/>
    <w:rsid w:val="009173CF"/>
    <w:rsid w:val="00922D70"/>
    <w:rsid w:val="00923B7A"/>
    <w:rsid w:val="009245AE"/>
    <w:rsid w:val="009245F5"/>
    <w:rsid w:val="009249EC"/>
    <w:rsid w:val="009273B3"/>
    <w:rsid w:val="00930335"/>
    <w:rsid w:val="009305B5"/>
    <w:rsid w:val="0093185B"/>
    <w:rsid w:val="00931D0B"/>
    <w:rsid w:val="00933193"/>
    <w:rsid w:val="009378DD"/>
    <w:rsid w:val="009429D5"/>
    <w:rsid w:val="00942BF1"/>
    <w:rsid w:val="00943C0E"/>
    <w:rsid w:val="00945180"/>
    <w:rsid w:val="00945428"/>
    <w:rsid w:val="0094607B"/>
    <w:rsid w:val="009523FA"/>
    <w:rsid w:val="00953604"/>
    <w:rsid w:val="00954764"/>
    <w:rsid w:val="0095496B"/>
    <w:rsid w:val="00957659"/>
    <w:rsid w:val="009606BD"/>
    <w:rsid w:val="00960F1E"/>
    <w:rsid w:val="009610DC"/>
    <w:rsid w:val="00961490"/>
    <w:rsid w:val="0096165B"/>
    <w:rsid w:val="0096381A"/>
    <w:rsid w:val="009653A5"/>
    <w:rsid w:val="00965E04"/>
    <w:rsid w:val="009674AD"/>
    <w:rsid w:val="00967AF7"/>
    <w:rsid w:val="00970A18"/>
    <w:rsid w:val="00970CDC"/>
    <w:rsid w:val="009715FE"/>
    <w:rsid w:val="00975727"/>
    <w:rsid w:val="00977010"/>
    <w:rsid w:val="00977D02"/>
    <w:rsid w:val="00977FF9"/>
    <w:rsid w:val="009809BB"/>
    <w:rsid w:val="00983123"/>
    <w:rsid w:val="0098364B"/>
    <w:rsid w:val="00984507"/>
    <w:rsid w:val="0098775B"/>
    <w:rsid w:val="0099056C"/>
    <w:rsid w:val="009908A3"/>
    <w:rsid w:val="009911AF"/>
    <w:rsid w:val="00991720"/>
    <w:rsid w:val="00991875"/>
    <w:rsid w:val="00991F92"/>
    <w:rsid w:val="0099260C"/>
    <w:rsid w:val="00992985"/>
    <w:rsid w:val="00993889"/>
    <w:rsid w:val="0099551B"/>
    <w:rsid w:val="0099637B"/>
    <w:rsid w:val="00996BD2"/>
    <w:rsid w:val="00997BF1"/>
    <w:rsid w:val="009A089C"/>
    <w:rsid w:val="009A118E"/>
    <w:rsid w:val="009A17D3"/>
    <w:rsid w:val="009A21CD"/>
    <w:rsid w:val="009A278C"/>
    <w:rsid w:val="009A2BC2"/>
    <w:rsid w:val="009A42C1"/>
    <w:rsid w:val="009A5429"/>
    <w:rsid w:val="009A72AD"/>
    <w:rsid w:val="009B09E0"/>
    <w:rsid w:val="009B0BC5"/>
    <w:rsid w:val="009B1247"/>
    <w:rsid w:val="009B2126"/>
    <w:rsid w:val="009B6029"/>
    <w:rsid w:val="009B6971"/>
    <w:rsid w:val="009C27F1"/>
    <w:rsid w:val="009C3152"/>
    <w:rsid w:val="009C3257"/>
    <w:rsid w:val="009C4CFA"/>
    <w:rsid w:val="009C5070"/>
    <w:rsid w:val="009C6973"/>
    <w:rsid w:val="009D112C"/>
    <w:rsid w:val="009D1385"/>
    <w:rsid w:val="009D47FA"/>
    <w:rsid w:val="009D4C5B"/>
    <w:rsid w:val="009D50D2"/>
    <w:rsid w:val="009D6BCA"/>
    <w:rsid w:val="009E0F62"/>
    <w:rsid w:val="009E16DC"/>
    <w:rsid w:val="009E2AD7"/>
    <w:rsid w:val="009E38AF"/>
    <w:rsid w:val="009E4A58"/>
    <w:rsid w:val="009E51D6"/>
    <w:rsid w:val="009E5A2D"/>
    <w:rsid w:val="009E5AB2"/>
    <w:rsid w:val="009E6219"/>
    <w:rsid w:val="009F0161"/>
    <w:rsid w:val="009F03B3"/>
    <w:rsid w:val="009F460D"/>
    <w:rsid w:val="00A0096C"/>
    <w:rsid w:val="00A01757"/>
    <w:rsid w:val="00A028C0"/>
    <w:rsid w:val="00A02BAE"/>
    <w:rsid w:val="00A061C8"/>
    <w:rsid w:val="00A06A6B"/>
    <w:rsid w:val="00A07E47"/>
    <w:rsid w:val="00A07EA5"/>
    <w:rsid w:val="00A10C6E"/>
    <w:rsid w:val="00A129D0"/>
    <w:rsid w:val="00A12C33"/>
    <w:rsid w:val="00A138BA"/>
    <w:rsid w:val="00A13AD6"/>
    <w:rsid w:val="00A14C8E"/>
    <w:rsid w:val="00A153D9"/>
    <w:rsid w:val="00A15F09"/>
    <w:rsid w:val="00A169B6"/>
    <w:rsid w:val="00A1704D"/>
    <w:rsid w:val="00A17EC0"/>
    <w:rsid w:val="00A2271D"/>
    <w:rsid w:val="00A237D5"/>
    <w:rsid w:val="00A248EB"/>
    <w:rsid w:val="00A25968"/>
    <w:rsid w:val="00A303D1"/>
    <w:rsid w:val="00A30EFC"/>
    <w:rsid w:val="00A31984"/>
    <w:rsid w:val="00A32D73"/>
    <w:rsid w:val="00A3367B"/>
    <w:rsid w:val="00A34468"/>
    <w:rsid w:val="00A3597D"/>
    <w:rsid w:val="00A36DD1"/>
    <w:rsid w:val="00A4006C"/>
    <w:rsid w:val="00A40091"/>
    <w:rsid w:val="00A4030F"/>
    <w:rsid w:val="00A417EE"/>
    <w:rsid w:val="00A41C79"/>
    <w:rsid w:val="00A41CB5"/>
    <w:rsid w:val="00A42CDF"/>
    <w:rsid w:val="00A43F6C"/>
    <w:rsid w:val="00A4452E"/>
    <w:rsid w:val="00A4472C"/>
    <w:rsid w:val="00A44E69"/>
    <w:rsid w:val="00A4661E"/>
    <w:rsid w:val="00A46A91"/>
    <w:rsid w:val="00A47EA3"/>
    <w:rsid w:val="00A50349"/>
    <w:rsid w:val="00A55BD6"/>
    <w:rsid w:val="00A55D50"/>
    <w:rsid w:val="00A57142"/>
    <w:rsid w:val="00A62F4C"/>
    <w:rsid w:val="00A64453"/>
    <w:rsid w:val="00A648CD"/>
    <w:rsid w:val="00A6537A"/>
    <w:rsid w:val="00A657BA"/>
    <w:rsid w:val="00A67866"/>
    <w:rsid w:val="00A70B07"/>
    <w:rsid w:val="00A723F8"/>
    <w:rsid w:val="00A77CCB"/>
    <w:rsid w:val="00A80D52"/>
    <w:rsid w:val="00A83D8D"/>
    <w:rsid w:val="00A840F4"/>
    <w:rsid w:val="00A8446B"/>
    <w:rsid w:val="00A8473F"/>
    <w:rsid w:val="00A862D6"/>
    <w:rsid w:val="00A8715E"/>
    <w:rsid w:val="00A90254"/>
    <w:rsid w:val="00A90910"/>
    <w:rsid w:val="00A91B31"/>
    <w:rsid w:val="00A9295B"/>
    <w:rsid w:val="00A92EF0"/>
    <w:rsid w:val="00A93B09"/>
    <w:rsid w:val="00A952D7"/>
    <w:rsid w:val="00A963F7"/>
    <w:rsid w:val="00A96AD8"/>
    <w:rsid w:val="00AA052C"/>
    <w:rsid w:val="00AA1E45"/>
    <w:rsid w:val="00AA2C10"/>
    <w:rsid w:val="00AA4286"/>
    <w:rsid w:val="00AA456B"/>
    <w:rsid w:val="00AA57F5"/>
    <w:rsid w:val="00AA5FDD"/>
    <w:rsid w:val="00AA672E"/>
    <w:rsid w:val="00AA6EC9"/>
    <w:rsid w:val="00AB6309"/>
    <w:rsid w:val="00AB6C5F"/>
    <w:rsid w:val="00AB7129"/>
    <w:rsid w:val="00AC0C79"/>
    <w:rsid w:val="00AC1114"/>
    <w:rsid w:val="00AC27A6"/>
    <w:rsid w:val="00AC30F7"/>
    <w:rsid w:val="00AC3A5A"/>
    <w:rsid w:val="00AC4D95"/>
    <w:rsid w:val="00AC534D"/>
    <w:rsid w:val="00AC5DF4"/>
    <w:rsid w:val="00AD0AEF"/>
    <w:rsid w:val="00AD11B7"/>
    <w:rsid w:val="00AD1A94"/>
    <w:rsid w:val="00AD1C05"/>
    <w:rsid w:val="00AD219D"/>
    <w:rsid w:val="00AD3212"/>
    <w:rsid w:val="00AD4126"/>
    <w:rsid w:val="00AD421C"/>
    <w:rsid w:val="00AD44FA"/>
    <w:rsid w:val="00AE070A"/>
    <w:rsid w:val="00AE101C"/>
    <w:rsid w:val="00AE129D"/>
    <w:rsid w:val="00AE2A69"/>
    <w:rsid w:val="00AE37E5"/>
    <w:rsid w:val="00AE5EB4"/>
    <w:rsid w:val="00AF0C18"/>
    <w:rsid w:val="00AF47C5"/>
    <w:rsid w:val="00AF5398"/>
    <w:rsid w:val="00AF74F5"/>
    <w:rsid w:val="00B02C00"/>
    <w:rsid w:val="00B049AF"/>
    <w:rsid w:val="00B06CE1"/>
    <w:rsid w:val="00B07242"/>
    <w:rsid w:val="00B10534"/>
    <w:rsid w:val="00B113DB"/>
    <w:rsid w:val="00B11CFC"/>
    <w:rsid w:val="00B11D8A"/>
    <w:rsid w:val="00B12006"/>
    <w:rsid w:val="00B12981"/>
    <w:rsid w:val="00B137F4"/>
    <w:rsid w:val="00B13AFF"/>
    <w:rsid w:val="00B147DD"/>
    <w:rsid w:val="00B156FD"/>
    <w:rsid w:val="00B15D9E"/>
    <w:rsid w:val="00B17049"/>
    <w:rsid w:val="00B21F61"/>
    <w:rsid w:val="00B22C23"/>
    <w:rsid w:val="00B261F1"/>
    <w:rsid w:val="00B265BC"/>
    <w:rsid w:val="00B2745E"/>
    <w:rsid w:val="00B31FB1"/>
    <w:rsid w:val="00B33952"/>
    <w:rsid w:val="00B33C5E"/>
    <w:rsid w:val="00B33C6D"/>
    <w:rsid w:val="00B342F4"/>
    <w:rsid w:val="00B34369"/>
    <w:rsid w:val="00B34DC2"/>
    <w:rsid w:val="00B36375"/>
    <w:rsid w:val="00B378E5"/>
    <w:rsid w:val="00B37CFA"/>
    <w:rsid w:val="00B404F1"/>
    <w:rsid w:val="00B4346D"/>
    <w:rsid w:val="00B440F4"/>
    <w:rsid w:val="00B447A5"/>
    <w:rsid w:val="00B460C3"/>
    <w:rsid w:val="00B4654C"/>
    <w:rsid w:val="00B47293"/>
    <w:rsid w:val="00B50E50"/>
    <w:rsid w:val="00B52120"/>
    <w:rsid w:val="00B529F9"/>
    <w:rsid w:val="00B53CA1"/>
    <w:rsid w:val="00B54ABC"/>
    <w:rsid w:val="00B558E3"/>
    <w:rsid w:val="00B56FBE"/>
    <w:rsid w:val="00B57FEF"/>
    <w:rsid w:val="00B60ACF"/>
    <w:rsid w:val="00B6177A"/>
    <w:rsid w:val="00B62B58"/>
    <w:rsid w:val="00B65149"/>
    <w:rsid w:val="00B656FE"/>
    <w:rsid w:val="00B66567"/>
    <w:rsid w:val="00B66F52"/>
    <w:rsid w:val="00B66FE5"/>
    <w:rsid w:val="00B71A37"/>
    <w:rsid w:val="00B72880"/>
    <w:rsid w:val="00B758BF"/>
    <w:rsid w:val="00B77EAE"/>
    <w:rsid w:val="00B77EC8"/>
    <w:rsid w:val="00B827A6"/>
    <w:rsid w:val="00B831CE"/>
    <w:rsid w:val="00B86677"/>
    <w:rsid w:val="00B87131"/>
    <w:rsid w:val="00B939B1"/>
    <w:rsid w:val="00B96D40"/>
    <w:rsid w:val="00B97386"/>
    <w:rsid w:val="00BA2616"/>
    <w:rsid w:val="00BA263B"/>
    <w:rsid w:val="00BA2930"/>
    <w:rsid w:val="00BA42B2"/>
    <w:rsid w:val="00BA58D4"/>
    <w:rsid w:val="00BA5B9E"/>
    <w:rsid w:val="00BA618D"/>
    <w:rsid w:val="00BA7C9A"/>
    <w:rsid w:val="00BB5F8F"/>
    <w:rsid w:val="00BB657A"/>
    <w:rsid w:val="00BC1A4E"/>
    <w:rsid w:val="00BC5DC7"/>
    <w:rsid w:val="00BC6B8B"/>
    <w:rsid w:val="00BC73D8"/>
    <w:rsid w:val="00BD52D7"/>
    <w:rsid w:val="00BD5AD2"/>
    <w:rsid w:val="00BD5C0A"/>
    <w:rsid w:val="00BD727E"/>
    <w:rsid w:val="00BE22F3"/>
    <w:rsid w:val="00BE363B"/>
    <w:rsid w:val="00BE5B52"/>
    <w:rsid w:val="00BE7B8D"/>
    <w:rsid w:val="00BF0993"/>
    <w:rsid w:val="00BF0C03"/>
    <w:rsid w:val="00BF10A9"/>
    <w:rsid w:val="00BF1703"/>
    <w:rsid w:val="00BF231C"/>
    <w:rsid w:val="00BF51E5"/>
    <w:rsid w:val="00BF74A6"/>
    <w:rsid w:val="00BF74D3"/>
    <w:rsid w:val="00C013AD"/>
    <w:rsid w:val="00C03E9B"/>
    <w:rsid w:val="00C04904"/>
    <w:rsid w:val="00C056B3"/>
    <w:rsid w:val="00C103E5"/>
    <w:rsid w:val="00C1263A"/>
    <w:rsid w:val="00C13319"/>
    <w:rsid w:val="00C138C6"/>
    <w:rsid w:val="00C13EE9"/>
    <w:rsid w:val="00C1403C"/>
    <w:rsid w:val="00C16AE5"/>
    <w:rsid w:val="00C21540"/>
    <w:rsid w:val="00C21906"/>
    <w:rsid w:val="00C21BFA"/>
    <w:rsid w:val="00C24C8D"/>
    <w:rsid w:val="00C25FE2"/>
    <w:rsid w:val="00C26B53"/>
    <w:rsid w:val="00C279B2"/>
    <w:rsid w:val="00C33E50"/>
    <w:rsid w:val="00C34C20"/>
    <w:rsid w:val="00C35A3E"/>
    <w:rsid w:val="00C42130"/>
    <w:rsid w:val="00C423A4"/>
    <w:rsid w:val="00C423E3"/>
    <w:rsid w:val="00C44A83"/>
    <w:rsid w:val="00C44BF5"/>
    <w:rsid w:val="00C46087"/>
    <w:rsid w:val="00C521D6"/>
    <w:rsid w:val="00C55232"/>
    <w:rsid w:val="00C553A4"/>
    <w:rsid w:val="00C55A06"/>
    <w:rsid w:val="00C55D03"/>
    <w:rsid w:val="00C56E03"/>
    <w:rsid w:val="00C601BC"/>
    <w:rsid w:val="00C60891"/>
    <w:rsid w:val="00C628D2"/>
    <w:rsid w:val="00C6329F"/>
    <w:rsid w:val="00C63340"/>
    <w:rsid w:val="00C643F9"/>
    <w:rsid w:val="00C64E95"/>
    <w:rsid w:val="00C65A73"/>
    <w:rsid w:val="00C67844"/>
    <w:rsid w:val="00C71372"/>
    <w:rsid w:val="00C72410"/>
    <w:rsid w:val="00C7287F"/>
    <w:rsid w:val="00C80CB8"/>
    <w:rsid w:val="00C80E61"/>
    <w:rsid w:val="00C819F8"/>
    <w:rsid w:val="00C8248C"/>
    <w:rsid w:val="00C84E33"/>
    <w:rsid w:val="00C86D6F"/>
    <w:rsid w:val="00C905FC"/>
    <w:rsid w:val="00C92D03"/>
    <w:rsid w:val="00C9319C"/>
    <w:rsid w:val="00C9435D"/>
    <w:rsid w:val="00C94A68"/>
    <w:rsid w:val="00C94DF2"/>
    <w:rsid w:val="00C96741"/>
    <w:rsid w:val="00C97849"/>
    <w:rsid w:val="00CA2D1B"/>
    <w:rsid w:val="00CA375D"/>
    <w:rsid w:val="00CA662A"/>
    <w:rsid w:val="00CA7AFD"/>
    <w:rsid w:val="00CA7C3C"/>
    <w:rsid w:val="00CB0189"/>
    <w:rsid w:val="00CB0BA2"/>
    <w:rsid w:val="00CB1A42"/>
    <w:rsid w:val="00CB1B0C"/>
    <w:rsid w:val="00CB224C"/>
    <w:rsid w:val="00CB2C0B"/>
    <w:rsid w:val="00CB4178"/>
    <w:rsid w:val="00CB432B"/>
    <w:rsid w:val="00CB517D"/>
    <w:rsid w:val="00CB6516"/>
    <w:rsid w:val="00CB6736"/>
    <w:rsid w:val="00CC021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BA"/>
    <w:rsid w:val="00CE0C4F"/>
    <w:rsid w:val="00CE0F0A"/>
    <w:rsid w:val="00CE30EA"/>
    <w:rsid w:val="00CF048A"/>
    <w:rsid w:val="00CF155A"/>
    <w:rsid w:val="00CF24B5"/>
    <w:rsid w:val="00CF2947"/>
    <w:rsid w:val="00CF686F"/>
    <w:rsid w:val="00CF6E60"/>
    <w:rsid w:val="00CF7BCA"/>
    <w:rsid w:val="00D008FD"/>
    <w:rsid w:val="00D0321C"/>
    <w:rsid w:val="00D035EC"/>
    <w:rsid w:val="00D03D42"/>
    <w:rsid w:val="00D06AB1"/>
    <w:rsid w:val="00D06D4E"/>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ED5"/>
    <w:rsid w:val="00D33333"/>
    <w:rsid w:val="00D339CC"/>
    <w:rsid w:val="00D352A2"/>
    <w:rsid w:val="00D36E42"/>
    <w:rsid w:val="00D414B1"/>
    <w:rsid w:val="00D4162B"/>
    <w:rsid w:val="00D4514F"/>
    <w:rsid w:val="00D451E2"/>
    <w:rsid w:val="00D45E89"/>
    <w:rsid w:val="00D45E8D"/>
    <w:rsid w:val="00D466AE"/>
    <w:rsid w:val="00D4734F"/>
    <w:rsid w:val="00D51BF3"/>
    <w:rsid w:val="00D54895"/>
    <w:rsid w:val="00D6509A"/>
    <w:rsid w:val="00D657EE"/>
    <w:rsid w:val="00D65D6F"/>
    <w:rsid w:val="00D66846"/>
    <w:rsid w:val="00D675FB"/>
    <w:rsid w:val="00D71AC8"/>
    <w:rsid w:val="00D71F25"/>
    <w:rsid w:val="00D72A9C"/>
    <w:rsid w:val="00D738BF"/>
    <w:rsid w:val="00D77031"/>
    <w:rsid w:val="00D829BA"/>
    <w:rsid w:val="00D84941"/>
    <w:rsid w:val="00D84DB6"/>
    <w:rsid w:val="00D84FA1"/>
    <w:rsid w:val="00D851F0"/>
    <w:rsid w:val="00D86DB7"/>
    <w:rsid w:val="00D86F66"/>
    <w:rsid w:val="00D87BF5"/>
    <w:rsid w:val="00D90721"/>
    <w:rsid w:val="00D91A31"/>
    <w:rsid w:val="00D926D0"/>
    <w:rsid w:val="00D93030"/>
    <w:rsid w:val="00D93060"/>
    <w:rsid w:val="00D9406F"/>
    <w:rsid w:val="00D94CFD"/>
    <w:rsid w:val="00D950E1"/>
    <w:rsid w:val="00D952A6"/>
    <w:rsid w:val="00D97F99"/>
    <w:rsid w:val="00DA0DF5"/>
    <w:rsid w:val="00DA1E08"/>
    <w:rsid w:val="00DA24F8"/>
    <w:rsid w:val="00DA28E8"/>
    <w:rsid w:val="00DA38D3"/>
    <w:rsid w:val="00DA3932"/>
    <w:rsid w:val="00DA3AFC"/>
    <w:rsid w:val="00DA4655"/>
    <w:rsid w:val="00DA64F8"/>
    <w:rsid w:val="00DA6C15"/>
    <w:rsid w:val="00DB0258"/>
    <w:rsid w:val="00DB38EE"/>
    <w:rsid w:val="00DB498B"/>
    <w:rsid w:val="00DB66CA"/>
    <w:rsid w:val="00DB6941"/>
    <w:rsid w:val="00DB6BCA"/>
    <w:rsid w:val="00DB6F54"/>
    <w:rsid w:val="00DB73F7"/>
    <w:rsid w:val="00DC0321"/>
    <w:rsid w:val="00DC3067"/>
    <w:rsid w:val="00DC370B"/>
    <w:rsid w:val="00DC5B90"/>
    <w:rsid w:val="00DC60B2"/>
    <w:rsid w:val="00DC60E6"/>
    <w:rsid w:val="00DC681A"/>
    <w:rsid w:val="00DD00FF"/>
    <w:rsid w:val="00DD0619"/>
    <w:rsid w:val="00DD07FB"/>
    <w:rsid w:val="00DD177A"/>
    <w:rsid w:val="00DD25C6"/>
    <w:rsid w:val="00DD4FE5"/>
    <w:rsid w:val="00DD54B0"/>
    <w:rsid w:val="00DD57EE"/>
    <w:rsid w:val="00DD6BCC"/>
    <w:rsid w:val="00DE0A4B"/>
    <w:rsid w:val="00DE2410"/>
    <w:rsid w:val="00DE2939"/>
    <w:rsid w:val="00DE53A5"/>
    <w:rsid w:val="00DE6E81"/>
    <w:rsid w:val="00DE703F"/>
    <w:rsid w:val="00DE7595"/>
    <w:rsid w:val="00DF12A7"/>
    <w:rsid w:val="00DF1961"/>
    <w:rsid w:val="00DF2E0A"/>
    <w:rsid w:val="00DF442E"/>
    <w:rsid w:val="00DF44DE"/>
    <w:rsid w:val="00DF4ECC"/>
    <w:rsid w:val="00E00D2F"/>
    <w:rsid w:val="00E0105B"/>
    <w:rsid w:val="00E01138"/>
    <w:rsid w:val="00E02DFB"/>
    <w:rsid w:val="00E0304A"/>
    <w:rsid w:val="00E030F9"/>
    <w:rsid w:val="00E0311A"/>
    <w:rsid w:val="00E03138"/>
    <w:rsid w:val="00E03B07"/>
    <w:rsid w:val="00E06404"/>
    <w:rsid w:val="00E11A85"/>
    <w:rsid w:val="00E12495"/>
    <w:rsid w:val="00E14300"/>
    <w:rsid w:val="00E15CCD"/>
    <w:rsid w:val="00E168FE"/>
    <w:rsid w:val="00E202EF"/>
    <w:rsid w:val="00E210B5"/>
    <w:rsid w:val="00E22C41"/>
    <w:rsid w:val="00E2552F"/>
    <w:rsid w:val="00E3137A"/>
    <w:rsid w:val="00E314B7"/>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E72"/>
    <w:rsid w:val="00E70388"/>
    <w:rsid w:val="00E70F92"/>
    <w:rsid w:val="00E72AE3"/>
    <w:rsid w:val="00E73404"/>
    <w:rsid w:val="00E73574"/>
    <w:rsid w:val="00E74313"/>
    <w:rsid w:val="00E74C54"/>
    <w:rsid w:val="00E76FD0"/>
    <w:rsid w:val="00E77A03"/>
    <w:rsid w:val="00E822E8"/>
    <w:rsid w:val="00E82554"/>
    <w:rsid w:val="00E82606"/>
    <w:rsid w:val="00E831C1"/>
    <w:rsid w:val="00E846C8"/>
    <w:rsid w:val="00E84957"/>
    <w:rsid w:val="00E84A55"/>
    <w:rsid w:val="00E8579E"/>
    <w:rsid w:val="00E85BFF"/>
    <w:rsid w:val="00E87508"/>
    <w:rsid w:val="00E90391"/>
    <w:rsid w:val="00E906C2"/>
    <w:rsid w:val="00E9311F"/>
    <w:rsid w:val="00E934D1"/>
    <w:rsid w:val="00E94AF0"/>
    <w:rsid w:val="00E95D13"/>
    <w:rsid w:val="00E95DD3"/>
    <w:rsid w:val="00E969D5"/>
    <w:rsid w:val="00EA58D1"/>
    <w:rsid w:val="00EA61BC"/>
    <w:rsid w:val="00EA681A"/>
    <w:rsid w:val="00EA6BFA"/>
    <w:rsid w:val="00EA735B"/>
    <w:rsid w:val="00EB1E69"/>
    <w:rsid w:val="00EB2086"/>
    <w:rsid w:val="00EB31ED"/>
    <w:rsid w:val="00EB5EDF"/>
    <w:rsid w:val="00EB60FE"/>
    <w:rsid w:val="00EB74DB"/>
    <w:rsid w:val="00EC1EB7"/>
    <w:rsid w:val="00EC4604"/>
    <w:rsid w:val="00EC5359"/>
    <w:rsid w:val="00EC562A"/>
    <w:rsid w:val="00ED067A"/>
    <w:rsid w:val="00ED198C"/>
    <w:rsid w:val="00ED2B50"/>
    <w:rsid w:val="00ED45F3"/>
    <w:rsid w:val="00ED6AAB"/>
    <w:rsid w:val="00EE0350"/>
    <w:rsid w:val="00EE0719"/>
    <w:rsid w:val="00EE0E80"/>
    <w:rsid w:val="00EE0EB2"/>
    <w:rsid w:val="00EE613F"/>
    <w:rsid w:val="00EE7295"/>
    <w:rsid w:val="00EE7869"/>
    <w:rsid w:val="00EF054A"/>
    <w:rsid w:val="00EF0D1E"/>
    <w:rsid w:val="00EF3235"/>
    <w:rsid w:val="00EF3B22"/>
    <w:rsid w:val="00EF41D6"/>
    <w:rsid w:val="00EF7E72"/>
    <w:rsid w:val="00F0607B"/>
    <w:rsid w:val="00F06D37"/>
    <w:rsid w:val="00F07548"/>
    <w:rsid w:val="00F07B9D"/>
    <w:rsid w:val="00F10673"/>
    <w:rsid w:val="00F113EA"/>
    <w:rsid w:val="00F11586"/>
    <w:rsid w:val="00F1183B"/>
    <w:rsid w:val="00F11C9F"/>
    <w:rsid w:val="00F12016"/>
    <w:rsid w:val="00F12263"/>
    <w:rsid w:val="00F13A8D"/>
    <w:rsid w:val="00F1409D"/>
    <w:rsid w:val="00F14214"/>
    <w:rsid w:val="00F157A9"/>
    <w:rsid w:val="00F169D4"/>
    <w:rsid w:val="00F16F00"/>
    <w:rsid w:val="00F17E8A"/>
    <w:rsid w:val="00F21063"/>
    <w:rsid w:val="00F24BEB"/>
    <w:rsid w:val="00F25BB6"/>
    <w:rsid w:val="00F26B7E"/>
    <w:rsid w:val="00F27A3B"/>
    <w:rsid w:val="00F310C8"/>
    <w:rsid w:val="00F33817"/>
    <w:rsid w:val="00F420D5"/>
    <w:rsid w:val="00F437B3"/>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333"/>
    <w:rsid w:val="00F72AE7"/>
    <w:rsid w:val="00F75652"/>
    <w:rsid w:val="00F76007"/>
    <w:rsid w:val="00F80463"/>
    <w:rsid w:val="00F833BA"/>
    <w:rsid w:val="00F84FD0"/>
    <w:rsid w:val="00F859A8"/>
    <w:rsid w:val="00F86D87"/>
    <w:rsid w:val="00F87C8C"/>
    <w:rsid w:val="00F87DCA"/>
    <w:rsid w:val="00F9108B"/>
    <w:rsid w:val="00F91349"/>
    <w:rsid w:val="00F93291"/>
    <w:rsid w:val="00F93A8A"/>
    <w:rsid w:val="00F94121"/>
    <w:rsid w:val="00F95248"/>
    <w:rsid w:val="00F956A9"/>
    <w:rsid w:val="00F963C7"/>
    <w:rsid w:val="00F963ED"/>
    <w:rsid w:val="00F966CF"/>
    <w:rsid w:val="00F96CAE"/>
    <w:rsid w:val="00F97C99"/>
    <w:rsid w:val="00FA1920"/>
    <w:rsid w:val="00FA5079"/>
    <w:rsid w:val="00FA662D"/>
    <w:rsid w:val="00FA69EB"/>
    <w:rsid w:val="00FA73B1"/>
    <w:rsid w:val="00FB0CB9"/>
    <w:rsid w:val="00FB231D"/>
    <w:rsid w:val="00FB3640"/>
    <w:rsid w:val="00FB37C1"/>
    <w:rsid w:val="00FB45F1"/>
    <w:rsid w:val="00FB4A72"/>
    <w:rsid w:val="00FB54E8"/>
    <w:rsid w:val="00FB5E79"/>
    <w:rsid w:val="00FB6568"/>
    <w:rsid w:val="00FB7054"/>
    <w:rsid w:val="00FC17B7"/>
    <w:rsid w:val="00FC2CB7"/>
    <w:rsid w:val="00FC4090"/>
    <w:rsid w:val="00FC55B4"/>
    <w:rsid w:val="00FC5F8C"/>
    <w:rsid w:val="00FD00E6"/>
    <w:rsid w:val="00FD09A1"/>
    <w:rsid w:val="00FD2A7C"/>
    <w:rsid w:val="00FD4FF6"/>
    <w:rsid w:val="00FD59EB"/>
    <w:rsid w:val="00FD7299"/>
    <w:rsid w:val="00FE1127"/>
    <w:rsid w:val="00FE1FBE"/>
    <w:rsid w:val="00FE3901"/>
    <w:rsid w:val="00FE39D3"/>
    <w:rsid w:val="00FE4BCE"/>
    <w:rsid w:val="00FE54AE"/>
    <w:rsid w:val="00FE576A"/>
    <w:rsid w:val="00FE7A61"/>
    <w:rsid w:val="00FE7E79"/>
    <w:rsid w:val="00FF1D52"/>
    <w:rsid w:val="00FF281B"/>
    <w:rsid w:val="00FF3E7D"/>
    <w:rsid w:val="00FF5B99"/>
    <w:rsid w:val="00FF730C"/>
    <w:rsid w:val="00FF73F4"/>
    <w:rsid w:val="00FF7CE4"/>
    <w:rsid w:val="00FF7E39"/>
    <w:rsid w:val="05087233"/>
    <w:rsid w:val="07512869"/>
    <w:rsid w:val="0A780920"/>
    <w:rsid w:val="12320CAD"/>
    <w:rsid w:val="1287762B"/>
    <w:rsid w:val="17622DF5"/>
    <w:rsid w:val="195D35A6"/>
    <w:rsid w:val="21347BEE"/>
    <w:rsid w:val="25ED1E01"/>
    <w:rsid w:val="29053906"/>
    <w:rsid w:val="2EFB0BF7"/>
    <w:rsid w:val="2F3E7229"/>
    <w:rsid w:val="31A87524"/>
    <w:rsid w:val="3AA64A54"/>
    <w:rsid w:val="3C6C74F7"/>
    <w:rsid w:val="42226C4E"/>
    <w:rsid w:val="4435050D"/>
    <w:rsid w:val="470B6133"/>
    <w:rsid w:val="4A586A8B"/>
    <w:rsid w:val="4DF47921"/>
    <w:rsid w:val="5E1049C8"/>
    <w:rsid w:val="6B39476E"/>
    <w:rsid w:val="6C49084A"/>
    <w:rsid w:val="6DD11FAD"/>
    <w:rsid w:val="7808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33"/>
    <w:semiHidden/>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4"/>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列项——（一级）"/>
    <w:qFormat/>
    <w:uiPriority w:val="0"/>
    <w:pPr>
      <w:widowControl w:val="0"/>
      <w:jc w:val="both"/>
    </w:pPr>
    <w:rPr>
      <w:rFonts w:ascii="宋体" w:hAnsi="Times New Roman" w:eastAsia="宋体" w:cs="Times New Roman"/>
      <w:sz w:val="21"/>
      <w:lang w:val="en-US" w:eastAsia="zh-CN" w:bidi="ar-SA"/>
    </w:rPr>
  </w:style>
  <w:style w:type="paragraph" w:styleId="232">
    <w:name w:val="List Paragraph"/>
    <w:basedOn w:val="1"/>
    <w:qFormat/>
    <w:uiPriority w:val="99"/>
    <w:pPr>
      <w:ind w:firstLine="420" w:firstLineChars="200"/>
    </w:pPr>
  </w:style>
  <w:style w:type="character" w:customStyle="1" w:styleId="233">
    <w:name w:val="日期 Char"/>
    <w:basedOn w:val="29"/>
    <w:link w:val="16"/>
    <w:semiHidden/>
    <w:qFormat/>
    <w:uiPriority w:val="99"/>
    <w:rPr>
      <w:kern w:val="2"/>
      <w:sz w:val="21"/>
      <w:szCs w:val="21"/>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附录章标题"/>
    <w:next w:val="234"/>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7">
    <w:name w:val="附录标识"/>
    <w:basedOn w:val="1"/>
    <w:next w:val="234"/>
    <w:qFormat/>
    <w:uiPriority w:val="0"/>
    <w:pPr>
      <w:keepNext/>
      <w:widowControl/>
      <w:numPr>
        <w:ilvl w:val="0"/>
        <w:numId w:val="5"/>
      </w:numPr>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8">
    <w:name w:val="附录表标题"/>
    <w:basedOn w:val="1"/>
    <w:next w:val="234"/>
    <w:qFormat/>
    <w:uiPriority w:val="0"/>
    <w:pPr>
      <w:tabs>
        <w:tab w:val="left" w:pos="180"/>
      </w:tabs>
      <w:adjustRightInd/>
      <w:spacing w:before="50" w:beforeLines="50" w:after="50" w:afterLines="50" w:line="240" w:lineRule="auto"/>
      <w:jc w:val="center"/>
    </w:pPr>
    <w:rPr>
      <w:rFonts w:ascii="黑体" w:hAnsi="Times New Roman" w:eastAsia="黑体"/>
    </w:rPr>
  </w:style>
  <w:style w:type="paragraph" w:customStyle="1" w:styleId="239">
    <w:name w:val="一级无"/>
    <w:basedOn w:val="1"/>
    <w:qFormat/>
    <w:uiPriority w:val="0"/>
    <w:pPr>
      <w:widowControl/>
      <w:adjustRightInd/>
      <w:spacing w:line="240" w:lineRule="auto"/>
      <w:jc w:val="left"/>
      <w:outlineLvl w:val="2"/>
    </w:pPr>
    <w:rPr>
      <w:rFonts w:ascii="宋体" w:hAnsi="Times New Roman"/>
      <w:kern w:val="0"/>
    </w:rPr>
  </w:style>
  <w:style w:type="paragraph" w:customStyle="1" w:styleId="240">
    <w:name w:val="二级条标题"/>
    <w:basedOn w:val="1"/>
    <w:next w:val="234"/>
    <w:qFormat/>
    <w:uiPriority w:val="0"/>
    <w:pPr>
      <w:widowControl/>
      <w:adjustRightInd/>
      <w:spacing w:before="50" w:beforeLines="50" w:after="50" w:afterLines="50" w:line="240" w:lineRule="auto"/>
      <w:jc w:val="left"/>
      <w:outlineLvl w:val="3"/>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8C88C206CB2C437BA6AD2F626C67CDAF"/>
        <w:style w:val=""/>
        <w:category>
          <w:name w:val="常规"/>
          <w:gallery w:val="placeholder"/>
        </w:category>
        <w:types>
          <w:type w:val="bbPlcHdr"/>
        </w:types>
        <w:behaviors>
          <w:behavior w:val="content"/>
        </w:behaviors>
        <w:description w:val=""/>
        <w:guid w:val="{DC55CEB2-0EF6-4BFF-ADB3-2A363D0181DB}"/>
      </w:docPartPr>
      <w:docPartBody>
        <w:p>
          <w:pPr>
            <w:pStyle w:val="6"/>
          </w:pPr>
          <w:r>
            <w:rPr>
              <w:rStyle w:val="4"/>
              <w:rFonts w:hint="eastAsia"/>
            </w:rPr>
            <w:t>选择一项。</w:t>
          </w:r>
        </w:p>
      </w:docPartBody>
    </w:docPart>
    <w:docPart>
      <w:docPartPr>
        <w:name w:val="393CDCA0DBA847188B33EE97CABA8B7B"/>
        <w:style w:val=""/>
        <w:category>
          <w:name w:val="常规"/>
          <w:gallery w:val="placeholder"/>
        </w:category>
        <w:types>
          <w:type w:val="bbPlcHdr"/>
        </w:types>
        <w:behaviors>
          <w:behavior w:val="content"/>
        </w:behaviors>
        <w:description w:val=""/>
        <w:guid w:val="{BD02726E-ECDB-44D8-B893-5384B5FF2D26}"/>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403D1"/>
    <w:rsid w:val="00063FFE"/>
    <w:rsid w:val="000930BB"/>
    <w:rsid w:val="000957F4"/>
    <w:rsid w:val="000D1BA8"/>
    <w:rsid w:val="001C6AA0"/>
    <w:rsid w:val="0020347B"/>
    <w:rsid w:val="002B6377"/>
    <w:rsid w:val="002C2EAD"/>
    <w:rsid w:val="002C631C"/>
    <w:rsid w:val="002D663E"/>
    <w:rsid w:val="003546EE"/>
    <w:rsid w:val="00357E60"/>
    <w:rsid w:val="003A4597"/>
    <w:rsid w:val="003F09A1"/>
    <w:rsid w:val="00436B76"/>
    <w:rsid w:val="00440CB8"/>
    <w:rsid w:val="00484E7A"/>
    <w:rsid w:val="004D7B0C"/>
    <w:rsid w:val="00504E82"/>
    <w:rsid w:val="005533A2"/>
    <w:rsid w:val="00566FF8"/>
    <w:rsid w:val="0058092C"/>
    <w:rsid w:val="005D4B7B"/>
    <w:rsid w:val="006624A0"/>
    <w:rsid w:val="00697E07"/>
    <w:rsid w:val="006C2FD6"/>
    <w:rsid w:val="006E3E40"/>
    <w:rsid w:val="00703ABB"/>
    <w:rsid w:val="00725930"/>
    <w:rsid w:val="00732BBD"/>
    <w:rsid w:val="007917DB"/>
    <w:rsid w:val="007A02CF"/>
    <w:rsid w:val="008469DC"/>
    <w:rsid w:val="008966E8"/>
    <w:rsid w:val="008C6137"/>
    <w:rsid w:val="0090267C"/>
    <w:rsid w:val="00914273"/>
    <w:rsid w:val="00971A0B"/>
    <w:rsid w:val="00983ADC"/>
    <w:rsid w:val="009D63DC"/>
    <w:rsid w:val="00A9122E"/>
    <w:rsid w:val="00AB1A34"/>
    <w:rsid w:val="00AF17C4"/>
    <w:rsid w:val="00B520EA"/>
    <w:rsid w:val="00BD6D5B"/>
    <w:rsid w:val="00BD76A1"/>
    <w:rsid w:val="00BF7527"/>
    <w:rsid w:val="00C07057"/>
    <w:rsid w:val="00C24099"/>
    <w:rsid w:val="00C77E5E"/>
    <w:rsid w:val="00C8430E"/>
    <w:rsid w:val="00D07681"/>
    <w:rsid w:val="00DA4597"/>
    <w:rsid w:val="00DA7F5A"/>
    <w:rsid w:val="00DC6400"/>
    <w:rsid w:val="00DD0731"/>
    <w:rsid w:val="00E36696"/>
    <w:rsid w:val="00E669D0"/>
    <w:rsid w:val="00E85F6F"/>
    <w:rsid w:val="00E902B4"/>
    <w:rsid w:val="00FC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93CDCA0DBA847188B33EE97CABA8B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E6F36208DBC4E86A5361D8342C1AD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4601B-3EB5-4045-8EE9-04986A4C57F1}">
  <ds:schemaRefs/>
</ds:datastoreItem>
</file>

<file path=docProps/app.xml><?xml version="1.0" encoding="utf-8"?>
<Properties xmlns="http://schemas.openxmlformats.org/officeDocument/2006/extended-properties" xmlns:vt="http://schemas.openxmlformats.org/officeDocument/2006/docPropsVTypes">
  <Template>团体标准</Template>
  <Company>微软中国</Company>
  <Pages>12</Pages>
  <Words>2730</Words>
  <Characters>2983</Characters>
  <Lines>30</Lines>
  <Paragraphs>8</Paragraphs>
  <TotalTime>224</TotalTime>
  <ScaleCrop>false</ScaleCrop>
  <LinksUpToDate>false</LinksUpToDate>
  <CharactersWithSpaces>3099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2022-05-09T06:46:00Z</dcterms:created>
  <dc:creator>陈圳</dc:creator>
  <dc:description>&lt;config cover="true" show_menu="true" version="1.0.0" doctype="SDKXY"&gt;_x000d_
&lt;/config&gt;</dc:description>
  <cp:lastModifiedBy>CY</cp:lastModifiedBy>
  <dcterms:modified xsi:type="dcterms:W3CDTF">2022-06-15T08:35:15Z</dcterms:modified>
  <dc:title>团体标准</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y fmtid="{D5CDD505-2E9C-101B-9397-08002B2CF9AE}" pid="17" name="_DocHome">
    <vt:i4>-1184508812</vt:i4>
  </property>
</Properties>
</file>