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A5" w:rsidRDefault="00AD03A5">
      <w:pPr>
        <w:pStyle w:val="a3"/>
        <w:spacing w:line="360" w:lineRule="auto"/>
        <w:rPr>
          <w:rFonts w:ascii="Times New Roman"/>
          <w:sz w:val="20"/>
        </w:rPr>
      </w:pPr>
      <w:bookmarkStart w:id="0" w:name="_GoBack"/>
      <w:bookmarkEnd w:id="0"/>
    </w:p>
    <w:p w:rsidR="00AD03A5" w:rsidRDefault="00AD03A5">
      <w:pPr>
        <w:pStyle w:val="a3"/>
        <w:spacing w:line="360" w:lineRule="auto"/>
        <w:rPr>
          <w:rFonts w:ascii="Times New Roman"/>
          <w:sz w:val="20"/>
        </w:rPr>
      </w:pPr>
    </w:p>
    <w:p w:rsidR="00AD03A5" w:rsidRDefault="00AD03A5">
      <w:pPr>
        <w:pStyle w:val="a3"/>
        <w:spacing w:line="360" w:lineRule="auto"/>
        <w:rPr>
          <w:rFonts w:ascii="Times New Roman"/>
          <w:sz w:val="20"/>
        </w:rPr>
      </w:pPr>
    </w:p>
    <w:p w:rsidR="00AD03A5" w:rsidRDefault="00AD03A5">
      <w:pPr>
        <w:pStyle w:val="a3"/>
        <w:spacing w:line="360" w:lineRule="auto"/>
        <w:rPr>
          <w:rFonts w:ascii="Times New Roman"/>
          <w:sz w:val="20"/>
        </w:rPr>
      </w:pPr>
    </w:p>
    <w:p w:rsidR="00AD03A5" w:rsidRDefault="00AD03A5">
      <w:pPr>
        <w:pStyle w:val="a3"/>
        <w:spacing w:line="360" w:lineRule="auto"/>
        <w:rPr>
          <w:rFonts w:ascii="Times New Roman"/>
          <w:sz w:val="20"/>
        </w:rPr>
      </w:pPr>
    </w:p>
    <w:p w:rsidR="00AD03A5" w:rsidRDefault="00AD03A5">
      <w:pPr>
        <w:pStyle w:val="a3"/>
        <w:spacing w:line="360" w:lineRule="auto"/>
        <w:rPr>
          <w:rFonts w:ascii="Times New Roman"/>
          <w:sz w:val="20"/>
        </w:rPr>
      </w:pPr>
    </w:p>
    <w:p w:rsidR="00AD03A5" w:rsidRDefault="00AD03A5">
      <w:pPr>
        <w:pStyle w:val="a3"/>
        <w:spacing w:line="360" w:lineRule="auto"/>
        <w:rPr>
          <w:rFonts w:ascii="Times New Roman"/>
          <w:sz w:val="20"/>
        </w:rPr>
      </w:pPr>
    </w:p>
    <w:p w:rsidR="00AD03A5" w:rsidRDefault="00AD03A5">
      <w:pPr>
        <w:pStyle w:val="a3"/>
        <w:spacing w:line="360" w:lineRule="auto"/>
        <w:rPr>
          <w:rFonts w:ascii="Times New Roman"/>
          <w:sz w:val="20"/>
        </w:rPr>
      </w:pPr>
    </w:p>
    <w:p w:rsidR="00AD03A5" w:rsidRDefault="00AD03A5">
      <w:pPr>
        <w:pStyle w:val="a3"/>
        <w:spacing w:line="360" w:lineRule="auto"/>
        <w:rPr>
          <w:rFonts w:ascii="Times New Roman"/>
          <w:sz w:val="20"/>
        </w:rPr>
      </w:pPr>
    </w:p>
    <w:p w:rsidR="00AD03A5" w:rsidRDefault="00AD03A5">
      <w:pPr>
        <w:pStyle w:val="a3"/>
        <w:spacing w:before="8" w:line="360" w:lineRule="auto"/>
        <w:rPr>
          <w:rFonts w:ascii="Times New Roman"/>
          <w:sz w:val="29"/>
        </w:rPr>
      </w:pPr>
    </w:p>
    <w:p w:rsidR="00AD03A5" w:rsidRDefault="00434486">
      <w:pPr>
        <w:pStyle w:val="1"/>
        <w:spacing w:line="360" w:lineRule="auto"/>
        <w:rPr>
          <w:rFonts w:eastAsiaTheme="minorEastAsia"/>
          <w:b w:val="0"/>
          <w:bCs w:val="0"/>
          <w:spacing w:val="1"/>
          <w:w w:val="95"/>
          <w:sz w:val="36"/>
          <w:szCs w:val="36"/>
        </w:rPr>
      </w:pPr>
      <w:r>
        <w:rPr>
          <w:b w:val="0"/>
          <w:bCs w:val="0"/>
          <w:spacing w:val="1"/>
          <w:w w:val="95"/>
          <w:sz w:val="36"/>
          <w:szCs w:val="36"/>
        </w:rPr>
        <w:t>团体标准</w:t>
      </w:r>
    </w:p>
    <w:p w:rsidR="00AD03A5" w:rsidRDefault="00434486"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pacing w:val="4"/>
          <w:sz w:val="36"/>
          <w:szCs w:val="36"/>
        </w:rPr>
        <w:t>《</w:t>
      </w:r>
      <w:r>
        <w:rPr>
          <w:rFonts w:hint="eastAsia"/>
          <w:spacing w:val="4"/>
          <w:sz w:val="36"/>
          <w:szCs w:val="36"/>
          <w:lang w:val="en-US"/>
        </w:rPr>
        <w:t>隧道工程环境质量检测与验收规范</w:t>
      </w:r>
      <w:r>
        <w:rPr>
          <w:rFonts w:hint="eastAsia"/>
          <w:spacing w:val="-17"/>
          <w:sz w:val="36"/>
          <w:szCs w:val="36"/>
        </w:rPr>
        <w:t>》</w:t>
      </w:r>
    </w:p>
    <w:p w:rsidR="00AD03A5" w:rsidRDefault="00434486">
      <w:pPr>
        <w:tabs>
          <w:tab w:val="left" w:pos="7179"/>
        </w:tabs>
        <w:spacing w:before="39" w:line="360" w:lineRule="auto"/>
        <w:ind w:left="2100" w:right="1845"/>
        <w:jc w:val="center"/>
        <w:rPr>
          <w:rFonts w:ascii="Microsoft JhengHei" w:eastAsia="Microsoft JhengHei"/>
          <w:sz w:val="36"/>
          <w:szCs w:val="36"/>
        </w:rPr>
      </w:pPr>
      <w:r>
        <w:rPr>
          <w:rFonts w:ascii="Microsoft JhengHei" w:eastAsia="Microsoft JhengHei" w:hint="eastAsia"/>
          <w:spacing w:val="4"/>
          <w:sz w:val="36"/>
          <w:szCs w:val="36"/>
        </w:rPr>
        <w:t>编</w:t>
      </w:r>
      <w:r>
        <w:rPr>
          <w:rFonts w:ascii="Microsoft JhengHei" w:eastAsia="Microsoft JhengHei" w:hint="eastAsia"/>
          <w:sz w:val="36"/>
          <w:szCs w:val="36"/>
        </w:rPr>
        <w:t>制</w:t>
      </w:r>
      <w:r>
        <w:rPr>
          <w:rFonts w:ascii="Microsoft JhengHei" w:eastAsia="Microsoft JhengHei" w:hint="eastAsia"/>
          <w:spacing w:val="4"/>
          <w:sz w:val="36"/>
          <w:szCs w:val="36"/>
        </w:rPr>
        <w:t>说</w:t>
      </w:r>
      <w:r>
        <w:rPr>
          <w:rFonts w:ascii="Microsoft JhengHei" w:eastAsia="Microsoft JhengHei" w:hint="eastAsia"/>
          <w:sz w:val="36"/>
          <w:szCs w:val="36"/>
        </w:rPr>
        <w:t>明</w:t>
      </w:r>
    </w:p>
    <w:p w:rsidR="00AD03A5" w:rsidRDefault="00AD03A5">
      <w:pPr>
        <w:pStyle w:val="a3"/>
        <w:spacing w:line="360" w:lineRule="auto"/>
        <w:rPr>
          <w:rFonts w:ascii="Microsoft JhengHei"/>
          <w:b/>
          <w:sz w:val="44"/>
        </w:rPr>
      </w:pPr>
    </w:p>
    <w:p w:rsidR="00AD03A5" w:rsidRDefault="00AD03A5">
      <w:pPr>
        <w:pStyle w:val="a3"/>
        <w:spacing w:line="360" w:lineRule="auto"/>
        <w:rPr>
          <w:rFonts w:ascii="Microsoft JhengHei"/>
          <w:b/>
          <w:sz w:val="44"/>
        </w:rPr>
      </w:pPr>
    </w:p>
    <w:p w:rsidR="00AD03A5" w:rsidRDefault="00AD03A5">
      <w:pPr>
        <w:pStyle w:val="a3"/>
        <w:spacing w:line="360" w:lineRule="auto"/>
        <w:rPr>
          <w:rFonts w:ascii="Microsoft JhengHei"/>
          <w:b/>
          <w:sz w:val="44"/>
        </w:rPr>
      </w:pPr>
    </w:p>
    <w:p w:rsidR="00AD03A5" w:rsidRDefault="00AD03A5">
      <w:pPr>
        <w:pStyle w:val="a3"/>
        <w:spacing w:line="360" w:lineRule="auto"/>
        <w:rPr>
          <w:rFonts w:ascii="Microsoft JhengHei"/>
          <w:b/>
          <w:sz w:val="44"/>
        </w:rPr>
      </w:pPr>
    </w:p>
    <w:p w:rsidR="00AD03A5" w:rsidRDefault="00AD03A5">
      <w:pPr>
        <w:pStyle w:val="a3"/>
        <w:spacing w:line="360" w:lineRule="auto"/>
        <w:rPr>
          <w:rFonts w:ascii="Microsoft JhengHei"/>
          <w:b/>
          <w:sz w:val="44"/>
        </w:rPr>
      </w:pPr>
    </w:p>
    <w:p w:rsidR="00AD03A5" w:rsidRDefault="00AD03A5">
      <w:pPr>
        <w:pStyle w:val="a3"/>
        <w:spacing w:before="16" w:line="360" w:lineRule="auto"/>
        <w:rPr>
          <w:rFonts w:ascii="Microsoft JhengHei"/>
          <w:b/>
          <w:sz w:val="56"/>
        </w:rPr>
      </w:pPr>
    </w:p>
    <w:p w:rsidR="00AD03A5" w:rsidRDefault="00434486">
      <w:pPr>
        <w:spacing w:line="360" w:lineRule="auto"/>
        <w:ind w:left="2095" w:right="1845"/>
        <w:jc w:val="center"/>
        <w:rPr>
          <w:sz w:val="36"/>
        </w:rPr>
      </w:pPr>
      <w:r>
        <w:rPr>
          <w:rFonts w:hint="eastAsia"/>
          <w:sz w:val="36"/>
          <w:lang w:val="en-US"/>
        </w:rPr>
        <w:t>2022</w:t>
      </w:r>
      <w:r>
        <w:rPr>
          <w:sz w:val="36"/>
        </w:rPr>
        <w:t>年</w:t>
      </w:r>
      <w:r>
        <w:rPr>
          <w:rFonts w:hint="eastAsia"/>
          <w:sz w:val="36"/>
          <w:lang w:val="en-US"/>
        </w:rPr>
        <w:t>4</w:t>
      </w:r>
      <w:r>
        <w:rPr>
          <w:sz w:val="36"/>
        </w:rPr>
        <w:t>月</w:t>
      </w:r>
    </w:p>
    <w:p w:rsidR="00AD03A5" w:rsidRDefault="00AD03A5">
      <w:pPr>
        <w:spacing w:line="360" w:lineRule="auto"/>
        <w:jc w:val="center"/>
        <w:rPr>
          <w:sz w:val="36"/>
        </w:rPr>
        <w:sectPr w:rsidR="00AD03A5">
          <w:type w:val="continuous"/>
          <w:pgSz w:w="11910" w:h="16840"/>
          <w:pgMar w:top="1580" w:right="1140" w:bottom="280" w:left="1300" w:header="720" w:footer="720" w:gutter="0"/>
          <w:cols w:space="720"/>
        </w:sectPr>
      </w:pPr>
    </w:p>
    <w:p w:rsidR="00AD03A5" w:rsidRDefault="00434486">
      <w:pPr>
        <w:spacing w:line="360" w:lineRule="auto"/>
        <w:ind w:left="1688" w:right="1845"/>
        <w:jc w:val="center"/>
        <w:rPr>
          <w:rFonts w:ascii="Microsoft JhengHei" w:eastAsiaTheme="minorEastAsia"/>
          <w:b/>
          <w:sz w:val="32"/>
          <w:szCs w:val="32"/>
        </w:rPr>
      </w:pPr>
      <w:r>
        <w:rPr>
          <w:rFonts w:ascii="Microsoft JhengHei" w:eastAsia="Microsoft JhengHei" w:hint="eastAsia"/>
          <w:b/>
          <w:sz w:val="32"/>
          <w:szCs w:val="32"/>
        </w:rPr>
        <w:lastRenderedPageBreak/>
        <w:t>《</w:t>
      </w:r>
      <w:r>
        <w:rPr>
          <w:rFonts w:ascii="Microsoft JhengHei" w:eastAsia="Microsoft JhengHei" w:hint="eastAsia"/>
          <w:b/>
          <w:sz w:val="32"/>
          <w:szCs w:val="32"/>
          <w:lang w:val="en-US"/>
        </w:rPr>
        <w:t>隧道工程环境质量检测与验收规</w:t>
      </w:r>
      <w:r>
        <w:rPr>
          <w:rFonts w:ascii="Microsoft JhengHei" w:eastAsia="Microsoft JhengHei" w:hint="eastAsia"/>
          <w:b/>
          <w:sz w:val="32"/>
          <w:szCs w:val="32"/>
        </w:rPr>
        <w:t>范》</w:t>
      </w:r>
    </w:p>
    <w:p w:rsidR="00AD03A5" w:rsidRDefault="00434486">
      <w:pPr>
        <w:spacing w:line="360" w:lineRule="auto"/>
        <w:ind w:left="1688" w:right="1845"/>
        <w:jc w:val="center"/>
        <w:rPr>
          <w:rFonts w:ascii="Microsoft JhengHei" w:eastAsia="Microsoft JhengHei"/>
          <w:b/>
          <w:sz w:val="32"/>
          <w:szCs w:val="32"/>
        </w:rPr>
      </w:pPr>
      <w:r>
        <w:rPr>
          <w:rFonts w:ascii="Microsoft JhengHei" w:eastAsia="Microsoft JhengHei" w:hint="eastAsia"/>
          <w:b/>
          <w:sz w:val="32"/>
          <w:szCs w:val="32"/>
        </w:rPr>
        <w:t>编制说明</w:t>
      </w:r>
    </w:p>
    <w:p w:rsidR="00AD03A5" w:rsidRDefault="00AD03A5">
      <w:pPr>
        <w:pStyle w:val="a3"/>
        <w:spacing w:before="17" w:line="360" w:lineRule="auto"/>
        <w:rPr>
          <w:rFonts w:ascii="Microsoft JhengHei"/>
          <w:b/>
          <w:sz w:val="21"/>
        </w:rPr>
      </w:pPr>
    </w:p>
    <w:p w:rsidR="00AD03A5" w:rsidRDefault="00434486">
      <w:pPr>
        <w:pStyle w:val="2"/>
        <w:spacing w:line="360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一、标准制定的必要性</w:t>
      </w:r>
    </w:p>
    <w:p w:rsidR="00AD03A5" w:rsidRDefault="00434486">
      <w:pPr>
        <w:spacing w:line="360" w:lineRule="auto"/>
        <w:ind w:firstLineChars="200" w:firstLine="440"/>
        <w:rPr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>公路隧道是高速公路不可或缺部分，据我国交通运输部统计，截止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年，我国已建成公路隧道</w:t>
      </w:r>
      <w:r>
        <w:rPr>
          <w:rFonts w:hint="eastAsia"/>
          <w:sz w:val="24"/>
          <w:szCs w:val="24"/>
        </w:rPr>
        <w:t>21316</w:t>
      </w:r>
      <w:r>
        <w:rPr>
          <w:rFonts w:hint="eastAsia"/>
          <w:sz w:val="24"/>
          <w:szCs w:val="24"/>
        </w:rPr>
        <w:t>座，其中长隧道</w:t>
      </w:r>
      <w:r>
        <w:rPr>
          <w:rFonts w:hint="eastAsia"/>
          <w:sz w:val="24"/>
          <w:szCs w:val="24"/>
        </w:rPr>
        <w:t>5541</w:t>
      </w:r>
      <w:r>
        <w:rPr>
          <w:rFonts w:hint="eastAsia"/>
          <w:sz w:val="24"/>
          <w:szCs w:val="24"/>
        </w:rPr>
        <w:t>处、</w:t>
      </w:r>
      <w:r>
        <w:rPr>
          <w:rFonts w:hint="eastAsia"/>
          <w:sz w:val="24"/>
          <w:szCs w:val="24"/>
        </w:rPr>
        <w:t>9633.2 km</w:t>
      </w:r>
      <w:r>
        <w:rPr>
          <w:rFonts w:hint="eastAsia"/>
          <w:sz w:val="24"/>
          <w:szCs w:val="24"/>
        </w:rPr>
        <w:t>，特长隧道</w:t>
      </w:r>
      <w:r>
        <w:rPr>
          <w:rFonts w:hint="eastAsia"/>
          <w:sz w:val="24"/>
          <w:szCs w:val="24"/>
        </w:rPr>
        <w:t>1394</w:t>
      </w:r>
      <w:r>
        <w:rPr>
          <w:rFonts w:hint="eastAsia"/>
          <w:sz w:val="24"/>
          <w:szCs w:val="24"/>
        </w:rPr>
        <w:t>处、</w:t>
      </w:r>
      <w:r>
        <w:rPr>
          <w:rFonts w:hint="eastAsia"/>
          <w:sz w:val="24"/>
          <w:szCs w:val="24"/>
        </w:rPr>
        <w:t xml:space="preserve">6235.5 </w:t>
      </w:r>
      <w:r>
        <w:rPr>
          <w:rFonts w:hint="eastAsia"/>
          <w:sz w:val="24"/>
          <w:szCs w:val="24"/>
        </w:rPr>
        <w:t>km</w:t>
      </w:r>
      <w:r>
        <w:rPr>
          <w:rFonts w:hint="eastAsia"/>
          <w:sz w:val="24"/>
          <w:szCs w:val="24"/>
        </w:rPr>
        <w:t>。一方面我国在建及运营隧道数量及长度日益增多，但现行规范尚未建立明确的隧道环境质量检测—评价体系，另一方面国家大力推行绿色发展理念，而隧道作为公路工程的重要组成部分，在推行“绿色公路”理念中占有重要的地位，但目前针对隧道环境质量检测的规定较为分散且深度不足，无法为“绿色隧道”的决策提供依据，严重制约着“绿色隧道”的发展。因此，隧道施工及运营环境检测问题是交通运输行业亟待解决的问题。</w:t>
      </w:r>
    </w:p>
    <w:p w:rsidR="00AD03A5" w:rsidRDefault="004344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目前我国现行的与公路隧道施工、运营环境相关的规范较多，如《公路隧道施工技术规范（</w:t>
      </w:r>
      <w:r>
        <w:rPr>
          <w:rFonts w:hint="eastAsia"/>
          <w:sz w:val="24"/>
          <w:szCs w:val="24"/>
        </w:rPr>
        <w:t>JTG/T3660-2020</w:t>
      </w:r>
      <w:r>
        <w:rPr>
          <w:rFonts w:hint="eastAsia"/>
          <w:sz w:val="24"/>
          <w:szCs w:val="24"/>
        </w:rPr>
        <w:t>）》、《公路隧</w:t>
      </w:r>
      <w:r>
        <w:rPr>
          <w:rFonts w:hint="eastAsia"/>
          <w:sz w:val="24"/>
          <w:szCs w:val="24"/>
        </w:rPr>
        <w:t>道通风设计细则（</w:t>
      </w:r>
      <w:r>
        <w:rPr>
          <w:rFonts w:hint="eastAsia"/>
          <w:sz w:val="24"/>
          <w:szCs w:val="24"/>
        </w:rPr>
        <w:t>JTG/T D70</w:t>
      </w:r>
      <w:r>
        <w:rPr>
          <w:rFonts w:hint="eastAsia"/>
          <w:sz w:val="24"/>
          <w:szCs w:val="24"/>
        </w:rPr>
        <w:t>／</w:t>
      </w:r>
      <w:r>
        <w:rPr>
          <w:rFonts w:hint="eastAsia"/>
          <w:sz w:val="24"/>
          <w:szCs w:val="24"/>
        </w:rPr>
        <w:t>2-02-2014</w:t>
      </w:r>
      <w:r>
        <w:rPr>
          <w:rFonts w:hint="eastAsia"/>
          <w:sz w:val="24"/>
          <w:szCs w:val="24"/>
        </w:rPr>
        <w:t>）》、《公路隧道照明设计细则（</w:t>
      </w:r>
      <w:r>
        <w:rPr>
          <w:rFonts w:hint="eastAsia"/>
          <w:sz w:val="24"/>
          <w:szCs w:val="24"/>
        </w:rPr>
        <w:t>JTG/T D70</w:t>
      </w:r>
      <w:r>
        <w:rPr>
          <w:rFonts w:hint="eastAsia"/>
          <w:sz w:val="24"/>
          <w:szCs w:val="24"/>
        </w:rPr>
        <w:t>／</w:t>
      </w:r>
      <w:r>
        <w:rPr>
          <w:rFonts w:hint="eastAsia"/>
          <w:sz w:val="24"/>
          <w:szCs w:val="24"/>
        </w:rPr>
        <w:t>2-01-2014</w:t>
      </w:r>
      <w:r>
        <w:rPr>
          <w:rFonts w:hint="eastAsia"/>
          <w:sz w:val="24"/>
          <w:szCs w:val="24"/>
        </w:rPr>
        <w:t>）》等，这些规范均在污染物浓度、温度、风速方面对隧道施工、运营环境提出了具体要求。国外如美国的《高速公路隧道设计及施工指南规范》、《煤炭矿井通风法规》、国际隧道协会的《隧道设计指南》和英国的《建筑工业中隧道开挖作业安全实用规程》等也在污染物浓度、温度等方面对地下施工、运营环境提出了具体要求。虽然国内外相关规范、标准对隧道施工、运营环境进行限值界定，但缺乏具体检测原理及方法，缺少对应的数据</w:t>
      </w:r>
      <w:r>
        <w:rPr>
          <w:rFonts w:hint="eastAsia"/>
          <w:sz w:val="24"/>
          <w:szCs w:val="24"/>
        </w:rPr>
        <w:t>评判方法，未形成明确的检测—评价标准体系。</w:t>
      </w:r>
    </w:p>
    <w:p w:rsidR="00AD03A5" w:rsidRDefault="004344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此外，《隧道通风与照明》、《现代隧道施工通风技术》、《通风安全学》等著作在检测与评价方法方面进行了部分介绍，但是对隧道施工、运营环境针对性不强，技术指导作用不突出，对公路隧道工程具有一定的参考价值，但无法起到对隧道施工、运营环境改善与控制进行技术指导的作用。另一方面，当前对隧道环境评价多是单因素、单指标评价，该方法简单方便，却存在着反映信息不够全面的缺点，不能满足环境评价日益严格和精准的要求。</w:t>
      </w:r>
    </w:p>
    <w:p w:rsidR="00AD03A5" w:rsidRDefault="004344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所以，隧道施工、运营环境安全性检测、评价与控制不能简单地依据现有规范和</w:t>
      </w:r>
      <w:r>
        <w:rPr>
          <w:rFonts w:hint="eastAsia"/>
          <w:sz w:val="24"/>
          <w:szCs w:val="24"/>
        </w:rPr>
        <w:t>标准操作，还需要对其进行有针对性地总结，提出一套切实、可行、有效的方法，鉴于此，本项目对其进行了分析、归纳、总结，并制定行之有效的《隧道工程环境质量检测与验收规范》。</w:t>
      </w:r>
    </w:p>
    <w:p w:rsidR="00AD03A5" w:rsidRDefault="00434486">
      <w:pPr>
        <w:pStyle w:val="2"/>
        <w:spacing w:before="40" w:line="360" w:lineRule="auto"/>
        <w:rPr>
          <w:sz w:val="28"/>
          <w:szCs w:val="28"/>
        </w:rPr>
      </w:pPr>
      <w:r>
        <w:rPr>
          <w:sz w:val="28"/>
          <w:szCs w:val="28"/>
        </w:rPr>
        <w:t>二、标准编制原则及依据</w:t>
      </w:r>
    </w:p>
    <w:p w:rsidR="00AD03A5" w:rsidRDefault="00434486">
      <w:pPr>
        <w:pStyle w:val="a6"/>
        <w:numPr>
          <w:ilvl w:val="0"/>
          <w:numId w:val="1"/>
        </w:numPr>
        <w:tabs>
          <w:tab w:val="left" w:pos="1078"/>
          <w:tab w:val="left" w:pos="6917"/>
        </w:tabs>
        <w:spacing w:before="194" w:line="360" w:lineRule="auto"/>
        <w:ind w:right="311" w:firstLine="641"/>
        <w:rPr>
          <w:sz w:val="24"/>
          <w:szCs w:val="24"/>
        </w:rPr>
      </w:pPr>
      <w:r>
        <w:rPr>
          <w:sz w:val="24"/>
          <w:szCs w:val="24"/>
        </w:rPr>
        <w:t>按照</w:t>
      </w:r>
      <w:r>
        <w:rPr>
          <w:sz w:val="24"/>
          <w:szCs w:val="24"/>
        </w:rPr>
        <w:t xml:space="preserve"> GB/T 1.1</w:t>
      </w:r>
      <w:r>
        <w:rPr>
          <w:sz w:val="24"/>
          <w:szCs w:val="24"/>
        </w:rPr>
        <w:t>－</w:t>
      </w:r>
      <w:r>
        <w:rPr>
          <w:sz w:val="24"/>
          <w:szCs w:val="24"/>
        </w:rPr>
        <w:t>2020</w:t>
      </w:r>
      <w:r>
        <w:rPr>
          <w:sz w:val="24"/>
          <w:szCs w:val="24"/>
        </w:rPr>
        <w:t>《标准化工作导则第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部分：标准化文件的结构和起草规则》要求进行编写。</w:t>
      </w:r>
    </w:p>
    <w:p w:rsidR="00AD03A5" w:rsidRDefault="00434486">
      <w:pPr>
        <w:pStyle w:val="a6"/>
        <w:numPr>
          <w:ilvl w:val="0"/>
          <w:numId w:val="1"/>
        </w:numPr>
        <w:tabs>
          <w:tab w:val="left" w:pos="1078"/>
        </w:tabs>
        <w:spacing w:line="360" w:lineRule="auto"/>
        <w:ind w:right="390" w:firstLine="641"/>
        <w:rPr>
          <w:sz w:val="24"/>
          <w:szCs w:val="24"/>
        </w:rPr>
      </w:pPr>
      <w:r>
        <w:rPr>
          <w:sz w:val="24"/>
          <w:szCs w:val="24"/>
        </w:rPr>
        <w:t>参照相关法律、法规和规定，在编制过程中着重考虑了科学性、适用性和可操作性。</w:t>
      </w:r>
    </w:p>
    <w:p w:rsidR="00AD03A5" w:rsidRDefault="00434486">
      <w:pPr>
        <w:pStyle w:val="2"/>
        <w:spacing w:before="48" w:line="360" w:lineRule="auto"/>
        <w:rPr>
          <w:sz w:val="28"/>
          <w:szCs w:val="28"/>
        </w:rPr>
      </w:pPr>
      <w:r>
        <w:rPr>
          <w:sz w:val="28"/>
          <w:szCs w:val="28"/>
        </w:rPr>
        <w:t>三、项目背景及工作情况</w:t>
      </w:r>
    </w:p>
    <w:p w:rsidR="00AD03A5" w:rsidRDefault="00434486">
      <w:pPr>
        <w:spacing w:before="86" w:line="360" w:lineRule="auto"/>
        <w:ind w:left="757"/>
        <w:rPr>
          <w:rFonts w:ascii="Microsoft JhengHei" w:eastAsia="Microsoft JhengHei"/>
          <w:b/>
          <w:sz w:val="24"/>
          <w:szCs w:val="24"/>
        </w:rPr>
      </w:pPr>
      <w:r>
        <w:rPr>
          <w:rFonts w:ascii="Microsoft JhengHei" w:eastAsia="Microsoft JhengHei" w:hint="eastAsia"/>
          <w:b/>
          <w:sz w:val="24"/>
          <w:szCs w:val="24"/>
        </w:rPr>
        <w:t>（一）任务来源</w:t>
      </w:r>
    </w:p>
    <w:p w:rsidR="00AD03A5" w:rsidRDefault="00434486">
      <w:pPr>
        <w:tabs>
          <w:tab w:val="left" w:pos="1078"/>
        </w:tabs>
        <w:spacing w:line="360" w:lineRule="auto"/>
        <w:ind w:right="391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《中国国际科技促进会标准化工作委员会团体标准管理办法》的有关规定，经中国国际科技促进会标准化工作委员会及相关专家技术审核，批准《隧道工程环境质量检测与验收规范》团体标准制定计划，计划编号为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CI</w:t>
      </w:r>
      <w:r>
        <w:rPr>
          <w:rFonts w:hint="eastAsia"/>
          <w:sz w:val="24"/>
          <w:szCs w:val="24"/>
          <w:lang w:val="en-US"/>
        </w:rPr>
        <w:t>2022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  <w:lang w:val="en-US"/>
        </w:rPr>
        <w:t>61</w:t>
      </w:r>
      <w:r>
        <w:rPr>
          <w:rFonts w:hint="eastAsia"/>
          <w:sz w:val="24"/>
          <w:szCs w:val="24"/>
        </w:rPr>
        <w:t>。本标准由</w:t>
      </w:r>
      <w:r>
        <w:rPr>
          <w:rFonts w:hint="eastAsia"/>
          <w:sz w:val="24"/>
          <w:szCs w:val="24"/>
          <w:lang w:val="en-US"/>
        </w:rPr>
        <w:t>温州信达交通工程试验检测有限公司</w:t>
      </w:r>
      <w:r>
        <w:rPr>
          <w:rFonts w:hint="eastAsia"/>
          <w:sz w:val="24"/>
          <w:szCs w:val="24"/>
        </w:rPr>
        <w:t>提出，中国国际科技促进会归口。</w:t>
      </w:r>
    </w:p>
    <w:p w:rsidR="00AD03A5" w:rsidRDefault="00434486">
      <w:pPr>
        <w:tabs>
          <w:tab w:val="left" w:pos="1078"/>
        </w:tabs>
        <w:spacing w:line="360" w:lineRule="auto"/>
        <w:ind w:right="391" w:firstLineChars="200" w:firstLine="48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根据计划要求，本标准完成时限为</w:t>
      </w:r>
      <w:r>
        <w:rPr>
          <w:rFonts w:hint="eastAsia"/>
          <w:sz w:val="24"/>
          <w:szCs w:val="24"/>
          <w:lang w:val="en-US"/>
        </w:rPr>
        <w:t>3</w:t>
      </w:r>
      <w:r>
        <w:rPr>
          <w:rFonts w:hint="eastAsia"/>
          <w:sz w:val="24"/>
          <w:szCs w:val="24"/>
        </w:rPr>
        <w:t>个月。</w:t>
      </w:r>
    </w:p>
    <w:p w:rsidR="00AD03A5" w:rsidRDefault="00434486">
      <w:pPr>
        <w:pStyle w:val="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（二）标准起草单位</w:t>
      </w:r>
    </w:p>
    <w:p w:rsidR="00AD03A5" w:rsidRDefault="00434486">
      <w:pPr>
        <w:tabs>
          <w:tab w:val="left" w:pos="1078"/>
        </w:tabs>
        <w:spacing w:line="360" w:lineRule="auto"/>
        <w:ind w:right="391" w:firstLineChars="200" w:firstLine="480"/>
        <w:rPr>
          <w:sz w:val="24"/>
          <w:szCs w:val="24"/>
          <w:lang w:val="en-US"/>
        </w:rPr>
      </w:pPr>
      <w:r>
        <w:rPr>
          <w:sz w:val="24"/>
          <w:szCs w:val="24"/>
        </w:rPr>
        <w:t>本标准的主要起草单位是</w:t>
      </w:r>
      <w:r>
        <w:rPr>
          <w:rFonts w:hint="eastAsia"/>
          <w:sz w:val="24"/>
          <w:szCs w:val="24"/>
          <w:lang w:val="en-US"/>
        </w:rPr>
        <w:t>温州信达交通工程试验检测</w:t>
      </w:r>
      <w:r>
        <w:rPr>
          <w:rFonts w:hint="eastAsia"/>
          <w:sz w:val="24"/>
          <w:szCs w:val="24"/>
        </w:rPr>
        <w:t>有限公司，负责标准文档起草及相关文件的编制等。</w:t>
      </w:r>
      <w:r>
        <w:rPr>
          <w:rFonts w:hint="eastAsia"/>
          <w:sz w:val="24"/>
          <w:szCs w:val="24"/>
          <w:lang w:val="en-US"/>
        </w:rPr>
        <w:t>温州市交通工程管理中心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/>
        </w:rPr>
        <w:t>长安</w:t>
      </w:r>
      <w:r>
        <w:rPr>
          <w:rFonts w:hint="eastAsia"/>
          <w:sz w:val="24"/>
          <w:szCs w:val="24"/>
        </w:rPr>
        <w:t>大学，</w:t>
      </w:r>
      <w:r>
        <w:rPr>
          <w:rFonts w:hint="eastAsia"/>
          <w:sz w:val="24"/>
          <w:szCs w:val="24"/>
          <w:lang w:val="en-US"/>
        </w:rPr>
        <w:t>温州诚达交通发展股份有限公司，温州市交通工程试验检测有限公司，温州华星建材检测有限公司</w:t>
      </w:r>
      <w:r>
        <w:rPr>
          <w:rFonts w:hint="eastAsia"/>
          <w:sz w:val="24"/>
          <w:szCs w:val="24"/>
        </w:rPr>
        <w:t>为主要参与单位，负责标准中重要技术点的研究和建议，并参与标准内容的讨论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  <w:lang w:val="en-US"/>
        </w:rPr>
        <w:t xml:space="preserve">  </w:t>
      </w:r>
    </w:p>
    <w:p w:rsidR="00AD03A5" w:rsidRDefault="00434486">
      <w:pPr>
        <w:pStyle w:val="2"/>
        <w:spacing w:line="360" w:lineRule="auto"/>
        <w:ind w:left="752"/>
        <w:rPr>
          <w:sz w:val="24"/>
          <w:szCs w:val="24"/>
        </w:rPr>
      </w:pPr>
      <w:r>
        <w:rPr>
          <w:sz w:val="24"/>
          <w:szCs w:val="24"/>
        </w:rPr>
        <w:t>（三）标准研制过程及相关工作计划</w:t>
      </w:r>
    </w:p>
    <w:p w:rsidR="00AD03A5" w:rsidRDefault="00434486">
      <w:pPr>
        <w:tabs>
          <w:tab w:val="left" w:pos="1078"/>
        </w:tabs>
        <w:spacing w:line="360" w:lineRule="auto"/>
        <w:ind w:right="390"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征求意见稿编制阶段：</w:t>
      </w:r>
    </w:p>
    <w:p w:rsidR="00AD03A5" w:rsidRDefault="00434486">
      <w:pPr>
        <w:tabs>
          <w:tab w:val="left" w:pos="1078"/>
        </w:tabs>
        <w:spacing w:line="360" w:lineRule="auto"/>
        <w:ind w:right="39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任务下达后，项目承担单位</w:t>
      </w:r>
      <w:r>
        <w:rPr>
          <w:rFonts w:hint="eastAsia"/>
          <w:sz w:val="24"/>
          <w:szCs w:val="24"/>
          <w:lang w:val="en-US"/>
        </w:rPr>
        <w:t>温州信达交通工程试验检测有限公司</w:t>
      </w:r>
      <w:r>
        <w:rPr>
          <w:rFonts w:hint="eastAsia"/>
          <w:sz w:val="24"/>
          <w:szCs w:val="24"/>
        </w:rPr>
        <w:t>联合参与单位，于</w:t>
      </w:r>
      <w:r>
        <w:rPr>
          <w:rFonts w:hint="eastAsia"/>
          <w:sz w:val="24"/>
          <w:szCs w:val="24"/>
          <w:lang w:val="en-US"/>
        </w:rPr>
        <w:t>2021</w:t>
      </w:r>
      <w:r>
        <w:rPr>
          <w:rFonts w:hint="eastAsia"/>
          <w:sz w:val="24"/>
          <w:szCs w:val="24"/>
          <w:lang w:val="en-US"/>
        </w:rPr>
        <w:t>年</w:t>
      </w:r>
      <w:r>
        <w:rPr>
          <w:rFonts w:hint="eastAsia"/>
          <w:sz w:val="24"/>
          <w:szCs w:val="24"/>
          <w:lang w:val="en-US"/>
        </w:rPr>
        <w:t>12</w:t>
      </w:r>
      <w:r>
        <w:rPr>
          <w:rFonts w:hint="eastAsia"/>
          <w:sz w:val="24"/>
          <w:szCs w:val="24"/>
        </w:rPr>
        <w:t>月中旬成立标准编制组。编制组成员对</w:t>
      </w:r>
      <w:r>
        <w:rPr>
          <w:rFonts w:hint="eastAsia"/>
          <w:sz w:val="24"/>
          <w:szCs w:val="24"/>
          <w:lang w:val="en-US"/>
        </w:rPr>
        <w:t>隧道工程环境质量检测方法几验收标准</w:t>
      </w:r>
      <w:r>
        <w:rPr>
          <w:rFonts w:hint="eastAsia"/>
          <w:sz w:val="24"/>
          <w:szCs w:val="24"/>
        </w:rPr>
        <w:t>分别进行了调研。经汇总讨论后，编制组确定了标准中需要规定的主要技术内容，并于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初完成了初稿并发送给各参与单位征求意见。根</w:t>
      </w:r>
      <w:r>
        <w:rPr>
          <w:rFonts w:hint="eastAsia"/>
          <w:sz w:val="24"/>
          <w:szCs w:val="24"/>
        </w:rPr>
        <w:t>据在各单位反馈意见基础上，形成了标准征求意见稿由中国国际科促会审查，提交全国标准信息平台向全社会公开征求意见。</w:t>
      </w:r>
    </w:p>
    <w:p w:rsidR="00AD03A5" w:rsidRDefault="00434486">
      <w:pPr>
        <w:tabs>
          <w:tab w:val="left" w:pos="1078"/>
        </w:tabs>
        <w:spacing w:line="360" w:lineRule="auto"/>
        <w:ind w:right="39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标准论证会阶段：</w:t>
      </w:r>
    </w:p>
    <w:p w:rsidR="00AD03A5" w:rsidRDefault="00434486">
      <w:pPr>
        <w:tabs>
          <w:tab w:val="left" w:pos="1078"/>
        </w:tabs>
        <w:spacing w:line="360" w:lineRule="auto"/>
        <w:ind w:right="39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计划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/>
        </w:rPr>
        <w:t>5</w:t>
      </w:r>
      <w:r>
        <w:rPr>
          <w:rFonts w:hint="eastAsia"/>
          <w:sz w:val="24"/>
          <w:szCs w:val="24"/>
        </w:rPr>
        <w:t>月底，</w:t>
      </w:r>
      <w:r>
        <w:rPr>
          <w:rFonts w:hint="eastAsia"/>
          <w:sz w:val="24"/>
          <w:szCs w:val="24"/>
        </w:rPr>
        <w:t>中国国际科技促进会以视频会议的形式组织线上专家评审会。项标准编制组组长详细介绍了标准编制的背景和标准内容。与会委员就该标准的主要技术问题进行了认真的讨论，并出于提高标准水平的目的，给出了一些建议。</w:t>
      </w:r>
      <w:r>
        <w:rPr>
          <w:sz w:val="24"/>
          <w:szCs w:val="24"/>
        </w:rPr>
        <w:t xml:space="preserve"> </w:t>
      </w:r>
    </w:p>
    <w:p w:rsidR="00AD03A5" w:rsidRDefault="00434486">
      <w:pPr>
        <w:numPr>
          <w:ilvl w:val="0"/>
          <w:numId w:val="2"/>
        </w:numPr>
        <w:spacing w:line="360" w:lineRule="auto"/>
        <w:ind w:left="757" w:right="866"/>
        <w:rPr>
          <w:rFonts w:ascii="Microsoft JhengHei" w:eastAsia="Microsoft JhengHei"/>
          <w:b/>
          <w:sz w:val="28"/>
          <w:szCs w:val="28"/>
        </w:rPr>
      </w:pPr>
      <w:r>
        <w:rPr>
          <w:rFonts w:ascii="Microsoft JhengHei" w:eastAsia="Microsoft JhengHei" w:hint="eastAsia"/>
          <w:b/>
          <w:sz w:val="28"/>
          <w:szCs w:val="28"/>
        </w:rPr>
        <w:t>标准制定的基本原则</w:t>
      </w:r>
    </w:p>
    <w:p w:rsidR="00AD03A5" w:rsidRDefault="00434486">
      <w:pPr>
        <w:tabs>
          <w:tab w:val="left" w:pos="1078"/>
        </w:tabs>
        <w:spacing w:line="360" w:lineRule="auto"/>
        <w:ind w:right="39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标准编制过程中，遵循了以下基本原则：</w:t>
      </w:r>
    </w:p>
    <w:p w:rsidR="00AD03A5" w:rsidRDefault="00434486">
      <w:pPr>
        <w:tabs>
          <w:tab w:val="left" w:pos="1078"/>
        </w:tabs>
        <w:spacing w:line="360" w:lineRule="auto"/>
        <w:ind w:right="390"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标准需要</w:t>
      </w:r>
      <w:r>
        <w:rPr>
          <w:sz w:val="24"/>
          <w:szCs w:val="24"/>
        </w:rPr>
        <w:t>具有行业特点，指标及其对应的分析方法要积极参照采用国家标准和行业标准。</w:t>
      </w:r>
    </w:p>
    <w:p w:rsidR="00AD03A5" w:rsidRDefault="00434486">
      <w:pPr>
        <w:tabs>
          <w:tab w:val="left" w:pos="1078"/>
        </w:tabs>
        <w:spacing w:line="360" w:lineRule="auto"/>
        <w:ind w:right="39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标准</w:t>
      </w:r>
      <w:r>
        <w:rPr>
          <w:rFonts w:hint="eastAsia"/>
          <w:sz w:val="24"/>
          <w:szCs w:val="24"/>
        </w:rPr>
        <w:t>能够体现出产品的具有关键共性的技术要素。</w:t>
      </w:r>
    </w:p>
    <w:p w:rsidR="00AD03A5" w:rsidRDefault="00434486">
      <w:pPr>
        <w:tabs>
          <w:tab w:val="left" w:pos="1078"/>
        </w:tabs>
        <w:spacing w:line="360" w:lineRule="auto"/>
        <w:ind w:right="390"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标准能够为产品的开发、改进指出明确的方向。</w:t>
      </w:r>
    </w:p>
    <w:p w:rsidR="00AD03A5" w:rsidRDefault="00434486">
      <w:pPr>
        <w:tabs>
          <w:tab w:val="left" w:pos="1078"/>
        </w:tabs>
        <w:spacing w:line="360" w:lineRule="auto"/>
        <w:ind w:right="390" w:firstLineChars="200" w:firstLine="48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标准需要</w:t>
      </w:r>
      <w:r>
        <w:rPr>
          <w:sz w:val="24"/>
          <w:szCs w:val="24"/>
        </w:rPr>
        <w:t>具有科学性、先进性和可操作性。</w:t>
      </w:r>
      <w:r>
        <w:rPr>
          <w:sz w:val="24"/>
          <w:szCs w:val="24"/>
        </w:rPr>
        <w:t xml:space="preserve"> </w:t>
      </w:r>
    </w:p>
    <w:p w:rsidR="00AD03A5" w:rsidRDefault="00434486">
      <w:pPr>
        <w:tabs>
          <w:tab w:val="left" w:pos="1078"/>
        </w:tabs>
        <w:spacing w:line="360" w:lineRule="auto"/>
        <w:ind w:right="390"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sz w:val="24"/>
          <w:szCs w:val="24"/>
        </w:rPr>
        <w:t>要</w:t>
      </w:r>
      <w:r>
        <w:rPr>
          <w:rFonts w:hint="eastAsia"/>
          <w:sz w:val="24"/>
          <w:szCs w:val="24"/>
        </w:rPr>
        <w:t>能够</w:t>
      </w:r>
      <w:r>
        <w:rPr>
          <w:sz w:val="24"/>
          <w:szCs w:val="24"/>
        </w:rPr>
        <w:t>结合行业实际情况和产品特点。</w:t>
      </w:r>
    </w:p>
    <w:p w:rsidR="00AD03A5" w:rsidRDefault="00434486">
      <w:pPr>
        <w:tabs>
          <w:tab w:val="left" w:pos="1078"/>
        </w:tabs>
        <w:spacing w:line="360" w:lineRule="auto"/>
        <w:ind w:right="390"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>
        <w:rPr>
          <w:sz w:val="24"/>
          <w:szCs w:val="24"/>
        </w:rPr>
        <w:t>与相关标准法规协调一致。</w:t>
      </w:r>
    </w:p>
    <w:p w:rsidR="00AD03A5" w:rsidRDefault="00434486">
      <w:pPr>
        <w:tabs>
          <w:tab w:val="left" w:pos="1078"/>
        </w:tabs>
        <w:spacing w:line="360" w:lineRule="auto"/>
        <w:ind w:right="390"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>
        <w:rPr>
          <w:sz w:val="24"/>
          <w:szCs w:val="24"/>
        </w:rPr>
        <w:t>促进行业健康发展与技术进步。</w:t>
      </w:r>
    </w:p>
    <w:p w:rsidR="00AD03A5" w:rsidRDefault="00434486">
      <w:pPr>
        <w:numPr>
          <w:ilvl w:val="0"/>
          <w:numId w:val="2"/>
        </w:numPr>
        <w:spacing w:line="360" w:lineRule="auto"/>
        <w:ind w:left="757" w:right="866"/>
        <w:rPr>
          <w:rFonts w:ascii="Microsoft JhengHei" w:eastAsia="Microsoft JhengHei"/>
          <w:b/>
          <w:sz w:val="28"/>
          <w:szCs w:val="28"/>
        </w:rPr>
      </w:pPr>
      <w:r>
        <w:rPr>
          <w:rFonts w:ascii="Microsoft JhengHei" w:eastAsia="Microsoft JhengHei"/>
          <w:b/>
          <w:sz w:val="28"/>
          <w:szCs w:val="28"/>
        </w:rPr>
        <w:t>标准主要内容</w:t>
      </w:r>
    </w:p>
    <w:p w:rsidR="00AD03A5" w:rsidRDefault="00434486">
      <w:pPr>
        <w:tabs>
          <w:tab w:val="left" w:pos="1078"/>
        </w:tabs>
        <w:spacing w:line="360" w:lineRule="auto"/>
        <w:ind w:right="39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本标准规定了隧道工程环境质量检测与验收规范，正文部分共分五章，内容包括标准的</w:t>
      </w:r>
      <w:r>
        <w:rPr>
          <w:rFonts w:hint="eastAsia"/>
          <w:sz w:val="24"/>
          <w:szCs w:val="24"/>
          <w:lang w:val="en-US"/>
        </w:rPr>
        <w:t>总则</w:t>
      </w:r>
      <w:r>
        <w:rPr>
          <w:rFonts w:hint="eastAsia"/>
          <w:sz w:val="24"/>
          <w:szCs w:val="24"/>
        </w:rPr>
        <w:t>、术语和</w:t>
      </w:r>
      <w:r>
        <w:rPr>
          <w:rFonts w:hint="eastAsia"/>
          <w:sz w:val="24"/>
          <w:szCs w:val="24"/>
          <w:lang w:val="en-US"/>
        </w:rPr>
        <w:t>符号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/>
        </w:rPr>
        <w:t>基本规定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/>
        </w:rPr>
        <w:t>环境检测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/>
        </w:rPr>
        <w:t>检测成果</w:t>
      </w:r>
      <w:r>
        <w:rPr>
          <w:rFonts w:hint="eastAsia"/>
          <w:sz w:val="24"/>
          <w:szCs w:val="24"/>
        </w:rPr>
        <w:t>。</w:t>
      </w:r>
    </w:p>
    <w:p w:rsidR="00AD03A5" w:rsidRDefault="00AD03A5">
      <w:pPr>
        <w:spacing w:line="360" w:lineRule="auto"/>
        <w:rPr>
          <w:lang w:val="en-US"/>
        </w:rPr>
      </w:pPr>
    </w:p>
    <w:p w:rsidR="00AD03A5" w:rsidRDefault="00434486">
      <w:pPr>
        <w:numPr>
          <w:ilvl w:val="0"/>
          <w:numId w:val="2"/>
        </w:numPr>
        <w:spacing w:line="360" w:lineRule="auto"/>
        <w:ind w:left="757" w:right="866"/>
        <w:rPr>
          <w:rFonts w:ascii="Microsoft JhengHei" w:eastAsia="Microsoft JhengHei"/>
          <w:b/>
          <w:sz w:val="28"/>
          <w:szCs w:val="28"/>
        </w:rPr>
      </w:pPr>
      <w:r>
        <w:rPr>
          <w:rFonts w:ascii="Microsoft JhengHei" w:eastAsia="Microsoft JhengHei"/>
          <w:b/>
          <w:sz w:val="28"/>
          <w:szCs w:val="28"/>
        </w:rPr>
        <w:t>与有关法律法规和强制性标准的关系</w:t>
      </w:r>
    </w:p>
    <w:p w:rsidR="00AD03A5" w:rsidRDefault="00434486">
      <w:pPr>
        <w:tabs>
          <w:tab w:val="left" w:pos="1078"/>
        </w:tabs>
        <w:spacing w:line="360" w:lineRule="auto"/>
        <w:ind w:right="390" w:firstLineChars="200" w:firstLine="480"/>
        <w:rPr>
          <w:sz w:val="24"/>
          <w:szCs w:val="24"/>
        </w:rPr>
      </w:pPr>
      <w:r>
        <w:rPr>
          <w:sz w:val="24"/>
          <w:szCs w:val="24"/>
        </w:rPr>
        <w:t>遵守和符合相关法律法规和强制性标准要求。规范性引用文件包括：</w:t>
      </w:r>
    </w:p>
    <w:p w:rsidR="00AD03A5" w:rsidRDefault="00434486">
      <w:pPr>
        <w:tabs>
          <w:tab w:val="left" w:pos="1078"/>
        </w:tabs>
        <w:spacing w:line="360" w:lineRule="auto"/>
        <w:ind w:right="39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①《公路隧道施工技术规范》（</w:t>
      </w:r>
      <w:r>
        <w:rPr>
          <w:rFonts w:hint="eastAsia"/>
          <w:sz w:val="24"/>
          <w:szCs w:val="24"/>
        </w:rPr>
        <w:t>JTG/T3660-2020</w:t>
      </w:r>
      <w:r>
        <w:rPr>
          <w:rFonts w:hint="eastAsia"/>
          <w:sz w:val="24"/>
          <w:szCs w:val="24"/>
        </w:rPr>
        <w:t>）</w:t>
      </w:r>
    </w:p>
    <w:p w:rsidR="00AD03A5" w:rsidRDefault="00434486">
      <w:pPr>
        <w:tabs>
          <w:tab w:val="left" w:pos="1078"/>
        </w:tabs>
        <w:spacing w:line="360" w:lineRule="auto"/>
        <w:ind w:right="39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②《公路隧道通风设计细则》（</w:t>
      </w:r>
      <w:r>
        <w:rPr>
          <w:rFonts w:hint="eastAsia"/>
          <w:sz w:val="24"/>
          <w:szCs w:val="24"/>
        </w:rPr>
        <w:t>JTG/T D70</w:t>
      </w:r>
      <w:r>
        <w:rPr>
          <w:rFonts w:hint="eastAsia"/>
          <w:sz w:val="24"/>
          <w:szCs w:val="24"/>
        </w:rPr>
        <w:t>／</w:t>
      </w:r>
      <w:r>
        <w:rPr>
          <w:rFonts w:hint="eastAsia"/>
          <w:sz w:val="24"/>
          <w:szCs w:val="24"/>
        </w:rPr>
        <w:t>2-02-2014</w:t>
      </w:r>
      <w:r>
        <w:rPr>
          <w:rFonts w:hint="eastAsia"/>
          <w:sz w:val="24"/>
          <w:szCs w:val="24"/>
        </w:rPr>
        <w:t>）</w:t>
      </w:r>
    </w:p>
    <w:p w:rsidR="00AD03A5" w:rsidRDefault="00434486">
      <w:pPr>
        <w:tabs>
          <w:tab w:val="left" w:pos="1078"/>
        </w:tabs>
        <w:spacing w:line="360" w:lineRule="auto"/>
        <w:ind w:right="39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③《公路隧道照明设计细则》（</w:t>
      </w:r>
      <w:r>
        <w:rPr>
          <w:rFonts w:hint="eastAsia"/>
          <w:sz w:val="24"/>
          <w:szCs w:val="24"/>
        </w:rPr>
        <w:t>JTG/T D70</w:t>
      </w:r>
      <w:r>
        <w:rPr>
          <w:rFonts w:hint="eastAsia"/>
          <w:sz w:val="24"/>
          <w:szCs w:val="24"/>
        </w:rPr>
        <w:t>／</w:t>
      </w:r>
      <w:r>
        <w:rPr>
          <w:rFonts w:hint="eastAsia"/>
          <w:sz w:val="24"/>
          <w:szCs w:val="24"/>
        </w:rPr>
        <w:t>2-01-2014</w:t>
      </w:r>
      <w:r>
        <w:rPr>
          <w:rFonts w:hint="eastAsia"/>
          <w:sz w:val="24"/>
          <w:szCs w:val="24"/>
        </w:rPr>
        <w:t>）</w:t>
      </w:r>
    </w:p>
    <w:p w:rsidR="00AD03A5" w:rsidRDefault="00434486">
      <w:pPr>
        <w:tabs>
          <w:tab w:val="left" w:pos="1078"/>
        </w:tabs>
        <w:spacing w:line="360" w:lineRule="auto"/>
        <w:ind w:right="39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④《公路工程技术标准》（</w:t>
      </w:r>
      <w:r>
        <w:rPr>
          <w:rFonts w:hint="eastAsia"/>
          <w:sz w:val="24"/>
          <w:szCs w:val="24"/>
        </w:rPr>
        <w:t>JTG B01-2014</w:t>
      </w:r>
      <w:r>
        <w:rPr>
          <w:rFonts w:hint="eastAsia"/>
          <w:sz w:val="24"/>
          <w:szCs w:val="24"/>
        </w:rPr>
        <w:t>）</w:t>
      </w:r>
    </w:p>
    <w:p w:rsidR="00AD03A5" w:rsidRDefault="00434486">
      <w:pPr>
        <w:tabs>
          <w:tab w:val="left" w:pos="1078"/>
        </w:tabs>
        <w:spacing w:line="360" w:lineRule="auto"/>
        <w:ind w:right="39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⑤《建筑施工场界环境噪声排放标准》（</w:t>
      </w:r>
      <w:r>
        <w:rPr>
          <w:rFonts w:hint="eastAsia"/>
          <w:sz w:val="24"/>
          <w:szCs w:val="24"/>
        </w:rPr>
        <w:t>GB 12523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2011</w:t>
      </w:r>
      <w:r>
        <w:rPr>
          <w:rFonts w:hint="eastAsia"/>
          <w:sz w:val="24"/>
          <w:szCs w:val="24"/>
        </w:rPr>
        <w:t>）</w:t>
      </w:r>
    </w:p>
    <w:p w:rsidR="00AD03A5" w:rsidRDefault="00434486">
      <w:pPr>
        <w:tabs>
          <w:tab w:val="left" w:pos="1078"/>
        </w:tabs>
        <w:spacing w:line="360" w:lineRule="auto"/>
        <w:ind w:right="39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⑥《中华人民共和国国家环境保护标准》（</w:t>
      </w:r>
      <w:r>
        <w:rPr>
          <w:rFonts w:hint="eastAsia"/>
          <w:sz w:val="24"/>
          <w:szCs w:val="24"/>
        </w:rPr>
        <w:t>HJ 1106-2020</w:t>
      </w:r>
      <w:r>
        <w:rPr>
          <w:rFonts w:hint="eastAsia"/>
          <w:sz w:val="24"/>
          <w:szCs w:val="24"/>
        </w:rPr>
        <w:t>）</w:t>
      </w:r>
    </w:p>
    <w:p w:rsidR="00AD03A5" w:rsidRDefault="00434486">
      <w:pPr>
        <w:tabs>
          <w:tab w:val="left" w:pos="1078"/>
        </w:tabs>
        <w:spacing w:line="360" w:lineRule="auto"/>
        <w:ind w:right="39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⑦《环境空气质量标准》（</w:t>
      </w:r>
      <w:r>
        <w:rPr>
          <w:rFonts w:hint="eastAsia"/>
          <w:sz w:val="24"/>
          <w:szCs w:val="24"/>
        </w:rPr>
        <w:t>GB 3095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2012</w:t>
      </w:r>
      <w:r>
        <w:rPr>
          <w:rFonts w:hint="eastAsia"/>
          <w:sz w:val="24"/>
          <w:szCs w:val="24"/>
        </w:rPr>
        <w:t>）</w:t>
      </w:r>
    </w:p>
    <w:p w:rsidR="00AD03A5" w:rsidRDefault="00434486">
      <w:pPr>
        <w:tabs>
          <w:tab w:val="left" w:pos="1078"/>
        </w:tabs>
        <w:spacing w:line="360" w:lineRule="auto"/>
        <w:ind w:right="39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⑧《声环境质量标准》（</w:t>
      </w:r>
      <w:r>
        <w:rPr>
          <w:rFonts w:hint="eastAsia"/>
          <w:sz w:val="24"/>
          <w:szCs w:val="24"/>
        </w:rPr>
        <w:t>GB 3096-2008</w:t>
      </w:r>
      <w:r>
        <w:rPr>
          <w:rFonts w:hint="eastAsia"/>
          <w:sz w:val="24"/>
          <w:szCs w:val="24"/>
        </w:rPr>
        <w:t>）</w:t>
      </w:r>
    </w:p>
    <w:p w:rsidR="00AD03A5" w:rsidRDefault="00434486">
      <w:pPr>
        <w:numPr>
          <w:ilvl w:val="0"/>
          <w:numId w:val="2"/>
        </w:numPr>
        <w:spacing w:line="360" w:lineRule="auto"/>
        <w:ind w:left="757" w:right="866"/>
        <w:rPr>
          <w:rFonts w:ascii="Microsoft JhengHei" w:eastAsia="Microsoft JhengHei"/>
          <w:b/>
          <w:sz w:val="28"/>
          <w:szCs w:val="28"/>
        </w:rPr>
      </w:pPr>
      <w:r>
        <w:rPr>
          <w:rFonts w:ascii="Microsoft JhengHei" w:eastAsia="Microsoft JhengHei" w:hint="eastAsia"/>
          <w:b/>
          <w:sz w:val="28"/>
          <w:szCs w:val="28"/>
        </w:rPr>
        <w:t>重大意见分歧的处理依据和结果</w:t>
      </w:r>
    </w:p>
    <w:p w:rsidR="00AD03A5" w:rsidRDefault="00434486">
      <w:pPr>
        <w:pStyle w:val="a7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本标准起草过程中没有重大分歧意见。</w:t>
      </w:r>
    </w:p>
    <w:p w:rsidR="00AD03A5" w:rsidRDefault="00434486">
      <w:pPr>
        <w:numPr>
          <w:ilvl w:val="0"/>
          <w:numId w:val="2"/>
        </w:numPr>
        <w:spacing w:line="360" w:lineRule="auto"/>
        <w:ind w:left="757" w:right="866"/>
        <w:rPr>
          <w:rFonts w:ascii="Microsoft JhengHei" w:eastAsia="Microsoft JhengHei"/>
          <w:b/>
          <w:sz w:val="28"/>
          <w:szCs w:val="28"/>
        </w:rPr>
      </w:pPr>
      <w:r>
        <w:rPr>
          <w:rFonts w:ascii="Microsoft JhengHei" w:eastAsia="Microsoft JhengHei"/>
          <w:b/>
          <w:sz w:val="28"/>
          <w:szCs w:val="28"/>
        </w:rPr>
        <w:t>后续贯彻措施</w:t>
      </w:r>
    </w:p>
    <w:p w:rsidR="00AD03A5" w:rsidRDefault="00434486">
      <w:pPr>
        <w:pStyle w:val="a7"/>
        <w:spacing w:line="360" w:lineRule="auto"/>
        <w:ind w:firstLine="480"/>
        <w:rPr>
          <w:rFonts w:hAnsi="宋体"/>
          <w:sz w:val="24"/>
        </w:rPr>
      </w:pPr>
      <w:r>
        <w:rPr>
          <w:sz w:val="24"/>
        </w:rPr>
        <w:t>建议</w:t>
      </w:r>
      <w:r>
        <w:rPr>
          <w:rFonts w:hint="eastAsia"/>
          <w:sz w:val="24"/>
        </w:rPr>
        <w:t>由</w:t>
      </w:r>
      <w:r>
        <w:rPr>
          <w:rFonts w:hint="eastAsia"/>
          <w:sz w:val="24"/>
        </w:rPr>
        <w:t>公路及生态环境</w:t>
      </w:r>
      <w:r>
        <w:rPr>
          <w:rFonts w:hint="eastAsia"/>
          <w:sz w:val="24"/>
        </w:rPr>
        <w:t>相关行业标准化管理机构组织</w:t>
      </w:r>
      <w:r>
        <w:rPr>
          <w:sz w:val="24"/>
        </w:rPr>
        <w:t>贯彻</w:t>
      </w:r>
      <w:r>
        <w:rPr>
          <w:rFonts w:hint="eastAsia"/>
          <w:sz w:val="24"/>
        </w:rPr>
        <w:t>本</w:t>
      </w:r>
      <w:r>
        <w:rPr>
          <w:sz w:val="24"/>
        </w:rPr>
        <w:t>标准</w:t>
      </w:r>
      <w:r>
        <w:rPr>
          <w:rFonts w:hint="eastAsia"/>
          <w:sz w:val="24"/>
        </w:rPr>
        <w:t>的相关活动，利用各种活动（如工作组活动、行业协会的管理和活动、专家培训、标准化技术刊物、网上信息、产品认证等）尽可能向</w:t>
      </w:r>
      <w:r>
        <w:rPr>
          <w:rFonts w:hint="eastAsia"/>
          <w:sz w:val="24"/>
        </w:rPr>
        <w:t>公路及生态环境</w:t>
      </w:r>
      <w:r>
        <w:rPr>
          <w:rFonts w:hint="eastAsia"/>
          <w:sz w:val="24"/>
        </w:rPr>
        <w:t>相关单位和机构宣贯该标准。</w:t>
      </w:r>
    </w:p>
    <w:p w:rsidR="00AD03A5" w:rsidRDefault="00434486">
      <w:pPr>
        <w:spacing w:line="360" w:lineRule="auto"/>
        <w:ind w:firstLineChars="200" w:firstLine="480"/>
        <w:rPr>
          <w:lang w:val="en-US"/>
        </w:rPr>
      </w:pPr>
      <w:r>
        <w:rPr>
          <w:rFonts w:hint="eastAsia"/>
          <w:sz w:val="24"/>
        </w:rPr>
        <w:t>建议本标准发布之日起半年内实施。</w:t>
      </w:r>
    </w:p>
    <w:p w:rsidR="00AD03A5" w:rsidRDefault="00AD03A5">
      <w:pPr>
        <w:pStyle w:val="a3"/>
        <w:spacing w:before="4" w:line="360" w:lineRule="auto"/>
        <w:rPr>
          <w:sz w:val="40"/>
          <w:lang w:val="en-US"/>
        </w:rPr>
      </w:pPr>
    </w:p>
    <w:p w:rsidR="00AD03A5" w:rsidRDefault="00AD03A5">
      <w:pPr>
        <w:pStyle w:val="a3"/>
        <w:spacing w:line="360" w:lineRule="auto"/>
        <w:ind w:left="7476" w:right="386" w:hanging="319"/>
      </w:pPr>
    </w:p>
    <w:p w:rsidR="00AD03A5" w:rsidRDefault="00434486">
      <w:pPr>
        <w:pStyle w:val="a7"/>
        <w:spacing w:line="360" w:lineRule="auto"/>
        <w:ind w:firstLine="480"/>
        <w:jc w:val="right"/>
        <w:rPr>
          <w:sz w:val="24"/>
        </w:rPr>
      </w:pPr>
      <w:r>
        <w:rPr>
          <w:sz w:val="24"/>
        </w:rPr>
        <w:t>标准编制小组</w:t>
      </w:r>
    </w:p>
    <w:p w:rsidR="00AD03A5" w:rsidRDefault="00434486">
      <w:pPr>
        <w:pStyle w:val="a7"/>
        <w:spacing w:line="360" w:lineRule="auto"/>
        <w:ind w:firstLine="480"/>
        <w:jc w:val="right"/>
        <w:rPr>
          <w:sz w:val="24"/>
        </w:rPr>
      </w:pPr>
      <w:r>
        <w:rPr>
          <w:sz w:val="24"/>
        </w:rPr>
        <w:t>2022</w:t>
      </w:r>
      <w:r>
        <w:rPr>
          <w:sz w:val="24"/>
        </w:rPr>
        <w:t>年</w:t>
      </w:r>
      <w:r>
        <w:rPr>
          <w:rFonts w:hint="eastAsia"/>
          <w:sz w:val="24"/>
        </w:rPr>
        <w:t>4</w:t>
      </w:r>
      <w:r>
        <w:rPr>
          <w:sz w:val="24"/>
        </w:rPr>
        <w:t>月</w:t>
      </w:r>
    </w:p>
    <w:sectPr w:rsidR="00AD03A5">
      <w:footerReference w:type="default" r:id="rId10"/>
      <w:pgSz w:w="11910" w:h="16840"/>
      <w:pgMar w:top="1480" w:right="1140" w:bottom="1160" w:left="1300" w:header="0" w:footer="9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486" w:rsidRDefault="00434486">
      <w:r>
        <w:separator/>
      </w:r>
    </w:p>
  </w:endnote>
  <w:endnote w:type="continuationSeparator" w:id="0">
    <w:p w:rsidR="00434486" w:rsidRDefault="0043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3A5" w:rsidRDefault="00434486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9932035</wp:posOffset>
              </wp:positionV>
              <wp:extent cx="1092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D03A5" w:rsidRDefault="00434486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5939">
                            <w:rPr>
                              <w:rFonts w:ascii="Calibri"/>
                              <w:noProof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3pt;margin-top:782.05pt;width:8.6pt;height:1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" filled="f" stroked="f">
              <v:textbox inset="0,0,0,0">
                <w:txbxContent>
                  <w:p w:rsidR="00AD03A5" w:rsidRDefault="00434486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15939">
                      <w:rPr>
                        <w:rFonts w:ascii="Calibri"/>
                        <w:noProof/>
                        <w:sz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486" w:rsidRDefault="00434486">
      <w:r>
        <w:separator/>
      </w:r>
    </w:p>
  </w:footnote>
  <w:footnote w:type="continuationSeparator" w:id="0">
    <w:p w:rsidR="00434486" w:rsidRDefault="00434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15" w:hanging="320"/>
      </w:pPr>
      <w:rPr>
        <w:rFonts w:ascii="宋体" w:eastAsia="宋体" w:hAnsi="宋体" w:cs="宋体" w:hint="default"/>
        <w:spacing w:val="-78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054" w:hanging="3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89" w:hanging="3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23" w:hanging="3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58" w:hanging="3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93" w:hanging="3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27" w:hanging="3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62" w:hanging="3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597" w:hanging="320"/>
      </w:pPr>
      <w:rPr>
        <w:rFonts w:hint="default"/>
        <w:lang w:val="zh-CN" w:eastAsia="zh-CN" w:bidi="zh-CN"/>
      </w:rPr>
    </w:lvl>
  </w:abstractNum>
  <w:abstractNum w:abstractNumId="1">
    <w:nsid w:val="742826B8"/>
    <w:multiLevelType w:val="singleLevel"/>
    <w:tmpl w:val="742826B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NzdhN2U2MmYwMzc1YjdmZTUyZGU0MmQ5ZjliZDEifQ=="/>
  </w:docVars>
  <w:rsids>
    <w:rsidRoot w:val="00C53C49"/>
    <w:rsid w:val="000316E8"/>
    <w:rsid w:val="000D7235"/>
    <w:rsid w:val="00100FAF"/>
    <w:rsid w:val="00167E83"/>
    <w:rsid w:val="00180588"/>
    <w:rsid w:val="00184847"/>
    <w:rsid w:val="002B1F8E"/>
    <w:rsid w:val="00303068"/>
    <w:rsid w:val="00434486"/>
    <w:rsid w:val="004807D4"/>
    <w:rsid w:val="00497E4D"/>
    <w:rsid w:val="004C79D2"/>
    <w:rsid w:val="004D5D18"/>
    <w:rsid w:val="00505B01"/>
    <w:rsid w:val="00515939"/>
    <w:rsid w:val="005A3DF1"/>
    <w:rsid w:val="005A682A"/>
    <w:rsid w:val="005C1411"/>
    <w:rsid w:val="005C3BF4"/>
    <w:rsid w:val="005C7DFA"/>
    <w:rsid w:val="00634C11"/>
    <w:rsid w:val="006D14E4"/>
    <w:rsid w:val="007A0CDB"/>
    <w:rsid w:val="007E2811"/>
    <w:rsid w:val="00842FE0"/>
    <w:rsid w:val="00860140"/>
    <w:rsid w:val="0086321A"/>
    <w:rsid w:val="008C2985"/>
    <w:rsid w:val="008D1CC5"/>
    <w:rsid w:val="008D58BC"/>
    <w:rsid w:val="009A5E41"/>
    <w:rsid w:val="009E1715"/>
    <w:rsid w:val="00A049F4"/>
    <w:rsid w:val="00A60852"/>
    <w:rsid w:val="00AD03A5"/>
    <w:rsid w:val="00AF0242"/>
    <w:rsid w:val="00AF4AB6"/>
    <w:rsid w:val="00B01049"/>
    <w:rsid w:val="00B21E8A"/>
    <w:rsid w:val="00B50CBB"/>
    <w:rsid w:val="00B714B4"/>
    <w:rsid w:val="00BA534D"/>
    <w:rsid w:val="00BD0D35"/>
    <w:rsid w:val="00BE7FA0"/>
    <w:rsid w:val="00C060CC"/>
    <w:rsid w:val="00C53C49"/>
    <w:rsid w:val="00C80BFC"/>
    <w:rsid w:val="00CD332F"/>
    <w:rsid w:val="00D06A83"/>
    <w:rsid w:val="00D07DC2"/>
    <w:rsid w:val="00D12963"/>
    <w:rsid w:val="00E82F70"/>
    <w:rsid w:val="00EE6A44"/>
    <w:rsid w:val="00FF78E7"/>
    <w:rsid w:val="22607CB8"/>
    <w:rsid w:val="3A1C56EF"/>
    <w:rsid w:val="3A3F4699"/>
    <w:rsid w:val="42E87780"/>
    <w:rsid w:val="58603098"/>
    <w:rsid w:val="66165A73"/>
    <w:rsid w:val="70614CD4"/>
    <w:rsid w:val="7868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2093" w:right="1845"/>
      <w:jc w:val="center"/>
      <w:outlineLvl w:val="0"/>
    </w:pPr>
    <w:rPr>
      <w:rFonts w:ascii="Microsoft JhengHei" w:eastAsia="Microsoft JhengHei" w:hAnsi="Microsoft JhengHei" w:cs="Microsoft JhengHei"/>
      <w:b/>
      <w:bCs/>
      <w:sz w:val="44"/>
      <w:szCs w:val="44"/>
    </w:rPr>
  </w:style>
  <w:style w:type="paragraph" w:styleId="2">
    <w:name w:val="heading 2"/>
    <w:basedOn w:val="a"/>
    <w:next w:val="a"/>
    <w:uiPriority w:val="1"/>
    <w:qFormat/>
    <w:pPr>
      <w:ind w:left="757"/>
      <w:outlineLvl w:val="1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1077" w:hanging="32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  <w:style w:type="paragraph" w:customStyle="1" w:styleId="a7">
    <w:name w:val="段"/>
    <w:link w:val="Char1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1">
    <w:name w:val="段 Char"/>
    <w:link w:val="a7"/>
    <w:qFormat/>
    <w:rPr>
      <w:rFonts w:ascii="宋体" w:eastAsia="宋体" w:hAnsi="Times New Roman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2093" w:right="1845"/>
      <w:jc w:val="center"/>
      <w:outlineLvl w:val="0"/>
    </w:pPr>
    <w:rPr>
      <w:rFonts w:ascii="Microsoft JhengHei" w:eastAsia="Microsoft JhengHei" w:hAnsi="Microsoft JhengHei" w:cs="Microsoft JhengHei"/>
      <w:b/>
      <w:bCs/>
      <w:sz w:val="44"/>
      <w:szCs w:val="44"/>
    </w:rPr>
  </w:style>
  <w:style w:type="paragraph" w:styleId="2">
    <w:name w:val="heading 2"/>
    <w:basedOn w:val="a"/>
    <w:next w:val="a"/>
    <w:uiPriority w:val="1"/>
    <w:qFormat/>
    <w:pPr>
      <w:ind w:left="757"/>
      <w:outlineLvl w:val="1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1077" w:hanging="32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  <w:style w:type="paragraph" w:customStyle="1" w:styleId="a7">
    <w:name w:val="段"/>
    <w:link w:val="Char1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1">
    <w:name w:val="段 Char"/>
    <w:link w:val="a7"/>
    <w:qFormat/>
    <w:rPr>
      <w:rFonts w:ascii="宋体" w:eastAsia="宋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6C2449-314C-4840-BFAC-A7661147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ã•−æfl¿åºœæœºå–³ç›©ä¸ıæœ“å−¡è§—è„…ã•‰ç¼Œå‹¶è¯´æŸ”.doc</dc:title>
  <dc:creator>Admin</dc:creator>
  <cp:lastModifiedBy>shijin</cp:lastModifiedBy>
  <cp:revision>2</cp:revision>
  <dcterms:created xsi:type="dcterms:W3CDTF">2022-05-12T00:06:00Z</dcterms:created>
  <dcterms:modified xsi:type="dcterms:W3CDTF">2022-05-12T00:06:00Z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2021-09-09T00:00:00Z</vt:filetime>
  </property>
  <property fmtid="{D5CDD505-2E9C-101B-9397-08002B2CF9AE}" pid="4" name="KSOProductBuildVer">
    <vt:lpwstr>2052-11.1.0.11636</vt:lpwstr>
  </property>
  <property fmtid="{D5CDD505-2E9C-101B-9397-08002B2CF9AE}" pid="5" name="ICV">
    <vt:lpwstr>BF0A1ECC0BD1443DA6B94FB83BBBAC1F</vt:lpwstr>
  </property>
</Properties>
</file>