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67.080.01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B 3</w:t>
            </w:r>
            <w:r>
              <w:rPr>
                <w:rFonts w:hint="eastAsia" w:ascii="黑体" w:hAnsi="黑体" w:eastAsia="黑体"/>
                <w:sz w:val="21"/>
                <w:szCs w:val="21"/>
              </w:rPr>
              <w:t>1</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framePr/>
      </w:pPr>
      <w:r>
        <w:t>T/PUCIA</w:t>
      </w:r>
      <w:r>
        <w:rPr>
          <w:rFonts w:hint="eastAsia"/>
        </w:rPr>
        <w:t xml:space="preserve"> 012</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蒲江柑橘贮藏技术规范</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ascii="黑体" w:hAnsi="黑体" w:eastAsia="黑体"/>
          <w:szCs w:val="28"/>
        </w:rPr>
        <w:t>Technical specification</w:t>
      </w:r>
      <w:r>
        <w:rPr>
          <w:rFonts w:hint="eastAsia" w:ascii="黑体" w:hAnsi="黑体" w:eastAsia="黑体"/>
          <w:szCs w:val="28"/>
        </w:rPr>
        <w:t xml:space="preserve"> for storage</w:t>
      </w:r>
      <w:r>
        <w:rPr>
          <w:rFonts w:hint="eastAsia" w:ascii="黑体" w:hAnsi="黑体" w:eastAsia="黑体"/>
          <w:szCs w:val="28"/>
          <w:lang w:val="en-US" w:eastAsia="zh-CN"/>
        </w:rPr>
        <w:t xml:space="preserve"> of P</w:t>
      </w:r>
      <w:r>
        <w:rPr>
          <w:rFonts w:hint="eastAsia" w:ascii="黑体" w:hAnsi="黑体" w:eastAsia="黑体"/>
          <w:szCs w:val="28"/>
        </w:rPr>
        <w:t>ujiang</w:t>
      </w:r>
      <w:r>
        <w:rPr>
          <w:rFonts w:hint="eastAsia" w:ascii="黑体" w:hAnsi="黑体" w:eastAsia="黑体"/>
          <w:szCs w:val="28"/>
          <w:lang w:val="en-US" w:eastAsia="zh-CN"/>
        </w:rPr>
        <w:t xml:space="preserve"> </w:t>
      </w:r>
      <w:r>
        <w:rPr>
          <w:rFonts w:hint="eastAsia" w:ascii="黑体" w:hAnsi="黑体" w:eastAsia="黑体"/>
          <w:szCs w:val="28"/>
        </w:rPr>
        <w:t xml:space="preserve">citrus </w:t>
      </w:r>
    </w:p>
    <w:p>
      <w:pPr>
        <w:framePr w:w="9639" w:h="6974" w:hRule="exact" w:wrap="around" w:vAnchor="page" w:hAnchor="page" w:x="1419" w:y="6408" w:anchorLock="1"/>
        <w:spacing w:line="760" w:lineRule="exact"/>
        <w:ind w:left="-1418"/>
        <w:rPr>
          <w:rFonts w:ascii="宋体" w:hAnsi="宋体"/>
        </w:rPr>
      </w:pPr>
      <w:bookmarkStart w:id="16" w:name="_GoBack"/>
      <w:bookmarkEnd w:id="16"/>
    </w:p>
    <w:p>
      <w:pPr>
        <w:pStyle w:val="128"/>
        <w:framePr w:w="9639" w:h="6974" w:hRule="exact" w:wrap="around" w:vAnchor="page" w:hAnchor="page" w:x="1419" w:y="6408" w:anchorLock="1"/>
        <w:textAlignment w:val="bottom"/>
        <w:rPr>
          <w:rFonts w:ascii="宋体" w:hAnsi="宋体"/>
          <w:szCs w:val="28"/>
        </w:rPr>
      </w:pPr>
      <w:r>
        <w:rPr>
          <w:rFonts w:ascii="宋体" w:hAnsi="宋体"/>
          <w:szCs w:val="28"/>
        </w:rPr>
        <w:t>（征求意见稿）</w:t>
      </w:r>
    </w:p>
    <w:p>
      <w:pPr>
        <w:pStyle w:val="128"/>
        <w:framePr w:w="9639" w:h="6974" w:hRule="exact" w:wrap="around" w:vAnchor="page" w:hAnchor="page" w:x="1419" w:y="6408" w:anchorLock="1"/>
        <w:spacing w:before="440" w:after="160"/>
        <w:textAlignment w:val="bottom"/>
        <w:rPr>
          <w:sz w:val="24"/>
          <w:szCs w:val="28"/>
        </w:rPr>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-XX</w:t>
      </w:r>
      <w:r>
        <w:t xml:space="preserve"> </w:t>
      </w:r>
      <w:r>
        <w:rPr>
          <w:rFonts w:ascii="黑体"/>
        </w:rPr>
        <w:t>- XX</w:t>
      </w:r>
      <w:r>
        <w:t xml:space="preserve"> </w:t>
      </w:r>
      <w:r>
        <w:rPr>
          <w:rFonts w:hint="eastAsia"/>
        </w:rPr>
        <w:t>发布</w:t>
      </w:r>
    </w:p>
    <w:p>
      <w:pPr>
        <w:pStyle w:val="197"/>
        <w:framePr w:wrap="around" w:y="14176"/>
      </w:pPr>
      <w:r>
        <w:rPr>
          <w:rFonts w:hint="eastAsia" w:ascii="黑体"/>
        </w:rPr>
        <w:t>2022</w:t>
      </w:r>
      <w:r>
        <w:t xml:space="preserve"> </w:t>
      </w:r>
      <w:r>
        <w:rPr>
          <w:rFonts w:ascii="黑体"/>
        </w:rPr>
        <w:t>- 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"_Toc102050866" </w:instrText>
      </w:r>
      <w:r>
        <w:fldChar w:fldCharType="separate"/>
      </w:r>
      <w:r>
        <w:rPr>
          <w:rStyle w:val="32"/>
          <w:rFonts w:hint="eastAsia"/>
        </w:rPr>
        <w:t>前言</w:t>
      </w:r>
      <w:r>
        <w:tab/>
      </w:r>
      <w:r>
        <w:fldChar w:fldCharType="begin"/>
      </w:r>
      <w:r>
        <w:instrText xml:space="preserve"> PAGEREF _Toc102050866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"_Toc102050867" </w:instrText>
      </w:r>
      <w:r>
        <w:fldChar w:fldCharType="separate"/>
      </w:r>
      <w:r>
        <w:rPr>
          <w:rStyle w:val="32"/>
        </w:rPr>
        <w:t>1</w:t>
      </w:r>
      <w:r>
        <w:rPr>
          <w:rStyle w:val="32"/>
          <w:rFonts w:hint="eastAsia"/>
        </w:rPr>
        <w:t xml:space="preserve"> 范围</w:t>
      </w:r>
      <w:r>
        <w:tab/>
      </w:r>
      <w:r>
        <w:fldChar w:fldCharType="begin"/>
      </w:r>
      <w:r>
        <w:instrText xml:space="preserve"> PAGEREF _Toc102050867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"_Toc102050868" </w:instrText>
      </w:r>
      <w:r>
        <w:fldChar w:fldCharType="separate"/>
      </w:r>
      <w:r>
        <w:rPr>
          <w:rStyle w:val="32"/>
        </w:rPr>
        <w:t>2</w:t>
      </w:r>
      <w:r>
        <w:rPr>
          <w:rStyle w:val="32"/>
          <w:rFonts w:hint="eastAsia"/>
        </w:rPr>
        <w:t xml:space="preserve"> 规范性引用文件</w:t>
      </w:r>
      <w:r>
        <w:tab/>
      </w:r>
      <w:r>
        <w:fldChar w:fldCharType="begin"/>
      </w:r>
      <w:r>
        <w:instrText xml:space="preserve"> PAGEREF _Toc102050868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"_Toc102050869" </w:instrText>
      </w:r>
      <w:r>
        <w:fldChar w:fldCharType="separate"/>
      </w:r>
      <w:r>
        <w:rPr>
          <w:rStyle w:val="32"/>
        </w:rPr>
        <w:t>3</w:t>
      </w:r>
      <w:r>
        <w:rPr>
          <w:rStyle w:val="32"/>
          <w:rFonts w:hint="eastAsia"/>
        </w:rPr>
        <w:t xml:space="preserve"> 术语和定义</w:t>
      </w:r>
      <w:r>
        <w:tab/>
      </w:r>
      <w:r>
        <w:fldChar w:fldCharType="begin"/>
      </w:r>
      <w:r>
        <w:instrText xml:space="preserve"> PAGEREF _Toc102050869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"_Toc102050870" </w:instrText>
      </w:r>
      <w:r>
        <w:fldChar w:fldCharType="separate"/>
      </w:r>
      <w:r>
        <w:rPr>
          <w:rStyle w:val="32"/>
        </w:rPr>
        <w:t>4</w:t>
      </w:r>
      <w:r>
        <w:rPr>
          <w:rStyle w:val="32"/>
          <w:rFonts w:hint="eastAsia"/>
        </w:rPr>
        <w:t xml:space="preserve"> 果品质量要求</w:t>
      </w:r>
      <w:r>
        <w:tab/>
      </w:r>
      <w:r>
        <w:fldChar w:fldCharType="begin"/>
      </w:r>
      <w:r>
        <w:instrText xml:space="preserve"> PAGEREF _Toc102050870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"_Toc102050871" </w:instrText>
      </w:r>
      <w:r>
        <w:fldChar w:fldCharType="separate"/>
      </w:r>
      <w:r>
        <w:rPr>
          <w:rStyle w:val="32"/>
        </w:rPr>
        <w:t>5</w:t>
      </w:r>
      <w:r>
        <w:rPr>
          <w:rStyle w:val="32"/>
          <w:rFonts w:hint="eastAsia"/>
        </w:rPr>
        <w:t xml:space="preserve"> 入库前处理</w:t>
      </w:r>
      <w:r>
        <w:tab/>
      </w:r>
      <w:r>
        <w:fldChar w:fldCharType="begin"/>
      </w:r>
      <w:r>
        <w:instrText xml:space="preserve"> PAGEREF _Toc102050871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"_Toc102050872" </w:instrText>
      </w:r>
      <w:r>
        <w:fldChar w:fldCharType="separate"/>
      </w:r>
      <w:r>
        <w:rPr>
          <w:rStyle w:val="32"/>
        </w:rPr>
        <w:t>6</w:t>
      </w:r>
      <w:r>
        <w:rPr>
          <w:rStyle w:val="32"/>
          <w:rFonts w:hint="eastAsia"/>
        </w:rPr>
        <w:t xml:space="preserve"> 入库</w:t>
      </w:r>
      <w:r>
        <w:tab/>
      </w:r>
      <w:r>
        <w:fldChar w:fldCharType="begin"/>
      </w:r>
      <w:r>
        <w:instrText xml:space="preserve"> PAGEREF _Toc102050872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"_Toc102050873" </w:instrText>
      </w:r>
      <w:r>
        <w:fldChar w:fldCharType="separate"/>
      </w:r>
      <w:r>
        <w:rPr>
          <w:rStyle w:val="32"/>
        </w:rPr>
        <w:t>7</w:t>
      </w:r>
      <w:r>
        <w:rPr>
          <w:rStyle w:val="32"/>
          <w:rFonts w:hint="eastAsia"/>
        </w:rPr>
        <w:t xml:space="preserve"> 贮藏管理</w:t>
      </w:r>
      <w:r>
        <w:tab/>
      </w:r>
      <w:r>
        <w:fldChar w:fldCharType="begin"/>
      </w:r>
      <w:r>
        <w:instrText xml:space="preserve"> PAGEREF _Toc102050873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"_Toc102050874" </w:instrText>
      </w:r>
      <w:r>
        <w:fldChar w:fldCharType="separate"/>
      </w:r>
      <w:r>
        <w:rPr>
          <w:rStyle w:val="32"/>
        </w:rPr>
        <w:t>8</w:t>
      </w:r>
      <w:r>
        <w:rPr>
          <w:rStyle w:val="32"/>
          <w:rFonts w:hint="eastAsia"/>
        </w:rPr>
        <w:t xml:space="preserve"> 出库</w:t>
      </w:r>
      <w:r>
        <w:tab/>
      </w:r>
      <w:r>
        <w:fldChar w:fldCharType="begin"/>
      </w:r>
      <w:r>
        <w:instrText xml:space="preserve"> PAGEREF _Toc102050874 \h </w:instrText>
      </w:r>
      <w:r>
        <w:fldChar w:fldCharType="separate"/>
      </w:r>
      <w:r>
        <w:t>3</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2"/>
        <w:spacing w:after="360"/>
      </w:pPr>
      <w:bookmarkStart w:id="2" w:name="_Toc102050866"/>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本文件起草单位：蒲江丑柑产业协会、蒲江县农业农村局、四川省农业标准化技术委员会、四川万豪企业管理咨询有限公司。</w:t>
      </w:r>
    </w:p>
    <w:p>
      <w:pPr>
        <w:pStyle w:val="59"/>
        <w:ind w:firstLine="420"/>
      </w:pPr>
      <w:r>
        <w:rPr>
          <w:rFonts w:hint="eastAsia"/>
        </w:rPr>
        <w:t>本文件主要起草人：徐建、雷清良、钟军、唐翠芳、胡秀芝、靳西彪、万春美、高烽焱、曾亮、王用瑜、张萍。</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蒲江柑橘贮藏技术规范</w:t>
              </w:r>
            </w:p>
          </w:sdtContent>
        </w:sdt>
      </w:sdtContent>
    </w:sdt>
    <w:bookmarkEnd w:id="5"/>
    <w:p>
      <w:pPr>
        <w:pStyle w:val="107"/>
        <w:numPr>
          <w:ilvl w:val="1"/>
          <w:numId w:val="31"/>
        </w:numPr>
        <w:spacing w:before="240" w:after="240"/>
      </w:pPr>
      <w:bookmarkStart w:id="6" w:name="_Toc102050867"/>
      <w:r>
        <w:rPr>
          <w:rFonts w:hint="eastAsia"/>
        </w:rPr>
        <w:t>范围</w:t>
      </w:r>
      <w:bookmarkEnd w:id="6"/>
    </w:p>
    <w:p>
      <w:pPr>
        <w:pStyle w:val="59"/>
        <w:ind w:firstLine="420"/>
      </w:pPr>
      <w:r>
        <w:rPr>
          <w:rFonts w:hint="eastAsia"/>
        </w:rPr>
        <w:t>本文件规定了蒲江柑橘贮藏的术语和定义、果品质量要求、入库前处理、入库、贮藏管理以及出库的要求。</w:t>
      </w:r>
    </w:p>
    <w:p>
      <w:pPr>
        <w:pStyle w:val="59"/>
        <w:ind w:firstLine="420"/>
      </w:pPr>
      <w:r>
        <w:rPr>
          <w:rFonts w:hint="eastAsia"/>
        </w:rPr>
        <w:t>本文件适用于蒲江县行政区划范围内柑橘的贮藏管理。</w:t>
      </w:r>
    </w:p>
    <w:p>
      <w:pPr>
        <w:pStyle w:val="107"/>
        <w:numPr>
          <w:ilvl w:val="1"/>
          <w:numId w:val="31"/>
        </w:numPr>
        <w:spacing w:before="240" w:after="240"/>
      </w:pPr>
      <w:bookmarkStart w:id="7" w:name="_Toc102050868"/>
      <w:r>
        <w:rPr>
          <w:rFonts w:hint="eastAsia"/>
        </w:rPr>
        <w:t>规范性引用文件</w:t>
      </w:r>
      <w:bookmarkEnd w:id="7"/>
    </w:p>
    <w:sdt>
      <w:sdtPr>
        <w:rPr>
          <w:rFonts w:hint="eastAsia"/>
        </w:rPr>
        <w:id w:val="1605609436"/>
        <w:placeholder>
          <w:docPart w:val="A361ECEE787242158EFBBAEF36F252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191  包装储运图示标志</w:t>
      </w:r>
    </w:p>
    <w:p>
      <w:pPr>
        <w:pStyle w:val="59"/>
        <w:ind w:firstLine="420"/>
      </w:pPr>
      <w:r>
        <w:rPr>
          <w:rFonts w:hint="eastAsia"/>
        </w:rPr>
        <w:t>GB 2762  食品安全国家标准 食品中污染物限量</w:t>
      </w:r>
    </w:p>
    <w:p>
      <w:pPr>
        <w:pStyle w:val="59"/>
        <w:ind w:firstLine="420"/>
      </w:pPr>
      <w:r>
        <w:rPr>
          <w:rFonts w:hint="eastAsia"/>
        </w:rPr>
        <w:t>GB 2763  食品安全国家标准 食品中农药最大残留限量</w:t>
      </w:r>
    </w:p>
    <w:p>
      <w:pPr>
        <w:pStyle w:val="59"/>
        <w:ind w:firstLine="420"/>
      </w:pPr>
      <w:r>
        <w:t>GB/T 129</w:t>
      </w:r>
      <w:r>
        <w:rPr>
          <w:rFonts w:hint="eastAsia"/>
        </w:rPr>
        <w:t>4</w:t>
      </w:r>
      <w:r>
        <w:t>7</w:t>
      </w:r>
      <w:r>
        <w:rPr>
          <w:rFonts w:hint="eastAsia"/>
        </w:rPr>
        <w:t xml:space="preserve">  鲜柑橘</w:t>
      </w:r>
    </w:p>
    <w:p>
      <w:pPr>
        <w:pStyle w:val="59"/>
        <w:ind w:firstLine="420"/>
      </w:pPr>
      <w:r>
        <w:rPr>
          <w:rFonts w:hint="eastAsia"/>
        </w:rPr>
        <w:t>GB/T 13607  苹果、柑桔包装</w:t>
      </w:r>
    </w:p>
    <w:p>
      <w:pPr>
        <w:pStyle w:val="59"/>
        <w:ind w:firstLine="420"/>
      </w:pPr>
      <w:r>
        <w:rPr>
          <w:rFonts w:hint="eastAsia"/>
        </w:rPr>
        <w:t>T/PUCIA 013  蒲江柑橘产品质量分级</w:t>
      </w:r>
    </w:p>
    <w:p>
      <w:pPr>
        <w:pStyle w:val="107"/>
        <w:numPr>
          <w:ilvl w:val="1"/>
          <w:numId w:val="31"/>
        </w:numPr>
        <w:spacing w:before="240" w:after="240"/>
      </w:pPr>
      <w:bookmarkStart w:id="8" w:name="_Toc102050869"/>
      <w:r>
        <w:rPr>
          <w:rFonts w:hint="eastAsia"/>
        </w:rPr>
        <w:t>术语和定义</w:t>
      </w:r>
      <w:bookmarkEnd w:id="8"/>
    </w:p>
    <w:p>
      <w:pPr>
        <w:pStyle w:val="59"/>
        <w:ind w:firstLine="420"/>
      </w:pPr>
      <w:r>
        <w:t>下列术语和定义适用于本文件。</w:t>
      </w:r>
    </w:p>
    <w:p>
      <w:pPr>
        <w:pStyle w:val="35"/>
        <w:numPr>
          <w:ilvl w:val="2"/>
          <w:numId w:val="31"/>
        </w:numPr>
        <w:spacing w:before="0" w:beforeLines="0" w:after="0" w:afterLines="0"/>
      </w:pPr>
    </w:p>
    <w:p>
      <w:pPr>
        <w:pStyle w:val="35"/>
        <w:spacing w:before="0" w:beforeLines="0" w:after="0" w:afterLines="0"/>
        <w:ind w:firstLine="420" w:firstLineChars="200"/>
      </w:pPr>
      <w:r>
        <w:rPr>
          <w:rFonts w:hint="eastAsia"/>
        </w:rPr>
        <w:t>缺陷果  defect fruit</w:t>
      </w:r>
    </w:p>
    <w:p>
      <w:pPr>
        <w:pStyle w:val="59"/>
        <w:ind w:firstLine="420"/>
      </w:pPr>
      <w:r>
        <w:t>在生长发育、采收、运输以及贮藏过程中受物理机械作用、化学作用或生物作用，造成外观或内质受到损伤，部分或全部失去食用价值的果实。</w:t>
      </w:r>
    </w:p>
    <w:p>
      <w:pPr>
        <w:pStyle w:val="35"/>
        <w:numPr>
          <w:ilvl w:val="2"/>
          <w:numId w:val="31"/>
        </w:numPr>
        <w:spacing w:before="0" w:beforeLines="0" w:after="0" w:afterLines="0"/>
      </w:pPr>
    </w:p>
    <w:p>
      <w:pPr>
        <w:pStyle w:val="35"/>
        <w:spacing w:before="0" w:beforeLines="0" w:after="0" w:afterLines="0"/>
        <w:ind w:firstLine="420" w:firstLineChars="200"/>
      </w:pPr>
      <w:r>
        <w:rPr>
          <w:rFonts w:hint="eastAsia"/>
        </w:rPr>
        <w:t>预贮  pre-storage</w:t>
      </w:r>
    </w:p>
    <w:p>
      <w:pPr>
        <w:pStyle w:val="59"/>
        <w:ind w:firstLine="420"/>
      </w:pPr>
      <w:r>
        <w:rPr>
          <w:rFonts w:hint="eastAsia"/>
        </w:rPr>
        <w:t>将采收后的柑橘置于通风的库房，利用空气对流使果实失去部分水分并愈合伤口以改善耐贮性的过程。</w:t>
      </w:r>
    </w:p>
    <w:p>
      <w:pPr>
        <w:pStyle w:val="35"/>
        <w:numPr>
          <w:ilvl w:val="2"/>
          <w:numId w:val="31"/>
        </w:numPr>
        <w:spacing w:before="0" w:beforeLines="0" w:after="0" w:afterLines="0"/>
      </w:pPr>
    </w:p>
    <w:p>
      <w:pPr>
        <w:pStyle w:val="35"/>
        <w:spacing w:before="0" w:beforeLines="0" w:after="0" w:afterLines="0"/>
        <w:ind w:firstLine="420" w:firstLineChars="200"/>
      </w:pPr>
      <w:r>
        <w:rPr>
          <w:rFonts w:hint="eastAsia"/>
        </w:rPr>
        <w:t>完熟采收  ripened harvest</w:t>
      </w:r>
    </w:p>
    <w:p>
      <w:pPr>
        <w:pStyle w:val="59"/>
        <w:ind w:firstLine="420"/>
      </w:pPr>
      <w:r>
        <w:rPr>
          <w:rFonts w:hint="eastAsia"/>
        </w:rPr>
        <w:t>一种柑橘果实在树上自然成熟后再采收的采收方式。</w:t>
      </w:r>
    </w:p>
    <w:p>
      <w:pPr>
        <w:pStyle w:val="107"/>
        <w:numPr>
          <w:ilvl w:val="1"/>
          <w:numId w:val="31"/>
        </w:numPr>
        <w:spacing w:before="240" w:after="240"/>
      </w:pPr>
      <w:bookmarkStart w:id="9" w:name="_Toc102050870"/>
      <w:r>
        <w:rPr>
          <w:rFonts w:hint="eastAsia"/>
        </w:rPr>
        <w:t>果品质量要求</w:t>
      </w:r>
      <w:bookmarkEnd w:id="9"/>
    </w:p>
    <w:p>
      <w:pPr>
        <w:pStyle w:val="35"/>
        <w:numPr>
          <w:ilvl w:val="2"/>
          <w:numId w:val="31"/>
        </w:numPr>
        <w:spacing w:before="120" w:after="120"/>
      </w:pPr>
      <w:r>
        <w:rPr>
          <w:rFonts w:hint="eastAsia"/>
        </w:rPr>
        <w:t>果形与外观</w:t>
      </w:r>
    </w:p>
    <w:p>
      <w:pPr>
        <w:pStyle w:val="59"/>
        <w:ind w:firstLine="420"/>
      </w:pPr>
      <w:r>
        <w:rPr>
          <w:rFonts w:hint="eastAsia"/>
        </w:rPr>
        <w:t>残次果、伤果、虫果、病果及有柑橘检疫性病虫害果园的果实不应入库储藏。</w:t>
      </w:r>
    </w:p>
    <w:p>
      <w:pPr>
        <w:pStyle w:val="35"/>
        <w:numPr>
          <w:ilvl w:val="2"/>
          <w:numId w:val="31"/>
        </w:numPr>
        <w:spacing w:before="120" w:after="120"/>
      </w:pPr>
      <w:r>
        <w:rPr>
          <w:rFonts w:hint="eastAsia"/>
        </w:rPr>
        <w:t>果实成熟度</w:t>
      </w:r>
    </w:p>
    <w:p>
      <w:pPr>
        <w:pStyle w:val="59"/>
        <w:ind w:firstLine="420"/>
      </w:pPr>
      <w:r>
        <w:rPr>
          <w:rFonts w:hint="eastAsia"/>
        </w:rPr>
        <w:t>达到采收要求，具有本品种固有的色泽和口感。</w:t>
      </w:r>
    </w:p>
    <w:p>
      <w:pPr>
        <w:pStyle w:val="35"/>
        <w:numPr>
          <w:ilvl w:val="2"/>
          <w:numId w:val="31"/>
        </w:numPr>
        <w:spacing w:before="120" w:after="120"/>
      </w:pPr>
      <w:r>
        <w:rPr>
          <w:rFonts w:hint="eastAsia"/>
        </w:rPr>
        <w:t>理化和安全卫生指标</w:t>
      </w:r>
    </w:p>
    <w:p>
      <w:pPr>
        <w:pStyle w:val="59"/>
        <w:ind w:firstLine="420"/>
      </w:pPr>
      <w:r>
        <w:rPr>
          <w:rFonts w:hint="eastAsia"/>
        </w:rPr>
        <w:t>理化指标应符合GB/T 12947的要求。安全指标应符合GB 2762和GB 2763的要求。</w:t>
      </w:r>
    </w:p>
    <w:p>
      <w:pPr>
        <w:pStyle w:val="107"/>
        <w:numPr>
          <w:ilvl w:val="1"/>
          <w:numId w:val="31"/>
        </w:numPr>
        <w:spacing w:before="240" w:after="240"/>
      </w:pPr>
      <w:bookmarkStart w:id="10" w:name="_Toc102050871"/>
      <w:r>
        <w:rPr>
          <w:rFonts w:hint="eastAsia"/>
        </w:rPr>
        <w:t>入库前处理</w:t>
      </w:r>
      <w:bookmarkEnd w:id="10"/>
    </w:p>
    <w:p>
      <w:pPr>
        <w:pStyle w:val="35"/>
        <w:numPr>
          <w:ilvl w:val="2"/>
          <w:numId w:val="31"/>
        </w:numPr>
        <w:spacing w:before="120" w:after="120"/>
      </w:pPr>
      <w:r>
        <w:rPr>
          <w:rFonts w:hint="eastAsia"/>
        </w:rPr>
        <w:t>库房处理</w:t>
      </w:r>
    </w:p>
    <w:p>
      <w:pPr>
        <w:pStyle w:val="36"/>
        <w:numPr>
          <w:ilvl w:val="3"/>
          <w:numId w:val="31"/>
        </w:numPr>
        <w:spacing w:before="120" w:beforeLines="50" w:after="120" w:afterLines="50"/>
        <w:rPr>
          <w:rFonts w:ascii="黑体" w:hAnsi="黑体" w:eastAsia="黑体"/>
        </w:rPr>
      </w:pPr>
      <w:r>
        <w:rPr>
          <w:rFonts w:hint="eastAsia" w:ascii="黑体" w:hAnsi="黑体" w:eastAsia="黑体"/>
        </w:rPr>
        <w:t>设施设备检修</w:t>
      </w:r>
    </w:p>
    <w:p>
      <w:pPr>
        <w:pStyle w:val="59"/>
        <w:ind w:firstLine="420"/>
      </w:pPr>
      <w:r>
        <w:rPr>
          <w:rFonts w:hint="eastAsia"/>
        </w:rPr>
        <w:t>入库前30 d对库房内设施设备的安全性与运行状态进行检查，包括但不限于贮藏、水电防火、库体等设施设备，并在发现问题后及时维修。</w:t>
      </w:r>
    </w:p>
    <w:p>
      <w:pPr>
        <w:pStyle w:val="36"/>
        <w:numPr>
          <w:ilvl w:val="3"/>
          <w:numId w:val="31"/>
        </w:numPr>
        <w:spacing w:before="120" w:beforeLines="50" w:after="120" w:afterLines="50"/>
        <w:rPr>
          <w:rFonts w:ascii="黑体" w:hAnsi="黑体" w:eastAsia="黑体"/>
        </w:rPr>
      </w:pPr>
      <w:r>
        <w:rPr>
          <w:rFonts w:hint="eastAsia" w:ascii="黑体" w:hAnsi="黑体" w:eastAsia="黑体"/>
        </w:rPr>
        <w:t>库房清理与消毒</w:t>
      </w:r>
    </w:p>
    <w:p>
      <w:pPr>
        <w:pStyle w:val="59"/>
        <w:ind w:firstLine="420"/>
      </w:pPr>
      <w:r>
        <w:rPr>
          <w:rFonts w:hint="eastAsia"/>
        </w:rPr>
        <w:t>入库前10 d对库房进行彻底清洁、整理。随后封闭门窗，用0.1%次氯酸钠或60 mg/L</w:t>
      </w:r>
      <w:r>
        <w:rPr>
          <w:rFonts w:hint="eastAsia" w:hAnsi="宋体"/>
        </w:rPr>
        <w:t>～</w:t>
      </w:r>
      <w:r>
        <w:rPr>
          <w:rFonts w:hint="eastAsia"/>
        </w:rPr>
        <w:t>80 mg/L二氧化氯或20 mg/m</w:t>
      </w:r>
      <w:r>
        <w:rPr>
          <w:rFonts w:hint="eastAsia"/>
          <w:vertAlign w:val="superscript"/>
        </w:rPr>
        <w:t>3</w:t>
      </w:r>
      <w:r>
        <w:rPr>
          <w:rFonts w:hint="eastAsia" w:hAnsi="宋体"/>
        </w:rPr>
        <w:t>～</w:t>
      </w:r>
      <w:r>
        <w:rPr>
          <w:rFonts w:hint="eastAsia"/>
        </w:rPr>
        <w:t>40 mg/m</w:t>
      </w:r>
      <w:r>
        <w:rPr>
          <w:rFonts w:hint="eastAsia"/>
          <w:vertAlign w:val="superscript"/>
        </w:rPr>
        <w:t>3</w:t>
      </w:r>
      <w:r>
        <w:rPr>
          <w:rFonts w:hint="eastAsia"/>
        </w:rPr>
        <w:t>臭氧等符合国家相关安全标准的消毒方法进行库房消毒，密闭2 d～3 d后通风1 d～2 d备用。</w:t>
      </w:r>
    </w:p>
    <w:p>
      <w:pPr>
        <w:pStyle w:val="36"/>
        <w:numPr>
          <w:ilvl w:val="3"/>
          <w:numId w:val="31"/>
        </w:numPr>
        <w:spacing w:before="120" w:beforeLines="50" w:after="120" w:afterLines="50"/>
        <w:rPr>
          <w:rFonts w:ascii="黑体" w:hAnsi="黑体" w:eastAsia="黑体"/>
        </w:rPr>
      </w:pPr>
      <w:r>
        <w:rPr>
          <w:rFonts w:hint="eastAsia" w:ascii="黑体" w:hAnsi="黑体" w:eastAsia="黑体"/>
        </w:rPr>
        <w:t>湿度调节</w:t>
      </w:r>
    </w:p>
    <w:p>
      <w:pPr>
        <w:pStyle w:val="59"/>
        <w:ind w:firstLine="420"/>
      </w:pPr>
      <w:r>
        <w:rPr>
          <w:rFonts w:hint="eastAsia"/>
        </w:rPr>
        <w:t>入库前5 d，在库内地面喷洒清水、降温增湿。以库内相对湿度保持在85%～90%为宜。</w:t>
      </w:r>
    </w:p>
    <w:p>
      <w:pPr>
        <w:pStyle w:val="36"/>
        <w:numPr>
          <w:ilvl w:val="3"/>
          <w:numId w:val="31"/>
        </w:numPr>
        <w:spacing w:before="120" w:beforeLines="50" w:after="120" w:afterLines="50"/>
        <w:rPr>
          <w:rFonts w:ascii="黑体" w:hAnsi="黑体" w:eastAsia="黑体"/>
        </w:rPr>
      </w:pPr>
      <w:r>
        <w:rPr>
          <w:rFonts w:hint="eastAsia" w:ascii="黑体" w:hAnsi="黑体" w:eastAsia="黑体"/>
        </w:rPr>
        <w:t>温度调节</w:t>
      </w:r>
    </w:p>
    <w:p>
      <w:pPr>
        <w:pStyle w:val="59"/>
        <w:ind w:firstLine="420"/>
      </w:pPr>
      <w:r>
        <w:rPr>
          <w:rFonts w:hint="eastAsia"/>
        </w:rPr>
        <w:t>入库前3 d将库内温度降至适宜贮藏温度范围内。其中，室温贮藏时，库内温度宜控制在4 ℃～20 ℃之间；低温贮藏时，正常采收果实的贮藏温度宜控制在5 ℃～9 ℃之间，完熟采收果实的贮藏温度宜控制在3 ℃～5 ℃之间。</w:t>
      </w:r>
    </w:p>
    <w:p>
      <w:pPr>
        <w:pStyle w:val="36"/>
        <w:numPr>
          <w:ilvl w:val="3"/>
          <w:numId w:val="31"/>
        </w:numPr>
        <w:spacing w:before="120" w:beforeLines="50" w:after="120" w:afterLines="50"/>
        <w:rPr>
          <w:rFonts w:ascii="黑体" w:hAnsi="黑体" w:eastAsia="黑体"/>
        </w:rPr>
      </w:pPr>
      <w:r>
        <w:rPr>
          <w:rFonts w:hint="eastAsia" w:ascii="黑体" w:hAnsi="黑体" w:eastAsia="黑体"/>
        </w:rPr>
        <w:t>换气</w:t>
      </w:r>
    </w:p>
    <w:p>
      <w:pPr>
        <w:pStyle w:val="59"/>
        <w:ind w:firstLine="420"/>
      </w:pPr>
      <w:r>
        <w:t>在第一批货物入库前</w:t>
      </w:r>
      <w:r>
        <w:rPr>
          <w:rFonts w:hint="eastAsia"/>
        </w:rPr>
        <w:t>2 d，对库房进行换气，排除过多的二氧化碳和其他有害气体，最终使库房内二氧化碳浓度控制在3%以内，氧气浓度控制在15%以内。贮藏过程中，也应根据监控数据及时换气。</w:t>
      </w:r>
    </w:p>
    <w:p>
      <w:pPr>
        <w:pStyle w:val="35"/>
        <w:numPr>
          <w:ilvl w:val="2"/>
          <w:numId w:val="31"/>
        </w:numPr>
        <w:spacing w:before="120" w:after="120"/>
      </w:pPr>
      <w:r>
        <w:rPr>
          <w:rFonts w:hint="eastAsia"/>
        </w:rPr>
        <w:t>周转器具处理</w:t>
      </w:r>
    </w:p>
    <w:p>
      <w:pPr>
        <w:pStyle w:val="59"/>
        <w:ind w:firstLine="420"/>
      </w:pPr>
      <w:r>
        <w:rPr>
          <w:rFonts w:hint="eastAsia"/>
        </w:rPr>
        <w:t>使用托盘、周转筐等器具时，应用0.1%次氯酸钠溶液对其清洗消毒，晾（晒）干，备用。</w:t>
      </w:r>
    </w:p>
    <w:p>
      <w:pPr>
        <w:pStyle w:val="35"/>
        <w:numPr>
          <w:ilvl w:val="2"/>
          <w:numId w:val="31"/>
        </w:numPr>
        <w:spacing w:before="120" w:after="120"/>
      </w:pPr>
      <w:r>
        <w:rPr>
          <w:rFonts w:hint="eastAsia"/>
        </w:rPr>
        <w:t>果品处理</w:t>
      </w:r>
    </w:p>
    <w:p>
      <w:pPr>
        <w:pStyle w:val="36"/>
        <w:numPr>
          <w:ilvl w:val="3"/>
          <w:numId w:val="31"/>
        </w:numPr>
        <w:spacing w:before="120" w:beforeLines="50" w:after="120" w:afterLines="50"/>
        <w:rPr>
          <w:rFonts w:ascii="黑体" w:hAnsi="黑体" w:eastAsia="黑体"/>
        </w:rPr>
      </w:pPr>
      <w:r>
        <w:rPr>
          <w:rFonts w:hint="eastAsia" w:ascii="黑体" w:hAnsi="黑体" w:eastAsia="黑体"/>
        </w:rPr>
        <w:t>数量核对</w:t>
      </w:r>
    </w:p>
    <w:p>
      <w:pPr>
        <w:pStyle w:val="59"/>
        <w:ind w:firstLine="420"/>
      </w:pPr>
      <w:r>
        <w:rPr>
          <w:rFonts w:hint="eastAsia" w:hAnsi="宋体"/>
          <w:color w:val="000000"/>
          <w:szCs w:val="21"/>
        </w:rPr>
        <w:t>整车卸货完毕后，仓管员根据司机带回的收购单数据与实物进行核对，核对无误后在果品入库单上签字确认。</w:t>
      </w:r>
    </w:p>
    <w:p>
      <w:pPr>
        <w:pStyle w:val="36"/>
        <w:numPr>
          <w:ilvl w:val="3"/>
          <w:numId w:val="31"/>
        </w:numPr>
        <w:spacing w:before="120" w:beforeLines="50" w:after="120" w:afterLines="50"/>
        <w:rPr>
          <w:rFonts w:ascii="黑体" w:hAnsi="黑体" w:eastAsia="黑体"/>
        </w:rPr>
      </w:pPr>
      <w:r>
        <w:rPr>
          <w:rFonts w:hint="eastAsia" w:ascii="黑体" w:hAnsi="黑体" w:eastAsia="黑体"/>
        </w:rPr>
        <w:t>预冷</w:t>
      </w:r>
    </w:p>
    <w:p>
      <w:pPr>
        <w:pStyle w:val="59"/>
        <w:ind w:firstLine="420"/>
      </w:pPr>
      <w:r>
        <w:t>当采用低温贮藏</w:t>
      </w:r>
      <w:r>
        <w:rPr>
          <w:rFonts w:hint="eastAsia"/>
        </w:rPr>
        <w:t>时</w:t>
      </w:r>
      <w:r>
        <w:t>，应先将</w:t>
      </w:r>
      <w:r>
        <w:rPr>
          <w:rFonts w:hint="eastAsia"/>
        </w:rPr>
        <w:t>果实进行预冷处理，预冷温度一般控制在3 ℃～9 ℃，预冷结束后果心温度与目标贮藏温度温差控制在3 ℃～5 ℃为宜，预冷时间宜控制在24 h内。</w:t>
      </w:r>
    </w:p>
    <w:p>
      <w:pPr>
        <w:pStyle w:val="36"/>
        <w:numPr>
          <w:ilvl w:val="3"/>
          <w:numId w:val="31"/>
        </w:numPr>
        <w:spacing w:before="120" w:beforeLines="50" w:after="120" w:afterLines="50"/>
        <w:rPr>
          <w:rFonts w:ascii="黑体" w:hAnsi="黑体" w:eastAsia="黑体"/>
        </w:rPr>
      </w:pPr>
      <w:r>
        <w:rPr>
          <w:rFonts w:hint="eastAsia" w:ascii="黑体" w:hAnsi="黑体" w:eastAsia="黑体"/>
        </w:rPr>
        <w:t>预贮</w:t>
      </w:r>
    </w:p>
    <w:p>
      <w:pPr>
        <w:pStyle w:val="59"/>
        <w:ind w:firstLine="420"/>
      </w:pPr>
      <w:r>
        <w:rPr>
          <w:rFonts w:hint="eastAsia"/>
        </w:rPr>
        <w:t>当采用室温贮藏时，应将果实进行预贮，预贮间温度宜控制在10℃左右，预贮时间长短根据采后天气确定，一般为5 d～7 d，多雨年份10 d～15 d，以预贮后的果皮略具弹性，失重率在2%～5%为宜。</w:t>
      </w:r>
    </w:p>
    <w:p>
      <w:pPr>
        <w:pStyle w:val="107"/>
        <w:numPr>
          <w:ilvl w:val="1"/>
          <w:numId w:val="31"/>
        </w:numPr>
        <w:spacing w:before="240" w:after="240"/>
      </w:pPr>
      <w:bookmarkStart w:id="11" w:name="_Toc102050872"/>
      <w:r>
        <w:rPr>
          <w:rFonts w:hint="eastAsia"/>
        </w:rPr>
        <w:t>入库</w:t>
      </w:r>
      <w:bookmarkEnd w:id="11"/>
    </w:p>
    <w:p>
      <w:pPr>
        <w:pStyle w:val="35"/>
        <w:numPr>
          <w:ilvl w:val="2"/>
          <w:numId w:val="31"/>
        </w:numPr>
        <w:spacing w:before="120" w:after="120"/>
      </w:pPr>
      <w:r>
        <w:rPr>
          <w:rFonts w:hint="eastAsia"/>
        </w:rPr>
        <w:t>基本要求</w:t>
      </w:r>
    </w:p>
    <w:p>
      <w:pPr>
        <w:pStyle w:val="59"/>
        <w:ind w:firstLine="420"/>
      </w:pPr>
      <w:r>
        <w:rPr>
          <w:rFonts w:hint="eastAsia"/>
        </w:rPr>
        <w:t>入库操作应迅速，减少库温波动，其中低温储藏库</w:t>
      </w:r>
      <w:r>
        <w:rPr>
          <w:rFonts w:hint="eastAsia" w:hAnsi="宋体"/>
        </w:rPr>
        <w:t>贮藏期温度波动不宜超过±2 ℃</w:t>
      </w:r>
      <w:r>
        <w:rPr>
          <w:rFonts w:hint="eastAsia"/>
        </w:rPr>
        <w:t>。</w:t>
      </w:r>
    </w:p>
    <w:p>
      <w:pPr>
        <w:pStyle w:val="35"/>
        <w:numPr>
          <w:ilvl w:val="2"/>
          <w:numId w:val="31"/>
        </w:numPr>
        <w:spacing w:before="120" w:after="120"/>
      </w:pPr>
      <w:r>
        <w:rPr>
          <w:rFonts w:hint="eastAsia"/>
        </w:rPr>
        <w:t>入库量</w:t>
      </w:r>
    </w:p>
    <w:p>
      <w:pPr>
        <w:pStyle w:val="59"/>
        <w:ind w:firstLine="420"/>
      </w:pPr>
      <w:r>
        <w:rPr>
          <w:rFonts w:hint="eastAsia"/>
        </w:rPr>
        <w:t>根据库房制冷能力和库温变化调整，每天入库量不应超过库容量的20%。</w:t>
      </w:r>
    </w:p>
    <w:p>
      <w:pPr>
        <w:pStyle w:val="35"/>
        <w:numPr>
          <w:ilvl w:val="2"/>
          <w:numId w:val="31"/>
        </w:numPr>
        <w:spacing w:before="120" w:after="120"/>
      </w:pPr>
      <w:r>
        <w:t>堆码方式</w:t>
      </w:r>
    </w:p>
    <w:p>
      <w:pPr>
        <w:pStyle w:val="59"/>
        <w:ind w:firstLine="420"/>
      </w:pPr>
      <w:r>
        <w:rPr>
          <w:rFonts w:hint="eastAsia"/>
        </w:rPr>
        <w:t>应按照下列要求进行果品堆码：</w:t>
      </w:r>
    </w:p>
    <w:p>
      <w:pPr>
        <w:pStyle w:val="36"/>
        <w:numPr>
          <w:ilvl w:val="3"/>
          <w:numId w:val="32"/>
        </w:numPr>
        <w:ind w:firstLine="420" w:firstLineChars="200"/>
        <w:rPr>
          <w:rFonts w:hAnsi="宋体"/>
        </w:rPr>
      </w:pPr>
      <w:r>
        <w:rPr>
          <w:rFonts w:hint="eastAsia" w:hAnsi="宋体"/>
        </w:rPr>
        <w:t>果箱在库内呈品字形堆放，箱与箱之间留10 cm～15 cm间隙，堆与堆之间留80 cm～100 cm通道，四周与墙壁保留20 cm～30 cm的距离；</w:t>
      </w:r>
    </w:p>
    <w:p>
      <w:pPr>
        <w:pStyle w:val="36"/>
        <w:numPr>
          <w:ilvl w:val="3"/>
          <w:numId w:val="32"/>
        </w:numPr>
        <w:ind w:firstLine="420" w:firstLineChars="200"/>
        <w:rPr>
          <w:rFonts w:hAnsi="宋体"/>
        </w:rPr>
      </w:pPr>
      <w:r>
        <w:rPr>
          <w:rFonts w:hint="eastAsia" w:hAnsi="宋体"/>
        </w:rPr>
        <w:t>果垛间隙走向与库内气流循环方向一致，便于通风降温；</w:t>
      </w:r>
    </w:p>
    <w:p>
      <w:pPr>
        <w:pStyle w:val="36"/>
        <w:numPr>
          <w:ilvl w:val="3"/>
          <w:numId w:val="32"/>
        </w:numPr>
        <w:ind w:firstLine="420" w:firstLineChars="200"/>
        <w:rPr>
          <w:rFonts w:hAnsi="宋体"/>
        </w:rPr>
      </w:pPr>
      <w:r>
        <w:rPr>
          <w:rFonts w:hint="eastAsia" w:hAnsi="宋体"/>
        </w:rPr>
        <w:t>果垛高度不宜超过库房高度的3/4，每立方米有效库容的贮量不宜超过300 kg；</w:t>
      </w:r>
    </w:p>
    <w:p>
      <w:pPr>
        <w:pStyle w:val="36"/>
        <w:numPr>
          <w:ilvl w:val="3"/>
          <w:numId w:val="32"/>
        </w:numPr>
        <w:ind w:firstLine="420" w:firstLineChars="200"/>
        <w:rPr>
          <w:rFonts w:hAnsi="宋体"/>
        </w:rPr>
      </w:pPr>
      <w:r>
        <w:rPr>
          <w:rFonts w:hint="eastAsia" w:hAnsi="宋体"/>
        </w:rPr>
        <w:t>果垛应按产地、品种分别堆码并悬挂标牌，标明入库日期、数量、质量、检查记录等。</w:t>
      </w:r>
    </w:p>
    <w:p>
      <w:pPr>
        <w:pStyle w:val="35"/>
        <w:numPr>
          <w:ilvl w:val="2"/>
          <w:numId w:val="31"/>
        </w:numPr>
        <w:spacing w:before="120" w:after="120"/>
      </w:pPr>
      <w:r>
        <w:rPr>
          <w:rFonts w:hint="eastAsia"/>
        </w:rPr>
        <w:t>贮藏时间</w:t>
      </w:r>
    </w:p>
    <w:p>
      <w:pPr>
        <w:pStyle w:val="59"/>
        <w:ind w:firstLine="420"/>
      </w:pPr>
      <w:r>
        <w:rPr>
          <w:rFonts w:hint="eastAsia"/>
        </w:rPr>
        <w:t>在最佳储藏条件下适宜储藏期限为60 d～90 d，当果实自然损耗率（水分和干物质的损失总和）超过10%时应终止贮藏。</w:t>
      </w:r>
    </w:p>
    <w:p>
      <w:pPr>
        <w:pStyle w:val="107"/>
        <w:numPr>
          <w:ilvl w:val="1"/>
          <w:numId w:val="31"/>
        </w:numPr>
        <w:spacing w:before="240" w:after="240"/>
      </w:pPr>
      <w:bookmarkStart w:id="12" w:name="_Toc102050873"/>
      <w:r>
        <w:rPr>
          <w:rFonts w:hint="eastAsia"/>
        </w:rPr>
        <w:t>贮藏管理</w:t>
      </w:r>
      <w:bookmarkEnd w:id="12"/>
    </w:p>
    <w:p>
      <w:pPr>
        <w:pStyle w:val="35"/>
        <w:numPr>
          <w:ilvl w:val="2"/>
          <w:numId w:val="31"/>
        </w:numPr>
        <w:spacing w:before="120" w:after="120"/>
      </w:pPr>
      <w:r>
        <w:rPr>
          <w:rFonts w:hint="eastAsia"/>
        </w:rPr>
        <w:t>库房管理</w:t>
      </w:r>
    </w:p>
    <w:p>
      <w:pPr>
        <w:pStyle w:val="36"/>
        <w:numPr>
          <w:ilvl w:val="3"/>
          <w:numId w:val="31"/>
        </w:numPr>
        <w:spacing w:before="120" w:beforeLines="50" w:after="120" w:afterLines="50"/>
        <w:rPr>
          <w:rFonts w:ascii="黑体" w:hAnsi="黑体" w:eastAsia="黑体"/>
        </w:rPr>
      </w:pPr>
      <w:r>
        <w:rPr>
          <w:rFonts w:hint="eastAsia" w:ascii="黑体" w:hAnsi="黑体" w:eastAsia="黑体"/>
        </w:rPr>
        <w:t>室温贮藏库</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入库初期，除雨天、雾天外应日夜开窗通风或开动排风机械，降低库内温度与湿度。</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当库内温度低于适宜温度时，应关闭通风道口和通风窗，并于午间通风换气。</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当库内湿度低于适宜湿度时，可通过地面洒水增湿或加盖塑料薄膜保湿。</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当库外气温高于适宜温度和库温时，白天应关闭通风道口和通风窗，实行早上或晚上通风换气。</w:t>
      </w:r>
    </w:p>
    <w:p>
      <w:pPr>
        <w:pStyle w:val="36"/>
        <w:numPr>
          <w:ilvl w:val="3"/>
          <w:numId w:val="31"/>
        </w:numPr>
        <w:spacing w:before="120" w:beforeLines="50" w:after="120" w:afterLines="50"/>
        <w:rPr>
          <w:rFonts w:ascii="黑体" w:hAnsi="黑体" w:eastAsia="黑体"/>
        </w:rPr>
      </w:pPr>
      <w:r>
        <w:rPr>
          <w:rFonts w:hint="eastAsia" w:ascii="黑体" w:hAnsi="黑体" w:eastAsia="黑体"/>
        </w:rPr>
        <w:t>低温贮藏库</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每天宜在气温较低的清晨通风0.5 h以上。</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根据温湿度与气体含量监测数据及时将库内温湿度与气体含量调整至最佳状态。</w:t>
      </w:r>
    </w:p>
    <w:p>
      <w:pPr>
        <w:pStyle w:val="35"/>
        <w:numPr>
          <w:ilvl w:val="2"/>
          <w:numId w:val="31"/>
        </w:numPr>
        <w:spacing w:before="120" w:after="120"/>
      </w:pPr>
      <w:r>
        <w:rPr>
          <w:rFonts w:hint="eastAsia"/>
        </w:rPr>
        <w:t>果实检查</w:t>
      </w:r>
    </w:p>
    <w:p>
      <w:pPr>
        <w:pStyle w:val="59"/>
        <w:ind w:firstLine="420"/>
      </w:pPr>
      <w:r>
        <w:rPr>
          <w:rFonts w:hint="eastAsia"/>
        </w:rPr>
        <w:t>每周至少检查一次果实的腐烂、失重、新鲜程度、枯水、浮皮等情况，捡出缺陷果，检查时避免果实机械损伤。当果实自然损耗率（水分和干物质的损失总和）超过10%，好果率低于90%时应及时出库销售。</w:t>
      </w:r>
    </w:p>
    <w:p>
      <w:pPr>
        <w:pStyle w:val="107"/>
        <w:numPr>
          <w:ilvl w:val="1"/>
          <w:numId w:val="31"/>
        </w:numPr>
        <w:spacing w:before="240" w:after="240"/>
      </w:pPr>
      <w:bookmarkStart w:id="13" w:name="_Toc102050874"/>
      <w:r>
        <w:rPr>
          <w:rFonts w:hint="eastAsia"/>
        </w:rPr>
        <w:t>出库</w:t>
      </w:r>
      <w:bookmarkEnd w:id="13"/>
    </w:p>
    <w:p>
      <w:pPr>
        <w:pStyle w:val="35"/>
        <w:numPr>
          <w:ilvl w:val="2"/>
          <w:numId w:val="31"/>
        </w:numPr>
        <w:spacing w:before="120" w:after="120"/>
      </w:pPr>
      <w:r>
        <w:rPr>
          <w:rFonts w:hint="eastAsia"/>
        </w:rPr>
        <w:t>出库指标</w:t>
      </w:r>
    </w:p>
    <w:p>
      <w:pPr>
        <w:pStyle w:val="59"/>
        <w:ind w:firstLine="420"/>
      </w:pPr>
      <w:r>
        <w:rPr>
          <w:rFonts w:hint="eastAsia"/>
        </w:rPr>
        <w:t>无缺陷果，果实外观新鲜，萼片存留并保持绿色，果实风味正常，无异味。</w:t>
      </w:r>
    </w:p>
    <w:p>
      <w:pPr>
        <w:pStyle w:val="35"/>
        <w:numPr>
          <w:ilvl w:val="2"/>
          <w:numId w:val="31"/>
        </w:numPr>
        <w:spacing w:before="120" w:after="120"/>
      </w:pPr>
      <w:r>
        <w:t>商品化处理</w:t>
      </w:r>
    </w:p>
    <w:p>
      <w:pPr>
        <w:pStyle w:val="36"/>
        <w:numPr>
          <w:ilvl w:val="3"/>
          <w:numId w:val="31"/>
        </w:numPr>
        <w:spacing w:before="120" w:beforeLines="50" w:after="120" w:afterLines="50"/>
        <w:rPr>
          <w:rFonts w:ascii="黑体" w:hAnsi="黑体" w:eastAsia="黑体"/>
        </w:rPr>
      </w:pPr>
      <w:r>
        <w:rPr>
          <w:rFonts w:ascii="黑体" w:hAnsi="黑体" w:eastAsia="黑体"/>
        </w:rPr>
        <w:t>初选</w:t>
      </w:r>
    </w:p>
    <w:p>
      <w:pPr>
        <w:pStyle w:val="59"/>
        <w:ind w:firstLine="420"/>
      </w:pPr>
      <w:r>
        <w:rPr>
          <w:rFonts w:hint="eastAsia"/>
        </w:rPr>
        <w:t>剔除过大过小果、缺陷果、浮皮果以及沾泥果。</w:t>
      </w:r>
      <w:r>
        <w:rPr>
          <w:rFonts w:hAnsi="宋体"/>
          <w:color w:val="000000"/>
          <w:szCs w:val="21"/>
        </w:rPr>
        <w:t>选果人员应将指甲剪平，带上手套进行，避免指甲划伤果实。</w:t>
      </w:r>
    </w:p>
    <w:p>
      <w:pPr>
        <w:pStyle w:val="36"/>
        <w:numPr>
          <w:ilvl w:val="3"/>
          <w:numId w:val="31"/>
        </w:numPr>
        <w:spacing w:before="120" w:beforeLines="50" w:after="120" w:afterLines="50"/>
        <w:rPr>
          <w:rFonts w:ascii="黑体" w:hAnsi="黑体" w:eastAsia="黑体"/>
        </w:rPr>
      </w:pPr>
      <w:r>
        <w:rPr>
          <w:rFonts w:ascii="黑体" w:hAnsi="黑体" w:eastAsia="黑体"/>
        </w:rPr>
        <w:t>分级</w:t>
      </w:r>
    </w:p>
    <w:p>
      <w:pPr>
        <w:pStyle w:val="59"/>
        <w:ind w:firstLine="420"/>
      </w:pPr>
      <w:r>
        <w:t>按照</w:t>
      </w:r>
      <w:r>
        <w:rPr>
          <w:rFonts w:hint="eastAsia"/>
        </w:rPr>
        <w:t>T/PUCIA 013或市场需求，对初选后的果实进行分级。</w:t>
      </w:r>
    </w:p>
    <w:p>
      <w:pPr>
        <w:pStyle w:val="36"/>
        <w:numPr>
          <w:ilvl w:val="3"/>
          <w:numId w:val="31"/>
        </w:numPr>
        <w:spacing w:before="120" w:beforeLines="50" w:after="120" w:afterLines="50"/>
        <w:rPr>
          <w:rFonts w:ascii="黑体" w:hAnsi="黑体" w:eastAsia="黑体"/>
        </w:rPr>
      </w:pPr>
      <w:r>
        <w:rPr>
          <w:rFonts w:ascii="黑体" w:hAnsi="黑体" w:eastAsia="黑体"/>
        </w:rPr>
        <w:t>果实包装</w:t>
      </w:r>
    </w:p>
    <w:p>
      <w:pPr>
        <w:pStyle w:val="59"/>
        <w:ind w:firstLine="420"/>
      </w:pPr>
      <w:r>
        <w:rPr>
          <w:rFonts w:hint="eastAsia"/>
        </w:rPr>
        <w:t>对分级后的单个果实进行包装。包装材料、环境等应符合GB/T 13607的要求。</w:t>
      </w:r>
    </w:p>
    <w:p>
      <w:pPr>
        <w:pStyle w:val="36"/>
        <w:numPr>
          <w:ilvl w:val="3"/>
          <w:numId w:val="31"/>
        </w:numPr>
        <w:spacing w:before="120" w:beforeLines="50" w:after="120" w:afterLines="50"/>
        <w:rPr>
          <w:rFonts w:ascii="黑体" w:hAnsi="黑体" w:eastAsia="黑体"/>
        </w:rPr>
      </w:pPr>
      <w:r>
        <w:rPr>
          <w:rFonts w:ascii="黑体" w:hAnsi="黑体" w:eastAsia="黑体"/>
        </w:rPr>
        <w:t>装箱</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将单果包装好的果实依次整齐地放入纸箱、塑料框等包装箱中，每箱装果15 kg～20 kg为宜，最上层果实距箱体上沿应留5 cm～10 cm的空间。</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同一果箱内，品种、规格应一致，同级箱内果实排列方式、层次、数量应一致。</w:t>
      </w:r>
    </w:p>
    <w:p>
      <w:pPr>
        <w:pStyle w:val="97"/>
        <w:numPr>
          <w:ilvl w:val="4"/>
          <w:numId w:val="31"/>
        </w:numPr>
        <w:spacing w:before="0" w:beforeLines="0" w:after="0" w:afterLines="0"/>
        <w:ind w:left="0"/>
        <w:rPr>
          <w:rFonts w:ascii="宋体" w:hAnsi="宋体" w:eastAsia="宋体"/>
        </w:rPr>
      </w:pPr>
      <w:r>
        <w:rPr>
          <w:rFonts w:hint="eastAsia" w:ascii="宋体" w:hAnsi="宋体" w:eastAsia="宋体"/>
        </w:rPr>
        <w:t>果箱正面宜注明果实品种、产地、采收时期、大小规模、入库时间等详细信息，包装图示应符合GB/T 191的要求。</w:t>
      </w:r>
    </w:p>
    <w:p>
      <w:pPr>
        <w:pStyle w:val="35"/>
        <w:numPr>
          <w:ilvl w:val="2"/>
          <w:numId w:val="31"/>
        </w:numPr>
        <w:spacing w:before="120" w:after="120"/>
      </w:pPr>
      <w:r>
        <w:rPr>
          <w:rFonts w:hint="eastAsia"/>
        </w:rPr>
        <w:t>无害化处理</w:t>
      </w:r>
    </w:p>
    <w:p>
      <w:pPr>
        <w:pStyle w:val="59"/>
        <w:ind w:firstLine="420"/>
      </w:pPr>
      <w:r>
        <w:rPr>
          <w:rFonts w:hint="eastAsia"/>
        </w:rPr>
        <w:t>储藏果实完全出库后，应对库内的烂果和生产废弃物进行清除，并作无害化处理。夏天天气良好时，及时对果箱等容器进行清洗、消毒，保存备用。</w:t>
      </w:r>
    </w:p>
    <w:p>
      <w:pPr>
        <w:pStyle w:val="59"/>
        <w:ind w:firstLine="420"/>
      </w:pPr>
    </w:p>
    <w:p>
      <w:pPr>
        <w:pStyle w:val="59"/>
        <w:ind w:firstLine="420"/>
      </w:pPr>
    </w:p>
    <w:p>
      <w:pPr>
        <w:pStyle w:val="59"/>
        <w:ind w:firstLine="0" w:firstLineChars="0"/>
        <w:jc w:val="center"/>
        <w:rPr>
          <w:vanish/>
        </w:rPr>
      </w:pPr>
      <w:bookmarkStart w:id="14"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4"/>
      <w:bookmarkEnd w:id="14"/>
      <w:bookmarkStart w:id="15" w:name="BookMark5"/>
      <w:bookmarkEnd w:id="15"/>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012—2022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012—2022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012—2022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T/PUCIA 012—2022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012—2022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012—2022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426"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81225BA"/>
    <w:multiLevelType w:val="multilevel"/>
    <w:tmpl w:val="781225BA"/>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7B3A"/>
    <w:rsid w:val="000107E0"/>
    <w:rsid w:val="00010DE1"/>
    <w:rsid w:val="00011F58"/>
    <w:rsid w:val="00011FDE"/>
    <w:rsid w:val="00012FFD"/>
    <w:rsid w:val="00014162"/>
    <w:rsid w:val="00014340"/>
    <w:rsid w:val="0001441C"/>
    <w:rsid w:val="00014F30"/>
    <w:rsid w:val="00015D65"/>
    <w:rsid w:val="00016A9C"/>
    <w:rsid w:val="00022184"/>
    <w:rsid w:val="0002265E"/>
    <w:rsid w:val="00022762"/>
    <w:rsid w:val="000238E0"/>
    <w:rsid w:val="00023E3F"/>
    <w:rsid w:val="0002437C"/>
    <w:rsid w:val="000248A0"/>
    <w:rsid w:val="000249DB"/>
    <w:rsid w:val="0002595E"/>
    <w:rsid w:val="00025992"/>
    <w:rsid w:val="000303C3"/>
    <w:rsid w:val="000331D3"/>
    <w:rsid w:val="000346A5"/>
    <w:rsid w:val="000359C3"/>
    <w:rsid w:val="00035A7D"/>
    <w:rsid w:val="000363F4"/>
    <w:rsid w:val="000365ED"/>
    <w:rsid w:val="00041A6F"/>
    <w:rsid w:val="0004249A"/>
    <w:rsid w:val="00042BA1"/>
    <w:rsid w:val="00042D18"/>
    <w:rsid w:val="00043282"/>
    <w:rsid w:val="00044217"/>
    <w:rsid w:val="00044286"/>
    <w:rsid w:val="0004692F"/>
    <w:rsid w:val="00046FCA"/>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1B80"/>
    <w:rsid w:val="00082317"/>
    <w:rsid w:val="00083D2C"/>
    <w:rsid w:val="0008549A"/>
    <w:rsid w:val="00086AA1"/>
    <w:rsid w:val="00087768"/>
    <w:rsid w:val="00087A77"/>
    <w:rsid w:val="00090CA6"/>
    <w:rsid w:val="00092B8A"/>
    <w:rsid w:val="00092FB0"/>
    <w:rsid w:val="000934C5"/>
    <w:rsid w:val="00093D25"/>
    <w:rsid w:val="00093DAB"/>
    <w:rsid w:val="0009462C"/>
    <w:rsid w:val="00094D73"/>
    <w:rsid w:val="00096D63"/>
    <w:rsid w:val="000A0876"/>
    <w:rsid w:val="000A0B60"/>
    <w:rsid w:val="000A0EB8"/>
    <w:rsid w:val="000A19FC"/>
    <w:rsid w:val="000A296B"/>
    <w:rsid w:val="000A551D"/>
    <w:rsid w:val="000A7311"/>
    <w:rsid w:val="000A737F"/>
    <w:rsid w:val="000B060F"/>
    <w:rsid w:val="000B0D08"/>
    <w:rsid w:val="000B1592"/>
    <w:rsid w:val="000B1FF2"/>
    <w:rsid w:val="000B229C"/>
    <w:rsid w:val="000B287F"/>
    <w:rsid w:val="000B2D20"/>
    <w:rsid w:val="000B36B8"/>
    <w:rsid w:val="000B3A01"/>
    <w:rsid w:val="000B3CDA"/>
    <w:rsid w:val="000B666E"/>
    <w:rsid w:val="000B6A0B"/>
    <w:rsid w:val="000B7C54"/>
    <w:rsid w:val="000C0F6C"/>
    <w:rsid w:val="000C11DB"/>
    <w:rsid w:val="000C1492"/>
    <w:rsid w:val="000C1BC6"/>
    <w:rsid w:val="000C2FBD"/>
    <w:rsid w:val="000C4B41"/>
    <w:rsid w:val="000C57D6"/>
    <w:rsid w:val="000C6362"/>
    <w:rsid w:val="000C7666"/>
    <w:rsid w:val="000D0A9C"/>
    <w:rsid w:val="000D1795"/>
    <w:rsid w:val="000D2C19"/>
    <w:rsid w:val="000D329A"/>
    <w:rsid w:val="000D4B9C"/>
    <w:rsid w:val="000D4EB6"/>
    <w:rsid w:val="000D753B"/>
    <w:rsid w:val="000D792F"/>
    <w:rsid w:val="000E0FA8"/>
    <w:rsid w:val="000E1927"/>
    <w:rsid w:val="000E4C9E"/>
    <w:rsid w:val="000E6FD7"/>
    <w:rsid w:val="000F0276"/>
    <w:rsid w:val="000F05D5"/>
    <w:rsid w:val="000F06E1"/>
    <w:rsid w:val="000F08FE"/>
    <w:rsid w:val="000F0E3C"/>
    <w:rsid w:val="000F19D5"/>
    <w:rsid w:val="000F4050"/>
    <w:rsid w:val="000F46F2"/>
    <w:rsid w:val="000F4AEA"/>
    <w:rsid w:val="000F67E9"/>
    <w:rsid w:val="000F7018"/>
    <w:rsid w:val="00102B97"/>
    <w:rsid w:val="00102C5E"/>
    <w:rsid w:val="00104926"/>
    <w:rsid w:val="00107801"/>
    <w:rsid w:val="001126E1"/>
    <w:rsid w:val="00113B1E"/>
    <w:rsid w:val="0011711C"/>
    <w:rsid w:val="001173B7"/>
    <w:rsid w:val="00120B87"/>
    <w:rsid w:val="0012147F"/>
    <w:rsid w:val="00121488"/>
    <w:rsid w:val="00121E48"/>
    <w:rsid w:val="00123DB0"/>
    <w:rsid w:val="00124E4F"/>
    <w:rsid w:val="001260B7"/>
    <w:rsid w:val="001265CB"/>
    <w:rsid w:val="001321C6"/>
    <w:rsid w:val="001322B5"/>
    <w:rsid w:val="001325C4"/>
    <w:rsid w:val="00132A55"/>
    <w:rsid w:val="00133010"/>
    <w:rsid w:val="001338EE"/>
    <w:rsid w:val="00133AAE"/>
    <w:rsid w:val="00135323"/>
    <w:rsid w:val="001356C4"/>
    <w:rsid w:val="001362CD"/>
    <w:rsid w:val="00137565"/>
    <w:rsid w:val="00140DA6"/>
    <w:rsid w:val="00140EE1"/>
    <w:rsid w:val="00141081"/>
    <w:rsid w:val="00141114"/>
    <w:rsid w:val="00142969"/>
    <w:rsid w:val="00142F86"/>
    <w:rsid w:val="00143D0E"/>
    <w:rsid w:val="001446C2"/>
    <w:rsid w:val="001457E7"/>
    <w:rsid w:val="00145C27"/>
    <w:rsid w:val="00145D9D"/>
    <w:rsid w:val="00146388"/>
    <w:rsid w:val="001529E5"/>
    <w:rsid w:val="00152FB3"/>
    <w:rsid w:val="001538F1"/>
    <w:rsid w:val="00153C7E"/>
    <w:rsid w:val="00156B25"/>
    <w:rsid w:val="00156E1A"/>
    <w:rsid w:val="00157894"/>
    <w:rsid w:val="00157B55"/>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340B"/>
    <w:rsid w:val="00173FB1"/>
    <w:rsid w:val="00174303"/>
    <w:rsid w:val="001746AE"/>
    <w:rsid w:val="00176DFD"/>
    <w:rsid w:val="0017732D"/>
    <w:rsid w:val="00181B22"/>
    <w:rsid w:val="00181E92"/>
    <w:rsid w:val="001852C9"/>
    <w:rsid w:val="00187A0B"/>
    <w:rsid w:val="00190087"/>
    <w:rsid w:val="001913C4"/>
    <w:rsid w:val="00192209"/>
    <w:rsid w:val="0019348F"/>
    <w:rsid w:val="00193A07"/>
    <w:rsid w:val="00194C3A"/>
    <w:rsid w:val="00194C95"/>
    <w:rsid w:val="001959C5"/>
    <w:rsid w:val="00195C34"/>
    <w:rsid w:val="00196EF5"/>
    <w:rsid w:val="001A1A53"/>
    <w:rsid w:val="001A234A"/>
    <w:rsid w:val="001A2813"/>
    <w:rsid w:val="001A4CF3"/>
    <w:rsid w:val="001A5AE3"/>
    <w:rsid w:val="001A6696"/>
    <w:rsid w:val="001A7D87"/>
    <w:rsid w:val="001B06E8"/>
    <w:rsid w:val="001B71D0"/>
    <w:rsid w:val="001B71EE"/>
    <w:rsid w:val="001B77F7"/>
    <w:rsid w:val="001C04A8"/>
    <w:rsid w:val="001C0938"/>
    <w:rsid w:val="001C2C03"/>
    <w:rsid w:val="001C42F7"/>
    <w:rsid w:val="001C49E5"/>
    <w:rsid w:val="001C680C"/>
    <w:rsid w:val="001C6BF8"/>
    <w:rsid w:val="001C7F05"/>
    <w:rsid w:val="001C7FEA"/>
    <w:rsid w:val="001D0499"/>
    <w:rsid w:val="001D0BBE"/>
    <w:rsid w:val="001D0ED4"/>
    <w:rsid w:val="001D1603"/>
    <w:rsid w:val="001D212F"/>
    <w:rsid w:val="001D2728"/>
    <w:rsid w:val="001D29D7"/>
    <w:rsid w:val="001D2DE7"/>
    <w:rsid w:val="001D3B8D"/>
    <w:rsid w:val="001D411C"/>
    <w:rsid w:val="001D6578"/>
    <w:rsid w:val="001E03BF"/>
    <w:rsid w:val="001E12DF"/>
    <w:rsid w:val="001E1B6A"/>
    <w:rsid w:val="001E2484"/>
    <w:rsid w:val="001E3CC4"/>
    <w:rsid w:val="001E4882"/>
    <w:rsid w:val="001E4FA7"/>
    <w:rsid w:val="001E5580"/>
    <w:rsid w:val="001E5E80"/>
    <w:rsid w:val="001E6A36"/>
    <w:rsid w:val="001E73AB"/>
    <w:rsid w:val="001E7680"/>
    <w:rsid w:val="001F092D"/>
    <w:rsid w:val="001F143A"/>
    <w:rsid w:val="001F1605"/>
    <w:rsid w:val="001F2508"/>
    <w:rsid w:val="001F4816"/>
    <w:rsid w:val="001F69B4"/>
    <w:rsid w:val="001F77C7"/>
    <w:rsid w:val="00200183"/>
    <w:rsid w:val="00200333"/>
    <w:rsid w:val="0020107D"/>
    <w:rsid w:val="002019BA"/>
    <w:rsid w:val="00202595"/>
    <w:rsid w:val="00202AA4"/>
    <w:rsid w:val="002031F7"/>
    <w:rsid w:val="002040E6"/>
    <w:rsid w:val="0020527B"/>
    <w:rsid w:val="00205F2C"/>
    <w:rsid w:val="00207221"/>
    <w:rsid w:val="00207DD6"/>
    <w:rsid w:val="00210B15"/>
    <w:rsid w:val="00212611"/>
    <w:rsid w:val="00212E22"/>
    <w:rsid w:val="002139B9"/>
    <w:rsid w:val="002142EA"/>
    <w:rsid w:val="00215ADD"/>
    <w:rsid w:val="002170AF"/>
    <w:rsid w:val="002204BB"/>
    <w:rsid w:val="00221B79"/>
    <w:rsid w:val="00221C6B"/>
    <w:rsid w:val="0022319F"/>
    <w:rsid w:val="002253A1"/>
    <w:rsid w:val="00225CF8"/>
    <w:rsid w:val="0022794E"/>
    <w:rsid w:val="00231DA3"/>
    <w:rsid w:val="00233249"/>
    <w:rsid w:val="0023356F"/>
    <w:rsid w:val="0023397F"/>
    <w:rsid w:val="00233D64"/>
    <w:rsid w:val="0023482A"/>
    <w:rsid w:val="002359CB"/>
    <w:rsid w:val="002378E3"/>
    <w:rsid w:val="00243540"/>
    <w:rsid w:val="002439F1"/>
    <w:rsid w:val="0024497B"/>
    <w:rsid w:val="0024515B"/>
    <w:rsid w:val="00246021"/>
    <w:rsid w:val="0024666E"/>
    <w:rsid w:val="00246E73"/>
    <w:rsid w:val="00247F52"/>
    <w:rsid w:val="00250402"/>
    <w:rsid w:val="00250B25"/>
    <w:rsid w:val="00250BBE"/>
    <w:rsid w:val="002515C2"/>
    <w:rsid w:val="0025194F"/>
    <w:rsid w:val="002519FD"/>
    <w:rsid w:val="00253A1B"/>
    <w:rsid w:val="0026148A"/>
    <w:rsid w:val="00262696"/>
    <w:rsid w:val="00262B38"/>
    <w:rsid w:val="00263C4B"/>
    <w:rsid w:val="00263D25"/>
    <w:rsid w:val="002643C3"/>
    <w:rsid w:val="00264A0C"/>
    <w:rsid w:val="00265C96"/>
    <w:rsid w:val="002663A3"/>
    <w:rsid w:val="00266EEB"/>
    <w:rsid w:val="00267EF4"/>
    <w:rsid w:val="00270CB8"/>
    <w:rsid w:val="00271F27"/>
    <w:rsid w:val="00272B08"/>
    <w:rsid w:val="0027480B"/>
    <w:rsid w:val="00280297"/>
    <w:rsid w:val="00281BB8"/>
    <w:rsid w:val="00281E9E"/>
    <w:rsid w:val="00282405"/>
    <w:rsid w:val="00285170"/>
    <w:rsid w:val="00285361"/>
    <w:rsid w:val="00285DEE"/>
    <w:rsid w:val="00290733"/>
    <w:rsid w:val="00292D60"/>
    <w:rsid w:val="00293B30"/>
    <w:rsid w:val="00294D34"/>
    <w:rsid w:val="00294E3B"/>
    <w:rsid w:val="00296193"/>
    <w:rsid w:val="00296C66"/>
    <w:rsid w:val="00296EBE"/>
    <w:rsid w:val="002974E3"/>
    <w:rsid w:val="002A084B"/>
    <w:rsid w:val="002A1260"/>
    <w:rsid w:val="002A13F0"/>
    <w:rsid w:val="002A1589"/>
    <w:rsid w:val="002A1608"/>
    <w:rsid w:val="002A25DC"/>
    <w:rsid w:val="002A3AAB"/>
    <w:rsid w:val="002A450D"/>
    <w:rsid w:val="002A4CEA"/>
    <w:rsid w:val="002A5977"/>
    <w:rsid w:val="002A5A13"/>
    <w:rsid w:val="002A61DC"/>
    <w:rsid w:val="002A757F"/>
    <w:rsid w:val="002A792B"/>
    <w:rsid w:val="002A7F44"/>
    <w:rsid w:val="002B0C40"/>
    <w:rsid w:val="002B1373"/>
    <w:rsid w:val="002B1966"/>
    <w:rsid w:val="002B1EE8"/>
    <w:rsid w:val="002B2EF2"/>
    <w:rsid w:val="002B4508"/>
    <w:rsid w:val="002B5779"/>
    <w:rsid w:val="002B610E"/>
    <w:rsid w:val="002B7310"/>
    <w:rsid w:val="002B7332"/>
    <w:rsid w:val="002B7F51"/>
    <w:rsid w:val="002C09E7"/>
    <w:rsid w:val="002C1E06"/>
    <w:rsid w:val="002C3B11"/>
    <w:rsid w:val="002C3F07"/>
    <w:rsid w:val="002C5278"/>
    <w:rsid w:val="002C7A22"/>
    <w:rsid w:val="002C7EBB"/>
    <w:rsid w:val="002D06C1"/>
    <w:rsid w:val="002D125D"/>
    <w:rsid w:val="002D42B5"/>
    <w:rsid w:val="002D4F1A"/>
    <w:rsid w:val="002D6EC6"/>
    <w:rsid w:val="002D778A"/>
    <w:rsid w:val="002D79AC"/>
    <w:rsid w:val="002E039D"/>
    <w:rsid w:val="002E0DFB"/>
    <w:rsid w:val="002E3CCB"/>
    <w:rsid w:val="002E4D5A"/>
    <w:rsid w:val="002E6326"/>
    <w:rsid w:val="002E7991"/>
    <w:rsid w:val="002F07CC"/>
    <w:rsid w:val="002F1FA2"/>
    <w:rsid w:val="002F1FED"/>
    <w:rsid w:val="002F2431"/>
    <w:rsid w:val="002F30E0"/>
    <w:rsid w:val="002F35E4"/>
    <w:rsid w:val="002F36B5"/>
    <w:rsid w:val="002F3730"/>
    <w:rsid w:val="002F38E1"/>
    <w:rsid w:val="002F4B9A"/>
    <w:rsid w:val="002F5097"/>
    <w:rsid w:val="002F7AF6"/>
    <w:rsid w:val="00300E63"/>
    <w:rsid w:val="0030143B"/>
    <w:rsid w:val="003015F8"/>
    <w:rsid w:val="00302D37"/>
    <w:rsid w:val="00302F5F"/>
    <w:rsid w:val="0030441D"/>
    <w:rsid w:val="00306063"/>
    <w:rsid w:val="0030642B"/>
    <w:rsid w:val="00313B85"/>
    <w:rsid w:val="00315F74"/>
    <w:rsid w:val="00316428"/>
    <w:rsid w:val="00317988"/>
    <w:rsid w:val="00317B29"/>
    <w:rsid w:val="00317E44"/>
    <w:rsid w:val="003203CE"/>
    <w:rsid w:val="003221B4"/>
    <w:rsid w:val="00322510"/>
    <w:rsid w:val="0032258D"/>
    <w:rsid w:val="00322E62"/>
    <w:rsid w:val="00324D13"/>
    <w:rsid w:val="00324EDD"/>
    <w:rsid w:val="00324FCF"/>
    <w:rsid w:val="00326242"/>
    <w:rsid w:val="003331E4"/>
    <w:rsid w:val="003343F9"/>
    <w:rsid w:val="00336241"/>
    <w:rsid w:val="00336C64"/>
    <w:rsid w:val="00337162"/>
    <w:rsid w:val="00340ED7"/>
    <w:rsid w:val="0034194F"/>
    <w:rsid w:val="00342497"/>
    <w:rsid w:val="00344605"/>
    <w:rsid w:val="00344B2A"/>
    <w:rsid w:val="0034506C"/>
    <w:rsid w:val="0034518D"/>
    <w:rsid w:val="003474AA"/>
    <w:rsid w:val="0035045C"/>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1EED"/>
    <w:rsid w:val="003722C1"/>
    <w:rsid w:val="00376713"/>
    <w:rsid w:val="00376BAE"/>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AD7"/>
    <w:rsid w:val="003938D9"/>
    <w:rsid w:val="00394376"/>
    <w:rsid w:val="003943FF"/>
    <w:rsid w:val="00394821"/>
    <w:rsid w:val="00395F8F"/>
    <w:rsid w:val="00396A20"/>
    <w:rsid w:val="003970BC"/>
    <w:rsid w:val="003974EB"/>
    <w:rsid w:val="00397CC5"/>
    <w:rsid w:val="003A1582"/>
    <w:rsid w:val="003A3196"/>
    <w:rsid w:val="003A3D9C"/>
    <w:rsid w:val="003A4077"/>
    <w:rsid w:val="003A4AA7"/>
    <w:rsid w:val="003A71DA"/>
    <w:rsid w:val="003A7DCC"/>
    <w:rsid w:val="003B0611"/>
    <w:rsid w:val="003B09AD"/>
    <w:rsid w:val="003B126E"/>
    <w:rsid w:val="003B15C8"/>
    <w:rsid w:val="003B1F18"/>
    <w:rsid w:val="003B5BF0"/>
    <w:rsid w:val="003B60BF"/>
    <w:rsid w:val="003B6BE3"/>
    <w:rsid w:val="003B6FF5"/>
    <w:rsid w:val="003B7639"/>
    <w:rsid w:val="003C010C"/>
    <w:rsid w:val="003C0A6C"/>
    <w:rsid w:val="003C14F8"/>
    <w:rsid w:val="003C3538"/>
    <w:rsid w:val="003C5A43"/>
    <w:rsid w:val="003C5AAB"/>
    <w:rsid w:val="003C61F5"/>
    <w:rsid w:val="003D0519"/>
    <w:rsid w:val="003D0FF6"/>
    <w:rsid w:val="003D1296"/>
    <w:rsid w:val="003D262C"/>
    <w:rsid w:val="003D41CE"/>
    <w:rsid w:val="003D5C45"/>
    <w:rsid w:val="003D6D61"/>
    <w:rsid w:val="003E091D"/>
    <w:rsid w:val="003E1C53"/>
    <w:rsid w:val="003E1D61"/>
    <w:rsid w:val="003E2A69"/>
    <w:rsid w:val="003E2D49"/>
    <w:rsid w:val="003E2FD4"/>
    <w:rsid w:val="003E4411"/>
    <w:rsid w:val="003E49F6"/>
    <w:rsid w:val="003E660F"/>
    <w:rsid w:val="003E7878"/>
    <w:rsid w:val="003F0841"/>
    <w:rsid w:val="003F2178"/>
    <w:rsid w:val="003F23D3"/>
    <w:rsid w:val="003F3F08"/>
    <w:rsid w:val="003F49F1"/>
    <w:rsid w:val="003F53F9"/>
    <w:rsid w:val="003F6272"/>
    <w:rsid w:val="004006DB"/>
    <w:rsid w:val="00400700"/>
    <w:rsid w:val="00400E72"/>
    <w:rsid w:val="00401400"/>
    <w:rsid w:val="00402B90"/>
    <w:rsid w:val="00404242"/>
    <w:rsid w:val="00404869"/>
    <w:rsid w:val="004054F7"/>
    <w:rsid w:val="00405884"/>
    <w:rsid w:val="00406FFB"/>
    <w:rsid w:val="004076F5"/>
    <w:rsid w:val="00407D39"/>
    <w:rsid w:val="004128B4"/>
    <w:rsid w:val="004132FB"/>
    <w:rsid w:val="0041353C"/>
    <w:rsid w:val="0041477A"/>
    <w:rsid w:val="004167A3"/>
    <w:rsid w:val="0042018F"/>
    <w:rsid w:val="00420860"/>
    <w:rsid w:val="00424B27"/>
    <w:rsid w:val="00424D7D"/>
    <w:rsid w:val="00432DAA"/>
    <w:rsid w:val="00434305"/>
    <w:rsid w:val="004344B6"/>
    <w:rsid w:val="00435DF7"/>
    <w:rsid w:val="00437523"/>
    <w:rsid w:val="0044083F"/>
    <w:rsid w:val="00441AE7"/>
    <w:rsid w:val="004451BF"/>
    <w:rsid w:val="00445574"/>
    <w:rsid w:val="004467FB"/>
    <w:rsid w:val="0044722D"/>
    <w:rsid w:val="00452D6B"/>
    <w:rsid w:val="004541A1"/>
    <w:rsid w:val="00454484"/>
    <w:rsid w:val="0045517B"/>
    <w:rsid w:val="00456B8F"/>
    <w:rsid w:val="00461055"/>
    <w:rsid w:val="00462A12"/>
    <w:rsid w:val="00463845"/>
    <w:rsid w:val="00463B77"/>
    <w:rsid w:val="00463C7B"/>
    <w:rsid w:val="00463DCB"/>
    <w:rsid w:val="004644A6"/>
    <w:rsid w:val="004647DE"/>
    <w:rsid w:val="004659BD"/>
    <w:rsid w:val="004666D1"/>
    <w:rsid w:val="0046761E"/>
    <w:rsid w:val="0047026E"/>
    <w:rsid w:val="00470775"/>
    <w:rsid w:val="00474131"/>
    <w:rsid w:val="004746B1"/>
    <w:rsid w:val="0047583F"/>
    <w:rsid w:val="00475DE8"/>
    <w:rsid w:val="00476160"/>
    <w:rsid w:val="00477E76"/>
    <w:rsid w:val="00480A92"/>
    <w:rsid w:val="00481C44"/>
    <w:rsid w:val="00484936"/>
    <w:rsid w:val="00485C89"/>
    <w:rsid w:val="00486BE3"/>
    <w:rsid w:val="004905E4"/>
    <w:rsid w:val="00490708"/>
    <w:rsid w:val="00490969"/>
    <w:rsid w:val="00490A89"/>
    <w:rsid w:val="00490AB4"/>
    <w:rsid w:val="00492F02"/>
    <w:rsid w:val="004939AE"/>
    <w:rsid w:val="00493A98"/>
    <w:rsid w:val="00495321"/>
    <w:rsid w:val="00495D4E"/>
    <w:rsid w:val="004A12DF"/>
    <w:rsid w:val="004A1BA8"/>
    <w:rsid w:val="004A4B57"/>
    <w:rsid w:val="004A4B7E"/>
    <w:rsid w:val="004A63FA"/>
    <w:rsid w:val="004A6A3D"/>
    <w:rsid w:val="004A6B9B"/>
    <w:rsid w:val="004A7309"/>
    <w:rsid w:val="004B0272"/>
    <w:rsid w:val="004B08DF"/>
    <w:rsid w:val="004B1E49"/>
    <w:rsid w:val="004B2211"/>
    <w:rsid w:val="004B2701"/>
    <w:rsid w:val="004B2E1B"/>
    <w:rsid w:val="004B3AA8"/>
    <w:rsid w:val="004B3E93"/>
    <w:rsid w:val="004B40D5"/>
    <w:rsid w:val="004B43FB"/>
    <w:rsid w:val="004B50DC"/>
    <w:rsid w:val="004B67EA"/>
    <w:rsid w:val="004B6C4D"/>
    <w:rsid w:val="004B6F68"/>
    <w:rsid w:val="004C0EE4"/>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EF1"/>
    <w:rsid w:val="004D2253"/>
    <w:rsid w:val="004D4046"/>
    <w:rsid w:val="004D4406"/>
    <w:rsid w:val="004D7C42"/>
    <w:rsid w:val="004E0465"/>
    <w:rsid w:val="004E1082"/>
    <w:rsid w:val="004E127B"/>
    <w:rsid w:val="004E1C0A"/>
    <w:rsid w:val="004E30C5"/>
    <w:rsid w:val="004E4AA5"/>
    <w:rsid w:val="004E4AEE"/>
    <w:rsid w:val="004E59E3"/>
    <w:rsid w:val="004E67C0"/>
    <w:rsid w:val="004E6B81"/>
    <w:rsid w:val="004F13E2"/>
    <w:rsid w:val="004F33C0"/>
    <w:rsid w:val="004F391A"/>
    <w:rsid w:val="004F3CFB"/>
    <w:rsid w:val="004F42F5"/>
    <w:rsid w:val="004F6456"/>
    <w:rsid w:val="004F696E"/>
    <w:rsid w:val="004F6C71"/>
    <w:rsid w:val="004F7CC6"/>
    <w:rsid w:val="00501139"/>
    <w:rsid w:val="0050363E"/>
    <w:rsid w:val="005039BC"/>
    <w:rsid w:val="00503BAC"/>
    <w:rsid w:val="005040F1"/>
    <w:rsid w:val="005043BB"/>
    <w:rsid w:val="00504A3D"/>
    <w:rsid w:val="00505752"/>
    <w:rsid w:val="00505767"/>
    <w:rsid w:val="0050584E"/>
    <w:rsid w:val="005058C0"/>
    <w:rsid w:val="0050660D"/>
    <w:rsid w:val="005073F0"/>
    <w:rsid w:val="00510A7B"/>
    <w:rsid w:val="00511FF2"/>
    <w:rsid w:val="00512F6E"/>
    <w:rsid w:val="00513038"/>
    <w:rsid w:val="00513CEB"/>
    <w:rsid w:val="00514174"/>
    <w:rsid w:val="0051497C"/>
    <w:rsid w:val="0051586D"/>
    <w:rsid w:val="00515C30"/>
    <w:rsid w:val="00516088"/>
    <w:rsid w:val="00516B0B"/>
    <w:rsid w:val="005216CC"/>
    <w:rsid w:val="005220EC"/>
    <w:rsid w:val="00523F95"/>
    <w:rsid w:val="00524D65"/>
    <w:rsid w:val="00525933"/>
    <w:rsid w:val="00525B16"/>
    <w:rsid w:val="00527A20"/>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3CB1"/>
    <w:rsid w:val="005441CC"/>
    <w:rsid w:val="00544DC5"/>
    <w:rsid w:val="00547897"/>
    <w:rsid w:val="005479DA"/>
    <w:rsid w:val="00547BCC"/>
    <w:rsid w:val="0055013B"/>
    <w:rsid w:val="00550645"/>
    <w:rsid w:val="00551545"/>
    <w:rsid w:val="00551F6F"/>
    <w:rsid w:val="005520E2"/>
    <w:rsid w:val="0055402D"/>
    <w:rsid w:val="00554A04"/>
    <w:rsid w:val="00555044"/>
    <w:rsid w:val="005550C3"/>
    <w:rsid w:val="00557E8B"/>
    <w:rsid w:val="00561475"/>
    <w:rsid w:val="00561776"/>
    <w:rsid w:val="00562308"/>
    <w:rsid w:val="0056290A"/>
    <w:rsid w:val="0056364D"/>
    <w:rsid w:val="0056487B"/>
    <w:rsid w:val="00564FB9"/>
    <w:rsid w:val="005708F6"/>
    <w:rsid w:val="00570B2A"/>
    <w:rsid w:val="00573D9E"/>
    <w:rsid w:val="00574986"/>
    <w:rsid w:val="00574A13"/>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6160"/>
    <w:rsid w:val="005961D5"/>
    <w:rsid w:val="005966E2"/>
    <w:rsid w:val="00597007"/>
    <w:rsid w:val="005A0966"/>
    <w:rsid w:val="005A11B7"/>
    <w:rsid w:val="005A260B"/>
    <w:rsid w:val="005A3311"/>
    <w:rsid w:val="005A4A1B"/>
    <w:rsid w:val="005A7830"/>
    <w:rsid w:val="005A7C52"/>
    <w:rsid w:val="005A7FCE"/>
    <w:rsid w:val="005B0F3F"/>
    <w:rsid w:val="005B191C"/>
    <w:rsid w:val="005B2433"/>
    <w:rsid w:val="005B323E"/>
    <w:rsid w:val="005B3571"/>
    <w:rsid w:val="005B4903"/>
    <w:rsid w:val="005B51CE"/>
    <w:rsid w:val="005B5885"/>
    <w:rsid w:val="005B5CD7"/>
    <w:rsid w:val="005B6CF6"/>
    <w:rsid w:val="005B6F27"/>
    <w:rsid w:val="005B725C"/>
    <w:rsid w:val="005B7422"/>
    <w:rsid w:val="005C2320"/>
    <w:rsid w:val="005C24E5"/>
    <w:rsid w:val="005C29B8"/>
    <w:rsid w:val="005C2ACB"/>
    <w:rsid w:val="005C4FBE"/>
    <w:rsid w:val="005C5F21"/>
    <w:rsid w:val="005C7156"/>
    <w:rsid w:val="005D0C75"/>
    <w:rsid w:val="005D4171"/>
    <w:rsid w:val="005D6A95"/>
    <w:rsid w:val="005D6B2C"/>
    <w:rsid w:val="005D6D9C"/>
    <w:rsid w:val="005D7AFF"/>
    <w:rsid w:val="005E2335"/>
    <w:rsid w:val="005E23AE"/>
    <w:rsid w:val="005E34CA"/>
    <w:rsid w:val="005E3C18"/>
    <w:rsid w:val="005E4250"/>
    <w:rsid w:val="005E5010"/>
    <w:rsid w:val="005E6812"/>
    <w:rsid w:val="005E7881"/>
    <w:rsid w:val="005E78E0"/>
    <w:rsid w:val="005F0D9C"/>
    <w:rsid w:val="005F284E"/>
    <w:rsid w:val="005F45E4"/>
    <w:rsid w:val="00601028"/>
    <w:rsid w:val="006015CE"/>
    <w:rsid w:val="00602714"/>
    <w:rsid w:val="006033C4"/>
    <w:rsid w:val="00604566"/>
    <w:rsid w:val="00604784"/>
    <w:rsid w:val="0060480A"/>
    <w:rsid w:val="00606419"/>
    <w:rsid w:val="00606A5A"/>
    <w:rsid w:val="00607D29"/>
    <w:rsid w:val="0061172A"/>
    <w:rsid w:val="00612952"/>
    <w:rsid w:val="00613E66"/>
    <w:rsid w:val="00614CC1"/>
    <w:rsid w:val="00615A9D"/>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6AAA"/>
    <w:rsid w:val="00636E3E"/>
    <w:rsid w:val="006379F7"/>
    <w:rsid w:val="00637E4D"/>
    <w:rsid w:val="00640620"/>
    <w:rsid w:val="00641A1F"/>
    <w:rsid w:val="00642185"/>
    <w:rsid w:val="006428B3"/>
    <w:rsid w:val="00644CE9"/>
    <w:rsid w:val="00645904"/>
    <w:rsid w:val="006502F6"/>
    <w:rsid w:val="00651ACB"/>
    <w:rsid w:val="00651C47"/>
    <w:rsid w:val="0065249A"/>
    <w:rsid w:val="00652AB2"/>
    <w:rsid w:val="00653FED"/>
    <w:rsid w:val="00654EC0"/>
    <w:rsid w:val="0065525B"/>
    <w:rsid w:val="00655D4F"/>
    <w:rsid w:val="00656D29"/>
    <w:rsid w:val="00663ADF"/>
    <w:rsid w:val="006640E5"/>
    <w:rsid w:val="006646F1"/>
    <w:rsid w:val="00664929"/>
    <w:rsid w:val="00664F62"/>
    <w:rsid w:val="006655E1"/>
    <w:rsid w:val="00667EC8"/>
    <w:rsid w:val="00672060"/>
    <w:rsid w:val="006726BF"/>
    <w:rsid w:val="00672BFD"/>
    <w:rsid w:val="006767A8"/>
    <w:rsid w:val="006770F4"/>
    <w:rsid w:val="00677A84"/>
    <w:rsid w:val="0068026D"/>
    <w:rsid w:val="00680A27"/>
    <w:rsid w:val="006816A4"/>
    <w:rsid w:val="006819B8"/>
    <w:rsid w:val="00682576"/>
    <w:rsid w:val="006840A6"/>
    <w:rsid w:val="006850A4"/>
    <w:rsid w:val="006850CD"/>
    <w:rsid w:val="00685AAB"/>
    <w:rsid w:val="006863C7"/>
    <w:rsid w:val="00691362"/>
    <w:rsid w:val="00692149"/>
    <w:rsid w:val="0069442D"/>
    <w:rsid w:val="00694B89"/>
    <w:rsid w:val="00694E6A"/>
    <w:rsid w:val="006970B1"/>
    <w:rsid w:val="006A07AA"/>
    <w:rsid w:val="006A16AC"/>
    <w:rsid w:val="006A25E5"/>
    <w:rsid w:val="006A2B46"/>
    <w:rsid w:val="006A336D"/>
    <w:rsid w:val="006A37B9"/>
    <w:rsid w:val="006A5427"/>
    <w:rsid w:val="006A5A02"/>
    <w:rsid w:val="006B2672"/>
    <w:rsid w:val="006B3DF1"/>
    <w:rsid w:val="006B47BF"/>
    <w:rsid w:val="006B54BF"/>
    <w:rsid w:val="006B5F44"/>
    <w:rsid w:val="006B5F90"/>
    <w:rsid w:val="006B62E4"/>
    <w:rsid w:val="006B6F8B"/>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E1768"/>
    <w:rsid w:val="006E2BDC"/>
    <w:rsid w:val="006E4D02"/>
    <w:rsid w:val="006E50FB"/>
    <w:rsid w:val="006E56B4"/>
    <w:rsid w:val="006F03A8"/>
    <w:rsid w:val="006F119C"/>
    <w:rsid w:val="006F172A"/>
    <w:rsid w:val="006F1BAB"/>
    <w:rsid w:val="006F1C86"/>
    <w:rsid w:val="006F2055"/>
    <w:rsid w:val="006F2A10"/>
    <w:rsid w:val="006F2ACA"/>
    <w:rsid w:val="006F2ADC"/>
    <w:rsid w:val="006F2BFE"/>
    <w:rsid w:val="006F2E53"/>
    <w:rsid w:val="006F31E9"/>
    <w:rsid w:val="006F3FDA"/>
    <w:rsid w:val="006F4DC9"/>
    <w:rsid w:val="006F6284"/>
    <w:rsid w:val="007002C5"/>
    <w:rsid w:val="00704387"/>
    <w:rsid w:val="00707669"/>
    <w:rsid w:val="00711CBA"/>
    <w:rsid w:val="00711FB5"/>
    <w:rsid w:val="00712A01"/>
    <w:rsid w:val="00714F58"/>
    <w:rsid w:val="00715C61"/>
    <w:rsid w:val="0071672B"/>
    <w:rsid w:val="00716C61"/>
    <w:rsid w:val="00722FBF"/>
    <w:rsid w:val="00722FC2"/>
    <w:rsid w:val="00724E1B"/>
    <w:rsid w:val="00725949"/>
    <w:rsid w:val="00727FA2"/>
    <w:rsid w:val="0073141D"/>
    <w:rsid w:val="007322D9"/>
    <w:rsid w:val="00732301"/>
    <w:rsid w:val="00732BC0"/>
    <w:rsid w:val="007331C1"/>
    <w:rsid w:val="007345A6"/>
    <w:rsid w:val="00735882"/>
    <w:rsid w:val="007362F2"/>
    <w:rsid w:val="0073720F"/>
    <w:rsid w:val="00737796"/>
    <w:rsid w:val="00737DF9"/>
    <w:rsid w:val="00737E7E"/>
    <w:rsid w:val="007402AF"/>
    <w:rsid w:val="0074165C"/>
    <w:rsid w:val="00742C35"/>
    <w:rsid w:val="007432CA"/>
    <w:rsid w:val="007439EB"/>
    <w:rsid w:val="00743CB4"/>
    <w:rsid w:val="00743E32"/>
    <w:rsid w:val="00743F0A"/>
    <w:rsid w:val="007444E8"/>
    <w:rsid w:val="0074548E"/>
    <w:rsid w:val="00745773"/>
    <w:rsid w:val="00746800"/>
    <w:rsid w:val="00746B7A"/>
    <w:rsid w:val="00747A05"/>
    <w:rsid w:val="007501A8"/>
    <w:rsid w:val="0075066F"/>
    <w:rsid w:val="00750D61"/>
    <w:rsid w:val="00750EE1"/>
    <w:rsid w:val="00752B4D"/>
    <w:rsid w:val="00755402"/>
    <w:rsid w:val="00756B26"/>
    <w:rsid w:val="00756EDF"/>
    <w:rsid w:val="00757399"/>
    <w:rsid w:val="007600E3"/>
    <w:rsid w:val="00763246"/>
    <w:rsid w:val="00765C43"/>
    <w:rsid w:val="00765EFB"/>
    <w:rsid w:val="007669C4"/>
    <w:rsid w:val="00766F6B"/>
    <w:rsid w:val="007671CA"/>
    <w:rsid w:val="00767C61"/>
    <w:rsid w:val="0077005B"/>
    <w:rsid w:val="00770069"/>
    <w:rsid w:val="0077008A"/>
    <w:rsid w:val="00772011"/>
    <w:rsid w:val="007722C9"/>
    <w:rsid w:val="00773C1F"/>
    <w:rsid w:val="00774DA4"/>
    <w:rsid w:val="00776599"/>
    <w:rsid w:val="00776E0C"/>
    <w:rsid w:val="0077749C"/>
    <w:rsid w:val="00777D8E"/>
    <w:rsid w:val="0078114B"/>
    <w:rsid w:val="00781675"/>
    <w:rsid w:val="00781DD2"/>
    <w:rsid w:val="00782202"/>
    <w:rsid w:val="00783ECF"/>
    <w:rsid w:val="0078413A"/>
    <w:rsid w:val="00784B00"/>
    <w:rsid w:val="00792582"/>
    <w:rsid w:val="007959E8"/>
    <w:rsid w:val="00795E9C"/>
    <w:rsid w:val="0079679B"/>
    <w:rsid w:val="00796892"/>
    <w:rsid w:val="00797FB0"/>
    <w:rsid w:val="007A0521"/>
    <w:rsid w:val="007A1CF3"/>
    <w:rsid w:val="007A2E12"/>
    <w:rsid w:val="007A3475"/>
    <w:rsid w:val="007A41C8"/>
    <w:rsid w:val="007A54CE"/>
    <w:rsid w:val="007A6FD9"/>
    <w:rsid w:val="007A7FFA"/>
    <w:rsid w:val="007B04EB"/>
    <w:rsid w:val="007B0D3C"/>
    <w:rsid w:val="007B0D4F"/>
    <w:rsid w:val="007B25B5"/>
    <w:rsid w:val="007B538B"/>
    <w:rsid w:val="007B5A3D"/>
    <w:rsid w:val="007B5B95"/>
    <w:rsid w:val="007B6032"/>
    <w:rsid w:val="007B68EA"/>
    <w:rsid w:val="007B7453"/>
    <w:rsid w:val="007C0292"/>
    <w:rsid w:val="007C2C05"/>
    <w:rsid w:val="007C2D89"/>
    <w:rsid w:val="007C387B"/>
    <w:rsid w:val="007C4593"/>
    <w:rsid w:val="007C5309"/>
    <w:rsid w:val="007C5B87"/>
    <w:rsid w:val="007C6069"/>
    <w:rsid w:val="007D06C4"/>
    <w:rsid w:val="007D0AB6"/>
    <w:rsid w:val="007D1352"/>
    <w:rsid w:val="007D2508"/>
    <w:rsid w:val="007D2B46"/>
    <w:rsid w:val="007D346A"/>
    <w:rsid w:val="007D6518"/>
    <w:rsid w:val="007D6719"/>
    <w:rsid w:val="007D76BD"/>
    <w:rsid w:val="007E0BF1"/>
    <w:rsid w:val="007E39CE"/>
    <w:rsid w:val="007E3BC0"/>
    <w:rsid w:val="007E59CF"/>
    <w:rsid w:val="007E6C50"/>
    <w:rsid w:val="007E756A"/>
    <w:rsid w:val="007E7A7C"/>
    <w:rsid w:val="007F0BDA"/>
    <w:rsid w:val="007F0ED8"/>
    <w:rsid w:val="007F0F63"/>
    <w:rsid w:val="007F22CA"/>
    <w:rsid w:val="007F3F36"/>
    <w:rsid w:val="007F4B2E"/>
    <w:rsid w:val="007F6C5A"/>
    <w:rsid w:val="007F75CE"/>
    <w:rsid w:val="008013A4"/>
    <w:rsid w:val="008027CE"/>
    <w:rsid w:val="00802F42"/>
    <w:rsid w:val="00804383"/>
    <w:rsid w:val="00804BB7"/>
    <w:rsid w:val="00804D41"/>
    <w:rsid w:val="00810257"/>
    <w:rsid w:val="008104F5"/>
    <w:rsid w:val="00811072"/>
    <w:rsid w:val="0081133F"/>
    <w:rsid w:val="00811369"/>
    <w:rsid w:val="0081426F"/>
    <w:rsid w:val="00815419"/>
    <w:rsid w:val="008163C8"/>
    <w:rsid w:val="008164A1"/>
    <w:rsid w:val="00816569"/>
    <w:rsid w:val="00817325"/>
    <w:rsid w:val="00817BC3"/>
    <w:rsid w:val="008209E6"/>
    <w:rsid w:val="00823303"/>
    <w:rsid w:val="008233B2"/>
    <w:rsid w:val="00823A9F"/>
    <w:rsid w:val="00823C85"/>
    <w:rsid w:val="00823EB0"/>
    <w:rsid w:val="00825138"/>
    <w:rsid w:val="00826365"/>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29FF"/>
    <w:rsid w:val="00852B47"/>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BC5"/>
    <w:rsid w:val="00867C10"/>
    <w:rsid w:val="00870439"/>
    <w:rsid w:val="00870B12"/>
    <w:rsid w:val="00870DA1"/>
    <w:rsid w:val="00871167"/>
    <w:rsid w:val="008720F2"/>
    <w:rsid w:val="008737EE"/>
    <w:rsid w:val="00874744"/>
    <w:rsid w:val="00874E03"/>
    <w:rsid w:val="00877C0F"/>
    <w:rsid w:val="00881E17"/>
    <w:rsid w:val="00882EC2"/>
    <w:rsid w:val="00883F93"/>
    <w:rsid w:val="00884DB3"/>
    <w:rsid w:val="00885A9D"/>
    <w:rsid w:val="00885CCE"/>
    <w:rsid w:val="008864F6"/>
    <w:rsid w:val="0088678E"/>
    <w:rsid w:val="00886F60"/>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69A"/>
    <w:rsid w:val="008B0C9C"/>
    <w:rsid w:val="008B0F66"/>
    <w:rsid w:val="008B1263"/>
    <w:rsid w:val="008B166D"/>
    <w:rsid w:val="008B17F4"/>
    <w:rsid w:val="008B23A4"/>
    <w:rsid w:val="008B3615"/>
    <w:rsid w:val="008B3785"/>
    <w:rsid w:val="008B3FB2"/>
    <w:rsid w:val="008B40ED"/>
    <w:rsid w:val="008B4AC4"/>
    <w:rsid w:val="008B50C8"/>
    <w:rsid w:val="008B5281"/>
    <w:rsid w:val="008B65BE"/>
    <w:rsid w:val="008B69EB"/>
    <w:rsid w:val="008B7E05"/>
    <w:rsid w:val="008C1797"/>
    <w:rsid w:val="008C219C"/>
    <w:rsid w:val="008C42C6"/>
    <w:rsid w:val="008C475E"/>
    <w:rsid w:val="008C619A"/>
    <w:rsid w:val="008C7699"/>
    <w:rsid w:val="008D0CE8"/>
    <w:rsid w:val="008D2BED"/>
    <w:rsid w:val="008D2D1D"/>
    <w:rsid w:val="008D453D"/>
    <w:rsid w:val="008D4AEE"/>
    <w:rsid w:val="008D53AD"/>
    <w:rsid w:val="008D562B"/>
    <w:rsid w:val="008D5733"/>
    <w:rsid w:val="008D622B"/>
    <w:rsid w:val="008D666C"/>
    <w:rsid w:val="008D7B54"/>
    <w:rsid w:val="008E09E5"/>
    <w:rsid w:val="008E0C9D"/>
    <w:rsid w:val="008E1648"/>
    <w:rsid w:val="008E1B3E"/>
    <w:rsid w:val="008E20B0"/>
    <w:rsid w:val="008E2319"/>
    <w:rsid w:val="008E27D1"/>
    <w:rsid w:val="008E41CF"/>
    <w:rsid w:val="008E4BB6"/>
    <w:rsid w:val="008E5518"/>
    <w:rsid w:val="008E56FE"/>
    <w:rsid w:val="008E5ABC"/>
    <w:rsid w:val="008E6A84"/>
    <w:rsid w:val="008E7F2E"/>
    <w:rsid w:val="008F0CDC"/>
    <w:rsid w:val="008F17A3"/>
    <w:rsid w:val="008F1A23"/>
    <w:rsid w:val="008F1ED3"/>
    <w:rsid w:val="008F2F3D"/>
    <w:rsid w:val="008F4173"/>
    <w:rsid w:val="008F4C29"/>
    <w:rsid w:val="008F65D9"/>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07B76"/>
    <w:rsid w:val="00911BE5"/>
    <w:rsid w:val="00913CA9"/>
    <w:rsid w:val="009145AE"/>
    <w:rsid w:val="009146CE"/>
    <w:rsid w:val="00914CA7"/>
    <w:rsid w:val="00915C3E"/>
    <w:rsid w:val="009161A8"/>
    <w:rsid w:val="009217FD"/>
    <w:rsid w:val="00921DCF"/>
    <w:rsid w:val="0092330D"/>
    <w:rsid w:val="009245AE"/>
    <w:rsid w:val="009245F5"/>
    <w:rsid w:val="00924944"/>
    <w:rsid w:val="009249EC"/>
    <w:rsid w:val="0092503F"/>
    <w:rsid w:val="00925182"/>
    <w:rsid w:val="0092574B"/>
    <w:rsid w:val="009273B3"/>
    <w:rsid w:val="009276E5"/>
    <w:rsid w:val="009277C6"/>
    <w:rsid w:val="009305B5"/>
    <w:rsid w:val="00934F1E"/>
    <w:rsid w:val="009378DD"/>
    <w:rsid w:val="009423DB"/>
    <w:rsid w:val="009429D5"/>
    <w:rsid w:val="00942BF1"/>
    <w:rsid w:val="009442D0"/>
    <w:rsid w:val="0094439B"/>
    <w:rsid w:val="0094494E"/>
    <w:rsid w:val="00945180"/>
    <w:rsid w:val="00945428"/>
    <w:rsid w:val="0094607B"/>
    <w:rsid w:val="00946E74"/>
    <w:rsid w:val="00951515"/>
    <w:rsid w:val="00953604"/>
    <w:rsid w:val="0095496B"/>
    <w:rsid w:val="00960F1E"/>
    <w:rsid w:val="009610DC"/>
    <w:rsid w:val="00961490"/>
    <w:rsid w:val="0096381A"/>
    <w:rsid w:val="00964F50"/>
    <w:rsid w:val="00965E04"/>
    <w:rsid w:val="009674AD"/>
    <w:rsid w:val="00970CDC"/>
    <w:rsid w:val="009710E0"/>
    <w:rsid w:val="00972D1F"/>
    <w:rsid w:val="00975317"/>
    <w:rsid w:val="00975727"/>
    <w:rsid w:val="00977010"/>
    <w:rsid w:val="00977D02"/>
    <w:rsid w:val="00977FF9"/>
    <w:rsid w:val="009806B3"/>
    <w:rsid w:val="009809BB"/>
    <w:rsid w:val="00981BA9"/>
    <w:rsid w:val="0098364B"/>
    <w:rsid w:val="0098395C"/>
    <w:rsid w:val="00983AAF"/>
    <w:rsid w:val="009908A3"/>
    <w:rsid w:val="009911AF"/>
    <w:rsid w:val="00991875"/>
    <w:rsid w:val="00991F92"/>
    <w:rsid w:val="00992283"/>
    <w:rsid w:val="00992985"/>
    <w:rsid w:val="009937C2"/>
    <w:rsid w:val="00993889"/>
    <w:rsid w:val="0099551B"/>
    <w:rsid w:val="00996BD2"/>
    <w:rsid w:val="00997BF1"/>
    <w:rsid w:val="009A089C"/>
    <w:rsid w:val="009A118E"/>
    <w:rsid w:val="009A21CD"/>
    <w:rsid w:val="009A278C"/>
    <w:rsid w:val="009A2BC2"/>
    <w:rsid w:val="009A42C1"/>
    <w:rsid w:val="009A476D"/>
    <w:rsid w:val="009A5429"/>
    <w:rsid w:val="009A5794"/>
    <w:rsid w:val="009A72AD"/>
    <w:rsid w:val="009A7EB4"/>
    <w:rsid w:val="009B09E0"/>
    <w:rsid w:val="009B0BC5"/>
    <w:rsid w:val="009B1247"/>
    <w:rsid w:val="009B364A"/>
    <w:rsid w:val="009B55C0"/>
    <w:rsid w:val="009B6029"/>
    <w:rsid w:val="009B6971"/>
    <w:rsid w:val="009C20DD"/>
    <w:rsid w:val="009C27F1"/>
    <w:rsid w:val="009C3152"/>
    <w:rsid w:val="009C3257"/>
    <w:rsid w:val="009C4CFA"/>
    <w:rsid w:val="009C4F30"/>
    <w:rsid w:val="009C5070"/>
    <w:rsid w:val="009D0888"/>
    <w:rsid w:val="009D112C"/>
    <w:rsid w:val="009D1385"/>
    <w:rsid w:val="009D47FA"/>
    <w:rsid w:val="009D4C5B"/>
    <w:rsid w:val="009D50D2"/>
    <w:rsid w:val="009D6BCA"/>
    <w:rsid w:val="009D7A76"/>
    <w:rsid w:val="009E0F62"/>
    <w:rsid w:val="009E3484"/>
    <w:rsid w:val="009E4A58"/>
    <w:rsid w:val="009E5506"/>
    <w:rsid w:val="009E5A2D"/>
    <w:rsid w:val="009E5AB2"/>
    <w:rsid w:val="009E6219"/>
    <w:rsid w:val="009F03B3"/>
    <w:rsid w:val="009F284D"/>
    <w:rsid w:val="009F39C8"/>
    <w:rsid w:val="009F4674"/>
    <w:rsid w:val="009F75CC"/>
    <w:rsid w:val="00A0096C"/>
    <w:rsid w:val="00A01757"/>
    <w:rsid w:val="00A01BC9"/>
    <w:rsid w:val="00A028C0"/>
    <w:rsid w:val="00A02BAE"/>
    <w:rsid w:val="00A06A6B"/>
    <w:rsid w:val="00A07250"/>
    <w:rsid w:val="00A07E47"/>
    <w:rsid w:val="00A10C87"/>
    <w:rsid w:val="00A11E12"/>
    <w:rsid w:val="00A129D0"/>
    <w:rsid w:val="00A12C33"/>
    <w:rsid w:val="00A13803"/>
    <w:rsid w:val="00A138BA"/>
    <w:rsid w:val="00A14C8E"/>
    <w:rsid w:val="00A153D9"/>
    <w:rsid w:val="00A15F09"/>
    <w:rsid w:val="00A169B6"/>
    <w:rsid w:val="00A17D0E"/>
    <w:rsid w:val="00A2271D"/>
    <w:rsid w:val="00A22D56"/>
    <w:rsid w:val="00A23511"/>
    <w:rsid w:val="00A237D5"/>
    <w:rsid w:val="00A3075D"/>
    <w:rsid w:val="00A3099F"/>
    <w:rsid w:val="00A30EFC"/>
    <w:rsid w:val="00A31984"/>
    <w:rsid w:val="00A3263E"/>
    <w:rsid w:val="00A3290D"/>
    <w:rsid w:val="00A32D73"/>
    <w:rsid w:val="00A3316D"/>
    <w:rsid w:val="00A3367B"/>
    <w:rsid w:val="00A34325"/>
    <w:rsid w:val="00A3597D"/>
    <w:rsid w:val="00A36DD1"/>
    <w:rsid w:val="00A37166"/>
    <w:rsid w:val="00A37E72"/>
    <w:rsid w:val="00A4006C"/>
    <w:rsid w:val="00A40091"/>
    <w:rsid w:val="00A4030F"/>
    <w:rsid w:val="00A41C79"/>
    <w:rsid w:val="00A41CB5"/>
    <w:rsid w:val="00A42CDF"/>
    <w:rsid w:val="00A4452E"/>
    <w:rsid w:val="00A4472C"/>
    <w:rsid w:val="00A44A93"/>
    <w:rsid w:val="00A44E69"/>
    <w:rsid w:val="00A45E56"/>
    <w:rsid w:val="00A4661E"/>
    <w:rsid w:val="00A533DF"/>
    <w:rsid w:val="00A54201"/>
    <w:rsid w:val="00A55BD6"/>
    <w:rsid w:val="00A55D50"/>
    <w:rsid w:val="00A56779"/>
    <w:rsid w:val="00A57142"/>
    <w:rsid w:val="00A62DF1"/>
    <w:rsid w:val="00A63973"/>
    <w:rsid w:val="00A639FF"/>
    <w:rsid w:val="00A63E16"/>
    <w:rsid w:val="00A648CD"/>
    <w:rsid w:val="00A6537A"/>
    <w:rsid w:val="00A67866"/>
    <w:rsid w:val="00A67E3F"/>
    <w:rsid w:val="00A70B07"/>
    <w:rsid w:val="00A723F8"/>
    <w:rsid w:val="00A731AD"/>
    <w:rsid w:val="00A74563"/>
    <w:rsid w:val="00A76935"/>
    <w:rsid w:val="00A77CCB"/>
    <w:rsid w:val="00A83D8D"/>
    <w:rsid w:val="00A8446B"/>
    <w:rsid w:val="00A8473F"/>
    <w:rsid w:val="00A85B05"/>
    <w:rsid w:val="00A862D6"/>
    <w:rsid w:val="00A8715E"/>
    <w:rsid w:val="00A87E3F"/>
    <w:rsid w:val="00A91498"/>
    <w:rsid w:val="00A9295B"/>
    <w:rsid w:val="00A92AB6"/>
    <w:rsid w:val="00A939AE"/>
    <w:rsid w:val="00A93B09"/>
    <w:rsid w:val="00A94D99"/>
    <w:rsid w:val="00A952D7"/>
    <w:rsid w:val="00A963F7"/>
    <w:rsid w:val="00A96AD8"/>
    <w:rsid w:val="00A97905"/>
    <w:rsid w:val="00AA052C"/>
    <w:rsid w:val="00AA055D"/>
    <w:rsid w:val="00AA17F8"/>
    <w:rsid w:val="00AA1E45"/>
    <w:rsid w:val="00AA4286"/>
    <w:rsid w:val="00AA4418"/>
    <w:rsid w:val="00AA456B"/>
    <w:rsid w:val="00AA57F5"/>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A0B"/>
    <w:rsid w:val="00AD4126"/>
    <w:rsid w:val="00AD421C"/>
    <w:rsid w:val="00AD44FA"/>
    <w:rsid w:val="00AD4865"/>
    <w:rsid w:val="00AD4C6F"/>
    <w:rsid w:val="00AD7285"/>
    <w:rsid w:val="00AD76B2"/>
    <w:rsid w:val="00AE070A"/>
    <w:rsid w:val="00AE101C"/>
    <w:rsid w:val="00AE2A69"/>
    <w:rsid w:val="00AE3460"/>
    <w:rsid w:val="00AE37E5"/>
    <w:rsid w:val="00AE5EB4"/>
    <w:rsid w:val="00AE5F03"/>
    <w:rsid w:val="00AE6293"/>
    <w:rsid w:val="00AE68A1"/>
    <w:rsid w:val="00AE7C15"/>
    <w:rsid w:val="00AF0C18"/>
    <w:rsid w:val="00AF47C5"/>
    <w:rsid w:val="00AF4901"/>
    <w:rsid w:val="00AF4AA4"/>
    <w:rsid w:val="00AF5398"/>
    <w:rsid w:val="00AF6138"/>
    <w:rsid w:val="00AF6CA1"/>
    <w:rsid w:val="00AF7324"/>
    <w:rsid w:val="00AF7B16"/>
    <w:rsid w:val="00B005C3"/>
    <w:rsid w:val="00B0159D"/>
    <w:rsid w:val="00B027A3"/>
    <w:rsid w:val="00B03F4C"/>
    <w:rsid w:val="00B049AF"/>
    <w:rsid w:val="00B04D00"/>
    <w:rsid w:val="00B07242"/>
    <w:rsid w:val="00B10534"/>
    <w:rsid w:val="00B113DB"/>
    <w:rsid w:val="00B11D8A"/>
    <w:rsid w:val="00B12981"/>
    <w:rsid w:val="00B12CBE"/>
    <w:rsid w:val="00B13629"/>
    <w:rsid w:val="00B147DD"/>
    <w:rsid w:val="00B1538B"/>
    <w:rsid w:val="00B156FD"/>
    <w:rsid w:val="00B15750"/>
    <w:rsid w:val="00B16F64"/>
    <w:rsid w:val="00B1730C"/>
    <w:rsid w:val="00B2077B"/>
    <w:rsid w:val="00B21F61"/>
    <w:rsid w:val="00B254A6"/>
    <w:rsid w:val="00B261F1"/>
    <w:rsid w:val="00B265BC"/>
    <w:rsid w:val="00B27075"/>
    <w:rsid w:val="00B30D06"/>
    <w:rsid w:val="00B31FB1"/>
    <w:rsid w:val="00B32D97"/>
    <w:rsid w:val="00B33952"/>
    <w:rsid w:val="00B33C5E"/>
    <w:rsid w:val="00B342F4"/>
    <w:rsid w:val="00B34369"/>
    <w:rsid w:val="00B34DC2"/>
    <w:rsid w:val="00B35D2D"/>
    <w:rsid w:val="00B378E5"/>
    <w:rsid w:val="00B4346D"/>
    <w:rsid w:val="00B440F4"/>
    <w:rsid w:val="00B444AD"/>
    <w:rsid w:val="00B447A5"/>
    <w:rsid w:val="00B4654C"/>
    <w:rsid w:val="00B47293"/>
    <w:rsid w:val="00B50271"/>
    <w:rsid w:val="00B50471"/>
    <w:rsid w:val="00B50E50"/>
    <w:rsid w:val="00B52120"/>
    <w:rsid w:val="00B53B03"/>
    <w:rsid w:val="00B54ABC"/>
    <w:rsid w:val="00B555AD"/>
    <w:rsid w:val="00B5591F"/>
    <w:rsid w:val="00B5656F"/>
    <w:rsid w:val="00B56DC5"/>
    <w:rsid w:val="00B56FBE"/>
    <w:rsid w:val="00B60ACF"/>
    <w:rsid w:val="00B615D3"/>
    <w:rsid w:val="00B62B58"/>
    <w:rsid w:val="00B636FB"/>
    <w:rsid w:val="00B64BEA"/>
    <w:rsid w:val="00B65149"/>
    <w:rsid w:val="00B66567"/>
    <w:rsid w:val="00B66D9C"/>
    <w:rsid w:val="00B66F52"/>
    <w:rsid w:val="00B66FE5"/>
    <w:rsid w:val="00B72880"/>
    <w:rsid w:val="00B72D55"/>
    <w:rsid w:val="00B758BF"/>
    <w:rsid w:val="00B77818"/>
    <w:rsid w:val="00B77BD3"/>
    <w:rsid w:val="00B77EC8"/>
    <w:rsid w:val="00B80814"/>
    <w:rsid w:val="00B827A6"/>
    <w:rsid w:val="00B831CE"/>
    <w:rsid w:val="00B85825"/>
    <w:rsid w:val="00B86677"/>
    <w:rsid w:val="00B87131"/>
    <w:rsid w:val="00B90F6D"/>
    <w:rsid w:val="00B939B1"/>
    <w:rsid w:val="00B9417F"/>
    <w:rsid w:val="00B96D40"/>
    <w:rsid w:val="00B971D7"/>
    <w:rsid w:val="00B97386"/>
    <w:rsid w:val="00BA263B"/>
    <w:rsid w:val="00BA26D0"/>
    <w:rsid w:val="00BA42B2"/>
    <w:rsid w:val="00BA58D4"/>
    <w:rsid w:val="00BA5977"/>
    <w:rsid w:val="00BA5B9E"/>
    <w:rsid w:val="00BA6E9E"/>
    <w:rsid w:val="00BA7C9A"/>
    <w:rsid w:val="00BB15DC"/>
    <w:rsid w:val="00BB20F9"/>
    <w:rsid w:val="00BB273E"/>
    <w:rsid w:val="00BB36BC"/>
    <w:rsid w:val="00BB46CB"/>
    <w:rsid w:val="00BB5ECA"/>
    <w:rsid w:val="00BB5F8F"/>
    <w:rsid w:val="00BB657A"/>
    <w:rsid w:val="00BC1A4E"/>
    <w:rsid w:val="00BC4D13"/>
    <w:rsid w:val="00BC5DC7"/>
    <w:rsid w:val="00BC6B8B"/>
    <w:rsid w:val="00BC7199"/>
    <w:rsid w:val="00BC73D8"/>
    <w:rsid w:val="00BD1C72"/>
    <w:rsid w:val="00BD29A9"/>
    <w:rsid w:val="00BD4D79"/>
    <w:rsid w:val="00BD52D7"/>
    <w:rsid w:val="00BD5AD2"/>
    <w:rsid w:val="00BD727E"/>
    <w:rsid w:val="00BD7D66"/>
    <w:rsid w:val="00BE1065"/>
    <w:rsid w:val="00BE2283"/>
    <w:rsid w:val="00BE22F3"/>
    <w:rsid w:val="00BE5B52"/>
    <w:rsid w:val="00BE754A"/>
    <w:rsid w:val="00BE7B8D"/>
    <w:rsid w:val="00BF02FE"/>
    <w:rsid w:val="00BF0993"/>
    <w:rsid w:val="00BF10A9"/>
    <w:rsid w:val="00BF1703"/>
    <w:rsid w:val="00BF231C"/>
    <w:rsid w:val="00BF3157"/>
    <w:rsid w:val="00BF51E5"/>
    <w:rsid w:val="00BF74A6"/>
    <w:rsid w:val="00C00B09"/>
    <w:rsid w:val="00C013AD"/>
    <w:rsid w:val="00C01882"/>
    <w:rsid w:val="00C01A31"/>
    <w:rsid w:val="00C04904"/>
    <w:rsid w:val="00C056B3"/>
    <w:rsid w:val="00C060FC"/>
    <w:rsid w:val="00C06593"/>
    <w:rsid w:val="00C103E5"/>
    <w:rsid w:val="00C12E91"/>
    <w:rsid w:val="00C13319"/>
    <w:rsid w:val="00C13A8B"/>
    <w:rsid w:val="00C13EE9"/>
    <w:rsid w:val="00C14680"/>
    <w:rsid w:val="00C158EB"/>
    <w:rsid w:val="00C15F6B"/>
    <w:rsid w:val="00C1605A"/>
    <w:rsid w:val="00C21540"/>
    <w:rsid w:val="00C21906"/>
    <w:rsid w:val="00C21BFA"/>
    <w:rsid w:val="00C22B14"/>
    <w:rsid w:val="00C24C8D"/>
    <w:rsid w:val="00C25FE2"/>
    <w:rsid w:val="00C26B53"/>
    <w:rsid w:val="00C279B2"/>
    <w:rsid w:val="00C33E50"/>
    <w:rsid w:val="00C34C20"/>
    <w:rsid w:val="00C35A3E"/>
    <w:rsid w:val="00C41CF4"/>
    <w:rsid w:val="00C42130"/>
    <w:rsid w:val="00C423A4"/>
    <w:rsid w:val="00C423E3"/>
    <w:rsid w:val="00C4477A"/>
    <w:rsid w:val="00C44BF5"/>
    <w:rsid w:val="00C4680A"/>
    <w:rsid w:val="00C46AB8"/>
    <w:rsid w:val="00C47F11"/>
    <w:rsid w:val="00C50518"/>
    <w:rsid w:val="00C521D6"/>
    <w:rsid w:val="00C541AC"/>
    <w:rsid w:val="00C55232"/>
    <w:rsid w:val="00C553A4"/>
    <w:rsid w:val="00C55A06"/>
    <w:rsid w:val="00C55D03"/>
    <w:rsid w:val="00C55D05"/>
    <w:rsid w:val="00C573BB"/>
    <w:rsid w:val="00C5792C"/>
    <w:rsid w:val="00C601BC"/>
    <w:rsid w:val="00C60D12"/>
    <w:rsid w:val="00C62745"/>
    <w:rsid w:val="00C6329F"/>
    <w:rsid w:val="00C63340"/>
    <w:rsid w:val="00C643F9"/>
    <w:rsid w:val="00C64E95"/>
    <w:rsid w:val="00C71372"/>
    <w:rsid w:val="00C7152E"/>
    <w:rsid w:val="00C716B0"/>
    <w:rsid w:val="00C71707"/>
    <w:rsid w:val="00C72410"/>
    <w:rsid w:val="00C7287F"/>
    <w:rsid w:val="00C80CB8"/>
    <w:rsid w:val="00C819F8"/>
    <w:rsid w:val="00C8248C"/>
    <w:rsid w:val="00C84E33"/>
    <w:rsid w:val="00C86D6F"/>
    <w:rsid w:val="00C905FC"/>
    <w:rsid w:val="00C92588"/>
    <w:rsid w:val="00C92D03"/>
    <w:rsid w:val="00C9319C"/>
    <w:rsid w:val="00C9435D"/>
    <w:rsid w:val="00C9482A"/>
    <w:rsid w:val="00C94DF2"/>
    <w:rsid w:val="00C95A36"/>
    <w:rsid w:val="00C96741"/>
    <w:rsid w:val="00CA0B7D"/>
    <w:rsid w:val="00CA11AB"/>
    <w:rsid w:val="00CA2D1B"/>
    <w:rsid w:val="00CA375D"/>
    <w:rsid w:val="00CA5BED"/>
    <w:rsid w:val="00CA5E1E"/>
    <w:rsid w:val="00CA662A"/>
    <w:rsid w:val="00CA7AFD"/>
    <w:rsid w:val="00CA7C3C"/>
    <w:rsid w:val="00CB0189"/>
    <w:rsid w:val="00CB0BA2"/>
    <w:rsid w:val="00CB1A42"/>
    <w:rsid w:val="00CB1B0C"/>
    <w:rsid w:val="00CB2945"/>
    <w:rsid w:val="00CB2C0B"/>
    <w:rsid w:val="00CB2FEA"/>
    <w:rsid w:val="00CB517D"/>
    <w:rsid w:val="00CC038D"/>
    <w:rsid w:val="00CC08DB"/>
    <w:rsid w:val="00CC39FF"/>
    <w:rsid w:val="00CC3C2F"/>
    <w:rsid w:val="00CC3E97"/>
    <w:rsid w:val="00CC3F6D"/>
    <w:rsid w:val="00CC41E4"/>
    <w:rsid w:val="00CC4AC8"/>
    <w:rsid w:val="00CC5233"/>
    <w:rsid w:val="00CC5DE6"/>
    <w:rsid w:val="00CC6E4E"/>
    <w:rsid w:val="00CC6FE8"/>
    <w:rsid w:val="00CC7202"/>
    <w:rsid w:val="00CD2808"/>
    <w:rsid w:val="00CD28BF"/>
    <w:rsid w:val="00CD4092"/>
    <w:rsid w:val="00CD44D5"/>
    <w:rsid w:val="00CD4A20"/>
    <w:rsid w:val="00CD50A1"/>
    <w:rsid w:val="00CD519E"/>
    <w:rsid w:val="00CD647E"/>
    <w:rsid w:val="00CE0C4F"/>
    <w:rsid w:val="00CE1067"/>
    <w:rsid w:val="00CE1701"/>
    <w:rsid w:val="00CE280B"/>
    <w:rsid w:val="00CE30EA"/>
    <w:rsid w:val="00CE3D11"/>
    <w:rsid w:val="00CF048A"/>
    <w:rsid w:val="00CF155A"/>
    <w:rsid w:val="00CF28D6"/>
    <w:rsid w:val="00CF2947"/>
    <w:rsid w:val="00CF59AE"/>
    <w:rsid w:val="00CF686F"/>
    <w:rsid w:val="00CF68DB"/>
    <w:rsid w:val="00CF6E60"/>
    <w:rsid w:val="00CF7BCA"/>
    <w:rsid w:val="00D008FD"/>
    <w:rsid w:val="00D0321C"/>
    <w:rsid w:val="00D035EC"/>
    <w:rsid w:val="00D058DF"/>
    <w:rsid w:val="00D05D0F"/>
    <w:rsid w:val="00D06AB1"/>
    <w:rsid w:val="00D06FC1"/>
    <w:rsid w:val="00D072ED"/>
    <w:rsid w:val="00D07A16"/>
    <w:rsid w:val="00D07E65"/>
    <w:rsid w:val="00D1067E"/>
    <w:rsid w:val="00D10F50"/>
    <w:rsid w:val="00D11272"/>
    <w:rsid w:val="00D113EF"/>
    <w:rsid w:val="00D126F5"/>
    <w:rsid w:val="00D1489E"/>
    <w:rsid w:val="00D15269"/>
    <w:rsid w:val="00D20737"/>
    <w:rsid w:val="00D21E81"/>
    <w:rsid w:val="00D223DE"/>
    <w:rsid w:val="00D22DAF"/>
    <w:rsid w:val="00D23BBE"/>
    <w:rsid w:val="00D25E37"/>
    <w:rsid w:val="00D2661A"/>
    <w:rsid w:val="00D27582"/>
    <w:rsid w:val="00D27EC4"/>
    <w:rsid w:val="00D30346"/>
    <w:rsid w:val="00D308D0"/>
    <w:rsid w:val="00D3170A"/>
    <w:rsid w:val="00D31C23"/>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190"/>
    <w:rsid w:val="00D522F4"/>
    <w:rsid w:val="00D54274"/>
    <w:rsid w:val="00D54646"/>
    <w:rsid w:val="00D54A1B"/>
    <w:rsid w:val="00D56E63"/>
    <w:rsid w:val="00D5790B"/>
    <w:rsid w:val="00D60355"/>
    <w:rsid w:val="00D616DC"/>
    <w:rsid w:val="00D62F5B"/>
    <w:rsid w:val="00D6545A"/>
    <w:rsid w:val="00D65944"/>
    <w:rsid w:val="00D66846"/>
    <w:rsid w:val="00D675FB"/>
    <w:rsid w:val="00D71F25"/>
    <w:rsid w:val="00D72A9C"/>
    <w:rsid w:val="00D77031"/>
    <w:rsid w:val="00D83498"/>
    <w:rsid w:val="00D84941"/>
    <w:rsid w:val="00D84FA1"/>
    <w:rsid w:val="00D851F0"/>
    <w:rsid w:val="00D86DB7"/>
    <w:rsid w:val="00D87BF5"/>
    <w:rsid w:val="00D90721"/>
    <w:rsid w:val="00D926D0"/>
    <w:rsid w:val="00D93030"/>
    <w:rsid w:val="00D950E1"/>
    <w:rsid w:val="00D952A6"/>
    <w:rsid w:val="00D95CBC"/>
    <w:rsid w:val="00D95F86"/>
    <w:rsid w:val="00D97F99"/>
    <w:rsid w:val="00DA1E08"/>
    <w:rsid w:val="00DA24F8"/>
    <w:rsid w:val="00DA28E8"/>
    <w:rsid w:val="00DA378B"/>
    <w:rsid w:val="00DA38D3"/>
    <w:rsid w:val="00DA3932"/>
    <w:rsid w:val="00DA3AFC"/>
    <w:rsid w:val="00DA52BD"/>
    <w:rsid w:val="00DA5879"/>
    <w:rsid w:val="00DA64F8"/>
    <w:rsid w:val="00DA6C15"/>
    <w:rsid w:val="00DB0258"/>
    <w:rsid w:val="00DB0E79"/>
    <w:rsid w:val="00DB2C4C"/>
    <w:rsid w:val="00DB3169"/>
    <w:rsid w:val="00DB38EE"/>
    <w:rsid w:val="00DB498B"/>
    <w:rsid w:val="00DB66CA"/>
    <w:rsid w:val="00DB6BCA"/>
    <w:rsid w:val="00DB6F54"/>
    <w:rsid w:val="00DB73F7"/>
    <w:rsid w:val="00DC0321"/>
    <w:rsid w:val="00DC1A0C"/>
    <w:rsid w:val="00DC3067"/>
    <w:rsid w:val="00DC35A3"/>
    <w:rsid w:val="00DC370B"/>
    <w:rsid w:val="00DC4B85"/>
    <w:rsid w:val="00DC5B90"/>
    <w:rsid w:val="00DC5CDE"/>
    <w:rsid w:val="00DC5E2D"/>
    <w:rsid w:val="00DC620F"/>
    <w:rsid w:val="00DD00FF"/>
    <w:rsid w:val="00DD0619"/>
    <w:rsid w:val="00DD07FB"/>
    <w:rsid w:val="00DD25C6"/>
    <w:rsid w:val="00DD4FE5"/>
    <w:rsid w:val="00DD54B0"/>
    <w:rsid w:val="00DD57EE"/>
    <w:rsid w:val="00DD669C"/>
    <w:rsid w:val="00DD6BCC"/>
    <w:rsid w:val="00DE0A4B"/>
    <w:rsid w:val="00DE2410"/>
    <w:rsid w:val="00DE2939"/>
    <w:rsid w:val="00DE2B78"/>
    <w:rsid w:val="00DE4E1F"/>
    <w:rsid w:val="00DE6AF9"/>
    <w:rsid w:val="00DE6E81"/>
    <w:rsid w:val="00DE703F"/>
    <w:rsid w:val="00DE7595"/>
    <w:rsid w:val="00DF1466"/>
    <w:rsid w:val="00DF1961"/>
    <w:rsid w:val="00DF44DE"/>
    <w:rsid w:val="00DF78ED"/>
    <w:rsid w:val="00E01138"/>
    <w:rsid w:val="00E02DFB"/>
    <w:rsid w:val="00E030F9"/>
    <w:rsid w:val="00E0311A"/>
    <w:rsid w:val="00E03138"/>
    <w:rsid w:val="00E036F1"/>
    <w:rsid w:val="00E06404"/>
    <w:rsid w:val="00E11246"/>
    <w:rsid w:val="00E119D7"/>
    <w:rsid w:val="00E11A85"/>
    <w:rsid w:val="00E12495"/>
    <w:rsid w:val="00E12761"/>
    <w:rsid w:val="00E15CCD"/>
    <w:rsid w:val="00E202EF"/>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1883"/>
    <w:rsid w:val="00E43091"/>
    <w:rsid w:val="00E44A83"/>
    <w:rsid w:val="00E47586"/>
    <w:rsid w:val="00E502C1"/>
    <w:rsid w:val="00E502DD"/>
    <w:rsid w:val="00E503A3"/>
    <w:rsid w:val="00E50D3A"/>
    <w:rsid w:val="00E51387"/>
    <w:rsid w:val="00E51E68"/>
    <w:rsid w:val="00E52EFD"/>
    <w:rsid w:val="00E5408A"/>
    <w:rsid w:val="00E54FCC"/>
    <w:rsid w:val="00E56050"/>
    <w:rsid w:val="00E56800"/>
    <w:rsid w:val="00E56F6F"/>
    <w:rsid w:val="00E5726F"/>
    <w:rsid w:val="00E60811"/>
    <w:rsid w:val="00E60C63"/>
    <w:rsid w:val="00E61793"/>
    <w:rsid w:val="00E627D7"/>
    <w:rsid w:val="00E62FF9"/>
    <w:rsid w:val="00E635D6"/>
    <w:rsid w:val="00E639BC"/>
    <w:rsid w:val="00E664CC"/>
    <w:rsid w:val="00E6655F"/>
    <w:rsid w:val="00E702BB"/>
    <w:rsid w:val="00E70388"/>
    <w:rsid w:val="00E70F92"/>
    <w:rsid w:val="00E72287"/>
    <w:rsid w:val="00E72DF7"/>
    <w:rsid w:val="00E73F5A"/>
    <w:rsid w:val="00E74313"/>
    <w:rsid w:val="00E74C54"/>
    <w:rsid w:val="00E76D4A"/>
    <w:rsid w:val="00E77793"/>
    <w:rsid w:val="00E77A0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6C2"/>
    <w:rsid w:val="00E91DC8"/>
    <w:rsid w:val="00E92D85"/>
    <w:rsid w:val="00E9311F"/>
    <w:rsid w:val="00E934D1"/>
    <w:rsid w:val="00E94AF0"/>
    <w:rsid w:val="00E95D13"/>
    <w:rsid w:val="00E95DD3"/>
    <w:rsid w:val="00E969D5"/>
    <w:rsid w:val="00E97E8A"/>
    <w:rsid w:val="00EA10F4"/>
    <w:rsid w:val="00EA15FD"/>
    <w:rsid w:val="00EA3D88"/>
    <w:rsid w:val="00EA58D1"/>
    <w:rsid w:val="00EA5DCA"/>
    <w:rsid w:val="00EA61BC"/>
    <w:rsid w:val="00EA681A"/>
    <w:rsid w:val="00EA735B"/>
    <w:rsid w:val="00EB1E69"/>
    <w:rsid w:val="00EB2086"/>
    <w:rsid w:val="00EB31ED"/>
    <w:rsid w:val="00EB5E06"/>
    <w:rsid w:val="00EB5EDF"/>
    <w:rsid w:val="00EB60FE"/>
    <w:rsid w:val="00EB6694"/>
    <w:rsid w:val="00EB74DB"/>
    <w:rsid w:val="00EC5359"/>
    <w:rsid w:val="00EC562A"/>
    <w:rsid w:val="00EC7AAD"/>
    <w:rsid w:val="00ED067A"/>
    <w:rsid w:val="00ED2B50"/>
    <w:rsid w:val="00ED58F0"/>
    <w:rsid w:val="00ED6BAE"/>
    <w:rsid w:val="00EE0350"/>
    <w:rsid w:val="00EE0719"/>
    <w:rsid w:val="00EE0E80"/>
    <w:rsid w:val="00EE0EB2"/>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D37"/>
    <w:rsid w:val="00F071E0"/>
    <w:rsid w:val="00F07B9D"/>
    <w:rsid w:val="00F114B0"/>
    <w:rsid w:val="00F11586"/>
    <w:rsid w:val="00F1183B"/>
    <w:rsid w:val="00F11C9F"/>
    <w:rsid w:val="00F12160"/>
    <w:rsid w:val="00F121D6"/>
    <w:rsid w:val="00F12263"/>
    <w:rsid w:val="00F127D8"/>
    <w:rsid w:val="00F130FE"/>
    <w:rsid w:val="00F13519"/>
    <w:rsid w:val="00F139CC"/>
    <w:rsid w:val="00F13FE1"/>
    <w:rsid w:val="00F1409D"/>
    <w:rsid w:val="00F14214"/>
    <w:rsid w:val="00F157A9"/>
    <w:rsid w:val="00F15D08"/>
    <w:rsid w:val="00F16F00"/>
    <w:rsid w:val="00F20020"/>
    <w:rsid w:val="00F206D7"/>
    <w:rsid w:val="00F221E3"/>
    <w:rsid w:val="00F246CD"/>
    <w:rsid w:val="00F25128"/>
    <w:rsid w:val="00F25BB6"/>
    <w:rsid w:val="00F25C02"/>
    <w:rsid w:val="00F26B7E"/>
    <w:rsid w:val="00F26D8B"/>
    <w:rsid w:val="00F27A3B"/>
    <w:rsid w:val="00F33216"/>
    <w:rsid w:val="00F33817"/>
    <w:rsid w:val="00F33C6F"/>
    <w:rsid w:val="00F33D6E"/>
    <w:rsid w:val="00F35EB4"/>
    <w:rsid w:val="00F40154"/>
    <w:rsid w:val="00F4042B"/>
    <w:rsid w:val="00F41895"/>
    <w:rsid w:val="00F420D5"/>
    <w:rsid w:val="00F451EA"/>
    <w:rsid w:val="00F45447"/>
    <w:rsid w:val="00F45676"/>
    <w:rsid w:val="00F456C6"/>
    <w:rsid w:val="00F4577B"/>
    <w:rsid w:val="00F45A89"/>
    <w:rsid w:val="00F45EAD"/>
    <w:rsid w:val="00F46496"/>
    <w:rsid w:val="00F474D0"/>
    <w:rsid w:val="00F50179"/>
    <w:rsid w:val="00F515EE"/>
    <w:rsid w:val="00F53391"/>
    <w:rsid w:val="00F5388E"/>
    <w:rsid w:val="00F56511"/>
    <w:rsid w:val="00F571F6"/>
    <w:rsid w:val="00F60AB6"/>
    <w:rsid w:val="00F6124D"/>
    <w:rsid w:val="00F6194E"/>
    <w:rsid w:val="00F61C01"/>
    <w:rsid w:val="00F61FB0"/>
    <w:rsid w:val="00F623AC"/>
    <w:rsid w:val="00F62E8D"/>
    <w:rsid w:val="00F6337D"/>
    <w:rsid w:val="00F6412A"/>
    <w:rsid w:val="00F65893"/>
    <w:rsid w:val="00F66A4A"/>
    <w:rsid w:val="00F67B4B"/>
    <w:rsid w:val="00F7048E"/>
    <w:rsid w:val="00F71E22"/>
    <w:rsid w:val="00F72142"/>
    <w:rsid w:val="00F72AE7"/>
    <w:rsid w:val="00F72B7E"/>
    <w:rsid w:val="00F73FBE"/>
    <w:rsid w:val="00F7421D"/>
    <w:rsid w:val="00F8057E"/>
    <w:rsid w:val="00F809BA"/>
    <w:rsid w:val="00F81671"/>
    <w:rsid w:val="00F833BA"/>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63ED"/>
    <w:rsid w:val="00F966CF"/>
    <w:rsid w:val="00F96B20"/>
    <w:rsid w:val="00F96CAE"/>
    <w:rsid w:val="00F97AD1"/>
    <w:rsid w:val="00F97C99"/>
    <w:rsid w:val="00FA662D"/>
    <w:rsid w:val="00FA6C26"/>
    <w:rsid w:val="00FA73B1"/>
    <w:rsid w:val="00FB07B8"/>
    <w:rsid w:val="00FB0CB9"/>
    <w:rsid w:val="00FB231D"/>
    <w:rsid w:val="00FB45F1"/>
    <w:rsid w:val="00FB4A37"/>
    <w:rsid w:val="00FB4A72"/>
    <w:rsid w:val="00FB54E8"/>
    <w:rsid w:val="00FB7054"/>
    <w:rsid w:val="00FB731C"/>
    <w:rsid w:val="00FC17B7"/>
    <w:rsid w:val="00FC2CB7"/>
    <w:rsid w:val="00FC4090"/>
    <w:rsid w:val="00FC4CDD"/>
    <w:rsid w:val="00FC51FA"/>
    <w:rsid w:val="00FC55B4"/>
    <w:rsid w:val="00FC60FB"/>
    <w:rsid w:val="00FC7894"/>
    <w:rsid w:val="00FC7E84"/>
    <w:rsid w:val="00FD00E6"/>
    <w:rsid w:val="00FD035D"/>
    <w:rsid w:val="00FD09A1"/>
    <w:rsid w:val="00FD09BA"/>
    <w:rsid w:val="00FD193A"/>
    <w:rsid w:val="00FD1A3B"/>
    <w:rsid w:val="00FD21E4"/>
    <w:rsid w:val="00FD27A5"/>
    <w:rsid w:val="00FD2A42"/>
    <w:rsid w:val="00FD2A7C"/>
    <w:rsid w:val="00FD535E"/>
    <w:rsid w:val="00FD59EB"/>
    <w:rsid w:val="00FD5DC5"/>
    <w:rsid w:val="00FD65A6"/>
    <w:rsid w:val="00FD7299"/>
    <w:rsid w:val="00FD7A30"/>
    <w:rsid w:val="00FE1FBE"/>
    <w:rsid w:val="00FE2255"/>
    <w:rsid w:val="00FE2279"/>
    <w:rsid w:val="00FE28D1"/>
    <w:rsid w:val="00FE35D6"/>
    <w:rsid w:val="00FE3901"/>
    <w:rsid w:val="00FE39D3"/>
    <w:rsid w:val="00FE3F52"/>
    <w:rsid w:val="00FE4BCE"/>
    <w:rsid w:val="00FE54AE"/>
    <w:rsid w:val="00FE552B"/>
    <w:rsid w:val="00FE576A"/>
    <w:rsid w:val="00FE746F"/>
    <w:rsid w:val="00FE78C9"/>
    <w:rsid w:val="00FE7E79"/>
    <w:rsid w:val="00FF051E"/>
    <w:rsid w:val="00FF3E7D"/>
    <w:rsid w:val="00FF4999"/>
    <w:rsid w:val="00FF5B99"/>
    <w:rsid w:val="00FF6E1E"/>
    <w:rsid w:val="00FF730C"/>
    <w:rsid w:val="00FF73F4"/>
    <w:rsid w:val="00FF7BCE"/>
    <w:rsid w:val="00FF7CE4"/>
    <w:rsid w:val="00FF7E39"/>
    <w:rsid w:val="03942A31"/>
    <w:rsid w:val="05DB04A3"/>
    <w:rsid w:val="11C04EF9"/>
    <w:rsid w:val="159B2A7F"/>
    <w:rsid w:val="183F0D66"/>
    <w:rsid w:val="1A7F6DAF"/>
    <w:rsid w:val="21347BEE"/>
    <w:rsid w:val="24C85992"/>
    <w:rsid w:val="39394732"/>
    <w:rsid w:val="44B30262"/>
    <w:rsid w:val="472F66E6"/>
    <w:rsid w:val="5486329D"/>
    <w:rsid w:val="54951B71"/>
    <w:rsid w:val="57F4510A"/>
    <w:rsid w:val="5D447851"/>
    <w:rsid w:val="5EF17565"/>
    <w:rsid w:val="610B5D8F"/>
    <w:rsid w:val="63BA6A4B"/>
    <w:rsid w:val="6B735ED1"/>
    <w:rsid w:val="6E625D89"/>
    <w:rsid w:val="78F65C56"/>
    <w:rsid w:val="79816235"/>
    <w:rsid w:val="7B0F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361ECEE787242158EFBBAEF36F25247"/>
        <w:style w:val=""/>
        <w:category>
          <w:name w:val="常规"/>
          <w:gallery w:val="placeholder"/>
        </w:category>
        <w:types>
          <w:type w:val="bbPlcHdr"/>
        </w:types>
        <w:behaviors>
          <w:behavior w:val="content"/>
        </w:behaviors>
        <w:description w:val=""/>
        <w:guid w:val="{2BACB6BA-3A36-4CDC-A35D-9519DA177017}"/>
      </w:docPartPr>
      <w:docPartBody>
        <w:p>
          <w:pPr>
            <w:pStyle w:val="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F0F2F"/>
    <w:rsid w:val="00175C59"/>
    <w:rsid w:val="001D19AF"/>
    <w:rsid w:val="00217A38"/>
    <w:rsid w:val="00243C76"/>
    <w:rsid w:val="002A601E"/>
    <w:rsid w:val="00333688"/>
    <w:rsid w:val="003F036A"/>
    <w:rsid w:val="003F09A1"/>
    <w:rsid w:val="00456FDC"/>
    <w:rsid w:val="004A3E58"/>
    <w:rsid w:val="004F3B30"/>
    <w:rsid w:val="0058092C"/>
    <w:rsid w:val="0058774D"/>
    <w:rsid w:val="00597BD4"/>
    <w:rsid w:val="005A04BE"/>
    <w:rsid w:val="005E68C2"/>
    <w:rsid w:val="00631284"/>
    <w:rsid w:val="006C75B7"/>
    <w:rsid w:val="00725FF3"/>
    <w:rsid w:val="0077538C"/>
    <w:rsid w:val="00872939"/>
    <w:rsid w:val="00903F21"/>
    <w:rsid w:val="009C1A9F"/>
    <w:rsid w:val="009C5E43"/>
    <w:rsid w:val="009E4349"/>
    <w:rsid w:val="00A9122E"/>
    <w:rsid w:val="00A93CF2"/>
    <w:rsid w:val="00AB5582"/>
    <w:rsid w:val="00AE6CE5"/>
    <w:rsid w:val="00B76A41"/>
    <w:rsid w:val="00B861B2"/>
    <w:rsid w:val="00BD76A1"/>
    <w:rsid w:val="00C146D5"/>
    <w:rsid w:val="00C24099"/>
    <w:rsid w:val="00C40F12"/>
    <w:rsid w:val="00CA60E8"/>
    <w:rsid w:val="00CF5C8D"/>
    <w:rsid w:val="00DD28B5"/>
    <w:rsid w:val="00DD5A8E"/>
    <w:rsid w:val="00DE42F6"/>
    <w:rsid w:val="00E91843"/>
    <w:rsid w:val="00EC7280"/>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223B1-3D9B-4C10-B00B-B238D27441B7}">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10</Pages>
  <Words>2473</Words>
  <Characters>2734</Characters>
  <Lines>25</Lines>
  <Paragraphs>7</Paragraphs>
  <TotalTime>0</TotalTime>
  <ScaleCrop>false</ScaleCrop>
  <LinksUpToDate>false</LinksUpToDate>
  <CharactersWithSpaces>2850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2022-05-09T11:40:00Z</dcterms:created>
  <dc:creator>陈圳</dc:creator>
  <dc:description>&lt;config cover="true" show_menu="true" version="1.0.0" doctype="SDKXY"&gt;_x000d_
&lt;/config&gt;</dc:description>
  <cp:lastModifiedBy>CY</cp:lastModifiedBy>
  <cp:lastPrinted>2022-04-14T08:56:00Z</cp:lastPrinted>
  <dcterms:modified xsi:type="dcterms:W3CDTF">2022-05-10T02:20:08Z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ies>
</file>