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cs="黑体"/>
                <w:sz w:val="21"/>
                <w:szCs w:val="21"/>
              </w:rPr>
            </w:pPr>
            <w:r>
              <w:rPr>
                <w:rFonts w:hint="default" w:ascii="Times New Roman" w:hAnsi="Times New Roman" w:eastAsia="黑体" w:cs="Times New Roman"/>
                <w:sz w:val="21"/>
                <w:szCs w:val="21"/>
              </w:rPr>
              <w:t>ICS</w:t>
            </w:r>
            <w:r>
              <w:rPr>
                <w:rFonts w:hint="eastAsia" w:ascii="黑体" w:hAnsi="黑体" w:eastAsia="黑体" w:cs="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cs="黑体"/>
                <w:sz w:val="21"/>
                <w:szCs w:val="21"/>
                <w:lang w:val="en-US" w:eastAsia="zh-CN"/>
              </w:rPr>
            </w:pPr>
            <w:r>
              <w:rPr>
                <w:rFonts w:hint="eastAsia" w:ascii="黑体" w:hAnsi="黑体" w:eastAsia="黑体" w:cs="黑体"/>
                <w:sz w:val="21"/>
                <w:szCs w:val="21"/>
              </w:rPr>
              <w:t>65.020.</w:t>
            </w:r>
            <w:r>
              <w:rPr>
                <w:rFonts w:hint="eastAsia" w:ascii="黑体" w:hAnsi="黑体" w:eastAsia="黑体" w:cs="黑体"/>
                <w:sz w:val="21"/>
                <w:szCs w:val="21"/>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default" w:ascii="Times New Roman" w:hAnsi="Times New Roman" w:eastAsia="黑体" w:cs="Times New Roman"/>
                <w:sz w:val="21"/>
                <w:szCs w:val="21"/>
              </w:rPr>
              <w:t>CCS</w:t>
            </w:r>
            <w:r>
              <w:rPr>
                <w:rFonts w:ascii="Times New Roman" w:hAnsi="Times New Roman" w:eastAsia="黑体"/>
                <w:sz w:val="21"/>
                <w:szCs w:val="21"/>
              </w:rPr>
              <w:t xml:space="preserve">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ind w:left="420" w:right="349"/>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t>PUCIA</w:t>
                  </w:r>
                </w:p>
              </w:tc>
            </w:tr>
          </w:tbl>
          <w:p>
            <w:pPr>
              <w:pStyle w:val="18"/>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ascii="黑体" w:hAnsi="黑体" w:eastAsia="黑体"/>
                <w:sz w:val="21"/>
                <w:szCs w:val="21"/>
              </w:rPr>
              <w:t xml:space="preserve">B </w:t>
            </w:r>
            <w:r>
              <w:rPr>
                <w:rFonts w:hint="eastAsia" w:ascii="黑体" w:hAnsi="黑体" w:eastAsia="黑体"/>
                <w:sz w:val="21"/>
                <w:szCs w:val="21"/>
                <w:lang w:val="en-US" w:eastAsia="zh-CN"/>
              </w:rPr>
              <w:t>31</w:t>
            </w:r>
          </w:p>
        </w:tc>
      </w:tr>
    </w:tbl>
    <w:p>
      <w:pPr>
        <w:pStyle w:val="53"/>
        <w:framePr w:w="9639" w:h="624" w:hRule="exact" w:hSpace="181" w:vSpace="181" w:wrap="around" w:hAnchor="page" w:x="1305" w:y="2269"/>
        <w:rPr>
          <w:rFonts w:ascii="黑体" w:hAnsi="黑体" w:eastAsia="黑体"/>
          <w:b w:val="0"/>
          <w:bCs w:val="0"/>
          <w:w w:val="100"/>
          <w:sz w:val="48"/>
          <w:szCs w:val="48"/>
        </w:rPr>
      </w:pPr>
      <w:bookmarkStart w:id="0" w:name="_Hlk26473981"/>
      <w:r>
        <w:rPr>
          <w:rFonts w:hint="eastAsia" w:ascii="黑体" w:eastAsia="黑体"/>
          <w:b w:val="0"/>
          <w:w w:val="100"/>
          <w:sz w:val="48"/>
        </w:rPr>
        <w:t>蒲江丑柑产业协会团体</w:t>
      </w:r>
      <w:r>
        <w:rPr>
          <w:rFonts w:hint="eastAsia" w:ascii="黑体" w:hAnsi="黑体" w:eastAsia="黑体"/>
          <w:b w:val="0"/>
          <w:bCs w:val="0"/>
          <w:w w:val="100"/>
          <w:sz w:val="48"/>
          <w:szCs w:val="48"/>
        </w:rPr>
        <w:t>标准</w:t>
      </w:r>
    </w:p>
    <w:bookmarkEnd w:id="0"/>
    <w:p>
      <w:pPr>
        <w:pStyle w:val="198"/>
      </w:pPr>
      <w:r>
        <w:t>T/PUCIA</w:t>
      </w:r>
      <w:r>
        <w:rPr>
          <w:rFonts w:hint="eastAsia"/>
        </w:rPr>
        <w:t xml:space="preserve"> 0</w:t>
      </w:r>
      <w:r>
        <w:rPr>
          <w:rFonts w:hint="eastAsia"/>
          <w:lang w:val="en-US" w:eastAsia="zh-CN"/>
        </w:rPr>
        <w:t>09</w:t>
      </w:r>
      <w:r>
        <w:rPr>
          <w:rFonts w:hAnsi="黑体"/>
        </w:rPr>
        <w:t>—</w:t>
      </w:r>
      <w:r>
        <w:rPr>
          <w:rFonts w:hint="eastAsia"/>
        </w:rPr>
        <w:t>2022</w:t>
      </w: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rPr>
          <w:rFonts w:hint="eastAsia"/>
        </w:rPr>
        <w:t>蒲江柑橘</w:t>
      </w:r>
      <w:r>
        <w:rPr>
          <w:rFonts w:hint="eastAsia"/>
          <w:lang w:val="en-US" w:eastAsia="zh-CN"/>
        </w:rPr>
        <w:t>老旧果园改造技术</w:t>
      </w:r>
      <w:r>
        <w:rPr>
          <w:rFonts w:hint="eastAsia"/>
        </w:rPr>
        <w:t>规范</w:t>
      </w:r>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hint="eastAsia" w:ascii="黑体" w:hAnsi="黑体" w:eastAsia="黑体" w:cs="黑体"/>
          <w:szCs w:val="28"/>
        </w:rPr>
      </w:pPr>
      <w:r>
        <w:rPr>
          <w:rFonts w:hint="eastAsia" w:ascii="黑体" w:hAnsi="黑体" w:eastAsia="黑体" w:cs="黑体"/>
          <w:szCs w:val="28"/>
        </w:rPr>
        <w:t>Technical specification for renovation of Pujiang</w:t>
      </w:r>
      <w:r>
        <w:rPr>
          <w:rFonts w:hint="eastAsia" w:ascii="黑体" w:hAnsi="黑体" w:eastAsia="黑体" w:cs="黑体"/>
          <w:szCs w:val="28"/>
          <w:lang w:val="en-US" w:eastAsia="zh-CN"/>
        </w:rPr>
        <w:t xml:space="preserve"> </w:t>
      </w:r>
      <w:r>
        <w:rPr>
          <w:rFonts w:hint="eastAsia" w:ascii="黑体" w:hAnsi="黑体" w:eastAsia="黑体" w:cs="黑体"/>
          <w:szCs w:val="28"/>
        </w:rPr>
        <w:t>citrus old</w:t>
      </w:r>
      <w:r>
        <w:rPr>
          <w:rFonts w:hint="eastAsia" w:ascii="黑体" w:hAnsi="黑体" w:eastAsia="黑体" w:cs="黑体"/>
          <w:szCs w:val="28"/>
          <w:lang w:val="en-US" w:eastAsia="zh-CN"/>
        </w:rPr>
        <w:t xml:space="preserve"> </w:t>
      </w:r>
      <w:r>
        <w:rPr>
          <w:rFonts w:hint="eastAsia" w:ascii="黑体" w:hAnsi="黑体" w:eastAsia="黑体" w:cs="黑体"/>
          <w:szCs w:val="28"/>
        </w:rPr>
        <w:t xml:space="preserve">orchard </w:t>
      </w:r>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（征求意见稿）</w:t>
      </w:r>
    </w:p>
    <w:p>
      <w:pPr>
        <w:pStyle w:val="128"/>
        <w:framePr w:w="9639" w:h="6974" w:hRule="exact" w:wrap="around" w:vAnchor="page" w:hAnchor="page" w:x="1419" w:y="6408" w:anchorLock="1"/>
        <w:spacing w:before="440" w:after="160"/>
        <w:textAlignment w:val="bottom"/>
        <w:rPr>
          <w:sz w:val="24"/>
          <w:szCs w:val="28"/>
        </w:rPr>
      </w:pPr>
    </w:p>
    <w:p>
      <w:pPr>
        <w:pStyle w:val="128"/>
        <w:framePr w:w="9639" w:h="6974" w:hRule="exact" w:wrap="around" w:vAnchor="page" w:hAnchor="page" w:x="1419" w:y="6408" w:anchorLock="1"/>
        <w:spacing w:before="180" w:line="240" w:lineRule="atLeast"/>
        <w:textAlignment w:val="bottom"/>
        <w:rPr>
          <w:sz w:val="21"/>
          <w:szCs w:val="28"/>
        </w:rPr>
      </w:pPr>
    </w:p>
    <w:p>
      <w:pPr>
        <w:pStyle w:val="128"/>
        <w:framePr w:w="9639" w:h="6974" w:hRule="exact" w:wrap="around" w:vAnchor="page" w:hAnchor="page" w:x="1419" w:y="6408" w:anchorLock="1"/>
        <w:spacing w:before="720" w:beforeLines="300" w:after="72" w:afterLines="30" w:line="240" w:lineRule="auto"/>
        <w:textAlignment w:val="bottom"/>
        <w:rPr>
          <w:b/>
          <w:sz w:val="21"/>
          <w:szCs w:val="28"/>
        </w:rPr>
      </w:pPr>
    </w:p>
    <w:p>
      <w:pPr>
        <w:pStyle w:val="196"/>
        <w:framePr w:wrap="around" w:y="14176"/>
      </w:pPr>
      <w:r>
        <w:rPr>
          <w:rFonts w:hint="eastAsia" w:ascii="黑体"/>
        </w:rPr>
        <w:t>2022</w:t>
      </w:r>
      <w:r>
        <w:t xml:space="preserve"> </w:t>
      </w:r>
      <w:r>
        <w:rPr>
          <w:rFonts w:ascii="黑体"/>
        </w:rPr>
        <w:t>-XX</w:t>
      </w:r>
      <w:r>
        <w:t xml:space="preserve"> </w:t>
      </w:r>
      <w:r>
        <w:rPr>
          <w:rFonts w:ascii="黑体"/>
        </w:rPr>
        <w:t>- XX</w:t>
      </w:r>
      <w:r>
        <w:t xml:space="preserve"> </w:t>
      </w:r>
      <w:r>
        <w:rPr>
          <w:rFonts w:hint="eastAsia"/>
        </w:rPr>
        <w:t>发布</w:t>
      </w:r>
    </w:p>
    <w:p>
      <w:pPr>
        <w:pStyle w:val="197"/>
        <w:framePr w:wrap="around" w:y="14176"/>
      </w:pPr>
      <w:r>
        <w:rPr>
          <w:rFonts w:hint="eastAsia" w:ascii="黑体"/>
        </w:rPr>
        <w:t>2022</w:t>
      </w:r>
      <w:r>
        <w:t xml:space="preserve"> </w:t>
      </w:r>
      <w:r>
        <w:rPr>
          <w:rFonts w:ascii="黑体"/>
        </w:rPr>
        <w:t>- XX</w:t>
      </w:r>
      <w:r>
        <w:t xml:space="preserve"> </w:t>
      </w:r>
      <w:r>
        <w:rPr>
          <w:rFonts w:ascii="黑体"/>
        </w:rPr>
        <w:t>-</w:t>
      </w:r>
      <w:r>
        <w:t xml:space="preserve"> </w:t>
      </w:r>
      <w:r>
        <w:rPr>
          <w:rFonts w:ascii="黑体"/>
        </w:rPr>
        <w:t>XX</w:t>
      </w:r>
      <w:r>
        <w:rPr>
          <w:rFonts w:hint="eastAsia"/>
        </w:rPr>
        <w:t>实施</w:t>
      </w:r>
    </w:p>
    <w:p>
      <w:pPr>
        <w:pStyle w:val="154"/>
        <w:framePr w:h="584" w:hRule="exact" w:hSpace="181" w:vSpace="181" w:wrap="around" w:y="14800"/>
        <w:rPr>
          <w:rFonts w:hAnsi="黑体"/>
        </w:rPr>
      </w:pPr>
      <w:r>
        <w:rPr>
          <w:rFonts w:hint="eastAsia" w:hAnsi="黑体"/>
          <w:w w:val="100"/>
          <w:sz w:val="28"/>
        </w:rPr>
        <w:t>蒲江丑柑产业协会</w:t>
      </w:r>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360"/>
      </w:pPr>
      <w:bookmarkStart w:id="1" w:name="BookMark1"/>
      <w:r>
        <w:rPr>
          <w:rFonts w:hint="eastAsia"/>
          <w:spacing w:val="320"/>
        </w:rPr>
        <w:t>目</w:t>
      </w:r>
      <w:r>
        <w:rPr>
          <w:rFonts w:hint="eastAsia"/>
        </w:rPr>
        <w:t>次</w:t>
      </w:r>
    </w:p>
    <w:p>
      <w:pPr>
        <w:pStyle w:val="19"/>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_Toc23404 </w:instrText>
      </w:r>
      <w:r>
        <w:fldChar w:fldCharType="separate"/>
      </w:r>
      <w:r>
        <w:rPr>
          <w:rFonts w:hint="eastAsia"/>
          <w:lang w:val="en-US" w:eastAsia="zh-CN"/>
        </w:rPr>
        <w:t>前</w:t>
      </w:r>
      <w:r>
        <w:t>言</w:t>
      </w:r>
      <w:r>
        <w:tab/>
      </w:r>
      <w:r>
        <w:fldChar w:fldCharType="begin"/>
      </w:r>
      <w:r>
        <w:instrText xml:space="preserve"> PAGEREF _Toc23404 \h </w:instrText>
      </w:r>
      <w:r>
        <w:fldChar w:fldCharType="separate"/>
      </w:r>
      <w:r>
        <w:t>III</w:t>
      </w:r>
      <w:r>
        <w:fldChar w:fldCharType="end"/>
      </w:r>
      <w:r>
        <w:fldChar w:fldCharType="end"/>
      </w:r>
    </w:p>
    <w:p>
      <w:pPr>
        <w:pStyle w:val="19"/>
        <w:tabs>
          <w:tab w:val="right" w:leader="dot" w:pos="9354"/>
        </w:tabs>
      </w:pPr>
      <w:r>
        <w:fldChar w:fldCharType="begin"/>
      </w:r>
      <w:r>
        <w:instrText xml:space="preserve"> HYPERLINK \l _Toc160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_Toc160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_Toc4316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_Toc4316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_Toc6483 </w:instrText>
      </w:r>
      <w:r>
        <w:fldChar w:fldCharType="separate"/>
      </w:r>
      <w:r>
        <w:rPr>
          <w:rFonts w:hint="eastAsia" w:ascii="黑体" w:eastAsia="黑体"/>
          <w:i w:val="0"/>
        </w:rPr>
        <w:t xml:space="preserve">3 </w:t>
      </w:r>
      <w:r>
        <w:rPr>
          <w:rFonts w:hint="eastAsia"/>
        </w:rPr>
        <w:t>术语和定义</w:t>
      </w:r>
      <w:r>
        <w:tab/>
      </w:r>
      <w:r>
        <w:fldChar w:fldCharType="begin"/>
      </w:r>
      <w:r>
        <w:instrText xml:space="preserve"> PAGEREF _Toc6483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_Toc27224 </w:instrText>
      </w:r>
      <w:r>
        <w:fldChar w:fldCharType="separate"/>
      </w:r>
      <w:r>
        <w:rPr>
          <w:rFonts w:hint="eastAsia" w:ascii="黑体" w:eastAsia="黑体"/>
          <w:i w:val="0"/>
        </w:rPr>
        <w:t xml:space="preserve">4 </w:t>
      </w:r>
      <w:r>
        <w:rPr>
          <w:rFonts w:hint="eastAsia"/>
          <w:lang w:val="en-US" w:eastAsia="zh-CN"/>
        </w:rPr>
        <w:t>基础设施改造</w:t>
      </w:r>
      <w:r>
        <w:tab/>
      </w:r>
      <w:r>
        <w:fldChar w:fldCharType="begin"/>
      </w:r>
      <w:r>
        <w:instrText xml:space="preserve"> PAGEREF _Toc27224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_Toc31750 </w:instrText>
      </w:r>
      <w:r>
        <w:fldChar w:fldCharType="separate"/>
      </w:r>
      <w:r>
        <w:rPr>
          <w:rFonts w:hint="eastAsia" w:ascii="黑体" w:eastAsia="黑体"/>
          <w:i w:val="0"/>
        </w:rPr>
        <w:t xml:space="preserve">5 </w:t>
      </w:r>
      <w:r>
        <w:rPr>
          <w:rFonts w:hint="eastAsia"/>
          <w:lang w:val="en-US" w:eastAsia="zh-CN"/>
        </w:rPr>
        <w:t>密度改造</w:t>
      </w:r>
      <w:r>
        <w:tab/>
      </w:r>
      <w:r>
        <w:fldChar w:fldCharType="begin"/>
      </w:r>
      <w:r>
        <w:instrText xml:space="preserve"> PAGEREF _Toc31750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_Toc24340 </w:instrText>
      </w:r>
      <w:r>
        <w:fldChar w:fldCharType="separate"/>
      </w:r>
      <w:r>
        <w:rPr>
          <w:rFonts w:hint="eastAsia" w:ascii="黑体" w:eastAsia="黑体"/>
          <w:i w:val="0"/>
          <w:lang w:val="en-US" w:eastAsia="zh-CN"/>
        </w:rPr>
        <w:t xml:space="preserve">6 </w:t>
      </w:r>
      <w:r>
        <w:rPr>
          <w:rFonts w:hint="eastAsia"/>
          <w:lang w:val="en-US" w:eastAsia="zh-CN"/>
        </w:rPr>
        <w:t>树体改造</w:t>
      </w:r>
      <w:r>
        <w:tab/>
      </w:r>
      <w:r>
        <w:fldChar w:fldCharType="begin"/>
      </w:r>
      <w:r>
        <w:instrText xml:space="preserve"> PAGEREF _Toc24340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_Toc21948 </w:instrText>
      </w:r>
      <w:r>
        <w:fldChar w:fldCharType="separate"/>
      </w:r>
      <w:r>
        <w:rPr>
          <w:rFonts w:hint="eastAsia" w:ascii="黑体" w:eastAsia="黑体"/>
          <w:i w:val="0"/>
          <w:lang w:val="en-US" w:eastAsia="zh-CN"/>
        </w:rPr>
        <w:t xml:space="preserve">7 </w:t>
      </w:r>
      <w:r>
        <w:rPr>
          <w:rFonts w:hint="eastAsia"/>
          <w:lang w:val="en-US" w:eastAsia="zh-CN"/>
        </w:rPr>
        <w:t>高接换种</w:t>
      </w:r>
      <w:r>
        <w:tab/>
      </w:r>
      <w:r>
        <w:fldChar w:fldCharType="begin"/>
      </w:r>
      <w:r>
        <w:instrText xml:space="preserve"> PAGEREF _Toc21948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_Toc22411 </w:instrText>
      </w:r>
      <w:r>
        <w:fldChar w:fldCharType="separate"/>
      </w:r>
      <w:r>
        <w:rPr>
          <w:rFonts w:hint="eastAsia" w:ascii="黑体" w:eastAsia="黑体"/>
          <w:i w:val="0"/>
          <w:lang w:val="en-US" w:eastAsia="zh-CN"/>
        </w:rPr>
        <w:t xml:space="preserve">8 </w:t>
      </w:r>
      <w:r>
        <w:rPr>
          <w:rFonts w:hint="eastAsia"/>
          <w:lang w:val="en-US" w:eastAsia="zh-CN"/>
        </w:rPr>
        <w:t>土壤改良</w:t>
      </w:r>
      <w:r>
        <w:tab/>
      </w:r>
      <w:r>
        <w:fldChar w:fldCharType="begin"/>
      </w:r>
      <w:r>
        <w:instrText xml:space="preserve"> PAGEREF _Toc22411 \h </w:instrText>
      </w:r>
      <w:r>
        <w:fldChar w:fldCharType="separate"/>
      </w:r>
      <w:r>
        <w:t>4</w:t>
      </w:r>
      <w:r>
        <w:fldChar w:fldCharType="end"/>
      </w:r>
      <w:r>
        <w:fldChar w:fldCharType="end"/>
      </w:r>
    </w:p>
    <w:p>
      <w:pPr>
        <w:pStyle w:val="19"/>
        <w:tabs>
          <w:tab w:val="right" w:leader="dot" w:pos="9354"/>
        </w:tabs>
      </w:pPr>
      <w:r>
        <w:fldChar w:fldCharType="begin"/>
      </w:r>
      <w:r>
        <w:instrText xml:space="preserve"> HYPERLINK \l _Toc20784 </w:instrText>
      </w:r>
      <w:r>
        <w:fldChar w:fldCharType="separate"/>
      </w:r>
      <w:r>
        <w:rPr>
          <w:rFonts w:hint="eastAsia" w:ascii="黑体" w:eastAsia="黑体"/>
          <w:i w:val="0"/>
          <w:lang w:val="en-US" w:eastAsia="zh-CN"/>
        </w:rPr>
        <w:t xml:space="preserve">9 </w:t>
      </w:r>
      <w:r>
        <w:rPr>
          <w:rFonts w:hint="eastAsia"/>
          <w:lang w:val="en-US" w:eastAsia="zh-CN"/>
        </w:rPr>
        <w:t>病虫害防治</w:t>
      </w:r>
      <w:r>
        <w:tab/>
      </w:r>
      <w:r>
        <w:fldChar w:fldCharType="begin"/>
      </w:r>
      <w:r>
        <w:instrText xml:space="preserve"> PAGEREF _Toc20784 \h </w:instrText>
      </w:r>
      <w:r>
        <w:fldChar w:fldCharType="separate"/>
      </w:r>
      <w:r>
        <w:t>4</w:t>
      </w:r>
      <w:r>
        <w:fldChar w:fldCharType="end"/>
      </w:r>
      <w:r>
        <w:fldChar w:fldCharType="end"/>
      </w:r>
    </w:p>
    <w:p>
      <w:pPr>
        <w:pStyle w:val="94"/>
        <w:spacing w:after="36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1"/>
    <w:p>
      <w:pPr>
        <w:pStyle w:val="92"/>
        <w:spacing w:after="360"/>
      </w:pPr>
      <w:bookmarkStart w:id="2" w:name="_Toc23404"/>
      <w:bookmarkStart w:id="3" w:name="BookMark2"/>
      <w:r>
        <w:rPr>
          <w:spacing w:val="320"/>
        </w:rPr>
        <w:t>前</w:t>
      </w:r>
      <w:r>
        <w:t>言</w:t>
      </w:r>
      <w:bookmarkEnd w:id="2"/>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本文件由蒲江丑柑产业协会提出</w:t>
      </w:r>
      <w:r>
        <w:rPr>
          <w:rFonts w:hint="eastAsia"/>
          <w:lang w:val="en-US" w:eastAsia="zh-CN"/>
        </w:rPr>
        <w:t>并归口</w:t>
      </w:r>
      <w:r>
        <w:rPr>
          <w:rFonts w:hint="eastAsia"/>
        </w:rPr>
        <w:t>。</w:t>
      </w:r>
    </w:p>
    <w:p>
      <w:pPr>
        <w:pStyle w:val="59"/>
        <w:ind w:firstLine="420"/>
      </w:pPr>
      <w:r>
        <w:rPr>
          <w:rFonts w:hint="eastAsia"/>
        </w:rPr>
        <w:t>本文件起草单位：蒲江丑柑产业协会、蒲江县农业农村局、四川省农业标准化技术委员会、四川万豪企业管理咨询有限公司。</w:t>
      </w:r>
    </w:p>
    <w:p>
      <w:pPr>
        <w:pStyle w:val="59"/>
        <w:ind w:firstLine="420"/>
      </w:pPr>
      <w:r>
        <w:rPr>
          <w:rFonts w:hint="eastAsia"/>
        </w:rPr>
        <w:t>本文件主要起草人：徐建、雷清良、钟军、唐翠芳、胡秀芝、靳西彪、万春美、高烽焱、曾亮、程帅。</w:t>
      </w:r>
    </w:p>
    <w:p>
      <w:pPr>
        <w:pStyle w:val="59"/>
        <w:ind w:firstLine="420"/>
      </w:pPr>
    </w:p>
    <w:p>
      <w:pPr>
        <w:pStyle w:val="59"/>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start="3"/>
          <w:cols w:space="425" w:num="1"/>
          <w:formProt w:val="0"/>
          <w:docGrid w:linePitch="312" w:charSpace="0"/>
        </w:sectPr>
      </w:pPr>
    </w:p>
    <w:bookmarkEnd w:id="3"/>
    <w:p>
      <w:pPr>
        <w:spacing w:line="20" w:lineRule="exact"/>
        <w:jc w:val="center"/>
        <w:rPr>
          <w:rFonts w:ascii="黑体" w:hAnsi="黑体" w:eastAsia="黑体"/>
          <w:sz w:val="32"/>
          <w:szCs w:val="32"/>
        </w:rPr>
      </w:pPr>
      <w:bookmarkStart w:id="4" w:name="BookMark4"/>
    </w:p>
    <w:p>
      <w:pPr>
        <w:spacing w:line="20" w:lineRule="exact"/>
        <w:jc w:val="center"/>
        <w:rPr>
          <w:rFonts w:ascii="黑体" w:hAnsi="黑体" w:eastAsia="黑体"/>
          <w:sz w:val="32"/>
          <w:szCs w:val="32"/>
        </w:rPr>
      </w:pPr>
    </w:p>
    <w:sdt>
      <w:sdtPr>
        <w:tag w:val="NEW_STAND_NAME"/>
        <w:id w:val="595910757"/>
        <w:lock w:val="sdtLocked"/>
        <w:placeholder>
          <w:docPart w:val="7B7675CCFB074D529C391823AC2DAA98"/>
        </w:placeholder>
      </w:sdtPr>
      <w:sdtContent>
        <w:sdt>
          <w:sdtPr>
            <w:tag w:val="NEW_STAND_NAME"/>
            <w:id w:val="-1041903814"/>
            <w:placeholder>
              <w:docPart w:val="0FF4879392B04B938B08D4E54996C184"/>
            </w:placeholder>
          </w:sdtPr>
          <w:sdtContent>
            <w:p>
              <w:pPr>
                <w:pStyle w:val="180"/>
                <w:spacing w:before="240" w:beforeLines="100" w:after="528" w:afterLines="220"/>
              </w:pPr>
              <w:bookmarkStart w:id="5" w:name="NEW_STAND_NAME"/>
              <w:r>
                <w:rPr>
                  <w:rFonts w:hint="eastAsia"/>
                </w:rPr>
                <w:t>蒲江柑橘</w:t>
              </w:r>
              <w:r>
                <w:rPr>
                  <w:rFonts w:hint="eastAsia"/>
                  <w:lang w:eastAsia="zh-CN"/>
                </w:rPr>
                <w:t>老旧果园改造技术规范</w:t>
              </w:r>
            </w:p>
          </w:sdtContent>
        </w:sdt>
      </w:sdtContent>
    </w:sdt>
    <w:bookmarkEnd w:id="5"/>
    <w:p>
      <w:pPr>
        <w:pStyle w:val="107"/>
        <w:numPr>
          <w:ilvl w:val="1"/>
          <w:numId w:val="31"/>
        </w:numPr>
        <w:spacing w:before="240" w:after="240"/>
      </w:pPr>
      <w:bookmarkStart w:id="6" w:name="_Toc17233325"/>
      <w:bookmarkStart w:id="7" w:name="_Toc24884218"/>
      <w:bookmarkStart w:id="8" w:name="_Toc99553429"/>
      <w:bookmarkStart w:id="9" w:name="_Toc17233333"/>
      <w:bookmarkStart w:id="10" w:name="_Toc26648465"/>
      <w:bookmarkStart w:id="11" w:name="_Toc65162529"/>
      <w:bookmarkStart w:id="12" w:name="_Toc26986530"/>
      <w:bookmarkStart w:id="13" w:name="_Toc26718930"/>
      <w:bookmarkStart w:id="14" w:name="_Toc24884211"/>
      <w:bookmarkStart w:id="15" w:name="_Toc26986771"/>
      <w:bookmarkStart w:id="16" w:name="_Toc160"/>
      <w:r>
        <w:rPr>
          <w:rFonts w:hint="eastAsia"/>
        </w:rPr>
        <w:t>范围</w:t>
      </w:r>
      <w:bookmarkEnd w:id="6"/>
      <w:bookmarkEnd w:id="7"/>
      <w:bookmarkEnd w:id="8"/>
      <w:bookmarkEnd w:id="9"/>
      <w:bookmarkEnd w:id="10"/>
      <w:bookmarkEnd w:id="11"/>
      <w:bookmarkEnd w:id="12"/>
      <w:bookmarkEnd w:id="13"/>
      <w:bookmarkEnd w:id="14"/>
      <w:bookmarkEnd w:id="15"/>
      <w:bookmarkEnd w:id="16"/>
    </w:p>
    <w:p>
      <w:pPr>
        <w:pStyle w:val="59"/>
        <w:ind w:firstLine="420"/>
      </w:pPr>
      <w:bookmarkStart w:id="17" w:name="_Toc26648466"/>
      <w:bookmarkStart w:id="18" w:name="_Toc24884219"/>
      <w:bookmarkStart w:id="19" w:name="_Toc17233326"/>
      <w:bookmarkStart w:id="20" w:name="_Toc17233334"/>
      <w:bookmarkStart w:id="21" w:name="_Toc24884212"/>
      <w:r>
        <w:rPr>
          <w:rFonts w:hint="eastAsia"/>
        </w:rPr>
        <w:t>本文件规定了蒲江柑橘老旧果园基础设施改造、密度改造、树体改造、高接换种和土壤改良的要求。</w:t>
      </w:r>
    </w:p>
    <w:p>
      <w:pPr>
        <w:pStyle w:val="59"/>
        <w:ind w:firstLine="420"/>
      </w:pPr>
      <w:r>
        <w:rPr>
          <w:rFonts w:hint="eastAsia"/>
        </w:rPr>
        <w:t>本文件适用于四川省成都市蒲江县柑橘种植区老旧果园改造。</w:t>
      </w:r>
    </w:p>
    <w:p>
      <w:pPr>
        <w:pStyle w:val="107"/>
        <w:numPr>
          <w:ilvl w:val="1"/>
          <w:numId w:val="31"/>
        </w:numPr>
        <w:spacing w:before="240" w:after="240"/>
      </w:pPr>
      <w:bookmarkStart w:id="22" w:name="_Toc65162530"/>
      <w:bookmarkStart w:id="23" w:name="_Toc26986531"/>
      <w:bookmarkStart w:id="24" w:name="_Toc26986772"/>
      <w:bookmarkStart w:id="25" w:name="_Toc26718931"/>
      <w:bookmarkStart w:id="26" w:name="_Toc99553430"/>
      <w:bookmarkStart w:id="27" w:name="_Toc4316"/>
      <w:r>
        <w:rPr>
          <w:rFonts w:hint="eastAsia"/>
        </w:rPr>
        <w:t>规范性引用文件</w:t>
      </w:r>
      <w:bookmarkEnd w:id="17"/>
      <w:bookmarkEnd w:id="18"/>
      <w:bookmarkEnd w:id="19"/>
      <w:bookmarkEnd w:id="20"/>
      <w:bookmarkEnd w:id="21"/>
      <w:bookmarkEnd w:id="22"/>
      <w:bookmarkEnd w:id="23"/>
      <w:bookmarkEnd w:id="24"/>
      <w:bookmarkEnd w:id="25"/>
      <w:bookmarkEnd w:id="26"/>
      <w:bookmarkEnd w:id="27"/>
    </w:p>
    <w:sdt>
      <w:sdtPr>
        <w:rPr>
          <w:rFonts w:hint="eastAsia"/>
        </w:rPr>
        <w:id w:val="1605609436"/>
        <w:placeholder>
          <w:docPart w:val="A7DABD9CA6F647F2ACC2488CD1BD45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rPr>
              <w:rFonts w:ascii="Calibri" w:hAnsi="Calibri"/>
              <w:kern w:val="2"/>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bookmarkStart w:id="28" w:name="_Toc65162531"/>
      <w:bookmarkStart w:id="29" w:name="_Toc99553431"/>
      <w:r>
        <w:rPr>
          <w:rFonts w:hint="eastAsia"/>
        </w:rPr>
        <w:t>T/PUCIA 004  蒲江柑橘绿色防控技术规程</w:t>
      </w:r>
    </w:p>
    <w:p>
      <w:pPr>
        <w:pStyle w:val="59"/>
        <w:ind w:firstLine="420"/>
      </w:pPr>
      <w:r>
        <w:rPr>
          <w:rFonts w:hint="eastAsia"/>
        </w:rPr>
        <w:t>T/PUCIA 006  蒲江柑橘、猕猴桃、茶叶土壤改良技术规程</w:t>
      </w:r>
    </w:p>
    <w:p>
      <w:pPr>
        <w:pStyle w:val="107"/>
        <w:numPr>
          <w:ilvl w:val="1"/>
          <w:numId w:val="31"/>
        </w:numPr>
        <w:spacing w:before="240" w:after="240"/>
      </w:pPr>
      <w:bookmarkStart w:id="30" w:name="_Toc6483"/>
      <w:r>
        <w:rPr>
          <w:rFonts w:hint="eastAsia"/>
        </w:rPr>
        <w:t>术语和定义</w:t>
      </w:r>
      <w:bookmarkEnd w:id="28"/>
      <w:bookmarkEnd w:id="29"/>
      <w:bookmarkEnd w:id="30"/>
    </w:p>
    <w:p>
      <w:pPr>
        <w:pStyle w:val="59"/>
        <w:ind w:firstLine="420"/>
      </w:pPr>
      <w:bookmarkStart w:id="31" w:name="_Toc64994210"/>
      <w:bookmarkEnd w:id="31"/>
      <w:bookmarkStart w:id="32" w:name="_Toc26986532"/>
      <w:bookmarkEnd w:id="32"/>
      <w:r>
        <w:rPr>
          <w:rFonts w:hint="eastAsia"/>
          <w:lang w:eastAsia="zh-CN"/>
        </w:rPr>
        <w:t>本</w:t>
      </w:r>
      <w:r>
        <w:rPr>
          <w:rFonts w:hint="eastAsia"/>
        </w:rPr>
        <w:t>文件</w:t>
      </w:r>
      <w:r>
        <w:rPr>
          <w:rFonts w:hint="eastAsia"/>
          <w:lang w:eastAsia="zh-CN"/>
        </w:rPr>
        <w:t>没有需要界定的术语和定义</w:t>
      </w:r>
      <w:r>
        <w:rPr>
          <w:rFonts w:hint="eastAsia"/>
        </w:rPr>
        <w:t>。</w:t>
      </w:r>
    </w:p>
    <w:p>
      <w:pPr>
        <w:pStyle w:val="107"/>
        <w:numPr>
          <w:ilvl w:val="1"/>
          <w:numId w:val="31"/>
        </w:numPr>
        <w:spacing w:before="240" w:after="240"/>
      </w:pPr>
      <w:bookmarkStart w:id="33" w:name="_Toc65140081"/>
      <w:bookmarkEnd w:id="33"/>
      <w:bookmarkStart w:id="34" w:name="_Toc100838844"/>
      <w:bookmarkEnd w:id="34"/>
      <w:bookmarkStart w:id="35" w:name="_Toc99553432"/>
      <w:bookmarkEnd w:id="35"/>
      <w:bookmarkStart w:id="36" w:name="_Toc65152648"/>
      <w:bookmarkEnd w:id="36"/>
      <w:bookmarkStart w:id="37" w:name="_Toc99618072"/>
      <w:bookmarkEnd w:id="37"/>
      <w:bookmarkStart w:id="38" w:name="_Toc100838845"/>
      <w:bookmarkEnd w:id="38"/>
      <w:bookmarkStart w:id="39" w:name="_Toc65162532"/>
      <w:bookmarkEnd w:id="39"/>
      <w:bookmarkStart w:id="40" w:name="_Toc27224"/>
      <w:bookmarkStart w:id="41" w:name="_Toc65162533"/>
      <w:r>
        <w:rPr>
          <w:rFonts w:hint="eastAsia"/>
          <w:lang w:val="en-US" w:eastAsia="zh-CN"/>
        </w:rPr>
        <w:t>基础设施改造</w:t>
      </w:r>
      <w:bookmarkEnd w:id="40"/>
    </w:p>
    <w:p>
      <w:pPr>
        <w:pStyle w:val="108"/>
        <w:numPr>
          <w:ilvl w:val="2"/>
          <w:numId w:val="31"/>
        </w:numPr>
        <w:spacing w:before="120" w:after="120"/>
      </w:pPr>
      <w:bookmarkStart w:id="42" w:name="_Toc13885"/>
      <w:r>
        <w:rPr>
          <w:rFonts w:hint="eastAsia"/>
          <w:lang w:val="en-US" w:eastAsia="zh-CN"/>
        </w:rPr>
        <w:t>水利设施</w:t>
      </w:r>
      <w:bookmarkEnd w:id="42"/>
    </w:p>
    <w:p>
      <w:pPr>
        <w:pStyle w:val="68"/>
        <w:keepNext w:val="0"/>
        <w:keepLines w:val="0"/>
        <w:pageBreakBefore w:val="0"/>
        <w:widowControl w:val="0"/>
        <w:numPr>
          <w:ilvl w:val="3"/>
          <w:numId w:val="31"/>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rPr>
      </w:pPr>
      <w:r>
        <w:rPr>
          <w:rFonts w:hint="eastAsia" w:ascii="黑体" w:hAnsi="黑体" w:eastAsia="黑体" w:cs="黑体"/>
          <w:lang w:val="en-US" w:eastAsia="zh-CN"/>
        </w:rPr>
        <w:t>灌水设施</w:t>
      </w:r>
    </w:p>
    <w:p>
      <w:pPr>
        <w:pStyle w:val="97"/>
        <w:keepNext w:val="0"/>
        <w:keepLines w:val="0"/>
        <w:pageBreakBefore w:val="0"/>
        <w:widowControl/>
        <w:numPr>
          <w:ilvl w:val="4"/>
          <w:numId w:val="31"/>
        </w:numPr>
        <w:kinsoku/>
        <w:wordWrap/>
        <w:overflowPunct/>
        <w:topLinePunct w:val="0"/>
        <w:autoSpaceDE/>
        <w:autoSpaceDN/>
        <w:bidi w:val="0"/>
        <w:adjustRightInd/>
        <w:snapToGrid/>
        <w:spacing w:before="120" w:after="120"/>
        <w:ind w:left="0"/>
        <w:textAlignment w:val="auto"/>
        <w:rPr>
          <w:rFonts w:hint="default"/>
          <w:lang w:val="en-US"/>
        </w:rPr>
      </w:pPr>
      <w:r>
        <w:rPr>
          <w:rFonts w:hint="eastAsia"/>
          <w:lang w:val="en-US" w:eastAsia="zh-CN"/>
        </w:rPr>
        <w:t>蓄水设施</w:t>
      </w:r>
    </w:p>
    <w:p>
      <w:pPr>
        <w:pStyle w:val="59"/>
        <w:ind w:firstLine="0" w:firstLineChars="0"/>
      </w:pPr>
      <w:bookmarkStart w:id="43" w:name="_Toc100838849"/>
      <w:r>
        <w:rPr>
          <w:rFonts w:hint="eastAsia" w:ascii="黑体" w:hAnsi="黑体" w:eastAsia="黑体"/>
        </w:rPr>
        <w:t>4.1.1.1.1</w:t>
      </w:r>
      <w:r>
        <w:rPr>
          <w:rFonts w:hint="eastAsia"/>
        </w:rPr>
        <w:t xml:space="preserve">  选址</w:t>
      </w:r>
      <w:r>
        <w:t>应根据地形在果园内或果园附近的低洼处，或者利用现有堰塘、水库建设</w:t>
      </w:r>
      <w:r>
        <w:rPr>
          <w:rFonts w:hint="eastAsia"/>
        </w:rPr>
        <w:t>。</w:t>
      </w:r>
    </w:p>
    <w:p>
      <w:pPr>
        <w:pStyle w:val="59"/>
        <w:ind w:firstLine="0" w:firstLineChars="0"/>
      </w:pPr>
      <w:r>
        <w:rPr>
          <w:rFonts w:hint="eastAsia" w:ascii="黑体" w:hAnsi="黑体" w:eastAsia="黑体"/>
        </w:rPr>
        <w:t>4.1.1.1.2</w:t>
      </w:r>
      <w:r>
        <w:rPr>
          <w:rFonts w:hint="eastAsia"/>
        </w:rPr>
        <w:t xml:space="preserve">  </w:t>
      </w:r>
      <w:r>
        <w:t>蓄水池的大小和形状根据地形和来水量以及果园需水量来确定，按每666.7</w:t>
      </w:r>
      <w:r>
        <w:rPr>
          <w:rFonts w:hint="eastAsia"/>
        </w:rPr>
        <w:t xml:space="preserve"> </w:t>
      </w:r>
      <w:r>
        <w:t>m</w:t>
      </w:r>
      <w:r>
        <w:rPr>
          <w:rFonts w:hint="eastAsia"/>
          <w:vertAlign w:val="superscript"/>
        </w:rPr>
        <w:t>2</w:t>
      </w:r>
      <w:r>
        <w:t>柑橘园需水20</w:t>
      </w:r>
      <w:r>
        <w:rPr>
          <w:rFonts w:hint="eastAsia"/>
        </w:rPr>
        <w:t xml:space="preserve"> </w:t>
      </w:r>
      <w:r>
        <w:t>m</w:t>
      </w:r>
      <w:r>
        <w:rPr>
          <w:rFonts w:hint="eastAsia"/>
          <w:vertAlign w:val="superscript"/>
        </w:rPr>
        <w:t>3</w:t>
      </w:r>
      <w:r>
        <w:t>来</w:t>
      </w:r>
      <w:r>
        <w:rPr>
          <w:rFonts w:hint="eastAsia"/>
        </w:rPr>
        <w:t>进行设计。</w:t>
      </w:r>
    </w:p>
    <w:p>
      <w:pPr>
        <w:pStyle w:val="59"/>
        <w:ind w:firstLine="0" w:firstLineChars="0"/>
      </w:pPr>
      <w:r>
        <w:rPr>
          <w:rFonts w:hint="eastAsia" w:ascii="黑体" w:hAnsi="黑体" w:eastAsia="黑体"/>
        </w:rPr>
        <w:t>4.1.1.1.3</w:t>
      </w:r>
      <w:r>
        <w:rPr>
          <w:rFonts w:hint="eastAsia"/>
        </w:rPr>
        <w:t xml:space="preserve">  </w:t>
      </w:r>
      <w:r>
        <w:t>在低洼地建设的蓄水池</w:t>
      </w:r>
      <w:r>
        <w:rPr>
          <w:rFonts w:hint="eastAsia"/>
        </w:rPr>
        <w:t>宜</w:t>
      </w:r>
      <w:r>
        <w:t>为土坝或水泥坝</w:t>
      </w:r>
      <w:r>
        <w:rPr>
          <w:rFonts w:hint="eastAsia"/>
        </w:rPr>
        <w:t>；</w:t>
      </w:r>
      <w:r>
        <w:t>山地果园或依靠提水灌溉的果园，在园内建设多个小型蓄水池，蓄水量容量10</w:t>
      </w:r>
      <w:r>
        <w:rPr>
          <w:rFonts w:hint="eastAsia"/>
        </w:rPr>
        <w:t xml:space="preserve"> </w:t>
      </w:r>
      <w:r>
        <w:t>m</w:t>
      </w:r>
      <w:r>
        <w:rPr>
          <w:rFonts w:hint="eastAsia"/>
          <w:vertAlign w:val="superscript"/>
        </w:rPr>
        <w:t>3</w:t>
      </w:r>
      <w:r>
        <w:rPr>
          <w:rFonts w:hint="eastAsia"/>
        </w:rPr>
        <w:t>～</w:t>
      </w:r>
      <w:r>
        <w:t>100</w:t>
      </w:r>
      <w:r>
        <w:rPr>
          <w:rFonts w:hint="eastAsia"/>
        </w:rPr>
        <w:t xml:space="preserve"> </w:t>
      </w:r>
      <w:r>
        <w:t>m</w:t>
      </w:r>
      <w:r>
        <w:rPr>
          <w:rFonts w:hint="eastAsia"/>
          <w:vertAlign w:val="superscript"/>
        </w:rPr>
        <w:t>3</w:t>
      </w:r>
      <w:r>
        <w:t>，圆形或方形。</w:t>
      </w:r>
    </w:p>
    <w:p>
      <w:pPr>
        <w:pStyle w:val="97"/>
        <w:numPr>
          <w:ilvl w:val="4"/>
          <w:numId w:val="31"/>
        </w:numPr>
        <w:spacing w:before="120" w:after="120"/>
        <w:ind w:left="0"/>
        <w:rPr>
          <w:rFonts w:hint="default"/>
          <w:lang w:val="en-US" w:eastAsia="zh-CN"/>
        </w:rPr>
      </w:pPr>
      <w:r>
        <w:rPr>
          <w:rFonts w:hint="eastAsia"/>
          <w:lang w:val="en-US" w:eastAsia="zh-CN"/>
        </w:rPr>
        <w:t>提水设施</w:t>
      </w:r>
    </w:p>
    <w:p>
      <w:pPr>
        <w:pStyle w:val="59"/>
        <w:ind w:firstLine="420"/>
      </w:pPr>
      <w:r>
        <w:t>平地、缓坡地果园，</w:t>
      </w:r>
      <w:r>
        <w:rPr>
          <w:rFonts w:hint="eastAsia"/>
        </w:rPr>
        <w:t>宜配备</w:t>
      </w:r>
      <w:r>
        <w:t>小型或移动提水设施，规模性果园可</w:t>
      </w:r>
      <w:r>
        <w:rPr>
          <w:rFonts w:hint="eastAsia"/>
        </w:rPr>
        <w:t>配备</w:t>
      </w:r>
      <w:r>
        <w:t>大型的提水设施。</w:t>
      </w:r>
    </w:p>
    <w:p>
      <w:pPr>
        <w:pStyle w:val="97"/>
        <w:numPr>
          <w:ilvl w:val="4"/>
          <w:numId w:val="31"/>
        </w:numPr>
        <w:spacing w:before="120" w:after="120"/>
        <w:ind w:left="0"/>
        <w:rPr>
          <w:rFonts w:hint="default"/>
          <w:lang w:val="en-US" w:eastAsia="zh-CN"/>
        </w:rPr>
      </w:pPr>
      <w:r>
        <w:rPr>
          <w:rFonts w:hint="eastAsia"/>
          <w:lang w:val="en-US" w:eastAsia="zh-CN"/>
        </w:rPr>
        <w:t>灌溉渠系</w:t>
      </w:r>
    </w:p>
    <w:p>
      <w:pPr>
        <w:pStyle w:val="59"/>
        <w:ind w:firstLine="420"/>
      </w:pPr>
      <w:r>
        <w:rPr>
          <w:rFonts w:hint="eastAsia"/>
        </w:rPr>
        <w:t>宜</w:t>
      </w:r>
      <w:r>
        <w:t>建设水源地至果园大型蓄水池的引水渠系，</w:t>
      </w:r>
      <w:r>
        <w:rPr>
          <w:rFonts w:hint="eastAsia"/>
        </w:rPr>
        <w:t>采用</w:t>
      </w:r>
      <w:r>
        <w:t>30</w:t>
      </w:r>
      <w:r>
        <w:rPr>
          <w:rFonts w:hint="eastAsia"/>
        </w:rPr>
        <w:t xml:space="preserve"> </w:t>
      </w:r>
      <w:r>
        <w:t>cm</w:t>
      </w:r>
      <w:r>
        <w:rPr>
          <w:rFonts w:hint="eastAsia"/>
        </w:rPr>
        <w:t>～</w:t>
      </w:r>
      <w:r>
        <w:t>100</w:t>
      </w:r>
      <w:r>
        <w:rPr>
          <w:rFonts w:hint="eastAsia"/>
        </w:rPr>
        <w:t xml:space="preserve"> </w:t>
      </w:r>
      <w:r>
        <w:t>cm的</w:t>
      </w:r>
      <w:r>
        <w:rPr>
          <w:rFonts w:hint="eastAsia"/>
        </w:rPr>
        <w:t>“U”</w:t>
      </w:r>
      <w:r>
        <w:t>形混凝土渠道。</w:t>
      </w:r>
    </w:p>
    <w:p>
      <w:pPr>
        <w:pStyle w:val="68"/>
        <w:keepNext w:val="0"/>
        <w:keepLines w:val="0"/>
        <w:pageBreakBefore w:val="0"/>
        <w:widowControl w:val="0"/>
        <w:numPr>
          <w:ilvl w:val="3"/>
          <w:numId w:val="31"/>
        </w:numPr>
        <w:kinsoku/>
        <w:wordWrap/>
        <w:overflowPunct/>
        <w:topLinePunct w:val="0"/>
        <w:autoSpaceDE/>
        <w:autoSpaceDN/>
        <w:bidi w:val="0"/>
        <w:adjustRightInd/>
        <w:snapToGrid/>
        <w:spacing w:before="157" w:beforeLines="50" w:after="157" w:afterLines="50"/>
        <w:textAlignment w:val="auto"/>
        <w:rPr>
          <w:rFonts w:hint="default" w:ascii="黑体" w:hAnsi="黑体" w:eastAsia="黑体" w:cs="黑体"/>
          <w:lang w:val="en-US" w:eastAsia="zh-CN"/>
        </w:rPr>
      </w:pPr>
      <w:r>
        <w:rPr>
          <w:rFonts w:hint="eastAsia" w:ascii="黑体" w:hAnsi="黑体" w:eastAsia="黑体" w:cs="黑体"/>
          <w:lang w:val="en-US" w:eastAsia="zh-CN"/>
        </w:rPr>
        <w:t>排水设施</w:t>
      </w:r>
    </w:p>
    <w:p>
      <w:pPr>
        <w:pStyle w:val="59"/>
        <w:ind w:firstLine="420"/>
      </w:pPr>
      <w:r>
        <w:rPr>
          <w:rFonts w:hint="eastAsia"/>
        </w:rPr>
        <w:t>根据果园的地形建设排水设施，与果园内外的蓄水池相通，排水沟按下列方式进行布置：</w:t>
      </w:r>
    </w:p>
    <w:p>
      <w:pPr>
        <w:pStyle w:val="59"/>
        <w:ind w:firstLine="420"/>
      </w:pPr>
      <w:r>
        <w:rPr>
          <w:rFonts w:hint="eastAsia"/>
        </w:rPr>
        <w:t>——平地、缓坡果园的排水沟位于操作道两侧，深、宽为50 cm～60 cm；</w:t>
      </w:r>
    </w:p>
    <w:p>
      <w:pPr>
        <w:pStyle w:val="59"/>
        <w:ind w:firstLine="420"/>
      </w:pPr>
      <w:r>
        <w:rPr>
          <w:rFonts w:hint="eastAsia"/>
        </w:rPr>
        <w:t>——低洼地果园的排水沟应加大深度，果园行间的排水沟应与操作道两侧的主排水沟相通；</w:t>
      </w:r>
    </w:p>
    <w:p>
      <w:pPr>
        <w:pStyle w:val="59"/>
        <w:ind w:firstLine="420"/>
      </w:pPr>
      <w:r>
        <w:rPr>
          <w:rFonts w:hint="eastAsia"/>
        </w:rPr>
        <w:t>——山地果园操作道两侧的排水沟，应间隔10 m～20 m建设一个沉砂凼，减少水土流失；</w:t>
      </w:r>
    </w:p>
    <w:p>
      <w:pPr>
        <w:pStyle w:val="59"/>
        <w:ind w:firstLine="420"/>
        <w:rPr>
          <w:rFonts w:hint="default"/>
          <w:lang w:val="en-US" w:eastAsia="zh-CN"/>
        </w:rPr>
      </w:pPr>
      <w:r>
        <w:rPr>
          <w:rFonts w:hint="eastAsia"/>
        </w:rPr>
        <w:t>——等高梯田果园每个梯面的内侧都应开设排水沟，并与操作道两侧的排水沟相通。</w:t>
      </w:r>
    </w:p>
    <w:bookmarkEnd w:id="43"/>
    <w:p>
      <w:pPr>
        <w:pStyle w:val="108"/>
        <w:numPr>
          <w:ilvl w:val="2"/>
          <w:numId w:val="31"/>
        </w:numPr>
        <w:spacing w:before="120" w:after="120"/>
      </w:pPr>
      <w:bookmarkStart w:id="44" w:name="_Toc23334"/>
      <w:r>
        <w:rPr>
          <w:rFonts w:hint="eastAsia"/>
          <w:lang w:val="en-US" w:eastAsia="zh-CN"/>
        </w:rPr>
        <w:t>电力设施</w:t>
      </w:r>
      <w:bookmarkEnd w:id="44"/>
    </w:p>
    <w:p>
      <w:pPr>
        <w:pStyle w:val="59"/>
        <w:ind w:firstLine="420"/>
      </w:pPr>
      <w:r>
        <w:rPr>
          <w:rFonts w:hint="eastAsia"/>
        </w:rPr>
        <w:t>应根据生产用电按电力安全要求布置电力设施，做到电源到田，设施规范，便于机械作业。小型果园可配置220 V电源，大中型果园可配置380 V电源。</w:t>
      </w:r>
    </w:p>
    <w:p>
      <w:pPr>
        <w:pStyle w:val="108"/>
        <w:numPr>
          <w:ilvl w:val="2"/>
          <w:numId w:val="31"/>
        </w:numPr>
        <w:spacing w:before="120" w:after="120"/>
        <w:rPr>
          <w:rFonts w:hint="default"/>
          <w:lang w:val="en-US" w:eastAsia="zh-CN"/>
        </w:rPr>
      </w:pPr>
      <w:bookmarkStart w:id="45" w:name="_Toc16978"/>
      <w:r>
        <w:rPr>
          <w:rFonts w:hint="eastAsia"/>
          <w:lang w:val="en-US" w:eastAsia="zh-CN"/>
        </w:rPr>
        <w:t>道路设施</w:t>
      </w:r>
      <w:bookmarkEnd w:id="45"/>
    </w:p>
    <w:p>
      <w:pPr>
        <w:pStyle w:val="59"/>
        <w:ind w:firstLine="420"/>
      </w:pPr>
      <w:r>
        <w:rPr>
          <w:rFonts w:hint="eastAsia"/>
        </w:rPr>
        <w:t>根据园地自然条件建设道路，大、中型果园道路与园外的主要交通干线相连接，园路应以主干道和操作道建设为核心，主干道宽</w:t>
      </w:r>
      <w:r>
        <w:rPr>
          <w:rFonts w:hint="eastAsia" w:hAnsi="宋体" w:cs="宋体"/>
          <w:color w:val="000000"/>
          <w:szCs w:val="21"/>
          <w:lang w:bidi="ar"/>
        </w:rPr>
        <w:t>≥</w:t>
      </w:r>
      <w:r>
        <w:rPr>
          <w:rFonts w:hint="eastAsia"/>
        </w:rPr>
        <w:t>3.5 m，宜为硬化或碎石路面，丘陵和平地果园的操作道宽度为2 m～3 m，宜为碎石路面，坡度</w:t>
      </w:r>
      <w:r>
        <w:rPr>
          <w:rFonts w:hint="eastAsia" w:hAnsi="宋体" w:cs="宋体"/>
          <w:color w:val="000000"/>
          <w:szCs w:val="21"/>
          <w:lang w:bidi="ar"/>
        </w:rPr>
        <w:t>≥</w:t>
      </w:r>
      <w:r>
        <w:rPr>
          <w:rFonts w:hint="eastAsia"/>
        </w:rPr>
        <w:t>15°的山地果园，宜建台阶式操作道，台阶宽1 m～1.5 m，用石块或水泥混凝土浆砌成。</w:t>
      </w:r>
    </w:p>
    <w:p>
      <w:pPr>
        <w:pStyle w:val="107"/>
        <w:numPr>
          <w:ilvl w:val="1"/>
          <w:numId w:val="31"/>
        </w:numPr>
        <w:spacing w:before="240" w:after="240"/>
      </w:pPr>
      <w:bookmarkStart w:id="46" w:name="_Toc31750"/>
      <w:r>
        <w:rPr>
          <w:rFonts w:hint="eastAsia"/>
          <w:lang w:val="en-US" w:eastAsia="zh-CN"/>
        </w:rPr>
        <w:t>密度改造</w:t>
      </w:r>
      <w:bookmarkEnd w:id="46"/>
    </w:p>
    <w:p>
      <w:pPr>
        <w:pStyle w:val="108"/>
        <w:numPr>
          <w:ilvl w:val="2"/>
          <w:numId w:val="31"/>
        </w:numPr>
        <w:spacing w:before="120" w:after="120"/>
        <w:rPr>
          <w:rFonts w:hint="eastAsia"/>
          <w:lang w:val="en-US" w:eastAsia="zh-CN"/>
        </w:rPr>
      </w:pPr>
      <w:bookmarkStart w:id="47" w:name="_Toc28270"/>
      <w:r>
        <w:rPr>
          <w:rFonts w:hint="eastAsia"/>
          <w:lang w:val="en-US" w:eastAsia="zh-CN"/>
        </w:rPr>
        <w:t>原则</w:t>
      </w:r>
      <w:bookmarkEnd w:id="47"/>
    </w:p>
    <w:p>
      <w:pPr>
        <w:pStyle w:val="59"/>
        <w:ind w:firstLine="420"/>
        <w:rPr>
          <w:rFonts w:hint="eastAsia"/>
          <w:lang w:val="en-US" w:eastAsia="zh-CN"/>
        </w:rPr>
      </w:pPr>
      <w:r>
        <w:rPr>
          <w:rFonts w:hint="eastAsia"/>
        </w:rPr>
        <w:t>调整果园合理的株行距，增强行间通风透光性。</w:t>
      </w:r>
    </w:p>
    <w:p>
      <w:pPr>
        <w:pStyle w:val="108"/>
        <w:numPr>
          <w:ilvl w:val="2"/>
          <w:numId w:val="31"/>
        </w:numPr>
        <w:spacing w:before="120" w:after="120"/>
        <w:rPr>
          <w:rFonts w:hint="eastAsia"/>
          <w:lang w:val="en-US" w:eastAsia="zh-CN"/>
        </w:rPr>
      </w:pPr>
      <w:bookmarkStart w:id="48" w:name="_Toc12573"/>
      <w:r>
        <w:rPr>
          <w:rFonts w:hint="eastAsia"/>
          <w:lang w:val="en-US" w:eastAsia="zh-CN"/>
        </w:rPr>
        <w:t>要求</w:t>
      </w:r>
      <w:bookmarkEnd w:id="48"/>
    </w:p>
    <w:p>
      <w:pPr>
        <w:pStyle w:val="59"/>
        <w:ind w:firstLine="420"/>
        <w:rPr>
          <w:rFonts w:hint="eastAsia"/>
          <w:lang w:val="en-US" w:eastAsia="zh-CN"/>
        </w:rPr>
      </w:pPr>
      <w:r>
        <w:rPr>
          <w:rFonts w:hint="eastAsia"/>
        </w:rPr>
        <w:t>行距调整后为每667 m</w:t>
      </w:r>
      <w:r>
        <w:rPr>
          <w:rFonts w:hint="eastAsia"/>
          <w:vertAlign w:val="superscript"/>
        </w:rPr>
        <w:t>2</w:t>
      </w:r>
      <w:r>
        <w:rPr>
          <w:rFonts w:hint="eastAsia"/>
        </w:rPr>
        <w:t>栽植55株～65株为宜，株行距宜为（2.0 m～3.0 m）×（4.5 m～5.5 m）。</w:t>
      </w:r>
    </w:p>
    <w:p>
      <w:pPr>
        <w:pStyle w:val="108"/>
        <w:numPr>
          <w:ilvl w:val="2"/>
          <w:numId w:val="31"/>
        </w:numPr>
        <w:spacing w:before="120" w:after="120"/>
        <w:rPr>
          <w:rFonts w:hint="eastAsia"/>
          <w:lang w:val="en-US" w:eastAsia="zh-CN"/>
        </w:rPr>
      </w:pPr>
      <w:bookmarkStart w:id="49" w:name="_Toc29197"/>
      <w:r>
        <w:rPr>
          <w:rFonts w:hint="eastAsia"/>
          <w:lang w:val="en-US" w:eastAsia="zh-CN"/>
        </w:rPr>
        <w:t>时期</w:t>
      </w:r>
      <w:bookmarkEnd w:id="49"/>
    </w:p>
    <w:p>
      <w:pPr>
        <w:pStyle w:val="59"/>
        <w:ind w:firstLine="420"/>
        <w:rPr>
          <w:rFonts w:hint="eastAsia"/>
          <w:lang w:val="en-US" w:eastAsia="zh-CN"/>
        </w:rPr>
      </w:pPr>
      <w:r>
        <w:rPr>
          <w:rFonts w:hint="eastAsia"/>
        </w:rPr>
        <w:t>密植或计划密植的果园宜在结果后3年～5年，选择在大量结果（大年）采收后的秋季至次年春季进行。</w:t>
      </w:r>
    </w:p>
    <w:p>
      <w:pPr>
        <w:pStyle w:val="108"/>
        <w:numPr>
          <w:ilvl w:val="2"/>
          <w:numId w:val="31"/>
        </w:numPr>
        <w:spacing w:before="120" w:after="120"/>
        <w:rPr>
          <w:rFonts w:hint="eastAsia"/>
          <w:lang w:val="en-US" w:eastAsia="zh-CN"/>
        </w:rPr>
      </w:pPr>
      <w:bookmarkStart w:id="50" w:name="_Toc20530"/>
      <w:r>
        <w:rPr>
          <w:rFonts w:hint="eastAsia"/>
          <w:lang w:val="en-US" w:eastAsia="zh-CN"/>
        </w:rPr>
        <w:t>方法</w:t>
      </w:r>
      <w:bookmarkEnd w:id="50"/>
    </w:p>
    <w:p>
      <w:pPr>
        <w:pStyle w:val="59"/>
        <w:ind w:firstLine="420"/>
      </w:pPr>
      <w:r>
        <w:rPr>
          <w:rFonts w:hint="eastAsia"/>
        </w:rPr>
        <w:t>根据果园株行距按下列方式进行改造：</w:t>
      </w:r>
    </w:p>
    <w:p>
      <w:pPr>
        <w:pStyle w:val="59"/>
        <w:ind w:firstLine="420"/>
        <w:rPr>
          <w:rFonts w:hint="eastAsia" w:ascii="宋体" w:hAnsi="宋体" w:eastAsia="宋体" w:cs="宋体"/>
        </w:rPr>
      </w:pPr>
      <w:r>
        <w:rPr>
          <w:rFonts w:hint="eastAsia" w:ascii="宋体" w:hAnsi="宋体" w:eastAsia="宋体" w:cs="宋体"/>
        </w:rPr>
        <w:t>——当行距</w:t>
      </w:r>
      <w:r>
        <w:rPr>
          <w:rFonts w:hint="eastAsia" w:ascii="宋体" w:hAnsi="宋体" w:eastAsia="宋体" w:cs="宋体"/>
          <w:color w:val="000000"/>
          <w:szCs w:val="21"/>
          <w:lang w:bidi="ar"/>
        </w:rPr>
        <w:t>≤</w:t>
      </w:r>
      <w:r>
        <w:rPr>
          <w:rFonts w:hint="eastAsia" w:ascii="宋体" w:hAnsi="宋体" w:eastAsia="宋体" w:cs="宋体"/>
        </w:rPr>
        <w:t>3 m时，采用行间间隔移除法进行改造；</w:t>
      </w:r>
    </w:p>
    <w:p>
      <w:pPr>
        <w:pStyle w:val="59"/>
        <w:ind w:firstLine="420"/>
        <w:rPr>
          <w:rFonts w:hint="eastAsia"/>
        </w:rPr>
      </w:pPr>
      <w:r>
        <w:rPr>
          <w:rFonts w:hint="eastAsia" w:ascii="宋体" w:hAnsi="宋体" w:eastAsia="宋体" w:cs="宋体"/>
        </w:rPr>
        <w:t>——</w:t>
      </w:r>
      <w:r>
        <w:rPr>
          <w:rFonts w:hint="eastAsia"/>
        </w:rPr>
        <w:t>当株距</w:t>
      </w:r>
      <w:r>
        <w:rPr>
          <w:rFonts w:hint="eastAsia" w:hAnsi="宋体" w:cs="宋体"/>
          <w:color w:val="000000"/>
          <w:szCs w:val="21"/>
          <w:lang w:bidi="ar"/>
        </w:rPr>
        <w:t>≤</w:t>
      </w:r>
      <w:r>
        <w:rPr>
          <w:rFonts w:hint="eastAsia"/>
        </w:rPr>
        <w:t>2 m时，采用株间间隔移除法进行改造。</w:t>
      </w:r>
    </w:p>
    <w:p>
      <w:pPr>
        <w:pStyle w:val="107"/>
        <w:numPr>
          <w:ilvl w:val="1"/>
          <w:numId w:val="31"/>
        </w:numPr>
        <w:spacing w:before="240" w:after="240"/>
        <w:rPr>
          <w:rFonts w:hint="eastAsia"/>
          <w:lang w:val="en-US" w:eastAsia="zh-CN"/>
        </w:rPr>
      </w:pPr>
      <w:bookmarkStart w:id="51" w:name="_Toc24340"/>
      <w:r>
        <w:rPr>
          <w:rFonts w:hint="eastAsia"/>
          <w:lang w:val="en-US" w:eastAsia="zh-CN"/>
        </w:rPr>
        <w:t>树体改造</w:t>
      </w:r>
      <w:bookmarkEnd w:id="51"/>
    </w:p>
    <w:p>
      <w:pPr>
        <w:pStyle w:val="108"/>
        <w:numPr>
          <w:ilvl w:val="2"/>
          <w:numId w:val="31"/>
        </w:numPr>
        <w:spacing w:before="120" w:after="120"/>
        <w:rPr>
          <w:rFonts w:hint="eastAsia"/>
          <w:lang w:val="en-US" w:eastAsia="zh-CN"/>
        </w:rPr>
      </w:pPr>
      <w:bookmarkStart w:id="52" w:name="_Toc20972"/>
      <w:r>
        <w:rPr>
          <w:rFonts w:hint="eastAsia"/>
          <w:lang w:val="en-US" w:eastAsia="zh-CN"/>
        </w:rPr>
        <w:t>原则</w:t>
      </w:r>
      <w:bookmarkEnd w:id="52"/>
    </w:p>
    <w:p>
      <w:pPr>
        <w:pStyle w:val="59"/>
        <w:ind w:firstLine="420"/>
        <w:rPr>
          <w:rFonts w:hint="eastAsia"/>
          <w:lang w:val="en-US" w:eastAsia="zh-CN"/>
        </w:rPr>
      </w:pPr>
      <w:r>
        <w:rPr>
          <w:rFonts w:hint="eastAsia"/>
        </w:rPr>
        <w:t>促进果园简化管理，减少修剪量，增强树体内膛通风透光。</w:t>
      </w:r>
    </w:p>
    <w:p>
      <w:pPr>
        <w:pStyle w:val="108"/>
        <w:numPr>
          <w:ilvl w:val="2"/>
          <w:numId w:val="31"/>
        </w:numPr>
        <w:spacing w:before="120" w:after="120"/>
        <w:rPr>
          <w:rFonts w:hint="eastAsia"/>
          <w:lang w:val="en-US" w:eastAsia="zh-CN"/>
        </w:rPr>
      </w:pPr>
      <w:bookmarkStart w:id="53" w:name="_Toc2198"/>
      <w:r>
        <w:rPr>
          <w:rFonts w:hint="eastAsia"/>
          <w:lang w:val="en-US" w:eastAsia="zh-CN"/>
        </w:rPr>
        <w:t>要求</w:t>
      </w:r>
      <w:bookmarkEnd w:id="53"/>
    </w:p>
    <w:p>
      <w:pPr>
        <w:pStyle w:val="59"/>
        <w:ind w:firstLine="420"/>
        <w:rPr>
          <w:rFonts w:hint="eastAsia"/>
          <w:lang w:val="en-US" w:eastAsia="zh-CN"/>
        </w:rPr>
      </w:pPr>
      <w:r>
        <w:rPr>
          <w:rFonts w:hint="eastAsia"/>
        </w:rPr>
        <w:t>通过改造树形，减少主枝数量、降低树冠高度、缩小冠幅等措施，调整合理的树体主副枝结构，主枝开张。</w:t>
      </w:r>
    </w:p>
    <w:p>
      <w:pPr>
        <w:pStyle w:val="108"/>
        <w:numPr>
          <w:ilvl w:val="2"/>
          <w:numId w:val="31"/>
        </w:numPr>
        <w:spacing w:before="120" w:after="120"/>
        <w:rPr>
          <w:rFonts w:hint="eastAsia"/>
          <w:lang w:val="en-US" w:eastAsia="zh-CN"/>
        </w:rPr>
      </w:pPr>
      <w:bookmarkStart w:id="54" w:name="_Toc11766"/>
      <w:r>
        <w:rPr>
          <w:rFonts w:hint="eastAsia"/>
          <w:lang w:val="en-US" w:eastAsia="zh-CN"/>
        </w:rPr>
        <w:t>时期</w:t>
      </w:r>
      <w:bookmarkEnd w:id="54"/>
    </w:p>
    <w:p>
      <w:pPr>
        <w:pStyle w:val="59"/>
        <w:ind w:firstLine="420"/>
        <w:rPr>
          <w:rFonts w:hint="eastAsia"/>
          <w:lang w:val="en-US" w:eastAsia="zh-CN"/>
        </w:rPr>
      </w:pPr>
      <w:r>
        <w:rPr>
          <w:rFonts w:hint="eastAsia"/>
        </w:rPr>
        <w:t>改造宜分2次进行，以10月～次年3月为主、夏季（7月上中旬）改造为辅。</w:t>
      </w:r>
    </w:p>
    <w:p>
      <w:pPr>
        <w:pStyle w:val="108"/>
        <w:numPr>
          <w:ilvl w:val="2"/>
          <w:numId w:val="31"/>
        </w:numPr>
        <w:spacing w:before="120" w:after="120"/>
        <w:rPr>
          <w:rFonts w:hint="eastAsia"/>
          <w:lang w:val="en-US" w:eastAsia="zh-CN"/>
        </w:rPr>
      </w:pPr>
      <w:bookmarkStart w:id="55" w:name="_Toc15599"/>
      <w:r>
        <w:rPr>
          <w:rFonts w:hint="eastAsia"/>
          <w:lang w:val="en-US" w:eastAsia="zh-CN"/>
        </w:rPr>
        <w:t>方法</w:t>
      </w:r>
      <w:bookmarkEnd w:id="55"/>
    </w:p>
    <w:p>
      <w:pPr>
        <w:pStyle w:val="68"/>
        <w:numPr>
          <w:ilvl w:val="3"/>
          <w:numId w:val="31"/>
        </w:numPr>
        <w:spacing w:before="0" w:beforeLines="0" w:after="0" w:afterLines="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0月～次年3月在保护结果母枝的前提下，主要是疏除着生在主干上的直立大枝，保留3个～4个角度开张的主枝，树冠高度2.5 m～3 m，按照下列方式进行改造</w:t>
      </w:r>
      <w:r>
        <w:rPr>
          <w:rFonts w:hint="eastAsia" w:ascii="宋体" w:hAnsi="宋体" w:eastAsia="宋体" w:cs="宋体"/>
          <w:lang w:eastAsia="zh-CN"/>
        </w:rPr>
        <w:t>：</w:t>
      </w:r>
    </w:p>
    <w:p>
      <w:pPr>
        <w:pStyle w:val="59"/>
        <w:ind w:firstLine="420"/>
        <w:rPr>
          <w:rFonts w:hint="eastAsia" w:ascii="宋体" w:hAnsi="宋体" w:eastAsia="宋体" w:cs="宋体"/>
        </w:rPr>
      </w:pPr>
      <w:r>
        <w:rPr>
          <w:rFonts w:hint="eastAsia" w:ascii="宋体" w:hAnsi="宋体" w:eastAsia="宋体" w:cs="宋体"/>
        </w:rPr>
        <w:t>——对于树冠高大、内膛双重空虚的树，应在1年～2年内通过2次～3次修剪，将树冠上部的大枝交替回落至</w:t>
      </w:r>
      <w:r>
        <w:rPr>
          <w:rFonts w:hint="eastAsia" w:ascii="宋体" w:hAnsi="宋体" w:eastAsia="宋体" w:cs="宋体"/>
          <w:color w:val="000000"/>
          <w:szCs w:val="21"/>
          <w:lang w:bidi="ar"/>
        </w:rPr>
        <w:t>≤</w:t>
      </w:r>
      <w:r>
        <w:rPr>
          <w:rFonts w:hint="eastAsia" w:ascii="宋体" w:hAnsi="宋体" w:eastAsia="宋体" w:cs="宋体"/>
        </w:rPr>
        <w:t>2.5 m，保留3个～4个开张角度大的大枝作为永久性主枝；</w:t>
      </w:r>
    </w:p>
    <w:p>
      <w:pPr>
        <w:pStyle w:val="59"/>
        <w:ind w:firstLine="420"/>
        <w:rPr>
          <w:rFonts w:hint="eastAsia" w:ascii="宋体" w:hAnsi="宋体" w:eastAsia="宋体" w:cs="宋体"/>
        </w:rPr>
      </w:pPr>
      <w:r>
        <w:rPr>
          <w:rFonts w:hint="eastAsia" w:ascii="宋体" w:hAnsi="宋体" w:eastAsia="宋体" w:cs="宋体"/>
        </w:rPr>
        <w:t>——主枝延长枝进行适当回缩，使树冠缩小后的行间空间距离保持在1 m～1.5 m，株间空间距离保持在0.5 m～0.7 m。对主枝上的多个延长枝条，采用间隔回缩或短截，使之呈前后交替错落分布；</w:t>
      </w:r>
    </w:p>
    <w:p>
      <w:pPr>
        <w:pStyle w:val="59"/>
        <w:ind w:firstLine="420"/>
        <w:rPr>
          <w:rFonts w:hint="eastAsia" w:ascii="宋体" w:hAnsi="宋体" w:eastAsia="宋体" w:cs="宋体"/>
        </w:rPr>
      </w:pPr>
      <w:r>
        <w:rPr>
          <w:rFonts w:hint="eastAsia" w:ascii="宋体" w:hAnsi="宋体" w:eastAsia="宋体" w:cs="宋体"/>
        </w:rPr>
        <w:t>——树冠中下部枝较少的植株宜保留主干几部的小枝或枝组，树体恢复后再疏除距离地面60 cm范围内枝条；</w:t>
      </w:r>
    </w:p>
    <w:p>
      <w:pPr>
        <w:pStyle w:val="59"/>
        <w:ind w:firstLine="420"/>
        <w:rPr>
          <w:rFonts w:hint="eastAsia" w:ascii="宋体" w:hAnsi="宋体" w:eastAsia="宋体" w:cs="宋体"/>
        </w:rPr>
      </w:pPr>
      <w:r>
        <w:rPr>
          <w:rFonts w:hint="eastAsia" w:ascii="宋体" w:hAnsi="宋体" w:eastAsia="宋体" w:cs="宋体"/>
        </w:rPr>
        <w:t>——结果较多的个别直立主枝可暂时保留，在果实采收后及时疏除。</w:t>
      </w:r>
    </w:p>
    <w:p>
      <w:pPr>
        <w:pStyle w:val="68"/>
        <w:numPr>
          <w:ilvl w:val="3"/>
          <w:numId w:val="31"/>
        </w:numPr>
        <w:spacing w:before="0" w:beforeLines="0" w:after="0" w:afterLines="0"/>
        <w:rPr>
          <w:rFonts w:hint="eastAsia"/>
          <w:lang w:val="en-US" w:eastAsia="zh-CN"/>
        </w:rPr>
      </w:pPr>
      <w:r>
        <w:rPr>
          <w:rFonts w:hint="eastAsia" w:ascii="宋体" w:hAnsi="宋体" w:eastAsia="宋体" w:cs="宋体"/>
        </w:rPr>
        <w:t>在7月上中旬秋梢萌芽前，对当年生枝进行修剪，疏除部分当年生春梢和夏梢，抹除生长位置不合理的萌芽。</w:t>
      </w:r>
    </w:p>
    <w:p>
      <w:pPr>
        <w:pStyle w:val="108"/>
        <w:numPr>
          <w:ilvl w:val="2"/>
          <w:numId w:val="31"/>
        </w:numPr>
        <w:spacing w:before="120" w:after="120"/>
        <w:rPr>
          <w:rFonts w:hint="eastAsia"/>
          <w:lang w:val="en-US" w:eastAsia="zh-CN"/>
        </w:rPr>
      </w:pPr>
      <w:bookmarkStart w:id="56" w:name="_Toc16681"/>
      <w:r>
        <w:rPr>
          <w:rFonts w:hint="eastAsia"/>
          <w:lang w:val="en-US" w:eastAsia="zh-CN"/>
        </w:rPr>
        <w:t>树体管护</w:t>
      </w:r>
      <w:bookmarkEnd w:id="56"/>
    </w:p>
    <w:p>
      <w:pPr>
        <w:pStyle w:val="68"/>
        <w:numPr>
          <w:ilvl w:val="3"/>
          <w:numId w:val="31"/>
        </w:numPr>
        <w:spacing w:before="120" w:after="120"/>
        <w:rPr>
          <w:rFonts w:hint="eastAsia"/>
          <w:lang w:val="en-US" w:eastAsia="zh-CN"/>
        </w:rPr>
      </w:pPr>
      <w:r>
        <w:rPr>
          <w:rFonts w:hint="eastAsia"/>
          <w:lang w:val="en-US" w:eastAsia="zh-CN"/>
        </w:rPr>
        <w:t>枝干保护</w:t>
      </w:r>
    </w:p>
    <w:p>
      <w:pPr>
        <w:pStyle w:val="59"/>
        <w:ind w:firstLine="420"/>
        <w:rPr>
          <w:rFonts w:hint="eastAsia"/>
          <w:lang w:val="en-US" w:eastAsia="zh-CN"/>
        </w:rPr>
      </w:pPr>
      <w:r>
        <w:rPr>
          <w:rFonts w:hint="eastAsia"/>
        </w:rPr>
        <w:t>对暴露的主干、主枝及时用石灰水（按生石灰10 kg、硫磺1 kg、食盐0.2 kg、水30 kg的比例配制）涂白，对直径</w:t>
      </w:r>
      <w:r>
        <w:rPr>
          <w:rFonts w:hint="eastAsia" w:hAnsi="宋体" w:cs="宋体"/>
          <w:color w:val="000000"/>
          <w:szCs w:val="21"/>
          <w:lang w:bidi="ar"/>
        </w:rPr>
        <w:t>≥</w:t>
      </w:r>
      <w:r>
        <w:rPr>
          <w:rFonts w:hint="eastAsia"/>
        </w:rPr>
        <w:t>3 cm的修剪伤口，用凡士林或黄油等杀菌防护剂涂抹。</w:t>
      </w:r>
    </w:p>
    <w:p>
      <w:pPr>
        <w:pStyle w:val="68"/>
        <w:numPr>
          <w:ilvl w:val="3"/>
          <w:numId w:val="31"/>
        </w:numPr>
        <w:spacing w:before="120" w:after="120"/>
        <w:rPr>
          <w:rFonts w:hint="eastAsia"/>
          <w:lang w:val="en-US" w:eastAsia="zh-CN"/>
        </w:rPr>
      </w:pPr>
      <w:r>
        <w:rPr>
          <w:rFonts w:hint="eastAsia"/>
          <w:lang w:val="en-US" w:eastAsia="zh-CN"/>
        </w:rPr>
        <w:t>土肥管理</w:t>
      </w:r>
    </w:p>
    <w:p>
      <w:pPr>
        <w:pStyle w:val="59"/>
        <w:ind w:firstLine="420"/>
        <w:rPr>
          <w:rFonts w:hint="eastAsia"/>
        </w:rPr>
      </w:pPr>
      <w:r>
        <w:rPr>
          <w:rFonts w:hint="eastAsia"/>
        </w:rPr>
        <w:t>8月～9月秋梢萌发和生长期间喷施高氮叶面肥，10月喷施0.2%磷酸二氢钾叶面肥1次～2次，促进秋梢的生长老熟。</w:t>
      </w:r>
    </w:p>
    <w:p>
      <w:pPr>
        <w:pStyle w:val="107"/>
        <w:numPr>
          <w:ilvl w:val="1"/>
          <w:numId w:val="31"/>
        </w:numPr>
        <w:spacing w:before="240" w:after="240"/>
        <w:rPr>
          <w:rFonts w:hint="eastAsia"/>
          <w:lang w:val="en-US" w:eastAsia="zh-CN"/>
        </w:rPr>
      </w:pPr>
      <w:bookmarkStart w:id="57" w:name="_Toc17071"/>
      <w:bookmarkStart w:id="58" w:name="_Toc21948"/>
      <w:r>
        <w:rPr>
          <w:rFonts w:hint="eastAsia"/>
          <w:lang w:val="en-US" w:eastAsia="zh-CN"/>
        </w:rPr>
        <w:t>高接换种</w:t>
      </w:r>
      <w:bookmarkEnd w:id="57"/>
      <w:bookmarkEnd w:id="58"/>
    </w:p>
    <w:p>
      <w:pPr>
        <w:pStyle w:val="108"/>
        <w:numPr>
          <w:ilvl w:val="2"/>
          <w:numId w:val="31"/>
        </w:numPr>
        <w:spacing w:before="120" w:after="120"/>
        <w:rPr>
          <w:rFonts w:hint="eastAsia"/>
          <w:lang w:val="en-US" w:eastAsia="zh-CN"/>
        </w:rPr>
      </w:pPr>
      <w:bookmarkStart w:id="59" w:name="_Toc22067"/>
      <w:r>
        <w:rPr>
          <w:rFonts w:hint="eastAsia"/>
          <w:lang w:val="en-US" w:eastAsia="zh-CN"/>
        </w:rPr>
        <w:t>原则</w:t>
      </w:r>
      <w:bookmarkEnd w:id="59"/>
    </w:p>
    <w:p>
      <w:pPr>
        <w:pStyle w:val="59"/>
        <w:ind w:firstLine="420"/>
      </w:pPr>
      <w:r>
        <w:rPr>
          <w:rFonts w:hint="eastAsia"/>
        </w:rPr>
        <w:t>品种选择应适应当地环境、品质优，顺应市场发展需求。</w:t>
      </w:r>
    </w:p>
    <w:p>
      <w:pPr>
        <w:pStyle w:val="108"/>
        <w:numPr>
          <w:ilvl w:val="2"/>
          <w:numId w:val="31"/>
        </w:numPr>
        <w:spacing w:before="120" w:after="120"/>
        <w:rPr>
          <w:rFonts w:hint="eastAsia"/>
          <w:lang w:val="en-US" w:eastAsia="zh-CN"/>
        </w:rPr>
      </w:pPr>
      <w:bookmarkStart w:id="60" w:name="_Toc29804"/>
      <w:r>
        <w:rPr>
          <w:rFonts w:hint="eastAsia"/>
          <w:lang w:val="en-US" w:eastAsia="zh-CN"/>
        </w:rPr>
        <w:t>要求</w:t>
      </w:r>
      <w:bookmarkEnd w:id="60"/>
    </w:p>
    <w:p>
      <w:pPr>
        <w:pStyle w:val="59"/>
        <w:ind w:firstLine="420"/>
        <w:rPr>
          <w:rFonts w:hAnsi="宋体" w:cs="宋体"/>
        </w:rPr>
      </w:pPr>
      <w:r>
        <w:rPr>
          <w:rFonts w:hint="eastAsia" w:hAnsi="宋体" w:cs="宋体"/>
        </w:rPr>
        <w:t>果园品种落后或退化、种植效益差，树龄在25年以内，树势较为健壮，无病毒病或疑似病毒病，无根部病虫害和枝干病虫害，无黄化和落叶。</w:t>
      </w:r>
    </w:p>
    <w:p>
      <w:pPr>
        <w:pStyle w:val="108"/>
        <w:numPr>
          <w:ilvl w:val="2"/>
          <w:numId w:val="31"/>
        </w:numPr>
        <w:spacing w:before="120" w:after="120"/>
        <w:rPr>
          <w:rFonts w:hint="eastAsia"/>
          <w:lang w:val="en-US" w:eastAsia="zh-CN"/>
        </w:rPr>
      </w:pPr>
      <w:bookmarkStart w:id="61" w:name="_Toc27735"/>
      <w:r>
        <w:rPr>
          <w:rFonts w:hint="eastAsia"/>
          <w:lang w:val="en-US" w:eastAsia="zh-CN"/>
        </w:rPr>
        <w:t>接穗品种</w:t>
      </w:r>
      <w:bookmarkEnd w:id="61"/>
    </w:p>
    <w:p>
      <w:pPr>
        <w:pStyle w:val="59"/>
        <w:ind w:firstLine="420"/>
      </w:pPr>
      <w:r>
        <w:rPr>
          <w:rFonts w:hint="eastAsia"/>
        </w:rPr>
        <w:t>高接品种应适应当地的环境条件，与现有果园的砧木、中间砧木具有良好的亲和性；接穗不应携带各种检疫性的病虫害，应采用专业采穗圃生产的无病毒接穗。</w:t>
      </w:r>
    </w:p>
    <w:p>
      <w:pPr>
        <w:pStyle w:val="108"/>
        <w:numPr>
          <w:ilvl w:val="2"/>
          <w:numId w:val="31"/>
        </w:numPr>
        <w:spacing w:before="120" w:after="120"/>
        <w:rPr>
          <w:rFonts w:hint="eastAsia"/>
          <w:lang w:val="en-US" w:eastAsia="zh-CN"/>
        </w:rPr>
      </w:pPr>
      <w:bookmarkStart w:id="62" w:name="_Toc14465"/>
      <w:r>
        <w:rPr>
          <w:rFonts w:hint="eastAsia"/>
          <w:lang w:val="en-US" w:eastAsia="zh-CN"/>
        </w:rPr>
        <w:t>方式</w:t>
      </w:r>
      <w:bookmarkEnd w:id="62"/>
    </w:p>
    <w:p>
      <w:pPr>
        <w:pStyle w:val="68"/>
        <w:keepNext w:val="0"/>
        <w:keepLines w:val="0"/>
        <w:pageBreakBefore w:val="0"/>
        <w:widowControl w:val="0"/>
        <w:numPr>
          <w:ilvl w:val="3"/>
          <w:numId w:val="31"/>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eastAsia="zh-CN"/>
        </w:rPr>
      </w:pPr>
      <w:r>
        <w:rPr>
          <w:rFonts w:hint="eastAsia" w:ascii="黑体" w:hAnsi="黑体" w:eastAsia="黑体" w:cs="黑体"/>
          <w:lang w:val="en-US" w:eastAsia="zh-CN"/>
        </w:rPr>
        <w:t>成片更新</w:t>
      </w:r>
    </w:p>
    <w:p>
      <w:pPr>
        <w:pStyle w:val="59"/>
        <w:spacing w:before="120" w:beforeLines="50" w:after="120" w:afterLines="50"/>
        <w:ind w:firstLine="420"/>
      </w:pPr>
      <w:r>
        <w:rPr>
          <w:rFonts w:hint="eastAsia"/>
        </w:rPr>
        <w:t>将一个片区的果园植株全部实行高接换种。</w:t>
      </w:r>
    </w:p>
    <w:p>
      <w:pPr>
        <w:pStyle w:val="68"/>
        <w:keepNext w:val="0"/>
        <w:keepLines w:val="0"/>
        <w:pageBreakBefore w:val="0"/>
        <w:widowControl w:val="0"/>
        <w:numPr>
          <w:ilvl w:val="3"/>
          <w:numId w:val="31"/>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eastAsia="zh-CN"/>
        </w:rPr>
      </w:pPr>
      <w:r>
        <w:rPr>
          <w:rFonts w:hint="eastAsia" w:ascii="黑体" w:hAnsi="黑体" w:eastAsia="黑体" w:cs="黑体"/>
          <w:lang w:val="en-US" w:eastAsia="zh-CN"/>
        </w:rPr>
        <w:t>隔行更新</w:t>
      </w:r>
    </w:p>
    <w:p>
      <w:pPr>
        <w:pStyle w:val="59"/>
        <w:ind w:firstLine="420"/>
      </w:pPr>
      <w:r>
        <w:rPr>
          <w:rFonts w:hint="eastAsia"/>
        </w:rPr>
        <w:t>以行为单位分年度进行隔行更新，如栽植密度过大，在高改一行形成树冠恢复产量后，间伐另一行。</w:t>
      </w:r>
    </w:p>
    <w:p>
      <w:pPr>
        <w:pStyle w:val="108"/>
        <w:numPr>
          <w:ilvl w:val="2"/>
          <w:numId w:val="31"/>
        </w:numPr>
        <w:spacing w:before="120" w:after="120"/>
        <w:rPr>
          <w:rFonts w:hint="eastAsia"/>
          <w:lang w:val="en-US" w:eastAsia="zh-CN"/>
        </w:rPr>
      </w:pPr>
      <w:bookmarkStart w:id="63" w:name="_Toc30002"/>
      <w:r>
        <w:rPr>
          <w:rFonts w:hint="eastAsia"/>
          <w:lang w:val="en-US" w:eastAsia="zh-CN"/>
        </w:rPr>
        <w:t>时期</w:t>
      </w:r>
      <w:bookmarkEnd w:id="63"/>
    </w:p>
    <w:p>
      <w:pPr>
        <w:pStyle w:val="59"/>
        <w:ind w:firstLine="420"/>
      </w:pPr>
      <w:r>
        <w:rPr>
          <w:rFonts w:hint="eastAsia"/>
        </w:rPr>
        <w:t>宜在树液流动后嫁接，春季在1月～4月、秋季在9月进行。</w:t>
      </w:r>
    </w:p>
    <w:p>
      <w:pPr>
        <w:pStyle w:val="108"/>
        <w:numPr>
          <w:ilvl w:val="2"/>
          <w:numId w:val="31"/>
        </w:numPr>
        <w:spacing w:before="120" w:after="120"/>
        <w:rPr>
          <w:rFonts w:hint="eastAsia" w:ascii="黑体" w:hAnsi="黑体" w:eastAsia="黑体" w:cs="黑体"/>
          <w:lang w:val="en-US" w:eastAsia="zh-CN"/>
        </w:rPr>
      </w:pPr>
      <w:bookmarkStart w:id="64" w:name="_Toc25790"/>
      <w:r>
        <w:rPr>
          <w:rFonts w:hint="eastAsia"/>
          <w:lang w:val="en-US" w:eastAsia="zh-CN"/>
        </w:rPr>
        <w:t>嫁接准备</w:t>
      </w:r>
      <w:bookmarkEnd w:id="64"/>
    </w:p>
    <w:p>
      <w:pPr>
        <w:pStyle w:val="59"/>
        <w:ind w:firstLine="420"/>
      </w:pPr>
      <w:r>
        <w:t>在高接换种前一年，加强土肥水管理和病虫防治，</w:t>
      </w:r>
      <w:r>
        <w:rPr>
          <w:rFonts w:hint="eastAsia"/>
        </w:rPr>
        <w:t>在距离地面0.6 m～1.5 m处除去骨干枝上的大部分分枝，因树作形、主次分明，保留先端枝叶，在树冠的下部、离嫁接口30 cm以上留裙枝或下垂枝，疏除其上的果实。每枝宜嫁接2个～3个接穗。</w:t>
      </w:r>
    </w:p>
    <w:p>
      <w:pPr>
        <w:pStyle w:val="108"/>
        <w:numPr>
          <w:ilvl w:val="2"/>
          <w:numId w:val="31"/>
        </w:numPr>
        <w:spacing w:before="120" w:after="120"/>
        <w:rPr>
          <w:rFonts w:hint="eastAsia"/>
          <w:lang w:val="en-US" w:eastAsia="zh-CN"/>
        </w:rPr>
      </w:pPr>
      <w:bookmarkStart w:id="65" w:name="_Toc18863"/>
      <w:r>
        <w:rPr>
          <w:rFonts w:hint="eastAsia"/>
          <w:lang w:val="en-US" w:eastAsia="zh-CN"/>
        </w:rPr>
        <w:t>嫁接方法</w:t>
      </w:r>
      <w:bookmarkEnd w:id="65"/>
    </w:p>
    <w:p>
      <w:pPr>
        <w:pStyle w:val="59"/>
        <w:ind w:firstLine="420"/>
      </w:pPr>
      <w:r>
        <w:t>采用芽接法和切接法</w:t>
      </w:r>
      <w:r>
        <w:rPr>
          <w:rFonts w:hint="eastAsia"/>
        </w:rPr>
        <w:t>，</w:t>
      </w:r>
      <w:r>
        <w:t>选择锯口、剪口附近皮层光滑的部位进行嫁接</w:t>
      </w:r>
      <w:r>
        <w:rPr>
          <w:rFonts w:hint="eastAsia"/>
        </w:rPr>
        <w:t>。</w:t>
      </w:r>
      <w:r>
        <w:t>高接时宜随锯</w:t>
      </w:r>
      <w:r>
        <w:rPr>
          <w:rFonts w:hint="eastAsia"/>
        </w:rPr>
        <w:t>（</w:t>
      </w:r>
      <w:r>
        <w:t>剪</w:t>
      </w:r>
      <w:r>
        <w:rPr>
          <w:rFonts w:hint="eastAsia"/>
        </w:rPr>
        <w:t>）</w:t>
      </w:r>
      <w:r>
        <w:t>随接，并将剪</w:t>
      </w:r>
      <w:r>
        <w:rPr>
          <w:rFonts w:hint="eastAsia"/>
        </w:rPr>
        <w:t>（</w:t>
      </w:r>
      <w:r>
        <w:t>锯</w:t>
      </w:r>
      <w:r>
        <w:rPr>
          <w:rFonts w:hint="eastAsia"/>
        </w:rPr>
        <w:t>）</w:t>
      </w:r>
      <w:r>
        <w:t>口的表面削光滑</w:t>
      </w:r>
      <w:r>
        <w:rPr>
          <w:rFonts w:hint="eastAsia"/>
        </w:rPr>
        <w:t>，每枝宜嫁接2个～3个接穗，</w:t>
      </w:r>
      <w:r>
        <w:t>以利增加枝梢数量和接口愈合。</w:t>
      </w:r>
    </w:p>
    <w:p>
      <w:pPr>
        <w:pStyle w:val="108"/>
        <w:numPr>
          <w:ilvl w:val="2"/>
          <w:numId w:val="31"/>
        </w:numPr>
        <w:spacing w:before="120" w:after="120"/>
        <w:rPr>
          <w:rFonts w:hint="eastAsia"/>
          <w:lang w:val="en-US" w:eastAsia="zh-CN"/>
        </w:rPr>
      </w:pPr>
      <w:bookmarkStart w:id="66" w:name="_Toc21199"/>
      <w:r>
        <w:rPr>
          <w:rFonts w:hint="eastAsia"/>
          <w:lang w:val="en-US" w:eastAsia="zh-CN"/>
        </w:rPr>
        <w:t>高接后管理</w:t>
      </w:r>
      <w:bookmarkEnd w:id="66"/>
    </w:p>
    <w:p>
      <w:pPr>
        <w:pStyle w:val="68"/>
        <w:keepNext w:val="0"/>
        <w:keepLines w:val="0"/>
        <w:pageBreakBefore w:val="0"/>
        <w:widowControl w:val="0"/>
        <w:numPr>
          <w:ilvl w:val="3"/>
          <w:numId w:val="31"/>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eastAsia="zh-CN"/>
        </w:rPr>
      </w:pPr>
      <w:r>
        <w:rPr>
          <w:rFonts w:hint="eastAsia" w:ascii="黑体" w:hAnsi="黑体" w:eastAsia="黑体" w:cs="黑体"/>
          <w:lang w:val="en-US" w:eastAsia="zh-CN"/>
        </w:rPr>
        <w:t>剪砧与伤口保护</w:t>
      </w:r>
    </w:p>
    <w:p>
      <w:pPr>
        <w:pStyle w:val="59"/>
        <w:ind w:firstLine="420"/>
        <w:rPr>
          <w:rFonts w:ascii="黑体" w:hAnsi="黑体" w:eastAsia="黑体" w:cs="黑体"/>
        </w:rPr>
      </w:pPr>
      <w:r>
        <w:t>对秋季腹接的树，分两段剪</w:t>
      </w:r>
      <w:r>
        <w:rPr>
          <w:rFonts w:hint="eastAsia"/>
        </w:rPr>
        <w:t>（</w:t>
      </w:r>
      <w:r>
        <w:t>锯</w:t>
      </w:r>
      <w:r>
        <w:rPr>
          <w:rFonts w:hint="eastAsia"/>
        </w:rPr>
        <w:t>）</w:t>
      </w:r>
      <w:r>
        <w:t>砧。接芽萌发前在嫁接口上方留</w:t>
      </w:r>
      <w:r>
        <w:rPr>
          <w:rFonts w:hint="eastAsia"/>
        </w:rPr>
        <w:t>1</w:t>
      </w:r>
      <w:r>
        <w:t>5</w:t>
      </w:r>
      <w:r>
        <w:rPr>
          <w:rFonts w:hint="eastAsia"/>
        </w:rPr>
        <w:t xml:space="preserve"> </w:t>
      </w:r>
      <w:r>
        <w:t>cm</w:t>
      </w:r>
      <w:r>
        <w:rPr>
          <w:rFonts w:hint="eastAsia"/>
        </w:rPr>
        <w:t>～</w:t>
      </w:r>
      <w:r>
        <w:t>20</w:t>
      </w:r>
      <w:r>
        <w:rPr>
          <w:rFonts w:hint="eastAsia"/>
        </w:rPr>
        <w:t xml:space="preserve"> </w:t>
      </w:r>
      <w:r>
        <w:t>cm剪</w:t>
      </w:r>
      <w:r>
        <w:rPr>
          <w:rFonts w:hint="eastAsia"/>
        </w:rPr>
        <w:t>（</w:t>
      </w:r>
      <w:r>
        <w:t>锯</w:t>
      </w:r>
      <w:r>
        <w:rPr>
          <w:rFonts w:hint="eastAsia"/>
        </w:rPr>
        <w:t>）</w:t>
      </w:r>
      <w:r>
        <w:t>前面的枝干</w:t>
      </w:r>
      <w:r>
        <w:rPr>
          <w:rFonts w:hint="eastAsia"/>
        </w:rPr>
        <w:t>；</w:t>
      </w:r>
      <w:r>
        <w:t>新梢长到15</w:t>
      </w:r>
      <w:r>
        <w:rPr>
          <w:rFonts w:hint="eastAsia"/>
        </w:rPr>
        <w:t xml:space="preserve"> </w:t>
      </w:r>
      <w:r>
        <w:t>cm</w:t>
      </w:r>
      <w:r>
        <w:rPr>
          <w:rFonts w:hint="eastAsia"/>
        </w:rPr>
        <w:t>～</w:t>
      </w:r>
      <w:r>
        <w:t>20</w:t>
      </w:r>
      <w:r>
        <w:rPr>
          <w:rFonts w:hint="eastAsia"/>
        </w:rPr>
        <w:t xml:space="preserve"> </w:t>
      </w:r>
      <w:r>
        <w:t>cm时，再剪</w:t>
      </w:r>
      <w:r>
        <w:rPr>
          <w:rFonts w:hint="eastAsia"/>
        </w:rPr>
        <w:t>（</w:t>
      </w:r>
      <w:r>
        <w:t>锯</w:t>
      </w:r>
      <w:r>
        <w:rPr>
          <w:rFonts w:hint="eastAsia"/>
        </w:rPr>
        <w:t>）</w:t>
      </w:r>
      <w:r>
        <w:t>掉接口前多余的枝干。对剪口过大的桩口，应将桩口表面</w:t>
      </w:r>
      <w:r>
        <w:rPr>
          <w:rFonts w:hint="eastAsia"/>
        </w:rPr>
        <w:t>削光滑，并用薄膜包住保护伤口。</w:t>
      </w:r>
    </w:p>
    <w:p>
      <w:pPr>
        <w:pStyle w:val="68"/>
        <w:keepNext w:val="0"/>
        <w:keepLines w:val="0"/>
        <w:pageBreakBefore w:val="0"/>
        <w:widowControl w:val="0"/>
        <w:numPr>
          <w:ilvl w:val="3"/>
          <w:numId w:val="31"/>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eastAsia="zh-CN"/>
        </w:rPr>
      </w:pPr>
      <w:r>
        <w:rPr>
          <w:rFonts w:hint="eastAsia" w:ascii="黑体" w:hAnsi="黑体" w:eastAsia="黑体" w:cs="黑体"/>
          <w:lang w:val="en-US" w:eastAsia="zh-CN"/>
        </w:rPr>
        <w:t>检查成活</w:t>
      </w:r>
    </w:p>
    <w:p>
      <w:pPr>
        <w:pStyle w:val="59"/>
        <w:ind w:firstLine="420"/>
      </w:pPr>
      <w:r>
        <w:t>嫁接后30</w:t>
      </w:r>
      <w:r>
        <w:rPr>
          <w:rFonts w:hint="eastAsia"/>
        </w:rPr>
        <w:t xml:space="preserve"> </w:t>
      </w:r>
      <w:r>
        <w:t>d检查成活率，未成活的及时补接。</w:t>
      </w:r>
    </w:p>
    <w:p>
      <w:pPr>
        <w:pStyle w:val="68"/>
        <w:keepNext w:val="0"/>
        <w:keepLines w:val="0"/>
        <w:pageBreakBefore w:val="0"/>
        <w:widowControl w:val="0"/>
        <w:numPr>
          <w:ilvl w:val="3"/>
          <w:numId w:val="31"/>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eastAsia="zh-CN"/>
        </w:rPr>
      </w:pPr>
      <w:r>
        <w:rPr>
          <w:rFonts w:hint="eastAsia" w:ascii="黑体" w:hAnsi="黑体" w:eastAsia="黑体" w:cs="黑体"/>
          <w:lang w:val="en-US" w:eastAsia="zh-CN"/>
        </w:rPr>
        <w:t>刻伤、抹芽、摘心和除萌</w:t>
      </w:r>
    </w:p>
    <w:p>
      <w:pPr>
        <w:pStyle w:val="59"/>
        <w:ind w:firstLine="420"/>
      </w:pPr>
      <w:r>
        <w:rPr>
          <w:rFonts w:hint="eastAsia"/>
        </w:rPr>
        <w:t>嫁接后，在每个枝条最前端一个接芽上方5 cm～10 cm处进行环割或刻伤，深度以达到木质部为宜；新梢萌发后，每个接芽留2个～3个健壮新梢，其余抹除；当新梢长到10片～15片叶时摘心，促发分枝；及时抹除剪（锯）口萌发的隐芽和萌蘖。</w:t>
      </w:r>
    </w:p>
    <w:p>
      <w:pPr>
        <w:pStyle w:val="68"/>
        <w:keepNext w:val="0"/>
        <w:keepLines w:val="0"/>
        <w:pageBreakBefore w:val="0"/>
        <w:widowControl w:val="0"/>
        <w:numPr>
          <w:ilvl w:val="3"/>
          <w:numId w:val="31"/>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eastAsia="zh-CN"/>
        </w:rPr>
      </w:pPr>
      <w:r>
        <w:rPr>
          <w:rFonts w:hint="eastAsia" w:ascii="黑体" w:hAnsi="黑体" w:eastAsia="黑体" w:cs="黑体"/>
          <w:lang w:val="en-US" w:eastAsia="zh-CN"/>
        </w:rPr>
        <w:t>设置支柱和涂白</w:t>
      </w:r>
    </w:p>
    <w:p>
      <w:pPr>
        <w:pStyle w:val="59"/>
        <w:ind w:firstLine="420"/>
        <w:rPr>
          <w:rFonts w:ascii="黑体" w:hAnsi="黑体" w:eastAsia="黑体" w:cs="黑体"/>
        </w:rPr>
      </w:pPr>
      <w:r>
        <w:rPr>
          <w:rFonts w:hint="eastAsia"/>
        </w:rPr>
        <w:t>枝梢抽出50 cm～60 cm时，对树体的主要骨干枝延长头设支柱保护，对主要枝干进行涂白。</w:t>
      </w:r>
    </w:p>
    <w:p>
      <w:pPr>
        <w:pStyle w:val="68"/>
        <w:keepNext w:val="0"/>
        <w:keepLines w:val="0"/>
        <w:pageBreakBefore w:val="0"/>
        <w:widowControl w:val="0"/>
        <w:numPr>
          <w:ilvl w:val="3"/>
          <w:numId w:val="31"/>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eastAsia="zh-CN"/>
        </w:rPr>
      </w:pPr>
      <w:r>
        <w:rPr>
          <w:rFonts w:hint="eastAsia" w:ascii="黑体" w:hAnsi="黑体" w:eastAsia="黑体" w:cs="黑体"/>
          <w:lang w:val="en-US" w:eastAsia="zh-CN"/>
        </w:rPr>
        <w:t>解绑</w:t>
      </w:r>
    </w:p>
    <w:p>
      <w:pPr>
        <w:pStyle w:val="59"/>
        <w:ind w:firstLine="420"/>
      </w:pPr>
      <w:r>
        <w:t>接芽萌动时只划开嫁接成活的芽眼处的薄膜，露出芽眼让芽体萌发抽枝，待抽出的新梢接近老熟后再将薄膜全部解除。</w:t>
      </w:r>
    </w:p>
    <w:p>
      <w:pPr>
        <w:pStyle w:val="68"/>
        <w:keepNext w:val="0"/>
        <w:keepLines w:val="0"/>
        <w:pageBreakBefore w:val="0"/>
        <w:widowControl w:val="0"/>
        <w:numPr>
          <w:ilvl w:val="3"/>
          <w:numId w:val="31"/>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eastAsia="zh-CN"/>
        </w:rPr>
      </w:pPr>
      <w:r>
        <w:rPr>
          <w:rFonts w:hint="eastAsia" w:ascii="黑体" w:hAnsi="黑体" w:eastAsia="黑体" w:cs="黑体"/>
          <w:lang w:val="en-US" w:eastAsia="zh-CN"/>
        </w:rPr>
        <w:t>肥水管理</w:t>
      </w:r>
    </w:p>
    <w:p>
      <w:pPr>
        <w:pStyle w:val="59"/>
        <w:ind w:firstLine="420"/>
      </w:pPr>
      <w:r>
        <w:rPr>
          <w:rFonts w:hint="eastAsia"/>
        </w:rPr>
        <w:t>高接后按照下列方式进行肥水管理：</w:t>
      </w:r>
    </w:p>
    <w:p>
      <w:pPr>
        <w:pStyle w:val="59"/>
        <w:ind w:firstLine="420"/>
        <w:rPr>
          <w:rFonts w:hint="eastAsia" w:ascii="宋体" w:hAnsi="宋体" w:eastAsia="宋体" w:cs="宋体"/>
        </w:rPr>
      </w:pPr>
      <w:r>
        <w:rPr>
          <w:rFonts w:hint="eastAsia" w:ascii="宋体" w:hAnsi="宋体" w:eastAsia="宋体" w:cs="宋体"/>
        </w:rPr>
        <w:t>——土壤施肥以薄肥勤施为原则，施肥方法以撒施、浇施为主，叶面施肥为辅；</w:t>
      </w:r>
    </w:p>
    <w:p>
      <w:pPr>
        <w:pStyle w:val="59"/>
        <w:ind w:firstLine="420"/>
        <w:rPr>
          <w:rFonts w:hint="eastAsia" w:ascii="宋体" w:hAnsi="宋体" w:eastAsia="宋体" w:cs="宋体"/>
        </w:rPr>
      </w:pPr>
      <w:r>
        <w:rPr>
          <w:rFonts w:hint="eastAsia" w:ascii="宋体" w:hAnsi="宋体" w:eastAsia="宋体" w:cs="宋体"/>
        </w:rPr>
        <w:t>——在生长季节用高氮叶面肥和0.2%的磷酸二氢钾喷雾，每2周1次；</w:t>
      </w:r>
    </w:p>
    <w:p>
      <w:pPr>
        <w:pStyle w:val="59"/>
        <w:ind w:firstLine="420"/>
        <w:rPr>
          <w:rFonts w:hint="eastAsia" w:ascii="宋体" w:hAnsi="宋体" w:eastAsia="宋体" w:cs="宋体"/>
        </w:rPr>
      </w:pPr>
      <w:r>
        <w:rPr>
          <w:rFonts w:hint="eastAsia" w:ascii="宋体" w:hAnsi="宋体" w:eastAsia="宋体" w:cs="宋体"/>
        </w:rPr>
        <w:t>——分别在春、夏、秋梢抽发前和抽发后各施1次促梢肥和壮梢肥，每次的施肥量应为平常施肥的1/2，做到有机肥与氮、磷、钾配合施用；</w:t>
      </w:r>
    </w:p>
    <w:p>
      <w:pPr>
        <w:pStyle w:val="59"/>
        <w:ind w:firstLine="420"/>
        <w:rPr>
          <w:rFonts w:hint="eastAsia" w:ascii="宋体" w:hAnsi="宋体" w:eastAsia="宋体" w:cs="宋体"/>
        </w:rPr>
      </w:pPr>
      <w:r>
        <w:rPr>
          <w:rFonts w:hint="eastAsia" w:ascii="宋体" w:hAnsi="宋体" w:eastAsia="宋体" w:cs="宋体"/>
        </w:rPr>
        <w:t>——干旱时应及时灌水，提倡对高改树进行地面覆盖保墒。</w:t>
      </w:r>
    </w:p>
    <w:p>
      <w:pPr>
        <w:pStyle w:val="68"/>
        <w:keepNext w:val="0"/>
        <w:keepLines w:val="0"/>
        <w:pageBreakBefore w:val="0"/>
        <w:widowControl w:val="0"/>
        <w:numPr>
          <w:ilvl w:val="3"/>
          <w:numId w:val="31"/>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lang w:val="en-US" w:eastAsia="zh-CN"/>
        </w:rPr>
      </w:pPr>
      <w:r>
        <w:rPr>
          <w:rFonts w:hint="eastAsia" w:ascii="黑体" w:hAnsi="黑体" w:eastAsia="黑体" w:cs="黑体"/>
          <w:lang w:val="en-US" w:eastAsia="zh-CN"/>
        </w:rPr>
        <w:t>控制结果量</w:t>
      </w:r>
    </w:p>
    <w:p>
      <w:pPr>
        <w:pStyle w:val="59"/>
        <w:ind w:firstLine="420"/>
      </w:pPr>
      <w:r>
        <w:rPr>
          <w:rFonts w:hint="eastAsia"/>
        </w:rPr>
        <w:t>高接后第1年应疏除全部花蕾，第2年在保证树体生长的前提下试花挂果。</w:t>
      </w:r>
    </w:p>
    <w:p>
      <w:pPr>
        <w:pStyle w:val="107"/>
        <w:numPr>
          <w:ilvl w:val="1"/>
          <w:numId w:val="31"/>
        </w:numPr>
        <w:spacing w:before="240" w:after="240"/>
        <w:rPr>
          <w:rFonts w:hint="eastAsia"/>
          <w:lang w:val="en-US" w:eastAsia="zh-CN"/>
        </w:rPr>
      </w:pPr>
      <w:bookmarkStart w:id="67" w:name="_Toc17461"/>
      <w:bookmarkStart w:id="68" w:name="_Toc22411"/>
      <w:r>
        <w:rPr>
          <w:rFonts w:hint="eastAsia"/>
          <w:lang w:val="en-US" w:eastAsia="zh-CN"/>
        </w:rPr>
        <w:t>土壤改良</w:t>
      </w:r>
      <w:bookmarkEnd w:id="67"/>
      <w:bookmarkEnd w:id="68"/>
    </w:p>
    <w:p>
      <w:pPr>
        <w:pStyle w:val="59"/>
        <w:ind w:firstLine="420"/>
      </w:pPr>
      <w:r>
        <w:rPr>
          <w:rFonts w:hint="eastAsia"/>
        </w:rPr>
        <w:t>按照T/PUCIA 006的规定执行。</w:t>
      </w:r>
    </w:p>
    <w:p>
      <w:pPr>
        <w:pStyle w:val="107"/>
        <w:numPr>
          <w:ilvl w:val="1"/>
          <w:numId w:val="31"/>
        </w:numPr>
        <w:spacing w:before="240" w:after="240"/>
        <w:rPr>
          <w:rFonts w:hint="eastAsia"/>
          <w:lang w:val="en-US" w:eastAsia="zh-CN"/>
        </w:rPr>
      </w:pPr>
      <w:bookmarkStart w:id="69" w:name="_Toc20993"/>
      <w:bookmarkStart w:id="70" w:name="_Toc20784"/>
      <w:r>
        <w:rPr>
          <w:rFonts w:hint="eastAsia"/>
          <w:lang w:val="en-US" w:eastAsia="zh-CN"/>
        </w:rPr>
        <w:t>病虫害防治</w:t>
      </w:r>
      <w:bookmarkEnd w:id="69"/>
      <w:bookmarkEnd w:id="70"/>
    </w:p>
    <w:p>
      <w:pPr>
        <w:pStyle w:val="59"/>
        <w:ind w:firstLine="420"/>
        <w:rPr>
          <w:rFonts w:hint="eastAsia"/>
        </w:rPr>
      </w:pPr>
      <w:r>
        <w:rPr>
          <w:rFonts w:hint="eastAsia"/>
        </w:rPr>
        <w:t>主要防治树脂病、炭疽病、潜叶蛾、红蜘蛛、粉虱、凤蝶、蚜虫等病虫害，防治方法按照T/PUCIA 004的规定执行。</w:t>
      </w:r>
    </w:p>
    <w:p>
      <w:pPr>
        <w:pStyle w:val="59"/>
        <w:ind w:firstLine="420"/>
        <w:rPr>
          <w:rFonts w:hint="eastAsia"/>
        </w:rPr>
      </w:pPr>
      <w:bookmarkStart w:id="72" w:name="_GoBack"/>
      <w:bookmarkEnd w:id="72"/>
    </w:p>
    <w:bookmarkEnd w:id="4"/>
    <w:bookmarkEnd w:id="41"/>
    <w:p>
      <w:pPr>
        <w:pStyle w:val="59"/>
        <w:ind w:firstLine="0" w:firstLineChars="0"/>
        <w:jc w:val="center"/>
        <w:rPr>
          <w:vanish/>
        </w:rPr>
      </w:pPr>
      <w:bookmarkStart w:id="71" w:name="BookMark5"/>
      <w:bookmarkEnd w:id="71"/>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a:stretch>
                      <a:fillRect/>
                    </a:stretch>
                  </pic:blipFill>
                  <pic:spPr>
                    <a:xfrm>
                      <a:off x="0" y="0"/>
                      <a:ext cx="1485900" cy="317500"/>
                    </a:xfrm>
                    <a:prstGeom prst="rect">
                      <a:avLst/>
                    </a:prstGeom>
                  </pic:spPr>
                </pic:pic>
              </a:graphicData>
            </a:graphic>
          </wp:inline>
        </w:drawing>
      </w:r>
    </w:p>
    <w:sectPr>
      <w:headerReference r:id="rId17" w:type="default"/>
      <w:footerReference r:id="rId19" w:type="default"/>
      <w:headerReference r:id="rId18" w:type="even"/>
      <w:footerReference r:id="rId20"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PAGE   \* MERGEFORMAT</w:instrText>
                          </w:r>
                          <w:r>
                            <w:fldChar w:fldCharType="separate"/>
                          </w:r>
                          <w:r>
                            <w:rPr>
                              <w:lang w:val="zh-CN"/>
                            </w:rPr>
                            <w:t>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5"/>
                    </w:pPr>
                    <w:r>
                      <w:fldChar w:fldCharType="begin"/>
                    </w:r>
                    <w:r>
                      <w:instrText xml:space="preserve">PAGE   \* MERGEFORMAT</w:instrText>
                    </w:r>
                    <w:r>
                      <w:fldChar w:fldCharType="separate"/>
                    </w:r>
                    <w:r>
                      <w:rPr>
                        <w:lang w:val="zh-CN"/>
                      </w:rPr>
                      <w:t>V</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ind w:firstLine="8820" w:firstLineChars="490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ind w:firstLine="8820" w:firstLineChars="4900"/>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4"/>
                      <w:ind w:firstLine="8820" w:firstLineChars="4900"/>
                    </w:pPr>
                    <w:r>
                      <w:fldChar w:fldCharType="begin"/>
                    </w:r>
                    <w:r>
                      <w:instrText xml:space="preserve"> PAGE   \* MERGEFORMAT \* MERGEFORMAT </w:instrText>
                    </w:r>
                    <w:r>
                      <w:fldChar w:fldCharType="separate"/>
                    </w:r>
                    <w:r>
                      <w:t>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009—2022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T/PUCIA 009—2022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009—2022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ind w:right="420"/>
      <w:jc w:val="right"/>
    </w:pPr>
    <w:r>
      <w:fldChar w:fldCharType="begin"/>
    </w:r>
    <w:r>
      <w:instrText xml:space="preserve"> STYLEREF  标准文件_文件编号 \* MERGEFORMAT </w:instrText>
    </w:r>
    <w:r>
      <w:fldChar w:fldCharType="separate"/>
    </w:r>
    <w:r>
      <w:t>T/PUCIA 009—2022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T/PUCIA 009—2022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T/PUCIA 009—2022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851"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23"/>
  </w:num>
  <w:num w:numId="4">
    <w:abstractNumId w:val="18"/>
  </w:num>
  <w:num w:numId="5">
    <w:abstractNumId w:val="13"/>
  </w:num>
  <w:num w:numId="6">
    <w:abstractNumId w:val="8"/>
  </w:num>
  <w:num w:numId="7">
    <w:abstractNumId w:val="3"/>
  </w:num>
  <w:num w:numId="8">
    <w:abstractNumId w:val="9"/>
  </w:num>
  <w:num w:numId="9">
    <w:abstractNumId w:val="16"/>
  </w:num>
  <w:num w:numId="10">
    <w:abstractNumId w:val="25"/>
  </w:num>
  <w:num w:numId="11">
    <w:abstractNumId w:val="11"/>
  </w:num>
  <w:num w:numId="12">
    <w:abstractNumId w:val="12"/>
  </w:num>
  <w:num w:numId="13">
    <w:abstractNumId w:val="7"/>
  </w:num>
  <w:num w:numId="14">
    <w:abstractNumId w:val="19"/>
  </w:num>
  <w:num w:numId="15">
    <w:abstractNumId w:val="21"/>
  </w:num>
  <w:num w:numId="16">
    <w:abstractNumId w:val="17"/>
  </w:num>
  <w:num w:numId="17">
    <w:abstractNumId w:val="29"/>
  </w:num>
  <w:num w:numId="18">
    <w:abstractNumId w:val="15"/>
  </w:num>
  <w:num w:numId="19">
    <w:abstractNumId w:val="1"/>
  </w:num>
  <w:num w:numId="20">
    <w:abstractNumId w:val="10"/>
  </w:num>
  <w:num w:numId="21">
    <w:abstractNumId w:val="30"/>
  </w:num>
  <w:num w:numId="22">
    <w:abstractNumId w:val="20"/>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Y2JlNjMyNmU0OTJiY2U5MWVmNjZkMTNhZDUwYmQifQ=="/>
  </w:docVars>
  <w:rsids>
    <w:rsidRoot w:val="21347BEE"/>
    <w:rsid w:val="0000040A"/>
    <w:rsid w:val="00000A94"/>
    <w:rsid w:val="00001972"/>
    <w:rsid w:val="00001D9A"/>
    <w:rsid w:val="00004D77"/>
    <w:rsid w:val="000051AD"/>
    <w:rsid w:val="00007B3A"/>
    <w:rsid w:val="000107E0"/>
    <w:rsid w:val="00010DE1"/>
    <w:rsid w:val="00011F58"/>
    <w:rsid w:val="00011FDE"/>
    <w:rsid w:val="00012FFD"/>
    <w:rsid w:val="00013FCB"/>
    <w:rsid w:val="00014162"/>
    <w:rsid w:val="00014340"/>
    <w:rsid w:val="0001441C"/>
    <w:rsid w:val="00014F30"/>
    <w:rsid w:val="00015687"/>
    <w:rsid w:val="00015D65"/>
    <w:rsid w:val="00016A9C"/>
    <w:rsid w:val="00017D08"/>
    <w:rsid w:val="00022184"/>
    <w:rsid w:val="00022762"/>
    <w:rsid w:val="00023128"/>
    <w:rsid w:val="000238E0"/>
    <w:rsid w:val="00023E3F"/>
    <w:rsid w:val="0002437C"/>
    <w:rsid w:val="000248A0"/>
    <w:rsid w:val="000249DB"/>
    <w:rsid w:val="0002595E"/>
    <w:rsid w:val="000303C3"/>
    <w:rsid w:val="000322B1"/>
    <w:rsid w:val="000331D3"/>
    <w:rsid w:val="000346A5"/>
    <w:rsid w:val="000359C3"/>
    <w:rsid w:val="00035A7D"/>
    <w:rsid w:val="000363F4"/>
    <w:rsid w:val="000365ED"/>
    <w:rsid w:val="00036E1F"/>
    <w:rsid w:val="000416E0"/>
    <w:rsid w:val="00041A6F"/>
    <w:rsid w:val="0004249A"/>
    <w:rsid w:val="00042BA1"/>
    <w:rsid w:val="00042D18"/>
    <w:rsid w:val="00043282"/>
    <w:rsid w:val="00044217"/>
    <w:rsid w:val="00044286"/>
    <w:rsid w:val="0004692F"/>
    <w:rsid w:val="00047F28"/>
    <w:rsid w:val="000503AA"/>
    <w:rsid w:val="000506A1"/>
    <w:rsid w:val="000515DD"/>
    <w:rsid w:val="0005265A"/>
    <w:rsid w:val="000539DD"/>
    <w:rsid w:val="00053BD3"/>
    <w:rsid w:val="00053DDD"/>
    <w:rsid w:val="0005441D"/>
    <w:rsid w:val="000551EE"/>
    <w:rsid w:val="000556ED"/>
    <w:rsid w:val="00055FE2"/>
    <w:rsid w:val="0005616F"/>
    <w:rsid w:val="00060C2E"/>
    <w:rsid w:val="00061033"/>
    <w:rsid w:val="000619E9"/>
    <w:rsid w:val="000622D4"/>
    <w:rsid w:val="0006357D"/>
    <w:rsid w:val="0006684E"/>
    <w:rsid w:val="00067F1E"/>
    <w:rsid w:val="00071CC0"/>
    <w:rsid w:val="00071CFC"/>
    <w:rsid w:val="00073B68"/>
    <w:rsid w:val="00073C8C"/>
    <w:rsid w:val="000743DA"/>
    <w:rsid w:val="0007595F"/>
    <w:rsid w:val="00076813"/>
    <w:rsid w:val="00077B64"/>
    <w:rsid w:val="00080A1C"/>
    <w:rsid w:val="00082317"/>
    <w:rsid w:val="00083D2C"/>
    <w:rsid w:val="00085496"/>
    <w:rsid w:val="00086AA1"/>
    <w:rsid w:val="00087A77"/>
    <w:rsid w:val="00090CA6"/>
    <w:rsid w:val="0009185A"/>
    <w:rsid w:val="00092B8A"/>
    <w:rsid w:val="00092FB0"/>
    <w:rsid w:val="000931AE"/>
    <w:rsid w:val="000934C5"/>
    <w:rsid w:val="00093D25"/>
    <w:rsid w:val="00093DAB"/>
    <w:rsid w:val="00094B62"/>
    <w:rsid w:val="00094B93"/>
    <w:rsid w:val="00094D73"/>
    <w:rsid w:val="00096D63"/>
    <w:rsid w:val="000970D4"/>
    <w:rsid w:val="000A0876"/>
    <w:rsid w:val="000A0B60"/>
    <w:rsid w:val="000A0EB8"/>
    <w:rsid w:val="000A19FC"/>
    <w:rsid w:val="000A296B"/>
    <w:rsid w:val="000A551D"/>
    <w:rsid w:val="000A6738"/>
    <w:rsid w:val="000A7311"/>
    <w:rsid w:val="000A737F"/>
    <w:rsid w:val="000B060F"/>
    <w:rsid w:val="000B0D08"/>
    <w:rsid w:val="000B1592"/>
    <w:rsid w:val="000B1FF2"/>
    <w:rsid w:val="000B287F"/>
    <w:rsid w:val="000B2D20"/>
    <w:rsid w:val="000B36B8"/>
    <w:rsid w:val="000B3A01"/>
    <w:rsid w:val="000B3CDA"/>
    <w:rsid w:val="000B6A0B"/>
    <w:rsid w:val="000B7385"/>
    <w:rsid w:val="000B7C54"/>
    <w:rsid w:val="000C0F6C"/>
    <w:rsid w:val="000C11DB"/>
    <w:rsid w:val="000C1492"/>
    <w:rsid w:val="000C1ADC"/>
    <w:rsid w:val="000C1BC6"/>
    <w:rsid w:val="000C2FBD"/>
    <w:rsid w:val="000C4B41"/>
    <w:rsid w:val="000C57D6"/>
    <w:rsid w:val="000C5BD3"/>
    <w:rsid w:val="000C6362"/>
    <w:rsid w:val="000C653F"/>
    <w:rsid w:val="000C7666"/>
    <w:rsid w:val="000D0A9C"/>
    <w:rsid w:val="000D1795"/>
    <w:rsid w:val="000D2331"/>
    <w:rsid w:val="000D2C19"/>
    <w:rsid w:val="000D329A"/>
    <w:rsid w:val="000D4B9C"/>
    <w:rsid w:val="000D4EB6"/>
    <w:rsid w:val="000D753B"/>
    <w:rsid w:val="000E0FA8"/>
    <w:rsid w:val="000E1927"/>
    <w:rsid w:val="000E4C9E"/>
    <w:rsid w:val="000E6FD7"/>
    <w:rsid w:val="000F05D5"/>
    <w:rsid w:val="000F06E1"/>
    <w:rsid w:val="000F08FE"/>
    <w:rsid w:val="000F0E3C"/>
    <w:rsid w:val="000F19D5"/>
    <w:rsid w:val="000F2AEE"/>
    <w:rsid w:val="000F4050"/>
    <w:rsid w:val="000F46F2"/>
    <w:rsid w:val="000F4AEA"/>
    <w:rsid w:val="000F67E9"/>
    <w:rsid w:val="00102C5E"/>
    <w:rsid w:val="00104926"/>
    <w:rsid w:val="00107801"/>
    <w:rsid w:val="00107FAA"/>
    <w:rsid w:val="001126E1"/>
    <w:rsid w:val="00113B1E"/>
    <w:rsid w:val="0011711C"/>
    <w:rsid w:val="001173B7"/>
    <w:rsid w:val="00121488"/>
    <w:rsid w:val="00121E48"/>
    <w:rsid w:val="0012376A"/>
    <w:rsid w:val="00123DB0"/>
    <w:rsid w:val="00124CC5"/>
    <w:rsid w:val="00124E4F"/>
    <w:rsid w:val="001260B7"/>
    <w:rsid w:val="001265CB"/>
    <w:rsid w:val="00131649"/>
    <w:rsid w:val="001321C6"/>
    <w:rsid w:val="001325C4"/>
    <w:rsid w:val="00132A55"/>
    <w:rsid w:val="00132E96"/>
    <w:rsid w:val="00133010"/>
    <w:rsid w:val="001338EE"/>
    <w:rsid w:val="00133AAE"/>
    <w:rsid w:val="001348C7"/>
    <w:rsid w:val="00135323"/>
    <w:rsid w:val="001356C4"/>
    <w:rsid w:val="001362CD"/>
    <w:rsid w:val="00136568"/>
    <w:rsid w:val="00137565"/>
    <w:rsid w:val="00140DA6"/>
    <w:rsid w:val="00140EE1"/>
    <w:rsid w:val="00141081"/>
    <w:rsid w:val="00141114"/>
    <w:rsid w:val="00142969"/>
    <w:rsid w:val="00142F86"/>
    <w:rsid w:val="00143D0E"/>
    <w:rsid w:val="001446C2"/>
    <w:rsid w:val="001457E7"/>
    <w:rsid w:val="00145C27"/>
    <w:rsid w:val="00145D9D"/>
    <w:rsid w:val="00146388"/>
    <w:rsid w:val="0014641F"/>
    <w:rsid w:val="001529E5"/>
    <w:rsid w:val="00152FB3"/>
    <w:rsid w:val="001538F1"/>
    <w:rsid w:val="00153C7E"/>
    <w:rsid w:val="001566DB"/>
    <w:rsid w:val="00156B25"/>
    <w:rsid w:val="00156E1A"/>
    <w:rsid w:val="00157894"/>
    <w:rsid w:val="00157B55"/>
    <w:rsid w:val="001605D7"/>
    <w:rsid w:val="00160A67"/>
    <w:rsid w:val="0016214C"/>
    <w:rsid w:val="001642FA"/>
    <w:rsid w:val="001649EB"/>
    <w:rsid w:val="00164BAF"/>
    <w:rsid w:val="00164FA8"/>
    <w:rsid w:val="00165065"/>
    <w:rsid w:val="00165434"/>
    <w:rsid w:val="0016580B"/>
    <w:rsid w:val="00165F49"/>
    <w:rsid w:val="00166B88"/>
    <w:rsid w:val="0016770A"/>
    <w:rsid w:val="001701C7"/>
    <w:rsid w:val="00170804"/>
    <w:rsid w:val="001708E9"/>
    <w:rsid w:val="00170F86"/>
    <w:rsid w:val="001721C5"/>
    <w:rsid w:val="0017340B"/>
    <w:rsid w:val="00173FB1"/>
    <w:rsid w:val="001746AE"/>
    <w:rsid w:val="00176DFD"/>
    <w:rsid w:val="0017732D"/>
    <w:rsid w:val="00180FB7"/>
    <w:rsid w:val="001852C9"/>
    <w:rsid w:val="00187A0B"/>
    <w:rsid w:val="00190087"/>
    <w:rsid w:val="001913C4"/>
    <w:rsid w:val="00191AB6"/>
    <w:rsid w:val="0019348F"/>
    <w:rsid w:val="00193A07"/>
    <w:rsid w:val="00194C3A"/>
    <w:rsid w:val="00194C95"/>
    <w:rsid w:val="00195C34"/>
    <w:rsid w:val="00196EF5"/>
    <w:rsid w:val="001A1A53"/>
    <w:rsid w:val="001A234A"/>
    <w:rsid w:val="001A2813"/>
    <w:rsid w:val="001A4CF3"/>
    <w:rsid w:val="001A6696"/>
    <w:rsid w:val="001A7D87"/>
    <w:rsid w:val="001B06E8"/>
    <w:rsid w:val="001B6A0A"/>
    <w:rsid w:val="001B71D0"/>
    <w:rsid w:val="001B71EE"/>
    <w:rsid w:val="001B77F7"/>
    <w:rsid w:val="001C04A8"/>
    <w:rsid w:val="001C0938"/>
    <w:rsid w:val="001C2C03"/>
    <w:rsid w:val="001C42F7"/>
    <w:rsid w:val="001C45BC"/>
    <w:rsid w:val="001C49E5"/>
    <w:rsid w:val="001C4BE4"/>
    <w:rsid w:val="001C6201"/>
    <w:rsid w:val="001C680C"/>
    <w:rsid w:val="001C7F05"/>
    <w:rsid w:val="001C7FEA"/>
    <w:rsid w:val="001D0499"/>
    <w:rsid w:val="001D0BBE"/>
    <w:rsid w:val="001D0ED4"/>
    <w:rsid w:val="001D1603"/>
    <w:rsid w:val="001D212F"/>
    <w:rsid w:val="001D29D7"/>
    <w:rsid w:val="001D2AF1"/>
    <w:rsid w:val="001D2DE7"/>
    <w:rsid w:val="001D3B8D"/>
    <w:rsid w:val="001D411C"/>
    <w:rsid w:val="001D4E10"/>
    <w:rsid w:val="001D6578"/>
    <w:rsid w:val="001E03BF"/>
    <w:rsid w:val="001E12DF"/>
    <w:rsid w:val="001E1B6A"/>
    <w:rsid w:val="001E2484"/>
    <w:rsid w:val="001E272F"/>
    <w:rsid w:val="001E3CC4"/>
    <w:rsid w:val="001E4882"/>
    <w:rsid w:val="001E4973"/>
    <w:rsid w:val="001E4FA7"/>
    <w:rsid w:val="001E5580"/>
    <w:rsid w:val="001E5E80"/>
    <w:rsid w:val="001E6A36"/>
    <w:rsid w:val="001E73AB"/>
    <w:rsid w:val="001E7680"/>
    <w:rsid w:val="001F092D"/>
    <w:rsid w:val="001F143A"/>
    <w:rsid w:val="001F1605"/>
    <w:rsid w:val="001F2508"/>
    <w:rsid w:val="001F2D39"/>
    <w:rsid w:val="001F4816"/>
    <w:rsid w:val="001F49B3"/>
    <w:rsid w:val="001F528F"/>
    <w:rsid w:val="001F641C"/>
    <w:rsid w:val="001F69B4"/>
    <w:rsid w:val="001F77C7"/>
    <w:rsid w:val="00200183"/>
    <w:rsid w:val="00200333"/>
    <w:rsid w:val="0020107D"/>
    <w:rsid w:val="00202595"/>
    <w:rsid w:val="00202AA4"/>
    <w:rsid w:val="002031F7"/>
    <w:rsid w:val="002040E6"/>
    <w:rsid w:val="0020527B"/>
    <w:rsid w:val="00205F2C"/>
    <w:rsid w:val="00207221"/>
    <w:rsid w:val="00210B15"/>
    <w:rsid w:val="00212E22"/>
    <w:rsid w:val="002139B9"/>
    <w:rsid w:val="002142EA"/>
    <w:rsid w:val="00215ADD"/>
    <w:rsid w:val="002170AF"/>
    <w:rsid w:val="0021786E"/>
    <w:rsid w:val="002204BB"/>
    <w:rsid w:val="00221B79"/>
    <w:rsid w:val="00221C6B"/>
    <w:rsid w:val="0022319F"/>
    <w:rsid w:val="002253A1"/>
    <w:rsid w:val="00225CF8"/>
    <w:rsid w:val="0022794E"/>
    <w:rsid w:val="00227CE9"/>
    <w:rsid w:val="00231DA3"/>
    <w:rsid w:val="0023356F"/>
    <w:rsid w:val="0023397F"/>
    <w:rsid w:val="00233D64"/>
    <w:rsid w:val="0023482A"/>
    <w:rsid w:val="002359CB"/>
    <w:rsid w:val="00236DA7"/>
    <w:rsid w:val="002378E3"/>
    <w:rsid w:val="00237DA9"/>
    <w:rsid w:val="00237DD7"/>
    <w:rsid w:val="00243540"/>
    <w:rsid w:val="0024497B"/>
    <w:rsid w:val="0024515B"/>
    <w:rsid w:val="00245E2F"/>
    <w:rsid w:val="00246021"/>
    <w:rsid w:val="0024666E"/>
    <w:rsid w:val="00246E73"/>
    <w:rsid w:val="00247F52"/>
    <w:rsid w:val="00250B25"/>
    <w:rsid w:val="00250BBE"/>
    <w:rsid w:val="002515C2"/>
    <w:rsid w:val="0025194F"/>
    <w:rsid w:val="002519FD"/>
    <w:rsid w:val="0025737C"/>
    <w:rsid w:val="0026148A"/>
    <w:rsid w:val="00261D25"/>
    <w:rsid w:val="00262696"/>
    <w:rsid w:val="00262B38"/>
    <w:rsid w:val="00263C4B"/>
    <w:rsid w:val="00263D25"/>
    <w:rsid w:val="002643C3"/>
    <w:rsid w:val="00264A0C"/>
    <w:rsid w:val="00266EEB"/>
    <w:rsid w:val="00267EF4"/>
    <w:rsid w:val="00270CB8"/>
    <w:rsid w:val="00271F27"/>
    <w:rsid w:val="0027298D"/>
    <w:rsid w:val="00272B08"/>
    <w:rsid w:val="0027480B"/>
    <w:rsid w:val="00280297"/>
    <w:rsid w:val="002804A2"/>
    <w:rsid w:val="00281BB8"/>
    <w:rsid w:val="00281E9E"/>
    <w:rsid w:val="00282405"/>
    <w:rsid w:val="00285170"/>
    <w:rsid w:val="00285361"/>
    <w:rsid w:val="00285DEE"/>
    <w:rsid w:val="00290733"/>
    <w:rsid w:val="00292D4B"/>
    <w:rsid w:val="00292D60"/>
    <w:rsid w:val="00293B30"/>
    <w:rsid w:val="00294D34"/>
    <w:rsid w:val="00294E3B"/>
    <w:rsid w:val="00296193"/>
    <w:rsid w:val="00296C66"/>
    <w:rsid w:val="00296E70"/>
    <w:rsid w:val="00296EBE"/>
    <w:rsid w:val="002974E3"/>
    <w:rsid w:val="002A084B"/>
    <w:rsid w:val="002A1260"/>
    <w:rsid w:val="002A13F0"/>
    <w:rsid w:val="002A1589"/>
    <w:rsid w:val="002A1608"/>
    <w:rsid w:val="002A25DC"/>
    <w:rsid w:val="002A3AAB"/>
    <w:rsid w:val="002A3C68"/>
    <w:rsid w:val="002A450D"/>
    <w:rsid w:val="002A4CEA"/>
    <w:rsid w:val="002A5977"/>
    <w:rsid w:val="002A5A13"/>
    <w:rsid w:val="002A61DC"/>
    <w:rsid w:val="002A757F"/>
    <w:rsid w:val="002A792B"/>
    <w:rsid w:val="002A7F44"/>
    <w:rsid w:val="002B05DD"/>
    <w:rsid w:val="002B0C40"/>
    <w:rsid w:val="002B1373"/>
    <w:rsid w:val="002B1966"/>
    <w:rsid w:val="002B4508"/>
    <w:rsid w:val="002B5779"/>
    <w:rsid w:val="002B610E"/>
    <w:rsid w:val="002B7332"/>
    <w:rsid w:val="002B7F51"/>
    <w:rsid w:val="002C09E7"/>
    <w:rsid w:val="002C1E06"/>
    <w:rsid w:val="002C3F07"/>
    <w:rsid w:val="002C5278"/>
    <w:rsid w:val="002C7A22"/>
    <w:rsid w:val="002C7EBB"/>
    <w:rsid w:val="002D06C1"/>
    <w:rsid w:val="002D125D"/>
    <w:rsid w:val="002D3A5E"/>
    <w:rsid w:val="002D42B5"/>
    <w:rsid w:val="002D4F1A"/>
    <w:rsid w:val="002D525C"/>
    <w:rsid w:val="002D6EC6"/>
    <w:rsid w:val="002D778A"/>
    <w:rsid w:val="002D79AC"/>
    <w:rsid w:val="002E039D"/>
    <w:rsid w:val="002E0A1B"/>
    <w:rsid w:val="002E2C14"/>
    <w:rsid w:val="002E2F67"/>
    <w:rsid w:val="002E3CCB"/>
    <w:rsid w:val="002E4D5A"/>
    <w:rsid w:val="002E6326"/>
    <w:rsid w:val="002E7991"/>
    <w:rsid w:val="002F07CC"/>
    <w:rsid w:val="002F18B0"/>
    <w:rsid w:val="002F1FA2"/>
    <w:rsid w:val="002F1FED"/>
    <w:rsid w:val="002F30E0"/>
    <w:rsid w:val="002F35E4"/>
    <w:rsid w:val="002F36B5"/>
    <w:rsid w:val="002F3730"/>
    <w:rsid w:val="002F38E1"/>
    <w:rsid w:val="002F42D0"/>
    <w:rsid w:val="002F4B9A"/>
    <w:rsid w:val="002F7AF6"/>
    <w:rsid w:val="00300E63"/>
    <w:rsid w:val="0030143B"/>
    <w:rsid w:val="003015F8"/>
    <w:rsid w:val="00302D37"/>
    <w:rsid w:val="00302F5F"/>
    <w:rsid w:val="0030441D"/>
    <w:rsid w:val="00306063"/>
    <w:rsid w:val="0030642B"/>
    <w:rsid w:val="003109B1"/>
    <w:rsid w:val="0031186B"/>
    <w:rsid w:val="00313B85"/>
    <w:rsid w:val="00315F74"/>
    <w:rsid w:val="00316428"/>
    <w:rsid w:val="00317988"/>
    <w:rsid w:val="00317E44"/>
    <w:rsid w:val="003203CE"/>
    <w:rsid w:val="003221B4"/>
    <w:rsid w:val="0032258D"/>
    <w:rsid w:val="00322E62"/>
    <w:rsid w:val="00324D13"/>
    <w:rsid w:val="00324EDD"/>
    <w:rsid w:val="00324FCF"/>
    <w:rsid w:val="00326242"/>
    <w:rsid w:val="003309D8"/>
    <w:rsid w:val="00332F59"/>
    <w:rsid w:val="003331E4"/>
    <w:rsid w:val="00333F39"/>
    <w:rsid w:val="003343F9"/>
    <w:rsid w:val="00335891"/>
    <w:rsid w:val="00336241"/>
    <w:rsid w:val="003363D1"/>
    <w:rsid w:val="00336C64"/>
    <w:rsid w:val="00337162"/>
    <w:rsid w:val="0034194F"/>
    <w:rsid w:val="00342497"/>
    <w:rsid w:val="00344605"/>
    <w:rsid w:val="00344B2A"/>
    <w:rsid w:val="0034506C"/>
    <w:rsid w:val="0034518D"/>
    <w:rsid w:val="003474AA"/>
    <w:rsid w:val="00350D1D"/>
    <w:rsid w:val="00352A90"/>
    <w:rsid w:val="00352C83"/>
    <w:rsid w:val="00352F1A"/>
    <w:rsid w:val="0035620E"/>
    <w:rsid w:val="003562B9"/>
    <w:rsid w:val="00357DC5"/>
    <w:rsid w:val="00357EC7"/>
    <w:rsid w:val="00360114"/>
    <w:rsid w:val="0036107C"/>
    <w:rsid w:val="003615D2"/>
    <w:rsid w:val="0036429C"/>
    <w:rsid w:val="00364A53"/>
    <w:rsid w:val="00364D06"/>
    <w:rsid w:val="003654CB"/>
    <w:rsid w:val="00365AA9"/>
    <w:rsid w:val="00365F86"/>
    <w:rsid w:val="00365F87"/>
    <w:rsid w:val="00366E89"/>
    <w:rsid w:val="003672DD"/>
    <w:rsid w:val="003705F4"/>
    <w:rsid w:val="00370D58"/>
    <w:rsid w:val="00371316"/>
    <w:rsid w:val="003722C1"/>
    <w:rsid w:val="00376713"/>
    <w:rsid w:val="00376BAE"/>
    <w:rsid w:val="00380E32"/>
    <w:rsid w:val="0038175E"/>
    <w:rsid w:val="00381815"/>
    <w:rsid w:val="00381900"/>
    <w:rsid w:val="003819AF"/>
    <w:rsid w:val="003820E9"/>
    <w:rsid w:val="00382C76"/>
    <w:rsid w:val="00382DE7"/>
    <w:rsid w:val="00383FBF"/>
    <w:rsid w:val="00384FFC"/>
    <w:rsid w:val="003872FC"/>
    <w:rsid w:val="00387ADC"/>
    <w:rsid w:val="00390020"/>
    <w:rsid w:val="003903D6"/>
    <w:rsid w:val="00390EE6"/>
    <w:rsid w:val="0039118F"/>
    <w:rsid w:val="00392986"/>
    <w:rsid w:val="00392AD7"/>
    <w:rsid w:val="003938D9"/>
    <w:rsid w:val="00393C0F"/>
    <w:rsid w:val="00394376"/>
    <w:rsid w:val="003943FF"/>
    <w:rsid w:val="00394821"/>
    <w:rsid w:val="00395F8F"/>
    <w:rsid w:val="00396A20"/>
    <w:rsid w:val="003970BC"/>
    <w:rsid w:val="003974EB"/>
    <w:rsid w:val="00397CC5"/>
    <w:rsid w:val="003A1582"/>
    <w:rsid w:val="003A16DD"/>
    <w:rsid w:val="003A302E"/>
    <w:rsid w:val="003A3196"/>
    <w:rsid w:val="003A3D9C"/>
    <w:rsid w:val="003A4077"/>
    <w:rsid w:val="003A4AA7"/>
    <w:rsid w:val="003A71DA"/>
    <w:rsid w:val="003A7DCC"/>
    <w:rsid w:val="003B0611"/>
    <w:rsid w:val="003B09AD"/>
    <w:rsid w:val="003B0FCA"/>
    <w:rsid w:val="003B126E"/>
    <w:rsid w:val="003B15C8"/>
    <w:rsid w:val="003B1F18"/>
    <w:rsid w:val="003B5BF0"/>
    <w:rsid w:val="003B60BF"/>
    <w:rsid w:val="003B6BE3"/>
    <w:rsid w:val="003B6FCC"/>
    <w:rsid w:val="003B6FF5"/>
    <w:rsid w:val="003B7639"/>
    <w:rsid w:val="003C010C"/>
    <w:rsid w:val="003C0A6C"/>
    <w:rsid w:val="003C14F8"/>
    <w:rsid w:val="003C3538"/>
    <w:rsid w:val="003C5A43"/>
    <w:rsid w:val="003C5F70"/>
    <w:rsid w:val="003C61F5"/>
    <w:rsid w:val="003D0519"/>
    <w:rsid w:val="003D0FF6"/>
    <w:rsid w:val="003D1296"/>
    <w:rsid w:val="003D262C"/>
    <w:rsid w:val="003D5C45"/>
    <w:rsid w:val="003D6D61"/>
    <w:rsid w:val="003D7436"/>
    <w:rsid w:val="003E091D"/>
    <w:rsid w:val="003E1C53"/>
    <w:rsid w:val="003E1D61"/>
    <w:rsid w:val="003E2A69"/>
    <w:rsid w:val="003E2D49"/>
    <w:rsid w:val="003E2FD4"/>
    <w:rsid w:val="003E49F6"/>
    <w:rsid w:val="003E660F"/>
    <w:rsid w:val="003E6F81"/>
    <w:rsid w:val="003E7878"/>
    <w:rsid w:val="003F0841"/>
    <w:rsid w:val="003F23D3"/>
    <w:rsid w:val="003F3F08"/>
    <w:rsid w:val="003F49F1"/>
    <w:rsid w:val="003F53F9"/>
    <w:rsid w:val="003F6272"/>
    <w:rsid w:val="004006DB"/>
    <w:rsid w:val="00400700"/>
    <w:rsid w:val="00400E72"/>
    <w:rsid w:val="00401400"/>
    <w:rsid w:val="00402B90"/>
    <w:rsid w:val="00404242"/>
    <w:rsid w:val="00404869"/>
    <w:rsid w:val="00405884"/>
    <w:rsid w:val="00406FFB"/>
    <w:rsid w:val="004076F5"/>
    <w:rsid w:val="00407D39"/>
    <w:rsid w:val="00412E59"/>
    <w:rsid w:val="004132FB"/>
    <w:rsid w:val="0041353C"/>
    <w:rsid w:val="0041477A"/>
    <w:rsid w:val="004167A3"/>
    <w:rsid w:val="00420860"/>
    <w:rsid w:val="00424D7D"/>
    <w:rsid w:val="00432DAA"/>
    <w:rsid w:val="00434305"/>
    <w:rsid w:val="004344B6"/>
    <w:rsid w:val="00435DF7"/>
    <w:rsid w:val="004363A4"/>
    <w:rsid w:val="00437523"/>
    <w:rsid w:val="0044083F"/>
    <w:rsid w:val="0044088D"/>
    <w:rsid w:val="00441AE7"/>
    <w:rsid w:val="00443785"/>
    <w:rsid w:val="004447E8"/>
    <w:rsid w:val="004451BF"/>
    <w:rsid w:val="00445574"/>
    <w:rsid w:val="004467FB"/>
    <w:rsid w:val="0044722D"/>
    <w:rsid w:val="00452D6B"/>
    <w:rsid w:val="00454039"/>
    <w:rsid w:val="00454484"/>
    <w:rsid w:val="0045517B"/>
    <w:rsid w:val="00456B8F"/>
    <w:rsid w:val="00461055"/>
    <w:rsid w:val="00463845"/>
    <w:rsid w:val="00463B77"/>
    <w:rsid w:val="00463C7B"/>
    <w:rsid w:val="00463DCB"/>
    <w:rsid w:val="004644A6"/>
    <w:rsid w:val="004647DE"/>
    <w:rsid w:val="004659BD"/>
    <w:rsid w:val="004666D1"/>
    <w:rsid w:val="0046761E"/>
    <w:rsid w:val="0047026E"/>
    <w:rsid w:val="00470775"/>
    <w:rsid w:val="004723B2"/>
    <w:rsid w:val="00472BC1"/>
    <w:rsid w:val="004746B1"/>
    <w:rsid w:val="0047583F"/>
    <w:rsid w:val="00475DE8"/>
    <w:rsid w:val="00480A92"/>
    <w:rsid w:val="004811D2"/>
    <w:rsid w:val="004816E4"/>
    <w:rsid w:val="00481C44"/>
    <w:rsid w:val="00481F87"/>
    <w:rsid w:val="00483AD0"/>
    <w:rsid w:val="00484936"/>
    <w:rsid w:val="00485C89"/>
    <w:rsid w:val="00486BE3"/>
    <w:rsid w:val="004905E4"/>
    <w:rsid w:val="00490708"/>
    <w:rsid w:val="00490969"/>
    <w:rsid w:val="00490A89"/>
    <w:rsid w:val="00490AB4"/>
    <w:rsid w:val="00492F02"/>
    <w:rsid w:val="004939AE"/>
    <w:rsid w:val="00493A98"/>
    <w:rsid w:val="00495D4E"/>
    <w:rsid w:val="00497A39"/>
    <w:rsid w:val="004A12DF"/>
    <w:rsid w:val="004A1BA8"/>
    <w:rsid w:val="004A4B57"/>
    <w:rsid w:val="004A4B7E"/>
    <w:rsid w:val="004A63FA"/>
    <w:rsid w:val="004A6A3D"/>
    <w:rsid w:val="004A6B9B"/>
    <w:rsid w:val="004A7309"/>
    <w:rsid w:val="004B0272"/>
    <w:rsid w:val="004B08DF"/>
    <w:rsid w:val="004B2211"/>
    <w:rsid w:val="004B2701"/>
    <w:rsid w:val="004B2E1B"/>
    <w:rsid w:val="004B3AA8"/>
    <w:rsid w:val="004B3E93"/>
    <w:rsid w:val="004B42F4"/>
    <w:rsid w:val="004B67EA"/>
    <w:rsid w:val="004B6C4D"/>
    <w:rsid w:val="004B6F68"/>
    <w:rsid w:val="004C0EE4"/>
    <w:rsid w:val="004C16F8"/>
    <w:rsid w:val="004C1C7C"/>
    <w:rsid w:val="004C1FBC"/>
    <w:rsid w:val="004C25A2"/>
    <w:rsid w:val="004C2CB2"/>
    <w:rsid w:val="004C3B8F"/>
    <w:rsid w:val="004C3F1D"/>
    <w:rsid w:val="004C458D"/>
    <w:rsid w:val="004C50B0"/>
    <w:rsid w:val="004C58AC"/>
    <w:rsid w:val="004C65FC"/>
    <w:rsid w:val="004C6B38"/>
    <w:rsid w:val="004C7556"/>
    <w:rsid w:val="004C7668"/>
    <w:rsid w:val="004C7E8B"/>
    <w:rsid w:val="004C7E9D"/>
    <w:rsid w:val="004C7F67"/>
    <w:rsid w:val="004D076D"/>
    <w:rsid w:val="004D0976"/>
    <w:rsid w:val="004D0EF1"/>
    <w:rsid w:val="004D2253"/>
    <w:rsid w:val="004D3D8D"/>
    <w:rsid w:val="004D4046"/>
    <w:rsid w:val="004D4406"/>
    <w:rsid w:val="004D5571"/>
    <w:rsid w:val="004D74C6"/>
    <w:rsid w:val="004D7578"/>
    <w:rsid w:val="004D7C42"/>
    <w:rsid w:val="004E012D"/>
    <w:rsid w:val="004E0465"/>
    <w:rsid w:val="004E1082"/>
    <w:rsid w:val="004E127B"/>
    <w:rsid w:val="004E1C0A"/>
    <w:rsid w:val="004E30C5"/>
    <w:rsid w:val="004E4AA5"/>
    <w:rsid w:val="004E4AEE"/>
    <w:rsid w:val="004E59E3"/>
    <w:rsid w:val="004E61D7"/>
    <w:rsid w:val="004E67C0"/>
    <w:rsid w:val="004E6B81"/>
    <w:rsid w:val="004F33C0"/>
    <w:rsid w:val="004F391A"/>
    <w:rsid w:val="004F3CFB"/>
    <w:rsid w:val="004F42F5"/>
    <w:rsid w:val="004F6456"/>
    <w:rsid w:val="004F696E"/>
    <w:rsid w:val="004F6C71"/>
    <w:rsid w:val="00500694"/>
    <w:rsid w:val="00501139"/>
    <w:rsid w:val="005032DF"/>
    <w:rsid w:val="005035CF"/>
    <w:rsid w:val="0050363E"/>
    <w:rsid w:val="005039BC"/>
    <w:rsid w:val="00503BAC"/>
    <w:rsid w:val="005040F1"/>
    <w:rsid w:val="005043BB"/>
    <w:rsid w:val="00504A3D"/>
    <w:rsid w:val="00505752"/>
    <w:rsid w:val="00505767"/>
    <w:rsid w:val="005058C0"/>
    <w:rsid w:val="0050660D"/>
    <w:rsid w:val="00506693"/>
    <w:rsid w:val="005073F0"/>
    <w:rsid w:val="0050747A"/>
    <w:rsid w:val="00510A7B"/>
    <w:rsid w:val="00511FF2"/>
    <w:rsid w:val="00512F6E"/>
    <w:rsid w:val="00513038"/>
    <w:rsid w:val="00513CEB"/>
    <w:rsid w:val="00514174"/>
    <w:rsid w:val="0051497C"/>
    <w:rsid w:val="0051586D"/>
    <w:rsid w:val="00515C30"/>
    <w:rsid w:val="00516088"/>
    <w:rsid w:val="00516B0B"/>
    <w:rsid w:val="005216CC"/>
    <w:rsid w:val="005220EC"/>
    <w:rsid w:val="0052316F"/>
    <w:rsid w:val="00523F95"/>
    <w:rsid w:val="00524D65"/>
    <w:rsid w:val="00525B16"/>
    <w:rsid w:val="00527A20"/>
    <w:rsid w:val="00527D8B"/>
    <w:rsid w:val="0053050B"/>
    <w:rsid w:val="00531033"/>
    <w:rsid w:val="005321BA"/>
    <w:rsid w:val="00533D04"/>
    <w:rsid w:val="00534804"/>
    <w:rsid w:val="00534BDF"/>
    <w:rsid w:val="005354EA"/>
    <w:rsid w:val="0053585F"/>
    <w:rsid w:val="00535EC4"/>
    <w:rsid w:val="00535ED9"/>
    <w:rsid w:val="0053692B"/>
    <w:rsid w:val="0054067C"/>
    <w:rsid w:val="00541853"/>
    <w:rsid w:val="00543BDA"/>
    <w:rsid w:val="005441CC"/>
    <w:rsid w:val="00544DC5"/>
    <w:rsid w:val="005479DA"/>
    <w:rsid w:val="00547BCC"/>
    <w:rsid w:val="0055013B"/>
    <w:rsid w:val="00551545"/>
    <w:rsid w:val="00551F6F"/>
    <w:rsid w:val="005520E2"/>
    <w:rsid w:val="00552611"/>
    <w:rsid w:val="0055402D"/>
    <w:rsid w:val="00554A04"/>
    <w:rsid w:val="00555044"/>
    <w:rsid w:val="005550C3"/>
    <w:rsid w:val="00561475"/>
    <w:rsid w:val="00561776"/>
    <w:rsid w:val="00562308"/>
    <w:rsid w:val="00563583"/>
    <w:rsid w:val="0056364D"/>
    <w:rsid w:val="0056487B"/>
    <w:rsid w:val="00564FB9"/>
    <w:rsid w:val="00570B2A"/>
    <w:rsid w:val="00572E35"/>
    <w:rsid w:val="00573D9E"/>
    <w:rsid w:val="00574986"/>
    <w:rsid w:val="00574E9A"/>
    <w:rsid w:val="00575949"/>
    <w:rsid w:val="00576741"/>
    <w:rsid w:val="00576F0C"/>
    <w:rsid w:val="005801E3"/>
    <w:rsid w:val="00580AAC"/>
    <w:rsid w:val="00581802"/>
    <w:rsid w:val="0058222A"/>
    <w:rsid w:val="005836A8"/>
    <w:rsid w:val="005839C4"/>
    <w:rsid w:val="0058409C"/>
    <w:rsid w:val="00584262"/>
    <w:rsid w:val="00586630"/>
    <w:rsid w:val="005868CD"/>
    <w:rsid w:val="005875CF"/>
    <w:rsid w:val="00587ADD"/>
    <w:rsid w:val="00593A49"/>
    <w:rsid w:val="00595D0A"/>
    <w:rsid w:val="00596160"/>
    <w:rsid w:val="005966E2"/>
    <w:rsid w:val="00597007"/>
    <w:rsid w:val="00597D6F"/>
    <w:rsid w:val="005A0966"/>
    <w:rsid w:val="005A11B7"/>
    <w:rsid w:val="005A260B"/>
    <w:rsid w:val="005A3311"/>
    <w:rsid w:val="005A4A1B"/>
    <w:rsid w:val="005A7830"/>
    <w:rsid w:val="005A7C52"/>
    <w:rsid w:val="005A7FCE"/>
    <w:rsid w:val="005B010D"/>
    <w:rsid w:val="005B0F3F"/>
    <w:rsid w:val="005B191C"/>
    <w:rsid w:val="005B2433"/>
    <w:rsid w:val="005B323E"/>
    <w:rsid w:val="005B3571"/>
    <w:rsid w:val="005B4903"/>
    <w:rsid w:val="005B51CE"/>
    <w:rsid w:val="005B5771"/>
    <w:rsid w:val="005B5885"/>
    <w:rsid w:val="005B5CD7"/>
    <w:rsid w:val="005B6CF6"/>
    <w:rsid w:val="005B725C"/>
    <w:rsid w:val="005B7422"/>
    <w:rsid w:val="005C24E5"/>
    <w:rsid w:val="005C29B8"/>
    <w:rsid w:val="005C4FBE"/>
    <w:rsid w:val="005C5F21"/>
    <w:rsid w:val="005C7156"/>
    <w:rsid w:val="005D0C75"/>
    <w:rsid w:val="005D22F3"/>
    <w:rsid w:val="005D3597"/>
    <w:rsid w:val="005D4171"/>
    <w:rsid w:val="005D55FA"/>
    <w:rsid w:val="005D6A95"/>
    <w:rsid w:val="005D6B2C"/>
    <w:rsid w:val="005D6D9C"/>
    <w:rsid w:val="005D7AFF"/>
    <w:rsid w:val="005E1287"/>
    <w:rsid w:val="005E2335"/>
    <w:rsid w:val="005E23AE"/>
    <w:rsid w:val="005E34CA"/>
    <w:rsid w:val="005E3C18"/>
    <w:rsid w:val="005E4250"/>
    <w:rsid w:val="005E5010"/>
    <w:rsid w:val="005E6172"/>
    <w:rsid w:val="005E6812"/>
    <w:rsid w:val="005E7881"/>
    <w:rsid w:val="005E78E0"/>
    <w:rsid w:val="005F0D9C"/>
    <w:rsid w:val="005F284E"/>
    <w:rsid w:val="005F45E4"/>
    <w:rsid w:val="006015CE"/>
    <w:rsid w:val="00602714"/>
    <w:rsid w:val="00604566"/>
    <w:rsid w:val="00604784"/>
    <w:rsid w:val="0060480A"/>
    <w:rsid w:val="00605423"/>
    <w:rsid w:val="00606419"/>
    <w:rsid w:val="00606A5A"/>
    <w:rsid w:val="00607D29"/>
    <w:rsid w:val="0061172A"/>
    <w:rsid w:val="00612952"/>
    <w:rsid w:val="0061295D"/>
    <w:rsid w:val="00613E66"/>
    <w:rsid w:val="00614CC1"/>
    <w:rsid w:val="00615A9D"/>
    <w:rsid w:val="00615FF0"/>
    <w:rsid w:val="00616E33"/>
    <w:rsid w:val="00617387"/>
    <w:rsid w:val="006205D6"/>
    <w:rsid w:val="00622757"/>
    <w:rsid w:val="006252D8"/>
    <w:rsid w:val="006259BC"/>
    <w:rsid w:val="0062636B"/>
    <w:rsid w:val="00630F52"/>
    <w:rsid w:val="006312F5"/>
    <w:rsid w:val="00632182"/>
    <w:rsid w:val="00632AB6"/>
    <w:rsid w:val="00632AE0"/>
    <w:rsid w:val="00633C17"/>
    <w:rsid w:val="00633FDE"/>
    <w:rsid w:val="006343B5"/>
    <w:rsid w:val="0063464D"/>
    <w:rsid w:val="00634D9E"/>
    <w:rsid w:val="00635ACD"/>
    <w:rsid w:val="00636AAA"/>
    <w:rsid w:val="00636E3E"/>
    <w:rsid w:val="006379F7"/>
    <w:rsid w:val="00637E4D"/>
    <w:rsid w:val="00640620"/>
    <w:rsid w:val="00641A1F"/>
    <w:rsid w:val="00642185"/>
    <w:rsid w:val="006428B3"/>
    <w:rsid w:val="00644CE9"/>
    <w:rsid w:val="00645904"/>
    <w:rsid w:val="00646A62"/>
    <w:rsid w:val="0065085A"/>
    <w:rsid w:val="00651ACB"/>
    <w:rsid w:val="00651C47"/>
    <w:rsid w:val="0065249A"/>
    <w:rsid w:val="00652AB2"/>
    <w:rsid w:val="00653FED"/>
    <w:rsid w:val="00654EC0"/>
    <w:rsid w:val="0065525B"/>
    <w:rsid w:val="00655D4F"/>
    <w:rsid w:val="00656D29"/>
    <w:rsid w:val="006640E5"/>
    <w:rsid w:val="006646F1"/>
    <w:rsid w:val="00664929"/>
    <w:rsid w:val="00664B4B"/>
    <w:rsid w:val="00664F62"/>
    <w:rsid w:val="006655E1"/>
    <w:rsid w:val="00665F29"/>
    <w:rsid w:val="0066729E"/>
    <w:rsid w:val="00672060"/>
    <w:rsid w:val="006726BF"/>
    <w:rsid w:val="00672BFD"/>
    <w:rsid w:val="00675165"/>
    <w:rsid w:val="006767A8"/>
    <w:rsid w:val="006770F4"/>
    <w:rsid w:val="00677A84"/>
    <w:rsid w:val="0068026D"/>
    <w:rsid w:val="00680A27"/>
    <w:rsid w:val="006816A4"/>
    <w:rsid w:val="006819B8"/>
    <w:rsid w:val="00682576"/>
    <w:rsid w:val="006837A1"/>
    <w:rsid w:val="006840A6"/>
    <w:rsid w:val="00684C68"/>
    <w:rsid w:val="006850CD"/>
    <w:rsid w:val="00685AAB"/>
    <w:rsid w:val="00691362"/>
    <w:rsid w:val="00691F54"/>
    <w:rsid w:val="00692149"/>
    <w:rsid w:val="0069442D"/>
    <w:rsid w:val="00694B89"/>
    <w:rsid w:val="006960CD"/>
    <w:rsid w:val="006A07AA"/>
    <w:rsid w:val="006A16AC"/>
    <w:rsid w:val="006A25E5"/>
    <w:rsid w:val="006A2B46"/>
    <w:rsid w:val="006A336D"/>
    <w:rsid w:val="006A3702"/>
    <w:rsid w:val="006A37B9"/>
    <w:rsid w:val="006A5A02"/>
    <w:rsid w:val="006B2672"/>
    <w:rsid w:val="006B3DF1"/>
    <w:rsid w:val="006B47BF"/>
    <w:rsid w:val="006B54BF"/>
    <w:rsid w:val="006B5F44"/>
    <w:rsid w:val="006B5F90"/>
    <w:rsid w:val="006B62E4"/>
    <w:rsid w:val="006B6F8B"/>
    <w:rsid w:val="006C03E2"/>
    <w:rsid w:val="006C1BBA"/>
    <w:rsid w:val="006C2079"/>
    <w:rsid w:val="006C306B"/>
    <w:rsid w:val="006C5A62"/>
    <w:rsid w:val="006C5D68"/>
    <w:rsid w:val="006C609F"/>
    <w:rsid w:val="006C6976"/>
    <w:rsid w:val="006C6DD0"/>
    <w:rsid w:val="006C781B"/>
    <w:rsid w:val="006D04EA"/>
    <w:rsid w:val="006D16C4"/>
    <w:rsid w:val="006D3E96"/>
    <w:rsid w:val="006D4515"/>
    <w:rsid w:val="006D4BB1"/>
    <w:rsid w:val="006D600F"/>
    <w:rsid w:val="006D6593"/>
    <w:rsid w:val="006D708F"/>
    <w:rsid w:val="006D716C"/>
    <w:rsid w:val="006D7F02"/>
    <w:rsid w:val="006E1338"/>
    <w:rsid w:val="006E2BDC"/>
    <w:rsid w:val="006E4D02"/>
    <w:rsid w:val="006E50FB"/>
    <w:rsid w:val="006E56B4"/>
    <w:rsid w:val="006F03A8"/>
    <w:rsid w:val="006F119C"/>
    <w:rsid w:val="006F1C86"/>
    <w:rsid w:val="006F2055"/>
    <w:rsid w:val="006F2A10"/>
    <w:rsid w:val="006F2ACA"/>
    <w:rsid w:val="006F2ADC"/>
    <w:rsid w:val="006F2BFE"/>
    <w:rsid w:val="006F31E9"/>
    <w:rsid w:val="006F4DC9"/>
    <w:rsid w:val="006F6284"/>
    <w:rsid w:val="006F6BEB"/>
    <w:rsid w:val="006F771E"/>
    <w:rsid w:val="007002C5"/>
    <w:rsid w:val="00704387"/>
    <w:rsid w:val="00707501"/>
    <w:rsid w:val="00707669"/>
    <w:rsid w:val="00711CBA"/>
    <w:rsid w:val="00711FB5"/>
    <w:rsid w:val="00712A01"/>
    <w:rsid w:val="00713288"/>
    <w:rsid w:val="00714F58"/>
    <w:rsid w:val="00715C61"/>
    <w:rsid w:val="0071672B"/>
    <w:rsid w:val="00716C61"/>
    <w:rsid w:val="00717FE0"/>
    <w:rsid w:val="00722FBF"/>
    <w:rsid w:val="00722FC2"/>
    <w:rsid w:val="00724E1B"/>
    <w:rsid w:val="00725949"/>
    <w:rsid w:val="00727FA2"/>
    <w:rsid w:val="007322D9"/>
    <w:rsid w:val="00732301"/>
    <w:rsid w:val="00732BC0"/>
    <w:rsid w:val="007331C1"/>
    <w:rsid w:val="007345A6"/>
    <w:rsid w:val="00735882"/>
    <w:rsid w:val="007362F2"/>
    <w:rsid w:val="0073720F"/>
    <w:rsid w:val="00737796"/>
    <w:rsid w:val="00737DF9"/>
    <w:rsid w:val="007402AF"/>
    <w:rsid w:val="0074165C"/>
    <w:rsid w:val="00742C35"/>
    <w:rsid w:val="007432CA"/>
    <w:rsid w:val="007439EB"/>
    <w:rsid w:val="00743CB4"/>
    <w:rsid w:val="00743E32"/>
    <w:rsid w:val="00743F0A"/>
    <w:rsid w:val="007444E8"/>
    <w:rsid w:val="0074548E"/>
    <w:rsid w:val="00745773"/>
    <w:rsid w:val="00746800"/>
    <w:rsid w:val="00746B7A"/>
    <w:rsid w:val="00746C4E"/>
    <w:rsid w:val="00747A05"/>
    <w:rsid w:val="007501A8"/>
    <w:rsid w:val="007508B6"/>
    <w:rsid w:val="00750D61"/>
    <w:rsid w:val="00750EE1"/>
    <w:rsid w:val="00752B4D"/>
    <w:rsid w:val="00755402"/>
    <w:rsid w:val="00756B26"/>
    <w:rsid w:val="00756EDF"/>
    <w:rsid w:val="00757399"/>
    <w:rsid w:val="007600E3"/>
    <w:rsid w:val="00765C43"/>
    <w:rsid w:val="00765EFB"/>
    <w:rsid w:val="007669C4"/>
    <w:rsid w:val="00766F6B"/>
    <w:rsid w:val="007671CA"/>
    <w:rsid w:val="00767510"/>
    <w:rsid w:val="00767C61"/>
    <w:rsid w:val="0077005B"/>
    <w:rsid w:val="00770069"/>
    <w:rsid w:val="0077008A"/>
    <w:rsid w:val="00772011"/>
    <w:rsid w:val="007722C9"/>
    <w:rsid w:val="00773C1F"/>
    <w:rsid w:val="00774DA4"/>
    <w:rsid w:val="00775E43"/>
    <w:rsid w:val="00776599"/>
    <w:rsid w:val="00776E0C"/>
    <w:rsid w:val="0077749C"/>
    <w:rsid w:val="00777D8E"/>
    <w:rsid w:val="00780405"/>
    <w:rsid w:val="0078114B"/>
    <w:rsid w:val="00781374"/>
    <w:rsid w:val="00781675"/>
    <w:rsid w:val="00781DD2"/>
    <w:rsid w:val="00781E85"/>
    <w:rsid w:val="00782202"/>
    <w:rsid w:val="00783ECF"/>
    <w:rsid w:val="0078413A"/>
    <w:rsid w:val="00792582"/>
    <w:rsid w:val="0079574C"/>
    <w:rsid w:val="007959E8"/>
    <w:rsid w:val="00795E9C"/>
    <w:rsid w:val="0079679B"/>
    <w:rsid w:val="00796892"/>
    <w:rsid w:val="00797FB0"/>
    <w:rsid w:val="007A0521"/>
    <w:rsid w:val="007A0947"/>
    <w:rsid w:val="007A1CF3"/>
    <w:rsid w:val="007A2E12"/>
    <w:rsid w:val="007A3475"/>
    <w:rsid w:val="007A41C8"/>
    <w:rsid w:val="007A4810"/>
    <w:rsid w:val="007A54CE"/>
    <w:rsid w:val="007A6FD9"/>
    <w:rsid w:val="007A739D"/>
    <w:rsid w:val="007A76D0"/>
    <w:rsid w:val="007A7FFA"/>
    <w:rsid w:val="007B04EB"/>
    <w:rsid w:val="007B0D3C"/>
    <w:rsid w:val="007B0D4F"/>
    <w:rsid w:val="007B5A3D"/>
    <w:rsid w:val="007B5B95"/>
    <w:rsid w:val="007B6032"/>
    <w:rsid w:val="007B68EA"/>
    <w:rsid w:val="007B7453"/>
    <w:rsid w:val="007C0292"/>
    <w:rsid w:val="007C2D89"/>
    <w:rsid w:val="007C387B"/>
    <w:rsid w:val="007C3F6C"/>
    <w:rsid w:val="007C4593"/>
    <w:rsid w:val="007C5309"/>
    <w:rsid w:val="007C5B87"/>
    <w:rsid w:val="007C6069"/>
    <w:rsid w:val="007D06C4"/>
    <w:rsid w:val="007D0AB6"/>
    <w:rsid w:val="007D127A"/>
    <w:rsid w:val="007D1352"/>
    <w:rsid w:val="007D2508"/>
    <w:rsid w:val="007D346A"/>
    <w:rsid w:val="007D6518"/>
    <w:rsid w:val="007D6719"/>
    <w:rsid w:val="007D76BD"/>
    <w:rsid w:val="007E0BF1"/>
    <w:rsid w:val="007E3BC0"/>
    <w:rsid w:val="007E59CF"/>
    <w:rsid w:val="007E6C50"/>
    <w:rsid w:val="007E756A"/>
    <w:rsid w:val="007E7A7C"/>
    <w:rsid w:val="007F0ED8"/>
    <w:rsid w:val="007F0F63"/>
    <w:rsid w:val="007F22CA"/>
    <w:rsid w:val="007F4B2E"/>
    <w:rsid w:val="007F6C5A"/>
    <w:rsid w:val="007F72C8"/>
    <w:rsid w:val="007F75CE"/>
    <w:rsid w:val="008013A4"/>
    <w:rsid w:val="00801B9E"/>
    <w:rsid w:val="008027CE"/>
    <w:rsid w:val="00802F42"/>
    <w:rsid w:val="00803951"/>
    <w:rsid w:val="00804383"/>
    <w:rsid w:val="00804BB7"/>
    <w:rsid w:val="00804D41"/>
    <w:rsid w:val="00810257"/>
    <w:rsid w:val="008104F5"/>
    <w:rsid w:val="00811072"/>
    <w:rsid w:val="00811369"/>
    <w:rsid w:val="0081426F"/>
    <w:rsid w:val="00815419"/>
    <w:rsid w:val="008163C8"/>
    <w:rsid w:val="008164A1"/>
    <w:rsid w:val="00816569"/>
    <w:rsid w:val="00817325"/>
    <w:rsid w:val="00817BC3"/>
    <w:rsid w:val="008209E6"/>
    <w:rsid w:val="008216B9"/>
    <w:rsid w:val="00823303"/>
    <w:rsid w:val="008233B2"/>
    <w:rsid w:val="00823A9F"/>
    <w:rsid w:val="00823C85"/>
    <w:rsid w:val="00823EB0"/>
    <w:rsid w:val="00825138"/>
    <w:rsid w:val="00826365"/>
    <w:rsid w:val="00826689"/>
    <w:rsid w:val="008269DD"/>
    <w:rsid w:val="00826DA3"/>
    <w:rsid w:val="00827063"/>
    <w:rsid w:val="00830621"/>
    <w:rsid w:val="0083348C"/>
    <w:rsid w:val="008373D3"/>
    <w:rsid w:val="00840617"/>
    <w:rsid w:val="00840F84"/>
    <w:rsid w:val="00842A47"/>
    <w:rsid w:val="00842D26"/>
    <w:rsid w:val="00843C13"/>
    <w:rsid w:val="008454F8"/>
    <w:rsid w:val="00845A47"/>
    <w:rsid w:val="008473B0"/>
    <w:rsid w:val="00850069"/>
    <w:rsid w:val="0085173A"/>
    <w:rsid w:val="0085294E"/>
    <w:rsid w:val="00853C3C"/>
    <w:rsid w:val="00853DCA"/>
    <w:rsid w:val="00856907"/>
    <w:rsid w:val="00856FFD"/>
    <w:rsid w:val="008603CE"/>
    <w:rsid w:val="008620FC"/>
    <w:rsid w:val="00862643"/>
    <w:rsid w:val="008627A5"/>
    <w:rsid w:val="00863176"/>
    <w:rsid w:val="0086360C"/>
    <w:rsid w:val="00863E05"/>
    <w:rsid w:val="00865ACA"/>
    <w:rsid w:val="00865D28"/>
    <w:rsid w:val="00865F85"/>
    <w:rsid w:val="0086624A"/>
    <w:rsid w:val="00866BC5"/>
    <w:rsid w:val="00867C10"/>
    <w:rsid w:val="00870439"/>
    <w:rsid w:val="00870B12"/>
    <w:rsid w:val="00870DA1"/>
    <w:rsid w:val="00871167"/>
    <w:rsid w:val="008720F2"/>
    <w:rsid w:val="008737EE"/>
    <w:rsid w:val="00874744"/>
    <w:rsid w:val="00874DF7"/>
    <w:rsid w:val="00874E03"/>
    <w:rsid w:val="00877C0F"/>
    <w:rsid w:val="00881E17"/>
    <w:rsid w:val="00882D21"/>
    <w:rsid w:val="00883F93"/>
    <w:rsid w:val="00884DB3"/>
    <w:rsid w:val="00885A9D"/>
    <w:rsid w:val="00885CCE"/>
    <w:rsid w:val="008864F6"/>
    <w:rsid w:val="008866C5"/>
    <w:rsid w:val="0088678E"/>
    <w:rsid w:val="0089049D"/>
    <w:rsid w:val="008928C9"/>
    <w:rsid w:val="008930CB"/>
    <w:rsid w:val="008938DC"/>
    <w:rsid w:val="00893FCE"/>
    <w:rsid w:val="00893FD1"/>
    <w:rsid w:val="00894836"/>
    <w:rsid w:val="00895172"/>
    <w:rsid w:val="00895680"/>
    <w:rsid w:val="00896DFF"/>
    <w:rsid w:val="0089762C"/>
    <w:rsid w:val="008A173B"/>
    <w:rsid w:val="008A1893"/>
    <w:rsid w:val="008A432F"/>
    <w:rsid w:val="008A48D9"/>
    <w:rsid w:val="008A57E6"/>
    <w:rsid w:val="008A6F81"/>
    <w:rsid w:val="008A70C9"/>
    <w:rsid w:val="008A769A"/>
    <w:rsid w:val="008B0C9C"/>
    <w:rsid w:val="008B1078"/>
    <w:rsid w:val="008B1263"/>
    <w:rsid w:val="008B166D"/>
    <w:rsid w:val="008B17F4"/>
    <w:rsid w:val="008B3615"/>
    <w:rsid w:val="008B3785"/>
    <w:rsid w:val="008B3FB2"/>
    <w:rsid w:val="008B40ED"/>
    <w:rsid w:val="008B4AC4"/>
    <w:rsid w:val="008B50C8"/>
    <w:rsid w:val="008B5281"/>
    <w:rsid w:val="008B736C"/>
    <w:rsid w:val="008B7E05"/>
    <w:rsid w:val="008C1797"/>
    <w:rsid w:val="008C219C"/>
    <w:rsid w:val="008C42C6"/>
    <w:rsid w:val="008C475E"/>
    <w:rsid w:val="008C619A"/>
    <w:rsid w:val="008D0CE8"/>
    <w:rsid w:val="008D16E8"/>
    <w:rsid w:val="008D28BE"/>
    <w:rsid w:val="008D2BED"/>
    <w:rsid w:val="008D2D1D"/>
    <w:rsid w:val="008D453D"/>
    <w:rsid w:val="008D4AEE"/>
    <w:rsid w:val="008D53AD"/>
    <w:rsid w:val="008D562B"/>
    <w:rsid w:val="008D5733"/>
    <w:rsid w:val="008D5C41"/>
    <w:rsid w:val="008D622B"/>
    <w:rsid w:val="008D666C"/>
    <w:rsid w:val="008D7B54"/>
    <w:rsid w:val="008E09E5"/>
    <w:rsid w:val="008E0C9D"/>
    <w:rsid w:val="008E1648"/>
    <w:rsid w:val="008E1B3E"/>
    <w:rsid w:val="008E20B0"/>
    <w:rsid w:val="008E2319"/>
    <w:rsid w:val="008E4BB6"/>
    <w:rsid w:val="008E5518"/>
    <w:rsid w:val="008E56FE"/>
    <w:rsid w:val="008E5ABC"/>
    <w:rsid w:val="008E6A84"/>
    <w:rsid w:val="008E7F2E"/>
    <w:rsid w:val="008F0CDC"/>
    <w:rsid w:val="008F17A3"/>
    <w:rsid w:val="008F1A23"/>
    <w:rsid w:val="008F1ED3"/>
    <w:rsid w:val="008F2F3D"/>
    <w:rsid w:val="008F4173"/>
    <w:rsid w:val="008F4C29"/>
    <w:rsid w:val="008F5742"/>
    <w:rsid w:val="008F6170"/>
    <w:rsid w:val="008F70BD"/>
    <w:rsid w:val="008F7151"/>
    <w:rsid w:val="008F7619"/>
    <w:rsid w:val="008F788F"/>
    <w:rsid w:val="008F7EA2"/>
    <w:rsid w:val="0090156C"/>
    <w:rsid w:val="009015B0"/>
    <w:rsid w:val="00902722"/>
    <w:rsid w:val="009027BC"/>
    <w:rsid w:val="00903810"/>
    <w:rsid w:val="0090602B"/>
    <w:rsid w:val="009062E6"/>
    <w:rsid w:val="009071E8"/>
    <w:rsid w:val="00907545"/>
    <w:rsid w:val="0090792B"/>
    <w:rsid w:val="00911BE5"/>
    <w:rsid w:val="00913CA9"/>
    <w:rsid w:val="009145AE"/>
    <w:rsid w:val="009146CE"/>
    <w:rsid w:val="00914CA7"/>
    <w:rsid w:val="00915C3E"/>
    <w:rsid w:val="009161A8"/>
    <w:rsid w:val="009217FD"/>
    <w:rsid w:val="00921DCF"/>
    <w:rsid w:val="0092330D"/>
    <w:rsid w:val="009245AE"/>
    <w:rsid w:val="009245F5"/>
    <w:rsid w:val="009249EC"/>
    <w:rsid w:val="0092503F"/>
    <w:rsid w:val="00925182"/>
    <w:rsid w:val="0092524B"/>
    <w:rsid w:val="00925B5F"/>
    <w:rsid w:val="009273B3"/>
    <w:rsid w:val="009276E5"/>
    <w:rsid w:val="009305B5"/>
    <w:rsid w:val="00934F1E"/>
    <w:rsid w:val="009378DD"/>
    <w:rsid w:val="009423DB"/>
    <w:rsid w:val="009429D5"/>
    <w:rsid w:val="00942BF1"/>
    <w:rsid w:val="009442D0"/>
    <w:rsid w:val="0094494E"/>
    <w:rsid w:val="00945180"/>
    <w:rsid w:val="00945428"/>
    <w:rsid w:val="0094607B"/>
    <w:rsid w:val="0094648D"/>
    <w:rsid w:val="00946E74"/>
    <w:rsid w:val="00951515"/>
    <w:rsid w:val="00953604"/>
    <w:rsid w:val="0095496B"/>
    <w:rsid w:val="009557DB"/>
    <w:rsid w:val="00960F1E"/>
    <w:rsid w:val="009610DC"/>
    <w:rsid w:val="00961490"/>
    <w:rsid w:val="0096381A"/>
    <w:rsid w:val="00964F50"/>
    <w:rsid w:val="00965E04"/>
    <w:rsid w:val="009674AD"/>
    <w:rsid w:val="00970CDC"/>
    <w:rsid w:val="009710E0"/>
    <w:rsid w:val="00972D1F"/>
    <w:rsid w:val="00974E7B"/>
    <w:rsid w:val="00975317"/>
    <w:rsid w:val="00975727"/>
    <w:rsid w:val="00977010"/>
    <w:rsid w:val="00977D02"/>
    <w:rsid w:val="00977FF9"/>
    <w:rsid w:val="009806B3"/>
    <w:rsid w:val="009809BB"/>
    <w:rsid w:val="0098364B"/>
    <w:rsid w:val="0098395C"/>
    <w:rsid w:val="00983AAF"/>
    <w:rsid w:val="009908A3"/>
    <w:rsid w:val="009911AF"/>
    <w:rsid w:val="00991875"/>
    <w:rsid w:val="00991F92"/>
    <w:rsid w:val="00992283"/>
    <w:rsid w:val="00992985"/>
    <w:rsid w:val="009937C2"/>
    <w:rsid w:val="00993889"/>
    <w:rsid w:val="00993931"/>
    <w:rsid w:val="0099551B"/>
    <w:rsid w:val="00996BD2"/>
    <w:rsid w:val="00997B93"/>
    <w:rsid w:val="00997BF1"/>
    <w:rsid w:val="009A089C"/>
    <w:rsid w:val="009A0BD3"/>
    <w:rsid w:val="009A118E"/>
    <w:rsid w:val="009A21CD"/>
    <w:rsid w:val="009A278C"/>
    <w:rsid w:val="009A2BC2"/>
    <w:rsid w:val="009A42C1"/>
    <w:rsid w:val="009A476D"/>
    <w:rsid w:val="009A4865"/>
    <w:rsid w:val="009A5429"/>
    <w:rsid w:val="009A5794"/>
    <w:rsid w:val="009A72AD"/>
    <w:rsid w:val="009A7EB4"/>
    <w:rsid w:val="009B09E0"/>
    <w:rsid w:val="009B0BC5"/>
    <w:rsid w:val="009B1247"/>
    <w:rsid w:val="009B364A"/>
    <w:rsid w:val="009B55C0"/>
    <w:rsid w:val="009B6029"/>
    <w:rsid w:val="009B6971"/>
    <w:rsid w:val="009B7188"/>
    <w:rsid w:val="009C20DD"/>
    <w:rsid w:val="009C27F1"/>
    <w:rsid w:val="009C3152"/>
    <w:rsid w:val="009C3257"/>
    <w:rsid w:val="009C4CFA"/>
    <w:rsid w:val="009C4F30"/>
    <w:rsid w:val="009C5070"/>
    <w:rsid w:val="009D0888"/>
    <w:rsid w:val="009D112C"/>
    <w:rsid w:val="009D1385"/>
    <w:rsid w:val="009D1F78"/>
    <w:rsid w:val="009D47FA"/>
    <w:rsid w:val="009D4C5B"/>
    <w:rsid w:val="009D50D2"/>
    <w:rsid w:val="009D6BCA"/>
    <w:rsid w:val="009D7A76"/>
    <w:rsid w:val="009E05B3"/>
    <w:rsid w:val="009E0F62"/>
    <w:rsid w:val="009E3484"/>
    <w:rsid w:val="009E4A58"/>
    <w:rsid w:val="009E5506"/>
    <w:rsid w:val="009E5A2D"/>
    <w:rsid w:val="009E5AB2"/>
    <w:rsid w:val="009E6219"/>
    <w:rsid w:val="009F03B3"/>
    <w:rsid w:val="009F0405"/>
    <w:rsid w:val="009F284D"/>
    <w:rsid w:val="009F39C8"/>
    <w:rsid w:val="009F4674"/>
    <w:rsid w:val="009F75CC"/>
    <w:rsid w:val="00A0096C"/>
    <w:rsid w:val="00A00F2F"/>
    <w:rsid w:val="00A01757"/>
    <w:rsid w:val="00A01BC9"/>
    <w:rsid w:val="00A028C0"/>
    <w:rsid w:val="00A02BAE"/>
    <w:rsid w:val="00A0452C"/>
    <w:rsid w:val="00A04998"/>
    <w:rsid w:val="00A06A6B"/>
    <w:rsid w:val="00A07250"/>
    <w:rsid w:val="00A07E47"/>
    <w:rsid w:val="00A11E12"/>
    <w:rsid w:val="00A129D0"/>
    <w:rsid w:val="00A12C33"/>
    <w:rsid w:val="00A13803"/>
    <w:rsid w:val="00A138BA"/>
    <w:rsid w:val="00A14C8E"/>
    <w:rsid w:val="00A153D9"/>
    <w:rsid w:val="00A15F09"/>
    <w:rsid w:val="00A169B6"/>
    <w:rsid w:val="00A2271D"/>
    <w:rsid w:val="00A22D56"/>
    <w:rsid w:val="00A237D5"/>
    <w:rsid w:val="00A3099F"/>
    <w:rsid w:val="00A30EFC"/>
    <w:rsid w:val="00A31322"/>
    <w:rsid w:val="00A31984"/>
    <w:rsid w:val="00A3290D"/>
    <w:rsid w:val="00A32D73"/>
    <w:rsid w:val="00A3316D"/>
    <w:rsid w:val="00A3367B"/>
    <w:rsid w:val="00A3597D"/>
    <w:rsid w:val="00A35A10"/>
    <w:rsid w:val="00A36DD1"/>
    <w:rsid w:val="00A37166"/>
    <w:rsid w:val="00A37E72"/>
    <w:rsid w:val="00A4006C"/>
    <w:rsid w:val="00A40091"/>
    <w:rsid w:val="00A4030F"/>
    <w:rsid w:val="00A41C79"/>
    <w:rsid w:val="00A41CB5"/>
    <w:rsid w:val="00A42CDF"/>
    <w:rsid w:val="00A4452E"/>
    <w:rsid w:val="00A4472C"/>
    <w:rsid w:val="00A44A93"/>
    <w:rsid w:val="00A44E69"/>
    <w:rsid w:val="00A4661E"/>
    <w:rsid w:val="00A53019"/>
    <w:rsid w:val="00A533DF"/>
    <w:rsid w:val="00A54201"/>
    <w:rsid w:val="00A55BD6"/>
    <w:rsid w:val="00A55D50"/>
    <w:rsid w:val="00A56779"/>
    <w:rsid w:val="00A57142"/>
    <w:rsid w:val="00A63973"/>
    <w:rsid w:val="00A639FF"/>
    <w:rsid w:val="00A63E16"/>
    <w:rsid w:val="00A648CD"/>
    <w:rsid w:val="00A6537A"/>
    <w:rsid w:val="00A6737E"/>
    <w:rsid w:val="00A67866"/>
    <w:rsid w:val="00A67E3F"/>
    <w:rsid w:val="00A70B07"/>
    <w:rsid w:val="00A715D3"/>
    <w:rsid w:val="00A723F8"/>
    <w:rsid w:val="00A7274E"/>
    <w:rsid w:val="00A731AD"/>
    <w:rsid w:val="00A74563"/>
    <w:rsid w:val="00A7661E"/>
    <w:rsid w:val="00A76935"/>
    <w:rsid w:val="00A77CCB"/>
    <w:rsid w:val="00A802C4"/>
    <w:rsid w:val="00A83D8D"/>
    <w:rsid w:val="00A8446B"/>
    <w:rsid w:val="00A8473F"/>
    <w:rsid w:val="00A847AE"/>
    <w:rsid w:val="00A862D6"/>
    <w:rsid w:val="00A8715E"/>
    <w:rsid w:val="00A87E3F"/>
    <w:rsid w:val="00A9295B"/>
    <w:rsid w:val="00A939AE"/>
    <w:rsid w:val="00A93B09"/>
    <w:rsid w:val="00A952D7"/>
    <w:rsid w:val="00A95625"/>
    <w:rsid w:val="00A963F7"/>
    <w:rsid w:val="00A96AD8"/>
    <w:rsid w:val="00AA052C"/>
    <w:rsid w:val="00AA055D"/>
    <w:rsid w:val="00AA17F8"/>
    <w:rsid w:val="00AA1E45"/>
    <w:rsid w:val="00AA3678"/>
    <w:rsid w:val="00AA4286"/>
    <w:rsid w:val="00AA4418"/>
    <w:rsid w:val="00AA456B"/>
    <w:rsid w:val="00AA57F5"/>
    <w:rsid w:val="00AA5CFD"/>
    <w:rsid w:val="00AA672E"/>
    <w:rsid w:val="00AA6EC9"/>
    <w:rsid w:val="00AA7DEF"/>
    <w:rsid w:val="00AB1B41"/>
    <w:rsid w:val="00AB3404"/>
    <w:rsid w:val="00AB342F"/>
    <w:rsid w:val="00AB6309"/>
    <w:rsid w:val="00AB6C5F"/>
    <w:rsid w:val="00AB7129"/>
    <w:rsid w:val="00AC27A6"/>
    <w:rsid w:val="00AC30F7"/>
    <w:rsid w:val="00AC3A5A"/>
    <w:rsid w:val="00AC4D95"/>
    <w:rsid w:val="00AC5DF4"/>
    <w:rsid w:val="00AD0728"/>
    <w:rsid w:val="00AD0AEF"/>
    <w:rsid w:val="00AD11B7"/>
    <w:rsid w:val="00AD1A94"/>
    <w:rsid w:val="00AD1C05"/>
    <w:rsid w:val="00AD2E96"/>
    <w:rsid w:val="00AD4126"/>
    <w:rsid w:val="00AD421C"/>
    <w:rsid w:val="00AD44FA"/>
    <w:rsid w:val="00AD4865"/>
    <w:rsid w:val="00AD540E"/>
    <w:rsid w:val="00AD692A"/>
    <w:rsid w:val="00AD76B2"/>
    <w:rsid w:val="00AE070A"/>
    <w:rsid w:val="00AE101C"/>
    <w:rsid w:val="00AE2A69"/>
    <w:rsid w:val="00AE3460"/>
    <w:rsid w:val="00AE37E5"/>
    <w:rsid w:val="00AE3D79"/>
    <w:rsid w:val="00AE5EB4"/>
    <w:rsid w:val="00AE5F03"/>
    <w:rsid w:val="00AE6293"/>
    <w:rsid w:val="00AE68A1"/>
    <w:rsid w:val="00AE7C15"/>
    <w:rsid w:val="00AF0C18"/>
    <w:rsid w:val="00AF47C5"/>
    <w:rsid w:val="00AF4901"/>
    <w:rsid w:val="00AF4AA4"/>
    <w:rsid w:val="00AF5398"/>
    <w:rsid w:val="00AF6138"/>
    <w:rsid w:val="00AF6CA1"/>
    <w:rsid w:val="00B005C3"/>
    <w:rsid w:val="00B013EA"/>
    <w:rsid w:val="00B0159D"/>
    <w:rsid w:val="00B027A3"/>
    <w:rsid w:val="00B0412A"/>
    <w:rsid w:val="00B049AF"/>
    <w:rsid w:val="00B04D00"/>
    <w:rsid w:val="00B06991"/>
    <w:rsid w:val="00B07242"/>
    <w:rsid w:val="00B10534"/>
    <w:rsid w:val="00B113DB"/>
    <w:rsid w:val="00B11D8A"/>
    <w:rsid w:val="00B12981"/>
    <w:rsid w:val="00B13629"/>
    <w:rsid w:val="00B1473C"/>
    <w:rsid w:val="00B147DD"/>
    <w:rsid w:val="00B1538B"/>
    <w:rsid w:val="00B156FD"/>
    <w:rsid w:val="00B15750"/>
    <w:rsid w:val="00B16F64"/>
    <w:rsid w:val="00B1730C"/>
    <w:rsid w:val="00B2077B"/>
    <w:rsid w:val="00B21F61"/>
    <w:rsid w:val="00B25154"/>
    <w:rsid w:val="00B254A6"/>
    <w:rsid w:val="00B261F1"/>
    <w:rsid w:val="00B265BC"/>
    <w:rsid w:val="00B27075"/>
    <w:rsid w:val="00B30D06"/>
    <w:rsid w:val="00B31FB1"/>
    <w:rsid w:val="00B33952"/>
    <w:rsid w:val="00B33C5E"/>
    <w:rsid w:val="00B342F4"/>
    <w:rsid w:val="00B34369"/>
    <w:rsid w:val="00B34DC2"/>
    <w:rsid w:val="00B378E5"/>
    <w:rsid w:val="00B4346D"/>
    <w:rsid w:val="00B440F4"/>
    <w:rsid w:val="00B444AD"/>
    <w:rsid w:val="00B447A5"/>
    <w:rsid w:val="00B45E39"/>
    <w:rsid w:val="00B4654C"/>
    <w:rsid w:val="00B47293"/>
    <w:rsid w:val="00B50471"/>
    <w:rsid w:val="00B50E50"/>
    <w:rsid w:val="00B52120"/>
    <w:rsid w:val="00B53B03"/>
    <w:rsid w:val="00B54180"/>
    <w:rsid w:val="00B54ABC"/>
    <w:rsid w:val="00B555AD"/>
    <w:rsid w:val="00B5591F"/>
    <w:rsid w:val="00B5656F"/>
    <w:rsid w:val="00B56FBE"/>
    <w:rsid w:val="00B60ACF"/>
    <w:rsid w:val="00B62B58"/>
    <w:rsid w:val="00B636FB"/>
    <w:rsid w:val="00B64BEA"/>
    <w:rsid w:val="00B65149"/>
    <w:rsid w:val="00B66567"/>
    <w:rsid w:val="00B66D9C"/>
    <w:rsid w:val="00B66F52"/>
    <w:rsid w:val="00B66FE5"/>
    <w:rsid w:val="00B72880"/>
    <w:rsid w:val="00B74377"/>
    <w:rsid w:val="00B758BF"/>
    <w:rsid w:val="00B77818"/>
    <w:rsid w:val="00B77BD3"/>
    <w:rsid w:val="00B77EC8"/>
    <w:rsid w:val="00B80814"/>
    <w:rsid w:val="00B827A6"/>
    <w:rsid w:val="00B829DF"/>
    <w:rsid w:val="00B831CE"/>
    <w:rsid w:val="00B85825"/>
    <w:rsid w:val="00B85E50"/>
    <w:rsid w:val="00B86677"/>
    <w:rsid w:val="00B87131"/>
    <w:rsid w:val="00B933DB"/>
    <w:rsid w:val="00B939B1"/>
    <w:rsid w:val="00B9417F"/>
    <w:rsid w:val="00B96D40"/>
    <w:rsid w:val="00B971D7"/>
    <w:rsid w:val="00B97386"/>
    <w:rsid w:val="00BA263B"/>
    <w:rsid w:val="00BA26D0"/>
    <w:rsid w:val="00BA285D"/>
    <w:rsid w:val="00BA42B2"/>
    <w:rsid w:val="00BA58D4"/>
    <w:rsid w:val="00BA5977"/>
    <w:rsid w:val="00BA5B9E"/>
    <w:rsid w:val="00BA6E9E"/>
    <w:rsid w:val="00BA7C9A"/>
    <w:rsid w:val="00BB15DC"/>
    <w:rsid w:val="00BB36BC"/>
    <w:rsid w:val="00BB3BC7"/>
    <w:rsid w:val="00BB52FE"/>
    <w:rsid w:val="00BB53BE"/>
    <w:rsid w:val="00BB5F8F"/>
    <w:rsid w:val="00BB657A"/>
    <w:rsid w:val="00BC1A4E"/>
    <w:rsid w:val="00BC2D7C"/>
    <w:rsid w:val="00BC4D13"/>
    <w:rsid w:val="00BC5DC7"/>
    <w:rsid w:val="00BC5F43"/>
    <w:rsid w:val="00BC62BC"/>
    <w:rsid w:val="00BC6B8B"/>
    <w:rsid w:val="00BC73D8"/>
    <w:rsid w:val="00BD1C72"/>
    <w:rsid w:val="00BD4D79"/>
    <w:rsid w:val="00BD52D7"/>
    <w:rsid w:val="00BD5AD2"/>
    <w:rsid w:val="00BD727E"/>
    <w:rsid w:val="00BD7D66"/>
    <w:rsid w:val="00BE1065"/>
    <w:rsid w:val="00BE22F3"/>
    <w:rsid w:val="00BE4D10"/>
    <w:rsid w:val="00BE5B52"/>
    <w:rsid w:val="00BE754A"/>
    <w:rsid w:val="00BE7B8D"/>
    <w:rsid w:val="00BF0408"/>
    <w:rsid w:val="00BF0993"/>
    <w:rsid w:val="00BF10A9"/>
    <w:rsid w:val="00BF1703"/>
    <w:rsid w:val="00BF231C"/>
    <w:rsid w:val="00BF30CE"/>
    <w:rsid w:val="00BF3157"/>
    <w:rsid w:val="00BF51E5"/>
    <w:rsid w:val="00BF74A6"/>
    <w:rsid w:val="00C00B09"/>
    <w:rsid w:val="00C013AD"/>
    <w:rsid w:val="00C01A31"/>
    <w:rsid w:val="00C03246"/>
    <w:rsid w:val="00C04904"/>
    <w:rsid w:val="00C056B3"/>
    <w:rsid w:val="00C060FC"/>
    <w:rsid w:val="00C06593"/>
    <w:rsid w:val="00C103E5"/>
    <w:rsid w:val="00C12E91"/>
    <w:rsid w:val="00C13319"/>
    <w:rsid w:val="00C13A8B"/>
    <w:rsid w:val="00C13EE9"/>
    <w:rsid w:val="00C14680"/>
    <w:rsid w:val="00C153C6"/>
    <w:rsid w:val="00C158EB"/>
    <w:rsid w:val="00C15F6B"/>
    <w:rsid w:val="00C1605A"/>
    <w:rsid w:val="00C21540"/>
    <w:rsid w:val="00C21906"/>
    <w:rsid w:val="00C21BFA"/>
    <w:rsid w:val="00C22B14"/>
    <w:rsid w:val="00C24C8D"/>
    <w:rsid w:val="00C25FE2"/>
    <w:rsid w:val="00C26B53"/>
    <w:rsid w:val="00C279B2"/>
    <w:rsid w:val="00C33E50"/>
    <w:rsid w:val="00C34C20"/>
    <w:rsid w:val="00C352AF"/>
    <w:rsid w:val="00C35A3E"/>
    <w:rsid w:val="00C41CF4"/>
    <w:rsid w:val="00C42130"/>
    <w:rsid w:val="00C423A4"/>
    <w:rsid w:val="00C423E3"/>
    <w:rsid w:val="00C4477A"/>
    <w:rsid w:val="00C44BF5"/>
    <w:rsid w:val="00C4680A"/>
    <w:rsid w:val="00C50518"/>
    <w:rsid w:val="00C521D6"/>
    <w:rsid w:val="00C5305D"/>
    <w:rsid w:val="00C541AC"/>
    <w:rsid w:val="00C5495F"/>
    <w:rsid w:val="00C54C67"/>
    <w:rsid w:val="00C55232"/>
    <w:rsid w:val="00C553A4"/>
    <w:rsid w:val="00C55A06"/>
    <w:rsid w:val="00C55D03"/>
    <w:rsid w:val="00C55EA9"/>
    <w:rsid w:val="00C573BB"/>
    <w:rsid w:val="00C5792C"/>
    <w:rsid w:val="00C601BC"/>
    <w:rsid w:val="00C60D12"/>
    <w:rsid w:val="00C60E81"/>
    <w:rsid w:val="00C62745"/>
    <w:rsid w:val="00C6329F"/>
    <w:rsid w:val="00C63340"/>
    <w:rsid w:val="00C643F9"/>
    <w:rsid w:val="00C64E95"/>
    <w:rsid w:val="00C67846"/>
    <w:rsid w:val="00C71372"/>
    <w:rsid w:val="00C7152E"/>
    <w:rsid w:val="00C71707"/>
    <w:rsid w:val="00C7188D"/>
    <w:rsid w:val="00C72410"/>
    <w:rsid w:val="00C7287F"/>
    <w:rsid w:val="00C748AE"/>
    <w:rsid w:val="00C74F37"/>
    <w:rsid w:val="00C80CB8"/>
    <w:rsid w:val="00C819F8"/>
    <w:rsid w:val="00C8248C"/>
    <w:rsid w:val="00C84E33"/>
    <w:rsid w:val="00C86D6F"/>
    <w:rsid w:val="00C86E78"/>
    <w:rsid w:val="00C905FC"/>
    <w:rsid w:val="00C92588"/>
    <w:rsid w:val="00C92D03"/>
    <w:rsid w:val="00C9319C"/>
    <w:rsid w:val="00C9435D"/>
    <w:rsid w:val="00C9482A"/>
    <w:rsid w:val="00C94DF2"/>
    <w:rsid w:val="00C95A36"/>
    <w:rsid w:val="00C96741"/>
    <w:rsid w:val="00CA0B7D"/>
    <w:rsid w:val="00CA11AB"/>
    <w:rsid w:val="00CA2D1B"/>
    <w:rsid w:val="00CA34C1"/>
    <w:rsid w:val="00CA375D"/>
    <w:rsid w:val="00CA65F1"/>
    <w:rsid w:val="00CA662A"/>
    <w:rsid w:val="00CA7AFD"/>
    <w:rsid w:val="00CA7C3C"/>
    <w:rsid w:val="00CB0189"/>
    <w:rsid w:val="00CB0BA2"/>
    <w:rsid w:val="00CB1A42"/>
    <w:rsid w:val="00CB1B0C"/>
    <w:rsid w:val="00CB2945"/>
    <w:rsid w:val="00CB2C0B"/>
    <w:rsid w:val="00CB2FEA"/>
    <w:rsid w:val="00CB5028"/>
    <w:rsid w:val="00CB517D"/>
    <w:rsid w:val="00CC038D"/>
    <w:rsid w:val="00CC08DB"/>
    <w:rsid w:val="00CC39FF"/>
    <w:rsid w:val="00CC3C2F"/>
    <w:rsid w:val="00CC3E97"/>
    <w:rsid w:val="00CC3F6D"/>
    <w:rsid w:val="00CC41E4"/>
    <w:rsid w:val="00CC4AC8"/>
    <w:rsid w:val="00CC5233"/>
    <w:rsid w:val="00CC5A6E"/>
    <w:rsid w:val="00CC5DE6"/>
    <w:rsid w:val="00CC6E4E"/>
    <w:rsid w:val="00CC6FE8"/>
    <w:rsid w:val="00CC7202"/>
    <w:rsid w:val="00CD2808"/>
    <w:rsid w:val="00CD28BF"/>
    <w:rsid w:val="00CD4092"/>
    <w:rsid w:val="00CD44D5"/>
    <w:rsid w:val="00CD4A20"/>
    <w:rsid w:val="00CD50A1"/>
    <w:rsid w:val="00CD519E"/>
    <w:rsid w:val="00CD647E"/>
    <w:rsid w:val="00CD75D1"/>
    <w:rsid w:val="00CE0C4F"/>
    <w:rsid w:val="00CE1067"/>
    <w:rsid w:val="00CE1701"/>
    <w:rsid w:val="00CE280B"/>
    <w:rsid w:val="00CE30EA"/>
    <w:rsid w:val="00CE3D11"/>
    <w:rsid w:val="00CF048A"/>
    <w:rsid w:val="00CF155A"/>
    <w:rsid w:val="00CF28D6"/>
    <w:rsid w:val="00CF2947"/>
    <w:rsid w:val="00CF59AE"/>
    <w:rsid w:val="00CF686F"/>
    <w:rsid w:val="00CF6E60"/>
    <w:rsid w:val="00CF7BCA"/>
    <w:rsid w:val="00D008FD"/>
    <w:rsid w:val="00D0321C"/>
    <w:rsid w:val="00D035EC"/>
    <w:rsid w:val="00D058DF"/>
    <w:rsid w:val="00D06AB1"/>
    <w:rsid w:val="00D06FC1"/>
    <w:rsid w:val="00D072ED"/>
    <w:rsid w:val="00D07A16"/>
    <w:rsid w:val="00D07E65"/>
    <w:rsid w:val="00D1067E"/>
    <w:rsid w:val="00D10F50"/>
    <w:rsid w:val="00D11272"/>
    <w:rsid w:val="00D116C8"/>
    <w:rsid w:val="00D126F5"/>
    <w:rsid w:val="00D1489E"/>
    <w:rsid w:val="00D15269"/>
    <w:rsid w:val="00D15287"/>
    <w:rsid w:val="00D20737"/>
    <w:rsid w:val="00D21E81"/>
    <w:rsid w:val="00D223DE"/>
    <w:rsid w:val="00D226A7"/>
    <w:rsid w:val="00D22DAF"/>
    <w:rsid w:val="00D232D5"/>
    <w:rsid w:val="00D23BBE"/>
    <w:rsid w:val="00D249F9"/>
    <w:rsid w:val="00D25E37"/>
    <w:rsid w:val="00D2661A"/>
    <w:rsid w:val="00D27582"/>
    <w:rsid w:val="00D27EC4"/>
    <w:rsid w:val="00D30346"/>
    <w:rsid w:val="00D308D0"/>
    <w:rsid w:val="00D3170A"/>
    <w:rsid w:val="00D32719"/>
    <w:rsid w:val="00D33333"/>
    <w:rsid w:val="00D352A2"/>
    <w:rsid w:val="00D36972"/>
    <w:rsid w:val="00D36DA4"/>
    <w:rsid w:val="00D4081A"/>
    <w:rsid w:val="00D413E0"/>
    <w:rsid w:val="00D4162B"/>
    <w:rsid w:val="00D4514F"/>
    <w:rsid w:val="00D451E2"/>
    <w:rsid w:val="00D45E89"/>
    <w:rsid w:val="00D45E8D"/>
    <w:rsid w:val="00D466AE"/>
    <w:rsid w:val="00D47089"/>
    <w:rsid w:val="00D4734F"/>
    <w:rsid w:val="00D50B33"/>
    <w:rsid w:val="00D51BF3"/>
    <w:rsid w:val="00D522F4"/>
    <w:rsid w:val="00D54274"/>
    <w:rsid w:val="00D54A1B"/>
    <w:rsid w:val="00D56E63"/>
    <w:rsid w:val="00D575DA"/>
    <w:rsid w:val="00D5790B"/>
    <w:rsid w:val="00D60355"/>
    <w:rsid w:val="00D616DC"/>
    <w:rsid w:val="00D61C3B"/>
    <w:rsid w:val="00D6545A"/>
    <w:rsid w:val="00D65944"/>
    <w:rsid w:val="00D66846"/>
    <w:rsid w:val="00D675FB"/>
    <w:rsid w:val="00D71F25"/>
    <w:rsid w:val="00D72A9C"/>
    <w:rsid w:val="00D76293"/>
    <w:rsid w:val="00D77031"/>
    <w:rsid w:val="00D82792"/>
    <w:rsid w:val="00D83498"/>
    <w:rsid w:val="00D84941"/>
    <w:rsid w:val="00D84FA1"/>
    <w:rsid w:val="00D851F0"/>
    <w:rsid w:val="00D86DB7"/>
    <w:rsid w:val="00D87BF5"/>
    <w:rsid w:val="00D90531"/>
    <w:rsid w:val="00D90721"/>
    <w:rsid w:val="00D926D0"/>
    <w:rsid w:val="00D929E1"/>
    <w:rsid w:val="00D93030"/>
    <w:rsid w:val="00D94332"/>
    <w:rsid w:val="00D950E1"/>
    <w:rsid w:val="00D952A6"/>
    <w:rsid w:val="00D95BEE"/>
    <w:rsid w:val="00D95CBC"/>
    <w:rsid w:val="00D97F99"/>
    <w:rsid w:val="00DA1E08"/>
    <w:rsid w:val="00DA24F8"/>
    <w:rsid w:val="00DA28E8"/>
    <w:rsid w:val="00DA378B"/>
    <w:rsid w:val="00DA37F6"/>
    <w:rsid w:val="00DA38D3"/>
    <w:rsid w:val="00DA3932"/>
    <w:rsid w:val="00DA3AFC"/>
    <w:rsid w:val="00DA52BD"/>
    <w:rsid w:val="00DA5879"/>
    <w:rsid w:val="00DA64F8"/>
    <w:rsid w:val="00DA6C15"/>
    <w:rsid w:val="00DA76B9"/>
    <w:rsid w:val="00DA7F08"/>
    <w:rsid w:val="00DB0258"/>
    <w:rsid w:val="00DB26DA"/>
    <w:rsid w:val="00DB3169"/>
    <w:rsid w:val="00DB38EE"/>
    <w:rsid w:val="00DB498B"/>
    <w:rsid w:val="00DB66CA"/>
    <w:rsid w:val="00DB6BCA"/>
    <w:rsid w:val="00DB6F54"/>
    <w:rsid w:val="00DB73F7"/>
    <w:rsid w:val="00DC0321"/>
    <w:rsid w:val="00DC1A0C"/>
    <w:rsid w:val="00DC3067"/>
    <w:rsid w:val="00DC35A3"/>
    <w:rsid w:val="00DC370B"/>
    <w:rsid w:val="00DC4B85"/>
    <w:rsid w:val="00DC5781"/>
    <w:rsid w:val="00DC5B90"/>
    <w:rsid w:val="00DC5CDE"/>
    <w:rsid w:val="00DC5E2D"/>
    <w:rsid w:val="00DC620F"/>
    <w:rsid w:val="00DD00FF"/>
    <w:rsid w:val="00DD0619"/>
    <w:rsid w:val="00DD07FB"/>
    <w:rsid w:val="00DD25C6"/>
    <w:rsid w:val="00DD4FE5"/>
    <w:rsid w:val="00DD54B0"/>
    <w:rsid w:val="00DD57EE"/>
    <w:rsid w:val="00DD669C"/>
    <w:rsid w:val="00DD6BCC"/>
    <w:rsid w:val="00DD78FB"/>
    <w:rsid w:val="00DE0A4B"/>
    <w:rsid w:val="00DE2410"/>
    <w:rsid w:val="00DE2939"/>
    <w:rsid w:val="00DE2B78"/>
    <w:rsid w:val="00DE4E1F"/>
    <w:rsid w:val="00DE51F5"/>
    <w:rsid w:val="00DE6AF9"/>
    <w:rsid w:val="00DE6E81"/>
    <w:rsid w:val="00DE703F"/>
    <w:rsid w:val="00DE7595"/>
    <w:rsid w:val="00DF1466"/>
    <w:rsid w:val="00DF1961"/>
    <w:rsid w:val="00DF44DE"/>
    <w:rsid w:val="00DF51D7"/>
    <w:rsid w:val="00E01138"/>
    <w:rsid w:val="00E02DFB"/>
    <w:rsid w:val="00E030F9"/>
    <w:rsid w:val="00E0311A"/>
    <w:rsid w:val="00E03138"/>
    <w:rsid w:val="00E036F1"/>
    <w:rsid w:val="00E06404"/>
    <w:rsid w:val="00E11A85"/>
    <w:rsid w:val="00E12495"/>
    <w:rsid w:val="00E12761"/>
    <w:rsid w:val="00E14394"/>
    <w:rsid w:val="00E15CCD"/>
    <w:rsid w:val="00E202EF"/>
    <w:rsid w:val="00E20319"/>
    <w:rsid w:val="00E20FCB"/>
    <w:rsid w:val="00E210B5"/>
    <w:rsid w:val="00E2552F"/>
    <w:rsid w:val="00E30D49"/>
    <w:rsid w:val="00E3137A"/>
    <w:rsid w:val="00E32CCF"/>
    <w:rsid w:val="00E334C0"/>
    <w:rsid w:val="00E34871"/>
    <w:rsid w:val="00E34A98"/>
    <w:rsid w:val="00E35D1E"/>
    <w:rsid w:val="00E364F9"/>
    <w:rsid w:val="00E365FA"/>
    <w:rsid w:val="00E36789"/>
    <w:rsid w:val="00E37E8E"/>
    <w:rsid w:val="00E403B9"/>
    <w:rsid w:val="00E407E9"/>
    <w:rsid w:val="00E43091"/>
    <w:rsid w:val="00E44A83"/>
    <w:rsid w:val="00E502C1"/>
    <w:rsid w:val="00E502DD"/>
    <w:rsid w:val="00E503A3"/>
    <w:rsid w:val="00E50D3A"/>
    <w:rsid w:val="00E51387"/>
    <w:rsid w:val="00E51E68"/>
    <w:rsid w:val="00E52EFD"/>
    <w:rsid w:val="00E5408A"/>
    <w:rsid w:val="00E54FCC"/>
    <w:rsid w:val="00E56800"/>
    <w:rsid w:val="00E56F6F"/>
    <w:rsid w:val="00E5726F"/>
    <w:rsid w:val="00E60811"/>
    <w:rsid w:val="00E60C63"/>
    <w:rsid w:val="00E61544"/>
    <w:rsid w:val="00E61793"/>
    <w:rsid w:val="00E62FF9"/>
    <w:rsid w:val="00E63350"/>
    <w:rsid w:val="00E635D6"/>
    <w:rsid w:val="00E639BC"/>
    <w:rsid w:val="00E65945"/>
    <w:rsid w:val="00E664CC"/>
    <w:rsid w:val="00E702BB"/>
    <w:rsid w:val="00E70388"/>
    <w:rsid w:val="00E706E5"/>
    <w:rsid w:val="00E70F92"/>
    <w:rsid w:val="00E72287"/>
    <w:rsid w:val="00E72DF7"/>
    <w:rsid w:val="00E7383C"/>
    <w:rsid w:val="00E73F5A"/>
    <w:rsid w:val="00E74313"/>
    <w:rsid w:val="00E74C54"/>
    <w:rsid w:val="00E76D4A"/>
    <w:rsid w:val="00E77A03"/>
    <w:rsid w:val="00E77F53"/>
    <w:rsid w:val="00E809E3"/>
    <w:rsid w:val="00E822E8"/>
    <w:rsid w:val="00E82554"/>
    <w:rsid w:val="00E82606"/>
    <w:rsid w:val="00E831C1"/>
    <w:rsid w:val="00E846C8"/>
    <w:rsid w:val="00E84777"/>
    <w:rsid w:val="00E84957"/>
    <w:rsid w:val="00E84A55"/>
    <w:rsid w:val="00E851CC"/>
    <w:rsid w:val="00E8579E"/>
    <w:rsid w:val="00E85BFF"/>
    <w:rsid w:val="00E90166"/>
    <w:rsid w:val="00E90391"/>
    <w:rsid w:val="00E90393"/>
    <w:rsid w:val="00E906C2"/>
    <w:rsid w:val="00E92D85"/>
    <w:rsid w:val="00E9311F"/>
    <w:rsid w:val="00E934D1"/>
    <w:rsid w:val="00E935F5"/>
    <w:rsid w:val="00E94AF0"/>
    <w:rsid w:val="00E953CD"/>
    <w:rsid w:val="00E95D13"/>
    <w:rsid w:val="00E95DD3"/>
    <w:rsid w:val="00E969D5"/>
    <w:rsid w:val="00E97E8A"/>
    <w:rsid w:val="00EA10F4"/>
    <w:rsid w:val="00EA15FD"/>
    <w:rsid w:val="00EA58D1"/>
    <w:rsid w:val="00EA5DCA"/>
    <w:rsid w:val="00EA61BC"/>
    <w:rsid w:val="00EA681A"/>
    <w:rsid w:val="00EA735B"/>
    <w:rsid w:val="00EA77CC"/>
    <w:rsid w:val="00EB1E69"/>
    <w:rsid w:val="00EB2086"/>
    <w:rsid w:val="00EB31ED"/>
    <w:rsid w:val="00EB5E06"/>
    <w:rsid w:val="00EB5EDF"/>
    <w:rsid w:val="00EB60FE"/>
    <w:rsid w:val="00EB6694"/>
    <w:rsid w:val="00EB74DB"/>
    <w:rsid w:val="00EC5359"/>
    <w:rsid w:val="00EC562A"/>
    <w:rsid w:val="00EC7AAD"/>
    <w:rsid w:val="00ED067A"/>
    <w:rsid w:val="00ED0CD8"/>
    <w:rsid w:val="00ED235D"/>
    <w:rsid w:val="00ED2B50"/>
    <w:rsid w:val="00ED58F0"/>
    <w:rsid w:val="00ED63BC"/>
    <w:rsid w:val="00EE0350"/>
    <w:rsid w:val="00EE0719"/>
    <w:rsid w:val="00EE0E80"/>
    <w:rsid w:val="00EE0EB2"/>
    <w:rsid w:val="00EE129D"/>
    <w:rsid w:val="00EE2023"/>
    <w:rsid w:val="00EE5537"/>
    <w:rsid w:val="00EE613F"/>
    <w:rsid w:val="00EE7295"/>
    <w:rsid w:val="00EE75D8"/>
    <w:rsid w:val="00EE7869"/>
    <w:rsid w:val="00EF03B9"/>
    <w:rsid w:val="00EF054A"/>
    <w:rsid w:val="00EF1C0D"/>
    <w:rsid w:val="00EF1D7F"/>
    <w:rsid w:val="00EF1DA6"/>
    <w:rsid w:val="00EF3235"/>
    <w:rsid w:val="00EF604B"/>
    <w:rsid w:val="00EF7E72"/>
    <w:rsid w:val="00F05273"/>
    <w:rsid w:val="00F0616E"/>
    <w:rsid w:val="00F06D37"/>
    <w:rsid w:val="00F071E0"/>
    <w:rsid w:val="00F07B9D"/>
    <w:rsid w:val="00F114B0"/>
    <w:rsid w:val="00F11586"/>
    <w:rsid w:val="00F1183B"/>
    <w:rsid w:val="00F11C9F"/>
    <w:rsid w:val="00F12160"/>
    <w:rsid w:val="00F12263"/>
    <w:rsid w:val="00F127D8"/>
    <w:rsid w:val="00F130FE"/>
    <w:rsid w:val="00F13519"/>
    <w:rsid w:val="00F139CC"/>
    <w:rsid w:val="00F13FE1"/>
    <w:rsid w:val="00F1409D"/>
    <w:rsid w:val="00F14214"/>
    <w:rsid w:val="00F157A9"/>
    <w:rsid w:val="00F15D08"/>
    <w:rsid w:val="00F160F1"/>
    <w:rsid w:val="00F16704"/>
    <w:rsid w:val="00F16F00"/>
    <w:rsid w:val="00F206D7"/>
    <w:rsid w:val="00F221E3"/>
    <w:rsid w:val="00F246CD"/>
    <w:rsid w:val="00F25128"/>
    <w:rsid w:val="00F25BB6"/>
    <w:rsid w:val="00F26B7E"/>
    <w:rsid w:val="00F26D8B"/>
    <w:rsid w:val="00F27A3B"/>
    <w:rsid w:val="00F33216"/>
    <w:rsid w:val="00F33817"/>
    <w:rsid w:val="00F33C6F"/>
    <w:rsid w:val="00F33D6E"/>
    <w:rsid w:val="00F40154"/>
    <w:rsid w:val="00F4042B"/>
    <w:rsid w:val="00F41895"/>
    <w:rsid w:val="00F420D5"/>
    <w:rsid w:val="00F44F1E"/>
    <w:rsid w:val="00F451EA"/>
    <w:rsid w:val="00F45447"/>
    <w:rsid w:val="00F45676"/>
    <w:rsid w:val="00F456C6"/>
    <w:rsid w:val="00F4577B"/>
    <w:rsid w:val="00F45EAD"/>
    <w:rsid w:val="00F46496"/>
    <w:rsid w:val="00F474D0"/>
    <w:rsid w:val="00F50179"/>
    <w:rsid w:val="00F515EE"/>
    <w:rsid w:val="00F5388E"/>
    <w:rsid w:val="00F56511"/>
    <w:rsid w:val="00F571F6"/>
    <w:rsid w:val="00F6124D"/>
    <w:rsid w:val="00F6194E"/>
    <w:rsid w:val="00F61C01"/>
    <w:rsid w:val="00F623AC"/>
    <w:rsid w:val="00F62E8D"/>
    <w:rsid w:val="00F6337D"/>
    <w:rsid w:val="00F63858"/>
    <w:rsid w:val="00F6412A"/>
    <w:rsid w:val="00F65893"/>
    <w:rsid w:val="00F664F2"/>
    <w:rsid w:val="00F66A4A"/>
    <w:rsid w:val="00F67B4B"/>
    <w:rsid w:val="00F7048E"/>
    <w:rsid w:val="00F717FD"/>
    <w:rsid w:val="00F71E22"/>
    <w:rsid w:val="00F72142"/>
    <w:rsid w:val="00F72AE7"/>
    <w:rsid w:val="00F72B7E"/>
    <w:rsid w:val="00F73FBE"/>
    <w:rsid w:val="00F7421D"/>
    <w:rsid w:val="00F767F7"/>
    <w:rsid w:val="00F8057E"/>
    <w:rsid w:val="00F809BA"/>
    <w:rsid w:val="00F81671"/>
    <w:rsid w:val="00F833BA"/>
    <w:rsid w:val="00F83E4D"/>
    <w:rsid w:val="00F8460A"/>
    <w:rsid w:val="00F84B66"/>
    <w:rsid w:val="00F84FD0"/>
    <w:rsid w:val="00F859A8"/>
    <w:rsid w:val="00F86D87"/>
    <w:rsid w:val="00F8780E"/>
    <w:rsid w:val="00F90943"/>
    <w:rsid w:val="00F9108B"/>
    <w:rsid w:val="00F91349"/>
    <w:rsid w:val="00F9173E"/>
    <w:rsid w:val="00F93A8A"/>
    <w:rsid w:val="00F95248"/>
    <w:rsid w:val="00F956A9"/>
    <w:rsid w:val="00F9594A"/>
    <w:rsid w:val="00F95E30"/>
    <w:rsid w:val="00F963ED"/>
    <w:rsid w:val="00F966CF"/>
    <w:rsid w:val="00F96B20"/>
    <w:rsid w:val="00F96CAE"/>
    <w:rsid w:val="00F97C99"/>
    <w:rsid w:val="00FA203B"/>
    <w:rsid w:val="00FA3841"/>
    <w:rsid w:val="00FA662D"/>
    <w:rsid w:val="00FA6C26"/>
    <w:rsid w:val="00FA73B1"/>
    <w:rsid w:val="00FB07B8"/>
    <w:rsid w:val="00FB0CB9"/>
    <w:rsid w:val="00FB231D"/>
    <w:rsid w:val="00FB45F1"/>
    <w:rsid w:val="00FB4A37"/>
    <w:rsid w:val="00FB4A72"/>
    <w:rsid w:val="00FB54E8"/>
    <w:rsid w:val="00FB7054"/>
    <w:rsid w:val="00FB731C"/>
    <w:rsid w:val="00FB782E"/>
    <w:rsid w:val="00FC17B7"/>
    <w:rsid w:val="00FC19E7"/>
    <w:rsid w:val="00FC2581"/>
    <w:rsid w:val="00FC2CB7"/>
    <w:rsid w:val="00FC4090"/>
    <w:rsid w:val="00FC4CDD"/>
    <w:rsid w:val="00FC51FA"/>
    <w:rsid w:val="00FC55B4"/>
    <w:rsid w:val="00FC60FB"/>
    <w:rsid w:val="00FC7D93"/>
    <w:rsid w:val="00FD00E6"/>
    <w:rsid w:val="00FD035D"/>
    <w:rsid w:val="00FD09A1"/>
    <w:rsid w:val="00FD09BA"/>
    <w:rsid w:val="00FD1A3B"/>
    <w:rsid w:val="00FD21E4"/>
    <w:rsid w:val="00FD27A5"/>
    <w:rsid w:val="00FD2A42"/>
    <w:rsid w:val="00FD2A7C"/>
    <w:rsid w:val="00FD2F2C"/>
    <w:rsid w:val="00FD59EB"/>
    <w:rsid w:val="00FD5DC5"/>
    <w:rsid w:val="00FD7299"/>
    <w:rsid w:val="00FE12E6"/>
    <w:rsid w:val="00FE1FBE"/>
    <w:rsid w:val="00FE2255"/>
    <w:rsid w:val="00FE2279"/>
    <w:rsid w:val="00FE35D6"/>
    <w:rsid w:val="00FE3901"/>
    <w:rsid w:val="00FE39D3"/>
    <w:rsid w:val="00FE3F52"/>
    <w:rsid w:val="00FE4BCE"/>
    <w:rsid w:val="00FE5378"/>
    <w:rsid w:val="00FE54AE"/>
    <w:rsid w:val="00FE552B"/>
    <w:rsid w:val="00FE576A"/>
    <w:rsid w:val="00FE746F"/>
    <w:rsid w:val="00FE78C9"/>
    <w:rsid w:val="00FE7E79"/>
    <w:rsid w:val="00FF051E"/>
    <w:rsid w:val="00FF1E9B"/>
    <w:rsid w:val="00FF3E7D"/>
    <w:rsid w:val="00FF4999"/>
    <w:rsid w:val="00FF5B99"/>
    <w:rsid w:val="00FF6E1E"/>
    <w:rsid w:val="00FF730C"/>
    <w:rsid w:val="00FF73F4"/>
    <w:rsid w:val="00FF7BCE"/>
    <w:rsid w:val="00FF7CE4"/>
    <w:rsid w:val="00FF7E39"/>
    <w:rsid w:val="013637D1"/>
    <w:rsid w:val="039C1028"/>
    <w:rsid w:val="0C380209"/>
    <w:rsid w:val="0DA14A33"/>
    <w:rsid w:val="0F0354BF"/>
    <w:rsid w:val="115B29EF"/>
    <w:rsid w:val="17A7052C"/>
    <w:rsid w:val="1A2B3DF1"/>
    <w:rsid w:val="1C406A69"/>
    <w:rsid w:val="1C6D7248"/>
    <w:rsid w:val="1FCE3F40"/>
    <w:rsid w:val="20C703C4"/>
    <w:rsid w:val="21347BEE"/>
    <w:rsid w:val="264A46D0"/>
    <w:rsid w:val="277C287E"/>
    <w:rsid w:val="280076E6"/>
    <w:rsid w:val="285C14C0"/>
    <w:rsid w:val="2A2B2EF8"/>
    <w:rsid w:val="310149B3"/>
    <w:rsid w:val="31AF440F"/>
    <w:rsid w:val="32472899"/>
    <w:rsid w:val="3504770B"/>
    <w:rsid w:val="37B7401D"/>
    <w:rsid w:val="3CAA4150"/>
    <w:rsid w:val="3CF57B6B"/>
    <w:rsid w:val="3F2C2B77"/>
    <w:rsid w:val="42591487"/>
    <w:rsid w:val="45F96148"/>
    <w:rsid w:val="4B95246F"/>
    <w:rsid w:val="4D7A36CB"/>
    <w:rsid w:val="507312EE"/>
    <w:rsid w:val="51E2131A"/>
    <w:rsid w:val="51EB11CD"/>
    <w:rsid w:val="5DAB6F8C"/>
    <w:rsid w:val="5F5F0972"/>
    <w:rsid w:val="61243C22"/>
    <w:rsid w:val="63802FCE"/>
    <w:rsid w:val="63C8712F"/>
    <w:rsid w:val="65850CB8"/>
    <w:rsid w:val="66BA372E"/>
    <w:rsid w:val="67332E10"/>
    <w:rsid w:val="6E6502EF"/>
    <w:rsid w:val="705D74A0"/>
    <w:rsid w:val="71AD37BF"/>
    <w:rsid w:val="742B3769"/>
    <w:rsid w:val="76647254"/>
    <w:rsid w:val="7C670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9"/>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8"/>
    <w:semiHidden/>
    <w:unhideWhenUsed/>
    <w:qFormat/>
    <w:uiPriority w:val="99"/>
    <w:rPr>
      <w:sz w:val="18"/>
      <w:szCs w:val="18"/>
    </w:rPr>
  </w:style>
  <w:style w:type="paragraph" w:styleId="17">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6"/>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51"/>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paragraph" w:customStyle="1" w:styleId="34">
    <w:name w:val="章标题"/>
    <w:next w:val="1"/>
    <w:qFormat/>
    <w:uiPriority w:val="0"/>
    <w:p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35">
    <w:name w:val="一级条标题"/>
    <w:next w:val="1"/>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6">
    <w:name w:val="二级无"/>
    <w:basedOn w:val="1"/>
    <w:qFormat/>
    <w:uiPriority w:val="0"/>
    <w:pPr>
      <w:widowControl/>
      <w:adjustRightInd/>
      <w:spacing w:line="240" w:lineRule="auto"/>
      <w:jc w:val="left"/>
      <w:outlineLvl w:val="3"/>
    </w:pPr>
    <w:rPr>
      <w:rFonts w:ascii="宋体" w:hAnsi="Times New Roman"/>
      <w:kern w:val="0"/>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8"/>
    <w:qFormat/>
    <w:uiPriority w:val="99"/>
    <w:rPr>
      <w:rFonts w:ascii="Times New Roman" w:hAnsi="Times New Roman" w:eastAsia="宋体" w:cs="Times New Roman"/>
      <w:sz w:val="18"/>
      <w:szCs w:val="18"/>
    </w:rPr>
  </w:style>
  <w:style w:type="character" w:customStyle="1" w:styleId="47">
    <w:name w:val="页脚 Char"/>
    <w:link w:val="17"/>
    <w:qFormat/>
    <w:uiPriority w:val="99"/>
    <w:rPr>
      <w:rFonts w:ascii="宋体" w:hAnsi="Times New Roman" w:eastAsia="宋体" w:cs="Times New Roman"/>
      <w:sz w:val="18"/>
      <w:szCs w:val="18"/>
    </w:rPr>
  </w:style>
  <w:style w:type="character" w:customStyle="1" w:styleId="48">
    <w:name w:val="批注框文本 Char"/>
    <w:link w:val="16"/>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5"/>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2"/>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5"/>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3"/>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3"/>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7"/>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9"/>
      </w:numPr>
      <w:ind w:left="0" w:firstLine="200"/>
    </w:pPr>
  </w:style>
  <w:style w:type="paragraph" w:customStyle="1" w:styleId="97">
    <w:name w:val="标准文件_三级条标题"/>
    <w:basedOn w:val="68"/>
    <w:next w:val="59"/>
    <w:qFormat/>
    <w:uiPriority w:val="0"/>
    <w:pPr>
      <w:widowControl/>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1"/>
    <w:semiHidden/>
    <w:qFormat/>
    <w:uiPriority w:val="0"/>
    <w:rPr>
      <w:rFonts w:ascii="宋体" w:hAnsi="Times New Roman" w:eastAsia="宋体" w:cs="Times New Roman"/>
      <w:sz w:val="18"/>
      <w:szCs w:val="18"/>
    </w:rPr>
  </w:style>
  <w:style w:type="paragraph" w:customStyle="1" w:styleId="103">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1"/>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19"/>
      </w:numPr>
      <w:adjustRightInd/>
    </w:pPr>
    <w:rPr>
      <w:szCs w:val="24"/>
    </w:rPr>
  </w:style>
  <w:style w:type="paragraph" w:customStyle="1" w:styleId="162">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2"/>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3"/>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0"/>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4"/>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28"/>
    <w:semiHidden/>
    <w:qFormat/>
    <w:uiPriority w:val="99"/>
    <w:rPr>
      <w:color w:val="808080"/>
    </w:rPr>
  </w:style>
  <w:style w:type="paragraph" w:customStyle="1" w:styleId="190">
    <w:name w:val="标准文件_二级项2"/>
    <w:basedOn w:val="59"/>
    <w:qFormat/>
    <w:uiPriority w:val="0"/>
    <w:pPr>
      <w:numPr>
        <w:ilvl w:val="1"/>
        <w:numId w:val="20"/>
      </w:numPr>
      <w:ind w:left="1271" w:hanging="420" w:firstLineChars="0"/>
    </w:pPr>
  </w:style>
  <w:style w:type="paragraph" w:customStyle="1" w:styleId="191">
    <w:name w:val="标准文件_三级项2"/>
    <w:basedOn w:val="59"/>
    <w:qFormat/>
    <w:uiPriority w:val="0"/>
    <w:pPr>
      <w:numPr>
        <w:ilvl w:val="0"/>
        <w:numId w:val="29"/>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0"/>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28"/>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4"/>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7"/>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7"/>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7"/>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7"/>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7"/>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28"/>
    <w:qFormat/>
    <w:uiPriority w:val="0"/>
    <w:rPr>
      <w:rFonts w:ascii="黑体" w:eastAsia="黑体"/>
      <w:spacing w:val="85"/>
      <w:w w:val="100"/>
      <w:position w:val="3"/>
      <w:sz w:val="28"/>
      <w:szCs w:val="28"/>
    </w:rPr>
  </w:style>
  <w:style w:type="paragraph" w:customStyle="1" w:styleId="233">
    <w:name w:val="三级条标题"/>
    <w:basedOn w:val="1"/>
    <w:next w:val="1"/>
    <w:qFormat/>
    <w:uiPriority w:val="0"/>
    <w:pPr>
      <w:widowControl/>
      <w:adjustRightInd/>
      <w:spacing w:before="50" w:beforeLines="50" w:after="50" w:afterLines="50" w:line="240" w:lineRule="auto"/>
      <w:jc w:val="left"/>
      <w:outlineLvl w:val="4"/>
    </w:pPr>
    <w:rPr>
      <w:rFonts w:ascii="黑体" w:hAnsi="Times New Roman" w:eastAsia="黑体"/>
      <w:kern w:val="0"/>
    </w:rPr>
  </w:style>
  <w:style w:type="paragraph" w:customStyle="1" w:styleId="234">
    <w:name w:val="列项——（一级）"/>
    <w:qFormat/>
    <w:uiPriority w:val="0"/>
    <w:pPr>
      <w:widowControl w:val="0"/>
      <w:jc w:val="both"/>
    </w:pPr>
    <w:rPr>
      <w:rFonts w:ascii="宋体" w:hAnsi="Times New Roman" w:eastAsia="宋体" w:cs="Times New Roman"/>
      <w:sz w:val="21"/>
      <w:lang w:val="en-US" w:eastAsia="zh-CN" w:bidi="ar-SA"/>
    </w:rPr>
  </w:style>
  <w:style w:type="character" w:customStyle="1" w:styleId="235">
    <w:name w:val="段 Char"/>
    <w:link w:val="236"/>
    <w:qFormat/>
    <w:uiPriority w:val="0"/>
    <w:rPr>
      <w:rFonts w:ascii="宋体"/>
      <w:sz w:val="21"/>
    </w:rPr>
  </w:style>
  <w:style w:type="paragraph" w:customStyle="1" w:styleId="236">
    <w:name w:val="段"/>
    <w:link w:val="235"/>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26631;&#20934;&#25991;&#20214;&#36890;&#30693;\SET2020&#27169;&#26495;\&#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B7675CCFB074D529C391823AC2DAA98"/>
        <w:style w:val=""/>
        <w:category>
          <w:name w:val="常规"/>
          <w:gallery w:val="placeholder"/>
        </w:category>
        <w:types>
          <w:type w:val="bbPlcHdr"/>
        </w:types>
        <w:behaviors>
          <w:behavior w:val="content"/>
        </w:behaviors>
        <w:description w:val=""/>
        <w:guid w:val="{665199BF-9481-4EA0-8F88-948180B5A81C}"/>
      </w:docPartPr>
      <w:docPartBody>
        <w:p>
          <w:pPr>
            <w:pStyle w:val="5"/>
          </w:pPr>
          <w:r>
            <w:rPr>
              <w:rStyle w:val="4"/>
              <w:rFonts w:hint="eastAsia"/>
            </w:rPr>
            <w:t>单击或点击此处输入文字。</w:t>
          </w:r>
        </w:p>
      </w:docPartBody>
    </w:docPart>
    <w:docPart>
      <w:docPartPr>
        <w:name w:val="0FF4879392B04B938B08D4E54996C184"/>
        <w:style w:val=""/>
        <w:category>
          <w:name w:val="常规"/>
          <w:gallery w:val="placeholder"/>
        </w:category>
        <w:types>
          <w:type w:val="bbPlcHdr"/>
        </w:types>
        <w:behaviors>
          <w:behavior w:val="content"/>
        </w:behaviors>
        <w:description w:val=""/>
        <w:guid w:val="{8A2AA118-53BE-420A-82F3-B3616D29D6ED}"/>
      </w:docPartPr>
      <w:docPartBody>
        <w:p>
          <w:pPr>
            <w:pStyle w:val="8"/>
          </w:pPr>
          <w:r>
            <w:rPr>
              <w:rStyle w:val="4"/>
              <w:rFonts w:hint="eastAsia"/>
            </w:rPr>
            <w:t>单击或点击此处输入文字。</w:t>
          </w:r>
        </w:p>
      </w:docPartBody>
    </w:docPart>
    <w:docPart>
      <w:docPartPr>
        <w:name w:val="A7DABD9CA6F647F2ACC2488CD1BD455C"/>
        <w:style w:val=""/>
        <w:category>
          <w:name w:val="常规"/>
          <w:gallery w:val="placeholder"/>
        </w:category>
        <w:types>
          <w:type w:val="bbPlcHdr"/>
        </w:types>
        <w:behaviors>
          <w:behavior w:val="content"/>
        </w:behaviors>
        <w:description w:val=""/>
        <w:guid w:val="{5B1AE630-1774-4C91-B672-37D700C183DF}"/>
      </w:docPartPr>
      <w:docPartBody>
        <w:p>
          <w:pPr>
            <w:pStyle w:val="12"/>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E"/>
    <w:rsid w:val="000078FE"/>
    <w:rsid w:val="00021B1C"/>
    <w:rsid w:val="00066C3F"/>
    <w:rsid w:val="00076912"/>
    <w:rsid w:val="000F0F2F"/>
    <w:rsid w:val="001325AF"/>
    <w:rsid w:val="00175C59"/>
    <w:rsid w:val="001D19AF"/>
    <w:rsid w:val="00217A38"/>
    <w:rsid w:val="00243C76"/>
    <w:rsid w:val="0027166D"/>
    <w:rsid w:val="002A601E"/>
    <w:rsid w:val="002D3353"/>
    <w:rsid w:val="00333688"/>
    <w:rsid w:val="003F036A"/>
    <w:rsid w:val="003F09A1"/>
    <w:rsid w:val="00456FDC"/>
    <w:rsid w:val="004D6F88"/>
    <w:rsid w:val="00522E34"/>
    <w:rsid w:val="0058092C"/>
    <w:rsid w:val="0058774D"/>
    <w:rsid w:val="00597BD4"/>
    <w:rsid w:val="005A04BE"/>
    <w:rsid w:val="005E68C2"/>
    <w:rsid w:val="006168CC"/>
    <w:rsid w:val="00631284"/>
    <w:rsid w:val="006C75B7"/>
    <w:rsid w:val="006E2166"/>
    <w:rsid w:val="006F6E2C"/>
    <w:rsid w:val="00725FF3"/>
    <w:rsid w:val="0077538C"/>
    <w:rsid w:val="00872939"/>
    <w:rsid w:val="009A54AE"/>
    <w:rsid w:val="009C5E43"/>
    <w:rsid w:val="009E4349"/>
    <w:rsid w:val="00A7540B"/>
    <w:rsid w:val="00A9122E"/>
    <w:rsid w:val="00AD3814"/>
    <w:rsid w:val="00B861B2"/>
    <w:rsid w:val="00BD76A1"/>
    <w:rsid w:val="00C146D5"/>
    <w:rsid w:val="00C24099"/>
    <w:rsid w:val="00C75768"/>
    <w:rsid w:val="00CA60E8"/>
    <w:rsid w:val="00CF5C8D"/>
    <w:rsid w:val="00DA5BE7"/>
    <w:rsid w:val="00DE42F6"/>
    <w:rsid w:val="00E54D2B"/>
    <w:rsid w:val="00E55586"/>
    <w:rsid w:val="00E8545E"/>
    <w:rsid w:val="00F65371"/>
    <w:rsid w:val="00F9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B7675CCFB074D529C391823AC2DAA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C88C206CB2C437BA6AD2F626C67CD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FB8789C99224FF2851587FDC51794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FF4879392B04B938B08D4E54996C1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A361ECEE787242158EFBBAEF36F2524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179371A725442988EF5AA041569ED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2BDC45CD30C4F05BCF6AD3CEB7A4F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A7DABD9CA6F647F2ACC2488CD1BD45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6A7259EC314411AA84C29FA392FA6C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364CF-C52D-4ACC-A080-1E9B737AC945}">
  <ds:schemaRefs/>
</ds:datastoreItem>
</file>

<file path=docProps/app.xml><?xml version="1.0" encoding="utf-8"?>
<Properties xmlns="http://schemas.openxmlformats.org/officeDocument/2006/extended-properties" xmlns:vt="http://schemas.openxmlformats.org/officeDocument/2006/docPropsVTypes">
  <Template>团体标准.dotx</Template>
  <Company>SysCeo.com</Company>
  <Pages>10</Pages>
  <Words>3092</Words>
  <Characters>3351</Characters>
  <Lines>28</Lines>
  <Paragraphs>8</Paragraphs>
  <TotalTime>2</TotalTime>
  <ScaleCrop>false</ScaleCrop>
  <LinksUpToDate>false</LinksUpToDate>
  <CharactersWithSpaces>4012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2021-11-25T07:05:00Z</dcterms:created>
  <dc:creator>陈圳</dc:creator>
  <dc:description>&lt;config cover="true" show_menu="true" version="1.0.0" doctype="SDKXY"&gt;_x000d_
&lt;/config&gt;</dc:description>
  <cp:lastModifiedBy>CY</cp:lastModifiedBy>
  <cp:lastPrinted>2022-04-21T06:08:00Z</cp:lastPrinted>
  <dcterms:modified xsi:type="dcterms:W3CDTF">2022-05-10T02:58:39Z</dcterms:modified>
  <dc:title>团体标准</dc:title>
  <cp:revision>1254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ICV">
    <vt:lpwstr>5906BFE12BCC44BBAB430B193E93C1D3</vt:lpwstr>
  </property>
  <property fmtid="{D5CDD505-2E9C-101B-9397-08002B2CF9AE}" pid="16" name="KSOProductBuildVer">
    <vt:lpwstr>2052-11.1.0.11691</vt:lpwstr>
  </property>
</Properties>
</file>