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6"/>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6"/>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6"/>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4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64"/>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ZPCY</w:t>
                  </w:r>
                  <w:r>
                    <w:fldChar w:fldCharType="end"/>
                  </w:r>
                  <w:bookmarkEnd w:id="1"/>
                </w:p>
              </w:tc>
            </w:tr>
          </w:tbl>
          <w:p>
            <w:pPr>
              <w:pStyle w:val="26"/>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65"/>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210"/>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 xml:space="preserve">ZPCY </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002</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2021</w:t>
      </w:r>
      <w:r>
        <w:fldChar w:fldCharType="end"/>
      </w:r>
      <w:bookmarkEnd w:id="7"/>
    </w:p>
    <w:p>
      <w:pPr>
        <w:pStyle w:val="211"/>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pPr>
        <w:pStyle w:val="65"/>
        <w:framePr w:w="9639" w:h="6976" w:hRule="exact" w:hSpace="0" w:vSpace="0" w:wrap="around" w:hAnchor="page" w:y="6408"/>
        <w:jc w:val="center"/>
        <w:rPr>
          <w:rFonts w:ascii="黑体" w:hAnsi="黑体" w:eastAsia="黑体"/>
          <w:b w:val="0"/>
          <w:bCs w:val="0"/>
          <w:w w:val="100"/>
        </w:rPr>
      </w:pPr>
    </w:p>
    <w:p>
      <w:pPr>
        <w:pStyle w:val="21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昭平红红螺茶加工技术规程 </w:t>
      </w:r>
      <w:r>
        <w:fldChar w:fldCharType="end"/>
      </w:r>
      <w:bookmarkEnd w:id="9"/>
    </w:p>
    <w:p>
      <w:pPr>
        <w:framePr w:w="9639" w:h="6974" w:hRule="exact" w:wrap="around" w:vAnchor="page" w:hAnchor="page" w:x="1419" w:y="6408" w:anchorLock="1"/>
        <w:ind w:left="-1418"/>
      </w:pPr>
    </w:p>
    <w:p>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processing of Zhaoping</w:t>
      </w:r>
      <w:r>
        <w:rPr>
          <w:rFonts w:hint="eastAsia" w:eastAsia="黑体"/>
          <w:szCs w:val="28"/>
        </w:rPr>
        <w:t>hong</w:t>
      </w:r>
      <w:r>
        <w:rPr>
          <w:rFonts w:eastAsia="黑体"/>
          <w:szCs w:val="28"/>
        </w:rPr>
        <w:t xml:space="preserve"> </w:t>
      </w:r>
      <w:r>
        <w:rPr>
          <w:rFonts w:hint="eastAsia" w:eastAsia="黑体"/>
          <w:szCs w:val="28"/>
        </w:rPr>
        <w:t>red</w:t>
      </w:r>
      <w:r>
        <w:rPr>
          <w:rFonts w:eastAsia="黑体"/>
          <w:szCs w:val="28"/>
        </w:rPr>
        <w:t xml:space="preserve"> tea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40"/>
        <w:framePr w:w="9639" w:h="6974" w:hRule="exact" w:wrap="around" w:vAnchor="page" w:hAnchor="page" w:x="1419" w:y="6408" w:anchorLock="1"/>
        <w:textAlignment w:val="bottom"/>
        <w:rPr>
          <w:rFonts w:eastAsia="黑体"/>
          <w:szCs w:val="28"/>
        </w:rPr>
      </w:pPr>
    </w:p>
    <w:p>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4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0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20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6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昭平县茶叶协会</w:t>
      </w:r>
      <w:r>
        <w:rPr>
          <w:rFonts w:hAnsi="黑体"/>
          <w:w w:val="100"/>
          <w:sz w:val="28"/>
        </w:rPr>
        <w:fldChar w:fldCharType="end"/>
      </w:r>
      <w:bookmarkEnd w:id="20"/>
      <w:r>
        <w:rPr>
          <w:rFonts w:ascii="Times New Roman"/>
          <w:w w:val="100"/>
          <w:sz w:val="28"/>
        </w:rPr>
        <w:t>  </w:t>
      </w:r>
      <w:r>
        <w:rPr>
          <w:rStyle w:val="244"/>
          <w:rFonts w:hint="eastAsia" w:hAnsi="黑体"/>
          <w:position w:val="0"/>
        </w:rPr>
        <w:t>发</w:t>
      </w:r>
      <w:r>
        <w:rPr>
          <w:rStyle w:val="24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pPr>
        <w:pStyle w:val="106"/>
        <w:spacing w:after="360"/>
      </w:pPr>
      <w:bookmarkStart w:id="21" w:name="BookMark1"/>
      <w:bookmarkStart w:id="22" w:name="_Toc69894545"/>
      <w:bookmarkStart w:id="23" w:name="_Toc69894516"/>
      <w:r>
        <w:rPr>
          <w:rFonts w:hint="eastAsia"/>
          <w:spacing w:val="320"/>
        </w:rPr>
        <w:t>目</w:t>
      </w:r>
      <w:r>
        <w:rPr>
          <w:rFonts w:hint="eastAsia"/>
        </w:rPr>
        <w:t>次</w:t>
      </w:r>
    </w:p>
    <w:p>
      <w:pPr>
        <w:pStyle w:val="27"/>
        <w:tabs>
          <w:tab w:val="right" w:leader="dot" w:pos="9354"/>
        </w:tabs>
      </w:pPr>
      <w:r>
        <w:rPr>
          <w:rFonts w:ascii="Times New Roman" w:hAnsi="Times New Roman"/>
        </w:rPr>
        <w:fldChar w:fldCharType="begin"/>
      </w:r>
      <w:r>
        <w:rPr>
          <w:rFonts w:ascii="Times New Roman" w:hAnsi="Times New Roman"/>
        </w:rPr>
        <w:instrText xml:space="preserve"> TOC \o "1-1" \h \t "标准文件_一级条标题,2,标准文件_附录一级条标题,2,"</w:instrText>
      </w:r>
      <w:r>
        <w:rPr>
          <w:rFonts w:ascii="Times New Roman" w:hAnsi="Times New Roman"/>
        </w:rPr>
        <w:fldChar w:fldCharType="separate"/>
      </w:r>
      <w:r>
        <w:fldChar w:fldCharType="begin"/>
      </w:r>
      <w:r>
        <w:instrText xml:space="preserve"> HYPERLINK \l "_Toc14562" </w:instrText>
      </w:r>
      <w:r>
        <w:fldChar w:fldCharType="separate"/>
      </w:r>
      <w:r>
        <w:rPr>
          <w:spacing w:val="320"/>
        </w:rPr>
        <w:t>前</w:t>
      </w:r>
      <w:r>
        <w:t>言</w:t>
      </w:r>
      <w:r>
        <w:tab/>
      </w:r>
      <w:r>
        <w:fldChar w:fldCharType="begin"/>
      </w:r>
      <w:r>
        <w:instrText xml:space="preserve"> PAGEREF _Toc14562 \h </w:instrText>
      </w:r>
      <w:r>
        <w:fldChar w:fldCharType="separate"/>
      </w:r>
      <w:r>
        <w:t>II</w:t>
      </w:r>
      <w:r>
        <w:fldChar w:fldCharType="end"/>
      </w:r>
      <w:r>
        <w:fldChar w:fldCharType="end"/>
      </w:r>
    </w:p>
    <w:p>
      <w:pPr>
        <w:pStyle w:val="27"/>
        <w:tabs>
          <w:tab w:val="right" w:leader="dot" w:pos="9354"/>
        </w:tabs>
      </w:pPr>
      <w:r>
        <w:fldChar w:fldCharType="begin"/>
      </w:r>
      <w:r>
        <w:instrText xml:space="preserve"> HYPERLINK \l "_Toc24536" </w:instrText>
      </w:r>
      <w:r>
        <w:fldChar w:fldCharType="separate"/>
      </w:r>
      <w:r>
        <w:rPr>
          <w:rFonts w:hint="eastAsia" w:ascii="黑体" w:eastAsia="黑体"/>
        </w:rPr>
        <w:t xml:space="preserve">1 </w:t>
      </w:r>
      <w:r>
        <w:rPr>
          <w:rFonts w:hint="eastAsia"/>
        </w:rPr>
        <w:t>范围</w:t>
      </w:r>
      <w:r>
        <w:tab/>
      </w:r>
      <w:r>
        <w:fldChar w:fldCharType="begin"/>
      </w:r>
      <w:r>
        <w:instrText xml:space="preserve"> PAGEREF _Toc24536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"_Toc17066"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_Toc17066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"_Toc29384"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_Toc29384 \h </w:instrText>
      </w:r>
      <w:r>
        <w:fldChar w:fldCharType="separate"/>
      </w:r>
      <w:r>
        <w:t>1</w:t>
      </w:r>
      <w:r>
        <w:fldChar w:fldCharType="end"/>
      </w:r>
      <w:r>
        <w:fldChar w:fldCharType="end"/>
      </w:r>
    </w:p>
    <w:p>
      <w:pPr>
        <w:pStyle w:val="27"/>
        <w:tabs>
          <w:tab w:val="right" w:leader="dot" w:pos="9354"/>
        </w:tabs>
      </w:pPr>
      <w:r>
        <w:fldChar w:fldCharType="begin"/>
      </w:r>
      <w:r>
        <w:instrText xml:space="preserve"> HYPERLINK \l "_Toc31138" </w:instrText>
      </w:r>
      <w:r>
        <w:fldChar w:fldCharType="separate"/>
      </w:r>
      <w:r>
        <w:rPr>
          <w:rFonts w:hint="eastAsia" w:ascii="黑体" w:eastAsia="黑体"/>
        </w:rPr>
        <w:t xml:space="preserve">4 </w:t>
      </w:r>
      <w:r>
        <w:rPr>
          <w:rFonts w:hint="eastAsia"/>
        </w:rPr>
        <w:t>基本加工条件</w:t>
      </w:r>
      <w:r>
        <w:tab/>
      </w:r>
      <w:r>
        <w:fldChar w:fldCharType="begin"/>
      </w:r>
      <w:r>
        <w:instrText xml:space="preserve"> PAGEREF _Toc31138 \h </w:instrText>
      </w:r>
      <w:r>
        <w:fldChar w:fldCharType="separate"/>
      </w:r>
      <w:r>
        <w:t>1</w:t>
      </w:r>
      <w:r>
        <w:fldChar w:fldCharType="end"/>
      </w:r>
      <w:r>
        <w:fldChar w:fldCharType="end"/>
      </w:r>
    </w:p>
    <w:p>
      <w:pPr>
        <w:pStyle w:val="37"/>
        <w:tabs>
          <w:tab w:val="right" w:leader="dot" w:pos="9354"/>
          <w:tab w:val="clear" w:pos="9344"/>
        </w:tabs>
      </w:pPr>
      <w:r>
        <w:fldChar w:fldCharType="begin"/>
      </w:r>
      <w:r>
        <w:instrText xml:space="preserve"> HYPERLINK \l "_Toc31906" </w:instrText>
      </w:r>
      <w:r>
        <w:fldChar w:fldCharType="separate"/>
      </w:r>
      <w:r>
        <w:rPr>
          <w:rFonts w:hint="eastAsia" w:ascii="黑体" w:hAnsi="Times New Roman" w:eastAsia="黑体"/>
          <w:kern w:val="0"/>
        </w:rPr>
        <w:t xml:space="preserve">4.1 </w:t>
      </w:r>
      <w:r>
        <w:rPr>
          <w:rFonts w:ascii="Times New Roman"/>
        </w:rPr>
        <w:t>加工场所基本条件</w:t>
      </w:r>
      <w:r>
        <w:tab/>
      </w:r>
      <w:r>
        <w:fldChar w:fldCharType="begin"/>
      </w:r>
      <w:r>
        <w:instrText xml:space="preserve"> PAGEREF _Toc31906 \h </w:instrText>
      </w:r>
      <w:r>
        <w:fldChar w:fldCharType="separate"/>
      </w:r>
      <w:r>
        <w:t>1</w:t>
      </w:r>
      <w:r>
        <w:fldChar w:fldCharType="end"/>
      </w:r>
      <w:r>
        <w:fldChar w:fldCharType="end"/>
      </w:r>
    </w:p>
    <w:p>
      <w:pPr>
        <w:pStyle w:val="37"/>
        <w:tabs>
          <w:tab w:val="right" w:leader="dot" w:pos="9354"/>
          <w:tab w:val="clear" w:pos="9344"/>
        </w:tabs>
      </w:pPr>
      <w:r>
        <w:fldChar w:fldCharType="begin"/>
      </w:r>
      <w:r>
        <w:instrText xml:space="preserve"> HYPERLINK \l "_Toc21861" </w:instrText>
      </w:r>
      <w:r>
        <w:fldChar w:fldCharType="separate"/>
      </w:r>
      <w:r>
        <w:rPr>
          <w:rFonts w:hint="eastAsia" w:ascii="黑体" w:hAnsi="Times New Roman" w:eastAsia="黑体"/>
          <w:kern w:val="0"/>
        </w:rPr>
        <w:t xml:space="preserve">4.2 </w:t>
      </w:r>
      <w:r>
        <w:rPr>
          <w:rFonts w:ascii="Times New Roman"/>
        </w:rPr>
        <w:t>加工过程卫生要求</w:t>
      </w:r>
      <w:r>
        <w:tab/>
      </w:r>
      <w:r>
        <w:fldChar w:fldCharType="begin"/>
      </w:r>
      <w:r>
        <w:instrText xml:space="preserve"> PAGEREF _Toc21861 \h </w:instrText>
      </w:r>
      <w:r>
        <w:fldChar w:fldCharType="separate"/>
      </w:r>
      <w:r>
        <w:t>1</w:t>
      </w:r>
      <w:r>
        <w:fldChar w:fldCharType="end"/>
      </w:r>
      <w:r>
        <w:fldChar w:fldCharType="end"/>
      </w:r>
    </w:p>
    <w:p>
      <w:pPr>
        <w:pStyle w:val="37"/>
        <w:tabs>
          <w:tab w:val="right" w:leader="dot" w:pos="9354"/>
          <w:tab w:val="clear" w:pos="9344"/>
        </w:tabs>
      </w:pPr>
      <w:r>
        <w:fldChar w:fldCharType="begin"/>
      </w:r>
      <w:r>
        <w:instrText xml:space="preserve"> HYPERLINK \l "_Toc27783" </w:instrText>
      </w:r>
      <w:r>
        <w:fldChar w:fldCharType="separate"/>
      </w:r>
      <w:r>
        <w:rPr>
          <w:rFonts w:hint="eastAsia" w:ascii="黑体" w:hAnsi="Times New Roman" w:eastAsia="黑体"/>
          <w:kern w:val="0"/>
        </w:rPr>
        <w:t xml:space="preserve">4.3 </w:t>
      </w:r>
      <w:r>
        <w:rPr>
          <w:rFonts w:ascii="Times New Roman"/>
        </w:rPr>
        <w:t>加工人员</w:t>
      </w:r>
      <w:r>
        <w:tab/>
      </w:r>
      <w:r>
        <w:fldChar w:fldCharType="begin"/>
      </w:r>
      <w:r>
        <w:instrText xml:space="preserve"> PAGEREF _Toc27783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"_Toc11984" </w:instrText>
      </w:r>
      <w:r>
        <w:fldChar w:fldCharType="separate"/>
      </w:r>
      <w:r>
        <w:rPr>
          <w:rFonts w:hint="eastAsia" w:ascii="黑体" w:hAnsi="Times New Roman" w:eastAsia="黑体"/>
          <w:kern w:val="0"/>
        </w:rPr>
        <w:t xml:space="preserve">4.4 </w:t>
      </w:r>
      <w:r>
        <w:rPr>
          <w:rFonts w:ascii="Times New Roman"/>
        </w:rPr>
        <w:t>加工设备</w:t>
      </w:r>
      <w:r>
        <w:tab/>
      </w:r>
      <w:r>
        <w:fldChar w:fldCharType="begin"/>
      </w:r>
      <w:r>
        <w:instrText xml:space="preserve"> PAGEREF _Toc11984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"_Toc19730" </w:instrText>
      </w:r>
      <w:r>
        <w:fldChar w:fldCharType="separate"/>
      </w:r>
      <w:r>
        <w:rPr>
          <w:rFonts w:hint="eastAsia" w:ascii="黑体" w:eastAsia="黑体"/>
        </w:rPr>
        <w:t xml:space="preserve">5 </w:t>
      </w:r>
      <w:r>
        <w:rPr>
          <w:rFonts w:hint="eastAsia" w:ascii="Times New Roman"/>
        </w:rPr>
        <w:t>原料（鲜叶）要求</w:t>
      </w:r>
      <w:r>
        <w:tab/>
      </w:r>
      <w:r>
        <w:fldChar w:fldCharType="begin"/>
      </w:r>
      <w:r>
        <w:instrText xml:space="preserve"> PAGEREF _Toc19730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"_Toc3690" </w:instrText>
      </w:r>
      <w:r>
        <w:fldChar w:fldCharType="separate"/>
      </w:r>
      <w:r>
        <w:rPr>
          <w:rFonts w:hint="eastAsia" w:ascii="黑体" w:hAnsi="Times New Roman" w:eastAsia="黑体"/>
          <w:kern w:val="0"/>
        </w:rPr>
        <w:t xml:space="preserve">5.1 </w:t>
      </w:r>
      <w:r>
        <w:rPr>
          <w:rFonts w:hint="eastAsia" w:ascii="Times New Roman"/>
        </w:rPr>
        <w:t>基本</w:t>
      </w:r>
      <w:r>
        <w:rPr>
          <w:rFonts w:ascii="Times New Roman"/>
        </w:rPr>
        <w:t>要求</w:t>
      </w:r>
      <w:r>
        <w:tab/>
      </w:r>
      <w:r>
        <w:fldChar w:fldCharType="begin"/>
      </w:r>
      <w:r>
        <w:instrText xml:space="preserve"> PAGEREF _Toc3690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"_Toc21438" </w:instrText>
      </w:r>
      <w:r>
        <w:fldChar w:fldCharType="separate"/>
      </w:r>
      <w:r>
        <w:rPr>
          <w:rFonts w:hint="eastAsia" w:ascii="黑体" w:hAnsi="Times New Roman" w:eastAsia="黑体"/>
          <w:kern w:val="0"/>
        </w:rPr>
        <w:t xml:space="preserve">5.2 </w:t>
      </w:r>
      <w:r>
        <w:rPr>
          <w:rFonts w:hint="eastAsia" w:ascii="Times New Roman"/>
        </w:rPr>
        <w:t>分级</w:t>
      </w:r>
      <w:r>
        <w:rPr>
          <w:rFonts w:ascii="Times New Roman"/>
        </w:rPr>
        <w:t>要求</w:t>
      </w:r>
      <w:r>
        <w:tab/>
      </w:r>
      <w:r>
        <w:fldChar w:fldCharType="begin"/>
      </w:r>
      <w:r>
        <w:instrText xml:space="preserve"> PAGEREF _Toc21438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"_Toc3739" </w:instrText>
      </w:r>
      <w:r>
        <w:fldChar w:fldCharType="separate"/>
      </w:r>
      <w:r>
        <w:rPr>
          <w:rFonts w:hint="eastAsia" w:ascii="黑体" w:hAnsi="Times New Roman" w:eastAsia="黑体"/>
          <w:kern w:val="0"/>
        </w:rPr>
        <w:t xml:space="preserve">5.3 </w:t>
      </w:r>
      <w:r>
        <w:rPr>
          <w:rFonts w:hint="eastAsia" w:ascii="Times New Roman"/>
        </w:rPr>
        <w:t>鲜叶装运</w:t>
      </w:r>
      <w:r>
        <w:tab/>
      </w:r>
      <w:r>
        <w:fldChar w:fldCharType="begin"/>
      </w:r>
      <w:r>
        <w:instrText xml:space="preserve"> PAGEREF _Toc3739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"_Toc2216" </w:instrText>
      </w:r>
      <w:r>
        <w:fldChar w:fldCharType="separate"/>
      </w:r>
      <w:r>
        <w:rPr>
          <w:rFonts w:hint="eastAsia" w:ascii="黑体" w:eastAsia="黑体"/>
        </w:rPr>
        <w:t xml:space="preserve">6 </w:t>
      </w:r>
      <w:r>
        <w:rPr>
          <w:rFonts w:ascii="Times New Roman"/>
        </w:rPr>
        <w:t>加工工艺</w:t>
      </w:r>
      <w:r>
        <w:tab/>
      </w:r>
      <w:r>
        <w:fldChar w:fldCharType="begin"/>
      </w:r>
      <w:r>
        <w:instrText xml:space="preserve"> PAGEREF _Toc2216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"_Toc30979" </w:instrText>
      </w:r>
      <w:r>
        <w:fldChar w:fldCharType="separate"/>
      </w:r>
      <w:r>
        <w:rPr>
          <w:rFonts w:hint="eastAsia" w:ascii="黑体" w:hAnsi="Times New Roman" w:eastAsia="黑体"/>
          <w:kern w:val="0"/>
        </w:rPr>
        <w:t xml:space="preserve">6.1 </w:t>
      </w:r>
      <w:r>
        <w:rPr>
          <w:rFonts w:ascii="Times New Roman"/>
        </w:rPr>
        <w:t>工艺流程</w:t>
      </w:r>
      <w:r>
        <w:tab/>
      </w:r>
      <w:r>
        <w:fldChar w:fldCharType="begin"/>
      </w:r>
      <w:r>
        <w:instrText xml:space="preserve"> PAGEREF _Toc30979 \h </w:instrText>
      </w:r>
      <w:r>
        <w:fldChar w:fldCharType="separate"/>
      </w:r>
      <w:r>
        <w:t>2</w:t>
      </w:r>
      <w:r>
        <w:fldChar w:fldCharType="end"/>
      </w:r>
      <w:r>
        <w:fldChar w:fldCharType="end"/>
      </w:r>
    </w:p>
    <w:p>
      <w:pPr>
        <w:pStyle w:val="37"/>
        <w:tabs>
          <w:tab w:val="right" w:leader="dot" w:pos="9354"/>
          <w:tab w:val="clear" w:pos="9344"/>
        </w:tabs>
      </w:pPr>
      <w:r>
        <w:fldChar w:fldCharType="begin"/>
      </w:r>
      <w:r>
        <w:instrText xml:space="preserve"> HYPERLINK \l "_Toc12575" </w:instrText>
      </w:r>
      <w:r>
        <w:fldChar w:fldCharType="separate"/>
      </w:r>
      <w:r>
        <w:rPr>
          <w:rFonts w:hint="eastAsia" w:ascii="黑体" w:hAnsi="Times New Roman" w:eastAsia="黑体"/>
          <w:kern w:val="0"/>
        </w:rPr>
        <w:t xml:space="preserve">6.2 </w:t>
      </w:r>
      <w:r>
        <w:rPr>
          <w:rFonts w:ascii="Times New Roman"/>
        </w:rPr>
        <w:t>工艺要求</w:t>
      </w:r>
      <w:r>
        <w:tab/>
      </w:r>
      <w:r>
        <w:fldChar w:fldCharType="begin"/>
      </w:r>
      <w:r>
        <w:instrText xml:space="preserve"> PAGEREF _Toc12575 \h </w:instrText>
      </w:r>
      <w:r>
        <w:fldChar w:fldCharType="separate"/>
      </w:r>
      <w:r>
        <w:t>2</w:t>
      </w:r>
      <w:r>
        <w:fldChar w:fldCharType="end"/>
      </w:r>
      <w:r>
        <w:fldChar w:fldCharType="end"/>
      </w:r>
    </w:p>
    <w:p>
      <w:pPr>
        <w:pStyle w:val="27"/>
        <w:tabs>
          <w:tab w:val="right" w:leader="dot" w:pos="9354"/>
        </w:tabs>
      </w:pPr>
      <w:r>
        <w:fldChar w:fldCharType="begin"/>
      </w:r>
      <w:r>
        <w:instrText xml:space="preserve"> HYPERLINK \l "_Toc16183" </w:instrText>
      </w:r>
      <w:r>
        <w:fldChar w:fldCharType="separate"/>
      </w:r>
      <w:r>
        <w:rPr>
          <w:rFonts w:hint="eastAsia" w:ascii="黑体" w:eastAsia="黑体"/>
        </w:rPr>
        <w:t xml:space="preserve">7 </w:t>
      </w:r>
      <w:r>
        <w:rPr>
          <w:rFonts w:ascii="Times New Roman"/>
        </w:rPr>
        <w:t>质量管理</w:t>
      </w:r>
      <w:r>
        <w:tab/>
      </w:r>
      <w:r>
        <w:fldChar w:fldCharType="begin"/>
      </w:r>
      <w:r>
        <w:instrText xml:space="preserve"> PAGEREF _Toc16183 \h </w:instrText>
      </w:r>
      <w:r>
        <w:fldChar w:fldCharType="separate"/>
      </w:r>
      <w:r>
        <w:t>4</w:t>
      </w:r>
      <w:r>
        <w:fldChar w:fldCharType="end"/>
      </w:r>
      <w:r>
        <w:fldChar w:fldCharType="end"/>
      </w:r>
    </w:p>
    <w:p>
      <w:pPr>
        <w:pStyle w:val="27"/>
        <w:tabs>
          <w:tab w:val="right" w:leader="dot" w:pos="9354"/>
        </w:tabs>
      </w:pPr>
      <w:r>
        <w:fldChar w:fldCharType="begin"/>
      </w:r>
      <w:r>
        <w:instrText xml:space="preserve"> HYPERLINK \l "_Toc15320" </w:instrText>
      </w:r>
      <w:r>
        <w:fldChar w:fldCharType="separate"/>
      </w:r>
      <w:r>
        <w:rPr>
          <w:rFonts w:hint="eastAsia" w:ascii="黑体" w:eastAsia="黑体"/>
        </w:rPr>
        <w:t xml:space="preserve">8 </w:t>
      </w:r>
      <w:r>
        <w:rPr>
          <w:rFonts w:ascii="Times New Roman"/>
        </w:rPr>
        <w:t>标志、标签、包装、运输和贮存</w:t>
      </w:r>
      <w:r>
        <w:tab/>
      </w:r>
      <w:r>
        <w:fldChar w:fldCharType="begin"/>
      </w:r>
      <w:r>
        <w:instrText xml:space="preserve"> PAGEREF _Toc15320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"_Toc12967" </w:instrText>
      </w:r>
      <w:r>
        <w:fldChar w:fldCharType="separate"/>
      </w:r>
      <w:r>
        <w:rPr>
          <w:rFonts w:hint="eastAsia" w:ascii="黑体" w:hAnsi="Times New Roman" w:eastAsia="黑体"/>
          <w:kern w:val="0"/>
        </w:rPr>
        <w:t xml:space="preserve">8.1 </w:t>
      </w:r>
      <w:r>
        <w:rPr>
          <w:rFonts w:ascii="Times New Roman"/>
        </w:rPr>
        <w:t>标志、标签</w:t>
      </w:r>
      <w:r>
        <w:tab/>
      </w:r>
      <w:r>
        <w:fldChar w:fldCharType="begin"/>
      </w:r>
      <w:r>
        <w:instrText xml:space="preserve"> PAGEREF _Toc12967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"_Toc9169" </w:instrText>
      </w:r>
      <w:r>
        <w:fldChar w:fldCharType="separate"/>
      </w:r>
      <w:r>
        <w:rPr>
          <w:rFonts w:hint="eastAsia" w:ascii="黑体" w:hAnsi="Times New Roman" w:eastAsia="黑体"/>
          <w:kern w:val="0"/>
        </w:rPr>
        <w:t xml:space="preserve">8.2 </w:t>
      </w:r>
      <w:r>
        <w:rPr>
          <w:rFonts w:ascii="Times New Roman"/>
        </w:rPr>
        <w:t>包装</w:t>
      </w:r>
      <w:r>
        <w:tab/>
      </w:r>
      <w:r>
        <w:fldChar w:fldCharType="begin"/>
      </w:r>
      <w:r>
        <w:instrText xml:space="preserve"> PAGEREF _Toc9169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"_Toc15490" </w:instrText>
      </w:r>
      <w:r>
        <w:fldChar w:fldCharType="separate"/>
      </w:r>
      <w:r>
        <w:rPr>
          <w:rFonts w:hint="eastAsia" w:ascii="黑体" w:hAnsi="Times New Roman" w:eastAsia="黑体"/>
          <w:kern w:val="0"/>
        </w:rPr>
        <w:t xml:space="preserve">8.3 </w:t>
      </w:r>
      <w:r>
        <w:rPr>
          <w:rFonts w:ascii="Times New Roman"/>
        </w:rPr>
        <w:t>运输</w:t>
      </w:r>
      <w:r>
        <w:tab/>
      </w:r>
      <w:r>
        <w:fldChar w:fldCharType="begin"/>
      </w:r>
      <w:r>
        <w:instrText xml:space="preserve"> PAGEREF _Toc15490 \h </w:instrText>
      </w:r>
      <w:r>
        <w:fldChar w:fldCharType="separate"/>
      </w:r>
      <w:r>
        <w:t>4</w:t>
      </w:r>
      <w:r>
        <w:fldChar w:fldCharType="end"/>
      </w:r>
      <w:r>
        <w:fldChar w:fldCharType="end"/>
      </w:r>
    </w:p>
    <w:p>
      <w:pPr>
        <w:pStyle w:val="37"/>
        <w:tabs>
          <w:tab w:val="right" w:leader="dot" w:pos="9354"/>
          <w:tab w:val="clear" w:pos="9344"/>
        </w:tabs>
      </w:pPr>
      <w:r>
        <w:fldChar w:fldCharType="begin"/>
      </w:r>
      <w:r>
        <w:instrText xml:space="preserve"> HYPERLINK \l "_Toc10009" </w:instrText>
      </w:r>
      <w:r>
        <w:fldChar w:fldCharType="separate"/>
      </w:r>
      <w:r>
        <w:rPr>
          <w:rFonts w:hint="eastAsia" w:ascii="黑体" w:hAnsi="Times New Roman" w:eastAsia="黑体"/>
          <w:kern w:val="0"/>
        </w:rPr>
        <w:t xml:space="preserve">8.4 </w:t>
      </w:r>
      <w:r>
        <w:rPr>
          <w:rFonts w:ascii="Times New Roman"/>
        </w:rPr>
        <w:t>贮存</w:t>
      </w:r>
      <w:r>
        <w:tab/>
      </w:r>
      <w:r>
        <w:fldChar w:fldCharType="begin"/>
      </w:r>
      <w:r>
        <w:instrText xml:space="preserve"> PAGEREF _Toc10009 \h </w:instrText>
      </w:r>
      <w:r>
        <w:fldChar w:fldCharType="separate"/>
      </w:r>
      <w:r>
        <w:t>4</w:t>
      </w:r>
      <w:r>
        <w:fldChar w:fldCharType="end"/>
      </w:r>
      <w:r>
        <w:fldChar w:fldCharType="end"/>
      </w:r>
    </w:p>
    <w:p>
      <w:pPr>
        <w:pStyle w:val="106"/>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pPr>
        <w:pStyle w:val="104"/>
        <w:spacing w:after="360"/>
      </w:pPr>
      <w:bookmarkStart w:id="24" w:name="_Toc14562"/>
      <w:bookmarkStart w:id="25" w:name="BookMark2"/>
      <w:r>
        <w:rPr>
          <w:spacing w:val="320"/>
        </w:rPr>
        <w:t>前</w:t>
      </w:r>
      <w:r>
        <w:t>言</w:t>
      </w:r>
      <w:bookmarkEnd w:id="22"/>
      <w:bookmarkEnd w:id="23"/>
      <w:bookmarkEnd w:id="24"/>
    </w:p>
    <w:p>
      <w:pPr>
        <w:pStyle w:val="71"/>
        <w:ind w:firstLine="420"/>
      </w:pPr>
      <w:r>
        <w:rPr>
          <w:rFonts w:hint="eastAsia"/>
        </w:rPr>
        <w:t>本文件按照GB/T 1.1—2020《标准化工作导则  第1部分：标准化文件的结构和起草规则》的规定起草。</w:t>
      </w:r>
    </w:p>
    <w:p>
      <w:pPr>
        <w:pStyle w:val="71"/>
        <w:ind w:firstLine="420"/>
      </w:pPr>
      <w:r>
        <w:rPr>
          <w:rFonts w:hint="eastAsia"/>
        </w:rPr>
        <w:t>请注意本文件的某些内容可能涉及专利。本文件的发布机构不承担识别这些专利的责任。</w:t>
      </w:r>
    </w:p>
    <w:p>
      <w:pPr>
        <w:pStyle w:val="71"/>
        <w:ind w:firstLine="420"/>
      </w:pPr>
      <w:r>
        <w:rPr>
          <w:rFonts w:hint="eastAsia"/>
        </w:rPr>
        <w:t>本文件由广西昭平县将军峰农业科技有限公司提出。</w:t>
      </w:r>
    </w:p>
    <w:p>
      <w:pPr>
        <w:pStyle w:val="71"/>
        <w:ind w:firstLine="420"/>
      </w:pPr>
      <w:r>
        <w:rPr>
          <w:rFonts w:hint="eastAsia"/>
        </w:rPr>
        <w:t>本文件由昭平县茶叶协会归口。</w:t>
      </w:r>
    </w:p>
    <w:p>
      <w:pPr>
        <w:pStyle w:val="71"/>
        <w:ind w:firstLine="420"/>
      </w:pPr>
      <w:r>
        <w:rPr>
          <w:rFonts w:hint="eastAsia"/>
        </w:rPr>
        <w:t>本文件起草单位：贺州学院、广西昭平县将军峰农业科技有限公司。</w:t>
      </w:r>
    </w:p>
    <w:p>
      <w:pPr>
        <w:pStyle w:val="71"/>
        <w:ind w:firstLine="420"/>
      </w:pPr>
      <w:r>
        <w:rPr>
          <w:rFonts w:hint="eastAsia"/>
        </w:rPr>
        <w:t>本文件主要起草人：</w:t>
      </w:r>
    </w:p>
    <w:p>
      <w:pPr>
        <w:pStyle w:val="71"/>
        <w:ind w:firstLine="420"/>
      </w:pPr>
    </w:p>
    <w:p>
      <w:pPr>
        <w:pStyle w:val="71"/>
        <w:ind w:firstLine="420"/>
        <w:sectPr>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FA2CAEE72A040D8B24D75761DE8FB9A"/>
        </w:placeholder>
      </w:sdtPr>
      <w:sdtContent>
        <w:p>
          <w:pPr>
            <w:pStyle w:val="192"/>
            <w:spacing w:beforeLines="182" w:afterLines="220"/>
          </w:pPr>
          <w:bookmarkStart w:id="27" w:name="NEW_STAND_NAME"/>
          <w:r>
            <w:rPr>
              <w:rFonts w:hint="eastAsia"/>
            </w:rPr>
            <w:t>昭平红红螺茶加工技术规程</w:t>
          </w:r>
        </w:p>
      </w:sdtContent>
    </w:sdt>
    <w:bookmarkEnd w:id="27"/>
    <w:p>
      <w:pPr>
        <w:pStyle w:val="119"/>
        <w:spacing w:before="240" w:after="240"/>
      </w:pPr>
      <w:bookmarkStart w:id="28" w:name="_Toc69894517"/>
      <w:bookmarkStart w:id="29" w:name="_Toc24884218"/>
      <w:bookmarkStart w:id="30" w:name="_Toc26648465"/>
      <w:bookmarkStart w:id="31" w:name="_Toc24884211"/>
      <w:bookmarkStart w:id="32" w:name="_Toc26986771"/>
      <w:bookmarkStart w:id="33" w:name="_Toc26718930"/>
      <w:bookmarkStart w:id="34" w:name="_Toc17233333"/>
      <w:bookmarkStart w:id="35" w:name="_Toc69894546"/>
      <w:bookmarkStart w:id="36" w:name="_Toc24536"/>
      <w:bookmarkStart w:id="37" w:name="_Toc68792705"/>
      <w:bookmarkStart w:id="38" w:name="_Toc26986530"/>
      <w:bookmarkStart w:id="39" w:name="_Toc1723332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71"/>
        <w:ind w:firstLine="420"/>
      </w:pPr>
      <w:r>
        <w:rPr>
          <w:rFonts w:hint="eastAsia"/>
        </w:rPr>
        <w:t>本文件规定了</w:t>
      </w:r>
      <w:r>
        <w:t>昭平</w:t>
      </w:r>
      <w:r>
        <w:rPr>
          <w:rFonts w:hint="eastAsia"/>
        </w:rPr>
        <w:t>红</w:t>
      </w:r>
      <w:r>
        <w:t>螺茶加工的术语和定义、基本加工条件、原料</w:t>
      </w:r>
      <w:r>
        <w:rPr>
          <w:rFonts w:hint="eastAsia"/>
        </w:rPr>
        <w:t>(</w:t>
      </w:r>
      <w:r>
        <w:t>鲜叶</w:t>
      </w:r>
      <w:r>
        <w:rPr>
          <w:rFonts w:hint="eastAsia"/>
        </w:rPr>
        <w:t>)</w:t>
      </w:r>
      <w:r>
        <w:t>要求、加工设备、加工工艺、质量管理、标志、标签、包装、运输和贮存。</w:t>
      </w:r>
    </w:p>
    <w:p>
      <w:pPr>
        <w:pStyle w:val="238"/>
        <w:numPr>
          <w:ilvl w:val="0"/>
          <w:numId w:val="0"/>
        </w:numPr>
        <w:ind w:firstLine="420" w:firstLineChars="200"/>
      </w:pPr>
      <w:bookmarkStart w:id="40" w:name="_Toc17233334"/>
      <w:bookmarkStart w:id="41" w:name="_Toc26718931"/>
      <w:bookmarkStart w:id="42" w:name="_Toc24884219"/>
      <w:bookmarkStart w:id="43" w:name="_Toc69894518"/>
      <w:bookmarkStart w:id="44" w:name="_Toc69894547"/>
      <w:bookmarkStart w:id="45" w:name="_Toc24884212"/>
      <w:bookmarkStart w:id="46" w:name="_Toc26648466"/>
      <w:bookmarkStart w:id="47" w:name="_Toc68792706"/>
      <w:bookmarkStart w:id="48" w:name="_Toc26986772"/>
      <w:bookmarkStart w:id="49" w:name="_Toc17233326"/>
      <w:bookmarkStart w:id="50" w:name="_Toc26986531"/>
      <w:r>
        <w:rPr>
          <w:rFonts w:hint="eastAsia"/>
        </w:rPr>
        <w:t>本文件适用于昭平茶农产品地理标志地域保护范围内生产的，以适制昭平红红茶的茶树品种鲜叶为原料，</w:t>
      </w:r>
      <w:r>
        <w:rPr>
          <w:rFonts w:hint="eastAsia" w:hAnsi="宋体"/>
        </w:rPr>
        <w:t>按照萎凋、揉捻、分筛、发酵、做形、干燥、分级、足火</w:t>
      </w:r>
      <w:r>
        <w:rPr>
          <w:rFonts w:hint="eastAsia" w:ascii="Times New Roman"/>
          <w:szCs w:val="21"/>
        </w:rPr>
        <w:t>等连续工艺加工而成，外形卷曲呈螺形的红螺茶。</w:t>
      </w:r>
    </w:p>
    <w:p>
      <w:pPr>
        <w:pStyle w:val="119"/>
        <w:spacing w:before="240" w:after="240"/>
      </w:pPr>
      <w:bookmarkStart w:id="51" w:name="_Toc1706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ECD3ED80B0B4CCF8CD4393E6996D9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7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71"/>
        <w:ind w:firstLine="420"/>
        <w:rPr>
          <w:rFonts w:ascii="Times New Roman"/>
        </w:rPr>
      </w:pPr>
      <w:r>
        <w:rPr>
          <w:rFonts w:ascii="Times New Roman"/>
        </w:rPr>
        <w:t>GB/T 191</w:t>
      </w:r>
      <w:r>
        <w:rPr>
          <w:rFonts w:hint="eastAsia" w:ascii="Times New Roman"/>
        </w:rPr>
        <w:t xml:space="preserve"> </w:t>
      </w:r>
      <w:r>
        <w:rPr>
          <w:rFonts w:ascii="Times New Roman"/>
        </w:rPr>
        <w:t>包装储运图示标志</w:t>
      </w:r>
    </w:p>
    <w:p>
      <w:pPr>
        <w:pStyle w:val="71"/>
        <w:ind w:firstLine="420"/>
        <w:rPr>
          <w:rFonts w:ascii="Times New Roman"/>
        </w:rPr>
      </w:pPr>
      <w:r>
        <w:rPr>
          <w:rFonts w:ascii="Times New Roman"/>
        </w:rPr>
        <w:t>GB7718 食品安全国家标准预包装食品标签规则</w:t>
      </w:r>
    </w:p>
    <w:p>
      <w:pPr>
        <w:pStyle w:val="71"/>
        <w:ind w:firstLine="420"/>
        <w:rPr>
          <w:rFonts w:ascii="Times New Roman"/>
        </w:rPr>
      </w:pPr>
      <w:r>
        <w:rPr>
          <w:rFonts w:ascii="Times New Roman"/>
        </w:rPr>
        <w:t xml:space="preserve">GB/T </w:t>
      </w:r>
      <w:r>
        <w:rPr>
          <w:rFonts w:hint="eastAsia" w:ascii="Times New Roman"/>
        </w:rPr>
        <w:t>14487 感官审评术语</w:t>
      </w:r>
    </w:p>
    <w:p>
      <w:pPr>
        <w:pStyle w:val="71"/>
        <w:ind w:firstLine="420"/>
        <w:rPr>
          <w:rFonts w:ascii="Times New Roman"/>
        </w:rPr>
      </w:pPr>
      <w:r>
        <w:rPr>
          <w:rFonts w:ascii="Times New Roman"/>
        </w:rPr>
        <w:t>GB 14881 食品安全国家标准食品生产通用卫生规范</w:t>
      </w:r>
    </w:p>
    <w:p>
      <w:pPr>
        <w:pStyle w:val="71"/>
        <w:ind w:firstLine="420"/>
        <w:rPr>
          <w:rFonts w:ascii="Times New Roman"/>
        </w:rPr>
      </w:pPr>
      <w:r>
        <w:rPr>
          <w:rFonts w:ascii="Times New Roman"/>
        </w:rPr>
        <w:t xml:space="preserve">GB/T </w:t>
      </w:r>
      <w:r>
        <w:rPr>
          <w:rFonts w:hint="eastAsia" w:ascii="Times New Roman"/>
        </w:rPr>
        <w:t xml:space="preserve">23776 茶叶感官审评方法 </w:t>
      </w:r>
    </w:p>
    <w:p>
      <w:pPr>
        <w:pStyle w:val="71"/>
        <w:ind w:firstLine="420"/>
        <w:rPr>
          <w:rFonts w:ascii="Times New Roman"/>
        </w:rPr>
      </w:pPr>
      <w:r>
        <w:rPr>
          <w:rFonts w:ascii="Times New Roman"/>
        </w:rPr>
        <w:t>GB/T 30375 茶叶贮存</w:t>
      </w:r>
    </w:p>
    <w:p>
      <w:pPr>
        <w:pStyle w:val="71"/>
        <w:ind w:firstLine="420"/>
        <w:rPr>
          <w:rFonts w:ascii="Times New Roman"/>
        </w:rPr>
      </w:pPr>
      <w:r>
        <w:rPr>
          <w:rFonts w:ascii="Times New Roman"/>
        </w:rPr>
        <w:t>GB/T 31748 茶鲜叶处理要求</w:t>
      </w:r>
    </w:p>
    <w:p>
      <w:pPr>
        <w:pStyle w:val="71"/>
        <w:ind w:firstLine="420"/>
        <w:rPr>
          <w:rFonts w:ascii="Times New Roman" w:hAnsi="宋体"/>
          <w:lang w:bidi="en-US"/>
        </w:rPr>
      </w:pPr>
      <w:r>
        <w:rPr>
          <w:rFonts w:hint="eastAsia" w:ascii="Times New Roman" w:hAnsi="宋体"/>
          <w:lang w:bidi="en-US"/>
        </w:rPr>
        <w:t>GB/T 32744 茶叶加工良好规范</w:t>
      </w:r>
    </w:p>
    <w:p>
      <w:pPr>
        <w:pStyle w:val="71"/>
        <w:ind w:firstLine="420"/>
        <w:rPr>
          <w:rFonts w:ascii="Times New Roman"/>
        </w:rPr>
      </w:pPr>
      <w:r>
        <w:rPr>
          <w:rFonts w:ascii="Times New Roman"/>
        </w:rPr>
        <w:t>GH/T 1070 茶叶包装通则</w:t>
      </w:r>
    </w:p>
    <w:p>
      <w:pPr>
        <w:pStyle w:val="71"/>
        <w:ind w:firstLine="420"/>
        <w:rPr>
          <w:rFonts w:ascii="Times New Roman"/>
        </w:rPr>
      </w:pPr>
      <w:r>
        <w:rPr>
          <w:rFonts w:ascii="Times New Roman"/>
        </w:rPr>
        <w:t>GH/T 1077 茶叶加工技术</w:t>
      </w:r>
      <w:r>
        <w:rPr>
          <w:rFonts w:hint="eastAsia" w:ascii="Times New Roman"/>
        </w:rPr>
        <w:t>规</w:t>
      </w:r>
      <w:r>
        <w:rPr>
          <w:rFonts w:ascii="Times New Roman"/>
        </w:rPr>
        <w:t>程</w:t>
      </w:r>
    </w:p>
    <w:p>
      <w:pPr>
        <w:pStyle w:val="71"/>
        <w:ind w:firstLine="420"/>
        <w:rPr>
          <w:rFonts w:ascii="Times New Roman"/>
        </w:rPr>
      </w:pPr>
      <w:r>
        <w:rPr>
          <w:rFonts w:ascii="Times New Roman"/>
        </w:rPr>
        <w:t>GH/T 1124 茶叶加工术语</w:t>
      </w:r>
    </w:p>
    <w:p>
      <w:pPr>
        <w:pStyle w:val="71"/>
        <w:ind w:firstLine="420"/>
        <w:rPr>
          <w:rFonts w:ascii="Times New Roman"/>
        </w:rPr>
      </w:pPr>
      <w:r>
        <w:rPr>
          <w:rFonts w:hint="eastAsia" w:ascii="Times New Roman"/>
        </w:rPr>
        <w:t>DB45 /T 2025-2019 地理标志产品 昭平茶种植技术规程</w:t>
      </w:r>
    </w:p>
    <w:p>
      <w:pPr>
        <w:pStyle w:val="71"/>
        <w:ind w:firstLine="420"/>
        <w:rPr>
          <w:rFonts w:ascii="Times New Roman"/>
        </w:rPr>
      </w:pPr>
      <w:r>
        <w:rPr>
          <w:rFonts w:hint="eastAsia" w:ascii="Times New Roman"/>
        </w:rPr>
        <w:t>T/ZPCY 002-2020 昭平红红茶加工技术规程</w:t>
      </w:r>
    </w:p>
    <w:p>
      <w:pPr>
        <w:pStyle w:val="71"/>
        <w:ind w:firstLine="420"/>
        <w:rPr>
          <w:rFonts w:ascii="Times New Roman"/>
        </w:rPr>
      </w:pPr>
      <w:r>
        <w:rPr>
          <w:rFonts w:ascii="Times New Roman"/>
        </w:rPr>
        <w:t>定量包装商品计量监督管理办法（国家质量监督检验检疫总局〔2005〕第 75 号令）</w:t>
      </w:r>
    </w:p>
    <w:p>
      <w:pPr>
        <w:pStyle w:val="71"/>
        <w:ind w:firstLine="420"/>
        <w:rPr>
          <w:rFonts w:ascii="Times New Roman"/>
        </w:rPr>
      </w:pPr>
      <w:r>
        <w:rPr>
          <w:rFonts w:ascii="Times New Roman"/>
        </w:rPr>
        <w:t>国家质量监督检验检疫总局关于修改《食品标识管理规定》的决定（国家质量监督检验检疫总局令〔2009〕123 号）</w:t>
      </w:r>
    </w:p>
    <w:p>
      <w:pPr>
        <w:pStyle w:val="119"/>
        <w:spacing w:before="240" w:after="240"/>
      </w:pPr>
      <w:bookmarkStart w:id="52" w:name="_Toc69894519"/>
      <w:bookmarkStart w:id="53" w:name="_Toc29384"/>
      <w:bookmarkStart w:id="54" w:name="_Toc68792707"/>
      <w:bookmarkStart w:id="55" w:name="_Toc69894548"/>
      <w:r>
        <w:rPr>
          <w:rFonts w:hint="eastAsia"/>
          <w:szCs w:val="21"/>
        </w:rPr>
        <w:t>术语和定义</w:t>
      </w:r>
      <w:bookmarkEnd w:id="52"/>
      <w:bookmarkEnd w:id="53"/>
      <w:bookmarkEnd w:id="54"/>
      <w:bookmarkEnd w:id="55"/>
    </w:p>
    <w:sdt>
      <w:sdtPr>
        <w:rPr>
          <w:rFonts w:ascii="Times New Roman"/>
        </w:rPr>
        <w:id w:val="-1909835108"/>
        <w:placeholder>
          <w:docPart w:val="A8B7D0EA58CE4BD18F9AE8E7F805A4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71"/>
            <w:ind w:firstLine="420"/>
          </w:pPr>
          <w:bookmarkStart w:id="56" w:name="_Toc26986532"/>
          <w:bookmarkEnd w:id="56"/>
          <w:r>
            <w:rPr>
              <w:rFonts w:ascii="Times New Roman"/>
            </w:rPr>
            <w:t>GH/T 1124</w:t>
          </w:r>
          <w:r>
            <w:rPr>
              <w:rFonts w:hint="eastAsia" w:ascii="Times New Roman"/>
            </w:rPr>
            <w:t>和</w:t>
          </w:r>
          <w:r>
            <w:rPr>
              <w:rFonts w:ascii="Times New Roman"/>
            </w:rPr>
            <w:t>DB45 /T 2025-2019界定的以及下列术语和定义适用于本文件。</w:t>
          </w:r>
        </w:p>
      </w:sdtContent>
    </w:sdt>
    <w:p>
      <w:pPr>
        <w:pStyle w:val="238"/>
        <w:ind w:left="420" w:hanging="420" w:hangingChars="200"/>
        <w:rPr>
          <w:rFonts w:ascii="Times New Roman" w:eastAsia="黑体"/>
        </w:rPr>
      </w:pPr>
      <w:r>
        <w:rPr>
          <w:rFonts w:ascii="黑体" w:hAnsi="黑体" w:eastAsia="黑体"/>
        </w:rPr>
        <w:br w:type="textWrapping"/>
      </w:r>
      <w:r>
        <w:rPr>
          <w:rFonts w:hint="eastAsia" w:ascii="黑体" w:hAnsi="黑体" w:eastAsia="黑体"/>
        </w:rPr>
        <w:t>昭平红红螺茶</w:t>
      </w:r>
    </w:p>
    <w:p>
      <w:pPr>
        <w:pStyle w:val="238"/>
        <w:numPr>
          <w:ilvl w:val="0"/>
          <w:numId w:val="0"/>
        </w:numPr>
        <w:ind w:firstLine="420" w:firstLineChars="200"/>
        <w:rPr>
          <w:rFonts w:hAnsi="宋体"/>
        </w:rPr>
      </w:pPr>
      <w:r>
        <w:rPr>
          <w:rFonts w:hint="eastAsia" w:hAnsi="宋体"/>
        </w:rPr>
        <w:t>以昭平境内生长的中、小叶种茶树鲜叶为原料，按照萎凋、揉捻、分筛、发酵、做形、干燥、分级、足火</w:t>
      </w:r>
      <w:r>
        <w:rPr>
          <w:rFonts w:hint="eastAsia" w:ascii="Times New Roman"/>
          <w:szCs w:val="21"/>
        </w:rPr>
        <w:t>等连续工艺加工而成，外形卷曲呈螺形的红茶。</w:t>
      </w:r>
    </w:p>
    <w:p>
      <w:pPr>
        <w:pStyle w:val="119"/>
        <w:spacing w:before="240" w:after="240"/>
      </w:pPr>
      <w:bookmarkStart w:id="57" w:name="_Toc31138"/>
      <w:r>
        <w:rPr>
          <w:rFonts w:hint="eastAsia"/>
        </w:rPr>
        <w:t>基本加工条件</w:t>
      </w:r>
      <w:bookmarkEnd w:id="57"/>
    </w:p>
    <w:p>
      <w:pPr>
        <w:pStyle w:val="120"/>
        <w:spacing w:before="120" w:after="120"/>
        <w:rPr>
          <w:rFonts w:ascii="Times New Roman"/>
        </w:rPr>
      </w:pPr>
      <w:bookmarkStart w:id="58" w:name="_Toc31906"/>
      <w:r>
        <w:rPr>
          <w:rFonts w:ascii="Times New Roman"/>
        </w:rPr>
        <w:t>加工场所基本条件</w:t>
      </w:r>
      <w:bookmarkEnd w:id="58"/>
    </w:p>
    <w:p>
      <w:pPr>
        <w:pStyle w:val="71"/>
        <w:ind w:firstLine="420"/>
        <w:rPr>
          <w:rFonts w:ascii="Times New Roman" w:hAnsi="宋体"/>
          <w:lang w:bidi="en-US"/>
        </w:rPr>
      </w:pPr>
      <w:r>
        <w:rPr>
          <w:rFonts w:ascii="Times New Roman" w:hAnsi="宋体"/>
          <w:lang w:bidi="en-US"/>
        </w:rPr>
        <w:t>应符合</w:t>
      </w:r>
      <w:r>
        <w:rPr>
          <w:rFonts w:ascii="Times New Roman"/>
        </w:rPr>
        <w:t>GB 14881</w:t>
      </w:r>
      <w:r>
        <w:rPr>
          <w:rFonts w:ascii="Times New Roman" w:hAnsi="宋体"/>
          <w:lang w:bidi="en-US"/>
        </w:rPr>
        <w:t>的要求</w:t>
      </w:r>
      <w:r>
        <w:rPr>
          <w:rFonts w:hint="eastAsia" w:ascii="Times New Roman" w:hAnsi="宋体"/>
          <w:lang w:bidi="en-US"/>
        </w:rPr>
        <w:t>。</w:t>
      </w:r>
    </w:p>
    <w:p>
      <w:pPr>
        <w:pStyle w:val="120"/>
        <w:spacing w:before="120" w:after="120"/>
        <w:rPr>
          <w:rFonts w:ascii="Times New Roman"/>
        </w:rPr>
      </w:pPr>
      <w:bookmarkStart w:id="59" w:name="_Toc21861"/>
      <w:r>
        <w:rPr>
          <w:rFonts w:ascii="Times New Roman"/>
        </w:rPr>
        <w:t>加工过程卫生要求</w:t>
      </w:r>
      <w:bookmarkEnd w:id="59"/>
    </w:p>
    <w:p>
      <w:pPr>
        <w:pStyle w:val="71"/>
        <w:ind w:firstLine="420"/>
        <w:rPr>
          <w:rFonts w:ascii="Times New Roman" w:hAnsi="宋体"/>
          <w:lang w:bidi="en-US"/>
        </w:rPr>
      </w:pPr>
      <w:r>
        <w:rPr>
          <w:rFonts w:ascii="Times New Roman" w:hAnsi="宋体"/>
          <w:lang w:bidi="en-US"/>
        </w:rPr>
        <w:t>应符合</w:t>
      </w:r>
      <w:r>
        <w:rPr>
          <w:rFonts w:ascii="Times New Roman"/>
        </w:rPr>
        <w:t>GB 14881</w:t>
      </w:r>
      <w:r>
        <w:rPr>
          <w:rFonts w:hint="eastAsia" w:ascii="Times New Roman"/>
        </w:rPr>
        <w:t>、</w:t>
      </w:r>
      <w:r>
        <w:rPr>
          <w:rFonts w:hint="eastAsia" w:ascii="Times New Roman" w:hAnsi="宋体"/>
          <w:lang w:bidi="en-US"/>
        </w:rPr>
        <w:t>GB/T 32744</w:t>
      </w:r>
      <w:r>
        <w:rPr>
          <w:rFonts w:ascii="Times New Roman" w:hAnsi="宋体"/>
          <w:lang w:bidi="en-US"/>
        </w:rPr>
        <w:t>的要求</w:t>
      </w:r>
      <w:r>
        <w:rPr>
          <w:rFonts w:hint="eastAsia" w:ascii="Times New Roman" w:hAnsi="宋体"/>
          <w:lang w:bidi="en-US"/>
        </w:rPr>
        <w:t>。</w:t>
      </w:r>
    </w:p>
    <w:p>
      <w:pPr>
        <w:pStyle w:val="120"/>
        <w:spacing w:before="120" w:after="120"/>
        <w:rPr>
          <w:rFonts w:ascii="Times New Roman"/>
        </w:rPr>
      </w:pPr>
      <w:bookmarkStart w:id="60" w:name="_Toc27783"/>
      <w:r>
        <w:rPr>
          <w:rFonts w:ascii="Times New Roman"/>
        </w:rPr>
        <w:t>加工人员</w:t>
      </w:r>
      <w:bookmarkEnd w:id="60"/>
    </w:p>
    <w:p>
      <w:pPr>
        <w:pStyle w:val="71"/>
        <w:ind w:firstLine="420"/>
        <w:rPr>
          <w:rFonts w:ascii="Times New Roman" w:hAnsi="宋体"/>
          <w:lang w:bidi="en-US"/>
        </w:rPr>
      </w:pPr>
      <w:r>
        <w:rPr>
          <w:rFonts w:ascii="Times New Roman" w:hAnsi="宋体"/>
          <w:lang w:bidi="en-US"/>
        </w:rPr>
        <w:t>应符合GB 14881的要求</w:t>
      </w:r>
      <w:r>
        <w:rPr>
          <w:rFonts w:hint="eastAsia" w:ascii="Times New Roman" w:hAnsi="宋体"/>
          <w:lang w:bidi="en-US"/>
        </w:rPr>
        <w:t>。</w:t>
      </w:r>
    </w:p>
    <w:p>
      <w:pPr>
        <w:pStyle w:val="120"/>
        <w:spacing w:before="120" w:after="120"/>
        <w:rPr>
          <w:rFonts w:ascii="Times New Roman"/>
        </w:rPr>
      </w:pPr>
      <w:bookmarkStart w:id="61" w:name="_Toc11984"/>
      <w:r>
        <w:rPr>
          <w:rFonts w:ascii="Times New Roman"/>
        </w:rPr>
        <w:t>加工设备</w:t>
      </w:r>
      <w:bookmarkEnd w:id="61"/>
    </w:p>
    <w:p>
      <w:pPr>
        <w:pStyle w:val="71"/>
        <w:ind w:firstLine="420"/>
        <w:rPr>
          <w:rFonts w:ascii="Times New Roman" w:hAnsi="宋体"/>
          <w:lang w:bidi="en-US"/>
        </w:rPr>
      </w:pPr>
      <w:r>
        <w:rPr>
          <w:rFonts w:ascii="Times New Roman"/>
          <w:szCs w:val="21"/>
        </w:rPr>
        <w:t>设备包括</w:t>
      </w:r>
      <w:r>
        <w:rPr>
          <w:rFonts w:hint="eastAsia" w:ascii="Times New Roman"/>
          <w:szCs w:val="21"/>
        </w:rPr>
        <w:t>萎凋槽、加热机、抽湿机、揉捻机、解块机、瓶炒锅、烘干机、发酵机、成形机、风选机、提香机</w:t>
      </w:r>
      <w:r>
        <w:rPr>
          <w:rFonts w:ascii="Times New Roman"/>
          <w:szCs w:val="21"/>
        </w:rPr>
        <w:t>等，应符合GB 14881食品生产通用卫生规定</w:t>
      </w:r>
      <w:r>
        <w:rPr>
          <w:rFonts w:hint="eastAsia" w:ascii="Times New Roman"/>
          <w:szCs w:val="21"/>
        </w:rPr>
        <w:t>。</w:t>
      </w:r>
    </w:p>
    <w:p>
      <w:pPr>
        <w:pStyle w:val="71"/>
        <w:ind w:firstLine="420"/>
        <w:rPr>
          <w:rFonts w:ascii="Times New Roman" w:hAnsi="宋体"/>
          <w:lang w:bidi="en-US"/>
        </w:rPr>
      </w:pPr>
    </w:p>
    <w:p>
      <w:pPr>
        <w:pStyle w:val="71"/>
        <w:ind w:firstLine="420"/>
        <w:rPr>
          <w:rFonts w:ascii="Times New Roman"/>
        </w:rPr>
      </w:pPr>
    </w:p>
    <w:p>
      <w:pPr>
        <w:pStyle w:val="119"/>
        <w:spacing w:before="240" w:after="240"/>
        <w:rPr>
          <w:rFonts w:ascii="Times New Roman"/>
        </w:rPr>
      </w:pPr>
      <w:bookmarkStart w:id="62" w:name="_Toc19730"/>
      <w:r>
        <w:rPr>
          <w:rFonts w:hint="eastAsia" w:ascii="Times New Roman"/>
        </w:rPr>
        <w:t>原料（鲜叶）要求</w:t>
      </w:r>
      <w:bookmarkEnd w:id="62"/>
    </w:p>
    <w:p>
      <w:pPr>
        <w:pStyle w:val="120"/>
        <w:spacing w:before="120" w:after="120"/>
        <w:rPr>
          <w:rFonts w:ascii="Times New Roman"/>
        </w:rPr>
      </w:pPr>
      <w:bookmarkStart w:id="63" w:name="_Toc68792710"/>
      <w:bookmarkStart w:id="64" w:name="_Toc3690"/>
      <w:bookmarkStart w:id="65" w:name="_Toc68369355"/>
      <w:bookmarkStart w:id="66" w:name="_Toc69894551"/>
      <w:bookmarkStart w:id="67" w:name="_Toc68369484"/>
      <w:r>
        <w:rPr>
          <w:rFonts w:hint="eastAsia" w:ascii="Times New Roman"/>
        </w:rPr>
        <w:t>基本</w:t>
      </w:r>
      <w:r>
        <w:rPr>
          <w:rFonts w:ascii="Times New Roman"/>
        </w:rPr>
        <w:t>要求</w:t>
      </w:r>
      <w:bookmarkEnd w:id="63"/>
      <w:bookmarkEnd w:id="64"/>
      <w:bookmarkEnd w:id="65"/>
      <w:bookmarkEnd w:id="66"/>
      <w:bookmarkEnd w:id="67"/>
    </w:p>
    <w:p>
      <w:pPr>
        <w:pStyle w:val="80"/>
        <w:numPr>
          <w:ilvl w:val="0"/>
          <w:numId w:val="0"/>
        </w:numPr>
        <w:spacing w:before="120" w:after="120"/>
        <w:ind w:firstLine="420" w:firstLineChars="200"/>
        <w:rPr>
          <w:rFonts w:ascii="Times New Roman"/>
        </w:rPr>
      </w:pPr>
      <w:bookmarkStart w:id="68" w:name="_Toc68369356"/>
      <w:bookmarkStart w:id="69" w:name="_Toc69894552"/>
      <w:r>
        <w:rPr>
          <w:rFonts w:hint="eastAsia" w:ascii="宋体" w:eastAsia="宋体"/>
        </w:rPr>
        <w:t>2月下旬-10月下旬采摘，每批采摘的茶树鲜叶应鲜嫩、干净，均匀。无病虫害叶、劣叶及非茶类杂物。应符合</w:t>
      </w:r>
      <w:r>
        <w:rPr>
          <w:rFonts w:ascii="Times New Roman" w:eastAsia="宋体"/>
        </w:rPr>
        <w:t>GB/T 31748</w:t>
      </w:r>
      <w:r>
        <w:rPr>
          <w:rFonts w:hint="eastAsia" w:ascii="宋体" w:eastAsia="宋体"/>
        </w:rPr>
        <w:t>的要求。</w:t>
      </w:r>
    </w:p>
    <w:bookmarkEnd w:id="68"/>
    <w:bookmarkEnd w:id="69"/>
    <w:p>
      <w:pPr>
        <w:pStyle w:val="120"/>
        <w:spacing w:before="120" w:after="120"/>
        <w:rPr>
          <w:rFonts w:ascii="Times New Roman"/>
        </w:rPr>
      </w:pPr>
      <w:bookmarkStart w:id="70" w:name="_Toc68369485"/>
      <w:bookmarkStart w:id="71" w:name="_Toc69894554"/>
      <w:bookmarkStart w:id="72" w:name="_Toc21438"/>
      <w:bookmarkStart w:id="73" w:name="_Toc68369358"/>
      <w:bookmarkStart w:id="74" w:name="_Toc68792711"/>
      <w:r>
        <w:rPr>
          <w:rFonts w:hint="eastAsia" w:ascii="Times New Roman"/>
        </w:rPr>
        <w:t>分级</w:t>
      </w:r>
      <w:r>
        <w:rPr>
          <w:rFonts w:ascii="Times New Roman"/>
        </w:rPr>
        <w:t>要求</w:t>
      </w:r>
      <w:bookmarkEnd w:id="70"/>
      <w:bookmarkEnd w:id="71"/>
      <w:bookmarkEnd w:id="72"/>
      <w:bookmarkEnd w:id="73"/>
      <w:bookmarkEnd w:id="74"/>
    </w:p>
    <w:p>
      <w:pPr>
        <w:pStyle w:val="71"/>
        <w:ind w:firstLine="420"/>
        <w:rPr>
          <w:rFonts w:ascii="Times New Roman"/>
          <w:lang w:bidi="en-US"/>
        </w:rPr>
      </w:pPr>
      <w:r>
        <w:rPr>
          <w:rFonts w:ascii="Times New Roman"/>
          <w:lang w:bidi="en-US"/>
        </w:rPr>
        <w:t>依据原料鲜叶嫩度分三级，鲜叶分级指标应符合表1的要求。</w:t>
      </w:r>
    </w:p>
    <w:p>
      <w:pPr>
        <w:pStyle w:val="248"/>
        <w:spacing w:before="120" w:after="120"/>
        <w:rPr>
          <w:lang w:bidi="en-US"/>
        </w:rPr>
      </w:pPr>
      <w:r>
        <w:rPr>
          <w:rFonts w:hint="eastAsia"/>
          <w:lang w:bidi="en-US"/>
        </w:rPr>
        <w:t>表1 鲜叶质量分级</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等级</w:t>
            </w:r>
          </w:p>
        </w:tc>
        <w:tc>
          <w:tcPr>
            <w:tcW w:w="4785" w:type="dxa"/>
            <w:tcBorders>
              <w:top w:val="single" w:color="auto" w:sz="8"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原料要求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特级</w:t>
            </w:r>
          </w:p>
        </w:tc>
        <w:tc>
          <w:tcPr>
            <w:tcW w:w="4785" w:type="dxa"/>
            <w:tcBorders>
              <w:top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一芽一叶初展比例不低于85%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bottom w:val="single" w:color="auto" w:sz="4"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一级</w:t>
            </w:r>
          </w:p>
        </w:tc>
        <w:tc>
          <w:tcPr>
            <w:tcW w:w="4785" w:type="dxa"/>
            <w:tcBorders>
              <w:bottom w:val="single" w:color="auto" w:sz="4"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一芽一叶比例不低于85%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二级</w:t>
            </w:r>
          </w:p>
        </w:tc>
        <w:tc>
          <w:tcPr>
            <w:tcW w:w="4785" w:type="dxa"/>
            <w:tcBorders>
              <w:top w:val="single" w:color="auto" w:sz="4" w:space="0"/>
              <w:bottom w:val="single" w:color="auto" w:sz="8" w:space="0"/>
            </w:tcBorders>
            <w:shd w:val="clear" w:color="auto" w:fill="auto"/>
          </w:tcPr>
          <w:p>
            <w:pPr>
              <w:pStyle w:val="247"/>
              <w:tabs>
                <w:tab w:val="left" w:pos="433"/>
                <w:tab w:val="left" w:pos="434"/>
              </w:tabs>
              <w:spacing w:before="55" w:line="360" w:lineRule="auto"/>
              <w:ind w:firstLine="408"/>
              <w:jc w:val="center"/>
              <w:rPr>
                <w:rFonts w:ascii="Times New Roman" w:hAnsi="Times New Roman"/>
                <w:spacing w:val="-3"/>
              </w:rPr>
            </w:pPr>
            <w:r>
              <w:rPr>
                <w:rFonts w:ascii="Times New Roman" w:hAnsi="Times New Roman"/>
                <w:spacing w:val="-3"/>
              </w:rPr>
              <w:t>一芽二叶比例不低于85%</w:t>
            </w:r>
          </w:p>
        </w:tc>
      </w:tr>
    </w:tbl>
    <w:p>
      <w:pPr>
        <w:pStyle w:val="120"/>
        <w:spacing w:before="120" w:after="120"/>
        <w:rPr>
          <w:rFonts w:ascii="Times New Roman"/>
        </w:rPr>
      </w:pPr>
      <w:bookmarkStart w:id="75" w:name="_Toc3739"/>
      <w:r>
        <w:rPr>
          <w:rFonts w:hint="eastAsia" w:ascii="Times New Roman"/>
        </w:rPr>
        <w:t>鲜叶装运</w:t>
      </w:r>
      <w:bookmarkEnd w:id="75"/>
    </w:p>
    <w:p>
      <w:pPr>
        <w:pStyle w:val="71"/>
        <w:ind w:firstLine="420"/>
        <w:rPr>
          <w:rFonts w:ascii="Times New Roman"/>
          <w:szCs w:val="21"/>
        </w:rPr>
      </w:pPr>
      <w:r>
        <w:rPr>
          <w:rFonts w:hint="eastAsia"/>
          <w:szCs w:val="21"/>
        </w:rPr>
        <w:t>应符合</w:t>
      </w:r>
      <w:r>
        <w:rPr>
          <w:rFonts w:ascii="Times New Roman"/>
          <w:spacing w:val="-3"/>
          <w:szCs w:val="21"/>
        </w:rPr>
        <w:t>GB/T 31748的规定。</w:t>
      </w:r>
    </w:p>
    <w:p>
      <w:pPr>
        <w:pStyle w:val="119"/>
        <w:spacing w:before="240" w:after="240"/>
        <w:rPr>
          <w:rFonts w:ascii="Times New Roman"/>
        </w:rPr>
      </w:pPr>
      <w:bookmarkStart w:id="76" w:name="_Toc2216"/>
      <w:r>
        <w:rPr>
          <w:rFonts w:ascii="Times New Roman"/>
        </w:rPr>
        <w:t>加工工艺</w:t>
      </w:r>
      <w:bookmarkEnd w:id="76"/>
    </w:p>
    <w:p>
      <w:pPr>
        <w:pStyle w:val="120"/>
        <w:spacing w:before="120" w:after="120"/>
        <w:rPr>
          <w:rFonts w:ascii="Times New Roman"/>
        </w:rPr>
      </w:pPr>
      <w:bookmarkStart w:id="77" w:name="_Toc30979"/>
      <w:r>
        <w:rPr>
          <w:rFonts w:ascii="Times New Roman"/>
        </w:rPr>
        <w:t>工艺流程</w:t>
      </w:r>
      <w:bookmarkEnd w:id="77"/>
    </w:p>
    <w:p>
      <w:pPr>
        <w:pStyle w:val="177"/>
        <w:numPr>
          <w:ilvl w:val="0"/>
          <w:numId w:val="0"/>
        </w:numPr>
        <w:ind w:firstLine="420" w:firstLineChars="200"/>
        <w:rPr>
          <w:rFonts w:ascii="Times New Roman"/>
          <w:szCs w:val="21"/>
        </w:rPr>
      </w:pPr>
      <w:r>
        <w:rPr>
          <w:rFonts w:hint="eastAsia" w:ascii="Times New Roman"/>
          <w:szCs w:val="21"/>
        </w:rPr>
        <w:t>萎凋 →揉捻 →分筛 →发酵 →做形 →干燥 →分级 →足火 →拼配 →装袋 →成品茶</w:t>
      </w:r>
    </w:p>
    <w:p>
      <w:pPr>
        <w:pStyle w:val="120"/>
        <w:spacing w:before="120" w:after="120"/>
        <w:rPr>
          <w:rFonts w:ascii="Times New Roman"/>
        </w:rPr>
      </w:pPr>
      <w:bookmarkStart w:id="78" w:name="_Toc12575"/>
      <w:r>
        <w:rPr>
          <w:rFonts w:ascii="Times New Roman"/>
        </w:rPr>
        <w:t>工艺要求</w:t>
      </w:r>
      <w:bookmarkEnd w:id="78"/>
    </w:p>
    <w:p>
      <w:pPr>
        <w:pStyle w:val="80"/>
        <w:spacing w:before="120" w:after="120"/>
        <w:rPr>
          <w:rFonts w:ascii="Times New Roman"/>
        </w:rPr>
      </w:pPr>
      <w:r>
        <w:rPr>
          <w:rFonts w:hint="eastAsia" w:ascii="Times New Roman"/>
        </w:rPr>
        <w:t xml:space="preserve">萎凋 </w:t>
      </w:r>
    </w:p>
    <w:p>
      <w:pPr>
        <w:pStyle w:val="109"/>
        <w:spacing w:before="120" w:after="120"/>
        <w:rPr>
          <w:rFonts w:ascii="Times New Roman"/>
        </w:rPr>
      </w:pPr>
      <w:r>
        <w:rPr>
          <w:rFonts w:hint="eastAsia" w:ascii="Times New Roman"/>
        </w:rPr>
        <w:t>萎凋工艺参数</w:t>
      </w:r>
    </w:p>
    <w:p>
      <w:pPr>
        <w:pStyle w:val="177"/>
        <w:numPr>
          <w:ilvl w:val="0"/>
          <w:numId w:val="0"/>
        </w:numPr>
        <w:ind w:firstLine="420" w:firstLineChars="200"/>
        <w:rPr>
          <w:rFonts w:ascii="Times New Roman"/>
          <w:szCs w:val="21"/>
        </w:rPr>
      </w:pPr>
      <w:r>
        <w:rPr>
          <w:rFonts w:hint="eastAsia" w:ascii="Times New Roman"/>
          <w:szCs w:val="21"/>
        </w:rPr>
        <w:t>采用自然萎凋或萎凋槽萎凋等方式，具体工艺参数如表2所示。</w:t>
      </w:r>
    </w:p>
    <w:p>
      <w:pPr>
        <w:pStyle w:val="248"/>
        <w:spacing w:before="120" w:after="120"/>
        <w:rPr>
          <w:color w:val="0000FF"/>
        </w:rPr>
      </w:pPr>
      <w:r>
        <w:rPr>
          <w:rFonts w:hint="eastAsia"/>
        </w:rPr>
        <w:t>表2 不同萎凋方式的工艺参数</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restart"/>
            <w:tcBorders>
              <w:top w:val="single" w:color="auto" w:sz="8" w:space="0"/>
            </w:tcBorders>
            <w:shd w:val="clear" w:color="auto" w:fill="auto"/>
            <w:vAlign w:val="center"/>
          </w:tcPr>
          <w:p>
            <w:pPr>
              <w:jc w:val="center"/>
            </w:pPr>
            <w:r>
              <w:rPr>
                <w:rFonts w:hint="eastAsia"/>
              </w:rPr>
              <w:t>参数</w:t>
            </w:r>
          </w:p>
        </w:tc>
        <w:tc>
          <w:tcPr>
            <w:tcW w:w="6380" w:type="dxa"/>
            <w:gridSpan w:val="2"/>
            <w:tcBorders>
              <w:top w:val="single" w:color="auto" w:sz="8" w:space="0"/>
              <w:bottom w:val="single" w:color="auto" w:sz="8" w:space="0"/>
            </w:tcBorders>
            <w:shd w:val="clear" w:color="auto" w:fill="auto"/>
          </w:tcPr>
          <w:p>
            <w:pPr>
              <w:jc w:val="center"/>
            </w:pPr>
            <w:r>
              <w:rPr>
                <w:rFonts w:hint="eastAsia"/>
              </w:rPr>
              <w:t>萎凋方式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vMerge w:val="continue"/>
            <w:tcBorders>
              <w:bottom w:val="single" w:color="auto" w:sz="8" w:space="0"/>
            </w:tcBorders>
            <w:shd w:val="clear" w:color="auto" w:fill="auto"/>
          </w:tcPr>
          <w:p>
            <w:pPr>
              <w:jc w:val="center"/>
            </w:pPr>
          </w:p>
        </w:tc>
        <w:tc>
          <w:tcPr>
            <w:tcW w:w="3190" w:type="dxa"/>
            <w:tcBorders>
              <w:top w:val="single" w:color="auto" w:sz="8" w:space="0"/>
              <w:bottom w:val="single" w:color="auto" w:sz="8" w:space="0"/>
            </w:tcBorders>
            <w:shd w:val="clear" w:color="auto" w:fill="auto"/>
          </w:tcPr>
          <w:p>
            <w:pPr>
              <w:jc w:val="center"/>
            </w:pPr>
            <w:r>
              <w:rPr>
                <w:rFonts w:ascii="Times New Roman" w:hAnsi="Times New Roman"/>
              </w:rPr>
              <w:t>萎凋槽萎凋</w:t>
            </w:r>
          </w:p>
        </w:tc>
        <w:tc>
          <w:tcPr>
            <w:tcW w:w="3190" w:type="dxa"/>
            <w:tcBorders>
              <w:top w:val="single" w:color="auto" w:sz="8" w:space="0"/>
              <w:bottom w:val="single" w:color="auto" w:sz="8" w:space="0"/>
            </w:tcBorders>
            <w:shd w:val="clear" w:color="auto" w:fill="auto"/>
          </w:tcPr>
          <w:p>
            <w:pPr>
              <w:jc w:val="center"/>
            </w:pPr>
            <w:r>
              <w:rPr>
                <w:rFonts w:ascii="Times New Roman" w:hAnsi="Times New Roman"/>
              </w:rPr>
              <w:t>自然萎凋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tcBorders>
            <w:shd w:val="clear" w:color="auto" w:fill="auto"/>
            <w:vAlign w:val="center"/>
          </w:tcPr>
          <w:p>
            <w:pPr>
              <w:spacing w:line="240" w:lineRule="auto"/>
              <w:jc w:val="center"/>
            </w:pPr>
            <w:r>
              <w:rPr>
                <w:rFonts w:ascii="Times New Roman" w:hAnsi="Times New Roman"/>
              </w:rPr>
              <w:t>温湿度条件</w:t>
            </w:r>
          </w:p>
        </w:tc>
        <w:tc>
          <w:tcPr>
            <w:tcW w:w="3190" w:type="dxa"/>
            <w:tcBorders>
              <w:top w:val="single" w:color="auto" w:sz="8" w:space="0"/>
            </w:tcBorders>
            <w:shd w:val="clear" w:color="auto" w:fill="auto"/>
            <w:vAlign w:val="center"/>
          </w:tcPr>
          <w:p>
            <w:pPr>
              <w:spacing w:line="240" w:lineRule="auto"/>
              <w:ind w:firstLine="420" w:firstLineChars="200"/>
            </w:pPr>
            <w:r>
              <w:rPr>
                <w:rFonts w:ascii="Times New Roman" w:hAnsi="Times New Roman"/>
              </w:rPr>
              <w:t>鼓风机气流温度 25</w:t>
            </w:r>
            <w:r>
              <w:rPr>
                <w:rFonts w:hint="eastAsia" w:ascii="宋体" w:hAnsi="宋体" w:cs="宋体"/>
              </w:rPr>
              <w:t>℃</w:t>
            </w:r>
            <w:r>
              <w:rPr>
                <w:rFonts w:ascii="Times New Roman" w:hAnsi="Times New Roman"/>
              </w:rPr>
              <w:t>～35</w:t>
            </w:r>
            <w:r>
              <w:rPr>
                <w:rFonts w:hint="eastAsia" w:ascii="Times New Roman" w:hAnsi="Times New Roman"/>
                <w:lang w:val="en-US" w:eastAsia="zh-CN"/>
              </w:rPr>
              <w:t xml:space="preserve"> </w:t>
            </w:r>
            <w:r>
              <w:rPr>
                <w:rFonts w:hint="eastAsia" w:ascii="宋体" w:hAnsi="宋体" w:cs="宋体"/>
              </w:rPr>
              <w:t>℃</w:t>
            </w:r>
            <w:r>
              <w:rPr>
                <w:rFonts w:ascii="Times New Roman" w:hAnsi="Times New Roman"/>
              </w:rPr>
              <w:t>，槽体前后温度一致，采用“先高后低” 的温度调控，下叶前10</w:t>
            </w:r>
            <w:r>
              <w:rPr>
                <w:rFonts w:hint="eastAsia" w:ascii="Times New Roman" w:hAnsi="Times New Roman"/>
                <w:lang w:val="en-US" w:eastAsia="zh-CN"/>
              </w:rPr>
              <w:t xml:space="preserve"> </w:t>
            </w:r>
            <w:r>
              <w:rPr>
                <w:rFonts w:ascii="Times New Roman" w:hAnsi="Times New Roman"/>
              </w:rPr>
              <w:t>min～5</w:t>
            </w:r>
            <w:r>
              <w:rPr>
                <w:rFonts w:hint="eastAsia" w:ascii="Times New Roman" w:hAnsi="Times New Roman"/>
                <w:lang w:val="en-US" w:eastAsia="zh-CN"/>
              </w:rPr>
              <w:t xml:space="preserve"> </w:t>
            </w:r>
            <w:r>
              <w:rPr>
                <w:rFonts w:ascii="Times New Roman" w:hAnsi="Times New Roman"/>
              </w:rPr>
              <w:t>min 停止鼓热风，改为鼓自然风</w:t>
            </w:r>
          </w:p>
        </w:tc>
        <w:tc>
          <w:tcPr>
            <w:tcW w:w="3190" w:type="dxa"/>
            <w:tcBorders>
              <w:top w:val="single" w:color="auto" w:sz="8" w:space="0"/>
            </w:tcBorders>
            <w:shd w:val="clear" w:color="auto" w:fill="auto"/>
            <w:vAlign w:val="center"/>
          </w:tcPr>
          <w:p>
            <w:pPr>
              <w:spacing w:line="240" w:lineRule="auto"/>
              <w:ind w:firstLine="420" w:firstLineChars="200"/>
            </w:pPr>
            <w:r>
              <w:rPr>
                <w:rFonts w:ascii="Times New Roman" w:hAnsi="Times New Roman"/>
              </w:rPr>
              <w:t>环境温度 18</w:t>
            </w:r>
            <w:r>
              <w:rPr>
                <w:rFonts w:hint="eastAsia" w:ascii="Times New Roman" w:hAnsi="Times New Roman"/>
                <w:lang w:val="en-US" w:eastAsia="zh-CN"/>
              </w:rPr>
              <w:t xml:space="preserve"> </w:t>
            </w:r>
            <w:r>
              <w:rPr>
                <w:rFonts w:ascii="Times New Roman" w:hAnsi="Times New Roman"/>
              </w:rPr>
              <w:t>℃～28</w:t>
            </w:r>
            <w:r>
              <w:rPr>
                <w:rFonts w:hint="eastAsia" w:ascii="Times New Roman" w:hAnsi="Times New Roman"/>
                <w:lang w:val="en-US" w:eastAsia="zh-CN"/>
              </w:rPr>
              <w:t xml:space="preserve"> </w:t>
            </w:r>
            <w:r>
              <w:rPr>
                <w:rFonts w:ascii="Times New Roman" w:hAnsi="Times New Roman"/>
              </w:rPr>
              <w:t>℃，相对湿度60</w:t>
            </w:r>
            <w:r>
              <w:rPr>
                <w:rFonts w:hint="eastAsia" w:ascii="Times New Roman" w:hAnsi="Times New Roman"/>
                <w:lang w:val="en-US" w:eastAsia="zh-CN"/>
              </w:rPr>
              <w:t xml:space="preserve"> </w:t>
            </w:r>
            <w:r>
              <w:rPr>
                <w:rFonts w:ascii="Times New Roman" w:hAnsi="Times New Roman"/>
              </w:rPr>
              <w:t>%～70</w:t>
            </w:r>
            <w:r>
              <w:rPr>
                <w:rFonts w:hint="eastAsia" w:ascii="Times New Roman" w:hAnsi="Times New Roman"/>
                <w:lang w:val="en-US" w:eastAsia="zh-CN"/>
              </w:rPr>
              <w:t xml:space="preserve"> </w:t>
            </w:r>
            <w:r>
              <w:rPr>
                <w:rFonts w:ascii="Times New Roman" w:hAns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摊叶厚度</w:t>
            </w:r>
          </w:p>
        </w:tc>
        <w:tc>
          <w:tcPr>
            <w:tcW w:w="3190" w:type="dxa"/>
            <w:shd w:val="clear" w:color="auto" w:fill="auto"/>
            <w:vAlign w:val="center"/>
          </w:tcPr>
          <w:p>
            <w:pPr>
              <w:spacing w:line="240" w:lineRule="auto"/>
              <w:ind w:firstLine="420" w:firstLineChars="200"/>
              <w:rPr>
                <w:rFonts w:ascii="Times New Roman" w:hAnsi="Times New Roman"/>
              </w:rPr>
            </w:pPr>
            <w:r>
              <w:rPr>
                <w:rFonts w:ascii="Times New Roman" w:hAnsi="Times New Roman"/>
              </w:rPr>
              <w:t>15</w:t>
            </w:r>
            <w:r>
              <w:rPr>
                <w:rFonts w:hint="eastAsia" w:ascii="Times New Roman" w:hAnsi="Times New Roman"/>
                <w:lang w:val="en-US" w:eastAsia="zh-CN"/>
              </w:rPr>
              <w:t xml:space="preserve"> </w:t>
            </w:r>
            <w:r>
              <w:rPr>
                <w:rFonts w:ascii="Times New Roman" w:hAnsi="Times New Roman"/>
              </w:rPr>
              <w:t>cm～20</w:t>
            </w:r>
            <w:r>
              <w:rPr>
                <w:rFonts w:hint="eastAsia" w:ascii="Times New Roman" w:hAnsi="Times New Roman"/>
                <w:lang w:val="en-US" w:eastAsia="zh-CN"/>
              </w:rPr>
              <w:t xml:space="preserve"> </w:t>
            </w:r>
            <w:r>
              <w:rPr>
                <w:rFonts w:ascii="Times New Roman" w:hAnsi="Times New Roman"/>
              </w:rPr>
              <w:t>cm，嫩叶薄摊、老叶厚摊，雨水叶和露水叶薄摊，摊叶时要抖散摊平，呈蓬松状态，保持厚薄一致</w:t>
            </w:r>
          </w:p>
        </w:tc>
        <w:tc>
          <w:tcPr>
            <w:tcW w:w="3190" w:type="dxa"/>
            <w:shd w:val="clear" w:color="auto" w:fill="auto"/>
            <w:vAlign w:val="center"/>
          </w:tcPr>
          <w:p>
            <w:pPr>
              <w:spacing w:line="240" w:lineRule="auto"/>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 xml:space="preserve"> </w:t>
            </w:r>
            <w:r>
              <w:rPr>
                <w:rFonts w:ascii="Times New Roman" w:hAnsi="Times New Roman"/>
              </w:rPr>
              <w:t>cm～3</w:t>
            </w:r>
            <w:r>
              <w:rPr>
                <w:rFonts w:hint="eastAsia" w:ascii="Times New Roman" w:hAnsi="Times New Roman"/>
                <w:lang w:val="en-US" w:eastAsia="zh-CN"/>
              </w:rPr>
              <w:t xml:space="preserve"> </w:t>
            </w:r>
            <w:r>
              <w:rPr>
                <w:rFonts w:ascii="Times New Roman" w:hAnsi="Times New Roman"/>
              </w:rPr>
              <w:t>cm，嫩叶薄摊、老叶厚摊，雨水叶和露水叶薄摊，摊叶时要抖散摊平，呈蓬松状态，保持厚薄一致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风量</w:t>
            </w:r>
          </w:p>
        </w:tc>
        <w:tc>
          <w:tcPr>
            <w:tcW w:w="3190" w:type="dxa"/>
            <w:shd w:val="clear" w:color="auto" w:fill="auto"/>
            <w:vAlign w:val="center"/>
          </w:tcPr>
          <w:p>
            <w:pPr>
              <w:spacing w:line="240" w:lineRule="auto"/>
              <w:ind w:firstLine="420" w:firstLineChars="200"/>
              <w:rPr>
                <w:rFonts w:ascii="Times New Roman" w:hAnsi="Times New Roman"/>
              </w:rPr>
            </w:pPr>
            <w:r>
              <w:rPr>
                <w:rFonts w:ascii="Times New Roman" w:hAnsi="Times New Roman"/>
              </w:rPr>
              <w:t>一般为 15000</w:t>
            </w:r>
            <w:r>
              <w:rPr>
                <w:rFonts w:hint="eastAsia" w:ascii="Times New Roman" w:hAnsi="Times New Roman"/>
                <w:lang w:val="en-US" w:eastAsia="zh-CN"/>
              </w:rPr>
              <w:t xml:space="preserve"> </w:t>
            </w:r>
            <w:r>
              <w:rPr>
                <w:rFonts w:ascii="Times New Roman" w:hAnsi="Times New Roman"/>
              </w:rPr>
              <w:t>m</w:t>
            </w:r>
            <w:r>
              <w:rPr>
                <w:rFonts w:ascii="Times New Roman" w:hAnsi="Times New Roman"/>
                <w:vertAlign w:val="superscript"/>
              </w:rPr>
              <w:t>3</w:t>
            </w:r>
            <w:r>
              <w:rPr>
                <w:rFonts w:ascii="Times New Roman" w:hAnsi="Times New Roman"/>
              </w:rPr>
              <w:t>/1～20000 m</w:t>
            </w:r>
            <w:r>
              <w:rPr>
                <w:rFonts w:ascii="Times New Roman" w:hAnsi="Times New Roman"/>
                <w:vertAlign w:val="superscript"/>
              </w:rPr>
              <w:t>3</w:t>
            </w:r>
            <w:r>
              <w:rPr>
                <w:rFonts w:ascii="Times New Roman" w:hAnsi="Times New Roman"/>
              </w:rPr>
              <w:t>/b风量大小根据叶层厚薄和叶质柔软程度适当调节</w:t>
            </w:r>
          </w:p>
        </w:tc>
        <w:tc>
          <w:tcPr>
            <w:tcW w:w="3190" w:type="dxa"/>
            <w:shd w:val="clear" w:color="auto" w:fill="auto"/>
            <w:vAlign w:val="center"/>
          </w:tcPr>
          <w:p>
            <w:pPr>
              <w:pStyle w:val="337"/>
              <w:ind w:firstLine="420" w:firstLineChars="200"/>
              <w:jc w:val="both"/>
              <w:rPr>
                <w:rFonts w:ascii="Times New Roman" w:hAnsi="Times New Roman" w:cs="Times New Roman"/>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翻拌</w:t>
            </w:r>
          </w:p>
        </w:tc>
        <w:tc>
          <w:tcPr>
            <w:tcW w:w="3190" w:type="dxa"/>
            <w:shd w:val="clear" w:color="auto" w:fill="auto"/>
            <w:vAlign w:val="center"/>
          </w:tcPr>
          <w:p>
            <w:pPr>
              <w:spacing w:line="240" w:lineRule="auto"/>
              <w:ind w:firstLine="420" w:firstLineChars="200"/>
              <w:rPr>
                <w:rFonts w:ascii="Times New Roman" w:hAnsi="Times New Roman"/>
                <w:spacing w:val="-3"/>
              </w:rPr>
            </w:pPr>
            <w:r>
              <w:rPr>
                <w:rFonts w:ascii="Times New Roman" w:hAnsi="Times New Roman"/>
              </w:rPr>
              <w:t>鼓风1h后停止10 min，进行翻抖</w:t>
            </w:r>
            <w:r>
              <w:rPr>
                <w:rFonts w:hint="eastAsia" w:ascii="Times New Roman" w:hAnsi="Times New Roman"/>
              </w:rPr>
              <w:t>，</w:t>
            </w:r>
            <w:r>
              <w:rPr>
                <w:rFonts w:ascii="Times New Roman" w:hAnsi="Times New Roman"/>
              </w:rPr>
              <w:t>翻抖动作要轻、缓。翻料时要上层翻到下层，槽前翻到槽后，并抖松、摊匀，避免损伤芽叶</w:t>
            </w:r>
          </w:p>
        </w:tc>
        <w:tc>
          <w:tcPr>
            <w:tcW w:w="3190" w:type="dxa"/>
            <w:shd w:val="clear" w:color="auto" w:fill="auto"/>
            <w:vAlign w:val="center"/>
          </w:tcPr>
          <w:p>
            <w:pPr>
              <w:pStyle w:val="337"/>
              <w:ind w:firstLine="360" w:firstLineChars="200"/>
              <w:jc w:val="both"/>
              <w:rPr>
                <w:rFonts w:ascii="Times New Roman" w:hAnsi="Times New Roman" w:cs="Times New Roman"/>
                <w:sz w:val="21"/>
                <w:szCs w:val="21"/>
                <w:lang w:eastAsia="zh-CN"/>
              </w:rPr>
            </w:pPr>
            <w:r>
              <w:rPr>
                <w:rFonts w:ascii="Times New Roman" w:hAnsi="Times New Roman" w:cs="Times New Roman"/>
                <w:spacing w:val="-15"/>
                <w:sz w:val="21"/>
                <w:szCs w:val="21"/>
                <w:lang w:eastAsia="zh-CN"/>
              </w:rPr>
              <w:t xml:space="preserve">每隔 </w:t>
            </w:r>
            <w:r>
              <w:rPr>
                <w:rFonts w:ascii="Times New Roman" w:hAnsi="Times New Roman" w:cs="Times New Roman"/>
                <w:sz w:val="21"/>
                <w:szCs w:val="21"/>
                <w:lang w:eastAsia="zh-CN"/>
              </w:rPr>
              <w:t>2</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h～3</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h</w:t>
            </w:r>
            <w:r>
              <w:rPr>
                <w:rFonts w:ascii="Times New Roman" w:hAnsi="Times New Roman" w:cs="Times New Roman"/>
                <w:spacing w:val="-24"/>
                <w:sz w:val="21"/>
                <w:szCs w:val="21"/>
                <w:lang w:eastAsia="zh-CN"/>
              </w:rPr>
              <w:t xml:space="preserve"> 翻抖 </w:t>
            </w:r>
            <w:r>
              <w:rPr>
                <w:rFonts w:ascii="Times New Roman" w:hAnsi="Times New Roman" w:cs="Times New Roman"/>
                <w:sz w:val="21"/>
                <w:szCs w:val="21"/>
                <w:lang w:eastAsia="zh-CN"/>
              </w:rPr>
              <w:t>1</w:t>
            </w:r>
            <w:r>
              <w:rPr>
                <w:rFonts w:ascii="Times New Roman" w:hAnsi="Times New Roman" w:cs="Times New Roman"/>
                <w:spacing w:val="-7"/>
                <w:sz w:val="21"/>
                <w:szCs w:val="21"/>
                <w:lang w:eastAsia="zh-CN"/>
              </w:rPr>
              <w:t xml:space="preserve"> 次，翻抖动作要轻、缓、</w:t>
            </w:r>
            <w:r>
              <w:rPr>
                <w:rFonts w:ascii="Times New Roman" w:hAnsi="Times New Roman" w:cs="Times New Roman"/>
                <w:sz w:val="21"/>
                <w:szCs w:val="21"/>
                <w:lang w:eastAsia="zh-CN"/>
              </w:rPr>
              <w:t>尽量少翻抖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4"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全程时间</w:t>
            </w:r>
          </w:p>
        </w:tc>
        <w:tc>
          <w:tcPr>
            <w:tcW w:w="3190" w:type="dxa"/>
            <w:tcBorders>
              <w:bottom w:val="single" w:color="auto" w:sz="4" w:space="0"/>
            </w:tcBorders>
            <w:shd w:val="clear" w:color="auto" w:fill="auto"/>
            <w:vAlign w:val="center"/>
          </w:tcPr>
          <w:p>
            <w:pPr>
              <w:pStyle w:val="337"/>
              <w:ind w:firstLine="420" w:firstLineChars="200"/>
              <w:jc w:val="both"/>
              <w:rPr>
                <w:rFonts w:ascii="Times New Roman" w:hAnsi="Times New Roman" w:cs="Times New Roman"/>
                <w:spacing w:val="-3"/>
                <w:sz w:val="21"/>
                <w:szCs w:val="21"/>
              </w:rPr>
            </w:pPr>
            <w:r>
              <w:rPr>
                <w:rFonts w:ascii="Times New Roman" w:hAnsi="Times New Roman" w:cs="Times New Roman"/>
                <w:sz w:val="21"/>
                <w:szCs w:val="21"/>
              </w:rPr>
              <w:t>8</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h～12</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w:t>
            </w:r>
          </w:p>
        </w:tc>
        <w:tc>
          <w:tcPr>
            <w:tcW w:w="3190" w:type="dxa"/>
            <w:tcBorders>
              <w:bottom w:val="single" w:color="auto" w:sz="4" w:space="0"/>
            </w:tcBorders>
            <w:shd w:val="clear" w:color="auto" w:fill="auto"/>
            <w:vAlign w:val="center"/>
          </w:tcPr>
          <w:p>
            <w:pPr>
              <w:pStyle w:val="337"/>
              <w:ind w:firstLine="420" w:firstLineChars="200"/>
              <w:jc w:val="both"/>
              <w:rPr>
                <w:rFonts w:ascii="Times New Roman" w:hAnsi="Times New Roman" w:cs="Times New Roman"/>
                <w:sz w:val="21"/>
                <w:szCs w:val="21"/>
              </w:rPr>
            </w:pPr>
            <w:r>
              <w:rPr>
                <w:rFonts w:ascii="Times New Roman" w:hAnsi="Times New Roman" w:cs="Times New Roman"/>
                <w:sz w:val="21"/>
                <w:szCs w:val="21"/>
              </w:rPr>
              <w:t>春季14</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h～16</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h，夏秋季 12</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h～14</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h</w:t>
            </w:r>
          </w:p>
        </w:tc>
      </w:tr>
    </w:tbl>
    <w:p>
      <w:pPr>
        <w:pStyle w:val="109"/>
        <w:spacing w:before="120" w:after="120"/>
        <w:rPr>
          <w:rFonts w:ascii="Times New Roman"/>
        </w:rPr>
      </w:pPr>
      <w:r>
        <w:rPr>
          <w:rFonts w:hint="eastAsia" w:ascii="Times New Roman"/>
        </w:rPr>
        <w:t>萎凋</w:t>
      </w:r>
      <w:r>
        <w:rPr>
          <w:rFonts w:ascii="Times New Roman"/>
        </w:rPr>
        <w:t>程度</w:t>
      </w:r>
    </w:p>
    <w:p>
      <w:pPr>
        <w:pStyle w:val="177"/>
        <w:numPr>
          <w:ilvl w:val="0"/>
          <w:numId w:val="0"/>
        </w:numPr>
        <w:ind w:firstLine="420" w:firstLineChars="200"/>
        <w:rPr>
          <w:rFonts w:ascii="Times New Roman"/>
          <w:lang w:bidi="en-US"/>
        </w:rPr>
      </w:pPr>
      <w:r>
        <w:rPr>
          <w:rFonts w:ascii="Times New Roman"/>
          <w:lang w:bidi="en-US"/>
        </w:rPr>
        <w:t>萎凋至萎凋叶含水率 60%～64%为宜。其感官特征为：叶面失去光泽，叶色转为暗绿、青草气减退，透发清香，叶形皱缩、叶质柔软、折梗不断、紧握成团，松手可缓慢松散为适度。</w:t>
      </w:r>
    </w:p>
    <w:p>
      <w:pPr>
        <w:pStyle w:val="80"/>
        <w:spacing w:before="120" w:after="120"/>
        <w:rPr>
          <w:rFonts w:ascii="Times New Roman"/>
        </w:rPr>
      </w:pPr>
      <w:r>
        <w:rPr>
          <w:rFonts w:hint="eastAsia" w:ascii="Times New Roman"/>
        </w:rPr>
        <w:t>揉捻</w:t>
      </w:r>
    </w:p>
    <w:p>
      <w:pPr>
        <w:pStyle w:val="109"/>
        <w:spacing w:before="120" w:after="120"/>
        <w:rPr>
          <w:rFonts w:ascii="Times New Roman"/>
        </w:rPr>
      </w:pPr>
      <w:r>
        <w:rPr>
          <w:rFonts w:ascii="Times New Roman"/>
        </w:rPr>
        <w:t>揉</w:t>
      </w:r>
      <w:r>
        <w:rPr>
          <w:rFonts w:hint="eastAsia" w:ascii="Times New Roman"/>
        </w:rPr>
        <w:t>捻方法</w:t>
      </w:r>
    </w:p>
    <w:p>
      <w:pPr>
        <w:pStyle w:val="177"/>
        <w:numPr>
          <w:ilvl w:val="0"/>
          <w:numId w:val="0"/>
        </w:numPr>
        <w:ind w:firstLine="420" w:firstLineChars="200"/>
        <w:rPr>
          <w:rFonts w:ascii="Times New Roman"/>
          <w:szCs w:val="21"/>
        </w:rPr>
      </w:pPr>
      <w:r>
        <w:rPr>
          <w:rFonts w:hint="eastAsia" w:ascii="Times New Roman"/>
          <w:szCs w:val="21"/>
        </w:rPr>
        <w:t>采用揉捻机进行揉捻，投叶量以在茶叶自然装满揉桶为适度。揉捻加工按照轻、重、轻的原则，嫩叶轻压短揉，老叶重压长揉。揉捻时间与加压方式技术应符合表 3 的要求。</w:t>
      </w:r>
    </w:p>
    <w:p>
      <w:pPr>
        <w:pStyle w:val="248"/>
        <w:spacing w:before="120" w:after="120"/>
      </w:pPr>
      <w:r>
        <w:rPr>
          <w:rFonts w:hint="eastAsia"/>
        </w:rPr>
        <w:t>表3 揉捻时间加压方式</w:t>
      </w: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33"/>
        <w:gridCol w:w="1367"/>
        <w:gridCol w:w="1367"/>
        <w:gridCol w:w="1444"/>
        <w:gridCol w:w="1290"/>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8" w:space="0"/>
            </w:tcBorders>
            <w:shd w:val="clear" w:color="auto" w:fill="auto"/>
            <w:vAlign w:val="center"/>
          </w:tcPr>
          <w:p>
            <w:pPr>
              <w:jc w:val="center"/>
            </w:pPr>
            <w:r>
              <w:rPr>
                <w:rFonts w:hint="eastAsia"/>
              </w:rPr>
              <w:t>原料级别</w:t>
            </w:r>
          </w:p>
        </w:tc>
        <w:tc>
          <w:tcPr>
            <w:tcW w:w="7101" w:type="dxa"/>
            <w:gridSpan w:val="5"/>
            <w:tcBorders>
              <w:top w:val="single" w:color="auto" w:sz="8" w:space="0"/>
              <w:bottom w:val="single" w:color="auto" w:sz="8" w:space="0"/>
            </w:tcBorders>
            <w:shd w:val="clear" w:color="auto" w:fill="auto"/>
          </w:tcPr>
          <w:p>
            <w:pPr>
              <w:spacing w:line="240" w:lineRule="auto"/>
              <w:jc w:val="center"/>
            </w:pPr>
            <w:r>
              <w:rPr>
                <w:rFonts w:ascii="Times New Roman" w:hAnsi="Times New Roman"/>
              </w:rPr>
              <w:t>加压程度及揉捻时间</w:t>
            </w:r>
          </w:p>
        </w:tc>
        <w:tc>
          <w:tcPr>
            <w:tcW w:w="1368" w:type="dxa"/>
            <w:vMerge w:val="restart"/>
            <w:tcBorders>
              <w:top w:val="single" w:color="auto" w:sz="8" w:space="0"/>
            </w:tcBorders>
            <w:shd w:val="clear" w:color="auto" w:fill="auto"/>
            <w:vAlign w:val="center"/>
          </w:tcPr>
          <w:p>
            <w:pPr>
              <w:spacing w:line="240" w:lineRule="auto"/>
              <w:jc w:val="center"/>
              <w:rPr>
                <w:rFonts w:ascii="Times New Roman" w:hAnsi="Times New Roman"/>
              </w:rPr>
            </w:pPr>
            <w:r>
              <w:rPr>
                <w:rFonts w:ascii="Times New Roman"/>
              </w:rPr>
              <w:t>全程时间</w:t>
            </w:r>
          </w:p>
          <w:p>
            <w:pPr>
              <w:spacing w:line="240" w:lineRule="auto"/>
              <w:jc w:val="center"/>
            </w:pPr>
            <w:r>
              <w:rPr>
                <w:rFonts w:ascii="Times New Roman" w:hAnsi="Times New Roman"/>
              </w:rPr>
              <w:t>(min)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bottom w:val="single" w:color="auto" w:sz="8" w:space="0"/>
            </w:tcBorders>
            <w:shd w:val="clear" w:color="auto" w:fill="auto"/>
          </w:tcPr>
          <w:p/>
        </w:tc>
        <w:tc>
          <w:tcPr>
            <w:tcW w:w="1633" w:type="dxa"/>
            <w:tcBorders>
              <w:top w:val="single" w:color="auto" w:sz="8" w:space="0"/>
              <w:bottom w:val="single" w:color="auto" w:sz="8" w:space="0"/>
            </w:tcBorders>
            <w:shd w:val="clear" w:color="auto" w:fill="auto"/>
          </w:tcPr>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不加压</w:t>
            </w:r>
          </w:p>
          <w:p>
            <w:pPr>
              <w:pStyle w:val="337"/>
              <w:jc w:val="both"/>
              <w:rPr>
                <w:rFonts w:ascii="Times New Roman" w:hAnsi="Times New Roman" w:cs="Times New Roman"/>
                <w:spacing w:val="16"/>
                <w:sz w:val="21"/>
                <w:szCs w:val="21"/>
                <w:lang w:eastAsia="zh-CN"/>
              </w:rPr>
            </w:pPr>
            <w:r>
              <w:rPr>
                <w:rFonts w:hint="eastAsia" w:ascii="Times New Roman" w:hAnsi="Times New Roman" w:cs="Times New Roman"/>
                <w:spacing w:val="16"/>
                <w:sz w:val="21"/>
                <w:szCs w:val="21"/>
                <w:lang w:eastAsia="zh-CN"/>
              </w:rPr>
              <w:t>（</w:t>
            </w:r>
            <w:r>
              <w:rPr>
                <w:rFonts w:ascii="Times New Roman" w:hAnsi="Times New Roman" w:cs="Times New Roman"/>
                <w:spacing w:val="13"/>
                <w:sz w:val="21"/>
                <w:szCs w:val="21"/>
                <w:lang w:eastAsia="zh-CN"/>
              </w:rPr>
              <w:t>盖刚接触在</w:t>
            </w:r>
            <w:r>
              <w:rPr>
                <w:rFonts w:ascii="Times New Roman" w:hAnsi="Times New Roman" w:cs="Times New Roman"/>
                <w:sz w:val="21"/>
                <w:szCs w:val="21"/>
                <w:lang w:eastAsia="zh-CN"/>
              </w:rPr>
              <w:t>制品</w:t>
            </w:r>
            <w:r>
              <w:rPr>
                <w:rFonts w:hint="eastAsia" w:ascii="Times New Roman" w:hAnsi="Times New Roman" w:cs="Times New Roman"/>
                <w:spacing w:val="16"/>
                <w:sz w:val="21"/>
                <w:szCs w:val="21"/>
                <w:lang w:eastAsia="zh-CN"/>
              </w:rPr>
              <w:t>）</w:t>
            </w:r>
          </w:p>
          <w:p>
            <w:pPr>
              <w:pStyle w:val="337"/>
              <w:jc w:val="center"/>
              <w:rPr>
                <w:rFonts w:ascii="Times New Roman" w:hAnsi="Times New Roman" w:cs="Times New Roman"/>
                <w:spacing w:val="-92"/>
                <w:sz w:val="21"/>
                <w:szCs w:val="21"/>
                <w:lang w:eastAsia="zh-CN"/>
              </w:rPr>
            </w:pPr>
            <w:r>
              <w:rPr>
                <w:rFonts w:ascii="Times New Roman" w:hAnsi="Times New Roman" w:cs="Times New Roman"/>
                <w:sz w:val="21"/>
                <w:szCs w:val="21"/>
                <w:lang w:eastAsia="zh-CN"/>
              </w:rPr>
              <w:t>(min)</w:t>
            </w:r>
          </w:p>
        </w:tc>
        <w:tc>
          <w:tcPr>
            <w:tcW w:w="1367" w:type="dxa"/>
            <w:tcBorders>
              <w:top w:val="single" w:color="auto" w:sz="8" w:space="0"/>
              <w:bottom w:val="single" w:color="auto" w:sz="8" w:space="0"/>
            </w:tcBorders>
            <w:shd w:val="clear" w:color="auto" w:fill="auto"/>
          </w:tcPr>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轻压</w:t>
            </w:r>
          </w:p>
          <w:p>
            <w:pPr>
              <w:pStyle w:val="337"/>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pacing w:val="8"/>
                <w:sz w:val="21"/>
                <w:szCs w:val="21"/>
                <w:lang w:eastAsia="zh-CN"/>
              </w:rPr>
              <w:t>桶盖下降距</w:t>
            </w:r>
            <w:r>
              <w:rPr>
                <w:rFonts w:ascii="Times New Roman" w:hAnsi="Times New Roman" w:cs="Times New Roman"/>
                <w:spacing w:val="-6"/>
                <w:sz w:val="21"/>
                <w:szCs w:val="21"/>
                <w:lang w:eastAsia="zh-CN"/>
              </w:rPr>
              <w:t>离 为 桶 高 的</w:t>
            </w:r>
            <w:r>
              <w:rPr>
                <w:rFonts w:ascii="Times New Roman" w:hAnsi="Times New Roman" w:cs="Times New Roman"/>
                <w:sz w:val="21"/>
                <w:szCs w:val="21"/>
                <w:lang w:eastAsia="zh-CN"/>
              </w:rPr>
              <w:t>1/5～1/4</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 xml:space="preserve"> (min)</w:t>
            </w:r>
          </w:p>
        </w:tc>
        <w:tc>
          <w:tcPr>
            <w:tcW w:w="1367" w:type="dxa"/>
            <w:tcBorders>
              <w:top w:val="single" w:color="auto" w:sz="8" w:space="0"/>
              <w:bottom w:val="single" w:color="auto" w:sz="8" w:space="0"/>
            </w:tcBorders>
            <w:shd w:val="clear" w:color="auto" w:fill="auto"/>
          </w:tcPr>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中压</w:t>
            </w:r>
          </w:p>
          <w:p>
            <w:pPr>
              <w:pStyle w:val="337"/>
              <w:jc w:val="center"/>
              <w:rPr>
                <w:rFonts w:ascii="Times New Roman" w:hAnsi="Times New Roman" w:cs="Times New Roman"/>
                <w:sz w:val="21"/>
                <w:szCs w:val="21"/>
                <w:lang w:eastAsia="zh-CN"/>
              </w:rPr>
            </w:pPr>
            <w:r>
              <w:rPr>
                <w:rFonts w:ascii="Times New Roman" w:hAnsi="Times New Roman" w:cs="Times New Roman"/>
                <w:spacing w:val="11"/>
                <w:sz w:val="21"/>
                <w:szCs w:val="21"/>
                <w:lang w:eastAsia="zh-CN"/>
              </w:rPr>
              <w:t>（</w:t>
            </w:r>
            <w:r>
              <w:rPr>
                <w:rFonts w:ascii="Times New Roman" w:hAnsi="Times New Roman" w:cs="Times New Roman"/>
                <w:spacing w:val="4"/>
                <w:sz w:val="21"/>
                <w:szCs w:val="21"/>
                <w:lang w:eastAsia="zh-CN"/>
              </w:rPr>
              <w:t>桶盖下降距</w:t>
            </w:r>
            <w:r>
              <w:rPr>
                <w:rFonts w:ascii="Times New Roman" w:hAnsi="Times New Roman" w:cs="Times New Roman"/>
                <w:spacing w:val="-19"/>
                <w:sz w:val="21"/>
                <w:szCs w:val="21"/>
                <w:lang w:eastAsia="zh-CN"/>
              </w:rPr>
              <w:t>离 为 桶 高 的</w:t>
            </w:r>
            <w:r>
              <w:rPr>
                <w:rFonts w:ascii="Times New Roman" w:hAnsi="Times New Roman" w:cs="Times New Roman"/>
                <w:sz w:val="21"/>
                <w:szCs w:val="21"/>
                <w:lang w:eastAsia="zh-CN"/>
              </w:rPr>
              <w:t>1/3</w:t>
            </w:r>
          </w:p>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 xml:space="preserve"> (min)</w:t>
            </w:r>
          </w:p>
        </w:tc>
        <w:tc>
          <w:tcPr>
            <w:tcW w:w="1444" w:type="dxa"/>
            <w:tcBorders>
              <w:top w:val="single" w:color="auto" w:sz="8" w:space="0"/>
              <w:bottom w:val="single" w:color="auto" w:sz="8" w:space="0"/>
            </w:tcBorders>
            <w:shd w:val="clear" w:color="auto" w:fill="auto"/>
          </w:tcPr>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重压</w:t>
            </w:r>
          </w:p>
          <w:p>
            <w:pPr>
              <w:pStyle w:val="337"/>
              <w:jc w:val="center"/>
              <w:rPr>
                <w:rFonts w:ascii="Times New Roman" w:hAnsi="Times New Roman" w:cs="Times New Roman"/>
                <w:sz w:val="21"/>
                <w:szCs w:val="21"/>
                <w:lang w:eastAsia="zh-CN"/>
              </w:rPr>
            </w:pPr>
            <w:r>
              <w:rPr>
                <w:rFonts w:ascii="Times New Roman" w:hAnsi="Times New Roman" w:cs="Times New Roman"/>
                <w:sz w:val="21"/>
                <w:szCs w:val="21"/>
                <w:lang w:eastAsia="zh-CN"/>
              </w:rPr>
              <w:t>（桶盖下降距离为桶高的 2/5～1/2）</w:t>
            </w:r>
          </w:p>
          <w:p>
            <w:pPr>
              <w:pStyle w:val="337"/>
              <w:jc w:val="center"/>
              <w:rPr>
                <w:rFonts w:ascii="Times New Roman" w:hAnsi="Times New Roman" w:cs="Times New Roman"/>
                <w:sz w:val="21"/>
                <w:szCs w:val="21"/>
              </w:rPr>
            </w:pPr>
            <w:r>
              <w:rPr>
                <w:rFonts w:ascii="Times New Roman" w:hAnsi="Times New Roman" w:cs="Times New Roman"/>
                <w:sz w:val="21"/>
                <w:szCs w:val="21"/>
              </w:rPr>
              <w:t>(min)</w:t>
            </w:r>
          </w:p>
        </w:tc>
        <w:tc>
          <w:tcPr>
            <w:tcW w:w="1290" w:type="dxa"/>
            <w:tcBorders>
              <w:top w:val="single" w:color="auto" w:sz="8" w:space="0"/>
              <w:bottom w:val="single" w:color="auto" w:sz="8" w:space="0"/>
            </w:tcBorders>
            <w:shd w:val="clear" w:color="auto" w:fill="auto"/>
          </w:tcPr>
          <w:p>
            <w:pPr>
              <w:pStyle w:val="337"/>
              <w:jc w:val="center"/>
              <w:rPr>
                <w:rFonts w:ascii="Times New Roman" w:hAnsi="Times New Roman" w:cs="Times New Roman"/>
                <w:sz w:val="21"/>
                <w:szCs w:val="21"/>
                <w:lang w:eastAsia="zh-CN"/>
              </w:rPr>
            </w:pPr>
            <w:r>
              <w:rPr>
                <w:rFonts w:ascii="Times New Roman" w:hAnsi="Times New Roman" w:cs="Times New Roman"/>
                <w:sz w:val="21"/>
                <w:szCs w:val="21"/>
              </w:rPr>
              <w:t>不加压</w:t>
            </w:r>
          </w:p>
          <w:p>
            <w:pPr>
              <w:pStyle w:val="337"/>
              <w:jc w:val="center"/>
              <w:rPr>
                <w:rFonts w:ascii="Times New Roman" w:hAnsi="Times New Roman" w:cs="Times New Roman"/>
                <w:sz w:val="21"/>
                <w:szCs w:val="21"/>
              </w:rPr>
            </w:pPr>
            <w:r>
              <w:rPr>
                <w:rFonts w:ascii="Times New Roman" w:hAnsi="Times New Roman" w:cs="Times New Roman"/>
                <w:sz w:val="21"/>
                <w:szCs w:val="21"/>
              </w:rPr>
              <w:t>(min)</w:t>
            </w:r>
          </w:p>
        </w:tc>
        <w:tc>
          <w:tcPr>
            <w:tcW w:w="1368" w:type="dxa"/>
            <w:vMerge w:val="continue"/>
            <w:tcBorders>
              <w:bottom w:val="single" w:color="auto" w:sz="8" w:space="0"/>
            </w:tcBorders>
            <w:shd w:val="clear" w:color="auto" w:fill="auto"/>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01" w:type="dxa"/>
            <w:tcBorders>
              <w:top w:val="single" w:color="auto" w:sz="8" w:space="0"/>
            </w:tcBorders>
            <w:shd w:val="clear" w:color="auto" w:fill="auto"/>
            <w:vAlign w:val="center"/>
          </w:tcPr>
          <w:p>
            <w:pPr>
              <w:pStyle w:val="337"/>
              <w:spacing w:before="141"/>
              <w:rPr>
                <w:rFonts w:ascii="Times New Roman" w:hAnsi="Times New Roman" w:cs="Times New Roman"/>
                <w:sz w:val="21"/>
                <w:szCs w:val="21"/>
              </w:rPr>
            </w:pPr>
            <w:r>
              <w:rPr>
                <w:rFonts w:ascii="Times New Roman" w:hAnsi="Times New Roman" w:cs="Times New Roman"/>
                <w:sz w:val="21"/>
                <w:szCs w:val="21"/>
              </w:rPr>
              <w:t>特级原料</w:t>
            </w:r>
          </w:p>
        </w:tc>
        <w:tc>
          <w:tcPr>
            <w:tcW w:w="1633" w:type="dxa"/>
            <w:vMerge w:val="restart"/>
            <w:tcBorders>
              <w:top w:val="single" w:color="auto" w:sz="8"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5～10</w:t>
            </w:r>
          </w:p>
        </w:tc>
        <w:tc>
          <w:tcPr>
            <w:tcW w:w="1367" w:type="dxa"/>
            <w:vMerge w:val="restart"/>
            <w:tcBorders>
              <w:top w:val="single" w:color="auto" w:sz="8"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15～20</w:t>
            </w:r>
          </w:p>
        </w:tc>
        <w:tc>
          <w:tcPr>
            <w:tcW w:w="1367" w:type="dxa"/>
            <w:tcBorders>
              <w:top w:val="single" w:color="auto" w:sz="8"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15～20</w:t>
            </w:r>
          </w:p>
        </w:tc>
        <w:tc>
          <w:tcPr>
            <w:tcW w:w="1444" w:type="dxa"/>
            <w:tcBorders>
              <w:top w:val="single" w:color="auto" w:sz="8" w:space="0"/>
            </w:tcBorders>
            <w:shd w:val="clear" w:color="auto" w:fill="auto"/>
            <w:vAlign w:val="center"/>
          </w:tcPr>
          <w:p>
            <w:pPr>
              <w:pStyle w:val="337"/>
              <w:spacing w:before="141"/>
              <w:jc w:val="center"/>
              <w:rPr>
                <w:rFonts w:ascii="Times New Roman" w:hAnsi="Times New Roman" w:cs="Times New Roman"/>
                <w:sz w:val="21"/>
                <w:szCs w:val="21"/>
              </w:rPr>
            </w:pPr>
            <w:r>
              <w:rPr>
                <w:rFonts w:ascii="Times New Roman" w:hAnsi="Times New Roman" w:cs="Times New Roman"/>
                <w:sz w:val="21"/>
                <w:szCs w:val="21"/>
              </w:rPr>
              <w:t>5～10</w:t>
            </w:r>
          </w:p>
        </w:tc>
        <w:tc>
          <w:tcPr>
            <w:tcW w:w="1290" w:type="dxa"/>
            <w:vMerge w:val="restart"/>
            <w:tcBorders>
              <w:top w:val="single" w:color="auto" w:sz="8"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5～10</w:t>
            </w:r>
          </w:p>
        </w:tc>
        <w:tc>
          <w:tcPr>
            <w:tcW w:w="1368" w:type="dxa"/>
            <w:tcBorders>
              <w:top w:val="single" w:color="auto" w:sz="8" w:space="0"/>
            </w:tcBorders>
            <w:shd w:val="clear" w:color="auto" w:fill="auto"/>
            <w:vAlign w:val="center"/>
          </w:tcPr>
          <w:p>
            <w:pPr>
              <w:pStyle w:val="337"/>
              <w:jc w:val="center"/>
              <w:rPr>
                <w:rFonts w:ascii="Times New Roman" w:hAnsi="Times New Roman" w:cs="Times New Roman"/>
                <w:sz w:val="21"/>
                <w:szCs w:val="21"/>
              </w:rPr>
            </w:pPr>
            <w:r>
              <w:rPr>
                <w:rFonts w:ascii="Times New Roman" w:hAnsi="Times New Roman" w:cs="Times New Roman"/>
                <w:sz w:val="21"/>
                <w:szCs w:val="21"/>
              </w:rPr>
              <w:t>45～70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auto"/>
            <w:vAlign w:val="center"/>
          </w:tcPr>
          <w:p>
            <w:pPr>
              <w:rPr>
                <w:rFonts w:ascii="Times New Roman" w:hAnsi="Times New Roman"/>
              </w:rPr>
            </w:pPr>
            <w:r>
              <w:rPr>
                <w:rFonts w:ascii="Times New Roman" w:hAnsi="Times New Roman"/>
              </w:rPr>
              <w:t>一级原料</w:t>
            </w:r>
          </w:p>
        </w:tc>
        <w:tc>
          <w:tcPr>
            <w:tcW w:w="1633" w:type="dxa"/>
            <w:vMerge w:val="continue"/>
            <w:shd w:val="clear" w:color="auto" w:fill="auto"/>
            <w:vAlign w:val="center"/>
          </w:tcPr>
          <w:p>
            <w:pPr>
              <w:jc w:val="center"/>
              <w:rPr>
                <w:rFonts w:ascii="Times New Roman" w:hAnsi="Times New Roman"/>
              </w:rPr>
            </w:pPr>
          </w:p>
        </w:tc>
        <w:tc>
          <w:tcPr>
            <w:tcW w:w="1367" w:type="dxa"/>
            <w:vMerge w:val="continue"/>
            <w:shd w:val="clear" w:color="auto" w:fill="auto"/>
            <w:vAlign w:val="center"/>
          </w:tcPr>
          <w:p>
            <w:pPr>
              <w:jc w:val="center"/>
              <w:rPr>
                <w:rFonts w:ascii="Times New Roman" w:hAnsi="Times New Roman"/>
              </w:rPr>
            </w:pPr>
          </w:p>
        </w:tc>
        <w:tc>
          <w:tcPr>
            <w:tcW w:w="1367" w:type="dxa"/>
            <w:tcBorders>
              <w:bottom w:val="single" w:color="auto" w:sz="4" w:space="0"/>
            </w:tcBorders>
            <w:shd w:val="clear" w:color="auto" w:fill="auto"/>
            <w:vAlign w:val="center"/>
          </w:tcPr>
          <w:p>
            <w:pPr>
              <w:jc w:val="center"/>
              <w:rPr>
                <w:rFonts w:ascii="Times New Roman" w:hAnsi="Times New Roman"/>
              </w:rPr>
            </w:pPr>
            <w:r>
              <w:rPr>
                <w:rFonts w:ascii="Times New Roman" w:hAnsi="Times New Roman"/>
              </w:rPr>
              <w:t>15～20</w:t>
            </w:r>
          </w:p>
        </w:tc>
        <w:tc>
          <w:tcPr>
            <w:tcW w:w="1444" w:type="dxa"/>
            <w:tcBorders>
              <w:bottom w:val="single" w:color="auto" w:sz="4" w:space="0"/>
            </w:tcBorders>
            <w:shd w:val="clear" w:color="auto" w:fill="auto"/>
            <w:vAlign w:val="center"/>
          </w:tcPr>
          <w:p>
            <w:pPr>
              <w:jc w:val="center"/>
              <w:rPr>
                <w:rFonts w:ascii="Times New Roman" w:hAnsi="Times New Roman"/>
              </w:rPr>
            </w:pPr>
            <w:r>
              <w:rPr>
                <w:rFonts w:ascii="Times New Roman" w:hAnsi="Times New Roman"/>
              </w:rPr>
              <w:t>10～-15</w:t>
            </w:r>
          </w:p>
        </w:tc>
        <w:tc>
          <w:tcPr>
            <w:tcW w:w="1290" w:type="dxa"/>
            <w:vMerge w:val="continue"/>
            <w:shd w:val="clear" w:color="auto" w:fill="auto"/>
            <w:vAlign w:val="center"/>
          </w:tcPr>
          <w:p>
            <w:pPr>
              <w:jc w:val="center"/>
              <w:rPr>
                <w:rFonts w:ascii="Times New Roman" w:hAnsi="Times New Roman"/>
              </w:rPr>
            </w:pPr>
          </w:p>
        </w:tc>
        <w:tc>
          <w:tcPr>
            <w:tcW w:w="1368" w:type="dxa"/>
            <w:tcBorders>
              <w:bottom w:val="single" w:color="auto" w:sz="4" w:space="0"/>
            </w:tcBorders>
            <w:shd w:val="clear" w:color="auto" w:fill="auto"/>
            <w:vAlign w:val="center"/>
          </w:tcPr>
          <w:p>
            <w:pPr>
              <w:jc w:val="center"/>
              <w:rPr>
                <w:rFonts w:ascii="Times New Roman" w:hAnsi="Times New Roman"/>
              </w:rPr>
            </w:pPr>
            <w:r>
              <w:rPr>
                <w:rFonts w:ascii="Times New Roman" w:hAnsi="Times New Roman"/>
              </w:rPr>
              <w:t>50～75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bottom w:val="single" w:color="auto" w:sz="8" w:space="0"/>
            </w:tcBorders>
            <w:shd w:val="clear" w:color="auto" w:fill="auto"/>
            <w:vAlign w:val="center"/>
          </w:tcPr>
          <w:p>
            <w:pPr>
              <w:rPr>
                <w:rFonts w:ascii="Times New Roman" w:hAnsi="Times New Roman"/>
              </w:rPr>
            </w:pPr>
            <w:r>
              <w:rPr>
                <w:rFonts w:ascii="Times New Roman" w:hAnsi="Times New Roman"/>
              </w:rPr>
              <w:t>二级原料</w:t>
            </w:r>
          </w:p>
        </w:tc>
        <w:tc>
          <w:tcPr>
            <w:tcW w:w="1633" w:type="dxa"/>
            <w:vMerge w:val="continue"/>
            <w:tcBorders>
              <w:bottom w:val="single" w:color="auto" w:sz="8" w:space="0"/>
            </w:tcBorders>
            <w:shd w:val="clear" w:color="auto" w:fill="auto"/>
            <w:vAlign w:val="center"/>
          </w:tcPr>
          <w:p>
            <w:pPr>
              <w:jc w:val="center"/>
              <w:rPr>
                <w:rFonts w:ascii="Times New Roman" w:hAnsi="Times New Roman"/>
              </w:rPr>
            </w:pPr>
          </w:p>
        </w:tc>
        <w:tc>
          <w:tcPr>
            <w:tcW w:w="1367" w:type="dxa"/>
            <w:vMerge w:val="continue"/>
            <w:tcBorders>
              <w:bottom w:val="single" w:color="auto" w:sz="8" w:space="0"/>
            </w:tcBorders>
            <w:shd w:val="clear" w:color="auto" w:fill="auto"/>
            <w:vAlign w:val="center"/>
          </w:tcPr>
          <w:p>
            <w:pPr>
              <w:jc w:val="center"/>
              <w:rPr>
                <w:rFonts w:ascii="Times New Roman" w:hAnsi="Times New Roman"/>
              </w:rPr>
            </w:pPr>
          </w:p>
        </w:tc>
        <w:tc>
          <w:tcPr>
            <w:tcW w:w="1367" w:type="dxa"/>
            <w:tcBorders>
              <w:top w:val="single" w:color="auto" w:sz="4" w:space="0"/>
              <w:bottom w:val="single" w:color="auto" w:sz="8" w:space="0"/>
            </w:tcBorders>
            <w:shd w:val="clear" w:color="auto" w:fill="auto"/>
            <w:vAlign w:val="center"/>
          </w:tcPr>
          <w:p>
            <w:pPr>
              <w:jc w:val="center"/>
              <w:rPr>
                <w:rFonts w:ascii="Times New Roman" w:hAnsi="Times New Roman"/>
              </w:rPr>
            </w:pPr>
            <w:r>
              <w:rPr>
                <w:rFonts w:ascii="Times New Roman" w:hAnsi="Times New Roman"/>
              </w:rPr>
              <w:t>20～25</w:t>
            </w:r>
          </w:p>
        </w:tc>
        <w:tc>
          <w:tcPr>
            <w:tcW w:w="1444" w:type="dxa"/>
            <w:tcBorders>
              <w:top w:val="single" w:color="auto" w:sz="4" w:space="0"/>
              <w:bottom w:val="single" w:color="auto" w:sz="8" w:space="0"/>
            </w:tcBorders>
            <w:shd w:val="clear" w:color="auto" w:fill="auto"/>
            <w:vAlign w:val="center"/>
          </w:tcPr>
          <w:p>
            <w:pPr>
              <w:jc w:val="center"/>
              <w:rPr>
                <w:rFonts w:ascii="Times New Roman" w:hAnsi="Times New Roman"/>
              </w:rPr>
            </w:pPr>
            <w:r>
              <w:rPr>
                <w:rFonts w:ascii="Times New Roman" w:hAnsi="Times New Roman"/>
              </w:rPr>
              <w:t>15～20</w:t>
            </w:r>
          </w:p>
        </w:tc>
        <w:tc>
          <w:tcPr>
            <w:tcW w:w="1290" w:type="dxa"/>
            <w:vMerge w:val="continue"/>
            <w:tcBorders>
              <w:bottom w:val="single" w:color="auto" w:sz="8" w:space="0"/>
            </w:tcBorders>
            <w:shd w:val="clear" w:color="auto" w:fill="auto"/>
            <w:vAlign w:val="center"/>
          </w:tcPr>
          <w:p>
            <w:pPr>
              <w:jc w:val="center"/>
              <w:rPr>
                <w:rFonts w:ascii="Times New Roman" w:hAnsi="Times New Roman"/>
              </w:rPr>
            </w:pPr>
          </w:p>
        </w:tc>
        <w:tc>
          <w:tcPr>
            <w:tcW w:w="1368" w:type="dxa"/>
            <w:tcBorders>
              <w:top w:val="single" w:color="auto" w:sz="4" w:space="0"/>
              <w:bottom w:val="single" w:color="auto" w:sz="8" w:space="0"/>
            </w:tcBorders>
            <w:shd w:val="clear" w:color="auto" w:fill="auto"/>
            <w:vAlign w:val="center"/>
          </w:tcPr>
          <w:p>
            <w:pPr>
              <w:jc w:val="center"/>
              <w:rPr>
                <w:rFonts w:ascii="Times New Roman" w:hAnsi="Times New Roman"/>
              </w:rPr>
            </w:pPr>
            <w:r>
              <w:rPr>
                <w:rFonts w:ascii="Times New Roman" w:hAnsi="Times New Roman"/>
              </w:rPr>
              <w:t>60～85</w:t>
            </w:r>
          </w:p>
        </w:tc>
      </w:tr>
    </w:tbl>
    <w:p>
      <w:pPr>
        <w:pStyle w:val="109"/>
        <w:spacing w:before="120" w:after="120"/>
        <w:rPr>
          <w:rFonts w:ascii="Times New Roman"/>
        </w:rPr>
      </w:pPr>
      <w:r>
        <w:rPr>
          <w:rFonts w:hint="eastAsia" w:ascii="Times New Roman"/>
        </w:rPr>
        <w:t>揉捻程度</w:t>
      </w:r>
    </w:p>
    <w:p>
      <w:pPr>
        <w:pStyle w:val="177"/>
        <w:numPr>
          <w:ilvl w:val="0"/>
          <w:numId w:val="0"/>
        </w:numPr>
        <w:ind w:firstLine="420" w:firstLineChars="200"/>
        <w:rPr>
          <w:rFonts w:ascii="Times New Roman"/>
          <w:szCs w:val="21"/>
        </w:rPr>
      </w:pPr>
      <w:r>
        <w:rPr>
          <w:rFonts w:hint="eastAsia" w:ascii="Times New Roman"/>
          <w:szCs w:val="21"/>
        </w:rPr>
        <w:t>以茶条紧卷、茶汁充分外溢、粘附于茶条表面，手握成团，稍微用力即有茶汁从指缝挤出，用拇指和食指沾茶汁有粘手感和牵连现象。叶片已紧卷成条，叶片成条率≥90%。叶细胞破碎率≥80%。</w:t>
      </w:r>
    </w:p>
    <w:p>
      <w:pPr>
        <w:pStyle w:val="80"/>
        <w:spacing w:before="120" w:after="120"/>
        <w:rPr>
          <w:rFonts w:ascii="Times New Roman"/>
        </w:rPr>
      </w:pPr>
      <w:r>
        <w:rPr>
          <w:rFonts w:hint="eastAsia" w:ascii="Times New Roman"/>
        </w:rPr>
        <w:t>分筛</w:t>
      </w:r>
    </w:p>
    <w:p>
      <w:pPr>
        <w:pStyle w:val="177"/>
        <w:numPr>
          <w:ilvl w:val="0"/>
          <w:numId w:val="0"/>
        </w:numPr>
        <w:ind w:firstLine="420" w:firstLineChars="200"/>
      </w:pPr>
      <w:r>
        <w:rPr>
          <w:rFonts w:hint="eastAsia" w:ascii="Times New Roman"/>
          <w:szCs w:val="21"/>
        </w:rPr>
        <w:t>揉捻后的茶叶用分筛机进行分筛，筛底茶直接进行发酵和做形，筛面茶继续复揉，复揉方法按“</w:t>
      </w:r>
      <w:r>
        <w:rPr>
          <w:rFonts w:ascii="Times New Roman"/>
          <w:szCs w:val="21"/>
        </w:rPr>
        <w:t>轻-</w:t>
      </w:r>
      <w:r>
        <w:rPr>
          <w:rFonts w:hint="eastAsia" w:ascii="Times New Roman"/>
          <w:szCs w:val="21"/>
        </w:rPr>
        <w:t>中-重</w:t>
      </w:r>
      <w:r>
        <w:rPr>
          <w:rFonts w:ascii="Times New Roman"/>
          <w:szCs w:val="21"/>
        </w:rPr>
        <w:t>-轻</w:t>
      </w:r>
      <w:r>
        <w:rPr>
          <w:rFonts w:hint="eastAsia" w:ascii="Times New Roman"/>
          <w:szCs w:val="21"/>
        </w:rPr>
        <w:t>”加压方法揉捻（</w:t>
      </w:r>
      <w:r>
        <w:rPr>
          <w:rFonts w:hint="eastAsia" w:ascii="Times New Roman"/>
        </w:rPr>
        <w:t>按6.2.2操作</w:t>
      </w:r>
      <w:r>
        <w:rPr>
          <w:rFonts w:hint="eastAsia" w:ascii="Times New Roman"/>
          <w:szCs w:val="21"/>
        </w:rPr>
        <w:t>）。</w:t>
      </w:r>
    </w:p>
    <w:p>
      <w:pPr>
        <w:pStyle w:val="80"/>
        <w:spacing w:before="120" w:after="120"/>
        <w:rPr>
          <w:rFonts w:ascii="Times New Roman"/>
          <w:color w:val="auto"/>
        </w:rPr>
      </w:pPr>
      <w:r>
        <w:rPr>
          <w:rFonts w:hint="eastAsia" w:ascii="Times New Roman"/>
          <w:color w:val="auto"/>
        </w:rPr>
        <w:t xml:space="preserve">发酵 </w:t>
      </w:r>
    </w:p>
    <w:p>
      <w:pPr>
        <w:pStyle w:val="71"/>
        <w:ind w:firstLine="420"/>
        <w:rPr>
          <w:rFonts w:ascii="Times New Roman"/>
          <w:szCs w:val="21"/>
        </w:rPr>
      </w:pPr>
      <w:r>
        <w:rPr>
          <w:rFonts w:hint="default" w:ascii="Times New Roman" w:hAnsi="Times New Roman" w:cs="Times New Roman"/>
          <w:color w:val="000000" w:themeColor="text1"/>
          <w:szCs w:val="21"/>
          <w14:textFill>
            <w14:solidFill>
              <w14:schemeClr w14:val="tx1"/>
            </w14:solidFill>
          </w14:textFill>
        </w:rPr>
        <w:t>采用发酵机进行，发酵机温度宜在</w:t>
      </w:r>
      <w:r>
        <w:rPr>
          <w:rFonts w:hint="eastAsia" w:ascii="Times New Roman" w:cs="Times New Roman"/>
          <w:color w:val="000000" w:themeColor="text1"/>
          <w:szCs w:val="21"/>
          <w:lang w:val="en-US" w:eastAsia="zh-CN"/>
          <w14:textFill>
            <w14:solidFill>
              <w14:schemeClr w14:val="tx1"/>
            </w14:solidFill>
          </w14:textFill>
        </w:rPr>
        <w:t>28-32</w:t>
      </w:r>
      <w:r>
        <w:rPr>
          <w:rFonts w:hint="default" w:ascii="Times New Roman" w:hAnsi="Times New Roman" w:cs="Times New Roman"/>
          <w:color w:val="000000" w:themeColor="text1"/>
          <w:szCs w:val="21"/>
          <w14:textFill>
            <w14:solidFill>
              <w14:schemeClr w14:val="tx1"/>
            </w14:solidFill>
          </w14:textFill>
        </w:rPr>
        <w:t>℃，相对湿度在95</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%以上，每隔</w:t>
      </w:r>
      <w:r>
        <w:rPr>
          <w:rFonts w:hint="eastAsia" w:ascii="Times New Roman" w:cs="Times New Roman"/>
          <w:color w:val="000000" w:themeColor="text1"/>
          <w:szCs w:val="21"/>
          <w:lang w:val="en-US" w:eastAsia="zh-CN"/>
          <w14:textFill>
            <w14:solidFill>
              <w14:schemeClr w14:val="tx1"/>
            </w14:solidFill>
          </w14:textFill>
        </w:rPr>
        <w:t>60</w:t>
      </w:r>
      <w:r>
        <w:rPr>
          <w:rFonts w:hint="default" w:ascii="Times New Roman" w:hAnsi="Times New Roman" w:cs="Times New Roman"/>
          <w:color w:val="000000" w:themeColor="text1"/>
          <w:szCs w:val="21"/>
          <w14:textFill>
            <w14:solidFill>
              <w14:schemeClr w14:val="tx1"/>
            </w14:solidFill>
          </w14:textFill>
        </w:rPr>
        <w:t>min通风</w:t>
      </w:r>
      <w:r>
        <w:rPr>
          <w:rFonts w:hint="eastAsia" w:ascii="Times New Roman" w:cs="Times New Roman"/>
          <w:color w:val="000000" w:themeColor="text1"/>
          <w:szCs w:val="21"/>
          <w:lang w:val="en-US" w:eastAsia="zh-CN"/>
          <w14:textFill>
            <w14:solidFill>
              <w14:schemeClr w14:val="tx1"/>
            </w14:solidFill>
          </w14:textFill>
        </w:rPr>
        <w:t>10</w:t>
      </w:r>
      <w:r>
        <w:rPr>
          <w:rFonts w:hint="default" w:ascii="Times New Roman" w:hAnsi="Times New Roman" w:cs="Times New Roman"/>
          <w:color w:val="000000" w:themeColor="text1"/>
          <w:szCs w:val="21"/>
          <w14:textFill>
            <w14:solidFill>
              <w14:schemeClr w14:val="tx1"/>
            </w14:solidFill>
          </w14:textFill>
        </w:rPr>
        <w:t>min，间隔</w:t>
      </w:r>
      <w:r>
        <w:rPr>
          <w:rFonts w:hint="eastAsia" w:asci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14:textFill>
            <w14:solidFill>
              <w14:schemeClr w14:val="tx1"/>
            </w14:solidFill>
          </w14:textFill>
        </w:rPr>
        <w:t>h翻动一次，发酵时间</w:t>
      </w:r>
      <w:r>
        <w:rPr>
          <w:rFonts w:hint="eastAsia" w:ascii="Times New Roman" w:cs="Times New Roman"/>
          <w:color w:val="000000" w:themeColor="text1"/>
          <w:szCs w:val="21"/>
          <w:lang w:val="en-US" w:eastAsia="zh-CN"/>
          <w14:textFill>
            <w14:solidFill>
              <w14:schemeClr w14:val="tx1"/>
            </w14:solidFill>
          </w14:textFill>
        </w:rPr>
        <w:t>4-4.5</w:t>
      </w:r>
      <w:r>
        <w:rPr>
          <w:rFonts w:hint="default" w:ascii="Times New Roman" w:hAnsi="Times New Roman" w:cs="Times New Roman"/>
          <w:color w:val="000000" w:themeColor="text1"/>
          <w:szCs w:val="21"/>
          <w14:textFill>
            <w14:solidFill>
              <w14:schemeClr w14:val="tx1"/>
            </w14:solidFill>
          </w14:textFill>
        </w:rPr>
        <w:t>h。发酵室温度宜在</w:t>
      </w:r>
      <w:r>
        <w:rPr>
          <w:rFonts w:hint="eastAsia" w:ascii="Times New Roman" w:cs="Times New Roman"/>
          <w:color w:val="000000" w:themeColor="text1"/>
          <w:szCs w:val="21"/>
          <w:lang w:val="en-US" w:eastAsia="zh-CN"/>
          <w14:textFill>
            <w14:solidFill>
              <w14:schemeClr w14:val="tx1"/>
            </w14:solidFill>
          </w14:textFill>
        </w:rPr>
        <w:t>30-32</w:t>
      </w:r>
      <w:r>
        <w:rPr>
          <w:rFonts w:hint="default" w:ascii="Times New Roman" w:hAnsi="Times New Roman" w:cs="Times New Roman"/>
          <w:color w:val="000000" w:themeColor="text1"/>
          <w:szCs w:val="21"/>
          <w14:textFill>
            <w14:solidFill>
              <w14:schemeClr w14:val="tx1"/>
            </w14:solidFill>
          </w14:textFill>
        </w:rPr>
        <w:t>℃，室内相对湿度在90</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%以上，</w:t>
      </w:r>
      <w:r>
        <w:rPr>
          <w:rFonts w:hint="eastAsia" w:hAnsi="宋体" w:cs="宋体"/>
          <w:color w:val="000000" w:themeColor="text1"/>
          <w:szCs w:val="21"/>
          <w14:textFill>
            <w14:solidFill>
              <w14:schemeClr w14:val="tx1"/>
            </w14:solidFill>
          </w14:textFill>
        </w:rPr>
        <w:t>必要时采取喷雾或洒水等增湿措施，保持室内新鲜空气流通，避免日光直射。</w:t>
      </w:r>
      <w:r>
        <w:rPr>
          <w:rFonts w:hint="eastAsia" w:ascii="Times New Roman"/>
          <w:color w:val="000000" w:themeColor="text1"/>
          <w:szCs w:val="21"/>
          <w14:textFill>
            <w14:solidFill>
              <w14:schemeClr w14:val="tx1"/>
            </w14:solidFill>
          </w14:textFill>
        </w:rPr>
        <w:t>至发酵叶70</w:t>
      </w:r>
      <w:r>
        <w:rPr>
          <w:rFonts w:hint="eastAsia" w:ascii="Times New Roman"/>
          <w:color w:val="000000" w:themeColor="text1"/>
          <w:szCs w:val="21"/>
          <w:lang w:val="en-US" w:eastAsia="zh-CN"/>
          <w14:textFill>
            <w14:solidFill>
              <w14:schemeClr w14:val="tx1"/>
            </w14:solidFill>
          </w14:textFill>
        </w:rPr>
        <w:t xml:space="preserve"> </w:t>
      </w:r>
      <w:r>
        <w:rPr>
          <w:rFonts w:hint="eastAsia" w:ascii="Times New Roman"/>
          <w:color w:val="000000" w:themeColor="text1"/>
          <w:szCs w:val="21"/>
          <w14:textFill>
            <w14:solidFill>
              <w14:schemeClr w14:val="tx1"/>
            </w14:solidFill>
          </w14:textFill>
        </w:rPr>
        <w:t>%-80</w:t>
      </w:r>
      <w:r>
        <w:rPr>
          <w:rFonts w:hint="eastAsia" w:ascii="Times New Roman"/>
          <w:color w:val="000000" w:themeColor="text1"/>
          <w:szCs w:val="21"/>
          <w:lang w:val="en-US" w:eastAsia="zh-CN"/>
          <w14:textFill>
            <w14:solidFill>
              <w14:schemeClr w14:val="tx1"/>
            </w14:solidFill>
          </w14:textFill>
        </w:rPr>
        <w:t xml:space="preserve"> </w:t>
      </w:r>
      <w:r>
        <w:rPr>
          <w:rFonts w:hint="eastAsia" w:ascii="Times New Roman"/>
          <w:color w:val="000000" w:themeColor="text1"/>
          <w:szCs w:val="21"/>
          <w14:textFill>
            <w14:solidFill>
              <w14:schemeClr w14:val="tx1"/>
            </w14:solidFill>
          </w14:textFill>
        </w:rPr>
        <w:t>%叶色变为红褐色，青草</w:t>
      </w:r>
      <w:r>
        <w:rPr>
          <w:rFonts w:hint="eastAsia" w:ascii="Times New Roman"/>
          <w:szCs w:val="21"/>
        </w:rPr>
        <w:t>气消失，呈现甜香或花果香为适度。</w:t>
      </w:r>
    </w:p>
    <w:p>
      <w:pPr>
        <w:pStyle w:val="80"/>
        <w:spacing w:before="120" w:after="120"/>
        <w:rPr>
          <w:rFonts w:ascii="Times New Roman"/>
        </w:rPr>
      </w:pPr>
      <w:r>
        <w:rPr>
          <w:rFonts w:hint="eastAsia" w:ascii="Times New Roman"/>
        </w:rPr>
        <w:t>做形</w:t>
      </w:r>
    </w:p>
    <w:p>
      <w:pPr>
        <w:pStyle w:val="177"/>
        <w:numPr>
          <w:ilvl w:val="0"/>
          <w:numId w:val="0"/>
        </w:numPr>
        <w:ind w:firstLine="420" w:firstLineChars="200"/>
        <w:rPr>
          <w:rFonts w:ascii="Times New Roman"/>
          <w:szCs w:val="21"/>
        </w:rPr>
      </w:pPr>
      <w:r>
        <w:rPr>
          <w:rFonts w:hint="eastAsia" w:ascii="Times New Roman"/>
          <w:szCs w:val="21"/>
        </w:rPr>
        <w:t>用成形机</w:t>
      </w:r>
      <w:r>
        <w:rPr>
          <w:rFonts w:hint="eastAsia" w:ascii="Times New Roman"/>
          <w:color w:val="000000" w:themeColor="text1"/>
          <w:szCs w:val="21"/>
          <w14:textFill>
            <w14:solidFill>
              <w14:schemeClr w14:val="tx1"/>
            </w14:solidFill>
          </w14:textFill>
        </w:rPr>
        <w:t>做形，温度</w:t>
      </w:r>
      <w:r>
        <w:rPr>
          <w:rFonts w:hint="eastAsia" w:ascii="Times New Roman"/>
          <w:color w:val="000000" w:themeColor="text1"/>
          <w:szCs w:val="21"/>
          <w:lang w:val="en-US" w:eastAsia="zh-CN"/>
          <w14:textFill>
            <w14:solidFill>
              <w14:schemeClr w14:val="tx1"/>
            </w14:solidFill>
          </w14:textFill>
        </w:rPr>
        <w:t>100-120</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，做形时间</w:t>
      </w:r>
      <w:r>
        <w:rPr>
          <w:rFonts w:hint="eastAsia" w:ascii="Times New Roman"/>
          <w:color w:val="000000" w:themeColor="text1"/>
          <w:szCs w:val="21"/>
          <w:lang w:val="en-US" w:eastAsia="zh-CN"/>
          <w14:textFill>
            <w14:solidFill>
              <w14:schemeClr w14:val="tx1"/>
            </w14:solidFill>
          </w14:textFill>
        </w:rPr>
        <w:t>40-50</w:t>
      </w:r>
      <w:r>
        <w:rPr>
          <w:rFonts w:hint="eastAsia" w:ascii="Times New Roman"/>
          <w:color w:val="000000" w:themeColor="text1"/>
          <w:szCs w:val="21"/>
          <w14:textFill>
            <w14:solidFill>
              <w14:schemeClr w14:val="tx1"/>
            </w14:solidFill>
          </w14:textFill>
        </w:rPr>
        <w:t>min，待茶条</w:t>
      </w:r>
      <w:r>
        <w:rPr>
          <w:rFonts w:hint="eastAsia" w:ascii="Times New Roman"/>
          <w:szCs w:val="21"/>
        </w:rPr>
        <w:t>卷曲成螺形。</w:t>
      </w:r>
    </w:p>
    <w:p>
      <w:pPr>
        <w:pStyle w:val="80"/>
        <w:spacing w:before="120" w:after="120"/>
        <w:rPr>
          <w:rFonts w:ascii="Times New Roman"/>
        </w:rPr>
      </w:pPr>
      <w:r>
        <w:rPr>
          <w:rFonts w:hint="eastAsia" w:ascii="Times New Roman"/>
        </w:rPr>
        <w:t>干燥</w:t>
      </w:r>
    </w:p>
    <w:p>
      <w:pPr>
        <w:pStyle w:val="177"/>
        <w:numPr>
          <w:ilvl w:val="0"/>
          <w:numId w:val="0"/>
        </w:numPr>
        <w:ind w:firstLine="420" w:firstLineChars="200"/>
        <w:rPr>
          <w:rFonts w:ascii="Times New Roman"/>
          <w:szCs w:val="21"/>
        </w:rPr>
      </w:pPr>
      <w:r>
        <w:rPr>
          <w:rFonts w:ascii="Times New Roman"/>
          <w:szCs w:val="21"/>
        </w:rPr>
        <w:t>采用连续烘干机进行足干。温度控制在90 ℃～100 ℃，摊叶厚度2</w:t>
      </w:r>
      <w:r>
        <w:rPr>
          <w:rFonts w:hint="eastAsia" w:ascii="Times New Roman"/>
          <w:szCs w:val="21"/>
          <w:lang w:val="en-US" w:eastAsia="zh-CN"/>
        </w:rPr>
        <w:t xml:space="preserve"> </w:t>
      </w:r>
      <w:r>
        <w:rPr>
          <w:rFonts w:ascii="Times New Roman"/>
          <w:szCs w:val="21"/>
        </w:rPr>
        <w:t>cm～3</w:t>
      </w:r>
      <w:r>
        <w:rPr>
          <w:rFonts w:hint="eastAsia" w:ascii="Times New Roman"/>
          <w:szCs w:val="21"/>
          <w:lang w:val="en-US" w:eastAsia="zh-CN"/>
        </w:rPr>
        <w:t xml:space="preserve"> </w:t>
      </w:r>
      <w:r>
        <w:rPr>
          <w:rFonts w:ascii="Times New Roman"/>
          <w:szCs w:val="21"/>
        </w:rPr>
        <w:t>cm，时间30</w:t>
      </w:r>
      <w:r>
        <w:rPr>
          <w:rFonts w:hint="eastAsia" w:ascii="Times New Roman"/>
          <w:szCs w:val="21"/>
          <w:lang w:val="en-US" w:eastAsia="zh-CN"/>
        </w:rPr>
        <w:t xml:space="preserve"> </w:t>
      </w:r>
      <w:r>
        <w:rPr>
          <w:rFonts w:ascii="Times New Roman"/>
          <w:szCs w:val="21"/>
        </w:rPr>
        <w:t>min～45</w:t>
      </w:r>
      <w:r>
        <w:rPr>
          <w:rFonts w:hint="eastAsia" w:ascii="Times New Roman"/>
          <w:szCs w:val="21"/>
          <w:lang w:val="en-US" w:eastAsia="zh-CN"/>
        </w:rPr>
        <w:t xml:space="preserve"> </w:t>
      </w:r>
      <w:r>
        <w:rPr>
          <w:rFonts w:ascii="Times New Roman"/>
          <w:szCs w:val="21"/>
        </w:rPr>
        <w:t>min。</w:t>
      </w:r>
    </w:p>
    <w:p>
      <w:pPr>
        <w:pStyle w:val="80"/>
        <w:spacing w:before="120" w:after="120"/>
        <w:rPr>
          <w:rFonts w:ascii="Times New Roman"/>
        </w:rPr>
      </w:pPr>
      <w:r>
        <w:rPr>
          <w:rFonts w:hint="eastAsia" w:ascii="Times New Roman"/>
        </w:rPr>
        <w:t>分级</w:t>
      </w:r>
    </w:p>
    <w:p>
      <w:pPr>
        <w:pStyle w:val="179"/>
        <w:rPr>
          <w:rFonts w:ascii="Times New Roman"/>
        </w:rPr>
      </w:pPr>
      <w:r>
        <w:rPr>
          <w:rFonts w:ascii="Times New Roman"/>
        </w:rPr>
        <w:t>采用色选机去除筋梗；采用风选机去除黄片、碎末。</w:t>
      </w:r>
    </w:p>
    <w:p>
      <w:pPr>
        <w:pStyle w:val="179"/>
        <w:rPr>
          <w:rFonts w:ascii="Times New Roman"/>
        </w:rPr>
      </w:pPr>
      <w:r>
        <w:rPr>
          <w:rFonts w:ascii="Times New Roman"/>
        </w:rPr>
        <w:t>采用圆筛机区分长短，抖筛机区分粗细、风选机区分轻重，实现规格匀整。</w:t>
      </w:r>
    </w:p>
    <w:p>
      <w:pPr>
        <w:pStyle w:val="80"/>
        <w:spacing w:before="120" w:after="120"/>
        <w:rPr>
          <w:rFonts w:ascii="Times New Roman"/>
        </w:rPr>
      </w:pPr>
      <w:r>
        <w:rPr>
          <w:rFonts w:hint="eastAsia" w:ascii="Times New Roman"/>
        </w:rPr>
        <w:t>足火</w:t>
      </w:r>
    </w:p>
    <w:p>
      <w:pPr>
        <w:pStyle w:val="71"/>
        <w:ind w:firstLine="420"/>
        <w:rPr>
          <w:rFonts w:ascii="Times New Roman"/>
        </w:rPr>
      </w:pPr>
      <w:r>
        <w:rPr>
          <w:rFonts w:hint="eastAsia" w:ascii="Times New Roman"/>
          <w:szCs w:val="21"/>
        </w:rPr>
        <w:t>采用烘干</w:t>
      </w:r>
      <w:bookmarkStart w:id="87" w:name="_GoBack"/>
      <w:r>
        <w:rPr>
          <w:rFonts w:hint="eastAsia" w:ascii="Times New Roman"/>
          <w:color w:val="000000" w:themeColor="text1"/>
          <w:szCs w:val="21"/>
          <w14:textFill>
            <w14:solidFill>
              <w14:schemeClr w14:val="tx1"/>
            </w14:solidFill>
          </w14:textFill>
        </w:rPr>
        <w:t>机，温度控制在</w:t>
      </w:r>
      <w:r>
        <w:rPr>
          <w:rFonts w:hint="eastAsia" w:ascii="Times New Roman"/>
          <w:color w:val="000000" w:themeColor="text1"/>
          <w:szCs w:val="21"/>
          <w:lang w:val="en-US" w:eastAsia="zh-CN"/>
          <w14:textFill>
            <w14:solidFill>
              <w14:schemeClr w14:val="tx1"/>
            </w14:solidFill>
          </w14:textFill>
        </w:rPr>
        <w:t>110-130</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足干至含</w:t>
      </w:r>
      <w:bookmarkEnd w:id="87"/>
      <w:r>
        <w:rPr>
          <w:rFonts w:ascii="Times New Roman"/>
          <w:szCs w:val="21"/>
        </w:rPr>
        <w:t>水率</w:t>
      </w:r>
      <w:r>
        <w:rPr>
          <w:rFonts w:hint="eastAsia" w:ascii="Times New Roman"/>
          <w:szCs w:val="21"/>
        </w:rPr>
        <w:t>≤</w:t>
      </w:r>
      <w:r>
        <w:rPr>
          <w:rFonts w:ascii="Times New Roman"/>
          <w:szCs w:val="21"/>
        </w:rPr>
        <w:t>6</w:t>
      </w:r>
      <w:r>
        <w:rPr>
          <w:rFonts w:hint="eastAsia" w:ascii="Times New Roman"/>
          <w:szCs w:val="21"/>
          <w:lang w:val="en-US" w:eastAsia="zh-CN"/>
        </w:rPr>
        <w:t xml:space="preserve"> </w:t>
      </w:r>
      <w:r>
        <w:rPr>
          <w:rFonts w:ascii="Times New Roman"/>
          <w:szCs w:val="21"/>
        </w:rPr>
        <w:t>%</w:t>
      </w:r>
      <w:r>
        <w:rPr>
          <w:rFonts w:hint="eastAsia" w:ascii="Times New Roman"/>
          <w:szCs w:val="21"/>
        </w:rPr>
        <w:t>。</w:t>
      </w:r>
    </w:p>
    <w:p>
      <w:pPr>
        <w:pStyle w:val="80"/>
        <w:spacing w:before="120" w:after="120"/>
        <w:rPr>
          <w:rFonts w:ascii="Times New Roman"/>
        </w:rPr>
      </w:pPr>
      <w:r>
        <w:rPr>
          <w:rFonts w:ascii="Times New Roman"/>
        </w:rPr>
        <w:t>拼配</w:t>
      </w:r>
    </w:p>
    <w:p>
      <w:pPr>
        <w:pStyle w:val="177"/>
        <w:numPr>
          <w:ilvl w:val="0"/>
          <w:numId w:val="0"/>
        </w:numPr>
        <w:ind w:firstLine="420" w:firstLineChars="200"/>
        <w:rPr>
          <w:rFonts w:ascii="Times New Roman"/>
          <w:szCs w:val="21"/>
        </w:rPr>
      </w:pPr>
      <w:r>
        <w:rPr>
          <w:rFonts w:ascii="Times New Roman"/>
          <w:szCs w:val="21"/>
        </w:rPr>
        <w:t>按照昭平</w:t>
      </w:r>
      <w:r>
        <w:rPr>
          <w:rFonts w:hint="eastAsia" w:ascii="Times New Roman"/>
          <w:szCs w:val="21"/>
        </w:rPr>
        <w:t>红红</w:t>
      </w:r>
      <w:r>
        <w:rPr>
          <w:rFonts w:ascii="Times New Roman"/>
          <w:szCs w:val="21"/>
        </w:rPr>
        <w:t>螺茶各等级的品质要求，内外品质兼顾，以嫩度、色泽、形态为主进行匀堆拼配。按照 GB7718 要求进行包装。</w:t>
      </w:r>
    </w:p>
    <w:p>
      <w:pPr>
        <w:pStyle w:val="80"/>
        <w:spacing w:before="120" w:after="120"/>
        <w:rPr>
          <w:rFonts w:ascii="Times New Roman"/>
        </w:rPr>
      </w:pPr>
      <w:r>
        <w:rPr>
          <w:rFonts w:ascii="Times New Roman"/>
        </w:rPr>
        <w:t>装袋</w:t>
      </w:r>
    </w:p>
    <w:p>
      <w:pPr>
        <w:pStyle w:val="177"/>
        <w:numPr>
          <w:ilvl w:val="0"/>
          <w:numId w:val="0"/>
        </w:numPr>
        <w:ind w:firstLine="420" w:firstLineChars="200"/>
        <w:rPr>
          <w:rFonts w:ascii="Times New Roman"/>
          <w:szCs w:val="21"/>
        </w:rPr>
      </w:pPr>
      <w:r>
        <w:rPr>
          <w:rFonts w:ascii="Times New Roman"/>
          <w:szCs w:val="21"/>
        </w:rPr>
        <w:t>及时装袋防止吸水回潮，并做好标签。</w:t>
      </w:r>
    </w:p>
    <w:p>
      <w:pPr>
        <w:pStyle w:val="119"/>
        <w:spacing w:before="240" w:after="240"/>
        <w:rPr>
          <w:rFonts w:ascii="Times New Roman"/>
        </w:rPr>
      </w:pPr>
      <w:bookmarkStart w:id="79" w:name="_Toc16183"/>
      <w:r>
        <w:rPr>
          <w:rFonts w:ascii="Times New Roman"/>
        </w:rPr>
        <w:t>质量管理</w:t>
      </w:r>
      <w:bookmarkEnd w:id="79"/>
    </w:p>
    <w:p>
      <w:pPr>
        <w:pStyle w:val="297"/>
        <w:ind w:left="0" w:firstLine="420" w:firstLineChars="200"/>
      </w:pPr>
      <w:r>
        <w:t>企业应制定质量管理手册并实施质量控制措施，关键工艺应有作业指导书，并记录执行情况。</w:t>
      </w:r>
    </w:p>
    <w:p>
      <w:pPr>
        <w:pStyle w:val="31"/>
      </w:pPr>
      <w:r>
        <w:rPr>
          <w:rFonts w:hint="eastAsia"/>
        </w:rPr>
        <w:t>企业应建立昭平红红螺茶感官品质标准，见附录1。</w:t>
      </w:r>
    </w:p>
    <w:p>
      <w:pPr>
        <w:pStyle w:val="297"/>
        <w:ind w:left="0" w:firstLine="420" w:firstLineChars="200"/>
      </w:pPr>
      <w:r>
        <w:t>鲜叶原料、在制品应按批次经检验符合要求后方可进入下一生产工序，加工各关键控制点应有相关记录，建立原料采购、加工、入库、出库的完整档案记录，各记录应保留三年。</w:t>
      </w:r>
    </w:p>
    <w:p>
      <w:pPr>
        <w:pStyle w:val="297"/>
        <w:ind w:left="0" w:firstLine="420" w:firstLineChars="200"/>
      </w:pPr>
      <w:r>
        <w:t>加工过程的卫生管理、质量安全应符合 GB14881 的规定，加工过程不能添加任何非茶类物质。</w:t>
      </w:r>
    </w:p>
    <w:p>
      <w:pPr>
        <w:pStyle w:val="297"/>
        <w:ind w:left="0" w:firstLine="420" w:firstLineChars="200"/>
      </w:pPr>
      <w:r>
        <w:t>企业应按产品标准的规定对出厂的产品逐批进行检验，应有相应的检验原始记录，记录应保留三年。</w:t>
      </w:r>
    </w:p>
    <w:p>
      <w:pPr>
        <w:pStyle w:val="297"/>
        <w:ind w:left="0" w:firstLine="420" w:firstLineChars="200"/>
      </w:pPr>
      <w:r>
        <w:t>企业应建立污染限量控制与管理制度。</w:t>
      </w:r>
    </w:p>
    <w:p>
      <w:pPr>
        <w:pStyle w:val="281"/>
        <w:spacing w:before="0" w:after="0"/>
        <w:ind w:left="0" w:firstLine="420" w:firstLineChars="200"/>
        <w:outlineLvl w:val="9"/>
      </w:pPr>
      <w:r>
        <w:t>企业应建立农药残留限量控制与管理制度。</w:t>
      </w:r>
    </w:p>
    <w:p>
      <w:pPr>
        <w:pStyle w:val="119"/>
        <w:spacing w:before="240" w:after="240"/>
        <w:rPr>
          <w:rFonts w:ascii="Times New Roman"/>
        </w:rPr>
      </w:pPr>
      <w:bookmarkStart w:id="80" w:name="_Toc15320"/>
      <w:r>
        <w:rPr>
          <w:rFonts w:ascii="Times New Roman"/>
        </w:rPr>
        <w:t>标志、标签、包装、运输和贮存</w:t>
      </w:r>
      <w:bookmarkEnd w:id="80"/>
    </w:p>
    <w:p>
      <w:pPr>
        <w:pStyle w:val="120"/>
        <w:spacing w:before="120" w:after="120"/>
        <w:rPr>
          <w:rFonts w:ascii="Times New Roman"/>
        </w:rPr>
      </w:pPr>
      <w:bookmarkStart w:id="81" w:name="_Toc12967"/>
      <w:r>
        <w:rPr>
          <w:rFonts w:ascii="Times New Roman"/>
        </w:rPr>
        <w:t>标志、标签</w:t>
      </w:r>
      <w:bookmarkEnd w:id="81"/>
    </w:p>
    <w:p>
      <w:pPr>
        <w:pStyle w:val="177"/>
        <w:numPr>
          <w:ilvl w:val="0"/>
          <w:numId w:val="0"/>
        </w:numPr>
        <w:ind w:firstLine="420" w:firstLineChars="200"/>
        <w:rPr>
          <w:rFonts w:ascii="Times New Roman"/>
          <w:szCs w:val="21"/>
        </w:rPr>
      </w:pPr>
      <w:r>
        <w:rPr>
          <w:rFonts w:ascii="Times New Roman"/>
          <w:szCs w:val="21"/>
        </w:rPr>
        <w:t>毛茶和在制品应有标签，标签应包含产地、加工日期、等级、数量等内容。成品标签应符合 GB 7718 和国家质量监督检验检疫总局令〔2009〕123 号令的规定，运输包装箱的图示标志应符合 GB/T 191 的规定。</w:t>
      </w:r>
    </w:p>
    <w:p>
      <w:pPr>
        <w:pStyle w:val="120"/>
        <w:spacing w:before="120" w:after="120"/>
        <w:rPr>
          <w:rFonts w:ascii="Times New Roman"/>
        </w:rPr>
      </w:pPr>
      <w:bookmarkStart w:id="82" w:name="_Toc9169"/>
      <w:r>
        <w:rPr>
          <w:rFonts w:ascii="Times New Roman"/>
        </w:rPr>
        <w:t>包装</w:t>
      </w:r>
      <w:bookmarkEnd w:id="82"/>
    </w:p>
    <w:p>
      <w:pPr>
        <w:pStyle w:val="177"/>
        <w:numPr>
          <w:ilvl w:val="0"/>
          <w:numId w:val="0"/>
        </w:numPr>
        <w:ind w:firstLine="420" w:firstLineChars="200"/>
        <w:rPr>
          <w:rFonts w:ascii="Times New Roman"/>
          <w:szCs w:val="21"/>
        </w:rPr>
      </w:pPr>
      <w:r>
        <w:rPr>
          <w:rFonts w:ascii="Times New Roman"/>
          <w:szCs w:val="21"/>
        </w:rPr>
        <w:t xml:space="preserve">产品包装应符合 GH/T 1070 的规定。 </w:t>
      </w:r>
    </w:p>
    <w:p>
      <w:pPr>
        <w:pStyle w:val="120"/>
        <w:spacing w:before="120" w:after="120"/>
        <w:rPr>
          <w:rFonts w:ascii="Times New Roman"/>
        </w:rPr>
      </w:pPr>
      <w:bookmarkStart w:id="83" w:name="_Toc15490"/>
      <w:r>
        <w:rPr>
          <w:rFonts w:ascii="Times New Roman"/>
        </w:rPr>
        <w:t>运输</w:t>
      </w:r>
      <w:bookmarkEnd w:id="83"/>
    </w:p>
    <w:p>
      <w:pPr>
        <w:pStyle w:val="177"/>
        <w:numPr>
          <w:ilvl w:val="0"/>
          <w:numId w:val="0"/>
        </w:numPr>
        <w:ind w:firstLine="420" w:firstLineChars="200"/>
        <w:rPr>
          <w:rFonts w:ascii="Times New Roman"/>
          <w:szCs w:val="21"/>
        </w:rPr>
      </w:pPr>
      <w:r>
        <w:rPr>
          <w:rFonts w:ascii="Times New Roman"/>
          <w:szCs w:val="21"/>
        </w:rPr>
        <w:t>运输工具应清洁、干净、无异味、无污染。运输时应防雨、防潮、防曝晒。不得与其他物品混装、混运。</w:t>
      </w:r>
    </w:p>
    <w:p>
      <w:pPr>
        <w:pStyle w:val="120"/>
        <w:spacing w:before="120" w:after="120"/>
        <w:rPr>
          <w:rFonts w:ascii="Times New Roman"/>
        </w:rPr>
      </w:pPr>
      <w:bookmarkStart w:id="84" w:name="_Toc10009"/>
      <w:r>
        <w:rPr>
          <w:rFonts w:ascii="Times New Roman"/>
        </w:rPr>
        <w:t>贮存</w:t>
      </w:r>
      <w:bookmarkEnd w:id="84"/>
    </w:p>
    <w:p>
      <w:pPr>
        <w:pStyle w:val="177"/>
        <w:numPr>
          <w:ilvl w:val="0"/>
          <w:numId w:val="0"/>
        </w:numPr>
        <w:ind w:firstLine="420" w:firstLineChars="200"/>
        <w:rPr>
          <w:rFonts w:ascii="Times New Roman"/>
          <w:szCs w:val="21"/>
        </w:rPr>
      </w:pPr>
      <w:r>
        <w:rPr>
          <w:rFonts w:ascii="Times New Roman"/>
          <w:szCs w:val="21"/>
        </w:rPr>
        <w:t>毛茶、半成品、成品茶应分别存放，贮存应符合 GB/T 30375 的规定。</w:t>
      </w:r>
    </w:p>
    <w:bookmarkEnd w:id="26"/>
    <w:p>
      <w:pPr>
        <w:pStyle w:val="71"/>
        <w:ind w:firstLine="0" w:firstLineChars="0"/>
        <w:jc w:val="center"/>
      </w:pPr>
      <w:bookmarkStart w:id="85"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85"/>
    </w:p>
    <w:p>
      <w:pPr>
        <w:pStyle w:val="322"/>
      </w:pPr>
    </w:p>
    <w:p>
      <w:pPr>
        <w:pStyle w:val="333"/>
      </w:pPr>
    </w:p>
    <w:p>
      <w:pPr>
        <w:pStyle w:val="335"/>
        <w:ind w:left="0" w:firstLine="0"/>
      </w:pPr>
      <w:r>
        <w:br w:type="textWrapping"/>
      </w:r>
      <w:r>
        <w:rPr>
          <w:rFonts w:hint="eastAsia"/>
        </w:rPr>
        <w:t>（规范性附录）</w:t>
      </w:r>
      <w:r>
        <w:br w:type="textWrapping"/>
      </w:r>
      <w:r>
        <w:rPr>
          <w:rFonts w:hint="eastAsia"/>
        </w:rPr>
        <w:t>附录1  昭平红红螺茶感官品质标准</w:t>
      </w:r>
      <w:bookmarkStart w:id="86" w:name="DW"/>
      <w:bookmarkEnd w:id="86"/>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restart"/>
            <w:tcBorders>
              <w:top w:val="single" w:color="auto" w:sz="8" w:space="0"/>
            </w:tcBorders>
            <w:shd w:val="clear" w:color="auto" w:fill="auto"/>
            <w:vAlign w:val="center"/>
          </w:tcPr>
          <w:p>
            <w:pPr>
              <w:jc w:val="center"/>
            </w:pPr>
            <w:r>
              <w:rPr>
                <w:rFonts w:hint="eastAsia"/>
              </w:rPr>
              <w:t>级别</w:t>
            </w:r>
          </w:p>
        </w:tc>
        <w:tc>
          <w:tcPr>
            <w:tcW w:w="1595" w:type="dxa"/>
            <w:vMerge w:val="restart"/>
            <w:tcBorders>
              <w:top w:val="single" w:color="auto" w:sz="8" w:space="0"/>
            </w:tcBorders>
            <w:shd w:val="clear" w:color="auto" w:fill="auto"/>
            <w:vAlign w:val="center"/>
          </w:tcPr>
          <w:p>
            <w:pPr>
              <w:jc w:val="center"/>
            </w:pPr>
            <w:r>
              <w:rPr>
                <w:rFonts w:hint="eastAsia"/>
              </w:rPr>
              <w:t>外形</w:t>
            </w:r>
          </w:p>
        </w:tc>
        <w:tc>
          <w:tcPr>
            <w:tcW w:w="6380" w:type="dxa"/>
            <w:gridSpan w:val="4"/>
            <w:tcBorders>
              <w:top w:val="single" w:color="auto" w:sz="8" w:space="0"/>
              <w:bottom w:val="single" w:color="auto" w:sz="8" w:space="0"/>
            </w:tcBorders>
            <w:shd w:val="clear" w:color="auto" w:fill="auto"/>
            <w:vAlign w:val="center"/>
          </w:tcPr>
          <w:p>
            <w:pPr>
              <w:jc w:val="center"/>
            </w:pPr>
            <w:r>
              <w:rPr>
                <w:rFonts w:hint="eastAsia"/>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vMerge w:val="continue"/>
            <w:tcBorders>
              <w:bottom w:val="single" w:color="auto" w:sz="8" w:space="0"/>
            </w:tcBorders>
            <w:shd w:val="clear" w:color="auto" w:fill="auto"/>
            <w:vAlign w:val="center"/>
          </w:tcPr>
          <w:p>
            <w:pPr>
              <w:jc w:val="center"/>
            </w:pPr>
          </w:p>
        </w:tc>
        <w:tc>
          <w:tcPr>
            <w:tcW w:w="1595" w:type="dxa"/>
            <w:vMerge w:val="continue"/>
            <w:tcBorders>
              <w:bottom w:val="single" w:color="auto" w:sz="8" w:space="0"/>
            </w:tcBorders>
            <w:shd w:val="clear" w:color="auto" w:fill="auto"/>
            <w:vAlign w:val="center"/>
          </w:tcPr>
          <w:p>
            <w:pPr>
              <w:jc w:val="center"/>
            </w:pPr>
          </w:p>
        </w:tc>
        <w:tc>
          <w:tcPr>
            <w:tcW w:w="1595" w:type="dxa"/>
            <w:tcBorders>
              <w:top w:val="single" w:color="auto" w:sz="8" w:space="0"/>
              <w:bottom w:val="single" w:color="auto" w:sz="8" w:space="0"/>
            </w:tcBorders>
            <w:shd w:val="clear" w:color="auto" w:fill="auto"/>
            <w:vAlign w:val="center"/>
          </w:tcPr>
          <w:p>
            <w:pPr>
              <w:jc w:val="center"/>
            </w:pPr>
            <w:r>
              <w:rPr>
                <w:rFonts w:hint="eastAsia"/>
              </w:rPr>
              <w:t>香气</w:t>
            </w:r>
          </w:p>
        </w:tc>
        <w:tc>
          <w:tcPr>
            <w:tcW w:w="1595" w:type="dxa"/>
            <w:tcBorders>
              <w:top w:val="single" w:color="auto" w:sz="8" w:space="0"/>
              <w:bottom w:val="single" w:color="auto" w:sz="8" w:space="0"/>
            </w:tcBorders>
            <w:shd w:val="clear" w:color="auto" w:fill="auto"/>
            <w:vAlign w:val="center"/>
          </w:tcPr>
          <w:p>
            <w:pPr>
              <w:jc w:val="center"/>
            </w:pPr>
            <w:r>
              <w:rPr>
                <w:rFonts w:hint="eastAsia"/>
              </w:rPr>
              <w:t>汤色</w:t>
            </w:r>
          </w:p>
        </w:tc>
        <w:tc>
          <w:tcPr>
            <w:tcW w:w="1595" w:type="dxa"/>
            <w:tcBorders>
              <w:top w:val="single" w:color="auto" w:sz="8" w:space="0"/>
              <w:bottom w:val="single" w:color="auto" w:sz="8" w:space="0"/>
            </w:tcBorders>
            <w:shd w:val="clear" w:color="auto" w:fill="auto"/>
            <w:vAlign w:val="center"/>
          </w:tcPr>
          <w:p>
            <w:pPr>
              <w:jc w:val="center"/>
            </w:pPr>
            <w:r>
              <w:rPr>
                <w:rFonts w:hint="eastAsia"/>
              </w:rPr>
              <w:t>滋味</w:t>
            </w:r>
          </w:p>
        </w:tc>
        <w:tc>
          <w:tcPr>
            <w:tcW w:w="1595" w:type="dxa"/>
            <w:tcBorders>
              <w:top w:val="single" w:color="auto" w:sz="8" w:space="0"/>
              <w:bottom w:val="single" w:color="auto" w:sz="8" w:space="0"/>
            </w:tcBorders>
            <w:shd w:val="clear" w:color="auto" w:fill="auto"/>
            <w:vAlign w:val="center"/>
          </w:tcPr>
          <w:p>
            <w:pPr>
              <w:jc w:val="center"/>
            </w:pPr>
            <w:r>
              <w:rPr>
                <w:rFonts w:hint="eastAsia"/>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特级</w:t>
            </w:r>
          </w:p>
        </w:tc>
        <w:tc>
          <w:tcPr>
            <w:tcW w:w="1595" w:type="dxa"/>
            <w:tcBorders>
              <w:top w:val="single" w:color="auto" w:sz="4" w:space="0"/>
              <w:bottom w:val="single" w:color="auto" w:sz="8" w:space="0"/>
            </w:tcBorders>
            <w:shd w:val="clear" w:color="auto" w:fill="auto"/>
            <w:vAlign w:val="center"/>
          </w:tcPr>
          <w:p>
            <w:pPr>
              <w:jc w:val="left"/>
            </w:pPr>
            <w:r>
              <w:rPr>
                <w:rFonts w:hint="eastAsia"/>
              </w:rPr>
              <w:t>细紧卷曲如螺、多锋苗、乌润</w:t>
            </w:r>
          </w:p>
        </w:tc>
        <w:tc>
          <w:tcPr>
            <w:tcW w:w="1595" w:type="dxa"/>
            <w:tcBorders>
              <w:top w:val="single" w:color="auto" w:sz="4" w:space="0"/>
              <w:bottom w:val="single" w:color="auto" w:sz="8" w:space="0"/>
            </w:tcBorders>
            <w:shd w:val="clear" w:color="auto" w:fill="auto"/>
            <w:vAlign w:val="center"/>
          </w:tcPr>
          <w:p>
            <w:pPr>
              <w:jc w:val="center"/>
            </w:pPr>
            <w:r>
              <w:rPr>
                <w:rFonts w:hint="eastAsia"/>
              </w:rPr>
              <w:t>花果香</w:t>
            </w:r>
          </w:p>
        </w:tc>
        <w:tc>
          <w:tcPr>
            <w:tcW w:w="1595" w:type="dxa"/>
            <w:tcBorders>
              <w:top w:val="single" w:color="auto" w:sz="4" w:space="0"/>
              <w:bottom w:val="single" w:color="auto" w:sz="8" w:space="0"/>
            </w:tcBorders>
            <w:shd w:val="clear" w:color="auto" w:fill="auto"/>
            <w:vAlign w:val="center"/>
          </w:tcPr>
          <w:p>
            <w:pPr>
              <w:jc w:val="center"/>
            </w:pPr>
            <w:r>
              <w:rPr>
                <w:rFonts w:hint="eastAsia"/>
              </w:rPr>
              <w:t>红明亮</w:t>
            </w:r>
          </w:p>
        </w:tc>
        <w:tc>
          <w:tcPr>
            <w:tcW w:w="1595" w:type="dxa"/>
            <w:tcBorders>
              <w:top w:val="single" w:color="auto" w:sz="4" w:space="0"/>
              <w:bottom w:val="single" w:color="auto" w:sz="8" w:space="0"/>
            </w:tcBorders>
            <w:shd w:val="clear" w:color="auto" w:fill="auto"/>
            <w:vAlign w:val="center"/>
          </w:tcPr>
          <w:p>
            <w:pPr>
              <w:jc w:val="center"/>
            </w:pPr>
            <w:r>
              <w:rPr>
                <w:rFonts w:hint="eastAsia"/>
              </w:rPr>
              <w:t>甘醇回甜</w:t>
            </w:r>
          </w:p>
        </w:tc>
        <w:tc>
          <w:tcPr>
            <w:tcW w:w="1595" w:type="dxa"/>
            <w:tcBorders>
              <w:top w:val="single" w:color="auto" w:sz="4" w:space="0"/>
              <w:bottom w:val="single" w:color="auto" w:sz="8" w:space="0"/>
            </w:tcBorders>
            <w:shd w:val="clear" w:color="auto" w:fill="auto"/>
            <w:vAlign w:val="center"/>
          </w:tcPr>
          <w:p>
            <w:pPr>
              <w:jc w:val="center"/>
            </w:pPr>
            <w:r>
              <w:rPr>
                <w:rFonts w:hint="eastAsia"/>
              </w:rPr>
              <w:t>细嫩、红明亮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一级</w:t>
            </w:r>
          </w:p>
        </w:tc>
        <w:tc>
          <w:tcPr>
            <w:tcW w:w="1595" w:type="dxa"/>
            <w:tcBorders>
              <w:top w:val="single" w:color="auto" w:sz="4" w:space="0"/>
              <w:bottom w:val="single" w:color="auto" w:sz="8" w:space="0"/>
            </w:tcBorders>
            <w:shd w:val="clear" w:color="auto" w:fill="auto"/>
            <w:vAlign w:val="center"/>
          </w:tcPr>
          <w:p>
            <w:pPr>
              <w:jc w:val="left"/>
            </w:pPr>
            <w:r>
              <w:rPr>
                <w:rFonts w:hint="eastAsia"/>
              </w:rPr>
              <w:t>尚细紧卷曲、多锋苗、乌润</w:t>
            </w:r>
          </w:p>
        </w:tc>
        <w:tc>
          <w:tcPr>
            <w:tcW w:w="1595" w:type="dxa"/>
            <w:tcBorders>
              <w:top w:val="single" w:color="auto" w:sz="4" w:space="0"/>
              <w:bottom w:val="single" w:color="auto" w:sz="8" w:space="0"/>
            </w:tcBorders>
            <w:shd w:val="clear" w:color="auto" w:fill="auto"/>
            <w:vAlign w:val="center"/>
          </w:tcPr>
          <w:p>
            <w:pPr>
              <w:jc w:val="center"/>
            </w:pPr>
            <w:r>
              <w:rPr>
                <w:rFonts w:hint="eastAsia"/>
              </w:rPr>
              <w:t>甜香</w:t>
            </w:r>
          </w:p>
        </w:tc>
        <w:tc>
          <w:tcPr>
            <w:tcW w:w="1595" w:type="dxa"/>
            <w:tcBorders>
              <w:top w:val="single" w:color="auto" w:sz="4" w:space="0"/>
              <w:bottom w:val="single" w:color="auto" w:sz="8" w:space="0"/>
            </w:tcBorders>
            <w:shd w:val="clear" w:color="auto" w:fill="auto"/>
            <w:vAlign w:val="center"/>
          </w:tcPr>
          <w:p>
            <w:pPr>
              <w:jc w:val="center"/>
            </w:pPr>
            <w:r>
              <w:rPr>
                <w:rFonts w:hint="eastAsia"/>
              </w:rPr>
              <w:t>红明亮</w:t>
            </w:r>
          </w:p>
        </w:tc>
        <w:tc>
          <w:tcPr>
            <w:tcW w:w="1595" w:type="dxa"/>
            <w:tcBorders>
              <w:top w:val="single" w:color="auto" w:sz="4" w:space="0"/>
              <w:bottom w:val="single" w:color="auto" w:sz="8" w:space="0"/>
            </w:tcBorders>
            <w:shd w:val="clear" w:color="auto" w:fill="auto"/>
            <w:vAlign w:val="center"/>
          </w:tcPr>
          <w:p>
            <w:pPr>
              <w:jc w:val="center"/>
            </w:pPr>
            <w:r>
              <w:rPr>
                <w:rFonts w:hint="eastAsia"/>
              </w:rPr>
              <w:t>甘醇</w:t>
            </w:r>
          </w:p>
        </w:tc>
        <w:tc>
          <w:tcPr>
            <w:tcW w:w="1595" w:type="dxa"/>
            <w:tcBorders>
              <w:top w:val="single" w:color="auto" w:sz="4" w:space="0"/>
              <w:bottom w:val="single" w:color="auto" w:sz="8" w:space="0"/>
            </w:tcBorders>
            <w:shd w:val="clear" w:color="auto" w:fill="auto"/>
            <w:vAlign w:val="center"/>
          </w:tcPr>
          <w:p>
            <w:pPr>
              <w:jc w:val="center"/>
            </w:pPr>
            <w:r>
              <w:rPr>
                <w:rFonts w:hint="eastAsia"/>
              </w:rPr>
              <w:t>细嫩、红明亮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4" w:space="0"/>
              <w:bottom w:val="single" w:color="auto" w:sz="8" w:space="0"/>
            </w:tcBorders>
            <w:shd w:val="clear" w:color="auto" w:fill="auto"/>
            <w:vAlign w:val="center"/>
          </w:tcPr>
          <w:p>
            <w:pPr>
              <w:jc w:val="center"/>
            </w:pPr>
            <w:r>
              <w:rPr>
                <w:rFonts w:hint="eastAsia"/>
              </w:rPr>
              <w:t>二级</w:t>
            </w:r>
          </w:p>
        </w:tc>
        <w:tc>
          <w:tcPr>
            <w:tcW w:w="1595" w:type="dxa"/>
            <w:tcBorders>
              <w:top w:val="single" w:color="auto" w:sz="4" w:space="0"/>
              <w:bottom w:val="single" w:color="auto" w:sz="8" w:space="0"/>
            </w:tcBorders>
            <w:shd w:val="clear" w:color="auto" w:fill="auto"/>
            <w:vAlign w:val="center"/>
          </w:tcPr>
          <w:p>
            <w:pPr>
              <w:jc w:val="left"/>
            </w:pPr>
            <w:r>
              <w:rPr>
                <w:rFonts w:hint="eastAsia"/>
              </w:rPr>
              <w:t>较细紧卷曲、有锋苗、乌润</w:t>
            </w:r>
          </w:p>
        </w:tc>
        <w:tc>
          <w:tcPr>
            <w:tcW w:w="1595" w:type="dxa"/>
            <w:tcBorders>
              <w:top w:val="single" w:color="auto" w:sz="4" w:space="0"/>
              <w:bottom w:val="single" w:color="auto" w:sz="8" w:space="0"/>
            </w:tcBorders>
            <w:shd w:val="clear" w:color="auto" w:fill="auto"/>
            <w:vAlign w:val="center"/>
          </w:tcPr>
          <w:p>
            <w:pPr>
              <w:jc w:val="center"/>
            </w:pPr>
            <w:r>
              <w:rPr>
                <w:rFonts w:hint="eastAsia"/>
              </w:rPr>
              <w:t>甜香</w:t>
            </w:r>
          </w:p>
        </w:tc>
        <w:tc>
          <w:tcPr>
            <w:tcW w:w="1595" w:type="dxa"/>
            <w:tcBorders>
              <w:top w:val="single" w:color="auto" w:sz="4" w:space="0"/>
              <w:bottom w:val="single" w:color="auto" w:sz="8" w:space="0"/>
            </w:tcBorders>
            <w:shd w:val="clear" w:color="auto" w:fill="auto"/>
            <w:vAlign w:val="center"/>
          </w:tcPr>
          <w:p>
            <w:pPr>
              <w:jc w:val="center"/>
            </w:pPr>
            <w:r>
              <w:rPr>
                <w:rFonts w:hint="eastAsia"/>
              </w:rPr>
              <w:t>尚明亮</w:t>
            </w:r>
          </w:p>
        </w:tc>
        <w:tc>
          <w:tcPr>
            <w:tcW w:w="1595" w:type="dxa"/>
            <w:tcBorders>
              <w:top w:val="single" w:color="auto" w:sz="4" w:space="0"/>
              <w:bottom w:val="single" w:color="auto" w:sz="8" w:space="0"/>
            </w:tcBorders>
            <w:shd w:val="clear" w:color="auto" w:fill="auto"/>
            <w:vAlign w:val="center"/>
          </w:tcPr>
          <w:p>
            <w:pPr>
              <w:jc w:val="center"/>
            </w:pPr>
            <w:r>
              <w:rPr>
                <w:rFonts w:hint="eastAsia"/>
              </w:rPr>
              <w:t>醇厚</w:t>
            </w:r>
          </w:p>
        </w:tc>
        <w:tc>
          <w:tcPr>
            <w:tcW w:w="1595" w:type="dxa"/>
            <w:tcBorders>
              <w:top w:val="single" w:color="auto" w:sz="4" w:space="0"/>
              <w:bottom w:val="single" w:color="auto" w:sz="8" w:space="0"/>
            </w:tcBorders>
            <w:shd w:val="clear" w:color="auto" w:fill="auto"/>
            <w:vAlign w:val="center"/>
          </w:tcPr>
          <w:p>
            <w:pPr>
              <w:jc w:val="center"/>
            </w:pPr>
            <w:r>
              <w:rPr>
                <w:rFonts w:hint="eastAsia"/>
              </w:rPr>
              <w:t>尚嫩、红尚亮</w:t>
            </w:r>
          </w:p>
        </w:tc>
      </w:tr>
    </w:tbl>
    <w:p/>
    <w:p>
      <w:pPr>
        <w:pStyle w:val="31"/>
      </w:pPr>
    </w:p>
    <w:sectPr>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fldChar w:fldCharType="begin"/>
    </w:r>
    <w:r>
      <w:instrText xml:space="preserve"> STYLEREF  标准文件_文件编号  \* MERGEFORMAT </w:instrText>
    </w:r>
    <w:r>
      <w:fldChar w:fldCharType="separate"/>
    </w:r>
    <w:r>
      <w:t>T/ZPCY 002—2021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 STYLEREF  标准文件_文件编号  \* MERGEFORMAT </w:instrText>
    </w:r>
    <w:r>
      <w:fldChar w:fldCharType="separate"/>
    </w:r>
    <w:r>
      <w:t>T/ZPCY 002—2021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4"/>
      <w:suff w:val="nothing"/>
      <w:lvlText w:val="%1%2.%3　"/>
      <w:lvlJc w:val="left"/>
      <w:pPr>
        <w:ind w:left="0" w:firstLine="0"/>
      </w:pPr>
    </w:lvl>
    <w:lvl w:ilvl="3" w:tentative="0">
      <w:start w:val="1"/>
      <w:numFmt w:val="decimal"/>
      <w:pStyle w:val="133"/>
      <w:suff w:val="nothing"/>
      <w:lvlText w:val="%1%2.%3.%4　"/>
      <w:lvlJc w:val="left"/>
      <w:pPr>
        <w:ind w:left="0" w:firstLine="0"/>
      </w:pPr>
    </w:lvl>
    <w:lvl w:ilvl="4" w:tentative="0">
      <w:start w:val="1"/>
      <w:numFmt w:val="decimal"/>
      <w:pStyle w:val="168"/>
      <w:suff w:val="nothing"/>
      <w:lvlText w:val="%1%2.%3.%4.%5　"/>
      <w:lvlJc w:val="left"/>
      <w:pPr>
        <w:ind w:left="0" w:firstLine="0"/>
      </w:pPr>
    </w:lvl>
    <w:lvl w:ilvl="5" w:tentative="0">
      <w:start w:val="1"/>
      <w:numFmt w:val="decimal"/>
      <w:pStyle w:val="170"/>
      <w:suff w:val="nothing"/>
      <w:lvlText w:val="%1%2.%3.%4.%5.%6　"/>
      <w:lvlJc w:val="left"/>
      <w:pPr>
        <w:ind w:left="0" w:firstLine="0"/>
      </w:pPr>
    </w:lvl>
    <w:lvl w:ilvl="6" w:tentative="0">
      <w:start w:val="1"/>
      <w:numFmt w:val="decimal"/>
      <w:pStyle w:val="17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4"/>
      <w:lvlText w:val="%1"/>
      <w:lvlJc w:val="left"/>
      <w:pPr>
        <w:ind w:left="425" w:hanging="425"/>
      </w:pPr>
      <w:rPr>
        <w:rFonts w:hint="eastAsia"/>
      </w:rPr>
    </w:lvl>
    <w:lvl w:ilvl="1" w:tentative="0">
      <w:start w:val="1"/>
      <w:numFmt w:val="decimal"/>
      <w:pStyle w:val="215"/>
      <w:suff w:val="nothing"/>
      <w:lvlText w:val="%10.%2 "/>
      <w:lvlJc w:val="left"/>
      <w:pPr>
        <w:ind w:left="0" w:firstLine="0"/>
      </w:pPr>
      <w:rPr>
        <w:rFonts w:hint="eastAsia" w:ascii="黑体" w:eastAsia="黑体" w:hAnsiTheme="minorHAnsi"/>
        <w:b w:val="0"/>
        <w:i w:val="0"/>
        <w:sz w:val="21"/>
      </w:rPr>
    </w:lvl>
    <w:lvl w:ilvl="2" w:tentative="0">
      <w:start w:val="1"/>
      <w:numFmt w:val="decimal"/>
      <w:pStyle w:val="216"/>
      <w:suff w:val="nothing"/>
      <w:lvlText w:val="%10.%2.%3 "/>
      <w:lvlJc w:val="left"/>
      <w:pPr>
        <w:ind w:left="0" w:firstLine="0"/>
      </w:pPr>
      <w:rPr>
        <w:rFonts w:hint="eastAsia" w:ascii="黑体" w:eastAsia="黑体" w:hAnsiTheme="minorHAnsi"/>
        <w:b w:val="0"/>
        <w:i w:val="0"/>
        <w:sz w:val="21"/>
      </w:rPr>
    </w:lvl>
    <w:lvl w:ilvl="3" w:tentative="0">
      <w:start w:val="1"/>
      <w:numFmt w:val="decimal"/>
      <w:pStyle w:val="217"/>
      <w:suff w:val="nothing"/>
      <w:lvlText w:val="%10.%2.%3.%4 "/>
      <w:lvlJc w:val="left"/>
      <w:pPr>
        <w:ind w:left="0" w:firstLine="0"/>
      </w:pPr>
      <w:rPr>
        <w:rFonts w:hint="eastAsia" w:ascii="黑体" w:eastAsia="黑体" w:hAnsiTheme="minorHAnsi"/>
        <w:b w:val="0"/>
        <w:i w:val="0"/>
        <w:sz w:val="21"/>
      </w:rPr>
    </w:lvl>
    <w:lvl w:ilvl="4" w:tentative="0">
      <w:start w:val="1"/>
      <w:numFmt w:val="decimal"/>
      <w:pStyle w:val="218"/>
      <w:suff w:val="nothing"/>
      <w:lvlText w:val="%10.%2.%3.%4.%5 "/>
      <w:lvlJc w:val="left"/>
      <w:pPr>
        <w:ind w:left="0" w:firstLine="0"/>
      </w:pPr>
      <w:rPr>
        <w:rFonts w:hint="eastAsia" w:ascii="黑体" w:eastAsia="黑体" w:hAnsiTheme="minorHAnsi"/>
        <w:b w:val="0"/>
        <w:i w:val="0"/>
        <w:sz w:val="21"/>
      </w:rPr>
    </w:lvl>
    <w:lvl w:ilvl="5" w:tentative="0">
      <w:start w:val="1"/>
      <w:numFmt w:val="decimal"/>
      <w:pStyle w:val="21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8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2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0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2"/>
      <w:lvlText w:val=""/>
      <w:lvlJc w:val="left"/>
      <w:pPr>
        <w:ind w:left="851" w:hanging="431"/>
      </w:pPr>
      <w:rPr>
        <w:rFonts w:hint="default" w:ascii="Symbol" w:hAnsi="Symbol"/>
        <w:sz w:val="21"/>
      </w:rPr>
    </w:lvl>
    <w:lvl w:ilvl="2" w:tentative="0">
      <w:start w:val="1"/>
      <w:numFmt w:val="bullet"/>
      <w:pStyle w:val="18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1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9"/>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3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13"/>
      <w:lvlText w:val="%1"/>
      <w:lvlJc w:val="left"/>
      <w:pPr>
        <w:ind w:left="420" w:hanging="420"/>
      </w:pPr>
      <w:rPr>
        <w:rFonts w:hint="eastAsia"/>
      </w:rPr>
    </w:lvl>
    <w:lvl w:ilvl="1" w:tentative="0">
      <w:start w:val="1"/>
      <w:numFmt w:val="decimal"/>
      <w:pStyle w:val="9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3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14"/>
      <w:suff w:val="space"/>
      <w:lvlText w:val="%1"/>
      <w:lvlJc w:val="left"/>
      <w:pPr>
        <w:ind w:left="425" w:hanging="425"/>
      </w:pPr>
      <w:rPr>
        <w:rFonts w:hint="eastAsia"/>
      </w:rPr>
    </w:lvl>
    <w:lvl w:ilvl="1" w:tentative="0">
      <w:start w:val="1"/>
      <w:numFmt w:val="decimal"/>
      <w:pStyle w:val="9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2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8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20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91"/>
      <w:suff w:val="nothing"/>
      <w:lvlText w:val="附录%1"/>
      <w:lvlJc w:val="left"/>
      <w:pPr>
        <w:ind w:left="0" w:firstLine="0"/>
      </w:pPr>
      <w:rPr>
        <w:rFonts w:hint="eastAsia"/>
        <w:spacing w:val="100"/>
      </w:rPr>
    </w:lvl>
    <w:lvl w:ilvl="1" w:tentative="0">
      <w:start w:val="1"/>
      <w:numFmt w:val="decimal"/>
      <w:pStyle w:val="93"/>
      <w:suff w:val="nothing"/>
      <w:lvlText w:val="%1.%2　"/>
      <w:lvlJc w:val="left"/>
      <w:pPr>
        <w:ind w:left="0" w:firstLine="0"/>
      </w:pPr>
      <w:rPr>
        <w:rFonts w:hint="eastAsia" w:ascii="黑体" w:eastAsia="黑体"/>
        <w:b w:val="0"/>
        <w:i w:val="0"/>
        <w:sz w:val="21"/>
      </w:rPr>
    </w:lvl>
    <w:lvl w:ilvl="2" w:tentative="0">
      <w:start w:val="1"/>
      <w:numFmt w:val="decimal"/>
      <w:pStyle w:val="94"/>
      <w:suff w:val="nothing"/>
      <w:lvlText w:val="%1.%2.%3　"/>
      <w:lvlJc w:val="left"/>
      <w:pPr>
        <w:ind w:left="0" w:firstLine="0"/>
      </w:pPr>
      <w:rPr>
        <w:rFonts w:hint="eastAsia" w:ascii="黑体" w:eastAsia="黑体"/>
        <w:b w:val="0"/>
        <w:i w:val="0"/>
        <w:sz w:val="21"/>
      </w:rPr>
    </w:lvl>
    <w:lvl w:ilvl="3" w:tentative="0">
      <w:start w:val="1"/>
      <w:numFmt w:val="decimal"/>
      <w:pStyle w:val="96"/>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20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1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7"/>
      <w:suff w:val="nothing"/>
      <w:lvlText w:val="%1"/>
      <w:lvlJc w:val="left"/>
      <w:pPr>
        <w:ind w:left="0" w:firstLine="0"/>
      </w:pPr>
      <w:rPr>
        <w:rFonts w:hint="eastAsia"/>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pStyle w:val="1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0"/>
      <w:suff w:val="nothing"/>
      <w:lvlText w:val="%1%2.%3.%4　"/>
      <w:lvlJc w:val="left"/>
      <w:pPr>
        <w:ind w:left="0" w:firstLine="0"/>
      </w:pPr>
      <w:rPr>
        <w:rFonts w:hint="eastAsia" w:ascii="黑体" w:eastAsia="黑体"/>
        <w:b w:val="0"/>
        <w:i w:val="0"/>
        <w:sz w:val="21"/>
      </w:rPr>
    </w:lvl>
    <w:lvl w:ilvl="4" w:tentative="0">
      <w:start w:val="1"/>
      <w:numFmt w:val="decimal"/>
      <w:pStyle w:val="109"/>
      <w:suff w:val="nothing"/>
      <w:lvlText w:val="%1%2.%3.%4.%5　"/>
      <w:lvlJc w:val="left"/>
      <w:pPr>
        <w:ind w:left="0" w:firstLine="0"/>
      </w:pPr>
      <w:rPr>
        <w:rFonts w:hint="eastAsia" w:ascii="黑体" w:eastAsia="黑体"/>
        <w:b w:val="0"/>
        <w:i w:val="0"/>
        <w:sz w:val="21"/>
      </w:rPr>
    </w:lvl>
    <w:lvl w:ilvl="5" w:tentative="0">
      <w:start w:val="1"/>
      <w:numFmt w:val="decimal"/>
      <w:pStyle w:val="113"/>
      <w:suff w:val="nothing"/>
      <w:lvlText w:val="%1%2.%3.%4.%5.%6　"/>
      <w:lvlJc w:val="left"/>
      <w:pPr>
        <w:ind w:left="0" w:firstLine="0"/>
      </w:pPr>
      <w:rPr>
        <w:rFonts w:hint="eastAsia" w:ascii="黑体" w:eastAsia="黑体"/>
        <w:b w:val="0"/>
        <w:i w:val="0"/>
        <w:sz w:val="21"/>
      </w:rPr>
    </w:lvl>
    <w:lvl w:ilvl="6" w:tentative="0">
      <w:start w:val="1"/>
      <w:numFmt w:val="decimal"/>
      <w:pStyle w:val="11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9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3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5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xMzRkZWMwNDM2OGNlYzVjZjA4YmU4OTQ5YTk2NzAifQ=="/>
  </w:docVars>
  <w:rsids>
    <w:rsidRoot w:val="00924A0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FB9"/>
    <w:rsid w:val="000249DB"/>
    <w:rsid w:val="0002595E"/>
    <w:rsid w:val="000273EA"/>
    <w:rsid w:val="000303C3"/>
    <w:rsid w:val="000331D3"/>
    <w:rsid w:val="000334E9"/>
    <w:rsid w:val="000346A5"/>
    <w:rsid w:val="000359C3"/>
    <w:rsid w:val="00035A7D"/>
    <w:rsid w:val="000365ED"/>
    <w:rsid w:val="0004249A"/>
    <w:rsid w:val="00043282"/>
    <w:rsid w:val="00044286"/>
    <w:rsid w:val="00044AC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61D"/>
    <w:rsid w:val="000A7311"/>
    <w:rsid w:val="000B060F"/>
    <w:rsid w:val="000B07DA"/>
    <w:rsid w:val="000B1592"/>
    <w:rsid w:val="000B1FF2"/>
    <w:rsid w:val="000B3CDA"/>
    <w:rsid w:val="000B4F96"/>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7CD"/>
    <w:rsid w:val="000E4C9E"/>
    <w:rsid w:val="000E6FD7"/>
    <w:rsid w:val="000F06E1"/>
    <w:rsid w:val="000F0E3C"/>
    <w:rsid w:val="000F19D5"/>
    <w:rsid w:val="000F4050"/>
    <w:rsid w:val="000F4AEA"/>
    <w:rsid w:val="000F67E9"/>
    <w:rsid w:val="00104926"/>
    <w:rsid w:val="00113B1E"/>
    <w:rsid w:val="0011515F"/>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2FF"/>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29"/>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BF"/>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C8"/>
    <w:rsid w:val="00243540"/>
    <w:rsid w:val="0024497B"/>
    <w:rsid w:val="0024515B"/>
    <w:rsid w:val="00246021"/>
    <w:rsid w:val="0024666E"/>
    <w:rsid w:val="00247F52"/>
    <w:rsid w:val="00250B25"/>
    <w:rsid w:val="00250BBE"/>
    <w:rsid w:val="002515C2"/>
    <w:rsid w:val="0025194F"/>
    <w:rsid w:val="002567E1"/>
    <w:rsid w:val="0026148A"/>
    <w:rsid w:val="00262696"/>
    <w:rsid w:val="00263D25"/>
    <w:rsid w:val="002643C3"/>
    <w:rsid w:val="00264A0C"/>
    <w:rsid w:val="00266EEB"/>
    <w:rsid w:val="00267EF4"/>
    <w:rsid w:val="00270CB8"/>
    <w:rsid w:val="002724CA"/>
    <w:rsid w:val="00272B08"/>
    <w:rsid w:val="00275578"/>
    <w:rsid w:val="00281BB8"/>
    <w:rsid w:val="00281E9E"/>
    <w:rsid w:val="00282405"/>
    <w:rsid w:val="00285170"/>
    <w:rsid w:val="00285361"/>
    <w:rsid w:val="0029026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496"/>
    <w:rsid w:val="002F7AF6"/>
    <w:rsid w:val="00300E63"/>
    <w:rsid w:val="00302F5F"/>
    <w:rsid w:val="0030441D"/>
    <w:rsid w:val="00306063"/>
    <w:rsid w:val="00313B85"/>
    <w:rsid w:val="00317988"/>
    <w:rsid w:val="003220F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0F2"/>
    <w:rsid w:val="003D5819"/>
    <w:rsid w:val="003D6D61"/>
    <w:rsid w:val="003D708D"/>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247"/>
    <w:rsid w:val="00470775"/>
    <w:rsid w:val="004736CC"/>
    <w:rsid w:val="004746B1"/>
    <w:rsid w:val="0047583F"/>
    <w:rsid w:val="00475DE8"/>
    <w:rsid w:val="00481C44"/>
    <w:rsid w:val="00484936"/>
    <w:rsid w:val="00485C89"/>
    <w:rsid w:val="00486BE3"/>
    <w:rsid w:val="00487809"/>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512"/>
    <w:rsid w:val="004C1FBC"/>
    <w:rsid w:val="004C25A2"/>
    <w:rsid w:val="004C3F1D"/>
    <w:rsid w:val="004C458D"/>
    <w:rsid w:val="004C7556"/>
    <w:rsid w:val="004C7E8B"/>
    <w:rsid w:val="004C7E9D"/>
    <w:rsid w:val="004C7F67"/>
    <w:rsid w:val="004D076D"/>
    <w:rsid w:val="004D0EF1"/>
    <w:rsid w:val="004D2253"/>
    <w:rsid w:val="004D4406"/>
    <w:rsid w:val="004D5BB9"/>
    <w:rsid w:val="004D7C42"/>
    <w:rsid w:val="004E0465"/>
    <w:rsid w:val="004E127B"/>
    <w:rsid w:val="004E1C0A"/>
    <w:rsid w:val="004E207E"/>
    <w:rsid w:val="004E30C5"/>
    <w:rsid w:val="004E4AA5"/>
    <w:rsid w:val="004E4AEE"/>
    <w:rsid w:val="004E4BCA"/>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E46"/>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51"/>
    <w:rsid w:val="005644B1"/>
    <w:rsid w:val="0056487B"/>
    <w:rsid w:val="00564FB9"/>
    <w:rsid w:val="005708D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230"/>
    <w:rsid w:val="005B4903"/>
    <w:rsid w:val="005B51CE"/>
    <w:rsid w:val="005B5885"/>
    <w:rsid w:val="005B5CD7"/>
    <w:rsid w:val="005B6CF6"/>
    <w:rsid w:val="005B7422"/>
    <w:rsid w:val="005C0667"/>
    <w:rsid w:val="005C29B8"/>
    <w:rsid w:val="005C5F21"/>
    <w:rsid w:val="005C7156"/>
    <w:rsid w:val="005C77FD"/>
    <w:rsid w:val="005D0C75"/>
    <w:rsid w:val="005D4171"/>
    <w:rsid w:val="005D6A95"/>
    <w:rsid w:val="005D6B2C"/>
    <w:rsid w:val="005D6D9C"/>
    <w:rsid w:val="005E2335"/>
    <w:rsid w:val="005E34CA"/>
    <w:rsid w:val="005E3C18"/>
    <w:rsid w:val="005E4250"/>
    <w:rsid w:val="005E630B"/>
    <w:rsid w:val="005E6812"/>
    <w:rsid w:val="005E7881"/>
    <w:rsid w:val="005E78E0"/>
    <w:rsid w:val="005F0D9C"/>
    <w:rsid w:val="005F284E"/>
    <w:rsid w:val="00600991"/>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704"/>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BEC"/>
    <w:rsid w:val="006A07AA"/>
    <w:rsid w:val="006A25E5"/>
    <w:rsid w:val="006A2B46"/>
    <w:rsid w:val="006A336D"/>
    <w:rsid w:val="006A37B9"/>
    <w:rsid w:val="006A5E41"/>
    <w:rsid w:val="006B158C"/>
    <w:rsid w:val="006B2672"/>
    <w:rsid w:val="006B54BF"/>
    <w:rsid w:val="006B5F44"/>
    <w:rsid w:val="006B5F90"/>
    <w:rsid w:val="006B62E4"/>
    <w:rsid w:val="006C18E4"/>
    <w:rsid w:val="006C1BBA"/>
    <w:rsid w:val="006C2079"/>
    <w:rsid w:val="006C5A62"/>
    <w:rsid w:val="006C5D68"/>
    <w:rsid w:val="006C6976"/>
    <w:rsid w:val="006C6DD0"/>
    <w:rsid w:val="006D04EA"/>
    <w:rsid w:val="006D16C4"/>
    <w:rsid w:val="006D3E96"/>
    <w:rsid w:val="006D4515"/>
    <w:rsid w:val="006D4BB1"/>
    <w:rsid w:val="006D6593"/>
    <w:rsid w:val="006E51B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0A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776"/>
    <w:rsid w:val="00765C43"/>
    <w:rsid w:val="00765EFB"/>
    <w:rsid w:val="007671CA"/>
    <w:rsid w:val="00767C61"/>
    <w:rsid w:val="0077008A"/>
    <w:rsid w:val="00772C2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7BA"/>
    <w:rsid w:val="007B5A3D"/>
    <w:rsid w:val="007B5B95"/>
    <w:rsid w:val="007B6032"/>
    <w:rsid w:val="007B68EA"/>
    <w:rsid w:val="007B7453"/>
    <w:rsid w:val="007C2D89"/>
    <w:rsid w:val="007C4593"/>
    <w:rsid w:val="007C5309"/>
    <w:rsid w:val="007C6069"/>
    <w:rsid w:val="007C6588"/>
    <w:rsid w:val="007D06C4"/>
    <w:rsid w:val="007D1352"/>
    <w:rsid w:val="007D2508"/>
    <w:rsid w:val="007D346A"/>
    <w:rsid w:val="007D4EF5"/>
    <w:rsid w:val="007D6518"/>
    <w:rsid w:val="007D76BD"/>
    <w:rsid w:val="007E0BF1"/>
    <w:rsid w:val="007F089F"/>
    <w:rsid w:val="007F0ED8"/>
    <w:rsid w:val="007F0F63"/>
    <w:rsid w:val="007F75CE"/>
    <w:rsid w:val="007F7C23"/>
    <w:rsid w:val="008013A4"/>
    <w:rsid w:val="008027CE"/>
    <w:rsid w:val="00802F42"/>
    <w:rsid w:val="00804383"/>
    <w:rsid w:val="00804BB7"/>
    <w:rsid w:val="00804D41"/>
    <w:rsid w:val="00810257"/>
    <w:rsid w:val="008104F5"/>
    <w:rsid w:val="00811072"/>
    <w:rsid w:val="0081118A"/>
    <w:rsid w:val="00811369"/>
    <w:rsid w:val="00815419"/>
    <w:rsid w:val="008163C8"/>
    <w:rsid w:val="008164A1"/>
    <w:rsid w:val="00817325"/>
    <w:rsid w:val="0082036F"/>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6B1"/>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06"/>
    <w:rsid w:val="008E1B3E"/>
    <w:rsid w:val="008E2319"/>
    <w:rsid w:val="008E4BB6"/>
    <w:rsid w:val="008E5518"/>
    <w:rsid w:val="008E6A84"/>
    <w:rsid w:val="008E6C42"/>
    <w:rsid w:val="008F0CDC"/>
    <w:rsid w:val="008F17A3"/>
    <w:rsid w:val="008F1963"/>
    <w:rsid w:val="008F1ED3"/>
    <w:rsid w:val="008F2657"/>
    <w:rsid w:val="008F4C29"/>
    <w:rsid w:val="008F70BD"/>
    <w:rsid w:val="008F788F"/>
    <w:rsid w:val="008F7EA2"/>
    <w:rsid w:val="00902722"/>
    <w:rsid w:val="009027BC"/>
    <w:rsid w:val="00902AA2"/>
    <w:rsid w:val="009062E6"/>
    <w:rsid w:val="00911BE5"/>
    <w:rsid w:val="00913CA9"/>
    <w:rsid w:val="009145AE"/>
    <w:rsid w:val="009146CE"/>
    <w:rsid w:val="00914CA7"/>
    <w:rsid w:val="00915C3E"/>
    <w:rsid w:val="009161A8"/>
    <w:rsid w:val="009245AE"/>
    <w:rsid w:val="009245F5"/>
    <w:rsid w:val="009249EC"/>
    <w:rsid w:val="00924A0D"/>
    <w:rsid w:val="009273B3"/>
    <w:rsid w:val="009305B5"/>
    <w:rsid w:val="009308AA"/>
    <w:rsid w:val="00932CF9"/>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235"/>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84F"/>
    <w:rsid w:val="009C27F1"/>
    <w:rsid w:val="009C3152"/>
    <w:rsid w:val="009C3257"/>
    <w:rsid w:val="009C4CFA"/>
    <w:rsid w:val="009C5070"/>
    <w:rsid w:val="009D099D"/>
    <w:rsid w:val="009D112C"/>
    <w:rsid w:val="009D1385"/>
    <w:rsid w:val="009D47FA"/>
    <w:rsid w:val="009D4C5B"/>
    <w:rsid w:val="009D50D2"/>
    <w:rsid w:val="009D6BCA"/>
    <w:rsid w:val="009D7975"/>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950"/>
    <w:rsid w:val="00A41C79"/>
    <w:rsid w:val="00A41CB5"/>
    <w:rsid w:val="00A42CDF"/>
    <w:rsid w:val="00A4452E"/>
    <w:rsid w:val="00A4472C"/>
    <w:rsid w:val="00A44E69"/>
    <w:rsid w:val="00A4661E"/>
    <w:rsid w:val="00A4772D"/>
    <w:rsid w:val="00A55BD6"/>
    <w:rsid w:val="00A55D50"/>
    <w:rsid w:val="00A57142"/>
    <w:rsid w:val="00A648CD"/>
    <w:rsid w:val="00A6537A"/>
    <w:rsid w:val="00A67866"/>
    <w:rsid w:val="00A70B07"/>
    <w:rsid w:val="00A723F8"/>
    <w:rsid w:val="00A72E35"/>
    <w:rsid w:val="00A75D33"/>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C37"/>
    <w:rsid w:val="00AA57F5"/>
    <w:rsid w:val="00AA672E"/>
    <w:rsid w:val="00AA6EC9"/>
    <w:rsid w:val="00AB6309"/>
    <w:rsid w:val="00AB6C5F"/>
    <w:rsid w:val="00AB7129"/>
    <w:rsid w:val="00AC27A6"/>
    <w:rsid w:val="00AC2F40"/>
    <w:rsid w:val="00AC30F7"/>
    <w:rsid w:val="00AC3A5A"/>
    <w:rsid w:val="00AC4D95"/>
    <w:rsid w:val="00AC5718"/>
    <w:rsid w:val="00AC5DF4"/>
    <w:rsid w:val="00AD0AEF"/>
    <w:rsid w:val="00AD11B7"/>
    <w:rsid w:val="00AD1A94"/>
    <w:rsid w:val="00AD1C05"/>
    <w:rsid w:val="00AD4126"/>
    <w:rsid w:val="00AD421C"/>
    <w:rsid w:val="00AD44FA"/>
    <w:rsid w:val="00AD608D"/>
    <w:rsid w:val="00AE070A"/>
    <w:rsid w:val="00AE101C"/>
    <w:rsid w:val="00AE2A69"/>
    <w:rsid w:val="00AE37E5"/>
    <w:rsid w:val="00AE5EB4"/>
    <w:rsid w:val="00AF0C18"/>
    <w:rsid w:val="00AF47C5"/>
    <w:rsid w:val="00AF5398"/>
    <w:rsid w:val="00B049AF"/>
    <w:rsid w:val="00B05B5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59C"/>
    <w:rsid w:val="00B34DC2"/>
    <w:rsid w:val="00B378E5"/>
    <w:rsid w:val="00B4346D"/>
    <w:rsid w:val="00B440F4"/>
    <w:rsid w:val="00B447A5"/>
    <w:rsid w:val="00B45207"/>
    <w:rsid w:val="00B4654C"/>
    <w:rsid w:val="00B47293"/>
    <w:rsid w:val="00B50E50"/>
    <w:rsid w:val="00B52120"/>
    <w:rsid w:val="00B54ABC"/>
    <w:rsid w:val="00B56FBE"/>
    <w:rsid w:val="00B57773"/>
    <w:rsid w:val="00B60ACF"/>
    <w:rsid w:val="00B62B58"/>
    <w:rsid w:val="00B65149"/>
    <w:rsid w:val="00B66567"/>
    <w:rsid w:val="00B66F52"/>
    <w:rsid w:val="00B66FE5"/>
    <w:rsid w:val="00B72880"/>
    <w:rsid w:val="00B758BF"/>
    <w:rsid w:val="00B77EC8"/>
    <w:rsid w:val="00B827A6"/>
    <w:rsid w:val="00B831CE"/>
    <w:rsid w:val="00B86677"/>
    <w:rsid w:val="00B86AF8"/>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0BC"/>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AC"/>
    <w:rsid w:val="00C643F9"/>
    <w:rsid w:val="00C64E95"/>
    <w:rsid w:val="00C70E2C"/>
    <w:rsid w:val="00C71372"/>
    <w:rsid w:val="00C72410"/>
    <w:rsid w:val="00C7287F"/>
    <w:rsid w:val="00C7409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B7C"/>
    <w:rsid w:val="00CE30EA"/>
    <w:rsid w:val="00CF048A"/>
    <w:rsid w:val="00CF155A"/>
    <w:rsid w:val="00CF2947"/>
    <w:rsid w:val="00CF686F"/>
    <w:rsid w:val="00CF6E60"/>
    <w:rsid w:val="00CF7BCA"/>
    <w:rsid w:val="00CF7F06"/>
    <w:rsid w:val="00D008FD"/>
    <w:rsid w:val="00D0321C"/>
    <w:rsid w:val="00D035EC"/>
    <w:rsid w:val="00D06AB1"/>
    <w:rsid w:val="00D06FC1"/>
    <w:rsid w:val="00D072ED"/>
    <w:rsid w:val="00D07A16"/>
    <w:rsid w:val="00D1067E"/>
    <w:rsid w:val="00D10F50"/>
    <w:rsid w:val="00D11272"/>
    <w:rsid w:val="00D126F5"/>
    <w:rsid w:val="00D1489E"/>
    <w:rsid w:val="00D20737"/>
    <w:rsid w:val="00D20ABD"/>
    <w:rsid w:val="00D21E81"/>
    <w:rsid w:val="00D223DE"/>
    <w:rsid w:val="00D25E37"/>
    <w:rsid w:val="00D2661A"/>
    <w:rsid w:val="00D27582"/>
    <w:rsid w:val="00D27EC4"/>
    <w:rsid w:val="00D305C0"/>
    <w:rsid w:val="00D32719"/>
    <w:rsid w:val="00D33333"/>
    <w:rsid w:val="00D352A2"/>
    <w:rsid w:val="00D4162B"/>
    <w:rsid w:val="00D4514F"/>
    <w:rsid w:val="00D451E2"/>
    <w:rsid w:val="00D45E89"/>
    <w:rsid w:val="00D45E8D"/>
    <w:rsid w:val="00D466AE"/>
    <w:rsid w:val="00D4734F"/>
    <w:rsid w:val="00D51BF3"/>
    <w:rsid w:val="00D66846"/>
    <w:rsid w:val="00D675FB"/>
    <w:rsid w:val="00D70B80"/>
    <w:rsid w:val="00D71F25"/>
    <w:rsid w:val="00D72A9C"/>
    <w:rsid w:val="00D77031"/>
    <w:rsid w:val="00D77CFD"/>
    <w:rsid w:val="00D84941"/>
    <w:rsid w:val="00D84FA1"/>
    <w:rsid w:val="00D851F0"/>
    <w:rsid w:val="00D86DB7"/>
    <w:rsid w:val="00D874B1"/>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6C0"/>
    <w:rsid w:val="00DB66CA"/>
    <w:rsid w:val="00DB6BCA"/>
    <w:rsid w:val="00DB6F54"/>
    <w:rsid w:val="00DB73F7"/>
    <w:rsid w:val="00DC0321"/>
    <w:rsid w:val="00DC3067"/>
    <w:rsid w:val="00DC370B"/>
    <w:rsid w:val="00DC5B90"/>
    <w:rsid w:val="00DC6FBB"/>
    <w:rsid w:val="00DD00FF"/>
    <w:rsid w:val="00DD0619"/>
    <w:rsid w:val="00DD07FB"/>
    <w:rsid w:val="00DD25C6"/>
    <w:rsid w:val="00DD4FE5"/>
    <w:rsid w:val="00DD54B0"/>
    <w:rsid w:val="00DD57EE"/>
    <w:rsid w:val="00DD6BCC"/>
    <w:rsid w:val="00DE0A4B"/>
    <w:rsid w:val="00DE1BFE"/>
    <w:rsid w:val="00DE2410"/>
    <w:rsid w:val="00DE2939"/>
    <w:rsid w:val="00DE6E81"/>
    <w:rsid w:val="00DE703F"/>
    <w:rsid w:val="00DE7595"/>
    <w:rsid w:val="00DF1961"/>
    <w:rsid w:val="00DF1CBF"/>
    <w:rsid w:val="00DF44DE"/>
    <w:rsid w:val="00E01138"/>
    <w:rsid w:val="00E02DFB"/>
    <w:rsid w:val="00E030F9"/>
    <w:rsid w:val="00E0311A"/>
    <w:rsid w:val="00E03138"/>
    <w:rsid w:val="00E06404"/>
    <w:rsid w:val="00E11A85"/>
    <w:rsid w:val="00E12495"/>
    <w:rsid w:val="00E15CCD"/>
    <w:rsid w:val="00E202EF"/>
    <w:rsid w:val="00E210B5"/>
    <w:rsid w:val="00E22D2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5E60"/>
    <w:rsid w:val="00E90391"/>
    <w:rsid w:val="00E906C2"/>
    <w:rsid w:val="00E9311F"/>
    <w:rsid w:val="00E934D1"/>
    <w:rsid w:val="00E94AF0"/>
    <w:rsid w:val="00E95D13"/>
    <w:rsid w:val="00E95D55"/>
    <w:rsid w:val="00E95DD3"/>
    <w:rsid w:val="00E969D5"/>
    <w:rsid w:val="00EA58D1"/>
    <w:rsid w:val="00EA61BC"/>
    <w:rsid w:val="00EA681A"/>
    <w:rsid w:val="00EA735B"/>
    <w:rsid w:val="00EB1E69"/>
    <w:rsid w:val="00EB2086"/>
    <w:rsid w:val="00EB31ED"/>
    <w:rsid w:val="00EB5EDF"/>
    <w:rsid w:val="00EB60FE"/>
    <w:rsid w:val="00EB74DB"/>
    <w:rsid w:val="00EC2FAA"/>
    <w:rsid w:val="00EC5359"/>
    <w:rsid w:val="00EC562A"/>
    <w:rsid w:val="00ED067A"/>
    <w:rsid w:val="00ED2B50"/>
    <w:rsid w:val="00ED4154"/>
    <w:rsid w:val="00EE0350"/>
    <w:rsid w:val="00EE0719"/>
    <w:rsid w:val="00EE0E80"/>
    <w:rsid w:val="00EE5824"/>
    <w:rsid w:val="00EE5A3C"/>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00"/>
    <w:rsid w:val="00F26B7E"/>
    <w:rsid w:val="00F27A3B"/>
    <w:rsid w:val="00F33817"/>
    <w:rsid w:val="00F420D5"/>
    <w:rsid w:val="00F4491E"/>
    <w:rsid w:val="00F451EA"/>
    <w:rsid w:val="00F45447"/>
    <w:rsid w:val="00F456C6"/>
    <w:rsid w:val="00F4577B"/>
    <w:rsid w:val="00F46496"/>
    <w:rsid w:val="00F474D0"/>
    <w:rsid w:val="00F50179"/>
    <w:rsid w:val="00F515EE"/>
    <w:rsid w:val="00F56511"/>
    <w:rsid w:val="00F6194E"/>
    <w:rsid w:val="00F623AC"/>
    <w:rsid w:val="00F6412A"/>
    <w:rsid w:val="00F655F4"/>
    <w:rsid w:val="00F65893"/>
    <w:rsid w:val="00F66A4A"/>
    <w:rsid w:val="00F71E22"/>
    <w:rsid w:val="00F72142"/>
    <w:rsid w:val="00F72AE7"/>
    <w:rsid w:val="00F80E7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659"/>
    <w:rsid w:val="00FB7054"/>
    <w:rsid w:val="00FC0728"/>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B7D"/>
    <w:rsid w:val="00FF3E7D"/>
    <w:rsid w:val="00FF5B99"/>
    <w:rsid w:val="00FF730C"/>
    <w:rsid w:val="00FF73F4"/>
    <w:rsid w:val="00FF7CE4"/>
    <w:rsid w:val="00FF7E39"/>
    <w:rsid w:val="01B91D0C"/>
    <w:rsid w:val="031552A3"/>
    <w:rsid w:val="034818CA"/>
    <w:rsid w:val="037B7BAD"/>
    <w:rsid w:val="04762137"/>
    <w:rsid w:val="055C18CB"/>
    <w:rsid w:val="05FD1271"/>
    <w:rsid w:val="06074B24"/>
    <w:rsid w:val="085B3B1D"/>
    <w:rsid w:val="09130156"/>
    <w:rsid w:val="0A666947"/>
    <w:rsid w:val="0A8D08C3"/>
    <w:rsid w:val="0BFA003F"/>
    <w:rsid w:val="0E4B07AE"/>
    <w:rsid w:val="0EB77DB5"/>
    <w:rsid w:val="0EEF3211"/>
    <w:rsid w:val="14875226"/>
    <w:rsid w:val="158E1C47"/>
    <w:rsid w:val="16361539"/>
    <w:rsid w:val="163E6CAE"/>
    <w:rsid w:val="195E7F0D"/>
    <w:rsid w:val="1A02586B"/>
    <w:rsid w:val="1AF423FA"/>
    <w:rsid w:val="1B612DA1"/>
    <w:rsid w:val="1B9852AF"/>
    <w:rsid w:val="1DB26C50"/>
    <w:rsid w:val="1E116CA0"/>
    <w:rsid w:val="20AC7E9E"/>
    <w:rsid w:val="22C93B63"/>
    <w:rsid w:val="245C67FB"/>
    <w:rsid w:val="24605C6E"/>
    <w:rsid w:val="25441769"/>
    <w:rsid w:val="25691EFE"/>
    <w:rsid w:val="267B5F8E"/>
    <w:rsid w:val="295757E3"/>
    <w:rsid w:val="2AAA0369"/>
    <w:rsid w:val="2D944DA0"/>
    <w:rsid w:val="30A15A78"/>
    <w:rsid w:val="318533A3"/>
    <w:rsid w:val="32911D66"/>
    <w:rsid w:val="32BD1B65"/>
    <w:rsid w:val="38433B03"/>
    <w:rsid w:val="39D96DB9"/>
    <w:rsid w:val="3BF85ABC"/>
    <w:rsid w:val="3D9A0E8C"/>
    <w:rsid w:val="42D812EB"/>
    <w:rsid w:val="460C47E4"/>
    <w:rsid w:val="48070DE3"/>
    <w:rsid w:val="4A245AD1"/>
    <w:rsid w:val="4BE7226F"/>
    <w:rsid w:val="4C723ABA"/>
    <w:rsid w:val="4C956D80"/>
    <w:rsid w:val="4D724A1E"/>
    <w:rsid w:val="4E296367"/>
    <w:rsid w:val="576B119C"/>
    <w:rsid w:val="582B2CCE"/>
    <w:rsid w:val="5B707DD9"/>
    <w:rsid w:val="5B9F0D8F"/>
    <w:rsid w:val="5E652175"/>
    <w:rsid w:val="5EC56770"/>
    <w:rsid w:val="5F281EB1"/>
    <w:rsid w:val="5F863EBA"/>
    <w:rsid w:val="60DA29A7"/>
    <w:rsid w:val="62AD7C47"/>
    <w:rsid w:val="638B1822"/>
    <w:rsid w:val="67E87498"/>
    <w:rsid w:val="6B7B74A0"/>
    <w:rsid w:val="6CEF09BB"/>
    <w:rsid w:val="6D64376B"/>
    <w:rsid w:val="6F2729BB"/>
    <w:rsid w:val="73F74DAB"/>
    <w:rsid w:val="76E572DB"/>
    <w:rsid w:val="7ABB5DEB"/>
    <w:rsid w:val="7AE5407D"/>
    <w:rsid w:val="7B0C1557"/>
    <w:rsid w:val="7EF257C6"/>
    <w:rsid w:val="7F185A58"/>
    <w:rsid w:val="7FBD3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7"/>
    <w:qFormat/>
    <w:uiPriority w:val="0"/>
    <w:pPr>
      <w:keepNext/>
      <w:keepLines/>
      <w:adjustRightInd/>
      <w:spacing w:before="240" w:after="64" w:line="320" w:lineRule="auto"/>
      <w:outlineLvl w:val="8"/>
    </w:pPr>
    <w:rPr>
      <w:rFonts w:ascii="Arial" w:hAnsi="Arial" w:eastAsia="黑体"/>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tabs>
        <w:tab w:val="right" w:leader="dot" w:pos="9344"/>
      </w:tabs>
      <w:spacing w:line="300" w:lineRule="exact"/>
      <w:ind w:left="1259"/>
    </w:pPr>
    <w:rPr>
      <w:rFonts w:ascii="宋体"/>
    </w:rPr>
  </w:style>
  <w:style w:type="paragraph" w:styleId="12">
    <w:name w:val="index 8"/>
    <w:basedOn w:val="1"/>
    <w:next w:val="1"/>
    <w:qFormat/>
    <w:uiPriority w:val="0"/>
    <w:pPr>
      <w:adjustRightInd/>
      <w:spacing w:line="240" w:lineRule="auto"/>
      <w:ind w:left="1680" w:hanging="210"/>
      <w:jc w:val="left"/>
    </w:pPr>
    <w:rPr>
      <w:sz w:val="20"/>
      <w:szCs w:val="20"/>
    </w:rPr>
  </w:style>
  <w:style w:type="paragraph" w:styleId="13">
    <w:name w:val="Normal Indent"/>
    <w:basedOn w:val="1"/>
    <w:qFormat/>
    <w:uiPriority w:val="0"/>
    <w:pPr>
      <w:ind w:firstLine="420"/>
    </w:pPr>
  </w:style>
  <w:style w:type="paragraph" w:styleId="14">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5">
    <w:name w:val="index 5"/>
    <w:basedOn w:val="1"/>
    <w:next w:val="1"/>
    <w:qFormat/>
    <w:uiPriority w:val="0"/>
    <w:pPr>
      <w:adjustRightInd/>
      <w:spacing w:line="240" w:lineRule="auto"/>
      <w:ind w:left="1050" w:hanging="210"/>
      <w:jc w:val="left"/>
    </w:pPr>
    <w:rPr>
      <w:sz w:val="20"/>
      <w:szCs w:val="20"/>
    </w:rPr>
  </w:style>
  <w:style w:type="paragraph" w:styleId="16">
    <w:name w:val="Document Map"/>
    <w:basedOn w:val="1"/>
    <w:link w:val="245"/>
    <w:semiHidden/>
    <w:unhideWhenUsed/>
    <w:qFormat/>
    <w:uiPriority w:val="0"/>
    <w:rPr>
      <w:rFonts w:ascii="宋体"/>
      <w:sz w:val="18"/>
      <w:szCs w:val="18"/>
    </w:rPr>
  </w:style>
  <w:style w:type="paragraph" w:styleId="17">
    <w:name w:val="index 6"/>
    <w:basedOn w:val="1"/>
    <w:next w:val="1"/>
    <w:qFormat/>
    <w:uiPriority w:val="0"/>
    <w:pPr>
      <w:adjustRightInd/>
      <w:spacing w:line="240" w:lineRule="auto"/>
      <w:ind w:left="1260" w:hanging="210"/>
      <w:jc w:val="left"/>
    </w:pPr>
    <w:rPr>
      <w:sz w:val="20"/>
      <w:szCs w:val="20"/>
    </w:rPr>
  </w:style>
  <w:style w:type="paragraph" w:styleId="18">
    <w:name w:val="Body Text"/>
    <w:basedOn w:val="1"/>
    <w:link w:val="101"/>
    <w:qFormat/>
    <w:uiPriority w:val="0"/>
    <w:pPr>
      <w:spacing w:after="120"/>
    </w:pPr>
  </w:style>
  <w:style w:type="paragraph" w:styleId="19">
    <w:name w:val="index 4"/>
    <w:basedOn w:val="1"/>
    <w:next w:val="1"/>
    <w:qFormat/>
    <w:uiPriority w:val="0"/>
    <w:pPr>
      <w:adjustRightInd/>
      <w:spacing w:line="240" w:lineRule="auto"/>
      <w:ind w:left="840" w:hanging="210"/>
      <w:jc w:val="left"/>
    </w:pPr>
    <w:rPr>
      <w:sz w:val="20"/>
      <w:szCs w:val="20"/>
    </w:rPr>
  </w:style>
  <w:style w:type="paragraph" w:styleId="20">
    <w:name w:val="toc 5"/>
    <w:basedOn w:val="1"/>
    <w:next w:val="1"/>
    <w:unhideWhenUsed/>
    <w:qFormat/>
    <w:uiPriority w:val="0"/>
    <w:pPr>
      <w:ind w:left="839"/>
    </w:pPr>
    <w:rPr>
      <w:rFonts w:ascii="宋体"/>
    </w:rPr>
  </w:style>
  <w:style w:type="paragraph" w:styleId="21">
    <w:name w:val="toc 3"/>
    <w:basedOn w:val="1"/>
    <w:next w:val="1"/>
    <w:unhideWhenUsed/>
    <w:qFormat/>
    <w:uiPriority w:val="39"/>
    <w:pPr>
      <w:spacing w:line="300" w:lineRule="exact"/>
      <w:ind w:left="420"/>
    </w:pPr>
    <w:rPr>
      <w:rFonts w:ascii="宋体"/>
    </w:rPr>
  </w:style>
  <w:style w:type="paragraph" w:styleId="22">
    <w:name w:val="index 3"/>
    <w:basedOn w:val="1"/>
    <w:next w:val="1"/>
    <w:qFormat/>
    <w:uiPriority w:val="0"/>
    <w:pPr>
      <w:adjustRightInd/>
      <w:spacing w:line="240" w:lineRule="auto"/>
      <w:ind w:left="630" w:hanging="210"/>
      <w:jc w:val="left"/>
    </w:pPr>
    <w:rPr>
      <w:sz w:val="20"/>
      <w:szCs w:val="20"/>
    </w:rPr>
  </w:style>
  <w:style w:type="paragraph" w:styleId="23">
    <w:name w:val="endnote text"/>
    <w:basedOn w:val="1"/>
    <w:link w:val="271"/>
    <w:semiHidden/>
    <w:qFormat/>
    <w:uiPriority w:val="0"/>
    <w:pPr>
      <w:adjustRightInd/>
      <w:snapToGrid w:val="0"/>
      <w:spacing w:line="240" w:lineRule="auto"/>
      <w:jc w:val="left"/>
    </w:pPr>
    <w:rPr>
      <w:rFonts w:ascii="Times New Roman" w:hAnsi="Times New Roman"/>
      <w:szCs w:val="24"/>
    </w:rPr>
  </w:style>
  <w:style w:type="paragraph" w:styleId="24">
    <w:name w:val="Balloon Text"/>
    <w:basedOn w:val="1"/>
    <w:link w:val="60"/>
    <w:unhideWhenUsed/>
    <w:qFormat/>
    <w:uiPriority w:val="99"/>
    <w:rPr>
      <w:sz w:val="18"/>
      <w:szCs w:val="18"/>
    </w:rPr>
  </w:style>
  <w:style w:type="paragraph" w:styleId="25">
    <w:name w:val="footer"/>
    <w:basedOn w:val="1"/>
    <w:link w:val="59"/>
    <w:qFormat/>
    <w:uiPriority w:val="99"/>
    <w:pPr>
      <w:tabs>
        <w:tab w:val="center" w:pos="4153"/>
        <w:tab w:val="right" w:pos="8306"/>
      </w:tabs>
      <w:adjustRightInd/>
      <w:snapToGrid w:val="0"/>
      <w:spacing w:line="240" w:lineRule="auto"/>
      <w:jc w:val="right"/>
    </w:pPr>
    <w:rPr>
      <w:rFonts w:ascii="宋体"/>
      <w:sz w:val="18"/>
      <w:szCs w:val="18"/>
    </w:rPr>
  </w:style>
  <w:style w:type="paragraph" w:styleId="26">
    <w:name w:val="header"/>
    <w:basedOn w:val="1"/>
    <w:link w:val="58"/>
    <w:qFormat/>
    <w:uiPriority w:val="99"/>
    <w:pPr>
      <w:tabs>
        <w:tab w:val="center" w:pos="4153"/>
        <w:tab w:val="right" w:pos="8306"/>
      </w:tabs>
      <w:adjustRightInd/>
      <w:snapToGrid w:val="0"/>
      <w:jc w:val="center"/>
    </w:pPr>
    <w:rPr>
      <w:sz w:val="18"/>
      <w:szCs w:val="18"/>
    </w:rPr>
  </w:style>
  <w:style w:type="paragraph" w:styleId="27">
    <w:name w:val="toc 1"/>
    <w:basedOn w:val="1"/>
    <w:next w:val="1"/>
    <w:unhideWhenUsed/>
    <w:qFormat/>
    <w:uiPriority w:val="39"/>
    <w:rPr>
      <w:rFonts w:ascii="宋体"/>
    </w:rPr>
  </w:style>
  <w:style w:type="paragraph" w:styleId="28">
    <w:name w:val="toc 4"/>
    <w:basedOn w:val="1"/>
    <w:next w:val="1"/>
    <w:unhideWhenUsed/>
    <w:qFormat/>
    <w:uiPriority w:val="0"/>
    <w:pPr>
      <w:tabs>
        <w:tab w:val="right" w:leader="dot" w:pos="9344"/>
      </w:tabs>
      <w:spacing w:line="300" w:lineRule="exact"/>
      <w:ind w:left="629"/>
    </w:pPr>
    <w:rPr>
      <w:rFonts w:ascii="宋体"/>
    </w:rPr>
  </w:style>
  <w:style w:type="paragraph" w:styleId="29">
    <w:name w:val="index heading"/>
    <w:basedOn w:val="1"/>
    <w:next w:val="30"/>
    <w:qFormat/>
    <w:uiPriority w:val="0"/>
    <w:pPr>
      <w:adjustRightInd/>
      <w:spacing w:before="120" w:after="120" w:line="240" w:lineRule="auto"/>
      <w:jc w:val="center"/>
    </w:pPr>
    <w:rPr>
      <w:b/>
      <w:bCs/>
      <w:iCs/>
      <w:szCs w:val="20"/>
    </w:rPr>
  </w:style>
  <w:style w:type="paragraph" w:styleId="30">
    <w:name w:val="index 1"/>
    <w:basedOn w:val="1"/>
    <w:next w:val="31"/>
    <w:qFormat/>
    <w:uiPriority w:val="0"/>
    <w:pPr>
      <w:tabs>
        <w:tab w:val="right" w:leader="dot" w:pos="9299"/>
      </w:tabs>
      <w:adjustRightInd/>
      <w:spacing w:line="240" w:lineRule="auto"/>
      <w:jc w:val="left"/>
    </w:pPr>
    <w:rPr>
      <w:rFonts w:ascii="宋体" w:hAnsi="Times New Roman"/>
    </w:rPr>
  </w:style>
  <w:style w:type="paragraph" w:customStyle="1" w:styleId="31">
    <w:name w:val="段"/>
    <w:link w:val="25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32">
    <w:name w:val="footnote text"/>
    <w:basedOn w:val="1"/>
    <w:next w:val="1"/>
    <w:link w:val="114"/>
    <w:qFormat/>
    <w:uiPriority w:val="0"/>
    <w:pPr>
      <w:adjustRightInd/>
      <w:snapToGrid w:val="0"/>
      <w:spacing w:line="300" w:lineRule="exact"/>
      <w:ind w:left="400" w:leftChars="200" w:hanging="200" w:hangingChars="200"/>
      <w:jc w:val="left"/>
    </w:pPr>
    <w:rPr>
      <w:rFonts w:ascii="宋体"/>
      <w:sz w:val="18"/>
      <w:szCs w:val="18"/>
    </w:rPr>
  </w:style>
  <w:style w:type="paragraph" w:styleId="33">
    <w:name w:val="toc 6"/>
    <w:basedOn w:val="1"/>
    <w:next w:val="1"/>
    <w:unhideWhenUsed/>
    <w:qFormat/>
    <w:uiPriority w:val="0"/>
    <w:pPr>
      <w:spacing w:line="300" w:lineRule="exact"/>
      <w:ind w:left="1049"/>
    </w:pPr>
    <w:rPr>
      <w:rFonts w:ascii="宋体"/>
    </w:rPr>
  </w:style>
  <w:style w:type="paragraph" w:styleId="34">
    <w:name w:val="index 7"/>
    <w:basedOn w:val="1"/>
    <w:next w:val="1"/>
    <w:qFormat/>
    <w:uiPriority w:val="0"/>
    <w:pPr>
      <w:adjustRightInd/>
      <w:spacing w:line="240" w:lineRule="auto"/>
      <w:ind w:left="1470" w:hanging="210"/>
      <w:jc w:val="left"/>
    </w:pPr>
    <w:rPr>
      <w:sz w:val="20"/>
      <w:szCs w:val="20"/>
    </w:rPr>
  </w:style>
  <w:style w:type="paragraph" w:styleId="35">
    <w:name w:val="index 9"/>
    <w:basedOn w:val="1"/>
    <w:next w:val="1"/>
    <w:qFormat/>
    <w:uiPriority w:val="0"/>
    <w:pPr>
      <w:adjustRightInd/>
      <w:spacing w:line="240" w:lineRule="auto"/>
      <w:ind w:left="1890" w:hanging="210"/>
      <w:jc w:val="left"/>
    </w:pPr>
    <w:rPr>
      <w:sz w:val="20"/>
      <w:szCs w:val="20"/>
    </w:rPr>
  </w:style>
  <w:style w:type="paragraph" w:styleId="36">
    <w:name w:val="table of figures"/>
    <w:basedOn w:val="1"/>
    <w:next w:val="1"/>
    <w:semiHidden/>
    <w:qFormat/>
    <w:uiPriority w:val="0"/>
    <w:pPr>
      <w:adjustRightInd/>
      <w:spacing w:line="240" w:lineRule="auto"/>
      <w:jc w:val="left"/>
    </w:pPr>
    <w:rPr>
      <w:szCs w:val="24"/>
    </w:rPr>
  </w:style>
  <w:style w:type="paragraph" w:styleId="37">
    <w:name w:val="toc 2"/>
    <w:basedOn w:val="1"/>
    <w:next w:val="1"/>
    <w:unhideWhenUsed/>
    <w:qFormat/>
    <w:uiPriority w:val="39"/>
    <w:pPr>
      <w:tabs>
        <w:tab w:val="right" w:leader="dot" w:pos="9344"/>
      </w:tabs>
      <w:spacing w:line="300" w:lineRule="exact"/>
      <w:ind w:left="210"/>
    </w:pPr>
    <w:rPr>
      <w:rFonts w:ascii="宋体"/>
    </w:rPr>
  </w:style>
  <w:style w:type="paragraph" w:styleId="38">
    <w:name w:val="index 2"/>
    <w:basedOn w:val="1"/>
    <w:next w:val="1"/>
    <w:qFormat/>
    <w:uiPriority w:val="0"/>
    <w:pPr>
      <w:adjustRightInd/>
      <w:spacing w:line="240" w:lineRule="auto"/>
      <w:ind w:left="420" w:hanging="210"/>
      <w:jc w:val="left"/>
    </w:pPr>
    <w:rPr>
      <w:sz w:val="20"/>
      <w:szCs w:val="20"/>
    </w:rPr>
  </w:style>
  <w:style w:type="paragraph" w:styleId="39">
    <w:name w:val="Title"/>
    <w:basedOn w:val="1"/>
    <w:link w:val="63"/>
    <w:qFormat/>
    <w:uiPriority w:val="0"/>
    <w:pPr>
      <w:spacing w:before="240" w:after="60"/>
      <w:jc w:val="center"/>
      <w:outlineLvl w:val="0"/>
    </w:pPr>
    <w:rPr>
      <w:rFonts w:ascii="Arial" w:hAnsi="Arial" w:cs="Arial"/>
      <w:b/>
      <w:bCs/>
      <w:sz w:val="32"/>
      <w:szCs w:val="32"/>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宋体"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i/>
      <w:iCs/>
    </w:rPr>
  </w:style>
  <w:style w:type="character" w:styleId="47">
    <w:name w:val="Hyperlink"/>
    <w:qFormat/>
    <w:uiPriority w:val="99"/>
    <w:rPr>
      <w:rFonts w:ascii="宋体" w:hAnsi="Times New Roman" w:eastAsia="宋体"/>
      <w:color w:val="auto"/>
      <w:spacing w:val="0"/>
      <w:w w:val="100"/>
      <w:position w:val="0"/>
      <w:sz w:val="21"/>
      <w:u w:val="none"/>
      <w:vertAlign w:val="baseline"/>
    </w:rPr>
  </w:style>
  <w:style w:type="character" w:styleId="48">
    <w:name w:val="footnote reference"/>
    <w:semiHidden/>
    <w:qFormat/>
    <w:uiPriority w:val="0"/>
    <w:rPr>
      <w:rFonts w:ascii="宋体" w:hAnsi="宋体" w:eastAsia="宋体" w:cs="Times New Roman"/>
      <w:spacing w:val="0"/>
      <w:sz w:val="18"/>
      <w:vertAlign w:val="superscript"/>
    </w:rPr>
  </w:style>
  <w:style w:type="character" w:customStyle="1" w:styleId="49">
    <w:name w:val="标题 1 Char"/>
    <w:link w:val="2"/>
    <w:qFormat/>
    <w:uiPriority w:val="9"/>
    <w:rPr>
      <w:rFonts w:ascii="Times New Roman" w:hAnsi="Times New Roman" w:eastAsia="宋体" w:cs="Times New Roman"/>
      <w:b/>
      <w:bCs/>
      <w:kern w:val="44"/>
      <w:sz w:val="44"/>
      <w:szCs w:val="44"/>
    </w:rPr>
  </w:style>
  <w:style w:type="character" w:customStyle="1" w:styleId="50">
    <w:name w:val="标题 2 Char"/>
    <w:link w:val="3"/>
    <w:qFormat/>
    <w:uiPriority w:val="0"/>
    <w:rPr>
      <w:rFonts w:ascii="Arial" w:hAnsi="Arial" w:eastAsia="黑体" w:cs="Times New Roman"/>
      <w:b/>
      <w:bCs/>
      <w:sz w:val="32"/>
      <w:szCs w:val="32"/>
    </w:rPr>
  </w:style>
  <w:style w:type="character" w:customStyle="1" w:styleId="51">
    <w:name w:val="标题 3 Char"/>
    <w:link w:val="4"/>
    <w:qFormat/>
    <w:uiPriority w:val="0"/>
    <w:rPr>
      <w:rFonts w:ascii="Times New Roman" w:hAnsi="Times New Roman" w:eastAsia="宋体" w:cs="Times New Roman"/>
      <w:b/>
      <w:bCs/>
      <w:sz w:val="32"/>
      <w:szCs w:val="32"/>
    </w:rPr>
  </w:style>
  <w:style w:type="character" w:customStyle="1" w:styleId="52">
    <w:name w:val="标题 4 Char"/>
    <w:link w:val="5"/>
    <w:qFormat/>
    <w:uiPriority w:val="0"/>
    <w:rPr>
      <w:rFonts w:ascii="Arial" w:hAnsi="Arial" w:eastAsia="黑体" w:cs="Times New Roman"/>
      <w:b/>
      <w:bCs/>
      <w:sz w:val="28"/>
      <w:szCs w:val="28"/>
    </w:rPr>
  </w:style>
  <w:style w:type="character" w:customStyle="1" w:styleId="53">
    <w:name w:val="标题 5 Char"/>
    <w:link w:val="6"/>
    <w:qFormat/>
    <w:uiPriority w:val="0"/>
    <w:rPr>
      <w:rFonts w:ascii="Times New Roman" w:hAnsi="Times New Roman" w:eastAsia="宋体" w:cs="Times New Roman"/>
      <w:b/>
      <w:bCs/>
      <w:sz w:val="28"/>
      <w:szCs w:val="28"/>
    </w:rPr>
  </w:style>
  <w:style w:type="character" w:customStyle="1" w:styleId="54">
    <w:name w:val="标题 6 Char"/>
    <w:link w:val="7"/>
    <w:qFormat/>
    <w:uiPriority w:val="0"/>
    <w:rPr>
      <w:rFonts w:ascii="Arial" w:hAnsi="Arial" w:eastAsia="黑体" w:cs="Times New Roman"/>
      <w:b/>
      <w:bCs/>
      <w:sz w:val="24"/>
      <w:szCs w:val="24"/>
    </w:rPr>
  </w:style>
  <w:style w:type="character" w:customStyle="1" w:styleId="55">
    <w:name w:val="标题 7 Char"/>
    <w:link w:val="8"/>
    <w:qFormat/>
    <w:uiPriority w:val="0"/>
    <w:rPr>
      <w:rFonts w:ascii="Times New Roman" w:hAnsi="Times New Roman" w:eastAsia="宋体" w:cs="Times New Roman"/>
      <w:b/>
      <w:bCs/>
      <w:sz w:val="24"/>
      <w:szCs w:val="24"/>
    </w:rPr>
  </w:style>
  <w:style w:type="character" w:customStyle="1" w:styleId="56">
    <w:name w:val="标题 8 Char"/>
    <w:link w:val="9"/>
    <w:qFormat/>
    <w:uiPriority w:val="0"/>
    <w:rPr>
      <w:rFonts w:ascii="Arial" w:hAnsi="Arial" w:eastAsia="黑体" w:cs="Times New Roman"/>
      <w:sz w:val="24"/>
      <w:szCs w:val="24"/>
    </w:rPr>
  </w:style>
  <w:style w:type="character" w:customStyle="1" w:styleId="57">
    <w:name w:val="标题 9 Char"/>
    <w:link w:val="10"/>
    <w:qFormat/>
    <w:uiPriority w:val="0"/>
    <w:rPr>
      <w:rFonts w:ascii="Arial" w:hAnsi="Arial" w:eastAsia="黑体" w:cs="Times New Roman"/>
      <w:szCs w:val="21"/>
    </w:rPr>
  </w:style>
  <w:style w:type="character" w:customStyle="1" w:styleId="58">
    <w:name w:val="页眉 Char"/>
    <w:link w:val="26"/>
    <w:qFormat/>
    <w:uiPriority w:val="99"/>
    <w:rPr>
      <w:rFonts w:ascii="Times New Roman" w:hAnsi="Times New Roman" w:eastAsia="宋体" w:cs="Times New Roman"/>
      <w:sz w:val="18"/>
      <w:szCs w:val="18"/>
    </w:rPr>
  </w:style>
  <w:style w:type="character" w:customStyle="1" w:styleId="59">
    <w:name w:val="页脚 Char"/>
    <w:link w:val="25"/>
    <w:qFormat/>
    <w:uiPriority w:val="99"/>
    <w:rPr>
      <w:rFonts w:ascii="宋体" w:hAnsi="Times New Roman" w:eastAsia="宋体" w:cs="Times New Roman"/>
      <w:sz w:val="18"/>
      <w:szCs w:val="18"/>
    </w:rPr>
  </w:style>
  <w:style w:type="character" w:customStyle="1" w:styleId="60">
    <w:name w:val="批注框文本 Char"/>
    <w:link w:val="24"/>
    <w:qFormat/>
    <w:uiPriority w:val="99"/>
    <w:rPr>
      <w:sz w:val="18"/>
      <w:szCs w:val="18"/>
    </w:rPr>
  </w:style>
  <w:style w:type="paragraph" w:styleId="61">
    <w:name w:val="Quote"/>
    <w:basedOn w:val="1"/>
    <w:next w:val="1"/>
    <w:link w:val="62"/>
    <w:qFormat/>
    <w:uiPriority w:val="29"/>
    <w:rPr>
      <w:i/>
      <w:iCs/>
      <w:color w:val="000000"/>
    </w:rPr>
  </w:style>
  <w:style w:type="character" w:customStyle="1" w:styleId="62">
    <w:name w:val="引用 Char"/>
    <w:link w:val="61"/>
    <w:qFormat/>
    <w:uiPriority w:val="29"/>
    <w:rPr>
      <w:i/>
      <w:iCs/>
      <w:color w:val="000000"/>
    </w:rPr>
  </w:style>
  <w:style w:type="character" w:customStyle="1" w:styleId="63">
    <w:name w:val="标题 Char"/>
    <w:link w:val="39"/>
    <w:qFormat/>
    <w:uiPriority w:val="0"/>
    <w:rPr>
      <w:rFonts w:ascii="Arial" w:hAnsi="Arial" w:eastAsia="宋体" w:cs="Arial"/>
      <w:b/>
      <w:bCs/>
      <w:sz w:val="32"/>
      <w:szCs w:val="32"/>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标准文件_ICS"/>
    <w:basedOn w:val="1"/>
    <w:qFormat/>
    <w:uiPriority w:val="0"/>
    <w:pPr>
      <w:spacing w:line="0" w:lineRule="atLeast"/>
    </w:pPr>
    <w:rPr>
      <w:rFonts w:ascii="黑体" w:hAnsi="宋体" w:eastAsia="黑体"/>
    </w:rPr>
  </w:style>
  <w:style w:type="paragraph" w:customStyle="1" w:styleId="70">
    <w:name w:val="标准文件_标准正文"/>
    <w:basedOn w:val="1"/>
    <w:next w:val="71"/>
    <w:qFormat/>
    <w:uiPriority w:val="0"/>
    <w:pPr>
      <w:snapToGrid w:val="0"/>
      <w:ind w:firstLine="200" w:firstLineChars="200"/>
    </w:pPr>
    <w:rPr>
      <w:kern w:val="0"/>
    </w:rPr>
  </w:style>
  <w:style w:type="paragraph" w:customStyle="1" w:styleId="71">
    <w:name w:val="标准文件_段"/>
    <w:link w:val="19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2">
    <w:name w:val="标准文件_版本"/>
    <w:basedOn w:val="70"/>
    <w:qFormat/>
    <w:uiPriority w:val="0"/>
    <w:pPr>
      <w:adjustRightInd/>
      <w:snapToGrid/>
      <w:ind w:firstLine="0" w:firstLineChars="0"/>
    </w:pPr>
    <w:rPr>
      <w:rFonts w:ascii="宋体" w:hAnsi="宋体"/>
      <w:kern w:val="2"/>
    </w:rPr>
  </w:style>
  <w:style w:type="paragraph" w:customStyle="1" w:styleId="73">
    <w:name w:val="标准文件_标准部门"/>
    <w:basedOn w:val="1"/>
    <w:qFormat/>
    <w:uiPriority w:val="0"/>
    <w:pPr>
      <w:jc w:val="center"/>
    </w:pPr>
    <w:rPr>
      <w:rFonts w:ascii="黑体" w:eastAsia="黑体"/>
      <w:kern w:val="0"/>
      <w:sz w:val="44"/>
    </w:rPr>
  </w:style>
  <w:style w:type="paragraph" w:customStyle="1" w:styleId="74">
    <w:name w:val="标准文件_标准代替"/>
    <w:basedOn w:val="1"/>
    <w:next w:val="1"/>
    <w:qFormat/>
    <w:uiPriority w:val="0"/>
    <w:pPr>
      <w:spacing w:line="310" w:lineRule="exact"/>
      <w:jc w:val="right"/>
    </w:pPr>
    <w:rPr>
      <w:rFonts w:ascii="宋体" w:hAnsi="宋体"/>
      <w:kern w:val="0"/>
    </w:rPr>
  </w:style>
  <w:style w:type="paragraph" w:customStyle="1" w:styleId="7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7">
    <w:name w:val="标准文件_页眉偶数页"/>
    <w:basedOn w:val="76"/>
    <w:next w:val="1"/>
    <w:qFormat/>
    <w:uiPriority w:val="0"/>
    <w:pPr>
      <w:jc w:val="left"/>
    </w:pPr>
  </w:style>
  <w:style w:type="paragraph" w:customStyle="1" w:styleId="7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0">
    <w:name w:val="标准文件_二级条标题"/>
    <w:next w:val="7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81">
    <w:name w:val="标准文件_发布"/>
    <w:qFormat/>
    <w:uiPriority w:val="0"/>
    <w:rPr>
      <w:rFonts w:ascii="黑体" w:eastAsia="黑体"/>
      <w:spacing w:val="0"/>
      <w:w w:val="100"/>
      <w:position w:val="3"/>
      <w:sz w:val="28"/>
    </w:rPr>
  </w:style>
  <w:style w:type="paragraph" w:customStyle="1" w:styleId="82">
    <w:name w:val="标准文件_方框数字列项"/>
    <w:basedOn w:val="71"/>
    <w:qFormat/>
    <w:uiPriority w:val="0"/>
    <w:pPr>
      <w:numPr>
        <w:ilvl w:val="0"/>
        <w:numId w:val="3"/>
      </w:numPr>
      <w:ind w:firstLine="0" w:firstLineChars="0"/>
    </w:pPr>
  </w:style>
  <w:style w:type="paragraph" w:customStyle="1" w:styleId="83">
    <w:name w:val="标准文件_封面标准编号"/>
    <w:basedOn w:val="1"/>
    <w:next w:val="74"/>
    <w:qFormat/>
    <w:uiPriority w:val="0"/>
    <w:pPr>
      <w:spacing w:line="310" w:lineRule="exact"/>
      <w:jc w:val="right"/>
    </w:pPr>
    <w:rPr>
      <w:rFonts w:ascii="黑体" w:eastAsia="黑体"/>
      <w:kern w:val="0"/>
      <w:sz w:val="28"/>
    </w:rPr>
  </w:style>
  <w:style w:type="paragraph" w:customStyle="1" w:styleId="84">
    <w:name w:val="标准文件_封面标准分类号"/>
    <w:basedOn w:val="1"/>
    <w:qFormat/>
    <w:uiPriority w:val="0"/>
    <w:rPr>
      <w:rFonts w:ascii="黑体" w:eastAsia="黑体"/>
      <w:b/>
      <w:kern w:val="0"/>
      <w:sz w:val="28"/>
    </w:rPr>
  </w:style>
  <w:style w:type="paragraph" w:customStyle="1" w:styleId="85">
    <w:name w:val="标准文件_封面标准名称"/>
    <w:basedOn w:val="1"/>
    <w:qFormat/>
    <w:uiPriority w:val="0"/>
    <w:pPr>
      <w:spacing w:line="240" w:lineRule="auto"/>
      <w:jc w:val="center"/>
    </w:pPr>
    <w:rPr>
      <w:rFonts w:ascii="黑体" w:eastAsia="黑体"/>
      <w:kern w:val="0"/>
      <w:sz w:val="52"/>
    </w:rPr>
  </w:style>
  <w:style w:type="paragraph" w:customStyle="1" w:styleId="86">
    <w:name w:val="标准文件_封面标准英文名称"/>
    <w:basedOn w:val="1"/>
    <w:qFormat/>
    <w:uiPriority w:val="0"/>
    <w:pPr>
      <w:spacing w:line="240" w:lineRule="auto"/>
      <w:jc w:val="center"/>
    </w:pPr>
    <w:rPr>
      <w:rFonts w:ascii="黑体" w:eastAsia="黑体"/>
      <w:b/>
      <w:sz w:val="28"/>
    </w:rPr>
  </w:style>
  <w:style w:type="paragraph" w:customStyle="1" w:styleId="87">
    <w:name w:val="标准文件_封面发布日期"/>
    <w:basedOn w:val="1"/>
    <w:qFormat/>
    <w:uiPriority w:val="0"/>
    <w:pPr>
      <w:spacing w:line="310" w:lineRule="exact"/>
    </w:pPr>
    <w:rPr>
      <w:rFonts w:ascii="黑体" w:eastAsia="黑体"/>
      <w:kern w:val="0"/>
      <w:sz w:val="28"/>
    </w:rPr>
  </w:style>
  <w:style w:type="paragraph" w:customStyle="1" w:styleId="88">
    <w:name w:val="标准文件_封面密级"/>
    <w:basedOn w:val="1"/>
    <w:qFormat/>
    <w:uiPriority w:val="0"/>
    <w:rPr>
      <w:rFonts w:eastAsia="黑体"/>
      <w:sz w:val="32"/>
    </w:rPr>
  </w:style>
  <w:style w:type="paragraph" w:customStyle="1" w:styleId="89">
    <w:name w:val="标准文件_封面实施日期"/>
    <w:basedOn w:val="1"/>
    <w:qFormat/>
    <w:uiPriority w:val="0"/>
    <w:pPr>
      <w:spacing w:line="310" w:lineRule="exact"/>
      <w:jc w:val="right"/>
    </w:pPr>
    <w:rPr>
      <w:rFonts w:ascii="黑体" w:eastAsia="黑体"/>
      <w:sz w:val="28"/>
    </w:rPr>
  </w:style>
  <w:style w:type="paragraph" w:customStyle="1" w:styleId="90">
    <w:name w:val="标准文件_封面抬头"/>
    <w:basedOn w:val="71"/>
    <w:qFormat/>
    <w:uiPriority w:val="0"/>
    <w:pPr>
      <w:adjustRightInd w:val="0"/>
      <w:spacing w:line="800" w:lineRule="exact"/>
      <w:ind w:firstLine="0" w:firstLineChars="0"/>
      <w:jc w:val="distribute"/>
    </w:pPr>
    <w:rPr>
      <w:rFonts w:ascii="黑体" w:eastAsia="黑体"/>
      <w:b/>
      <w:sz w:val="64"/>
    </w:rPr>
  </w:style>
  <w:style w:type="paragraph" w:customStyle="1" w:styleId="91">
    <w:name w:val="标准文件_附录标识"/>
    <w:next w:val="71"/>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2">
    <w:name w:val="标准文件_附录表标题"/>
    <w:next w:val="71"/>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3">
    <w:name w:val="标准文件_附录一级条标题"/>
    <w:next w:val="7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94">
    <w:name w:val="标准文件_附录二级条标题"/>
    <w:basedOn w:val="93"/>
    <w:next w:val="71"/>
    <w:qFormat/>
    <w:uiPriority w:val="0"/>
    <w:pPr>
      <w:widowControl/>
      <w:numPr>
        <w:ilvl w:val="2"/>
      </w:numPr>
      <w:wordWrap w:val="0"/>
      <w:overflowPunct w:val="0"/>
      <w:autoSpaceDE w:val="0"/>
      <w:autoSpaceDN w:val="0"/>
      <w:textAlignment w:val="baseline"/>
      <w:outlineLvl w:val="3"/>
    </w:pPr>
  </w:style>
  <w:style w:type="paragraph" w:customStyle="1" w:styleId="95">
    <w:name w:val="标准文件_附录公式"/>
    <w:basedOn w:val="70"/>
    <w:next w:val="7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6">
    <w:name w:val="标准文件_附录三级条标题"/>
    <w:next w:val="7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7">
    <w:name w:val="标准文件_附录四级条标题"/>
    <w:next w:val="7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8">
    <w:name w:val="标准文件_附录图标题"/>
    <w:next w:val="71"/>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9">
    <w:name w:val="标准文件_附录五级条标题"/>
    <w:next w:val="7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100">
    <w:name w:val="标准文件_附录英文标识"/>
    <w:next w:val="18"/>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1">
    <w:name w:val="正文文本 Char"/>
    <w:link w:val="18"/>
    <w:qFormat/>
    <w:uiPriority w:val="0"/>
    <w:rPr>
      <w:rFonts w:ascii="Times New Roman" w:hAnsi="Times New Roman" w:eastAsia="宋体" w:cs="Times New Roman"/>
      <w:szCs w:val="20"/>
    </w:rPr>
  </w:style>
  <w:style w:type="paragraph" w:customStyle="1" w:styleId="102">
    <w:name w:val="标准文件_附录章标题"/>
    <w:next w:val="7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标准文件_公式后的破折号"/>
    <w:basedOn w:val="71"/>
    <w:next w:val="71"/>
    <w:qFormat/>
    <w:uiPriority w:val="0"/>
    <w:pPr>
      <w:ind w:left="488" w:leftChars="200" w:hanging="289" w:hangingChars="290"/>
    </w:pPr>
  </w:style>
  <w:style w:type="paragraph" w:customStyle="1" w:styleId="104">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5">
    <w:name w:val="标准文件_目次、标准名称标题"/>
    <w:basedOn w:val="104"/>
    <w:next w:val="71"/>
    <w:qFormat/>
    <w:uiPriority w:val="0"/>
    <w:pPr>
      <w:spacing w:line="460" w:lineRule="exact"/>
    </w:pPr>
  </w:style>
  <w:style w:type="paragraph" w:customStyle="1" w:styleId="106">
    <w:name w:val="标准文件_目录标题"/>
    <w:basedOn w:val="1"/>
    <w:qFormat/>
    <w:uiPriority w:val="0"/>
    <w:pPr>
      <w:spacing w:afterLines="150" w:line="240" w:lineRule="auto"/>
      <w:jc w:val="center"/>
    </w:pPr>
    <w:rPr>
      <w:rFonts w:ascii="黑体" w:eastAsia="黑体"/>
      <w:sz w:val="32"/>
    </w:rPr>
  </w:style>
  <w:style w:type="paragraph" w:customStyle="1" w:styleId="10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8">
    <w:name w:val="标准文件_破折号列项（二级）"/>
    <w:basedOn w:val="107"/>
    <w:qFormat/>
    <w:uiPriority w:val="0"/>
    <w:pPr>
      <w:numPr>
        <w:numId w:val="10"/>
      </w:numPr>
      <w:ind w:left="0" w:firstLine="200"/>
    </w:pPr>
  </w:style>
  <w:style w:type="paragraph" w:customStyle="1" w:styleId="109">
    <w:name w:val="标准文件_三级条标题"/>
    <w:basedOn w:val="80"/>
    <w:next w:val="71"/>
    <w:qFormat/>
    <w:uiPriority w:val="0"/>
    <w:pPr>
      <w:widowControl/>
      <w:numPr>
        <w:ilvl w:val="4"/>
      </w:numPr>
      <w:outlineLvl w:val="3"/>
    </w:pPr>
  </w:style>
  <w:style w:type="character" w:customStyle="1" w:styleId="110">
    <w:name w:val="不明显参考1"/>
    <w:qFormat/>
    <w:uiPriority w:val="31"/>
    <w:rPr>
      <w:smallCaps/>
      <w:color w:val="C0504D"/>
      <w:u w:val="single"/>
    </w:rPr>
  </w:style>
  <w:style w:type="paragraph" w:customStyle="1" w:styleId="111">
    <w:name w:val="标准文件_示例后续"/>
    <w:basedOn w:val="1"/>
    <w:qFormat/>
    <w:uiPriority w:val="0"/>
    <w:pPr>
      <w:adjustRightInd/>
      <w:spacing w:line="240" w:lineRule="auto"/>
      <w:ind w:firstLine="200" w:firstLineChars="200"/>
    </w:pPr>
    <w:rPr>
      <w:sz w:val="18"/>
      <w:szCs w:val="24"/>
    </w:rPr>
  </w:style>
  <w:style w:type="paragraph" w:customStyle="1" w:styleId="11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13">
    <w:name w:val="标准文件_四级条标题"/>
    <w:next w:val="7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14">
    <w:name w:val="脚注文本 Char"/>
    <w:link w:val="32"/>
    <w:semiHidden/>
    <w:qFormat/>
    <w:uiPriority w:val="0"/>
    <w:rPr>
      <w:rFonts w:ascii="宋体" w:hAnsi="Times New Roman" w:eastAsia="宋体" w:cs="Times New Roman"/>
      <w:sz w:val="18"/>
      <w:szCs w:val="18"/>
    </w:rPr>
  </w:style>
  <w:style w:type="paragraph" w:customStyle="1" w:styleId="115">
    <w:name w:val="标准文件_条文脚注"/>
    <w:basedOn w:val="32"/>
    <w:qFormat/>
    <w:uiPriority w:val="0"/>
    <w:pPr>
      <w:adjustRightInd w:val="0"/>
      <w:spacing w:line="240" w:lineRule="auto"/>
      <w:ind w:left="0" w:leftChars="0" w:firstLine="200" w:firstLineChars="200"/>
      <w:jc w:val="both"/>
    </w:pPr>
    <w:rPr>
      <w:rFonts w:hAnsi="宋体"/>
    </w:rPr>
  </w:style>
  <w:style w:type="paragraph" w:customStyle="1" w:styleId="116">
    <w:name w:val="标准文件_图表脚注"/>
    <w:basedOn w:val="1"/>
    <w:next w:val="71"/>
    <w:qFormat/>
    <w:uiPriority w:val="0"/>
    <w:pPr>
      <w:numPr>
        <w:ilvl w:val="0"/>
        <w:numId w:val="12"/>
      </w:numPr>
      <w:spacing w:line="240" w:lineRule="auto"/>
      <w:jc w:val="left"/>
    </w:pPr>
    <w:rPr>
      <w:rFonts w:ascii="宋体" w:hAnsi="宋体"/>
      <w:sz w:val="18"/>
    </w:rPr>
  </w:style>
  <w:style w:type="character" w:customStyle="1" w:styleId="117">
    <w:name w:val="标准文件_图表脚注内容"/>
    <w:qFormat/>
    <w:uiPriority w:val="0"/>
    <w:rPr>
      <w:rFonts w:ascii="宋体" w:hAnsi="宋体" w:eastAsia="宋体" w:cs="Times New Roman"/>
      <w:spacing w:val="0"/>
      <w:sz w:val="18"/>
      <w:vertAlign w:val="superscript"/>
    </w:rPr>
  </w:style>
  <w:style w:type="paragraph" w:customStyle="1" w:styleId="118">
    <w:name w:val="标准文件_五级条标题"/>
    <w:next w:val="7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9">
    <w:name w:val="标准文件_章标题"/>
    <w:next w:val="7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20">
    <w:name w:val="标准文件_一级条标题"/>
    <w:basedOn w:val="119"/>
    <w:next w:val="71"/>
    <w:qFormat/>
    <w:uiPriority w:val="0"/>
    <w:pPr>
      <w:numPr>
        <w:ilvl w:val="2"/>
      </w:numPr>
      <w:spacing w:beforeLines="50" w:afterLines="50"/>
      <w:outlineLvl w:val="1"/>
    </w:pPr>
  </w:style>
  <w:style w:type="paragraph" w:customStyle="1" w:styleId="121">
    <w:name w:val="标准文件_一致程度"/>
    <w:basedOn w:val="1"/>
    <w:qFormat/>
    <w:uiPriority w:val="0"/>
    <w:pPr>
      <w:spacing w:line="440" w:lineRule="exact"/>
      <w:jc w:val="center"/>
    </w:pPr>
    <w:rPr>
      <w:sz w:val="28"/>
    </w:rPr>
  </w:style>
  <w:style w:type="paragraph" w:customStyle="1" w:styleId="12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3">
    <w:name w:val="标准文件_英文图表脚注"/>
    <w:basedOn w:val="70"/>
    <w:qFormat/>
    <w:uiPriority w:val="0"/>
    <w:pPr>
      <w:widowControl/>
      <w:adjustRightInd/>
      <w:snapToGrid/>
      <w:spacing w:line="240" w:lineRule="auto"/>
      <w:ind w:left="79" w:hanging="79" w:hangingChars="80"/>
    </w:pPr>
    <w:rPr>
      <w:rFonts w:ascii="宋体" w:hAnsi="宋体"/>
    </w:rPr>
  </w:style>
  <w:style w:type="paragraph" w:customStyle="1" w:styleId="12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5">
    <w:name w:val="标准文件_英文注："/>
    <w:basedOn w:val="1"/>
    <w:next w:val="7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7">
    <w:name w:val="标准文件_正文表标题"/>
    <w:next w:val="7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8">
    <w:name w:val="标准文件_正文公式"/>
    <w:basedOn w:val="1"/>
    <w:next w:val="70"/>
    <w:qFormat/>
    <w:uiPriority w:val="0"/>
    <w:pPr>
      <w:tabs>
        <w:tab w:val="center" w:pos="4678"/>
        <w:tab w:val="right" w:leader="middleDot" w:pos="9356"/>
      </w:tabs>
      <w:spacing w:line="240" w:lineRule="auto"/>
    </w:pPr>
    <w:rPr>
      <w:rFonts w:ascii="宋体" w:hAnsi="宋体"/>
    </w:rPr>
  </w:style>
  <w:style w:type="paragraph" w:customStyle="1" w:styleId="129">
    <w:name w:val="标准文件_正文图标题"/>
    <w:next w:val="7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0">
    <w:name w:val="标准文件_正文英文表标题"/>
    <w:next w:val="7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31">
    <w:name w:val="标准文件_正文英文图标题"/>
    <w:next w:val="7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3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3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34">
    <w:name w:val="发布部门"/>
    <w:next w:val="7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2">
    <w:name w:val="封面正文"/>
    <w:qFormat/>
    <w:uiPriority w:val="0"/>
    <w:pPr>
      <w:jc w:val="both"/>
    </w:pPr>
    <w:rPr>
      <w:rFonts w:ascii="Times New Roman" w:hAnsi="Times New Roman" w:eastAsia="宋体" w:cs="Times New Roman"/>
      <w:lang w:val="en-US" w:eastAsia="zh-CN" w:bidi="ar-SA"/>
    </w:rPr>
  </w:style>
  <w:style w:type="paragraph" w:customStyle="1" w:styleId="143">
    <w:name w:val="附录二级无标题条"/>
    <w:basedOn w:val="1"/>
    <w:next w:val="7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4">
    <w:name w:val="附录三级无标题条"/>
    <w:basedOn w:val="143"/>
    <w:next w:val="71"/>
    <w:qFormat/>
    <w:uiPriority w:val="0"/>
    <w:pPr>
      <w:outlineLvl w:val="4"/>
    </w:pPr>
  </w:style>
  <w:style w:type="paragraph" w:customStyle="1" w:styleId="145">
    <w:name w:val="附录四级无标题条"/>
    <w:basedOn w:val="144"/>
    <w:next w:val="71"/>
    <w:qFormat/>
    <w:uiPriority w:val="0"/>
    <w:pPr>
      <w:outlineLvl w:val="5"/>
    </w:pPr>
  </w:style>
  <w:style w:type="paragraph" w:customStyle="1" w:styleId="146">
    <w:name w:val="附录图"/>
    <w:next w:val="7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8">
    <w:name w:val="附录五级无标题条"/>
    <w:basedOn w:val="145"/>
    <w:next w:val="71"/>
    <w:qFormat/>
    <w:uiPriority w:val="0"/>
    <w:pPr>
      <w:outlineLvl w:val="6"/>
    </w:pPr>
  </w:style>
  <w:style w:type="paragraph" w:customStyle="1" w:styleId="149">
    <w:name w:val="附录性质"/>
    <w:basedOn w:val="1"/>
    <w:qFormat/>
    <w:uiPriority w:val="0"/>
    <w:pPr>
      <w:widowControl/>
      <w:adjustRightInd/>
      <w:jc w:val="center"/>
    </w:pPr>
    <w:rPr>
      <w:rFonts w:ascii="黑体" w:eastAsia="黑体"/>
    </w:rPr>
  </w:style>
  <w:style w:type="paragraph" w:customStyle="1" w:styleId="150">
    <w:name w:val="附录一级无标题条"/>
    <w:basedOn w:val="102"/>
    <w:next w:val="71"/>
    <w:qFormat/>
    <w:uiPriority w:val="0"/>
    <w:pPr>
      <w:autoSpaceDN w:val="0"/>
      <w:outlineLvl w:val="2"/>
    </w:pPr>
    <w:rPr>
      <w:rFonts w:ascii="宋体" w:hAnsi="宋体" w:eastAsia="宋体"/>
    </w:rPr>
  </w:style>
  <w:style w:type="character" w:customStyle="1" w:styleId="151">
    <w:name w:val="个人答复风格"/>
    <w:qFormat/>
    <w:uiPriority w:val="0"/>
    <w:rPr>
      <w:rFonts w:ascii="Arial" w:hAnsi="Arial" w:eastAsia="宋体" w:cs="Arial"/>
      <w:color w:val="auto"/>
      <w:spacing w:val="0"/>
      <w:sz w:val="20"/>
    </w:rPr>
  </w:style>
  <w:style w:type="character" w:customStyle="1" w:styleId="152">
    <w:name w:val="个人撰写风格"/>
    <w:qFormat/>
    <w:uiPriority w:val="0"/>
    <w:rPr>
      <w:rFonts w:ascii="Arial" w:hAnsi="Arial" w:eastAsia="宋体" w:cs="Arial"/>
      <w:color w:val="auto"/>
      <w:spacing w:val="0"/>
      <w:sz w:val="20"/>
    </w:rPr>
  </w:style>
  <w:style w:type="paragraph" w:customStyle="1" w:styleId="15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5">
    <w:name w:val="列项·"/>
    <w:basedOn w:val="71"/>
    <w:qFormat/>
    <w:uiPriority w:val="0"/>
    <w:pPr>
      <w:tabs>
        <w:tab w:val="left" w:pos="840"/>
      </w:tabs>
    </w:pPr>
  </w:style>
  <w:style w:type="paragraph" w:customStyle="1" w:styleId="1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7">
    <w:name w:val="目录 21"/>
    <w:basedOn w:val="1"/>
    <w:next w:val="1"/>
    <w:semiHidden/>
    <w:qFormat/>
    <w:uiPriority w:val="0"/>
    <w:pPr>
      <w:adjustRightInd/>
      <w:spacing w:line="240" w:lineRule="auto"/>
      <w:jc w:val="left"/>
    </w:pPr>
    <w:rPr>
      <w:bCs/>
      <w:iCs/>
    </w:rPr>
  </w:style>
  <w:style w:type="paragraph" w:customStyle="1" w:styleId="158">
    <w:name w:val="目录 31"/>
    <w:basedOn w:val="1"/>
    <w:next w:val="1"/>
    <w:semiHidden/>
    <w:qFormat/>
    <w:uiPriority w:val="0"/>
    <w:pPr>
      <w:spacing w:line="240" w:lineRule="auto"/>
    </w:pPr>
    <w:rPr>
      <w:rFonts w:ascii="宋体" w:hAnsi="宋体"/>
      <w:iCs/>
    </w:rPr>
  </w:style>
  <w:style w:type="paragraph" w:customStyle="1" w:styleId="159">
    <w:name w:val="目录 41"/>
    <w:basedOn w:val="1"/>
    <w:next w:val="1"/>
    <w:semiHidden/>
    <w:qFormat/>
    <w:uiPriority w:val="0"/>
    <w:pPr>
      <w:adjustRightInd/>
      <w:spacing w:line="240" w:lineRule="auto"/>
      <w:jc w:val="left"/>
    </w:pPr>
  </w:style>
  <w:style w:type="paragraph" w:customStyle="1" w:styleId="160">
    <w:name w:val="目录 51"/>
    <w:basedOn w:val="1"/>
    <w:next w:val="1"/>
    <w:semiHidden/>
    <w:qFormat/>
    <w:uiPriority w:val="0"/>
    <w:pPr>
      <w:spacing w:line="240" w:lineRule="auto"/>
    </w:pPr>
    <w:rPr>
      <w:rFonts w:ascii="宋体" w:hAnsi="宋体"/>
    </w:rPr>
  </w:style>
  <w:style w:type="paragraph" w:customStyle="1" w:styleId="161">
    <w:name w:val="目录 61"/>
    <w:basedOn w:val="1"/>
    <w:next w:val="1"/>
    <w:semiHidden/>
    <w:qFormat/>
    <w:uiPriority w:val="0"/>
    <w:pPr>
      <w:adjustRightInd/>
      <w:spacing w:line="240" w:lineRule="auto"/>
      <w:jc w:val="left"/>
    </w:pPr>
  </w:style>
  <w:style w:type="paragraph" w:customStyle="1" w:styleId="162">
    <w:name w:val="目录 71"/>
    <w:basedOn w:val="161"/>
    <w:semiHidden/>
    <w:qFormat/>
    <w:uiPriority w:val="0"/>
    <w:pPr>
      <w:ind w:left="1260"/>
    </w:pPr>
  </w:style>
  <w:style w:type="paragraph" w:customStyle="1" w:styleId="163">
    <w:name w:val="目录 81"/>
    <w:basedOn w:val="162"/>
    <w:semiHidden/>
    <w:qFormat/>
    <w:uiPriority w:val="0"/>
    <w:pPr>
      <w:ind w:left="1470"/>
    </w:pPr>
  </w:style>
  <w:style w:type="paragraph" w:customStyle="1" w:styleId="164">
    <w:name w:val="目录 91"/>
    <w:basedOn w:val="163"/>
    <w:semiHidden/>
    <w:qFormat/>
    <w:uiPriority w:val="0"/>
    <w:pPr>
      <w:ind w:left="1680"/>
    </w:pPr>
  </w:style>
  <w:style w:type="paragraph" w:customStyle="1" w:styleId="1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6">
    <w:name w:val="其他发布部门"/>
    <w:basedOn w:val="134"/>
    <w:qFormat/>
    <w:uiPriority w:val="0"/>
    <w:pPr>
      <w:framePr w:wrap="around"/>
      <w:spacing w:line="0" w:lineRule="atLeast"/>
    </w:pPr>
    <w:rPr>
      <w:rFonts w:ascii="黑体" w:eastAsia="黑体"/>
      <w:b w:val="0"/>
    </w:rPr>
  </w:style>
  <w:style w:type="paragraph" w:customStyle="1" w:styleId="16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9">
    <w:name w:val="实施日期"/>
    <w:basedOn w:val="135"/>
    <w:qFormat/>
    <w:uiPriority w:val="0"/>
    <w:pPr>
      <w:framePr w:hSpace="0" w:wrap="around" w:xAlign="right"/>
      <w:jc w:val="right"/>
    </w:pPr>
  </w:style>
  <w:style w:type="paragraph" w:customStyle="1" w:styleId="17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7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2">
    <w:name w:val="无标题条"/>
    <w:next w:val="71"/>
    <w:qFormat/>
    <w:uiPriority w:val="0"/>
    <w:pPr>
      <w:jc w:val="both"/>
    </w:pPr>
    <w:rPr>
      <w:rFonts w:ascii="宋体" w:hAnsi="宋体" w:eastAsia="宋体" w:cs="Times New Roman"/>
      <w:sz w:val="21"/>
      <w:lang w:val="en-US" w:eastAsia="zh-CN" w:bidi="ar-SA"/>
    </w:rPr>
  </w:style>
  <w:style w:type="paragraph" w:customStyle="1" w:styleId="173">
    <w:name w:val="五级无标题条"/>
    <w:basedOn w:val="1"/>
    <w:qFormat/>
    <w:uiPriority w:val="0"/>
    <w:pPr>
      <w:numPr>
        <w:ilvl w:val="6"/>
        <w:numId w:val="20"/>
      </w:numPr>
      <w:adjustRightInd/>
    </w:pPr>
    <w:rPr>
      <w:szCs w:val="24"/>
    </w:rPr>
  </w:style>
  <w:style w:type="paragraph" w:customStyle="1" w:styleId="17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6">
    <w:name w:val="注×:后续"/>
    <w:basedOn w:val="175"/>
    <w:qFormat/>
    <w:uiPriority w:val="0"/>
    <w:pPr>
      <w:ind w:left="1406" w:leftChars="0" w:hanging="499" w:firstLineChars="0"/>
    </w:pPr>
  </w:style>
  <w:style w:type="paragraph" w:customStyle="1" w:styleId="177">
    <w:name w:val="标准文件_一级无标题"/>
    <w:basedOn w:val="120"/>
    <w:qFormat/>
    <w:uiPriority w:val="0"/>
    <w:pPr>
      <w:spacing w:beforeLines="0" w:afterLines="0"/>
      <w:outlineLvl w:val="9"/>
    </w:pPr>
    <w:rPr>
      <w:rFonts w:ascii="宋体" w:eastAsia="宋体"/>
    </w:rPr>
  </w:style>
  <w:style w:type="paragraph" w:customStyle="1" w:styleId="178">
    <w:name w:val="标准文件_五级无标题"/>
    <w:basedOn w:val="118"/>
    <w:qFormat/>
    <w:uiPriority w:val="0"/>
    <w:pPr>
      <w:spacing w:beforeLines="0" w:afterLines="0"/>
      <w:outlineLvl w:val="9"/>
    </w:pPr>
    <w:rPr>
      <w:rFonts w:ascii="宋体" w:eastAsia="宋体"/>
    </w:rPr>
  </w:style>
  <w:style w:type="paragraph" w:customStyle="1" w:styleId="179">
    <w:name w:val="标准文件_三级无标题"/>
    <w:basedOn w:val="109"/>
    <w:qFormat/>
    <w:uiPriority w:val="0"/>
    <w:pPr>
      <w:spacing w:beforeLines="0" w:afterLines="0"/>
      <w:outlineLvl w:val="9"/>
    </w:pPr>
    <w:rPr>
      <w:rFonts w:ascii="宋体" w:eastAsia="宋体"/>
    </w:rPr>
  </w:style>
  <w:style w:type="paragraph" w:customStyle="1" w:styleId="180">
    <w:name w:val="标准文件_二级无标题"/>
    <w:basedOn w:val="80"/>
    <w:qFormat/>
    <w:uiPriority w:val="0"/>
    <w:pPr>
      <w:spacing w:beforeLines="0" w:afterLines="0"/>
      <w:outlineLvl w:val="9"/>
    </w:pPr>
    <w:rPr>
      <w:rFonts w:ascii="宋体" w:eastAsia="宋体"/>
    </w:rPr>
  </w:style>
  <w:style w:type="paragraph" w:customStyle="1" w:styleId="181">
    <w:name w:val="标准_四级无标题"/>
    <w:basedOn w:val="113"/>
    <w:next w:val="71"/>
    <w:qFormat/>
    <w:uiPriority w:val="0"/>
    <w:rPr>
      <w:rFonts w:eastAsia="宋体"/>
    </w:rPr>
  </w:style>
  <w:style w:type="paragraph" w:customStyle="1" w:styleId="182">
    <w:name w:val="标准文件_四级无标题"/>
    <w:basedOn w:val="113"/>
    <w:qFormat/>
    <w:uiPriority w:val="0"/>
    <w:pPr>
      <w:spacing w:beforeLines="0" w:afterLines="0"/>
      <w:outlineLvl w:val="9"/>
    </w:pPr>
    <w:rPr>
      <w:rFonts w:ascii="宋体" w:hAnsi="黑体" w:eastAsia="宋体"/>
      <w:szCs w:val="52"/>
    </w:rPr>
  </w:style>
  <w:style w:type="paragraph" w:customStyle="1" w:styleId="183">
    <w:name w:val="标准文件_大写罗马数字编号列项"/>
    <w:basedOn w:val="71"/>
    <w:qFormat/>
    <w:uiPriority w:val="0"/>
    <w:pPr>
      <w:numPr>
        <w:ilvl w:val="0"/>
        <w:numId w:val="23"/>
      </w:numPr>
      <w:ind w:firstLine="0" w:firstLineChars="0"/>
    </w:pPr>
    <w:rPr>
      <w:rFonts w:ascii="Times New Roman" w:cs="Arial"/>
      <w:szCs w:val="28"/>
    </w:rPr>
  </w:style>
  <w:style w:type="paragraph" w:customStyle="1" w:styleId="184">
    <w:name w:val="标准文件_小写罗马数字编号列项"/>
    <w:basedOn w:val="71"/>
    <w:qFormat/>
    <w:uiPriority w:val="0"/>
    <w:pPr>
      <w:numPr>
        <w:ilvl w:val="0"/>
        <w:numId w:val="24"/>
      </w:numPr>
      <w:ind w:firstLine="0" w:firstLineChars="0"/>
    </w:pPr>
    <w:rPr>
      <w:rFonts w:cs="Arial"/>
      <w:szCs w:val="28"/>
    </w:rPr>
  </w:style>
  <w:style w:type="paragraph" w:customStyle="1" w:styleId="185">
    <w:name w:val="标准文件_附录标题"/>
    <w:basedOn w:val="91"/>
    <w:qFormat/>
    <w:uiPriority w:val="0"/>
    <w:pPr>
      <w:numPr>
        <w:numId w:val="0"/>
      </w:numPr>
      <w:spacing w:after="280"/>
      <w:outlineLvl w:val="9"/>
    </w:pPr>
  </w:style>
  <w:style w:type="paragraph" w:customStyle="1" w:styleId="186">
    <w:name w:val="标准文件_二级项"/>
    <w:qFormat/>
    <w:uiPriority w:val="0"/>
    <w:rPr>
      <w:rFonts w:ascii="宋体" w:hAnsi="Times New Roman" w:eastAsia="宋体" w:cs="Times New Roman"/>
      <w:sz w:val="21"/>
      <w:lang w:val="en-US" w:eastAsia="zh-CN" w:bidi="ar-SA"/>
    </w:rPr>
  </w:style>
  <w:style w:type="paragraph" w:customStyle="1" w:styleId="187">
    <w:name w:val="标准文件_三级项"/>
    <w:basedOn w:val="1"/>
    <w:qFormat/>
    <w:uiPriority w:val="0"/>
    <w:pPr>
      <w:numPr>
        <w:ilvl w:val="2"/>
        <w:numId w:val="21"/>
      </w:numPr>
      <w:spacing w:line="536870612" w:lineRule="auto"/>
    </w:pPr>
    <w:rPr>
      <w:rFonts w:ascii="Times New Roman" w:hAnsi="Times New Roman"/>
    </w:rPr>
  </w:style>
  <w:style w:type="paragraph" w:customStyle="1" w:styleId="188">
    <w:name w:val="图表脚注说明"/>
    <w:basedOn w:val="1"/>
    <w:next w:val="71"/>
    <w:qFormat/>
    <w:uiPriority w:val="0"/>
    <w:pPr>
      <w:numPr>
        <w:ilvl w:val="0"/>
        <w:numId w:val="25"/>
      </w:numPr>
      <w:adjustRightInd/>
      <w:spacing w:line="240" w:lineRule="auto"/>
      <w:ind w:left="783"/>
    </w:pPr>
    <w:rPr>
      <w:rFonts w:ascii="宋体" w:hAnsi="Times New Roman"/>
      <w:sz w:val="18"/>
      <w:szCs w:val="18"/>
    </w:rPr>
  </w:style>
  <w:style w:type="paragraph" w:customStyle="1" w:styleId="18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90">
    <w:name w:val="标准文件_索引字母"/>
    <w:next w:val="71"/>
    <w:qFormat/>
    <w:uiPriority w:val="0"/>
    <w:pPr>
      <w:jc w:val="center"/>
    </w:pPr>
    <w:rPr>
      <w:rFonts w:ascii="宋体" w:hAnsi="宋体" w:eastAsia="Times New Roman" w:cs="Times New Roman"/>
      <w:b/>
      <w:kern w:val="2"/>
      <w:sz w:val="21"/>
      <w:lang w:val="en-US" w:eastAsia="zh-CN" w:bidi="ar-SA"/>
    </w:rPr>
  </w:style>
  <w:style w:type="paragraph" w:customStyle="1" w:styleId="191">
    <w:name w:val="标准文件_附录前"/>
    <w:next w:val="7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93">
    <w:name w:val="标准文件_表格"/>
    <w:basedOn w:val="71"/>
    <w:qFormat/>
    <w:uiPriority w:val="0"/>
    <w:pPr>
      <w:ind w:firstLine="0" w:firstLineChars="0"/>
      <w:jc w:val="center"/>
    </w:pPr>
    <w:rPr>
      <w:sz w:val="18"/>
    </w:rPr>
  </w:style>
  <w:style w:type="paragraph" w:customStyle="1" w:styleId="194">
    <w:name w:val="标准文件_注："/>
    <w:next w:val="7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6">
    <w:name w:val="标准文件_示例："/>
    <w:next w:val="19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7">
    <w:name w:val="标准文件_示例内容"/>
    <w:basedOn w:val="71"/>
    <w:qFormat/>
    <w:uiPriority w:val="0"/>
    <w:pPr>
      <w:ind w:firstLine="420"/>
    </w:pPr>
    <w:rPr>
      <w:sz w:val="18"/>
    </w:rPr>
  </w:style>
  <w:style w:type="paragraph" w:customStyle="1" w:styleId="198">
    <w:name w:val="标准文件_示例×："/>
    <w:basedOn w:val="1"/>
    <w:next w:val="19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9">
    <w:name w:val="标准文件_段 Char"/>
    <w:link w:val="71"/>
    <w:qFormat/>
    <w:uiPriority w:val="0"/>
    <w:rPr>
      <w:rFonts w:ascii="宋体" w:hAnsi="Times New Roman"/>
      <w:sz w:val="21"/>
    </w:rPr>
  </w:style>
  <w:style w:type="paragraph" w:customStyle="1" w:styleId="200">
    <w:name w:val="标准文件_表格续"/>
    <w:basedOn w:val="71"/>
    <w:next w:val="71"/>
    <w:qFormat/>
    <w:uiPriority w:val="0"/>
    <w:pPr>
      <w:jc w:val="center"/>
    </w:pPr>
    <w:rPr>
      <w:rFonts w:ascii="黑体" w:hAnsi="黑体" w:eastAsia="黑体"/>
    </w:rPr>
  </w:style>
  <w:style w:type="character" w:styleId="201">
    <w:name w:val="Placeholder Text"/>
    <w:basedOn w:val="42"/>
    <w:semiHidden/>
    <w:qFormat/>
    <w:uiPriority w:val="99"/>
    <w:rPr>
      <w:color w:val="808080"/>
    </w:rPr>
  </w:style>
  <w:style w:type="paragraph" w:customStyle="1" w:styleId="202">
    <w:name w:val="标准文件_二级项2"/>
    <w:basedOn w:val="71"/>
    <w:qFormat/>
    <w:uiPriority w:val="0"/>
    <w:pPr>
      <w:numPr>
        <w:ilvl w:val="1"/>
        <w:numId w:val="21"/>
      </w:numPr>
      <w:ind w:left="1271" w:hanging="420" w:firstLineChars="0"/>
    </w:pPr>
  </w:style>
  <w:style w:type="paragraph" w:customStyle="1" w:styleId="203">
    <w:name w:val="标准文件_三级项2"/>
    <w:basedOn w:val="71"/>
    <w:qFormat/>
    <w:uiPriority w:val="0"/>
    <w:pPr>
      <w:numPr>
        <w:ilvl w:val="0"/>
        <w:numId w:val="30"/>
      </w:numPr>
      <w:spacing w:line="300" w:lineRule="exact"/>
      <w:ind w:left="1276" w:hanging="425" w:firstLineChars="0"/>
    </w:pPr>
    <w:rPr>
      <w:rFonts w:ascii="Times New Roman"/>
    </w:rPr>
  </w:style>
  <w:style w:type="paragraph" w:customStyle="1" w:styleId="204">
    <w:name w:val="标准文件_一级项2"/>
    <w:basedOn w:val="71"/>
    <w:qFormat/>
    <w:uiPriority w:val="0"/>
    <w:pPr>
      <w:numPr>
        <w:ilvl w:val="0"/>
        <w:numId w:val="31"/>
      </w:numPr>
      <w:spacing w:line="300" w:lineRule="exact"/>
      <w:ind w:left="1271" w:hanging="420" w:firstLineChars="0"/>
    </w:pPr>
    <w:rPr>
      <w:rFonts w:ascii="Times New Roman"/>
    </w:rPr>
  </w:style>
  <w:style w:type="paragraph" w:customStyle="1" w:styleId="205">
    <w:name w:val="标准文件_提示"/>
    <w:basedOn w:val="71"/>
    <w:next w:val="71"/>
    <w:qFormat/>
    <w:uiPriority w:val="0"/>
    <w:pPr>
      <w:ind w:firstLine="420"/>
    </w:pPr>
    <w:rPr>
      <w:rFonts w:ascii="黑体" w:eastAsia="黑体"/>
    </w:rPr>
  </w:style>
  <w:style w:type="character" w:customStyle="1" w:styleId="206">
    <w:name w:val="标准文件_来源"/>
    <w:basedOn w:val="42"/>
    <w:qFormat/>
    <w:uiPriority w:val="1"/>
    <w:rPr>
      <w:rFonts w:eastAsia="宋体"/>
      <w:sz w:val="21"/>
    </w:rPr>
  </w:style>
  <w:style w:type="paragraph" w:customStyle="1" w:styleId="20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8">
    <w:name w:val="其他发布日期"/>
    <w:basedOn w:val="135"/>
    <w:qFormat/>
    <w:uiPriority w:val="0"/>
    <w:pPr>
      <w:framePr w:w="3997" w:h="471" w:hRule="exact" w:hSpace="0" w:vSpace="181" w:wrap="around" w:vAnchor="page" w:hAnchor="page" w:x="1419" w:y="14097"/>
    </w:pPr>
  </w:style>
  <w:style w:type="paragraph" w:customStyle="1" w:styleId="209">
    <w:name w:val="其他实施日期"/>
    <w:basedOn w:val="169"/>
    <w:qFormat/>
    <w:uiPriority w:val="0"/>
    <w:pPr>
      <w:framePr w:w="3997" w:h="471" w:hRule="exact" w:vSpace="181" w:wrap="around" w:vAnchor="page" w:hAnchor="page" w:x="7089" w:y="14097"/>
    </w:pPr>
  </w:style>
  <w:style w:type="paragraph" w:customStyle="1" w:styleId="210">
    <w:name w:val="标准文件_文件编号"/>
    <w:basedOn w:val="7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1">
    <w:name w:val="标准文件_替换文件编号"/>
    <w:basedOn w:val="210"/>
    <w:qFormat/>
    <w:uiPriority w:val="0"/>
    <w:pPr>
      <w:spacing w:before="57"/>
    </w:pPr>
    <w:rPr>
      <w:sz w:val="21"/>
    </w:rPr>
  </w:style>
  <w:style w:type="paragraph" w:customStyle="1" w:styleId="212">
    <w:name w:val="标准文件_文件名称"/>
    <w:basedOn w:val="71"/>
    <w:next w:val="7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3">
    <w:name w:val="标准文件_附录图标号"/>
    <w:basedOn w:val="71"/>
    <w:next w:val="7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14">
    <w:name w:val="标准文件_附录表标号"/>
    <w:basedOn w:val="71"/>
    <w:next w:val="71"/>
    <w:qFormat/>
    <w:uiPriority w:val="0"/>
    <w:pPr>
      <w:numPr>
        <w:ilvl w:val="0"/>
        <w:numId w:val="5"/>
      </w:numPr>
      <w:spacing w:line="14" w:lineRule="exact"/>
      <w:ind w:firstLine="0" w:firstLineChars="0"/>
      <w:jc w:val="center"/>
    </w:pPr>
    <w:rPr>
      <w:rFonts w:eastAsia="黑体"/>
      <w:vanish/>
      <w:sz w:val="2"/>
    </w:rPr>
  </w:style>
  <w:style w:type="paragraph" w:customStyle="1" w:styleId="215">
    <w:name w:val="标准文件_引言一级条标题"/>
    <w:basedOn w:val="71"/>
    <w:next w:val="71"/>
    <w:qFormat/>
    <w:uiPriority w:val="0"/>
    <w:pPr>
      <w:numPr>
        <w:ilvl w:val="1"/>
        <w:numId w:val="8"/>
      </w:numPr>
      <w:spacing w:beforeLines="50" w:afterLines="50"/>
      <w:ind w:firstLineChars="0"/>
    </w:pPr>
    <w:rPr>
      <w:rFonts w:ascii="黑体" w:eastAsia="黑体"/>
    </w:rPr>
  </w:style>
  <w:style w:type="paragraph" w:customStyle="1" w:styleId="216">
    <w:name w:val="标准文件_引言二级条标题"/>
    <w:basedOn w:val="71"/>
    <w:next w:val="71"/>
    <w:qFormat/>
    <w:uiPriority w:val="0"/>
    <w:pPr>
      <w:numPr>
        <w:ilvl w:val="2"/>
        <w:numId w:val="8"/>
      </w:numPr>
      <w:spacing w:beforeLines="50" w:afterLines="50"/>
      <w:ind w:firstLineChars="0"/>
    </w:pPr>
    <w:rPr>
      <w:rFonts w:ascii="黑体" w:eastAsia="黑体"/>
    </w:rPr>
  </w:style>
  <w:style w:type="paragraph" w:customStyle="1" w:styleId="217">
    <w:name w:val="标准文件_引言三级条标题"/>
    <w:basedOn w:val="71"/>
    <w:next w:val="71"/>
    <w:qFormat/>
    <w:uiPriority w:val="0"/>
    <w:pPr>
      <w:numPr>
        <w:ilvl w:val="3"/>
        <w:numId w:val="8"/>
      </w:numPr>
      <w:spacing w:beforeLines="50" w:afterLines="50"/>
      <w:ind w:firstLineChars="0"/>
    </w:pPr>
    <w:rPr>
      <w:rFonts w:ascii="黑体" w:eastAsia="黑体"/>
    </w:rPr>
  </w:style>
  <w:style w:type="paragraph" w:customStyle="1" w:styleId="218">
    <w:name w:val="标准文件_引言四级条标题"/>
    <w:basedOn w:val="71"/>
    <w:next w:val="71"/>
    <w:qFormat/>
    <w:uiPriority w:val="0"/>
    <w:pPr>
      <w:numPr>
        <w:ilvl w:val="4"/>
        <w:numId w:val="8"/>
      </w:numPr>
      <w:spacing w:beforeLines="50" w:afterLines="50"/>
      <w:ind w:firstLineChars="0"/>
    </w:pPr>
    <w:rPr>
      <w:rFonts w:ascii="黑体" w:eastAsia="黑体"/>
    </w:rPr>
  </w:style>
  <w:style w:type="paragraph" w:customStyle="1" w:styleId="219">
    <w:name w:val="标准文件_引言五级条标题"/>
    <w:basedOn w:val="71"/>
    <w:next w:val="71"/>
    <w:qFormat/>
    <w:uiPriority w:val="0"/>
    <w:pPr>
      <w:numPr>
        <w:ilvl w:val="5"/>
        <w:numId w:val="8"/>
      </w:numPr>
      <w:spacing w:beforeLines="50" w:afterLines="50"/>
      <w:ind w:firstLineChars="0"/>
    </w:pPr>
    <w:rPr>
      <w:rFonts w:ascii="黑体" w:eastAsia="黑体"/>
    </w:rPr>
  </w:style>
  <w:style w:type="paragraph" w:customStyle="1" w:styleId="220">
    <w:name w:val="标准文件_注后"/>
    <w:basedOn w:val="71"/>
    <w:qFormat/>
    <w:uiPriority w:val="0"/>
    <w:pPr>
      <w:ind w:left="811" w:firstLine="0" w:firstLineChars="0"/>
    </w:pPr>
    <w:rPr>
      <w:sz w:val="18"/>
    </w:rPr>
  </w:style>
  <w:style w:type="paragraph" w:customStyle="1" w:styleId="221">
    <w:name w:val="标准文件_注X后"/>
    <w:basedOn w:val="71"/>
    <w:qFormat/>
    <w:uiPriority w:val="0"/>
    <w:pPr>
      <w:ind w:left="811" w:firstLine="0" w:firstLineChars="0"/>
    </w:pPr>
    <w:rPr>
      <w:sz w:val="18"/>
    </w:rPr>
  </w:style>
  <w:style w:type="paragraph" w:customStyle="1" w:styleId="222">
    <w:name w:val="标准文件_示例后"/>
    <w:basedOn w:val="71"/>
    <w:qFormat/>
    <w:uiPriority w:val="0"/>
    <w:pPr>
      <w:ind w:left="964" w:firstLine="0" w:firstLineChars="0"/>
    </w:pPr>
    <w:rPr>
      <w:sz w:val="18"/>
    </w:rPr>
  </w:style>
  <w:style w:type="paragraph" w:customStyle="1" w:styleId="223">
    <w:name w:val="标准文件_示例X后"/>
    <w:basedOn w:val="71"/>
    <w:link w:val="224"/>
    <w:qFormat/>
    <w:uiPriority w:val="0"/>
    <w:pPr>
      <w:ind w:left="1049" w:firstLine="0" w:firstLineChars="0"/>
    </w:pPr>
    <w:rPr>
      <w:sz w:val="18"/>
    </w:rPr>
  </w:style>
  <w:style w:type="character" w:customStyle="1" w:styleId="224">
    <w:name w:val="标准文件_示例X后 字符"/>
    <w:basedOn w:val="199"/>
    <w:link w:val="223"/>
    <w:qFormat/>
    <w:uiPriority w:val="0"/>
    <w:rPr>
      <w:rFonts w:ascii="宋体" w:hAnsi="Times New Roman"/>
      <w:sz w:val="18"/>
    </w:rPr>
  </w:style>
  <w:style w:type="paragraph" w:customStyle="1" w:styleId="225">
    <w:name w:val="标准文件_索引项"/>
    <w:basedOn w:val="71"/>
    <w:next w:val="71"/>
    <w:qFormat/>
    <w:uiPriority w:val="0"/>
    <w:pPr>
      <w:tabs>
        <w:tab w:val="right" w:leader="dot" w:pos="9356"/>
      </w:tabs>
      <w:ind w:left="210" w:hanging="210" w:firstLineChars="0"/>
      <w:jc w:val="left"/>
    </w:pPr>
  </w:style>
  <w:style w:type="paragraph" w:customStyle="1" w:styleId="226">
    <w:name w:val="标准文件_附录一级无标题"/>
    <w:basedOn w:val="93"/>
    <w:qFormat/>
    <w:uiPriority w:val="0"/>
    <w:pPr>
      <w:spacing w:beforeLines="0" w:afterLines="0" w:line="276" w:lineRule="auto"/>
      <w:outlineLvl w:val="9"/>
    </w:pPr>
    <w:rPr>
      <w:rFonts w:ascii="宋体" w:eastAsia="宋体"/>
    </w:rPr>
  </w:style>
  <w:style w:type="paragraph" w:customStyle="1" w:styleId="227">
    <w:name w:val="标准文件_附录二级无标题"/>
    <w:basedOn w:val="94"/>
    <w:qFormat/>
    <w:uiPriority w:val="0"/>
    <w:pPr>
      <w:spacing w:beforeLines="0" w:afterLines="0" w:line="276" w:lineRule="auto"/>
      <w:outlineLvl w:val="9"/>
    </w:pPr>
    <w:rPr>
      <w:rFonts w:ascii="宋体" w:eastAsia="宋体"/>
    </w:rPr>
  </w:style>
  <w:style w:type="paragraph" w:customStyle="1" w:styleId="228">
    <w:name w:val="标准文件_附录三级无标题"/>
    <w:basedOn w:val="96"/>
    <w:qFormat/>
    <w:uiPriority w:val="0"/>
    <w:pPr>
      <w:spacing w:beforeLines="0" w:afterLines="0" w:line="276" w:lineRule="auto"/>
      <w:outlineLvl w:val="9"/>
    </w:pPr>
    <w:rPr>
      <w:rFonts w:ascii="宋体" w:eastAsia="宋体"/>
    </w:rPr>
  </w:style>
  <w:style w:type="paragraph" w:customStyle="1" w:styleId="229">
    <w:name w:val="标准文件_附录四级无标题"/>
    <w:basedOn w:val="97"/>
    <w:qFormat/>
    <w:uiPriority w:val="0"/>
    <w:pPr>
      <w:spacing w:beforeLines="0" w:afterLines="0" w:line="276" w:lineRule="auto"/>
      <w:outlineLvl w:val="9"/>
    </w:pPr>
    <w:rPr>
      <w:rFonts w:ascii="宋体" w:eastAsia="宋体"/>
    </w:rPr>
  </w:style>
  <w:style w:type="paragraph" w:customStyle="1" w:styleId="230">
    <w:name w:val="标准文件_附录五级无标题"/>
    <w:basedOn w:val="99"/>
    <w:qFormat/>
    <w:uiPriority w:val="0"/>
    <w:pPr>
      <w:spacing w:beforeLines="0" w:afterLines="0" w:line="276" w:lineRule="auto"/>
      <w:outlineLvl w:val="9"/>
    </w:pPr>
    <w:rPr>
      <w:rFonts w:ascii="宋体" w:eastAsia="宋体"/>
    </w:rPr>
  </w:style>
  <w:style w:type="paragraph" w:customStyle="1" w:styleId="231">
    <w:name w:val="标准文件_引言一级无标题"/>
    <w:basedOn w:val="215"/>
    <w:next w:val="71"/>
    <w:qFormat/>
    <w:uiPriority w:val="0"/>
    <w:pPr>
      <w:spacing w:beforeLines="0" w:afterLines="0" w:line="276" w:lineRule="auto"/>
    </w:pPr>
    <w:rPr>
      <w:rFonts w:ascii="宋体" w:eastAsia="宋体"/>
    </w:rPr>
  </w:style>
  <w:style w:type="paragraph" w:customStyle="1" w:styleId="232">
    <w:name w:val="标准文件_引言二级无标题"/>
    <w:basedOn w:val="216"/>
    <w:next w:val="71"/>
    <w:qFormat/>
    <w:uiPriority w:val="0"/>
    <w:pPr>
      <w:spacing w:beforeLines="0" w:afterLines="0" w:line="276" w:lineRule="auto"/>
    </w:pPr>
    <w:rPr>
      <w:rFonts w:ascii="宋体" w:eastAsia="宋体"/>
    </w:rPr>
  </w:style>
  <w:style w:type="paragraph" w:customStyle="1" w:styleId="233">
    <w:name w:val="标准文件_引言三级无标题"/>
    <w:basedOn w:val="217"/>
    <w:next w:val="71"/>
    <w:qFormat/>
    <w:uiPriority w:val="0"/>
    <w:pPr>
      <w:spacing w:beforeLines="0" w:afterLines="0" w:line="276" w:lineRule="auto"/>
    </w:pPr>
    <w:rPr>
      <w:rFonts w:ascii="宋体" w:eastAsia="宋体"/>
    </w:rPr>
  </w:style>
  <w:style w:type="paragraph" w:customStyle="1" w:styleId="234">
    <w:name w:val="标准文件_引言四级无标题"/>
    <w:basedOn w:val="218"/>
    <w:next w:val="71"/>
    <w:qFormat/>
    <w:uiPriority w:val="0"/>
    <w:pPr>
      <w:spacing w:beforeLines="0" w:afterLines="0" w:line="276" w:lineRule="auto"/>
    </w:pPr>
    <w:rPr>
      <w:rFonts w:ascii="宋体" w:eastAsia="宋体"/>
    </w:rPr>
  </w:style>
  <w:style w:type="paragraph" w:customStyle="1" w:styleId="235">
    <w:name w:val="标准文件_引言五级无标题"/>
    <w:basedOn w:val="219"/>
    <w:next w:val="71"/>
    <w:qFormat/>
    <w:uiPriority w:val="0"/>
    <w:pPr>
      <w:spacing w:beforeLines="0" w:afterLines="0" w:line="276" w:lineRule="auto"/>
    </w:pPr>
    <w:rPr>
      <w:rFonts w:ascii="宋体" w:eastAsia="宋体"/>
    </w:rPr>
  </w:style>
  <w:style w:type="paragraph" w:customStyle="1" w:styleId="236">
    <w:name w:val="标准文件_索引标题"/>
    <w:basedOn w:val="78"/>
    <w:next w:val="71"/>
    <w:qFormat/>
    <w:uiPriority w:val="0"/>
    <w:rPr>
      <w:rFonts w:hAnsi="黑体"/>
    </w:rPr>
  </w:style>
  <w:style w:type="paragraph" w:customStyle="1" w:styleId="237">
    <w:name w:val="标准文件_脚注内容"/>
    <w:basedOn w:val="71"/>
    <w:qFormat/>
    <w:uiPriority w:val="0"/>
    <w:pPr>
      <w:ind w:left="400" w:leftChars="200" w:hanging="200" w:hangingChars="200"/>
    </w:pPr>
    <w:rPr>
      <w:sz w:val="15"/>
    </w:rPr>
  </w:style>
  <w:style w:type="paragraph" w:customStyle="1" w:styleId="238">
    <w:name w:val="标准文件_术语条一"/>
    <w:basedOn w:val="177"/>
    <w:next w:val="71"/>
    <w:qFormat/>
    <w:uiPriority w:val="0"/>
  </w:style>
  <w:style w:type="paragraph" w:customStyle="1" w:styleId="239">
    <w:name w:val="标准文件_术语条二"/>
    <w:basedOn w:val="180"/>
    <w:next w:val="71"/>
    <w:qFormat/>
    <w:uiPriority w:val="0"/>
  </w:style>
  <w:style w:type="paragraph" w:customStyle="1" w:styleId="240">
    <w:name w:val="标准文件_术语条三"/>
    <w:basedOn w:val="179"/>
    <w:next w:val="71"/>
    <w:qFormat/>
    <w:uiPriority w:val="0"/>
  </w:style>
  <w:style w:type="paragraph" w:customStyle="1" w:styleId="241">
    <w:name w:val="标准文件_术语条四"/>
    <w:basedOn w:val="182"/>
    <w:next w:val="71"/>
    <w:qFormat/>
    <w:uiPriority w:val="0"/>
  </w:style>
  <w:style w:type="paragraph" w:customStyle="1" w:styleId="242">
    <w:name w:val="标准文件_术语条五"/>
    <w:basedOn w:val="178"/>
    <w:next w:val="71"/>
    <w:qFormat/>
    <w:uiPriority w:val="0"/>
  </w:style>
  <w:style w:type="paragraph" w:customStyle="1" w:styleId="24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4">
    <w:name w:val="发布"/>
    <w:basedOn w:val="42"/>
    <w:qFormat/>
    <w:uiPriority w:val="0"/>
    <w:rPr>
      <w:rFonts w:ascii="黑体" w:eastAsia="黑体"/>
      <w:spacing w:val="85"/>
      <w:w w:val="100"/>
      <w:position w:val="3"/>
      <w:sz w:val="28"/>
      <w:szCs w:val="28"/>
    </w:rPr>
  </w:style>
  <w:style w:type="character" w:customStyle="1" w:styleId="245">
    <w:name w:val="文档结构图 Char"/>
    <w:basedOn w:val="42"/>
    <w:link w:val="16"/>
    <w:semiHidden/>
    <w:qFormat/>
    <w:uiPriority w:val="99"/>
    <w:rPr>
      <w:rFonts w:ascii="宋体"/>
      <w:kern w:val="2"/>
      <w:sz w:val="18"/>
      <w:szCs w:val="18"/>
    </w:rPr>
  </w:style>
  <w:style w:type="paragraph" w:customStyle="1" w:styleId="246">
    <w:name w:val="一级条标题"/>
    <w:next w:val="1"/>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styleId="247">
    <w:name w:val="List Paragraph"/>
    <w:basedOn w:val="1"/>
    <w:qFormat/>
    <w:uiPriority w:val="1"/>
    <w:pPr>
      <w:ind w:firstLine="420" w:firstLineChars="200"/>
    </w:pPr>
  </w:style>
  <w:style w:type="paragraph" w:customStyle="1" w:styleId="248">
    <w:name w:val="正文表标题"/>
    <w:next w:val="1"/>
    <w:qFormat/>
    <w:uiPriority w:val="0"/>
    <w:pPr>
      <w:tabs>
        <w:tab w:val="left" w:pos="360"/>
      </w:tabs>
      <w:spacing w:beforeLines="50" w:afterLines="50"/>
      <w:ind w:left="794" w:hanging="397"/>
      <w:jc w:val="center"/>
    </w:pPr>
    <w:rPr>
      <w:rFonts w:ascii="黑体" w:hAnsi="Times New Roman" w:eastAsia="黑体" w:cs="Times New Roman"/>
      <w:sz w:val="21"/>
      <w:lang w:val="en-US" w:eastAsia="zh-CN" w:bidi="ar-SA"/>
    </w:rPr>
  </w:style>
  <w:style w:type="character" w:customStyle="1" w:styleId="249">
    <w:name w:val="Table caption|1_"/>
    <w:link w:val="250"/>
    <w:qFormat/>
    <w:uiPriority w:val="0"/>
    <w:rPr>
      <w:rFonts w:ascii="宋体" w:hAnsi="宋体" w:cs="宋体"/>
      <w:sz w:val="18"/>
      <w:szCs w:val="18"/>
      <w:lang w:val="zh-TW" w:eastAsia="zh-TW" w:bidi="zh-TW"/>
    </w:rPr>
  </w:style>
  <w:style w:type="paragraph" w:customStyle="1" w:styleId="250">
    <w:name w:val="Table caption|1"/>
    <w:basedOn w:val="1"/>
    <w:link w:val="249"/>
    <w:qFormat/>
    <w:uiPriority w:val="0"/>
    <w:pPr>
      <w:adjustRightInd/>
      <w:spacing w:line="240" w:lineRule="auto"/>
      <w:jc w:val="left"/>
    </w:pPr>
    <w:rPr>
      <w:rFonts w:ascii="宋体" w:hAnsi="宋体" w:cs="宋体"/>
      <w:kern w:val="0"/>
      <w:sz w:val="18"/>
      <w:szCs w:val="18"/>
      <w:lang w:val="zh-TW" w:eastAsia="zh-TW" w:bidi="zh-TW"/>
    </w:rPr>
  </w:style>
  <w:style w:type="character" w:customStyle="1" w:styleId="251">
    <w:name w:val="附录公式 Char"/>
    <w:basedOn w:val="252"/>
    <w:link w:val="253"/>
    <w:qFormat/>
    <w:uiPriority w:val="0"/>
  </w:style>
  <w:style w:type="character" w:customStyle="1" w:styleId="252">
    <w:name w:val="段 Char"/>
    <w:link w:val="31"/>
    <w:qFormat/>
    <w:uiPriority w:val="0"/>
    <w:rPr>
      <w:rFonts w:ascii="宋体"/>
      <w:sz w:val="21"/>
    </w:rPr>
  </w:style>
  <w:style w:type="paragraph" w:customStyle="1" w:styleId="253">
    <w:name w:val="附录公式"/>
    <w:basedOn w:val="31"/>
    <w:next w:val="31"/>
    <w:link w:val="251"/>
    <w:qFormat/>
    <w:uiPriority w:val="0"/>
  </w:style>
  <w:style w:type="character" w:customStyle="1" w:styleId="254">
    <w:name w:val="Heading #4|1_"/>
    <w:link w:val="255"/>
    <w:qFormat/>
    <w:uiPriority w:val="0"/>
    <w:rPr>
      <w:b/>
      <w:bCs/>
    </w:rPr>
  </w:style>
  <w:style w:type="paragraph" w:customStyle="1" w:styleId="255">
    <w:name w:val="Heading #4|1"/>
    <w:basedOn w:val="1"/>
    <w:link w:val="254"/>
    <w:qFormat/>
    <w:uiPriority w:val="0"/>
    <w:pPr>
      <w:adjustRightInd/>
      <w:spacing w:line="319" w:lineRule="exact"/>
      <w:jc w:val="left"/>
      <w:outlineLvl w:val="3"/>
    </w:pPr>
    <w:rPr>
      <w:b/>
      <w:bCs/>
      <w:kern w:val="0"/>
      <w:sz w:val="20"/>
      <w:szCs w:val="20"/>
    </w:rPr>
  </w:style>
  <w:style w:type="character" w:customStyle="1" w:styleId="256">
    <w:name w:val="首示例 Char"/>
    <w:link w:val="257"/>
    <w:qFormat/>
    <w:uiPriority w:val="0"/>
    <w:rPr>
      <w:rFonts w:ascii="宋体" w:hAnsi="宋体"/>
      <w:kern w:val="2"/>
      <w:sz w:val="18"/>
      <w:szCs w:val="18"/>
    </w:rPr>
  </w:style>
  <w:style w:type="paragraph" w:customStyle="1" w:styleId="257">
    <w:name w:val="首示例"/>
    <w:next w:val="31"/>
    <w:link w:val="256"/>
    <w:qFormat/>
    <w:uiPriority w:val="0"/>
    <w:pPr>
      <w:tabs>
        <w:tab w:val="left" w:pos="360"/>
      </w:tabs>
    </w:pPr>
    <w:rPr>
      <w:rFonts w:ascii="宋体" w:hAnsi="宋体" w:eastAsia="宋体" w:cs="Times New Roman"/>
      <w:kern w:val="2"/>
      <w:sz w:val="18"/>
      <w:szCs w:val="18"/>
      <w:lang w:val="en-US" w:eastAsia="zh-CN" w:bidi="ar-SA"/>
    </w:rPr>
  </w:style>
  <w:style w:type="character" w:customStyle="1" w:styleId="258">
    <w:name w:val="批注框文本 Char1"/>
    <w:qFormat/>
    <w:uiPriority w:val="0"/>
    <w:rPr>
      <w:kern w:val="2"/>
      <w:sz w:val="18"/>
      <w:szCs w:val="18"/>
    </w:rPr>
  </w:style>
  <w:style w:type="character" w:customStyle="1" w:styleId="259">
    <w:name w:val="Body text|2_"/>
    <w:basedOn w:val="42"/>
    <w:link w:val="260"/>
    <w:qFormat/>
    <w:uiPriority w:val="0"/>
    <w:rPr>
      <w:rFonts w:ascii="Times New Roman" w:hAnsi="Times New Roman"/>
    </w:rPr>
  </w:style>
  <w:style w:type="paragraph" w:customStyle="1" w:styleId="260">
    <w:name w:val="Body text|2"/>
    <w:basedOn w:val="1"/>
    <w:link w:val="259"/>
    <w:qFormat/>
    <w:uiPriority w:val="0"/>
    <w:pPr>
      <w:adjustRightInd/>
      <w:spacing w:line="322" w:lineRule="auto"/>
      <w:jc w:val="left"/>
    </w:pPr>
    <w:rPr>
      <w:rFonts w:ascii="Times New Roman" w:hAnsi="Times New Roman"/>
      <w:kern w:val="0"/>
      <w:sz w:val="20"/>
      <w:szCs w:val="20"/>
    </w:rPr>
  </w:style>
  <w:style w:type="character" w:customStyle="1" w:styleId="261">
    <w:name w:val="Body text|1_"/>
    <w:link w:val="262"/>
    <w:qFormat/>
    <w:uiPriority w:val="0"/>
    <w:rPr>
      <w:rFonts w:ascii="宋体" w:hAnsi="宋体" w:cs="宋体"/>
      <w:sz w:val="18"/>
      <w:szCs w:val="18"/>
      <w:lang w:val="zh-TW" w:eastAsia="zh-TW" w:bidi="zh-TW"/>
    </w:rPr>
  </w:style>
  <w:style w:type="paragraph" w:customStyle="1" w:styleId="262">
    <w:name w:val="Body text|1"/>
    <w:basedOn w:val="1"/>
    <w:link w:val="261"/>
    <w:qFormat/>
    <w:uiPriority w:val="0"/>
    <w:pPr>
      <w:adjustRightInd/>
      <w:spacing w:line="360" w:lineRule="auto"/>
      <w:ind w:firstLine="400"/>
      <w:jc w:val="left"/>
    </w:pPr>
    <w:rPr>
      <w:rFonts w:ascii="宋体" w:hAnsi="宋体" w:cs="宋体"/>
      <w:kern w:val="0"/>
      <w:sz w:val="18"/>
      <w:szCs w:val="18"/>
      <w:lang w:val="zh-TW" w:eastAsia="zh-TW" w:bidi="zh-TW"/>
    </w:rPr>
  </w:style>
  <w:style w:type="character" w:customStyle="1" w:styleId="263">
    <w:name w:val="Other|1_"/>
    <w:link w:val="264"/>
    <w:qFormat/>
    <w:uiPriority w:val="0"/>
    <w:rPr>
      <w:rFonts w:ascii="宋体" w:hAnsi="宋体" w:cs="宋体"/>
      <w:sz w:val="18"/>
      <w:szCs w:val="18"/>
      <w:lang w:val="zh-TW" w:eastAsia="zh-TW" w:bidi="zh-TW"/>
    </w:rPr>
  </w:style>
  <w:style w:type="paragraph" w:customStyle="1" w:styleId="264">
    <w:name w:val="Other|1"/>
    <w:basedOn w:val="1"/>
    <w:link w:val="263"/>
    <w:qFormat/>
    <w:uiPriority w:val="0"/>
    <w:pPr>
      <w:adjustRightInd/>
      <w:spacing w:line="360" w:lineRule="auto"/>
      <w:ind w:firstLine="400"/>
      <w:jc w:val="left"/>
    </w:pPr>
    <w:rPr>
      <w:rFonts w:ascii="宋体" w:hAnsi="宋体" w:cs="宋体"/>
      <w:kern w:val="0"/>
      <w:sz w:val="18"/>
      <w:szCs w:val="18"/>
      <w:lang w:val="zh-TW" w:eastAsia="zh-TW" w:bidi="zh-TW"/>
    </w:rPr>
  </w:style>
  <w:style w:type="character" w:customStyle="1" w:styleId="265">
    <w:name w:val="Picture caption|1_"/>
    <w:link w:val="266"/>
    <w:qFormat/>
    <w:uiPriority w:val="0"/>
    <w:rPr>
      <w:rFonts w:ascii="宋体" w:hAnsi="宋体" w:cs="宋体"/>
      <w:sz w:val="18"/>
      <w:szCs w:val="18"/>
      <w:lang w:val="zh-TW" w:eastAsia="zh-TW" w:bidi="zh-TW"/>
    </w:rPr>
  </w:style>
  <w:style w:type="paragraph" w:customStyle="1" w:styleId="266">
    <w:name w:val="Picture caption|1"/>
    <w:basedOn w:val="1"/>
    <w:link w:val="265"/>
    <w:qFormat/>
    <w:uiPriority w:val="0"/>
    <w:pPr>
      <w:adjustRightInd/>
      <w:spacing w:line="240" w:lineRule="auto"/>
      <w:jc w:val="left"/>
    </w:pPr>
    <w:rPr>
      <w:rFonts w:ascii="宋体" w:hAnsi="宋体" w:cs="宋体"/>
      <w:kern w:val="0"/>
      <w:sz w:val="18"/>
      <w:szCs w:val="18"/>
      <w:lang w:val="zh-TW" w:eastAsia="zh-TW" w:bidi="zh-TW"/>
    </w:rPr>
  </w:style>
  <w:style w:type="paragraph" w:customStyle="1" w:styleId="2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8">
    <w:name w:val="附录三级条标题"/>
    <w:basedOn w:val="269"/>
    <w:next w:val="31"/>
    <w:qFormat/>
    <w:uiPriority w:val="0"/>
    <w:pPr>
      <w:tabs>
        <w:tab w:val="left" w:pos="360"/>
        <w:tab w:val="left" w:pos="2678"/>
        <w:tab w:val="left" w:pos="3098"/>
      </w:tabs>
      <w:ind w:left="3098"/>
      <w:outlineLvl w:val="4"/>
    </w:pPr>
  </w:style>
  <w:style w:type="paragraph" w:customStyle="1" w:styleId="269">
    <w:name w:val="附录二级条标题"/>
    <w:basedOn w:val="1"/>
    <w:next w:val="31"/>
    <w:qFormat/>
    <w:uiPriority w:val="0"/>
    <w:pPr>
      <w:widowControl/>
      <w:tabs>
        <w:tab w:val="left" w:pos="360"/>
        <w:tab w:val="left" w:pos="2678"/>
      </w:tabs>
      <w:wordWrap w:val="0"/>
      <w:overflowPunct w:val="0"/>
      <w:autoSpaceDE w:val="0"/>
      <w:autoSpaceDN w:val="0"/>
      <w:adjustRightInd/>
      <w:spacing w:beforeLines="50" w:afterLines="50" w:line="240" w:lineRule="auto"/>
      <w:ind w:left="2678" w:hanging="420"/>
      <w:textAlignment w:val="baseline"/>
      <w:outlineLvl w:val="3"/>
    </w:pPr>
    <w:rPr>
      <w:rFonts w:ascii="黑体" w:hAnsi="Times New Roman" w:eastAsia="黑体"/>
      <w:kern w:val="21"/>
      <w:szCs w:val="20"/>
    </w:rPr>
  </w:style>
  <w:style w:type="character" w:customStyle="1" w:styleId="270">
    <w:name w:val="尾注文本 Char"/>
    <w:basedOn w:val="42"/>
    <w:link w:val="23"/>
    <w:semiHidden/>
    <w:qFormat/>
    <w:uiPriority w:val="0"/>
    <w:rPr>
      <w:rFonts w:ascii="Times New Roman" w:hAnsi="Times New Roman"/>
      <w:kern w:val="2"/>
      <w:sz w:val="21"/>
      <w:szCs w:val="24"/>
    </w:rPr>
  </w:style>
  <w:style w:type="character" w:customStyle="1" w:styleId="271">
    <w:name w:val="尾注文本 Char1"/>
    <w:basedOn w:val="42"/>
    <w:link w:val="23"/>
    <w:semiHidden/>
    <w:qFormat/>
    <w:uiPriority w:val="99"/>
    <w:rPr>
      <w:kern w:val="2"/>
      <w:sz w:val="21"/>
      <w:szCs w:val="21"/>
    </w:rPr>
  </w:style>
  <w:style w:type="paragraph" w:customStyle="1" w:styleId="272">
    <w:name w:val="附录五级条标题"/>
    <w:basedOn w:val="273"/>
    <w:next w:val="31"/>
    <w:qFormat/>
    <w:uiPriority w:val="0"/>
    <w:pPr>
      <w:tabs>
        <w:tab w:val="left" w:pos="360"/>
        <w:tab w:val="left" w:pos="2678"/>
        <w:tab w:val="left" w:pos="3098"/>
      </w:tabs>
      <w:outlineLvl w:val="6"/>
    </w:pPr>
  </w:style>
  <w:style w:type="paragraph" w:customStyle="1" w:styleId="273">
    <w:name w:val="附录四级条标题"/>
    <w:basedOn w:val="268"/>
    <w:next w:val="31"/>
    <w:qFormat/>
    <w:uiPriority w:val="0"/>
    <w:pPr>
      <w:outlineLvl w:val="5"/>
    </w:pPr>
  </w:style>
  <w:style w:type="paragraph" w:customStyle="1" w:styleId="274">
    <w:name w:val="章标题"/>
    <w:next w:val="31"/>
    <w:qFormat/>
    <w:uiPriority w:val="0"/>
    <w:pPr>
      <w:spacing w:beforeLines="100" w:afterLines="100"/>
      <w:ind w:left="823" w:hanging="420"/>
      <w:jc w:val="both"/>
      <w:outlineLvl w:val="1"/>
    </w:pPr>
    <w:rPr>
      <w:rFonts w:ascii="黑体" w:hAnsi="Times New Roman" w:eastAsia="黑体" w:cs="Times New Roman"/>
      <w:sz w:val="21"/>
      <w:lang w:val="en-US" w:eastAsia="zh-CN" w:bidi="ar-SA"/>
    </w:rPr>
  </w:style>
  <w:style w:type="paragraph" w:customStyle="1" w:styleId="275">
    <w:name w:val="正文图标题"/>
    <w:next w:val="3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7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7">
    <w:name w:val="五级条标题"/>
    <w:basedOn w:val="278"/>
    <w:next w:val="31"/>
    <w:qFormat/>
    <w:uiPriority w:val="0"/>
    <w:pPr>
      <w:tabs>
        <w:tab w:val="left" w:pos="1260"/>
        <w:tab w:val="left" w:pos="1680"/>
        <w:tab w:val="left" w:pos="2100"/>
        <w:tab w:val="left" w:pos="2520"/>
      </w:tabs>
      <w:ind w:left="2520"/>
      <w:outlineLvl w:val="6"/>
    </w:pPr>
  </w:style>
  <w:style w:type="paragraph" w:customStyle="1" w:styleId="278">
    <w:name w:val="四级条标题"/>
    <w:basedOn w:val="279"/>
    <w:next w:val="31"/>
    <w:qFormat/>
    <w:uiPriority w:val="0"/>
    <w:pPr>
      <w:tabs>
        <w:tab w:val="left" w:pos="1260"/>
        <w:tab w:val="left" w:pos="1680"/>
        <w:tab w:val="left" w:pos="2100"/>
      </w:tabs>
      <w:ind w:left="2100"/>
      <w:outlineLvl w:val="5"/>
    </w:pPr>
  </w:style>
  <w:style w:type="paragraph" w:customStyle="1" w:styleId="279">
    <w:name w:val="三级条标题"/>
    <w:basedOn w:val="280"/>
    <w:next w:val="31"/>
    <w:qFormat/>
    <w:uiPriority w:val="0"/>
    <w:pPr>
      <w:tabs>
        <w:tab w:val="left" w:pos="1260"/>
        <w:tab w:val="left" w:pos="1680"/>
      </w:tabs>
      <w:ind w:left="1680"/>
      <w:outlineLvl w:val="4"/>
    </w:pPr>
  </w:style>
  <w:style w:type="paragraph" w:customStyle="1" w:styleId="280">
    <w:name w:val="二级条标题"/>
    <w:basedOn w:val="246"/>
    <w:next w:val="31"/>
    <w:qFormat/>
    <w:uiPriority w:val="0"/>
    <w:pPr>
      <w:tabs>
        <w:tab w:val="left" w:pos="1260"/>
        <w:tab w:val="clear" w:pos="360"/>
      </w:tabs>
      <w:spacing w:before="50" w:after="50"/>
      <w:ind w:left="1260" w:hanging="420"/>
      <w:outlineLvl w:val="3"/>
    </w:pPr>
  </w:style>
  <w:style w:type="paragraph" w:customStyle="1" w:styleId="281">
    <w:name w:val="五级无"/>
    <w:basedOn w:val="277"/>
    <w:qFormat/>
    <w:uiPriority w:val="0"/>
    <w:pPr>
      <w:spacing w:beforeLines="0" w:afterLines="0"/>
    </w:pPr>
    <w:rPr>
      <w:rFonts w:ascii="宋体" w:eastAsia="宋体"/>
    </w:rPr>
  </w:style>
  <w:style w:type="paragraph" w:customStyle="1" w:styleId="282">
    <w:name w:val="一级无"/>
    <w:basedOn w:val="246"/>
    <w:qFormat/>
    <w:uiPriority w:val="0"/>
    <w:pPr>
      <w:tabs>
        <w:tab w:val="left" w:pos="840"/>
        <w:tab w:val="clear" w:pos="360"/>
      </w:tabs>
      <w:spacing w:beforeLines="0" w:afterLines="0"/>
      <w:ind w:left="426" w:hanging="420"/>
    </w:pPr>
    <w:rPr>
      <w:rFonts w:ascii="宋体" w:eastAsia="宋体"/>
    </w:rPr>
  </w:style>
  <w:style w:type="paragraph" w:customStyle="1" w:styleId="283">
    <w:name w:val="示例"/>
    <w:next w:val="284"/>
    <w:qFormat/>
    <w:uiPriority w:val="0"/>
    <w:pPr>
      <w:widowControl w:val="0"/>
      <w:jc w:val="both"/>
    </w:pPr>
    <w:rPr>
      <w:rFonts w:ascii="宋体" w:hAnsi="Times New Roman" w:eastAsia="宋体" w:cs="Times New Roman"/>
      <w:sz w:val="18"/>
      <w:szCs w:val="18"/>
      <w:lang w:val="en-US" w:eastAsia="zh-CN" w:bidi="ar-SA"/>
    </w:rPr>
  </w:style>
  <w:style w:type="paragraph" w:customStyle="1" w:styleId="28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5">
    <w:name w:val="三级无"/>
    <w:basedOn w:val="279"/>
    <w:qFormat/>
    <w:uiPriority w:val="0"/>
    <w:pPr>
      <w:spacing w:beforeLines="0" w:afterLines="0"/>
    </w:pPr>
    <w:rPr>
      <w:rFonts w:ascii="宋体" w:eastAsia="宋体"/>
    </w:rPr>
  </w:style>
  <w:style w:type="paragraph" w:customStyle="1" w:styleId="2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7">
    <w:name w:val="图标脚注说明"/>
    <w:basedOn w:val="31"/>
    <w:qFormat/>
    <w:uiPriority w:val="0"/>
    <w:pPr>
      <w:ind w:left="840" w:hanging="420" w:firstLineChars="0"/>
    </w:pPr>
    <w:rPr>
      <w:sz w:val="18"/>
      <w:szCs w:val="18"/>
    </w:rPr>
  </w:style>
  <w:style w:type="paragraph" w:customStyle="1" w:styleId="288">
    <w:name w:val="参考文献"/>
    <w:basedOn w:val="1"/>
    <w:next w:val="31"/>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89">
    <w:name w:val="条文脚注"/>
    <w:basedOn w:val="32"/>
    <w:qFormat/>
    <w:uiPriority w:val="0"/>
    <w:pPr>
      <w:tabs>
        <w:tab w:val="left" w:pos="0"/>
      </w:tabs>
      <w:spacing w:line="240" w:lineRule="auto"/>
      <w:ind w:left="0" w:leftChars="0" w:firstLine="0" w:firstLineChars="0"/>
      <w:jc w:val="both"/>
    </w:pPr>
    <w:rPr>
      <w:rFonts w:hAnsi="Times New Roman"/>
    </w:rPr>
  </w:style>
  <w:style w:type="paragraph" w:customStyle="1" w:styleId="290">
    <w:name w:val="列项说明"/>
    <w:basedOn w:val="1"/>
    <w:qFormat/>
    <w:uiPriority w:val="0"/>
    <w:pPr>
      <w:spacing w:line="320" w:lineRule="exact"/>
      <w:ind w:left="400" w:leftChars="200" w:hanging="200" w:hangingChars="200"/>
      <w:jc w:val="left"/>
      <w:textAlignment w:val="baseline"/>
    </w:pPr>
    <w:rPr>
      <w:rFonts w:ascii="宋体" w:hAnsi="Times New Roman"/>
      <w:kern w:val="0"/>
      <w:szCs w:val="20"/>
    </w:rPr>
  </w:style>
  <w:style w:type="paragraph" w:customStyle="1" w:styleId="291">
    <w:name w:val="封面标准文稿编辑信息2"/>
    <w:basedOn w:val="138"/>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92">
    <w:name w:val="附录二级无"/>
    <w:basedOn w:val="269"/>
    <w:qFormat/>
    <w:uiPriority w:val="0"/>
    <w:pPr>
      <w:tabs>
        <w:tab w:val="clear" w:pos="360"/>
      </w:tabs>
      <w:spacing w:beforeLines="0" w:afterLines="0"/>
    </w:pPr>
    <w:rPr>
      <w:rFonts w:ascii="宋体" w:eastAsia="宋体"/>
      <w:szCs w:val="21"/>
    </w:rPr>
  </w:style>
  <w:style w:type="paragraph" w:customStyle="1" w:styleId="293">
    <w:name w:val="附录三级无"/>
    <w:basedOn w:val="268"/>
    <w:qFormat/>
    <w:uiPriority w:val="0"/>
    <w:pPr>
      <w:tabs>
        <w:tab w:val="clear" w:pos="360"/>
      </w:tabs>
      <w:spacing w:beforeLines="0" w:afterLines="0"/>
    </w:pPr>
    <w:rPr>
      <w:rFonts w:ascii="宋体" w:eastAsia="宋体"/>
      <w:szCs w:val="21"/>
    </w:rPr>
  </w:style>
  <w:style w:type="paragraph" w:customStyle="1" w:styleId="294">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95">
    <w:name w:val="正文公式编号制表符"/>
    <w:basedOn w:val="31"/>
    <w:next w:val="31"/>
    <w:qFormat/>
    <w:uiPriority w:val="0"/>
    <w:pPr>
      <w:ind w:firstLine="0" w:firstLineChars="0"/>
    </w:pPr>
  </w:style>
  <w:style w:type="paragraph" w:customStyle="1" w:styleId="296">
    <w:name w:val="封面标准文稿类别2"/>
    <w:basedOn w:val="139"/>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7">
    <w:name w:val="列项——（一级）"/>
    <w:qFormat/>
    <w:uiPriority w:val="0"/>
    <w:pPr>
      <w:widowControl w:val="0"/>
      <w:ind w:left="1588"/>
      <w:jc w:val="both"/>
    </w:pPr>
    <w:rPr>
      <w:rFonts w:ascii="宋体" w:hAnsi="Times New Roman" w:eastAsia="宋体" w:cs="Times New Roman"/>
      <w:sz w:val="21"/>
      <w:lang w:val="en-US" w:eastAsia="zh-CN" w:bidi="ar-SA"/>
    </w:rPr>
  </w:style>
  <w:style w:type="paragraph" w:customStyle="1" w:styleId="298">
    <w:name w:val="四级无"/>
    <w:basedOn w:val="278"/>
    <w:qFormat/>
    <w:uiPriority w:val="0"/>
    <w:pPr>
      <w:spacing w:beforeLines="0" w:afterLines="0"/>
    </w:pPr>
    <w:rPr>
      <w:rFonts w:ascii="宋体" w:eastAsia="宋体"/>
    </w:rPr>
  </w:style>
  <w:style w:type="paragraph" w:customStyle="1" w:styleId="299">
    <w:name w:val="附录图标题"/>
    <w:basedOn w:val="1"/>
    <w:next w:val="31"/>
    <w:qFormat/>
    <w:uiPriority w:val="0"/>
    <w:pPr>
      <w:tabs>
        <w:tab w:val="left" w:pos="363"/>
        <w:tab w:val="left" w:pos="840"/>
      </w:tabs>
      <w:adjustRightInd/>
      <w:spacing w:beforeLines="50" w:afterLines="50" w:line="240" w:lineRule="auto"/>
      <w:jc w:val="center"/>
    </w:pPr>
    <w:rPr>
      <w:rFonts w:ascii="黑体" w:hAnsi="Times New Roman" w:eastAsia="黑体"/>
    </w:rPr>
  </w:style>
  <w:style w:type="paragraph" w:customStyle="1" w:styleId="300">
    <w:name w:val="目次、标准名称标题"/>
    <w:basedOn w:val="1"/>
    <w:next w:val="31"/>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01">
    <w:name w:val="封面标准名称2"/>
    <w:basedOn w:val="137"/>
    <w:qFormat/>
    <w:uiPriority w:val="0"/>
    <w:pPr>
      <w:framePr w:w="9639" w:wrap="around" w:vAnchor="page" w:hAnchor="page" w:y="4469"/>
      <w:spacing w:beforeLines="630"/>
    </w:pPr>
  </w:style>
  <w:style w:type="paragraph" w:customStyle="1" w:styleId="302">
    <w:name w:val="注：（正文）"/>
    <w:basedOn w:val="303"/>
    <w:next w:val="31"/>
    <w:qFormat/>
    <w:uiPriority w:val="0"/>
    <w:pPr>
      <w:tabs>
        <w:tab w:val="left" w:pos="760"/>
      </w:tabs>
    </w:pPr>
  </w:style>
  <w:style w:type="paragraph" w:customStyle="1" w:styleId="303">
    <w:name w:val="注："/>
    <w:next w:val="31"/>
    <w:qFormat/>
    <w:uiPriority w:val="0"/>
    <w:pPr>
      <w:widowControl w:val="0"/>
      <w:tabs>
        <w:tab w:val="left" w:pos="760"/>
      </w:tabs>
      <w:autoSpaceDE w:val="0"/>
      <w:autoSpaceDN w:val="0"/>
      <w:ind w:left="760" w:hanging="284"/>
      <w:jc w:val="both"/>
    </w:pPr>
    <w:rPr>
      <w:rFonts w:ascii="宋体" w:hAnsi="Times New Roman" w:eastAsia="宋体" w:cs="Times New Roman"/>
      <w:sz w:val="18"/>
      <w:szCs w:val="18"/>
      <w:lang w:val="en-US" w:eastAsia="zh-CN" w:bidi="ar-SA"/>
    </w:rPr>
  </w:style>
  <w:style w:type="paragraph" w:customStyle="1" w:styleId="30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5">
    <w:name w:val="注×：（正文）"/>
    <w:qFormat/>
    <w:uiPriority w:val="0"/>
    <w:pPr>
      <w:jc w:val="both"/>
    </w:pPr>
    <w:rPr>
      <w:rFonts w:ascii="宋体" w:hAnsi="Times New Roman" w:eastAsia="宋体" w:cs="Times New Roman"/>
      <w:sz w:val="18"/>
      <w:szCs w:val="18"/>
      <w:lang w:val="en-US" w:eastAsia="zh-CN" w:bidi="ar-SA"/>
    </w:rPr>
  </w:style>
  <w:style w:type="paragraph" w:customStyle="1" w:styleId="306">
    <w:name w:val="数字编号列项（二级）"/>
    <w:qFormat/>
    <w:uiPriority w:val="0"/>
    <w:pPr>
      <w:tabs>
        <w:tab w:val="left" w:pos="1260"/>
      </w:tabs>
      <w:jc w:val="both"/>
    </w:pPr>
    <w:rPr>
      <w:rFonts w:ascii="宋体" w:hAnsi="Times New Roman" w:eastAsia="宋体" w:cs="Times New Roman"/>
      <w:sz w:val="21"/>
      <w:lang w:val="en-US" w:eastAsia="zh-CN" w:bidi="ar-SA"/>
    </w:rPr>
  </w:style>
  <w:style w:type="paragraph" w:customStyle="1" w:styleId="307">
    <w:name w:val="附录标题"/>
    <w:basedOn w:val="31"/>
    <w:next w:val="31"/>
    <w:qFormat/>
    <w:uiPriority w:val="0"/>
    <w:pPr>
      <w:ind w:firstLine="0" w:firstLineChars="0"/>
      <w:jc w:val="center"/>
    </w:pPr>
    <w:rPr>
      <w:rFonts w:ascii="黑体" w:eastAsia="黑体"/>
    </w:rPr>
  </w:style>
  <w:style w:type="paragraph" w:customStyle="1" w:styleId="3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09">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10">
    <w:name w:val="附录公式编号制表符"/>
    <w:basedOn w:val="1"/>
    <w:next w:val="31"/>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311">
    <w:name w:val="附录五级无"/>
    <w:basedOn w:val="272"/>
    <w:qFormat/>
    <w:uiPriority w:val="0"/>
    <w:pPr>
      <w:tabs>
        <w:tab w:val="clear" w:pos="360"/>
      </w:tabs>
      <w:spacing w:beforeLines="0" w:afterLines="0"/>
    </w:pPr>
    <w:rPr>
      <w:rFonts w:ascii="宋体" w:eastAsia="宋体"/>
      <w:szCs w:val="21"/>
    </w:rPr>
  </w:style>
  <w:style w:type="paragraph" w:customStyle="1" w:styleId="312">
    <w:name w:val="附录章标题"/>
    <w:next w:val="31"/>
    <w:qFormat/>
    <w:uiPriority w:val="0"/>
    <w:pPr>
      <w:tabs>
        <w:tab w:val="left" w:pos="360"/>
        <w:tab w:val="left" w:pos="1838"/>
      </w:tabs>
      <w:wordWrap w:val="0"/>
      <w:overflowPunct w:val="0"/>
      <w:autoSpaceDE w:val="0"/>
      <w:spacing w:beforeLines="100" w:afterLines="100"/>
      <w:ind w:left="1838"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13">
    <w:name w:val="示例后文字"/>
    <w:basedOn w:val="31"/>
    <w:next w:val="31"/>
    <w:qFormat/>
    <w:uiPriority w:val="0"/>
    <w:pPr>
      <w:ind w:firstLine="360"/>
    </w:pPr>
    <w:rPr>
      <w:sz w:val="18"/>
    </w:rPr>
  </w:style>
  <w:style w:type="paragraph" w:customStyle="1" w:styleId="314">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315">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316">
    <w:name w:val="列项●（二级）"/>
    <w:qFormat/>
    <w:uiPriority w:val="0"/>
    <w:pPr>
      <w:tabs>
        <w:tab w:val="left" w:pos="760"/>
        <w:tab w:val="left" w:pos="840"/>
      </w:tabs>
      <w:ind w:left="1588"/>
      <w:jc w:val="both"/>
    </w:pPr>
    <w:rPr>
      <w:rFonts w:ascii="宋体" w:hAnsi="Times New Roman" w:eastAsia="宋体" w:cs="Times New Roman"/>
      <w:sz w:val="21"/>
      <w:lang w:val="en-US" w:eastAsia="zh-CN" w:bidi="ar-SA"/>
    </w:rPr>
  </w:style>
  <w:style w:type="paragraph" w:customStyle="1" w:styleId="317">
    <w:name w:val="示例×："/>
    <w:basedOn w:val="274"/>
    <w:qFormat/>
    <w:uiPriority w:val="0"/>
    <w:pPr>
      <w:tabs>
        <w:tab w:val="left" w:pos="330"/>
      </w:tabs>
      <w:spacing w:beforeLines="0" w:afterLines="0"/>
      <w:ind w:left="948"/>
      <w:outlineLvl w:val="9"/>
    </w:pPr>
    <w:rPr>
      <w:rFonts w:ascii="宋体" w:eastAsia="宋体"/>
      <w:sz w:val="18"/>
      <w:szCs w:val="18"/>
    </w:rPr>
  </w:style>
  <w:style w:type="paragraph" w:customStyle="1" w:styleId="318">
    <w:name w:val="封面一致性程度标识2"/>
    <w:basedOn w:val="141"/>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19">
    <w:name w:val="标准书眉_偶数页"/>
    <w:basedOn w:val="320"/>
    <w:next w:val="1"/>
    <w:qFormat/>
    <w:uiPriority w:val="0"/>
    <w:pPr>
      <w:tabs>
        <w:tab w:val="center" w:pos="4154"/>
        <w:tab w:val="right" w:pos="8306"/>
      </w:tabs>
      <w:jc w:val="left"/>
    </w:pPr>
  </w:style>
  <w:style w:type="paragraph" w:customStyle="1" w:styleId="3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1">
    <w:name w:val="附录数字编号列项（二级）"/>
    <w:qFormat/>
    <w:uiPriority w:val="0"/>
    <w:pPr>
      <w:tabs>
        <w:tab w:val="left" w:pos="840"/>
      </w:tabs>
    </w:pPr>
    <w:rPr>
      <w:rFonts w:ascii="宋体" w:hAnsi="Times New Roman" w:eastAsia="宋体" w:cs="Times New Roman"/>
      <w:sz w:val="21"/>
      <w:lang w:val="en-US" w:eastAsia="zh-CN" w:bidi="ar-SA"/>
    </w:rPr>
  </w:style>
  <w:style w:type="paragraph" w:customStyle="1" w:styleId="322">
    <w:name w:val="附录图标号"/>
    <w:basedOn w:val="1"/>
    <w:qFormat/>
    <w:uiPriority w:val="0"/>
    <w:pPr>
      <w:keepNext/>
      <w:pageBreakBefore/>
      <w:widowControl/>
      <w:tabs>
        <w:tab w:val="left" w:pos="845"/>
      </w:tabs>
      <w:adjustRightInd/>
      <w:spacing w:line="14" w:lineRule="exact"/>
      <w:ind w:firstLine="363"/>
      <w:jc w:val="center"/>
      <w:outlineLvl w:val="0"/>
    </w:pPr>
    <w:rPr>
      <w:rFonts w:ascii="Times New Roman" w:hAnsi="Times New Roman"/>
      <w:color w:val="FFFFFF"/>
      <w:szCs w:val="24"/>
    </w:rPr>
  </w:style>
  <w:style w:type="paragraph" w:customStyle="1" w:styleId="323">
    <w:name w:val="附录一级条标题"/>
    <w:basedOn w:val="312"/>
    <w:next w:val="31"/>
    <w:qFormat/>
    <w:uiPriority w:val="0"/>
    <w:pPr>
      <w:autoSpaceDN w:val="0"/>
      <w:spacing w:beforeLines="50" w:afterLines="50"/>
      <w:outlineLvl w:val="2"/>
    </w:pPr>
  </w:style>
  <w:style w:type="paragraph" w:customStyle="1" w:styleId="324">
    <w:name w:val="附录一级无"/>
    <w:basedOn w:val="323"/>
    <w:qFormat/>
    <w:uiPriority w:val="0"/>
    <w:pPr>
      <w:tabs>
        <w:tab w:val="clear" w:pos="360"/>
      </w:tabs>
      <w:spacing w:beforeLines="0" w:afterLines="0"/>
    </w:pPr>
    <w:rPr>
      <w:rFonts w:ascii="宋体" w:eastAsia="宋体"/>
      <w:szCs w:val="21"/>
    </w:rPr>
  </w:style>
  <w:style w:type="paragraph" w:customStyle="1" w:styleId="325">
    <w:name w:val="列项◆（三级）"/>
    <w:basedOn w:val="1"/>
    <w:qFormat/>
    <w:uiPriority w:val="0"/>
    <w:pPr>
      <w:tabs>
        <w:tab w:val="left" w:pos="1678"/>
      </w:tabs>
      <w:adjustRightInd/>
      <w:spacing w:line="240" w:lineRule="auto"/>
      <w:ind w:left="1588"/>
    </w:pPr>
    <w:rPr>
      <w:rFonts w:ascii="宋体" w:hAnsi="Times New Roman"/>
    </w:rPr>
  </w:style>
  <w:style w:type="paragraph" w:customStyle="1" w:styleId="326">
    <w:name w:val="其他标准标志"/>
    <w:basedOn w:val="64"/>
    <w:qFormat/>
    <w:uiPriority w:val="0"/>
    <w:pPr>
      <w:framePr w:w="6101" w:h="1389" w:hRule="exact" w:hSpace="181" w:vSpace="181" w:wrap="around" w:vAnchor="page" w:hAnchor="page" w:x="4673" w:y="942"/>
    </w:pPr>
    <w:rPr>
      <w:szCs w:val="96"/>
    </w:rPr>
  </w:style>
  <w:style w:type="paragraph" w:customStyle="1" w:styleId="327">
    <w:name w:val="封面标准英文名称2"/>
    <w:basedOn w:val="140"/>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28">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9">
    <w:name w:val="二级无"/>
    <w:basedOn w:val="280"/>
    <w:qFormat/>
    <w:uiPriority w:val="0"/>
    <w:pPr>
      <w:spacing w:beforeLines="0" w:afterLines="0"/>
    </w:pPr>
    <w:rPr>
      <w:rFonts w:ascii="宋体" w:eastAsia="宋体"/>
    </w:rPr>
  </w:style>
  <w:style w:type="paragraph" w:customStyle="1" w:styleId="330">
    <w:name w:val="附录表标题"/>
    <w:basedOn w:val="1"/>
    <w:next w:val="31"/>
    <w:qFormat/>
    <w:uiPriority w:val="0"/>
    <w:pPr>
      <w:tabs>
        <w:tab w:val="left" w:pos="180"/>
        <w:tab w:val="left" w:pos="1310"/>
      </w:tabs>
      <w:adjustRightInd/>
      <w:spacing w:beforeLines="50" w:afterLines="50" w:line="240" w:lineRule="auto"/>
      <w:jc w:val="center"/>
    </w:pPr>
    <w:rPr>
      <w:rFonts w:ascii="黑体" w:hAnsi="Times New Roman" w:eastAsia="黑体"/>
    </w:rPr>
  </w:style>
  <w:style w:type="paragraph" w:customStyle="1" w:styleId="331">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332">
    <w:name w:val="编号列项（三级）"/>
    <w:qFormat/>
    <w:uiPriority w:val="0"/>
    <w:pPr>
      <w:tabs>
        <w:tab w:val="left" w:pos="0"/>
      </w:tabs>
    </w:pPr>
    <w:rPr>
      <w:rFonts w:ascii="宋体" w:hAnsi="Times New Roman" w:eastAsia="宋体" w:cs="Times New Roman"/>
      <w:sz w:val="21"/>
      <w:lang w:val="en-US" w:eastAsia="zh-CN" w:bidi="ar-SA"/>
    </w:rPr>
  </w:style>
  <w:style w:type="paragraph" w:customStyle="1" w:styleId="333">
    <w:name w:val="附录表标号"/>
    <w:basedOn w:val="1"/>
    <w:next w:val="31"/>
    <w:qFormat/>
    <w:uiPriority w:val="0"/>
    <w:pPr>
      <w:tabs>
        <w:tab w:val="left" w:pos="851"/>
      </w:tabs>
      <w:adjustRightInd/>
      <w:spacing w:line="14" w:lineRule="exact"/>
      <w:ind w:left="811" w:hanging="448"/>
      <w:jc w:val="center"/>
      <w:outlineLvl w:val="0"/>
    </w:pPr>
    <w:rPr>
      <w:rFonts w:ascii="Times New Roman" w:hAnsi="Times New Roman"/>
      <w:color w:val="FFFFFF"/>
      <w:szCs w:val="24"/>
    </w:rPr>
  </w:style>
  <w:style w:type="paragraph" w:customStyle="1" w:styleId="334">
    <w:name w:val="附录四级无"/>
    <w:basedOn w:val="273"/>
    <w:qFormat/>
    <w:uiPriority w:val="0"/>
    <w:pPr>
      <w:tabs>
        <w:tab w:val="clear" w:pos="360"/>
      </w:tabs>
      <w:spacing w:beforeLines="0" w:afterLines="0"/>
    </w:pPr>
    <w:rPr>
      <w:rFonts w:ascii="宋体" w:eastAsia="宋体"/>
      <w:szCs w:val="21"/>
    </w:rPr>
  </w:style>
  <w:style w:type="paragraph" w:customStyle="1" w:styleId="335">
    <w:name w:val="附录标识"/>
    <w:basedOn w:val="1"/>
    <w:next w:val="31"/>
    <w:qFormat/>
    <w:uiPriority w:val="0"/>
    <w:pPr>
      <w:keepNext/>
      <w:widowControl/>
      <w:shd w:val="clear" w:color="FFFFFF" w:fill="FFFFFF"/>
      <w:tabs>
        <w:tab w:val="left" w:pos="360"/>
        <w:tab w:val="left" w:pos="1646"/>
        <w:tab w:val="left" w:pos="6405"/>
      </w:tabs>
      <w:adjustRightInd/>
      <w:spacing w:before="640" w:after="280" w:line="240" w:lineRule="auto"/>
      <w:ind w:left="1646" w:hanging="648"/>
      <w:jc w:val="center"/>
      <w:outlineLvl w:val="0"/>
    </w:pPr>
    <w:rPr>
      <w:rFonts w:ascii="黑体" w:hAnsi="Times New Roman" w:eastAsia="黑体"/>
      <w:kern w:val="0"/>
      <w:szCs w:val="20"/>
    </w:rPr>
  </w:style>
  <w:style w:type="paragraph" w:customStyle="1" w:styleId="336">
    <w:name w:val="参考文献、索引标题"/>
    <w:basedOn w:val="1"/>
    <w:next w:val="31"/>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37">
    <w:name w:val="Table Paragraph"/>
    <w:basedOn w:val="1"/>
    <w:qFormat/>
    <w:uiPriority w:val="1"/>
    <w:pPr>
      <w:autoSpaceDE w:val="0"/>
      <w:autoSpaceDN w:val="0"/>
      <w:adjustRightInd/>
      <w:spacing w:line="240" w:lineRule="auto"/>
      <w:jc w:val="left"/>
    </w:pPr>
    <w:rPr>
      <w:rFonts w:ascii="宋体" w:hAnsi="宋体" w:cs="宋体"/>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FA2CAEE72A040D8B24D75761DE8FB9A"/>
        <w:style w:val=""/>
        <w:category>
          <w:name w:val="常规"/>
          <w:gallery w:val="placeholder"/>
        </w:category>
        <w:types>
          <w:type w:val="bbPlcHdr"/>
        </w:types>
        <w:behaviors>
          <w:behavior w:val="content"/>
        </w:behaviors>
        <w:description w:val=""/>
        <w:guid w:val="{49ABD3A3-728B-43FA-AF94-8B79BEA0787F}"/>
      </w:docPartPr>
      <w:docPartBody>
        <w:p>
          <w:pPr>
            <w:pStyle w:val="5"/>
          </w:pPr>
          <w:r>
            <w:rPr>
              <w:rStyle w:val="4"/>
              <w:rFonts w:hint="eastAsia"/>
            </w:rPr>
            <w:t>单击或点击此处输入文字。</w:t>
          </w:r>
        </w:p>
      </w:docPartBody>
    </w:docPart>
    <w:docPart>
      <w:docPartPr>
        <w:name w:val="CECD3ED80B0B4CCF8CD4393E6996D93B"/>
        <w:style w:val=""/>
        <w:category>
          <w:name w:val="常规"/>
          <w:gallery w:val="placeholder"/>
        </w:category>
        <w:types>
          <w:type w:val="bbPlcHdr"/>
        </w:types>
        <w:behaviors>
          <w:behavior w:val="content"/>
        </w:behaviors>
        <w:description w:val=""/>
        <w:guid w:val="{AEB9D4FA-8598-4824-8E71-F482518DD5EA}"/>
      </w:docPartPr>
      <w:docPartBody>
        <w:p>
          <w:pPr>
            <w:pStyle w:val="6"/>
          </w:pPr>
          <w:r>
            <w:rPr>
              <w:rStyle w:val="4"/>
              <w:rFonts w:hint="eastAsia"/>
            </w:rPr>
            <w:t>选择一项。</w:t>
          </w:r>
        </w:p>
      </w:docPartBody>
    </w:docPart>
    <w:docPart>
      <w:docPartPr>
        <w:name w:val="A8B7D0EA58CE4BD18F9AE8E7F805A4F1"/>
        <w:style w:val=""/>
        <w:category>
          <w:name w:val="常规"/>
          <w:gallery w:val="placeholder"/>
        </w:category>
        <w:types>
          <w:type w:val="bbPlcHdr"/>
        </w:types>
        <w:behaviors>
          <w:behavior w:val="content"/>
        </w:behaviors>
        <w:description w:val=""/>
        <w:guid w:val="{01F2841F-DE4D-4804-BE44-DB36E388AF3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C08"/>
    <w:rsid w:val="00106AFB"/>
    <w:rsid w:val="00271E29"/>
    <w:rsid w:val="00513308"/>
    <w:rsid w:val="00520FD8"/>
    <w:rsid w:val="00620081"/>
    <w:rsid w:val="006C29EF"/>
    <w:rsid w:val="00783CAD"/>
    <w:rsid w:val="007D7D0B"/>
    <w:rsid w:val="00834EBA"/>
    <w:rsid w:val="0083662F"/>
    <w:rsid w:val="0087505E"/>
    <w:rsid w:val="008C1C08"/>
    <w:rsid w:val="00A62F47"/>
    <w:rsid w:val="00AE2610"/>
    <w:rsid w:val="00BB40E8"/>
    <w:rsid w:val="00BF737C"/>
    <w:rsid w:val="00D6162D"/>
    <w:rsid w:val="00E00ED8"/>
    <w:rsid w:val="00E17134"/>
    <w:rsid w:val="00E516A1"/>
    <w:rsid w:val="00ED7A9E"/>
    <w:rsid w:val="00EF3308"/>
    <w:rsid w:val="00F829BE"/>
    <w:rsid w:val="00FC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FA2CAEE72A040D8B24D75761DE8FB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CD3ED80B0B4CCF8CD4393E6996D9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B7D0EA58CE4BD18F9AE8E7F805A4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3122</Words>
  <Characters>3594</Characters>
  <Lines>39</Lines>
  <Paragraphs>11</Paragraphs>
  <TotalTime>0</TotalTime>
  <ScaleCrop>false</ScaleCrop>
  <LinksUpToDate>false</LinksUpToDate>
  <CharactersWithSpaces>3785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2021-11-17T06:19:00Z</dcterms:created>
  <dc:creator>lenovo</dc:creator>
  <dc:description>&lt;config cover="true" show_menu="true" version="1.0.0" doctype="SDKXY"&gt;_x000d_
&lt;/config&gt;</dc:description>
  <cp:lastModifiedBy>秋茗木木</cp:lastModifiedBy>
  <cp:lastPrinted>2022-04-14T02:37:00Z</cp:lastPrinted>
  <dcterms:modified xsi:type="dcterms:W3CDTF">2022-05-05T08:17:03Z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D4FFC2EC507F4B198C1B6B8203877676</vt:lpwstr>
  </property>
</Properties>
</file>