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宋体" w:hAnsi="宋体" w:eastAsia="宋体"/>
          <w:b/>
          <w:bCs/>
          <w:sz w:val="32"/>
          <w:szCs w:val="32"/>
        </w:rPr>
      </w:pPr>
      <w:r>
        <w:rPr>
          <w:rFonts w:hint="eastAsia" w:ascii="宋体" w:hAnsi="宋体" w:eastAsia="宋体"/>
          <w:b/>
          <w:bCs/>
          <w:sz w:val="32"/>
          <w:szCs w:val="32"/>
        </w:rPr>
        <w:t>中国粮油学会团体标准</w:t>
      </w:r>
    </w:p>
    <w:p>
      <w:pPr>
        <w:ind w:firstLine="643" w:firstLineChars="200"/>
        <w:jc w:val="center"/>
        <w:rPr>
          <w:rFonts w:ascii="宋体" w:hAnsi="宋体" w:eastAsia="宋体"/>
          <w:b/>
          <w:bCs/>
          <w:sz w:val="32"/>
          <w:szCs w:val="32"/>
        </w:rPr>
      </w:pPr>
      <w:r>
        <w:rPr>
          <w:rFonts w:hint="eastAsia" w:ascii="宋体" w:hAnsi="宋体" w:eastAsia="宋体"/>
          <w:b/>
          <w:bCs/>
          <w:sz w:val="32"/>
          <w:szCs w:val="32"/>
        </w:rPr>
        <w:t>《高水分植物肉基料》编制说明</w:t>
      </w:r>
    </w:p>
    <w:p>
      <w:pPr>
        <w:spacing w:line="46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一、</w:t>
      </w:r>
      <w:r>
        <w:rPr>
          <w:rFonts w:hint="eastAsia" w:ascii="Times New Roman" w:hAnsi="Times New Roman" w:eastAsia="宋体" w:cs="Times New Roman"/>
          <w:b/>
          <w:bCs/>
          <w:sz w:val="28"/>
          <w:szCs w:val="28"/>
        </w:rPr>
        <w:t>工作简况</w:t>
      </w:r>
    </w:p>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（一）任务来源</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《高水分植物肉基料》标准的制定依据2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月中国粮油学会下达的第</w:t>
      </w:r>
      <w:bookmarkStart w:id="0" w:name="_GoBack"/>
      <w:bookmarkEnd w:id="0"/>
      <w:r>
        <w:rPr>
          <w:rFonts w:hint="eastAsia" w:ascii="Times New Roman" w:hAnsi="Times New Roman" w:eastAsia="宋体" w:cs="Times New Roman"/>
          <w:sz w:val="24"/>
          <w:szCs w:val="24"/>
        </w:rPr>
        <w:t>一批计划任务进行，中国粮油学会提出并归口管理。哈尔滨福肴食品有限公司负责起草。</w:t>
      </w:r>
    </w:p>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（二）制定标准的目的和意义</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高水分植物肉基料是以大豆蛋白、花生蛋白、小麦谷朊粉、豌豆蛋白等植物蛋白</w:t>
      </w:r>
      <w:r>
        <w:rPr>
          <w:rFonts w:ascii="Times New Roman" w:hAnsi="Times New Roman" w:eastAsia="宋体" w:cs="Times New Roman"/>
          <w:sz w:val="24"/>
          <w:szCs w:val="24"/>
        </w:rPr>
        <w:t>的一种或几种为原料，</w:t>
      </w:r>
      <w:r>
        <w:rPr>
          <w:rFonts w:hint="eastAsia" w:ascii="Times New Roman" w:hAnsi="Times New Roman" w:eastAsia="宋体" w:cs="Times New Roman"/>
          <w:sz w:val="24"/>
          <w:szCs w:val="24"/>
        </w:rPr>
        <w:t>添加或不添加其他配料、食品添加剂（含营养强化剂），</w:t>
      </w:r>
      <w:r>
        <w:rPr>
          <w:rFonts w:ascii="Times New Roman" w:hAnsi="Times New Roman" w:eastAsia="宋体" w:cs="Times New Roman"/>
          <w:sz w:val="24"/>
          <w:szCs w:val="24"/>
        </w:rPr>
        <w:t>在高水分（含水量60%~70%）条件下</w:t>
      </w:r>
      <w:r>
        <w:rPr>
          <w:rFonts w:hint="eastAsia" w:ascii="Times New Roman" w:hAnsi="Times New Roman" w:eastAsia="宋体" w:cs="Times New Roman"/>
          <w:sz w:val="24"/>
          <w:szCs w:val="24"/>
        </w:rPr>
        <w:t>，经双螺杆挤压机挤压</w:t>
      </w:r>
      <w:r>
        <w:rPr>
          <w:rFonts w:ascii="Times New Roman" w:hAnsi="Times New Roman" w:eastAsia="宋体" w:cs="Times New Roman"/>
          <w:sz w:val="24"/>
          <w:szCs w:val="24"/>
        </w:rPr>
        <w:t>制成</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植物基肉制品加工基料</w:t>
      </w:r>
      <w:r>
        <w:rPr>
          <w:rFonts w:hint="eastAsia" w:ascii="Times New Roman" w:hAnsi="Times New Roman" w:eastAsia="宋体" w:cs="Times New Roman"/>
          <w:sz w:val="24"/>
          <w:szCs w:val="24"/>
        </w:rPr>
        <w:t>，其特点是组织化程度高、营养成分损失少，可即食即用。目前，市场上的产品多以低水分植物肉为基料，在加工方式及终端产品的</w:t>
      </w:r>
      <w:r>
        <w:rPr>
          <w:rFonts w:ascii="Times New Roman" w:hAnsi="Times New Roman" w:eastAsia="宋体" w:cs="Times New Roman"/>
          <w:sz w:val="24"/>
          <w:szCs w:val="24"/>
        </w:rPr>
        <w:t>赋型、组织状态和口感等方面，</w:t>
      </w:r>
      <w:r>
        <w:rPr>
          <w:rFonts w:hint="eastAsia" w:ascii="Times New Roman" w:hAnsi="Times New Roman" w:eastAsia="宋体" w:cs="Times New Roman"/>
          <w:sz w:val="24"/>
          <w:szCs w:val="24"/>
        </w:rPr>
        <w:t>多为通过产品的后续拆丝、复水等工序加工而成</w:t>
      </w:r>
      <w:r>
        <w:rPr>
          <w:rFonts w:ascii="Times New Roman" w:hAnsi="Times New Roman" w:eastAsia="宋体" w:cs="Times New Roman"/>
          <w:sz w:val="24"/>
          <w:szCs w:val="24"/>
        </w:rPr>
        <w:t>，并非</w:t>
      </w:r>
      <w:r>
        <w:rPr>
          <w:rFonts w:hint="eastAsia" w:ascii="Times New Roman" w:hAnsi="Times New Roman" w:eastAsia="宋体" w:cs="Times New Roman"/>
          <w:sz w:val="24"/>
          <w:szCs w:val="24"/>
        </w:rPr>
        <w:t>实现植物基人造肉产品</w:t>
      </w:r>
      <w:r>
        <w:rPr>
          <w:rFonts w:ascii="Times New Roman" w:hAnsi="Times New Roman" w:eastAsia="宋体" w:cs="Times New Roman"/>
          <w:sz w:val="24"/>
          <w:szCs w:val="24"/>
        </w:rPr>
        <w:t>真正意义上的高水分</w:t>
      </w:r>
      <w:r>
        <w:rPr>
          <w:rFonts w:hint="eastAsia" w:ascii="Times New Roman" w:hAnsi="Times New Roman" w:eastAsia="宋体" w:cs="Times New Roman"/>
          <w:sz w:val="24"/>
          <w:szCs w:val="24"/>
        </w:rPr>
        <w:t>。目前我国尚缺乏有关高水分植物肉基料的国家标准和行业标准。</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制定《高水分植物肉基料》团体标准可以填补我国高水分植物肉方面的空白，避免植物肉领域的标准混乱和监管空白，有利于促进植物肉制品行业质量控制和产业良性发展。</w:t>
      </w:r>
    </w:p>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（三）国内外相关标准情况</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制定过程中检索国际标准发现，有关植物肉的标准主要涉及细胞培养肉，目前尚无高水分植物肉基料的国际标准。查阅国内相关标准，并对检索到的标准进行了分析，为本标准制定提供参考和依据，查阅资料见表</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p>
    <w:p>
      <w:pPr>
        <w:spacing w:line="460" w:lineRule="exact"/>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1 </w:t>
      </w:r>
      <w:r>
        <w:rPr>
          <w:rFonts w:hint="eastAsia" w:ascii="Times New Roman" w:hAnsi="Times New Roman" w:eastAsia="宋体" w:cs="Times New Roman"/>
          <w:szCs w:val="21"/>
        </w:rPr>
        <w:t>植物肉相关标准</w:t>
      </w:r>
    </w:p>
    <w:tbl>
      <w:tblPr>
        <w:tblStyle w:val="9"/>
        <w:tblW w:w="8544"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9"/>
        <w:gridCol w:w="2677"/>
        <w:gridCol w:w="2268"/>
        <w:gridCol w:w="30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bottom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677" w:type="dxa"/>
            <w:tcBorders>
              <w:bottom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标准名称</w:t>
            </w:r>
          </w:p>
        </w:tc>
        <w:tc>
          <w:tcPr>
            <w:tcW w:w="2268" w:type="dxa"/>
            <w:tcBorders>
              <w:bottom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标准号</w:t>
            </w:r>
          </w:p>
        </w:tc>
        <w:tc>
          <w:tcPr>
            <w:tcW w:w="3020" w:type="dxa"/>
            <w:tcBorders>
              <w:bottom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标准制定单位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677" w:type="dxa"/>
            <w:tcBorders>
              <w:top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组织蛋白</w:t>
            </w:r>
          </w:p>
        </w:tc>
        <w:tc>
          <w:tcPr>
            <w:tcW w:w="2268" w:type="dxa"/>
            <w:tcBorders>
              <w:top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T/CCOA 14-2020 </w:t>
            </w:r>
          </w:p>
        </w:tc>
        <w:tc>
          <w:tcPr>
            <w:tcW w:w="3020" w:type="dxa"/>
            <w:tcBorders>
              <w:top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中国粮油学会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大豆蛋白制品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SB/T 10649-2012</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商务部</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677"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速冻调制大豆蛋白制品</w:t>
            </w:r>
          </w:p>
        </w:tc>
        <w:tc>
          <w:tcPr>
            <w:tcW w:w="226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Q</w:t>
            </w:r>
            <w:r>
              <w:rPr>
                <w:rFonts w:ascii="Times New Roman" w:hAnsi="Times New Roman" w:eastAsia="宋体" w:cs="Times New Roman"/>
                <w:szCs w:val="21"/>
              </w:rPr>
              <w:t>/HFY 0002S</w:t>
            </w:r>
            <w:r>
              <w:rPr>
                <w:rFonts w:hint="eastAsia" w:ascii="Times New Roman" w:hAnsi="Times New Roman" w:eastAsia="宋体" w:cs="Times New Roman"/>
                <w:szCs w:val="21"/>
              </w:rPr>
              <w:t>-</w:t>
            </w:r>
            <w:r>
              <w:rPr>
                <w:rFonts w:ascii="Times New Roman" w:hAnsi="Times New Roman" w:eastAsia="宋体" w:cs="Times New Roman"/>
                <w:szCs w:val="21"/>
              </w:rPr>
              <w:t>2021</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哈尔滨福肴食品有限公司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677"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速冻调制鸡肉味大豆蛋白制品</w:t>
            </w:r>
          </w:p>
        </w:tc>
        <w:tc>
          <w:tcPr>
            <w:tcW w:w="226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Q</w:t>
            </w:r>
            <w:r>
              <w:rPr>
                <w:rFonts w:ascii="Times New Roman" w:hAnsi="Times New Roman" w:eastAsia="宋体" w:cs="Times New Roman"/>
                <w:szCs w:val="21"/>
              </w:rPr>
              <w:t>/HFY 0003S</w:t>
            </w:r>
            <w:r>
              <w:rPr>
                <w:rFonts w:hint="eastAsia" w:ascii="Times New Roman" w:hAnsi="Times New Roman" w:eastAsia="宋体" w:cs="Times New Roman"/>
                <w:szCs w:val="21"/>
              </w:rPr>
              <w:t>-</w:t>
            </w:r>
            <w:r>
              <w:rPr>
                <w:rFonts w:ascii="Times New Roman" w:hAnsi="Times New Roman" w:eastAsia="宋体" w:cs="Times New Roman"/>
                <w:szCs w:val="21"/>
              </w:rPr>
              <w:t>2021</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哈尔滨福肴食品有限公司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677"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速冻调制鸡肉味大豆蛋白制品</w:t>
            </w:r>
            <w:r>
              <w:rPr>
                <w:rFonts w:ascii="Times New Roman" w:hAnsi="Times New Roman" w:eastAsia="宋体" w:cs="Times New Roman"/>
                <w:szCs w:val="21"/>
              </w:rPr>
              <w:t>Ⅰ</w:t>
            </w:r>
          </w:p>
        </w:tc>
        <w:tc>
          <w:tcPr>
            <w:tcW w:w="226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Q</w:t>
            </w:r>
            <w:r>
              <w:rPr>
                <w:rFonts w:ascii="Times New Roman" w:hAnsi="Times New Roman" w:eastAsia="宋体" w:cs="Times New Roman"/>
                <w:szCs w:val="21"/>
              </w:rPr>
              <w:t>/HFY 0002S</w:t>
            </w:r>
            <w:r>
              <w:rPr>
                <w:rFonts w:hint="eastAsia" w:ascii="Times New Roman" w:hAnsi="Times New Roman" w:eastAsia="宋体" w:cs="Times New Roman"/>
                <w:szCs w:val="21"/>
              </w:rPr>
              <w:t>-</w:t>
            </w:r>
            <w:r>
              <w:rPr>
                <w:rFonts w:ascii="Times New Roman" w:hAnsi="Times New Roman" w:eastAsia="宋体" w:cs="Times New Roman"/>
                <w:szCs w:val="21"/>
              </w:rPr>
              <w:t>2021</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哈尔滨福肴食品有限公司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677"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速冻调制牛肉味大豆蛋白制品</w:t>
            </w:r>
          </w:p>
        </w:tc>
        <w:tc>
          <w:tcPr>
            <w:tcW w:w="226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Q</w:t>
            </w:r>
            <w:r>
              <w:rPr>
                <w:rFonts w:ascii="Times New Roman" w:hAnsi="Times New Roman" w:eastAsia="宋体" w:cs="Times New Roman"/>
                <w:szCs w:val="21"/>
              </w:rPr>
              <w:t>/HFY 0002S</w:t>
            </w:r>
            <w:r>
              <w:rPr>
                <w:rFonts w:hint="eastAsia" w:ascii="Times New Roman" w:hAnsi="Times New Roman" w:eastAsia="宋体" w:cs="Times New Roman"/>
                <w:szCs w:val="21"/>
              </w:rPr>
              <w:t>-</w:t>
            </w:r>
            <w:r>
              <w:rPr>
                <w:rFonts w:ascii="Times New Roman" w:hAnsi="Times New Roman" w:eastAsia="宋体" w:cs="Times New Roman"/>
                <w:szCs w:val="21"/>
              </w:rPr>
              <w:t>2021</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哈尔滨福肴食品有限公司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2677"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速冻调制大豆蛋白制品</w:t>
            </w:r>
            <w:r>
              <w:rPr>
                <w:rFonts w:ascii="Times New Roman" w:hAnsi="Times New Roman" w:eastAsia="宋体" w:cs="Times New Roman"/>
                <w:szCs w:val="21"/>
              </w:rPr>
              <w:t>Ⅰ</w:t>
            </w:r>
          </w:p>
        </w:tc>
        <w:tc>
          <w:tcPr>
            <w:tcW w:w="226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Q</w:t>
            </w:r>
            <w:r>
              <w:rPr>
                <w:rFonts w:ascii="Times New Roman" w:hAnsi="Times New Roman" w:eastAsia="宋体" w:cs="Times New Roman"/>
                <w:szCs w:val="21"/>
              </w:rPr>
              <w:t>/HFY 0002S</w:t>
            </w:r>
            <w:r>
              <w:rPr>
                <w:rFonts w:hint="eastAsia" w:ascii="Times New Roman" w:hAnsi="Times New Roman" w:eastAsia="宋体" w:cs="Times New Roman"/>
                <w:szCs w:val="21"/>
              </w:rPr>
              <w:t>-</w:t>
            </w:r>
            <w:r>
              <w:rPr>
                <w:rFonts w:ascii="Times New Roman" w:hAnsi="Times New Roman" w:eastAsia="宋体" w:cs="Times New Roman"/>
                <w:szCs w:val="21"/>
              </w:rPr>
              <w:t>2021</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哈尔滨福肴食品有限公司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2677"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速冻调制猪肉味大豆蛋白制品</w:t>
            </w:r>
          </w:p>
        </w:tc>
        <w:tc>
          <w:tcPr>
            <w:tcW w:w="226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Q</w:t>
            </w:r>
            <w:r>
              <w:rPr>
                <w:rFonts w:ascii="Times New Roman" w:hAnsi="Times New Roman" w:eastAsia="宋体" w:cs="Times New Roman"/>
                <w:szCs w:val="21"/>
              </w:rPr>
              <w:t>/HFY 0002S</w:t>
            </w:r>
            <w:r>
              <w:rPr>
                <w:rFonts w:hint="eastAsia" w:ascii="Times New Roman" w:hAnsi="Times New Roman" w:eastAsia="宋体" w:cs="Times New Roman"/>
                <w:szCs w:val="21"/>
              </w:rPr>
              <w:t>-</w:t>
            </w:r>
            <w:r>
              <w:rPr>
                <w:rFonts w:ascii="Times New Roman" w:hAnsi="Times New Roman" w:eastAsia="宋体" w:cs="Times New Roman"/>
                <w:szCs w:val="21"/>
              </w:rPr>
              <w:t>2021</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哈尔滨福肴食品有限公司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植物肉素食制品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Q/GESZ 0002 S-2021</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瀚坤食品(深圳)有限公司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调味膨化植物蛋白粒、片(植物基人造肉粒、片)</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Q/HPS 0001 S-2021</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河南品正食品科技有限公司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仿肉牛排大豆蛋白制品（调理食品）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Q/SQ 0022 S-2021</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三全食品股份有限公司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素食鸡肉大豆蛋白制品（调理食品）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Q/SQ 0023 S-2021</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三全食品股份有限公司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素食肉丝大豆蛋白制品（调理食品）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Q/SQ 0024 S-2021</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三全食品股份有限公司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大豆组织蛋白制品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Q/HBD 0001 S-2020</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河南省布达农副产品开发有限公司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大豆蛋白制品罐头</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Q/FYCS 0006 S-2020</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福建御厨食品有限公司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调味大豆组织蛋白</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Q/AFJ 0006 S-2019</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安阳市福瑞沃菌业有限公司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7</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大豆组织蛋白制品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Q/HSD 0001 S-2019</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河南食味天豆制品有限公司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即食素食大豆制品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Q/LKDD 0002 S-2019</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连城县康多德食品有限公司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9</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大豆素食品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Q/HTXS 0001 S-2019</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惠州天喜食品有限公司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267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大豆蛋白制品</w:t>
            </w:r>
          </w:p>
        </w:tc>
        <w:tc>
          <w:tcPr>
            <w:tcW w:w="226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Q/FJLL 0020 S-2019</w:t>
            </w:r>
          </w:p>
        </w:tc>
        <w:tc>
          <w:tcPr>
            <w:tcW w:w="302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福建乐隆隆食品科技有限公司</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677"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226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302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r>
    </w:tbl>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（四）起草单位、主要起草人</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本标准负责起草单位为哈尔滨福肴食品有限公司，参加单位为沈阳师范大学、厦门银祥豆制品有限公司、</w:t>
      </w:r>
      <w:r>
        <w:rPr>
          <w:rFonts w:ascii="Times New Roman" w:hAnsi="Times New Roman" w:eastAsia="宋体" w:cs="Times New Roman"/>
          <w:sz w:val="24"/>
          <w:szCs w:val="24"/>
        </w:rPr>
        <w:t>净驼泉（</w:t>
      </w:r>
      <w:r>
        <w:rPr>
          <w:rFonts w:hint="eastAsia" w:ascii="Times New Roman" w:hAnsi="Times New Roman" w:eastAsia="宋体" w:cs="Times New Roman"/>
          <w:sz w:val="24"/>
          <w:szCs w:val="24"/>
        </w:rPr>
        <w:t>辽宁</w:t>
      </w:r>
      <w:r>
        <w:rPr>
          <w:rFonts w:ascii="Times New Roman" w:hAnsi="Times New Roman" w:eastAsia="宋体" w:cs="Times New Roman"/>
          <w:sz w:val="24"/>
          <w:szCs w:val="24"/>
        </w:rPr>
        <w:t>）</w:t>
      </w:r>
      <w:r>
        <w:rPr>
          <w:rFonts w:hint="eastAsia" w:ascii="Times New Roman" w:hAnsi="Times New Roman" w:eastAsia="宋体" w:cs="Times New Roman"/>
          <w:sz w:val="24"/>
          <w:szCs w:val="24"/>
        </w:rPr>
        <w:t>生态农业开发有限公司、沈阳农业大学、北京工商大学、北票市海丰食品有限公司、内蒙古乐际食品有限公司。标准负责起草人为肖志刚、王哲、袁媛、田娟娟、王娜、王丹、段玉敏、王治力、朱旻鹏、王春波、解铁民、高育哲、姜秀丽、闵钟熳、路飞、张一凡、杨宏黎、葛世妍、陈清胜、李健、杨强、张立明、高娜、宁宗喜。</w:t>
      </w:r>
    </w:p>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（五）工作分工</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标准主编单位和参编单位工作分工见表</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p>
    <w:p>
      <w:pPr>
        <w:spacing w:line="460" w:lineRule="exact"/>
        <w:jc w:val="center"/>
        <w:rPr>
          <w:rFonts w:ascii="Times New Roman" w:hAnsi="Times New Roman" w:eastAsia="宋体" w:cs="Times New Roman"/>
          <w:sz w:val="24"/>
          <w:szCs w:val="24"/>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2 </w:t>
      </w:r>
      <w:r>
        <w:rPr>
          <w:rFonts w:hint="eastAsia" w:ascii="Times New Roman" w:hAnsi="Times New Roman" w:eastAsia="宋体" w:cs="Times New Roman"/>
          <w:szCs w:val="21"/>
        </w:rPr>
        <w:t>标准工作分工情况</w:t>
      </w:r>
    </w:p>
    <w:tbl>
      <w:tblPr>
        <w:tblStyle w:val="8"/>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4"/>
        <w:gridCol w:w="4224"/>
        <w:gridCol w:w="328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tcBorders>
              <w:bottom w:val="single" w:color="auto" w:sz="4" w:space="0"/>
            </w:tcBorders>
          </w:tcPr>
          <w:p>
            <w:pPr>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478" w:type="pct"/>
            <w:tcBorders>
              <w:bottom w:val="single" w:color="auto" w:sz="4" w:space="0"/>
            </w:tcBorders>
          </w:tcPr>
          <w:p>
            <w:pPr>
              <w:jc w:val="center"/>
              <w:rPr>
                <w:rFonts w:ascii="Times New Roman" w:hAnsi="Times New Roman" w:eastAsia="宋体" w:cs="Times New Roman"/>
                <w:szCs w:val="21"/>
              </w:rPr>
            </w:pPr>
            <w:r>
              <w:rPr>
                <w:rFonts w:hint="eastAsia" w:ascii="Times New Roman" w:hAnsi="Times New Roman" w:eastAsia="宋体" w:cs="Times New Roman"/>
                <w:szCs w:val="21"/>
              </w:rPr>
              <w:t>单位名称</w:t>
            </w:r>
          </w:p>
        </w:tc>
        <w:tc>
          <w:tcPr>
            <w:tcW w:w="1927" w:type="pct"/>
            <w:tcBorders>
              <w:bottom w:val="single" w:color="auto" w:sz="4" w:space="0"/>
            </w:tcBorders>
          </w:tcPr>
          <w:p>
            <w:pPr>
              <w:jc w:val="center"/>
              <w:rPr>
                <w:rFonts w:ascii="Times New Roman" w:hAnsi="Times New Roman" w:eastAsia="宋体" w:cs="Times New Roman"/>
                <w:szCs w:val="21"/>
              </w:rPr>
            </w:pPr>
            <w:r>
              <w:rPr>
                <w:rFonts w:hint="eastAsia" w:ascii="Times New Roman" w:hAnsi="Times New Roman" w:eastAsia="宋体" w:cs="Times New Roman"/>
                <w:szCs w:val="21"/>
              </w:rPr>
              <w:t>分工</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tcBorders>
              <w:top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2478" w:type="pct"/>
            <w:tcBorders>
              <w:top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哈尔滨福肴食品有限公司</w:t>
            </w:r>
          </w:p>
        </w:tc>
        <w:tc>
          <w:tcPr>
            <w:tcW w:w="1927" w:type="pct"/>
            <w:tcBorders>
              <w:top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协调标准的编制工作，搜集国内外相关标准资料的信息，撰写标准文本和编制说明</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47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沈阳师范大学</w:t>
            </w:r>
          </w:p>
        </w:tc>
        <w:tc>
          <w:tcPr>
            <w:tcW w:w="192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样品采集、技术指标检验及相关论证实验</w:t>
            </w:r>
            <w:r>
              <w:rPr>
                <w:rFonts w:ascii="Times New Roman" w:hAnsi="Times New Roman" w:eastAsia="宋体" w:cs="Times New Roman"/>
                <w:szCs w:val="21"/>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478"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厦门银祥豆制品有限公司</w:t>
            </w:r>
          </w:p>
        </w:tc>
        <w:tc>
          <w:tcPr>
            <w:tcW w:w="192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标准相关论证实验</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478"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净驼泉（</w:t>
            </w:r>
            <w:r>
              <w:rPr>
                <w:rFonts w:hint="eastAsia" w:ascii="Times New Roman" w:hAnsi="Times New Roman" w:eastAsia="宋体" w:cs="Times New Roman"/>
                <w:szCs w:val="21"/>
              </w:rPr>
              <w:t>辽宁</w:t>
            </w:r>
            <w:r>
              <w:rPr>
                <w:rFonts w:ascii="Times New Roman" w:hAnsi="Times New Roman" w:eastAsia="宋体" w:cs="Times New Roman"/>
                <w:szCs w:val="21"/>
              </w:rPr>
              <w:t>）</w:t>
            </w:r>
            <w:r>
              <w:rPr>
                <w:rFonts w:hint="eastAsia" w:ascii="Times New Roman" w:hAnsi="Times New Roman" w:eastAsia="宋体" w:cs="Times New Roman"/>
                <w:szCs w:val="21"/>
              </w:rPr>
              <w:t>生态农业开发有限公司</w:t>
            </w:r>
          </w:p>
        </w:tc>
        <w:tc>
          <w:tcPr>
            <w:tcW w:w="192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相关资料收集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47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沈阳农业大学</w:t>
            </w:r>
          </w:p>
        </w:tc>
        <w:tc>
          <w:tcPr>
            <w:tcW w:w="192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技术指标验证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47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北京工商大学</w:t>
            </w:r>
          </w:p>
        </w:tc>
        <w:tc>
          <w:tcPr>
            <w:tcW w:w="192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标准文本的技术指导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2478"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北票市海丰食品有限公司</w:t>
            </w:r>
          </w:p>
        </w:tc>
        <w:tc>
          <w:tcPr>
            <w:tcW w:w="192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相关资料收集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9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2478"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内蒙古乐际食品有限公司</w:t>
            </w:r>
          </w:p>
        </w:tc>
        <w:tc>
          <w:tcPr>
            <w:tcW w:w="1927"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相关资料收集</w:t>
            </w:r>
          </w:p>
        </w:tc>
      </w:tr>
    </w:tbl>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（六）标准制定的主要工作过程</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年6月下旬，中国粮油学会发布《关于中国粮油学会</w:t>
      </w:r>
      <w:r>
        <w:rPr>
          <w:rFonts w:ascii="Times New Roman" w:hAnsi="Times New Roman" w:eastAsia="宋体" w:cs="Times New Roman"/>
          <w:sz w:val="24"/>
          <w:szCs w:val="24"/>
        </w:rPr>
        <w:t>2021年第一批团体标准立项公告</w:t>
      </w:r>
      <w:r>
        <w:rPr>
          <w:rFonts w:hint="eastAsia" w:ascii="Times New Roman" w:hAnsi="Times New Roman" w:eastAsia="宋体" w:cs="Times New Roman"/>
          <w:sz w:val="24"/>
          <w:szCs w:val="24"/>
        </w:rPr>
        <w:t>》（中粮油学发（2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）4</w:t>
      </w:r>
      <w:r>
        <w:rPr>
          <w:rFonts w:ascii="Times New Roman" w:hAnsi="Times New Roman" w:eastAsia="宋体" w:cs="Times New Roman"/>
          <w:sz w:val="24"/>
          <w:szCs w:val="24"/>
        </w:rPr>
        <w:t>7</w:t>
      </w:r>
      <w:r>
        <w:rPr>
          <w:rFonts w:hint="eastAsia" w:ascii="Times New Roman" w:hAnsi="Times New Roman" w:eastAsia="宋体" w:cs="Times New Roman"/>
          <w:sz w:val="24"/>
          <w:szCs w:val="24"/>
        </w:rPr>
        <w:t>号）及附件中国粮油学会第一批团体标准立项名单，本标准获得正式立项。2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年7月，成立标准起草工作小组，查阅国内外相关标准及有关技术资料，对其进行分析研究。2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年7月-</w:t>
      </w:r>
      <w:r>
        <w:rPr>
          <w:rFonts w:ascii="Times New Roman" w:hAnsi="Times New Roman" w:eastAsia="宋体" w:cs="Times New Roman"/>
          <w:sz w:val="24"/>
          <w:szCs w:val="24"/>
        </w:rPr>
        <w:t>8</w:t>
      </w:r>
      <w:r>
        <w:rPr>
          <w:rFonts w:hint="eastAsia" w:ascii="Times New Roman" w:hAnsi="Times New Roman" w:eastAsia="宋体" w:cs="Times New Roman"/>
          <w:sz w:val="24"/>
          <w:szCs w:val="24"/>
        </w:rPr>
        <w:t>月，标准起草小组收集代表性样品，进行检测和数据分析。2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9</w:t>
      </w:r>
      <w:r>
        <w:rPr>
          <w:rFonts w:hint="eastAsia" w:ascii="Times New Roman" w:hAnsi="Times New Roman" w:eastAsia="宋体" w:cs="Times New Roman"/>
          <w:sz w:val="24"/>
          <w:szCs w:val="24"/>
        </w:rPr>
        <w:t>月，整理相关数据，拟定主要技术指标，编写标准草案稿及编制说明。将标准草案发送给有关单位、专家和企业进行意见征求，汇总反馈意见，分析讨论后进行相应修改，并对反馈意见进行处理说明。2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月，召开针对本标准草案的专家研讨会，对本标准的草案进行会议讨论。标准起草工作小组根据专家意见对草案进行认真修改，形成征求意见稿。2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年1</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月，将修订后的征求意见稿上报中国粮油学会团体标准委员会，待审批。</w:t>
      </w:r>
    </w:p>
    <w:p>
      <w:pPr>
        <w:spacing w:line="46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二</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标准编制原则和制定依据</w:t>
      </w:r>
    </w:p>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（一）编制原则</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本标准严格按照</w:t>
      </w:r>
      <w:r>
        <w:rPr>
          <w:rFonts w:ascii="Times New Roman" w:hAnsi="Times New Roman" w:eastAsia="宋体" w:cs="Times New Roman"/>
          <w:sz w:val="24"/>
          <w:szCs w:val="24"/>
        </w:rPr>
        <w:t>GB/T 1.1-2020《标准化工作导则 第1</w:t>
      </w:r>
      <w:r>
        <w:rPr>
          <w:rFonts w:hint="eastAsia" w:ascii="Times New Roman" w:hAnsi="Times New Roman" w:eastAsia="宋体" w:cs="Times New Roman"/>
          <w:sz w:val="24"/>
          <w:szCs w:val="24"/>
        </w:rPr>
        <w:t>部分：标准化文件的结构和起草规则》</w:t>
      </w:r>
      <w:r>
        <w:rPr>
          <w:rFonts w:ascii="Times New Roman" w:hAnsi="Times New Roman" w:eastAsia="宋体" w:cs="Times New Roman"/>
          <w:sz w:val="24"/>
          <w:szCs w:val="24"/>
        </w:rPr>
        <w:t>的要求</w:t>
      </w:r>
      <w:r>
        <w:rPr>
          <w:rFonts w:hint="eastAsia" w:ascii="Times New Roman" w:hAnsi="Times New Roman" w:eastAsia="宋体" w:cs="Times New Roman"/>
          <w:sz w:val="24"/>
          <w:szCs w:val="24"/>
        </w:rPr>
        <w:t>进行编写，编制完全遵循“符合性、协调性、科学性、适用性”原则，注重标准的可操作性，力求依据科学、定义准确、表述明确。</w:t>
      </w:r>
    </w:p>
    <w:p>
      <w:pPr>
        <w:spacing w:line="4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符合性原则</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本标准以现有国内行业标准、团体标准、企业标准等有关资料为基础，充分结合植物肉企业的实际情况，符合新兴植物肉行业的发展趋势。</w:t>
      </w:r>
    </w:p>
    <w:p>
      <w:pPr>
        <w:spacing w:line="4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协调性原则</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在本标准编制过程中，主要参考和</w:t>
      </w:r>
      <w:r>
        <w:rPr>
          <w:rFonts w:ascii="Times New Roman" w:hAnsi="Times New Roman" w:eastAsia="宋体" w:cs="Times New Roman"/>
          <w:sz w:val="24"/>
          <w:szCs w:val="24"/>
        </w:rPr>
        <w:t>引用</w:t>
      </w:r>
      <w:r>
        <w:rPr>
          <w:rFonts w:hint="eastAsia" w:ascii="Times New Roman" w:hAnsi="Times New Roman" w:eastAsia="宋体" w:cs="Times New Roman"/>
          <w:sz w:val="24"/>
          <w:szCs w:val="24"/>
        </w:rPr>
        <w:t>了以下标准中相关</w:t>
      </w:r>
      <w:r>
        <w:rPr>
          <w:rFonts w:ascii="Times New Roman" w:hAnsi="Times New Roman" w:eastAsia="宋体" w:cs="Times New Roman"/>
          <w:sz w:val="24"/>
          <w:szCs w:val="24"/>
        </w:rPr>
        <w:t>条款</w:t>
      </w:r>
      <w:r>
        <w:rPr>
          <w:rFonts w:hint="eastAsia"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GB/T 191      包装储运图示标志</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2760       食品安全国家标准 食品添加剂使用标准</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2761       食品安全国家标准 食品</w:t>
      </w:r>
      <w:r>
        <w:rPr>
          <w:rFonts w:hint="eastAsia" w:ascii="Times New Roman" w:hAnsi="Times New Roman" w:eastAsia="宋体" w:cs="Times New Roman"/>
          <w:sz w:val="24"/>
          <w:szCs w:val="24"/>
        </w:rPr>
        <w:t>中真菌毒素限量</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2762       食品安全国家标准 食品</w:t>
      </w:r>
      <w:r>
        <w:rPr>
          <w:rFonts w:hint="eastAsia" w:ascii="Times New Roman" w:hAnsi="Times New Roman" w:eastAsia="宋体" w:cs="Times New Roman"/>
          <w:sz w:val="24"/>
          <w:szCs w:val="24"/>
        </w:rPr>
        <w:t>中污染物限量</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2763       食品安全国家标准 食品</w:t>
      </w:r>
      <w:r>
        <w:rPr>
          <w:rFonts w:hint="eastAsia" w:ascii="Times New Roman" w:hAnsi="Times New Roman" w:eastAsia="宋体" w:cs="Times New Roman"/>
          <w:sz w:val="24"/>
          <w:szCs w:val="24"/>
        </w:rPr>
        <w:t>中农药最大残留限量</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4789.1</w:t>
      </w:r>
      <w:r>
        <w:rPr>
          <w:rFonts w:hint="eastAsia" w:ascii="Times New Roman" w:hAnsi="Times New Roman" w:eastAsia="宋体" w:cs="Times New Roman"/>
          <w:sz w:val="24"/>
          <w:szCs w:val="24"/>
        </w:rPr>
        <w:tab/>
      </w:r>
      <w:r>
        <w:rPr>
          <w:rFonts w:ascii="Times New Roman" w:hAnsi="Times New Roman" w:eastAsia="宋体" w:cs="Times New Roman"/>
          <w:sz w:val="24"/>
          <w:szCs w:val="24"/>
        </w:rPr>
        <w:t xml:space="preserve">    食品安全国家标准 食品微生物学检验 总则</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GB 4789.3     食品安全国家标准 食品微生物学检验 </w:t>
      </w:r>
      <w:r>
        <w:rPr>
          <w:rFonts w:hint="eastAsia" w:ascii="Times New Roman" w:hAnsi="Times New Roman" w:eastAsia="宋体" w:cs="Times New Roman"/>
          <w:sz w:val="24"/>
          <w:szCs w:val="24"/>
        </w:rPr>
        <w:t>大肠菌群计数</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4789.4     食品安全国家标准 食品微生物学检验 沙门氏菌检验</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4789.10    食品安全国家标准 食品微生物学检验 金黄色葡萄球菌检验</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5009.3     食品安全国家标准 食品中水分的测定</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5009.5     食品安全国家标准 食品中蛋白质的测定</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5749       生活饮用水卫生标准</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7718       食品安全国家标准 预包装食品标签通则</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14880      食品安全国家标准 食品营养强化剂使用标准</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14881      食品安全国家标准 食品生产通用卫生规范</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20371      食品安全国家标准 食品加工用植物蛋白</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28050      食品安全国家标准 预包装食品营养标签通则</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31621      食品安全国家标准 食品经营过程卫生规范</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JJF 1070       定量包装商品净含量计量检验规则 </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国家质量监督检验检疫总局令 第75号《定量包装商品计量监督管理办法》</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国家质量监督检验检疫总局令 第123号《食品标识管理规定》</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凡国家现行标准以及质量安全要求已有规定的，内容与国家最新发布的有关标准保持一致，使标准有一定的先进性和通用性。</w:t>
      </w:r>
    </w:p>
    <w:p>
      <w:pPr>
        <w:spacing w:before="120" w:line="46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科学性原则</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本标准以科学技术和实验数据为依据，其分析方法及术语定义等参照并采用国家标准，结合产品实际生产情况和市场导向，经科学验证而制定。</w:t>
      </w:r>
    </w:p>
    <w:p>
      <w:pPr>
        <w:spacing w:before="120" w:line="46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适用性原则</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本标准中指标的设定符合实际情况，所提出的概念、指标及检测检验方法便于理解执行，适用性强，对植物肉加工企业应能起到一定的引导和规范作用。</w:t>
      </w:r>
    </w:p>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（二）本标准的主要内容及制定依据</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1. </w:t>
      </w:r>
      <w:r>
        <w:rPr>
          <w:rFonts w:hint="eastAsia" w:ascii="Times New Roman" w:hAnsi="Times New Roman" w:eastAsia="宋体" w:cs="Times New Roman"/>
          <w:b/>
          <w:bCs/>
          <w:sz w:val="24"/>
          <w:szCs w:val="24"/>
        </w:rPr>
        <w:t xml:space="preserve">范围 </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本标准规定了标准的内容结构和适用对象</w:t>
      </w:r>
      <w:r>
        <w:rPr>
          <w:rFonts w:ascii="Times New Roman" w:hAnsi="Times New Roman" w:eastAsia="宋体" w:cs="Times New Roman"/>
          <w:sz w:val="24"/>
          <w:szCs w:val="24"/>
        </w:rPr>
        <w:t>。</w:t>
      </w:r>
      <w:r>
        <w:rPr>
          <w:rFonts w:hint="eastAsia" w:ascii="Times New Roman" w:hAnsi="Times New Roman" w:eastAsia="宋体" w:cs="Times New Roman"/>
          <w:sz w:val="24"/>
          <w:szCs w:val="24"/>
        </w:rPr>
        <w:t>内容结构包括</w:t>
      </w:r>
      <w:r>
        <w:rPr>
          <w:rFonts w:ascii="Times New Roman" w:hAnsi="Times New Roman" w:eastAsia="宋体" w:cs="Times New Roman"/>
          <w:sz w:val="24"/>
          <w:szCs w:val="24"/>
        </w:rPr>
        <w:t>高水分植物肉基料的术语和定义、</w:t>
      </w:r>
      <w:r>
        <w:rPr>
          <w:rFonts w:hint="eastAsia" w:ascii="Times New Roman" w:hAnsi="Times New Roman" w:eastAsia="宋体" w:cs="Times New Roman"/>
          <w:sz w:val="24"/>
          <w:szCs w:val="24"/>
        </w:rPr>
        <w:t>技术</w:t>
      </w:r>
      <w:r>
        <w:rPr>
          <w:rFonts w:ascii="Times New Roman" w:hAnsi="Times New Roman" w:eastAsia="宋体" w:cs="Times New Roman"/>
          <w:sz w:val="24"/>
          <w:szCs w:val="24"/>
        </w:rPr>
        <w:t>要求、</w:t>
      </w:r>
      <w:r>
        <w:rPr>
          <w:rFonts w:hint="eastAsia" w:ascii="Times New Roman" w:hAnsi="Times New Roman" w:eastAsia="宋体" w:cs="Times New Roman"/>
          <w:sz w:val="24"/>
          <w:szCs w:val="24"/>
        </w:rPr>
        <w:t>检验方法、</w:t>
      </w:r>
      <w:r>
        <w:rPr>
          <w:rFonts w:ascii="Times New Roman" w:hAnsi="Times New Roman" w:eastAsia="宋体" w:cs="Times New Roman"/>
          <w:sz w:val="24"/>
          <w:szCs w:val="24"/>
        </w:rPr>
        <w:t>检验规则、标志、标签、包装、贮存和运输。</w:t>
      </w:r>
      <w:r>
        <w:rPr>
          <w:rFonts w:hint="eastAsia" w:ascii="Times New Roman" w:hAnsi="Times New Roman" w:eastAsia="宋体" w:cs="Times New Roman"/>
          <w:sz w:val="24"/>
          <w:szCs w:val="24"/>
        </w:rPr>
        <w:t>适用对象是</w:t>
      </w:r>
      <w:r>
        <w:rPr>
          <w:rFonts w:ascii="Times New Roman" w:hAnsi="Times New Roman" w:eastAsia="宋体" w:cs="Times New Roman"/>
          <w:sz w:val="24"/>
          <w:szCs w:val="24"/>
        </w:rPr>
        <w:t>以</w:t>
      </w:r>
      <w:r>
        <w:rPr>
          <w:rFonts w:hint="eastAsia" w:ascii="Times New Roman" w:hAnsi="Times New Roman" w:eastAsia="宋体" w:cs="Times New Roman"/>
          <w:sz w:val="24"/>
          <w:szCs w:val="24"/>
        </w:rPr>
        <w:t>大豆蛋白、花生蛋白、小麦谷朊粉、豌豆蛋白等植物蛋白</w:t>
      </w:r>
      <w:r>
        <w:rPr>
          <w:rFonts w:ascii="Times New Roman" w:hAnsi="Times New Roman" w:eastAsia="宋体" w:cs="Times New Roman"/>
          <w:sz w:val="24"/>
          <w:szCs w:val="24"/>
        </w:rPr>
        <w:t>的一种或几种为原料，在高水分（含水量60%~70%）条件下</w:t>
      </w:r>
      <w:r>
        <w:rPr>
          <w:rFonts w:hint="eastAsia" w:ascii="Times New Roman" w:hAnsi="Times New Roman" w:eastAsia="宋体" w:cs="Times New Roman"/>
          <w:sz w:val="24"/>
          <w:szCs w:val="24"/>
        </w:rPr>
        <w:t>，经双螺杆挤压机挤压</w:t>
      </w:r>
      <w:r>
        <w:rPr>
          <w:rFonts w:ascii="Times New Roman" w:hAnsi="Times New Roman" w:eastAsia="宋体" w:cs="Times New Roman"/>
          <w:sz w:val="24"/>
          <w:szCs w:val="24"/>
        </w:rPr>
        <w:t>制成</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植物基肉制品加工基料。</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2. </w:t>
      </w:r>
      <w:r>
        <w:rPr>
          <w:rFonts w:hint="eastAsia" w:ascii="Times New Roman" w:hAnsi="Times New Roman" w:eastAsia="宋体" w:cs="Times New Roman"/>
          <w:b/>
          <w:bCs/>
          <w:sz w:val="24"/>
          <w:szCs w:val="24"/>
        </w:rPr>
        <w:t>规范性引用文件</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根据植物肉的指标和检测方法，按数字顺序列出了规范性引用文件，所有文件均按照我国标准一贯格式列出。</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3. </w:t>
      </w:r>
      <w:r>
        <w:rPr>
          <w:rFonts w:hint="eastAsia" w:ascii="Times New Roman" w:hAnsi="Times New Roman" w:eastAsia="宋体" w:cs="Times New Roman"/>
          <w:b/>
          <w:bCs/>
          <w:sz w:val="24"/>
          <w:szCs w:val="24"/>
        </w:rPr>
        <w:t>术语和定义</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考虑到本标准涉及的高水分植物肉属国内新兴加工制品，市场认知度尚有待提升，因此围绕该类产品设置了高水分植物肉基料的定义；此外，还对其技术指标“硬度”和“咀嚼度”进行了定义。</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4. </w:t>
      </w:r>
      <w:r>
        <w:rPr>
          <w:rFonts w:hint="eastAsia" w:ascii="Times New Roman" w:hAnsi="Times New Roman" w:eastAsia="宋体" w:cs="Times New Roman"/>
          <w:b/>
          <w:bCs/>
          <w:sz w:val="24"/>
          <w:szCs w:val="24"/>
        </w:rPr>
        <w:t>技术要求</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4.1 </w:t>
      </w:r>
      <w:r>
        <w:rPr>
          <w:rFonts w:hint="eastAsia" w:ascii="Times New Roman" w:hAnsi="Times New Roman" w:eastAsia="宋体" w:cs="Times New Roman"/>
          <w:b/>
          <w:bCs/>
          <w:sz w:val="24"/>
          <w:szCs w:val="24"/>
        </w:rPr>
        <w:t>原辅料要求</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根据标准中高水分植物肉基料的定义描述，对主要原辅料的要求进行了规定。</w:t>
      </w:r>
      <w:r>
        <w:rPr>
          <w:rFonts w:hint="eastAsia" w:ascii="Times New Roman" w:hAnsi="Times New Roman" w:eastAsia="宋体" w:cs="Times New Roman"/>
          <w:bCs/>
          <w:sz w:val="24"/>
          <w:szCs w:val="24"/>
        </w:rPr>
        <w:t>其他原辅料</w:t>
      </w:r>
      <w:r>
        <w:rPr>
          <w:rFonts w:ascii="Times New Roman" w:hAnsi="Times New Roman" w:eastAsia="宋体" w:cs="Times New Roman"/>
          <w:sz w:val="24"/>
          <w:szCs w:val="24"/>
        </w:rPr>
        <w:t>应符合</w:t>
      </w:r>
      <w:r>
        <w:rPr>
          <w:rFonts w:hint="eastAsia" w:ascii="Times New Roman" w:hAnsi="Times New Roman" w:eastAsia="宋体" w:cs="Times New Roman"/>
          <w:sz w:val="24"/>
          <w:szCs w:val="24"/>
        </w:rPr>
        <w:t>国家相关标准及有关</w:t>
      </w:r>
      <w:r>
        <w:rPr>
          <w:rFonts w:ascii="Times New Roman" w:hAnsi="Times New Roman" w:eastAsia="宋体" w:cs="Times New Roman"/>
          <w:sz w:val="24"/>
          <w:szCs w:val="24"/>
        </w:rPr>
        <w:t>规定。</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4.2 </w:t>
      </w:r>
      <w:r>
        <w:rPr>
          <w:rFonts w:hint="eastAsia" w:ascii="Times New Roman" w:hAnsi="Times New Roman" w:eastAsia="宋体" w:cs="Times New Roman"/>
          <w:b/>
          <w:bCs/>
          <w:sz w:val="24"/>
          <w:szCs w:val="24"/>
        </w:rPr>
        <w:t>感官要求</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cs="Times New Roman"/>
          <w:sz w:val="24"/>
          <w:szCs w:val="24"/>
        </w:rPr>
        <w:t>高水分植物肉基料色泽是影响后续加工产品品质的一个重要感官指标，因此采用色彩色差计（</w:t>
      </w:r>
      <w:r>
        <w:rPr>
          <w:rFonts w:ascii="Times New Roman" w:hAnsi="Times New Roman" w:eastAsia="宋体" w:cs="Times New Roman"/>
          <w:sz w:val="24"/>
          <w:szCs w:val="24"/>
        </w:rPr>
        <w:t>CR-400</w:t>
      </w:r>
      <w:r>
        <w:rPr>
          <w:rFonts w:hint="eastAsia" w:ascii="Times New Roman" w:hAnsi="Times New Roman" w:eastAsia="宋体" w:cs="Times New Roman"/>
          <w:sz w:val="24"/>
          <w:szCs w:val="24"/>
        </w:rPr>
        <w:t>型，日本柯尼卡美能达公司）测定了高水分植物肉基料的</w:t>
      </w:r>
      <w:r>
        <w:rPr>
          <w:rFonts w:ascii="Times New Roman" w:hAnsi="Times New Roman" w:eastAsia="宋体" w:cs="Times New Roman"/>
          <w:sz w:val="24"/>
          <w:szCs w:val="24"/>
        </w:rPr>
        <w:t>L*</w:t>
      </w:r>
      <w:r>
        <w:rPr>
          <w:rFonts w:hint="eastAsia" w:ascii="Times New Roman" w:hAnsi="Times New Roman" w:eastAsia="宋体" w:cs="Times New Roman"/>
          <w:sz w:val="24"/>
          <w:szCs w:val="24"/>
        </w:rPr>
        <w:t>、</w:t>
      </w:r>
      <w:r>
        <w:rPr>
          <w:rFonts w:ascii="Times New Roman" w:hAnsi="Times New Roman" w:eastAsia="宋体" w:cs="Times New Roman"/>
          <w:sz w:val="24"/>
          <w:szCs w:val="24"/>
        </w:rPr>
        <w:t>a*</w:t>
      </w:r>
      <w:r>
        <w:rPr>
          <w:rFonts w:hint="eastAsia" w:ascii="Times New Roman" w:hAnsi="Times New Roman" w:eastAsia="宋体" w:cs="Times New Roman"/>
          <w:sz w:val="24"/>
          <w:szCs w:val="24"/>
        </w:rPr>
        <w:t>、</w:t>
      </w:r>
      <w:r>
        <w:rPr>
          <w:rFonts w:ascii="Times New Roman" w:hAnsi="Times New Roman" w:eastAsia="宋体" w:cs="Times New Roman"/>
          <w:sz w:val="24"/>
          <w:szCs w:val="24"/>
        </w:rPr>
        <w:t>b*</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ΔE</w:t>
      </w:r>
      <w:r>
        <w:rPr>
          <w:rFonts w:hint="eastAsia" w:ascii="Times New Roman" w:hAnsi="Times New Roman" w:eastAsia="宋体" w:cs="Times New Roman"/>
          <w:sz w:val="24"/>
          <w:szCs w:val="24"/>
        </w:rPr>
        <w:t>值</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其中，</w:t>
      </w:r>
      <w:r>
        <w:rPr>
          <w:rFonts w:ascii="Times New Roman" w:hAnsi="Times New Roman" w:eastAsia="宋体" w:cs="Times New Roman"/>
          <w:sz w:val="24"/>
          <w:szCs w:val="24"/>
        </w:rPr>
        <w:t>L*</w:t>
      </w:r>
      <w:r>
        <w:rPr>
          <w:rFonts w:hint="eastAsia" w:ascii="Times New Roman" w:hAnsi="Times New Roman" w:eastAsia="宋体" w:cs="Times New Roman"/>
          <w:sz w:val="24"/>
          <w:szCs w:val="24"/>
        </w:rPr>
        <w:t>表示高水分植物肉基料的明亮度，值域0~</w:t>
      </w:r>
      <w:r>
        <w:rPr>
          <w:rFonts w:ascii="Times New Roman" w:hAnsi="Times New Roman" w:eastAsia="宋体" w:cs="Times New Roman"/>
          <w:sz w:val="24"/>
          <w:szCs w:val="24"/>
        </w:rPr>
        <w:t>100</w:t>
      </w:r>
      <w:r>
        <w:rPr>
          <w:rFonts w:hint="eastAsia" w:ascii="Times New Roman" w:hAnsi="Times New Roman" w:eastAsia="宋体" w:cs="Times New Roman"/>
          <w:sz w:val="24"/>
          <w:szCs w:val="24"/>
        </w:rPr>
        <w:t>表示从黑色到白色，正值</w:t>
      </w:r>
      <w:r>
        <w:rPr>
          <w:rFonts w:hint="eastAsia" w:ascii="Times New Roman" w:hAnsi="Times New Roman" w:eastAsia="宋体"/>
          <w:sz w:val="24"/>
          <w:szCs w:val="28"/>
        </w:rPr>
        <w:t>表示</w:t>
      </w:r>
      <w:r>
        <w:rPr>
          <w:rFonts w:hint="eastAsia" w:ascii="Times New Roman" w:hAnsi="Times New Roman" w:eastAsia="宋体" w:cs="Times New Roman"/>
          <w:sz w:val="24"/>
          <w:szCs w:val="24"/>
        </w:rPr>
        <w:t>偏亮白，负值</w:t>
      </w:r>
      <w:r>
        <w:rPr>
          <w:rFonts w:hint="eastAsia" w:ascii="Times New Roman" w:hAnsi="Times New Roman" w:eastAsia="宋体"/>
          <w:sz w:val="24"/>
          <w:szCs w:val="28"/>
        </w:rPr>
        <w:t>表示</w:t>
      </w:r>
      <w:r>
        <w:rPr>
          <w:rFonts w:hint="eastAsia" w:ascii="Times New Roman" w:hAnsi="Times New Roman" w:eastAsia="宋体" w:cs="Times New Roman"/>
          <w:sz w:val="24"/>
          <w:szCs w:val="24"/>
        </w:rPr>
        <w:t>偏暗黑，与</w:t>
      </w:r>
      <w:r>
        <w:rPr>
          <w:rFonts w:ascii="Times New Roman" w:hAnsi="Times New Roman" w:eastAsia="宋体" w:cs="Times New Roman"/>
          <w:sz w:val="24"/>
          <w:szCs w:val="24"/>
        </w:rPr>
        <w:t>ΔE</w:t>
      </w:r>
      <w:r>
        <w:rPr>
          <w:rFonts w:hint="eastAsia" w:ascii="Times New Roman" w:hAnsi="Times New Roman" w:eastAsia="宋体" w:cs="Times New Roman"/>
          <w:sz w:val="24"/>
          <w:szCs w:val="24"/>
        </w:rPr>
        <w:t>呈负相关关系，</w:t>
      </w:r>
      <w:r>
        <w:rPr>
          <w:rFonts w:ascii="Times New Roman" w:hAnsi="Times New Roman" w:eastAsia="宋体" w:cs="Times New Roman"/>
          <w:sz w:val="24"/>
          <w:szCs w:val="24"/>
        </w:rPr>
        <w:t>L*</w:t>
      </w:r>
      <w:r>
        <w:rPr>
          <w:rFonts w:hint="eastAsia" w:ascii="Times New Roman" w:hAnsi="Times New Roman" w:eastAsia="宋体" w:cs="Times New Roman"/>
          <w:sz w:val="24"/>
          <w:szCs w:val="24"/>
        </w:rPr>
        <w:t>越大，与白板颜色差距越小，颜色越明亮；</w:t>
      </w:r>
      <w:r>
        <w:rPr>
          <w:rFonts w:ascii="Times New Roman" w:hAnsi="Times New Roman" w:eastAsia="宋体" w:cs="Times New Roman"/>
          <w:sz w:val="24"/>
          <w:szCs w:val="24"/>
        </w:rPr>
        <w:t>a*</w:t>
      </w:r>
      <w:r>
        <w:rPr>
          <w:rFonts w:hint="eastAsia" w:ascii="Times New Roman" w:hAnsi="Times New Roman" w:eastAsia="宋体" w:cs="Times New Roman"/>
          <w:sz w:val="24"/>
          <w:szCs w:val="24"/>
        </w:rPr>
        <w:t>表示</w:t>
      </w:r>
      <w:r>
        <w:rPr>
          <w:rFonts w:hint="eastAsia" w:ascii="Times New Roman" w:hAnsi="Times New Roman" w:eastAsia="宋体"/>
          <w:sz w:val="24"/>
          <w:szCs w:val="28"/>
        </w:rPr>
        <w:t>高水分植物肉基料颜色红绿的程度，正值表示偏红，负值表示偏绿，变化趋势为红</w:t>
      </w:r>
      <w:r>
        <w:rPr>
          <w:rFonts w:hint="eastAsia" w:ascii="宋体" w:hAnsi="宋体" w:eastAsia="宋体"/>
          <w:sz w:val="24"/>
          <w:szCs w:val="28"/>
        </w:rPr>
        <w:t>→</w:t>
      </w:r>
      <w:r>
        <w:rPr>
          <w:rFonts w:hint="eastAsia" w:ascii="Times New Roman" w:hAnsi="Times New Roman" w:eastAsia="宋体"/>
          <w:sz w:val="24"/>
          <w:szCs w:val="28"/>
        </w:rPr>
        <w:t>灰</w:t>
      </w:r>
      <w:r>
        <w:rPr>
          <w:rFonts w:hint="eastAsia" w:ascii="宋体" w:hAnsi="宋体" w:eastAsia="宋体"/>
          <w:sz w:val="24"/>
          <w:szCs w:val="28"/>
        </w:rPr>
        <w:t>→</w:t>
      </w:r>
      <w:r>
        <w:rPr>
          <w:rFonts w:hint="eastAsia" w:ascii="Times New Roman" w:hAnsi="Times New Roman" w:eastAsia="宋体"/>
          <w:sz w:val="24"/>
          <w:szCs w:val="28"/>
        </w:rPr>
        <w:t>绿；</w:t>
      </w:r>
      <w:r>
        <w:rPr>
          <w:rFonts w:ascii="Times New Roman" w:hAnsi="Times New Roman" w:eastAsia="宋体" w:cs="Times New Roman"/>
          <w:sz w:val="24"/>
          <w:szCs w:val="24"/>
        </w:rPr>
        <w:t>b*</w:t>
      </w:r>
      <w:r>
        <w:rPr>
          <w:rFonts w:hint="eastAsia" w:ascii="Times New Roman" w:hAnsi="Times New Roman" w:eastAsia="宋体" w:cs="Times New Roman"/>
          <w:sz w:val="24"/>
          <w:szCs w:val="24"/>
        </w:rPr>
        <w:t>表示</w:t>
      </w:r>
      <w:r>
        <w:rPr>
          <w:rFonts w:hint="eastAsia" w:ascii="Times New Roman" w:hAnsi="Times New Roman" w:eastAsia="宋体"/>
          <w:sz w:val="24"/>
          <w:szCs w:val="28"/>
        </w:rPr>
        <w:t>高水分植物肉基料颜色黄蓝的程度，正值表示偏黄，负值表示偏蓝，变化趋势为黄</w:t>
      </w:r>
      <w:r>
        <w:rPr>
          <w:rFonts w:hint="eastAsia" w:ascii="宋体" w:hAnsi="宋体" w:eastAsia="宋体"/>
          <w:sz w:val="24"/>
          <w:szCs w:val="28"/>
        </w:rPr>
        <w:t>→</w:t>
      </w:r>
      <w:r>
        <w:rPr>
          <w:rFonts w:hint="eastAsia" w:ascii="Times New Roman" w:hAnsi="Times New Roman" w:eastAsia="宋体"/>
          <w:sz w:val="24"/>
          <w:szCs w:val="28"/>
        </w:rPr>
        <w:t>灰</w:t>
      </w:r>
      <w:r>
        <w:rPr>
          <w:rFonts w:hint="eastAsia" w:ascii="宋体" w:hAnsi="宋体" w:eastAsia="宋体"/>
          <w:sz w:val="24"/>
          <w:szCs w:val="28"/>
        </w:rPr>
        <w:t>→</w:t>
      </w:r>
      <w:r>
        <w:rPr>
          <w:rFonts w:hint="eastAsia" w:ascii="Times New Roman" w:hAnsi="Times New Roman" w:eastAsia="宋体"/>
          <w:sz w:val="24"/>
          <w:szCs w:val="28"/>
        </w:rPr>
        <w:t>蓝；</w:t>
      </w:r>
      <w:r>
        <w:rPr>
          <w:rFonts w:ascii="Times New Roman" w:hAnsi="Times New Roman" w:eastAsia="宋体" w:cs="Times New Roman"/>
          <w:sz w:val="24"/>
          <w:szCs w:val="24"/>
        </w:rPr>
        <w:t>∆E</w:t>
      </w:r>
      <w:r>
        <w:rPr>
          <w:rFonts w:hint="eastAsia" w:ascii="Times New Roman" w:hAnsi="Times New Roman" w:eastAsia="宋体" w:cs="Times New Roman"/>
          <w:sz w:val="24"/>
          <w:szCs w:val="24"/>
        </w:rPr>
        <w:t>表示总色差，不代表色差偏移的方向，数值越大，色差越大。</w:t>
      </w:r>
      <w:r>
        <w:rPr>
          <w:rFonts w:hint="eastAsia" w:ascii="Times New Roman" w:hAnsi="Times New Roman" w:eastAsia="宋体"/>
          <w:sz w:val="24"/>
          <w:szCs w:val="28"/>
        </w:rPr>
        <w:t>具体如图1所示。色差参数的单位是N</w:t>
      </w:r>
      <w:r>
        <w:rPr>
          <w:rFonts w:ascii="Times New Roman" w:hAnsi="Times New Roman" w:eastAsia="宋体"/>
          <w:sz w:val="24"/>
          <w:szCs w:val="28"/>
        </w:rPr>
        <w:t>BS</w:t>
      </w:r>
      <w:r>
        <w:rPr>
          <w:rFonts w:hint="eastAsia" w:ascii="Times New Roman" w:hAnsi="Times New Roman" w:eastAsia="宋体"/>
          <w:sz w:val="24"/>
          <w:szCs w:val="28"/>
        </w:rPr>
        <w:t>，1个N</w:t>
      </w:r>
      <w:r>
        <w:rPr>
          <w:rFonts w:ascii="Times New Roman" w:hAnsi="Times New Roman" w:eastAsia="宋体"/>
          <w:sz w:val="24"/>
          <w:szCs w:val="28"/>
        </w:rPr>
        <w:t>BS</w:t>
      </w:r>
      <w:r>
        <w:rPr>
          <w:rFonts w:hint="eastAsia" w:ascii="Times New Roman" w:hAnsi="Times New Roman" w:eastAsia="宋体"/>
          <w:sz w:val="24"/>
          <w:szCs w:val="28"/>
        </w:rPr>
        <w:t>单位表示目光能辨别的极小颜色间的差别。</w:t>
      </w:r>
    </w:p>
    <w:p>
      <w:pPr>
        <w:spacing w:line="360" w:lineRule="auto"/>
        <w:jc w:val="center"/>
        <w:rPr>
          <w:rFonts w:ascii="Times New Roman" w:hAnsi="Times New Roman" w:eastAsia="宋体"/>
          <w:sz w:val="24"/>
          <w:szCs w:val="28"/>
        </w:rPr>
      </w:pPr>
      <w:r>
        <w:drawing>
          <wp:inline distT="0" distB="0" distL="0" distR="0">
            <wp:extent cx="3981450" cy="2047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96199" cy="2055353"/>
                    </a:xfrm>
                    <a:prstGeom prst="rect">
                      <a:avLst/>
                    </a:prstGeom>
                  </pic:spPr>
                </pic:pic>
              </a:graphicData>
            </a:graphic>
          </wp:inline>
        </w:drawing>
      </w:r>
    </w:p>
    <w:p>
      <w:pPr>
        <w:spacing w:line="360" w:lineRule="auto"/>
        <w:jc w:val="center"/>
        <w:rPr>
          <w:rFonts w:ascii="Times New Roman" w:hAnsi="Times New Roman" w:eastAsia="宋体"/>
          <w:szCs w:val="21"/>
        </w:rPr>
      </w:pPr>
      <w:r>
        <w:rPr>
          <w:rFonts w:hint="eastAsia" w:ascii="Times New Roman" w:hAnsi="Times New Roman" w:eastAsia="宋体"/>
          <w:szCs w:val="21"/>
        </w:rPr>
        <w:t>图1</w:t>
      </w:r>
      <w:r>
        <w:rPr>
          <w:rFonts w:ascii="Times New Roman" w:hAnsi="Times New Roman" w:eastAsia="宋体"/>
          <w:szCs w:val="21"/>
        </w:rPr>
        <w:t xml:space="preserve"> </w:t>
      </w:r>
      <w:r>
        <w:rPr>
          <w:rFonts w:hint="eastAsia" w:ascii="Times New Roman" w:hAnsi="Times New Roman" w:eastAsia="宋体"/>
          <w:szCs w:val="21"/>
        </w:rPr>
        <w:t>色空间坐标图</w:t>
      </w:r>
    </w:p>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高水分植物肉基料的色差值见表3。</w:t>
      </w:r>
    </w:p>
    <w:p>
      <w:pPr>
        <w:spacing w:line="360" w:lineRule="auto"/>
        <w:jc w:val="center"/>
        <w:rPr>
          <w:rFonts w:ascii="Times New Roman" w:hAnsi="Times New Roman" w:eastAsia="宋体"/>
          <w:szCs w:val="21"/>
        </w:rPr>
      </w:pPr>
      <w:r>
        <w:rPr>
          <w:rFonts w:hint="eastAsia" w:ascii="Times New Roman" w:hAnsi="Times New Roman" w:eastAsia="宋体"/>
          <w:szCs w:val="21"/>
        </w:rPr>
        <w:t>表3</w:t>
      </w:r>
      <w:r>
        <w:rPr>
          <w:rFonts w:ascii="Times New Roman" w:hAnsi="Times New Roman" w:eastAsia="宋体"/>
          <w:szCs w:val="21"/>
        </w:rPr>
        <w:t xml:space="preserve"> </w:t>
      </w:r>
      <w:r>
        <w:rPr>
          <w:rFonts w:hint="eastAsia" w:ascii="Times New Roman" w:hAnsi="Times New Roman" w:eastAsia="宋体"/>
          <w:szCs w:val="21"/>
        </w:rPr>
        <w:t>高水分植物肉基料的颜色参数</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12"/>
        <w:gridCol w:w="1813"/>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ascii="Times New Roman"/>
                <w:color w:val="000000"/>
                <w:szCs w:val="21"/>
              </w:rPr>
              <w:t>样品</w:t>
            </w:r>
          </w:p>
        </w:tc>
        <w:tc>
          <w:tcPr>
            <w:tcW w:w="1063"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color w:val="000000"/>
                <w:szCs w:val="21"/>
              </w:rPr>
              <w:t>L*</w:t>
            </w:r>
          </w:p>
        </w:tc>
        <w:tc>
          <w:tcPr>
            <w:tcW w:w="1064"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color w:val="000000"/>
                <w:szCs w:val="21"/>
              </w:rPr>
              <w:t>a*</w:t>
            </w:r>
          </w:p>
        </w:tc>
        <w:tc>
          <w:tcPr>
            <w:tcW w:w="1064"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color w:val="000000"/>
                <w:szCs w:val="21"/>
              </w:rPr>
              <w:t>b*</w:t>
            </w:r>
          </w:p>
        </w:tc>
        <w:tc>
          <w:tcPr>
            <w:tcW w:w="1063"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hint="eastAsia" w:hAnsi="宋体" w:cs="宋体"/>
                <w:color w:val="000000"/>
                <w:szCs w:val="21"/>
              </w:rPr>
              <w:t>△</w:t>
            </w:r>
            <w:r>
              <w:rPr>
                <w:rFonts w:ascii="Times New Roman"/>
                <w:color w:val="000000"/>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5.39</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.92</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8.82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5.71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.96</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8.82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3</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5.65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.96</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8.90</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4</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5.90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.98</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9.85</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5</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6.83</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.02</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9.90</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6</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6.77</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.52</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1.30</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7</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7.31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.45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1.16</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7.20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.50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1.30</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9</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5.10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.30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0.84</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ascii="Times New Roman"/>
                <w:color w:val="000000"/>
                <w:szCs w:val="21"/>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ascii="Times New Roman"/>
                <w:color w:val="000000"/>
                <w:szCs w:val="21"/>
              </w:rPr>
              <w:t>1</w:t>
            </w:r>
            <w:r>
              <w:rPr>
                <w:rFonts w:hint="eastAsia" w:ascii="Times New Roman"/>
                <w:color w:val="000000"/>
                <w:szCs w:val="21"/>
              </w:rPr>
              <w:t>0</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5.21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.35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0.91</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1</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5.18</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.35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0.92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5.33</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.50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2.67</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3</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7.72</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.52</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0.59</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4</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8.63</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.41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0.98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5</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9.01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.43</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1.12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6</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6.18</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.83</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9.69</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7</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6.45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9.75</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6.53</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9.72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5.94</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0</w:t>
            </w:r>
            <w:r>
              <w:rPr>
                <w:rFonts w:ascii="Times New Roman"/>
                <w:color w:val="000000"/>
                <w:szCs w:val="21"/>
              </w:rPr>
              <w:t>.94</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7.95</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6.09</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.00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8.24</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1</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6.14</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.04</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8.26</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6.22</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.48</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8.52</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3</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6.66</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.46</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8.48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4</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6.75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.53</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8.48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5</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6.70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.55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9.78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6</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6.21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.48</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9.51</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7</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7.10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.59</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9.78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6.95</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.92</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0.36</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9</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6.89</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.87</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0.29</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0</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7.10</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.94</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0.35</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Mean</w:t>
            </w:r>
            <w:r>
              <w:rPr>
                <w:rFonts w:ascii="Times New Roman"/>
                <w:color w:val="000000"/>
                <w:szCs w:val="21"/>
              </w:rPr>
              <w:t>±SD</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ascii="Times New Roman"/>
                <w:color w:val="000000"/>
                <w:szCs w:val="21"/>
              </w:rPr>
              <w:t>66.50±1.21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.81±0.01</w:t>
            </w:r>
          </w:p>
        </w:tc>
        <w:tc>
          <w:tcPr>
            <w:tcW w:w="1064"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9.91±1.08</w:t>
            </w:r>
          </w:p>
        </w:tc>
        <w:tc>
          <w:tcPr>
            <w:tcW w:w="1063" w:type="pct"/>
            <w:tcBorders>
              <w:top w:val="single" w:color="auto" w:sz="4" w:space="0"/>
              <w:left w:val="single" w:color="auto" w:sz="4" w:space="0"/>
              <w:bottom w:val="single" w:color="auto" w:sz="4" w:space="0"/>
              <w:right w:val="single" w:color="auto" w:sz="4" w:space="0"/>
            </w:tcBorders>
            <w:vAlign w:val="bottom"/>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1.71±0.51</w:t>
            </w:r>
          </w:p>
        </w:tc>
      </w:tr>
    </w:tbl>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由表3可知，高水分植物肉基料的L*值在6</w:t>
      </w:r>
      <w:r>
        <w:rPr>
          <w:rFonts w:ascii="Times New Roman" w:hAnsi="Times New Roman" w:eastAsia="宋体"/>
          <w:sz w:val="24"/>
          <w:szCs w:val="28"/>
        </w:rPr>
        <w:t>5.10</w:t>
      </w:r>
      <w:r>
        <w:rPr>
          <w:rFonts w:hint="eastAsia" w:ascii="Times New Roman" w:hAnsi="Times New Roman" w:eastAsia="宋体"/>
          <w:sz w:val="24"/>
          <w:szCs w:val="28"/>
        </w:rPr>
        <w:t>~6</w:t>
      </w:r>
      <w:r>
        <w:rPr>
          <w:rFonts w:ascii="Times New Roman" w:hAnsi="Times New Roman" w:eastAsia="宋体"/>
          <w:sz w:val="24"/>
          <w:szCs w:val="28"/>
        </w:rPr>
        <w:t>9.01</w:t>
      </w:r>
      <w:r>
        <w:rPr>
          <w:rFonts w:hint="eastAsia" w:ascii="Times New Roman" w:hAnsi="Times New Roman" w:eastAsia="宋体"/>
          <w:sz w:val="24"/>
          <w:szCs w:val="28"/>
        </w:rPr>
        <w:t>之间，平均值为6</w:t>
      </w:r>
      <w:r>
        <w:rPr>
          <w:rFonts w:ascii="Times New Roman" w:hAnsi="Times New Roman" w:eastAsia="宋体"/>
          <w:sz w:val="24"/>
          <w:szCs w:val="28"/>
        </w:rPr>
        <w:t>6.50</w:t>
      </w:r>
      <w:r>
        <w:rPr>
          <w:rFonts w:hint="eastAsia" w:ascii="Times New Roman" w:hAnsi="Times New Roman" w:eastAsia="宋体"/>
          <w:sz w:val="24"/>
          <w:szCs w:val="28"/>
        </w:rPr>
        <w:t>，趋于偏亮白方向；a</w:t>
      </w:r>
      <w:r>
        <w:rPr>
          <w:rFonts w:ascii="Times New Roman" w:hAnsi="Times New Roman" w:eastAsia="宋体"/>
          <w:sz w:val="24"/>
          <w:szCs w:val="28"/>
        </w:rPr>
        <w:t>*</w:t>
      </w:r>
      <w:r>
        <w:rPr>
          <w:rFonts w:hint="eastAsia" w:ascii="Times New Roman" w:hAnsi="Times New Roman" w:eastAsia="宋体"/>
          <w:sz w:val="24"/>
          <w:szCs w:val="28"/>
        </w:rPr>
        <w:t>值在0</w:t>
      </w:r>
      <w:r>
        <w:rPr>
          <w:rFonts w:ascii="Times New Roman" w:hAnsi="Times New Roman" w:eastAsia="宋体"/>
          <w:sz w:val="24"/>
          <w:szCs w:val="28"/>
        </w:rPr>
        <w:t>.94</w:t>
      </w:r>
      <w:r>
        <w:rPr>
          <w:rFonts w:hint="eastAsia" w:ascii="Times New Roman" w:hAnsi="Times New Roman" w:eastAsia="宋体"/>
          <w:sz w:val="24"/>
          <w:szCs w:val="28"/>
        </w:rPr>
        <w:t>~</w:t>
      </w:r>
      <w:r>
        <w:rPr>
          <w:rFonts w:ascii="Times New Roman" w:hAnsi="Times New Roman" w:eastAsia="宋体"/>
          <w:sz w:val="24"/>
          <w:szCs w:val="28"/>
        </w:rPr>
        <w:t>2.52</w:t>
      </w:r>
      <w:r>
        <w:rPr>
          <w:rFonts w:hint="eastAsia" w:ascii="Times New Roman" w:hAnsi="Times New Roman" w:eastAsia="宋体"/>
          <w:sz w:val="24"/>
          <w:szCs w:val="28"/>
        </w:rPr>
        <w:t>之间，平均值为1</w:t>
      </w:r>
      <w:r>
        <w:rPr>
          <w:rFonts w:ascii="Times New Roman" w:hAnsi="Times New Roman" w:eastAsia="宋体"/>
          <w:sz w:val="24"/>
          <w:szCs w:val="28"/>
        </w:rPr>
        <w:t>.81</w:t>
      </w:r>
      <w:r>
        <w:rPr>
          <w:rFonts w:hint="eastAsia" w:ascii="Times New Roman" w:hAnsi="Times New Roman" w:eastAsia="宋体"/>
          <w:sz w:val="24"/>
          <w:szCs w:val="28"/>
        </w:rPr>
        <w:t>，按红绿变化趋势看，趋于偏灰方向；b*值在1</w:t>
      </w:r>
      <w:r>
        <w:rPr>
          <w:rFonts w:ascii="Times New Roman" w:hAnsi="Times New Roman" w:eastAsia="宋体"/>
          <w:sz w:val="24"/>
          <w:szCs w:val="28"/>
        </w:rPr>
        <w:t>7.95</w:t>
      </w:r>
      <w:r>
        <w:rPr>
          <w:rFonts w:hint="eastAsia" w:ascii="Times New Roman" w:hAnsi="Times New Roman" w:eastAsia="宋体"/>
          <w:sz w:val="24"/>
          <w:szCs w:val="28"/>
        </w:rPr>
        <w:t>~</w:t>
      </w:r>
      <w:r>
        <w:rPr>
          <w:rFonts w:ascii="Times New Roman" w:hAnsi="Times New Roman" w:eastAsia="宋体"/>
          <w:sz w:val="24"/>
          <w:szCs w:val="28"/>
        </w:rPr>
        <w:t>22.67</w:t>
      </w:r>
      <w:r>
        <w:rPr>
          <w:rFonts w:hint="eastAsia" w:ascii="Times New Roman" w:hAnsi="Times New Roman" w:eastAsia="宋体"/>
          <w:sz w:val="24"/>
          <w:szCs w:val="28"/>
        </w:rPr>
        <w:t>之间，平均值为1</w:t>
      </w:r>
      <w:r>
        <w:rPr>
          <w:rFonts w:ascii="Times New Roman" w:hAnsi="Times New Roman" w:eastAsia="宋体"/>
          <w:sz w:val="24"/>
          <w:szCs w:val="28"/>
        </w:rPr>
        <w:t>9.91</w:t>
      </w:r>
      <w:r>
        <w:rPr>
          <w:rFonts w:hint="eastAsia" w:ascii="Times New Roman" w:hAnsi="Times New Roman" w:eastAsia="宋体"/>
          <w:sz w:val="24"/>
          <w:szCs w:val="28"/>
        </w:rPr>
        <w:t>，按黄蓝变化趋势看，趋于偏黄方向。综上分析，将高水分植物肉基料的色泽设定为灰白色~微黄色。</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4.3 </w:t>
      </w:r>
      <w:r>
        <w:rPr>
          <w:rFonts w:hint="eastAsia" w:ascii="Times New Roman" w:hAnsi="Times New Roman" w:eastAsia="宋体" w:cs="Times New Roman"/>
          <w:b/>
          <w:bCs/>
          <w:sz w:val="24"/>
          <w:szCs w:val="24"/>
        </w:rPr>
        <w:t>理化指标</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参考相关标准中规定的理化指标，并经实际验证，制定了本标准中的理化指标。由于本标准的适用对象是以植物蛋白为原料，在高水分条件下经挤压制成的基料，因此将“蛋白质”和“水分”纳入标准指标要求。高水分植物肉基料的蛋白质和水分含量测定结果见表</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p>
    <w:p>
      <w:pPr>
        <w:spacing w:line="460" w:lineRule="exact"/>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3 </w:t>
      </w:r>
      <w:r>
        <w:rPr>
          <w:rFonts w:hint="eastAsia" w:ascii="Times New Roman" w:hAnsi="Times New Roman" w:eastAsia="宋体" w:cs="Times New Roman"/>
          <w:szCs w:val="21"/>
        </w:rPr>
        <w:t>高水分植物肉基料的蛋白质和水分含量</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554"/>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样品</w:t>
            </w:r>
          </w:p>
        </w:tc>
        <w:tc>
          <w:tcPr>
            <w:tcW w:w="2085"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蛋白质</w:t>
            </w:r>
            <w:r>
              <w:rPr>
                <w:rFonts w:ascii="Times New Roman"/>
                <w:color w:val="000000"/>
                <w:szCs w:val="21"/>
              </w:rPr>
              <w:t>（</w:t>
            </w:r>
            <w:r>
              <w:rPr>
                <w:rFonts w:hint="eastAsia" w:ascii="Times New Roman"/>
                <w:color w:val="000000"/>
                <w:szCs w:val="21"/>
              </w:rPr>
              <w:t>湿基</w:t>
            </w:r>
            <w:r>
              <w:rPr>
                <w:rFonts w:ascii="Times New Roman"/>
                <w:color w:val="000000"/>
                <w:szCs w:val="21"/>
              </w:rPr>
              <w:t>）</w:t>
            </w:r>
            <w:r>
              <w:rPr>
                <w:rFonts w:hint="eastAsia" w:ascii="Times New Roman"/>
                <w:color w:val="000000"/>
                <w:szCs w:val="21"/>
              </w:rPr>
              <w:t>/g</w:t>
            </w:r>
            <w:r>
              <w:rPr>
                <w:rFonts w:ascii="Times New Roman"/>
                <w:color w:val="000000"/>
                <w:szCs w:val="21"/>
              </w:rPr>
              <w:t xml:space="preserve">/100g    </w:t>
            </w:r>
          </w:p>
        </w:tc>
        <w:tc>
          <w:tcPr>
            <w:tcW w:w="208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ascii="Times New Roman"/>
                <w:color w:val="000000"/>
                <w:szCs w:val="21"/>
              </w:rPr>
              <w:t>水分</w:t>
            </w:r>
            <w:r>
              <w:rPr>
                <w:rFonts w:hint="eastAsia" w:ascii="Times New Roman"/>
                <w:color w:val="000000"/>
                <w:szCs w:val="21"/>
              </w:rPr>
              <w:t>/</w:t>
            </w:r>
            <w:r>
              <w:rPr>
                <w:rFonts w:asci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25.31</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24.68</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3</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27.52</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4</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28.35</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5</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26.89</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6</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27.03</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7</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28.16</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8</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26.54</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9</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29.42</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0</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25.79</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1</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27.21</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2</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28.04</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3</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26.78</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4</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25.98</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5</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30.43</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6</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27.34</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7</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28.15</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8</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29.06</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1</w:t>
            </w:r>
            <w:r>
              <w:rPr>
                <w:rFonts w:ascii="Times New Roman"/>
                <w:color w:val="000000"/>
                <w:szCs w:val="21"/>
              </w:rPr>
              <w:t>9</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27.13</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0</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31.04</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1</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28.67</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2</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29.27</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3</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30.58</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4</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28.16</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5</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27.48</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6</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26.93</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7</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25.28</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8</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26.37</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9</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27.16</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3</w:t>
            </w:r>
            <w:r>
              <w:rPr>
                <w:rFonts w:ascii="Times New Roman"/>
                <w:color w:val="000000"/>
                <w:szCs w:val="21"/>
              </w:rPr>
              <w:t>0</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28.19</w:t>
            </w:r>
          </w:p>
        </w:tc>
        <w:tc>
          <w:tcPr>
            <w:tcW w:w="2086"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ascii="Times New Roman" w:eastAsia="等线"/>
                <w:color w:val="000000"/>
                <w:szCs w:val="21"/>
              </w:rPr>
              <w:t>63.37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Mean</w:t>
            </w:r>
            <w:r>
              <w:rPr>
                <w:rFonts w:ascii="Times New Roman"/>
                <w:color w:val="000000"/>
                <w:szCs w:val="21"/>
              </w:rPr>
              <w:t>±SD</w:t>
            </w:r>
          </w:p>
        </w:tc>
        <w:tc>
          <w:tcPr>
            <w:tcW w:w="2085" w:type="pct"/>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ascii="Times New Roman"/>
                <w:color w:val="000000"/>
                <w:szCs w:val="21"/>
              </w:rPr>
            </w:pPr>
            <w:r>
              <w:rPr>
                <w:rFonts w:hint="eastAsia" w:ascii="Times New Roman"/>
                <w:color w:val="000000"/>
                <w:szCs w:val="21"/>
              </w:rPr>
              <w:t>2</w:t>
            </w:r>
            <w:r>
              <w:rPr>
                <w:rFonts w:ascii="Times New Roman"/>
                <w:color w:val="000000"/>
                <w:szCs w:val="21"/>
              </w:rPr>
              <w:t>7.63±2.04</w:t>
            </w:r>
          </w:p>
        </w:tc>
        <w:tc>
          <w:tcPr>
            <w:tcW w:w="2086" w:type="pct"/>
            <w:tcBorders>
              <w:top w:val="single" w:color="auto" w:sz="4" w:space="0"/>
              <w:left w:val="single" w:color="auto" w:sz="4" w:space="0"/>
              <w:bottom w:val="single" w:color="auto" w:sz="4" w:space="0"/>
              <w:right w:val="single" w:color="auto" w:sz="4" w:space="0"/>
            </w:tcBorders>
          </w:tcPr>
          <w:p>
            <w:pPr>
              <w:pStyle w:val="15"/>
              <w:ind w:firstLine="0" w:firstLineChars="0"/>
              <w:jc w:val="center"/>
              <w:rPr>
                <w:rFonts w:ascii="Times New Roman"/>
                <w:color w:val="000000"/>
                <w:szCs w:val="21"/>
              </w:rPr>
            </w:pPr>
            <w:r>
              <w:rPr>
                <w:rFonts w:hint="eastAsia" w:ascii="Times New Roman"/>
                <w:color w:val="000000"/>
                <w:szCs w:val="21"/>
              </w:rPr>
              <w:t>6</w:t>
            </w:r>
            <w:r>
              <w:rPr>
                <w:rFonts w:ascii="Times New Roman"/>
                <w:color w:val="000000"/>
                <w:szCs w:val="21"/>
              </w:rPr>
              <w:t>2.16±1.69</w:t>
            </w:r>
          </w:p>
        </w:tc>
      </w:tr>
    </w:tbl>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由表3可以看出，高水分植物肉基料的蛋白质含量最低为</w:t>
      </w:r>
      <w:r>
        <w:rPr>
          <w:rFonts w:ascii="Times New Roman" w:hAnsi="Times New Roman" w:eastAsia="宋体" w:cs="Times New Roman"/>
          <w:sz w:val="24"/>
          <w:szCs w:val="24"/>
        </w:rPr>
        <w:t>24.68</w:t>
      </w:r>
      <w:r>
        <w:rPr>
          <w:rFonts w:hint="eastAsia" w:ascii="Times New Roman" w:hAnsi="Times New Roman" w:eastAsia="宋体" w:cs="Times New Roman"/>
          <w:sz w:val="24"/>
          <w:szCs w:val="24"/>
        </w:rPr>
        <w:t>%，最高为</w:t>
      </w:r>
      <w:r>
        <w:rPr>
          <w:rFonts w:ascii="Times New Roman" w:hAnsi="Times New Roman" w:eastAsia="宋体" w:cs="Times New Roman"/>
          <w:sz w:val="24"/>
          <w:szCs w:val="24"/>
        </w:rPr>
        <w:t>31.04</w:t>
      </w:r>
      <w:r>
        <w:rPr>
          <w:rFonts w:hint="eastAsia" w:ascii="Times New Roman" w:hAnsi="Times New Roman" w:eastAsia="宋体" w:cs="Times New Roman"/>
          <w:sz w:val="24"/>
          <w:szCs w:val="24"/>
        </w:rPr>
        <w:t>%，水分含量均超过6</w:t>
      </w:r>
      <w:r>
        <w:rPr>
          <w:rFonts w:ascii="Times New Roman" w:hAnsi="Times New Roman" w:eastAsia="宋体" w:cs="Times New Roman"/>
          <w:sz w:val="24"/>
          <w:szCs w:val="24"/>
        </w:rPr>
        <w:t>0</w:t>
      </w:r>
      <w:r>
        <w:rPr>
          <w:rFonts w:hint="eastAsia" w:ascii="Times New Roman" w:hAnsi="Times New Roman" w:eastAsia="宋体" w:cs="Times New Roman"/>
          <w:sz w:val="24"/>
          <w:szCs w:val="24"/>
        </w:rPr>
        <w:t>%，考虑到不同原料的地域差异并结合</w:t>
      </w:r>
      <w:r>
        <w:rPr>
          <w:rFonts w:hint="eastAsia" w:ascii="Times New Roman" w:hAnsi="Times New Roman" w:eastAsia="宋体"/>
          <w:sz w:val="24"/>
          <w:szCs w:val="28"/>
        </w:rPr>
        <w:t>测定结果，设定蛋白质含量≥</w:t>
      </w:r>
      <w:r>
        <w:rPr>
          <w:rFonts w:ascii="Times New Roman" w:hAnsi="Times New Roman" w:eastAsia="宋体"/>
          <w:sz w:val="24"/>
          <w:szCs w:val="28"/>
        </w:rPr>
        <w:t>20</w:t>
      </w:r>
      <w:r>
        <w:rPr>
          <w:rFonts w:hint="eastAsia" w:ascii="Times New Roman" w:hAnsi="Times New Roman" w:eastAsia="宋体"/>
          <w:sz w:val="24"/>
          <w:szCs w:val="28"/>
        </w:rPr>
        <w:t>%、水分≥6</w:t>
      </w:r>
      <w:r>
        <w:rPr>
          <w:rFonts w:ascii="Times New Roman" w:hAnsi="Times New Roman" w:eastAsia="宋体"/>
          <w:sz w:val="24"/>
          <w:szCs w:val="28"/>
        </w:rPr>
        <w:t>0</w:t>
      </w:r>
      <w:r>
        <w:rPr>
          <w:rFonts w:hint="eastAsia" w:ascii="Times New Roman" w:hAnsi="Times New Roman" w:eastAsia="宋体"/>
          <w:sz w:val="24"/>
          <w:szCs w:val="28"/>
        </w:rPr>
        <w:t>%</w:t>
      </w:r>
      <w:r>
        <w:rPr>
          <w:rFonts w:ascii="Times New Roman" w:hAnsi="Times New Roman" w:eastAsia="宋体"/>
          <w:sz w:val="24"/>
          <w:szCs w:val="28"/>
        </w:rPr>
        <w:t>。</w:t>
      </w:r>
    </w:p>
    <w:p>
      <w:pPr>
        <w:spacing w:line="460" w:lineRule="exact"/>
        <w:ind w:firstLine="480" w:firstLineChars="200"/>
        <w:rPr>
          <w:rFonts w:ascii="Times New Roman" w:hAnsi="Times New Roman" w:eastAsia="宋体"/>
          <w:sz w:val="24"/>
          <w:szCs w:val="28"/>
        </w:rPr>
      </w:pPr>
      <w:r>
        <w:rPr>
          <w:rFonts w:hint="eastAsia" w:ascii="Times New Roman" w:hAnsi="Times New Roman" w:eastAsia="宋体" w:cs="Times New Roman"/>
          <w:sz w:val="24"/>
          <w:szCs w:val="24"/>
        </w:rPr>
        <w:t>高水分植物肉基料</w:t>
      </w:r>
      <w:r>
        <w:rPr>
          <w:rFonts w:hint="eastAsia" w:ascii="Times New Roman" w:hAnsi="Times New Roman" w:eastAsia="宋体" w:cs="Times New Roman"/>
          <w:sz w:val="24"/>
          <w:szCs w:val="24"/>
          <w:lang w:val="zh-CN"/>
        </w:rPr>
        <w:t>具有更接近肉的纤维结构、质感和状态等特点，因此</w:t>
      </w:r>
      <w:r>
        <w:rPr>
          <w:rFonts w:hint="eastAsia" w:ascii="Times New Roman" w:hAnsi="Times New Roman" w:eastAsia="宋体" w:cs="Times New Roman"/>
          <w:sz w:val="24"/>
          <w:szCs w:val="24"/>
        </w:rPr>
        <w:t>考虑设置“硬度”和“咀嚼度”为标准的技术指标，以确保高水分植物肉基料的品质。</w:t>
      </w:r>
      <w:r>
        <w:rPr>
          <w:rFonts w:hint="eastAsia" w:ascii="Times New Roman" w:hAnsi="Times New Roman" w:eastAsia="宋体"/>
          <w:sz w:val="24"/>
          <w:szCs w:val="28"/>
        </w:rPr>
        <w:t>为科学地评价高水分植物肉基料与典型畜禽肉的品质差异性，将</w:t>
      </w:r>
      <w:r>
        <w:rPr>
          <w:rFonts w:hint="eastAsia" w:ascii="Times New Roman" w:hAnsi="Times New Roman" w:eastAsia="宋体" w:cs="Times New Roman"/>
          <w:sz w:val="24"/>
          <w:szCs w:val="24"/>
        </w:rPr>
        <w:t>高水分植物肉基料</w:t>
      </w:r>
      <w:r>
        <w:rPr>
          <w:rFonts w:hint="eastAsia" w:ascii="Times New Roman" w:hAnsi="Times New Roman" w:eastAsia="宋体"/>
          <w:sz w:val="24"/>
          <w:szCs w:val="28"/>
        </w:rPr>
        <w:t>与市售煮熟后鸡胸肉（n=</w:t>
      </w:r>
      <w:r>
        <w:rPr>
          <w:rFonts w:ascii="Times New Roman" w:hAnsi="Times New Roman" w:eastAsia="宋体"/>
          <w:sz w:val="24"/>
          <w:szCs w:val="28"/>
        </w:rPr>
        <w:t>5</w:t>
      </w:r>
      <w:r>
        <w:rPr>
          <w:rFonts w:hint="eastAsia" w:ascii="Times New Roman" w:hAnsi="Times New Roman" w:eastAsia="宋体"/>
          <w:sz w:val="24"/>
          <w:szCs w:val="28"/>
        </w:rPr>
        <w:t>）、瘦猪肉（n=</w:t>
      </w:r>
      <w:r>
        <w:rPr>
          <w:rFonts w:ascii="Times New Roman" w:hAnsi="Times New Roman" w:eastAsia="宋体"/>
          <w:sz w:val="24"/>
          <w:szCs w:val="28"/>
        </w:rPr>
        <w:t>5</w:t>
      </w:r>
      <w:r>
        <w:rPr>
          <w:rFonts w:hint="eastAsia" w:ascii="Times New Roman" w:hAnsi="Times New Roman" w:eastAsia="宋体"/>
          <w:sz w:val="24"/>
          <w:szCs w:val="28"/>
        </w:rPr>
        <w:t>）、瘦牛肉（n=</w:t>
      </w:r>
      <w:r>
        <w:rPr>
          <w:rFonts w:ascii="Times New Roman" w:hAnsi="Times New Roman" w:eastAsia="宋体"/>
          <w:sz w:val="24"/>
          <w:szCs w:val="28"/>
        </w:rPr>
        <w:t>5</w:t>
      </w:r>
      <w:r>
        <w:rPr>
          <w:rFonts w:hint="eastAsia" w:ascii="Times New Roman" w:hAnsi="Times New Roman" w:eastAsia="宋体"/>
          <w:sz w:val="24"/>
          <w:szCs w:val="28"/>
        </w:rPr>
        <w:t>）的硬度和咀嚼度进行了比较，结果见表</w:t>
      </w:r>
      <w:r>
        <w:rPr>
          <w:rFonts w:ascii="Times New Roman" w:hAnsi="Times New Roman" w:eastAsia="宋体"/>
          <w:sz w:val="24"/>
          <w:szCs w:val="28"/>
        </w:rPr>
        <w:t>4。</w:t>
      </w:r>
    </w:p>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表4 高水分</w:t>
      </w:r>
      <w:r>
        <w:rPr>
          <w:rFonts w:hint="eastAsia" w:ascii="Times New Roman" w:hAnsi="Times New Roman" w:eastAsia="宋体" w:cs="Times New Roman"/>
          <w:szCs w:val="21"/>
        </w:rPr>
        <w:t>植物肉基料及畜禽肉的硬度和咀嚼度</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3317"/>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样品</w:t>
            </w:r>
          </w:p>
        </w:tc>
        <w:tc>
          <w:tcPr>
            <w:tcW w:w="1946"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硬度</w:t>
            </w:r>
            <w:r>
              <w:rPr>
                <w:rFonts w:hint="eastAsia" w:ascii="Times New Roman" w:hAnsi="Times New Roman" w:eastAsia="宋体" w:cs="Times New Roman"/>
                <w:szCs w:val="21"/>
              </w:rPr>
              <w:t>/</w:t>
            </w:r>
            <w:r>
              <w:rPr>
                <w:rFonts w:ascii="Times New Roman" w:hAnsi="Times New Roman" w:eastAsia="宋体" w:cs="Times New Roman"/>
                <w:szCs w:val="21"/>
              </w:rPr>
              <w:t>kg</w:t>
            </w:r>
          </w:p>
        </w:tc>
        <w:tc>
          <w:tcPr>
            <w:tcW w:w="1946"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咀嚼度</w:t>
            </w:r>
            <w:r>
              <w:rPr>
                <w:rFonts w:hint="eastAsia" w:ascii="Times New Roman" w:hAnsi="Times New Roman" w:eastAsia="宋体" w:cs="Times New Roman"/>
                <w:szCs w:val="21"/>
              </w:rPr>
              <w:t>/</w:t>
            </w:r>
            <w:r>
              <w:rPr>
                <w:rFonts w:ascii="Times New Roman" w:hAnsi="Times New Roman" w:eastAsia="宋体" w:cs="Times New Roman"/>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8.91</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8.19</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8.75</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8.57</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7.99</w:t>
            </w:r>
          </w:p>
        </w:tc>
        <w:tc>
          <w:tcPr>
            <w:tcW w:w="1946" w:type="pct"/>
            <w:vAlign w:val="center"/>
          </w:tcPr>
          <w:p>
            <w:pPr>
              <w:jc w:val="center"/>
              <w:rPr>
                <w:rFonts w:ascii="Times New Roman" w:hAnsi="Times New Roman" w:eastAsia="宋体" w:cs="Times New Roman"/>
                <w:szCs w:val="21"/>
              </w:rPr>
            </w:pPr>
            <w:r>
              <w:rPr>
                <w:rFonts w:hint="eastAsia" w:ascii="Times New Roman" w:hAnsi="Times New Roman" w:cs="Times New Roman"/>
              </w:rPr>
              <w:t>9</w:t>
            </w:r>
            <w:r>
              <w:rPr>
                <w:rFonts w:ascii="Times New Roman" w:hAnsi="Times New Roman" w:cs="Times New Roma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hAnsi="Times New Roman" w:eastAsia="宋体" w:cs="Times New Roman"/>
                <w:szCs w:val="21"/>
              </w:rPr>
            </w:pPr>
            <w:r>
              <w:rPr>
                <w:rFonts w:hint="eastAsia" w:ascii="Times New Roman"/>
                <w:color w:val="000000"/>
                <w:szCs w:val="21"/>
              </w:rPr>
              <w:t>6</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4.94</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7</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3.51</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8</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4.28</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9</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1.99</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0</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7.99</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1</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8.70</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2</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0.27</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3</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2.19</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4</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1.98</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5</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1.36</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6</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7.62</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7</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7.43</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8</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6.84</w:t>
            </w:r>
          </w:p>
        </w:tc>
        <w:tc>
          <w:tcPr>
            <w:tcW w:w="1946" w:type="pct"/>
          </w:tcPr>
          <w:p>
            <w:pPr>
              <w:jc w:val="cente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1</w:t>
            </w:r>
            <w:r>
              <w:rPr>
                <w:rFonts w:ascii="Times New Roman"/>
                <w:color w:val="000000"/>
                <w:szCs w:val="21"/>
              </w:rPr>
              <w:t>9</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8.59</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0</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8.31</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1</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9.29</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2</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9.77</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3</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8.84</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4</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9.37</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5</w:t>
            </w:r>
          </w:p>
        </w:tc>
        <w:tc>
          <w:tcPr>
            <w:tcW w:w="1946" w:type="pct"/>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0.71</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6</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5.67</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7</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6.35</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8</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7.54</w:t>
            </w:r>
          </w:p>
        </w:tc>
        <w:tc>
          <w:tcPr>
            <w:tcW w:w="1946" w:type="pct"/>
          </w:tcPr>
          <w:p>
            <w:pPr>
              <w:jc w:val="center"/>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2</w:t>
            </w:r>
            <w:r>
              <w:rPr>
                <w:rFonts w:ascii="Times New Roman"/>
                <w:color w:val="000000"/>
                <w:szCs w:val="21"/>
              </w:rPr>
              <w:t>9</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8.11</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3</w:t>
            </w:r>
            <w:r>
              <w:rPr>
                <w:rFonts w:ascii="Times New Roman"/>
                <w:color w:val="000000"/>
                <w:szCs w:val="21"/>
              </w:rPr>
              <w:t>0</w:t>
            </w:r>
          </w:p>
        </w:tc>
        <w:tc>
          <w:tcPr>
            <w:tcW w:w="1946" w:type="pc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6.92</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tcPr>
          <w:p>
            <w:pPr>
              <w:jc w:val="center"/>
              <w:rPr>
                <w:rFonts w:ascii="Times New Roman"/>
                <w:color w:val="000000"/>
                <w:szCs w:val="21"/>
              </w:rPr>
            </w:pPr>
            <w:r>
              <w:rPr>
                <w:rFonts w:hint="eastAsia" w:ascii="Times New Roman"/>
                <w:color w:val="000000"/>
                <w:szCs w:val="21"/>
              </w:rPr>
              <w:t>Mean</w:t>
            </w:r>
            <w:r>
              <w:rPr>
                <w:rFonts w:ascii="Times New Roman" w:hAnsi="Times New Roman" w:cs="Times New Roman"/>
                <w:color w:val="000000"/>
                <w:szCs w:val="21"/>
              </w:rPr>
              <w:t>±SD</w:t>
            </w:r>
          </w:p>
        </w:tc>
        <w:tc>
          <w:tcPr>
            <w:tcW w:w="1946" w:type="pct"/>
            <w:vAlign w:val="center"/>
          </w:tcPr>
          <w:p>
            <w:pPr>
              <w:jc w:val="center"/>
              <w:rPr>
                <w:rFonts w:ascii="Times New Roman" w:hAnsi="Times New Roman" w:cs="Times New Roman"/>
              </w:rPr>
            </w:pPr>
            <w:r>
              <w:rPr>
                <w:rFonts w:ascii="Times New Roman" w:hAnsi="Times New Roman" w:cs="Times New Roman"/>
              </w:rPr>
              <w:t>19.37±1.41</w:t>
            </w:r>
          </w:p>
        </w:tc>
        <w:tc>
          <w:tcPr>
            <w:tcW w:w="1946" w:type="pct"/>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1.40±1.78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color w:val="000000"/>
                <w:szCs w:val="21"/>
              </w:rPr>
            </w:pPr>
            <w:r>
              <w:rPr>
                <w:rFonts w:ascii="Times New Roman" w:hAnsi="Times New Roman" w:eastAsia="宋体" w:cs="Times New Roman"/>
                <w:szCs w:val="21"/>
              </w:rPr>
              <w:t>鸡</w:t>
            </w:r>
            <w:r>
              <w:rPr>
                <w:rFonts w:hint="eastAsia" w:ascii="Times New Roman" w:hAnsi="Times New Roman" w:eastAsia="宋体" w:cs="Times New Roman"/>
                <w:szCs w:val="21"/>
              </w:rPr>
              <w:t>胸</w:t>
            </w:r>
            <w:r>
              <w:rPr>
                <w:rFonts w:ascii="Times New Roman" w:hAnsi="Times New Roman" w:eastAsia="宋体" w:cs="Times New Roman"/>
                <w:szCs w:val="21"/>
              </w:rPr>
              <w:t>肉（熟）</w:t>
            </w:r>
          </w:p>
        </w:tc>
        <w:tc>
          <w:tcPr>
            <w:tcW w:w="1946" w:type="pct"/>
            <w:vAlign w:val="center"/>
          </w:tcPr>
          <w:p>
            <w:pPr>
              <w:jc w:val="center"/>
              <w:rPr>
                <w:rFonts w:ascii="Times New Roman" w:hAnsi="Times New Roman" w:cs="Times New Roman"/>
              </w:rPr>
            </w:pPr>
            <w:r>
              <w:rPr>
                <w:rFonts w:ascii="Times New Roman" w:hAnsi="Times New Roman" w:cs="Times New Roman"/>
              </w:rPr>
              <w:t>17.35±1.39</w:t>
            </w:r>
          </w:p>
        </w:tc>
        <w:tc>
          <w:tcPr>
            <w:tcW w:w="1946" w:type="pct"/>
            <w:vAlign w:val="center"/>
          </w:tcPr>
          <w:p>
            <w:pPr>
              <w:jc w:val="center"/>
              <w:rPr>
                <w:rFonts w:ascii="Times New Roman" w:hAnsi="Times New Roman" w:cs="Times New Roman"/>
              </w:rPr>
            </w:pPr>
            <w:r>
              <w:rPr>
                <w:rFonts w:ascii="Times New Roman" w:hAnsi="Times New Roman" w:cs="Times New Roman"/>
              </w:rPr>
              <w:t>9.66±2.31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瘦</w:t>
            </w:r>
            <w:r>
              <w:rPr>
                <w:rFonts w:ascii="Times New Roman" w:hAnsi="Times New Roman" w:eastAsia="宋体" w:cs="Times New Roman"/>
                <w:szCs w:val="21"/>
              </w:rPr>
              <w:t>猪肉（熟）</w:t>
            </w:r>
          </w:p>
        </w:tc>
        <w:tc>
          <w:tcPr>
            <w:tcW w:w="1946" w:type="pct"/>
            <w:vAlign w:val="center"/>
          </w:tcPr>
          <w:p>
            <w:pPr>
              <w:jc w:val="center"/>
              <w:rPr>
                <w:rFonts w:ascii="Times New Roman" w:hAnsi="Times New Roman" w:cs="Times New Roman"/>
              </w:rPr>
            </w:pPr>
            <w:r>
              <w:rPr>
                <w:rFonts w:ascii="Times New Roman" w:hAnsi="Times New Roman" w:cs="Times New Roman"/>
              </w:rPr>
              <w:t>18.13±0.06</w:t>
            </w:r>
          </w:p>
        </w:tc>
        <w:tc>
          <w:tcPr>
            <w:tcW w:w="1946" w:type="pct"/>
            <w:vAlign w:val="center"/>
          </w:tcPr>
          <w:p>
            <w:pPr>
              <w:jc w:val="center"/>
              <w:rPr>
                <w:rFonts w:ascii="Times New Roman" w:hAnsi="Times New Roman" w:cs="Times New Roman"/>
              </w:rPr>
            </w:pPr>
            <w:r>
              <w:rPr>
                <w:rFonts w:ascii="Times New Roman" w:hAnsi="Times New Roman" w:cs="Times New Roman"/>
              </w:rPr>
              <w:t>8.80±1.17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瘦</w:t>
            </w:r>
            <w:r>
              <w:rPr>
                <w:rFonts w:ascii="Times New Roman" w:hAnsi="Times New Roman" w:eastAsia="宋体" w:cs="Times New Roman"/>
                <w:szCs w:val="21"/>
              </w:rPr>
              <w:t>牛肉（熟）</w:t>
            </w:r>
          </w:p>
        </w:tc>
        <w:tc>
          <w:tcPr>
            <w:tcW w:w="1946" w:type="pct"/>
            <w:vAlign w:val="center"/>
          </w:tcPr>
          <w:p>
            <w:pPr>
              <w:jc w:val="center"/>
              <w:rPr>
                <w:rFonts w:ascii="Times New Roman" w:hAnsi="Times New Roman" w:cs="Times New Roman"/>
              </w:rPr>
            </w:pPr>
            <w:r>
              <w:rPr>
                <w:rFonts w:ascii="Times New Roman" w:hAnsi="Times New Roman" w:cs="Times New Roman"/>
              </w:rPr>
              <w:t>19.22±3.24</w:t>
            </w:r>
          </w:p>
        </w:tc>
        <w:tc>
          <w:tcPr>
            <w:tcW w:w="1946" w:type="pct"/>
            <w:vAlign w:val="center"/>
          </w:tcPr>
          <w:p>
            <w:pPr>
              <w:jc w:val="center"/>
              <w:rPr>
                <w:rFonts w:ascii="Times New Roman" w:hAnsi="Times New Roman" w:cs="Times New Roman"/>
              </w:rPr>
            </w:pPr>
            <w:r>
              <w:rPr>
                <w:rFonts w:ascii="Times New Roman" w:hAnsi="Times New Roman" w:cs="Times New Roman"/>
              </w:rPr>
              <w:t>11.20±2.49</w:t>
            </w:r>
          </w:p>
        </w:tc>
      </w:tr>
    </w:tbl>
    <w:p>
      <w:pPr>
        <w:spacing w:line="360"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由表4可知，高水分植物肉基料具有接近或超过畜禽肉的硬度和咀嚼度，与熟制后的鸡肉、猪肉、牛肉相比，制得的高水分植物肉基料具有紧密的纤维组织化结构，硬度适宜，</w:t>
      </w:r>
      <w:r>
        <w:rPr>
          <w:rFonts w:hint="eastAsia" w:ascii="Times New Roman" w:hAnsi="Times New Roman" w:eastAsia="宋体" w:cs="Times New Roman"/>
          <w:sz w:val="24"/>
          <w:szCs w:val="28"/>
        </w:rPr>
        <w:t>畜禽肉</w:t>
      </w:r>
      <w:r>
        <w:rPr>
          <w:rFonts w:ascii="Times New Roman" w:hAnsi="Times New Roman" w:eastAsia="宋体" w:cs="Times New Roman"/>
          <w:sz w:val="24"/>
          <w:szCs w:val="28"/>
        </w:rPr>
        <w:t>相</w:t>
      </w:r>
      <w:r>
        <w:rPr>
          <w:rFonts w:hint="eastAsia" w:ascii="Times New Roman" w:hAnsi="Times New Roman" w:eastAsia="宋体" w:cs="Times New Roman"/>
          <w:sz w:val="24"/>
          <w:szCs w:val="28"/>
        </w:rPr>
        <w:t>近。综合分析后，</w:t>
      </w:r>
      <w:r>
        <w:rPr>
          <w:rFonts w:hint="eastAsia" w:ascii="Times New Roman" w:hAnsi="Times New Roman" w:eastAsia="宋体"/>
          <w:sz w:val="24"/>
          <w:szCs w:val="28"/>
        </w:rPr>
        <w:t>设定硬度≥</w:t>
      </w:r>
      <w:r>
        <w:rPr>
          <w:rFonts w:ascii="Times New Roman" w:hAnsi="Times New Roman" w:eastAsia="宋体"/>
          <w:sz w:val="24"/>
          <w:szCs w:val="28"/>
        </w:rPr>
        <w:t xml:space="preserve">15 </w:t>
      </w:r>
      <w:r>
        <w:rPr>
          <w:rFonts w:hint="eastAsia" w:ascii="Times New Roman" w:hAnsi="Times New Roman" w:eastAsia="宋体"/>
          <w:sz w:val="24"/>
          <w:szCs w:val="28"/>
        </w:rPr>
        <w:t>kg、咀嚼度≥</w:t>
      </w:r>
      <w:r>
        <w:rPr>
          <w:rFonts w:ascii="Times New Roman" w:hAnsi="Times New Roman" w:eastAsia="宋体"/>
          <w:sz w:val="24"/>
          <w:szCs w:val="28"/>
        </w:rPr>
        <w:t xml:space="preserve">9 </w:t>
      </w:r>
      <w:r>
        <w:rPr>
          <w:rFonts w:hint="eastAsia" w:ascii="Times New Roman" w:hAnsi="Times New Roman" w:eastAsia="宋体"/>
          <w:sz w:val="24"/>
          <w:szCs w:val="28"/>
        </w:rPr>
        <w:t>kg</w:t>
      </w:r>
      <w:r>
        <w:rPr>
          <w:rFonts w:ascii="Times New Roman" w:hAnsi="Times New Roman" w:eastAsia="宋体"/>
          <w:sz w:val="24"/>
          <w:szCs w:val="28"/>
        </w:rPr>
        <w:t>。</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4.4 </w:t>
      </w:r>
      <w:r>
        <w:rPr>
          <w:rFonts w:hint="eastAsia" w:ascii="Times New Roman" w:hAnsi="Times New Roman" w:eastAsia="宋体" w:cs="Times New Roman"/>
          <w:b/>
          <w:bCs/>
          <w:sz w:val="24"/>
          <w:szCs w:val="24"/>
        </w:rPr>
        <w:t>食品安全要求</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本标准中的微生物限量是依据G</w:t>
      </w:r>
      <w:r>
        <w:rPr>
          <w:rFonts w:ascii="Times New Roman" w:hAnsi="Times New Roman" w:eastAsia="宋体" w:cs="Times New Roman"/>
          <w:sz w:val="24"/>
          <w:szCs w:val="24"/>
        </w:rPr>
        <w:t>B 29921</w:t>
      </w:r>
      <w:r>
        <w:rPr>
          <w:rFonts w:hint="eastAsia" w:ascii="Times New Roman" w:hAnsi="Times New Roman" w:eastAsia="宋体" w:cs="Times New Roman"/>
          <w:sz w:val="24"/>
          <w:szCs w:val="24"/>
        </w:rPr>
        <w:t>《食品安全国家标准 食品中致病菌限量》中对微生物限量的规定而设定。</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食品添加剂和营养强化剂应符合G</w:t>
      </w:r>
      <w:r>
        <w:rPr>
          <w:rFonts w:ascii="Times New Roman" w:hAnsi="Times New Roman" w:eastAsia="宋体" w:cs="Times New Roman"/>
          <w:sz w:val="24"/>
          <w:szCs w:val="24"/>
        </w:rPr>
        <w:t>B 2760</w:t>
      </w:r>
      <w:r>
        <w:rPr>
          <w:rFonts w:hint="eastAsia" w:ascii="Times New Roman" w:hAnsi="Times New Roman" w:eastAsia="宋体" w:cs="Times New Roman"/>
          <w:sz w:val="24"/>
          <w:szCs w:val="24"/>
        </w:rPr>
        <w:t>和G</w:t>
      </w:r>
      <w:r>
        <w:rPr>
          <w:rFonts w:ascii="Times New Roman" w:hAnsi="Times New Roman" w:eastAsia="宋体" w:cs="Times New Roman"/>
          <w:sz w:val="24"/>
          <w:szCs w:val="24"/>
        </w:rPr>
        <w:t>B 14880的规定。</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真菌毒素限量应符合G</w:t>
      </w:r>
      <w:r>
        <w:rPr>
          <w:rFonts w:ascii="Times New Roman" w:hAnsi="Times New Roman" w:eastAsia="宋体" w:cs="Times New Roman"/>
          <w:sz w:val="24"/>
          <w:szCs w:val="24"/>
        </w:rPr>
        <w:t>B 2761</w:t>
      </w:r>
      <w:r>
        <w:rPr>
          <w:rFonts w:hint="eastAsia" w:ascii="Times New Roman" w:hAnsi="Times New Roman" w:eastAsia="宋体" w:cs="Times New Roman"/>
          <w:sz w:val="24"/>
          <w:szCs w:val="24"/>
        </w:rPr>
        <w:t>的规定</w:t>
      </w:r>
      <w:r>
        <w:rPr>
          <w:rFonts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污染物限量应符合G</w:t>
      </w:r>
      <w:r>
        <w:rPr>
          <w:rFonts w:ascii="Times New Roman" w:hAnsi="Times New Roman" w:eastAsia="宋体" w:cs="Times New Roman"/>
          <w:sz w:val="24"/>
          <w:szCs w:val="24"/>
        </w:rPr>
        <w:t>B 2762</w:t>
      </w:r>
      <w:r>
        <w:rPr>
          <w:rFonts w:hint="eastAsia" w:ascii="Times New Roman" w:hAnsi="Times New Roman" w:eastAsia="宋体" w:cs="Times New Roman"/>
          <w:sz w:val="24"/>
          <w:szCs w:val="24"/>
        </w:rPr>
        <w:t>的规定</w:t>
      </w:r>
      <w:r>
        <w:rPr>
          <w:rFonts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生产过程应符合G</w:t>
      </w:r>
      <w:r>
        <w:rPr>
          <w:rFonts w:ascii="Times New Roman" w:hAnsi="Times New Roman" w:eastAsia="宋体" w:cs="Times New Roman"/>
          <w:sz w:val="24"/>
          <w:szCs w:val="24"/>
        </w:rPr>
        <w:t>B 14881</w:t>
      </w:r>
      <w:r>
        <w:rPr>
          <w:rFonts w:hint="eastAsia" w:ascii="Times New Roman" w:hAnsi="Times New Roman" w:eastAsia="宋体" w:cs="Times New Roman"/>
          <w:sz w:val="24"/>
          <w:szCs w:val="24"/>
        </w:rPr>
        <w:t>的规定。</w:t>
      </w:r>
    </w:p>
    <w:p>
      <w:pPr>
        <w:spacing w:line="46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4.5 </w:t>
      </w:r>
      <w:r>
        <w:rPr>
          <w:rFonts w:hint="eastAsia" w:ascii="Times New Roman" w:hAnsi="Times New Roman" w:eastAsia="宋体" w:cs="Times New Roman"/>
          <w:b/>
          <w:bCs/>
          <w:sz w:val="24"/>
          <w:szCs w:val="24"/>
        </w:rPr>
        <w:t>净含量</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应符合国家质量监督</w:t>
      </w:r>
      <w:r>
        <w:rPr>
          <w:rFonts w:ascii="Times New Roman" w:hAnsi="Times New Roman" w:eastAsia="宋体" w:cs="Times New Roman"/>
          <w:sz w:val="24"/>
          <w:szCs w:val="24"/>
        </w:rPr>
        <w:t>检验检疫总局令 第75号《定量包装商品计量监督管理办法》</w:t>
      </w:r>
      <w:r>
        <w:rPr>
          <w:rFonts w:hint="eastAsia" w:ascii="Times New Roman" w:hAnsi="Times New Roman" w:eastAsia="宋体" w:cs="Times New Roman"/>
          <w:sz w:val="24"/>
          <w:szCs w:val="24"/>
        </w:rPr>
        <w:t>及相关文件的规定。</w:t>
      </w:r>
    </w:p>
    <w:p>
      <w:pPr>
        <w:spacing w:line="46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 xml:space="preserve">.6 </w:t>
      </w:r>
      <w:r>
        <w:rPr>
          <w:rFonts w:hint="eastAsia" w:ascii="Times New Roman" w:hAnsi="Times New Roman" w:eastAsia="宋体" w:cs="Times New Roman"/>
          <w:b/>
          <w:bCs/>
          <w:sz w:val="24"/>
          <w:szCs w:val="24"/>
        </w:rPr>
        <w:t>检验方法</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除感官检验、硬度和咀嚼度检验方法外，其余均按国标方法执行。</w:t>
      </w:r>
    </w:p>
    <w:p>
      <w:pPr>
        <w:spacing w:line="4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感官检验</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取适量</w:t>
      </w:r>
      <w:r>
        <w:rPr>
          <w:rFonts w:hint="eastAsia" w:ascii="Times New Roman" w:hAnsi="Times New Roman" w:eastAsia="宋体"/>
          <w:sz w:val="24"/>
          <w:szCs w:val="28"/>
        </w:rPr>
        <w:t>高水分植物肉基料</w:t>
      </w:r>
      <w:r>
        <w:rPr>
          <w:rFonts w:ascii="Times New Roman" w:hAnsi="Times New Roman" w:eastAsia="宋体" w:cs="Times New Roman"/>
          <w:sz w:val="24"/>
          <w:szCs w:val="24"/>
        </w:rPr>
        <w:t>置于</w:t>
      </w:r>
      <w:r>
        <w:rPr>
          <w:rFonts w:hint="eastAsia" w:ascii="Times New Roman" w:hAnsi="Times New Roman" w:eastAsia="宋体" w:cs="Times New Roman"/>
          <w:sz w:val="24"/>
          <w:szCs w:val="24"/>
        </w:rPr>
        <w:t>洁净</w:t>
      </w:r>
      <w:r>
        <w:rPr>
          <w:rFonts w:ascii="Times New Roman" w:hAnsi="Times New Roman" w:eastAsia="宋体" w:cs="Times New Roman"/>
          <w:sz w:val="24"/>
          <w:szCs w:val="24"/>
        </w:rPr>
        <w:t>白</w:t>
      </w:r>
      <w:r>
        <w:rPr>
          <w:rFonts w:hint="eastAsia" w:ascii="Times New Roman" w:hAnsi="Times New Roman" w:eastAsia="宋体" w:cs="Times New Roman"/>
          <w:sz w:val="24"/>
          <w:szCs w:val="24"/>
        </w:rPr>
        <w:t>色</w:t>
      </w:r>
      <w:r>
        <w:rPr>
          <w:rFonts w:ascii="Times New Roman" w:hAnsi="Times New Roman" w:eastAsia="宋体" w:cs="Times New Roman"/>
          <w:sz w:val="24"/>
          <w:szCs w:val="24"/>
        </w:rPr>
        <w:t>瓷</w:t>
      </w:r>
      <w:r>
        <w:rPr>
          <w:rFonts w:hint="eastAsia" w:ascii="Times New Roman" w:hAnsi="Times New Roman" w:eastAsia="宋体" w:cs="Times New Roman"/>
          <w:sz w:val="24"/>
          <w:szCs w:val="24"/>
        </w:rPr>
        <w:t>盘（</w:t>
      </w:r>
      <w:r>
        <w:rPr>
          <w:rFonts w:ascii="Times New Roman" w:hAnsi="Times New Roman" w:eastAsia="宋体" w:cs="Times New Roman"/>
          <w:sz w:val="24"/>
          <w:szCs w:val="24"/>
        </w:rPr>
        <w:t>盘</w:t>
      </w:r>
      <w:r>
        <w:rPr>
          <w:rFonts w:hint="eastAsia" w:ascii="Times New Roman" w:hAnsi="Times New Roman" w:eastAsia="宋体" w:cs="Times New Roman"/>
          <w:sz w:val="24"/>
          <w:szCs w:val="24"/>
        </w:rPr>
        <w:t>或同类容器）</w:t>
      </w:r>
      <w:r>
        <w:rPr>
          <w:rFonts w:ascii="Times New Roman" w:hAnsi="Times New Roman" w:eastAsia="宋体" w:cs="Times New Roman"/>
          <w:sz w:val="24"/>
          <w:szCs w:val="24"/>
        </w:rPr>
        <w:t>中，在自然光下观察色泽和</w:t>
      </w:r>
      <w:r>
        <w:rPr>
          <w:rFonts w:hint="eastAsia" w:ascii="Times New Roman" w:hAnsi="Times New Roman" w:eastAsia="宋体" w:cs="Times New Roman"/>
          <w:sz w:val="24"/>
          <w:szCs w:val="24"/>
        </w:rPr>
        <w:t>状态</w:t>
      </w:r>
      <w:r>
        <w:rPr>
          <w:rFonts w:ascii="Times New Roman" w:hAnsi="Times New Roman" w:eastAsia="宋体" w:cs="Times New Roman"/>
          <w:sz w:val="24"/>
          <w:szCs w:val="24"/>
        </w:rPr>
        <w:t>，检查有无异物。</w:t>
      </w:r>
      <w:r>
        <w:rPr>
          <w:rFonts w:hint="eastAsia" w:ascii="Times New Roman" w:hAnsi="Times New Roman" w:eastAsia="宋体" w:cs="Times New Roman"/>
          <w:sz w:val="24"/>
          <w:szCs w:val="24"/>
        </w:rPr>
        <w:t>闻</w:t>
      </w:r>
      <w:r>
        <w:rPr>
          <w:rFonts w:ascii="Times New Roman" w:hAnsi="Times New Roman" w:eastAsia="宋体" w:cs="Times New Roman"/>
          <w:sz w:val="24"/>
          <w:szCs w:val="24"/>
        </w:rPr>
        <w:t>其气味，用水漱口后</w:t>
      </w:r>
      <w:r>
        <w:rPr>
          <w:rFonts w:hint="eastAsia" w:ascii="Times New Roman" w:hAnsi="Times New Roman" w:eastAsia="宋体" w:cs="Times New Roman"/>
          <w:sz w:val="24"/>
          <w:szCs w:val="24"/>
        </w:rPr>
        <w:t>品尝</w:t>
      </w:r>
      <w:r>
        <w:rPr>
          <w:rFonts w:ascii="Times New Roman" w:hAnsi="Times New Roman" w:eastAsia="宋体" w:cs="Times New Roman"/>
          <w:sz w:val="24"/>
          <w:szCs w:val="24"/>
        </w:rPr>
        <w:t>其滋味。</w:t>
      </w:r>
    </w:p>
    <w:p>
      <w:pPr>
        <w:spacing w:line="4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理化检验</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蛋白质：按GB 5009.5规定的方法</w:t>
      </w:r>
      <w:r>
        <w:rPr>
          <w:rFonts w:hint="eastAsia" w:ascii="Times New Roman" w:hAnsi="Times New Roman" w:eastAsia="宋体" w:cs="Times New Roman"/>
          <w:sz w:val="24"/>
          <w:szCs w:val="24"/>
        </w:rPr>
        <w:t>检验</w:t>
      </w:r>
      <w:r>
        <w:rPr>
          <w:rFonts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水分：按GB 5009.3规定的方法</w:t>
      </w:r>
      <w:r>
        <w:rPr>
          <w:rFonts w:hint="eastAsia" w:ascii="Times New Roman" w:hAnsi="Times New Roman" w:eastAsia="宋体" w:cs="Times New Roman"/>
          <w:sz w:val="24"/>
          <w:szCs w:val="24"/>
        </w:rPr>
        <w:t>检验</w:t>
      </w:r>
      <w:r>
        <w:rPr>
          <w:rFonts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大肠菌群：按GB 4789.3规定的方法</w:t>
      </w:r>
      <w:r>
        <w:rPr>
          <w:rFonts w:hint="eastAsia" w:ascii="Times New Roman" w:hAnsi="Times New Roman" w:eastAsia="宋体" w:cs="Times New Roman"/>
          <w:sz w:val="24"/>
          <w:szCs w:val="24"/>
        </w:rPr>
        <w:t>检验</w:t>
      </w:r>
      <w:r>
        <w:rPr>
          <w:rFonts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沙门氏菌：按GB 4789.4规定的方法</w:t>
      </w:r>
      <w:r>
        <w:rPr>
          <w:rFonts w:hint="eastAsia" w:ascii="Times New Roman" w:hAnsi="Times New Roman" w:eastAsia="宋体" w:cs="Times New Roman"/>
          <w:sz w:val="24"/>
          <w:szCs w:val="24"/>
        </w:rPr>
        <w:t>检验</w:t>
      </w:r>
      <w:r>
        <w:rPr>
          <w:rFonts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金黄色葡萄球菌：按GB 4789.10规定的方法</w:t>
      </w:r>
      <w:r>
        <w:rPr>
          <w:rFonts w:hint="eastAsia" w:ascii="Times New Roman" w:hAnsi="Times New Roman" w:eastAsia="宋体" w:cs="Times New Roman"/>
          <w:sz w:val="24"/>
          <w:szCs w:val="24"/>
        </w:rPr>
        <w:t>检验</w:t>
      </w:r>
      <w:r>
        <w:rPr>
          <w:rFonts w:ascii="Times New Roman" w:hAnsi="Times New Roman" w:eastAsia="宋体" w:cs="Times New Roman"/>
          <w:sz w:val="24"/>
          <w:szCs w:val="24"/>
        </w:rPr>
        <w:t>。</w:t>
      </w:r>
    </w:p>
    <w:p>
      <w:pPr>
        <w:spacing w:line="4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硬度</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咀嚼度</w:t>
      </w:r>
      <w:r>
        <w:rPr>
          <w:rFonts w:hint="eastAsia" w:ascii="Times New Roman" w:hAnsi="Times New Roman" w:eastAsia="宋体" w:cs="Times New Roman"/>
          <w:sz w:val="24"/>
          <w:szCs w:val="24"/>
        </w:rPr>
        <w:t>参考质构仪测定食品质构特性的方法进行检验</w:t>
      </w:r>
      <w:r>
        <w:rPr>
          <w:rFonts w:ascii="Times New Roman" w:hAnsi="Times New Roman" w:eastAsia="宋体" w:cs="Times New Roman"/>
          <w:sz w:val="24"/>
          <w:szCs w:val="24"/>
        </w:rPr>
        <w:t>。</w:t>
      </w:r>
    </w:p>
    <w:p>
      <w:pPr>
        <w:spacing w:line="46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五、预期的经济效果</w:t>
      </w:r>
    </w:p>
    <w:p>
      <w:pPr>
        <w:spacing w:line="360" w:lineRule="auto"/>
        <w:ind w:firstLine="480" w:firstLineChars="200"/>
        <w:rPr>
          <w:rFonts w:ascii="Times New Roman" w:hAnsi="Times New Roman" w:eastAsia="宋体"/>
          <w:sz w:val="24"/>
          <w:szCs w:val="28"/>
        </w:rPr>
      </w:pPr>
      <w:r>
        <w:rPr>
          <w:rFonts w:ascii="Times New Roman" w:hAnsi="Times New Roman" w:eastAsia="宋体"/>
          <w:sz w:val="24"/>
          <w:szCs w:val="28"/>
        </w:rPr>
        <w:t>本</w:t>
      </w:r>
      <w:r>
        <w:rPr>
          <w:rFonts w:hint="eastAsia" w:ascii="Times New Roman" w:hAnsi="Times New Roman" w:eastAsia="宋体"/>
          <w:sz w:val="24"/>
          <w:szCs w:val="28"/>
        </w:rPr>
        <w:t>标准的制定，将填补我国高水分植物肉基料的空白，对</w:t>
      </w:r>
      <w:r>
        <w:rPr>
          <w:rFonts w:ascii="Times New Roman" w:hAnsi="Times New Roman" w:eastAsia="宋体"/>
          <w:sz w:val="24"/>
          <w:szCs w:val="28"/>
        </w:rPr>
        <w:t>高水分植物基人造肉制造技术的</w:t>
      </w:r>
      <w:r>
        <w:rPr>
          <w:rFonts w:hint="eastAsia" w:ascii="Times New Roman" w:hAnsi="Times New Roman" w:eastAsia="宋体"/>
          <w:sz w:val="24"/>
          <w:szCs w:val="28"/>
        </w:rPr>
        <w:t>进步起到很好的规范和引领作用，</w:t>
      </w:r>
      <w:r>
        <w:rPr>
          <w:rFonts w:ascii="Times New Roman" w:hAnsi="Times New Roman" w:eastAsia="宋体"/>
          <w:sz w:val="24"/>
          <w:szCs w:val="28"/>
        </w:rPr>
        <w:t>延长蛋白产业链条，使我国跻身于该领域国际前列，实现国家食品领域的重大战略需求</w:t>
      </w:r>
      <w:r>
        <w:rPr>
          <w:rFonts w:hint="eastAsia" w:ascii="Times New Roman" w:hAnsi="Times New Roman" w:eastAsia="宋体"/>
          <w:sz w:val="24"/>
          <w:szCs w:val="28"/>
        </w:rPr>
        <w:t>，预期会产生显著的社会经济效益。</w:t>
      </w:r>
    </w:p>
    <w:p>
      <w:pPr>
        <w:spacing w:line="46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六</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采用国际标准的程度及水平</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本标准尚无国际标准可依。</w:t>
      </w:r>
    </w:p>
    <w:p>
      <w:pPr>
        <w:spacing w:line="46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七</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与有关的现行法律、法规和强制性国家标准的关系</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的制定完全符合国家《食品安全法》及其实施条例、《中华人民共和国标准化法》及其实施条例等我国相关法律法规、规章和文件的规定及要求，与现行标准无矛盾和冲突，协调一致，符合强制性标准要求。</w:t>
      </w:r>
    </w:p>
    <w:p>
      <w:pPr>
        <w:spacing w:line="46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八</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重大分歧意见的处理经过和依据</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无重大分歧意见。</w:t>
      </w:r>
    </w:p>
    <w:p>
      <w:pPr>
        <w:spacing w:line="46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九</w:t>
      </w:r>
      <w:r>
        <w:rPr>
          <w:rFonts w:ascii="Times New Roman" w:hAnsi="Times New Roman" w:eastAsia="宋体" w:cs="Times New Roman"/>
          <w:b/>
          <w:bCs/>
          <w:sz w:val="28"/>
          <w:szCs w:val="28"/>
        </w:rPr>
        <w:t>、</w:t>
      </w:r>
      <w:r>
        <w:rPr>
          <w:rFonts w:hint="eastAsia" w:ascii="Times New Roman" w:hAnsi="Times New Roman" w:eastAsia="宋体" w:cs="Times New Roman"/>
          <w:b/>
          <w:bCs/>
          <w:sz w:val="28"/>
          <w:szCs w:val="28"/>
        </w:rPr>
        <w:t>标准性质的建议说明</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为首次制定，建议作为推荐性标准。通过审核、批准发布后，由有关部分组织力量对本标准进行宣传贯彻，积极向相关企业推荐执行本标准，并将实施过程中出现的问题和改进建议反馈给起草组，以便对本标准进行修订完善。</w:t>
      </w:r>
    </w:p>
    <w:p>
      <w:pPr>
        <w:spacing w:line="46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十、其他应予说明的事项</w:t>
      </w:r>
    </w:p>
    <w:p>
      <w:pPr>
        <w:spacing w:line="4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无。</w:t>
      </w:r>
    </w:p>
    <w:p/>
    <w:p>
      <w:pPr>
        <w:spacing w:line="460" w:lineRule="exact"/>
      </w:pPr>
    </w:p>
    <w:p>
      <w:pPr>
        <w:spacing w:line="460" w:lineRule="exact"/>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《高水分植物肉基料》团体标准起草组</w:t>
      </w:r>
    </w:p>
    <w:p>
      <w:pPr>
        <w:spacing w:line="460" w:lineRule="exact"/>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9</w:t>
      </w:r>
      <w:r>
        <w:rPr>
          <w:rFonts w:hint="eastAsia" w:ascii="Times New Roman" w:hAnsi="Times New Roman" w:eastAsia="宋体" w:cs="Times New Roman"/>
          <w:sz w:val="24"/>
          <w:szCs w:val="24"/>
        </w:rPr>
        <w:t>日</w:t>
      </w:r>
    </w:p>
    <w:p>
      <w:pPr>
        <w:spacing w:line="460" w:lineRule="exact"/>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
      <w:suff w:val="nothing"/>
      <w:lvlText w:val="%1.%2.%3　"/>
      <w:lvlJc w:val="left"/>
      <w:pPr>
        <w:ind w:left="284" w:firstLine="0"/>
      </w:pPr>
      <w:rPr>
        <w:rFonts w:hint="default" w:ascii="Times New Roman" w:hAnsi="Times New Roman" w:eastAsia="黑体" w:cs="Times New Roman"/>
        <w:b w:val="0"/>
        <w:i w:val="0"/>
        <w:color w:val="auto"/>
        <w:sz w:val="21"/>
      </w:rPr>
    </w:lvl>
    <w:lvl w:ilvl="3" w:tentative="0">
      <w:start w:val="1"/>
      <w:numFmt w:val="decimal"/>
      <w:pStyle w:val="2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1A"/>
    <w:rsid w:val="00007F19"/>
    <w:rsid w:val="000101DF"/>
    <w:rsid w:val="00010AAC"/>
    <w:rsid w:val="000127FA"/>
    <w:rsid w:val="00012AB2"/>
    <w:rsid w:val="00014511"/>
    <w:rsid w:val="000167A2"/>
    <w:rsid w:val="00016BB5"/>
    <w:rsid w:val="00021F69"/>
    <w:rsid w:val="000267D9"/>
    <w:rsid w:val="00031EC6"/>
    <w:rsid w:val="00035F56"/>
    <w:rsid w:val="00043F49"/>
    <w:rsid w:val="00044565"/>
    <w:rsid w:val="000455E2"/>
    <w:rsid w:val="000503AF"/>
    <w:rsid w:val="00051DF3"/>
    <w:rsid w:val="00055596"/>
    <w:rsid w:val="00061D92"/>
    <w:rsid w:val="00062D83"/>
    <w:rsid w:val="00071E2B"/>
    <w:rsid w:val="000753D2"/>
    <w:rsid w:val="00077BF7"/>
    <w:rsid w:val="00081A18"/>
    <w:rsid w:val="00082039"/>
    <w:rsid w:val="000904B7"/>
    <w:rsid w:val="0009220B"/>
    <w:rsid w:val="000A403E"/>
    <w:rsid w:val="000A4CF3"/>
    <w:rsid w:val="000A56D2"/>
    <w:rsid w:val="000A62A5"/>
    <w:rsid w:val="000A6584"/>
    <w:rsid w:val="000A68F0"/>
    <w:rsid w:val="000B0668"/>
    <w:rsid w:val="000B323A"/>
    <w:rsid w:val="000B4010"/>
    <w:rsid w:val="000B48B0"/>
    <w:rsid w:val="000D5BE4"/>
    <w:rsid w:val="000E198A"/>
    <w:rsid w:val="000E3695"/>
    <w:rsid w:val="000E37DE"/>
    <w:rsid w:val="000E5183"/>
    <w:rsid w:val="000F38E3"/>
    <w:rsid w:val="000F637B"/>
    <w:rsid w:val="000F666A"/>
    <w:rsid w:val="00101C93"/>
    <w:rsid w:val="00101D25"/>
    <w:rsid w:val="00115640"/>
    <w:rsid w:val="00117E1C"/>
    <w:rsid w:val="00121EB8"/>
    <w:rsid w:val="00123C4C"/>
    <w:rsid w:val="001276E4"/>
    <w:rsid w:val="00127B7D"/>
    <w:rsid w:val="0013090C"/>
    <w:rsid w:val="0013098B"/>
    <w:rsid w:val="001314BD"/>
    <w:rsid w:val="00135419"/>
    <w:rsid w:val="00136C71"/>
    <w:rsid w:val="00141ED4"/>
    <w:rsid w:val="00144C18"/>
    <w:rsid w:val="00146721"/>
    <w:rsid w:val="0014690E"/>
    <w:rsid w:val="001469E3"/>
    <w:rsid w:val="001473A9"/>
    <w:rsid w:val="0015081F"/>
    <w:rsid w:val="00151985"/>
    <w:rsid w:val="00157B71"/>
    <w:rsid w:val="00164B87"/>
    <w:rsid w:val="0017318B"/>
    <w:rsid w:val="001741C8"/>
    <w:rsid w:val="00174B3E"/>
    <w:rsid w:val="00183C11"/>
    <w:rsid w:val="001951BC"/>
    <w:rsid w:val="00195654"/>
    <w:rsid w:val="001956C3"/>
    <w:rsid w:val="00196AF0"/>
    <w:rsid w:val="001B04B8"/>
    <w:rsid w:val="001B598E"/>
    <w:rsid w:val="001C1859"/>
    <w:rsid w:val="001C3995"/>
    <w:rsid w:val="001C3AC4"/>
    <w:rsid w:val="001D11DA"/>
    <w:rsid w:val="001D1D07"/>
    <w:rsid w:val="001D2F29"/>
    <w:rsid w:val="001D2F44"/>
    <w:rsid w:val="001D5F2F"/>
    <w:rsid w:val="001E16B1"/>
    <w:rsid w:val="001E1C35"/>
    <w:rsid w:val="001E304E"/>
    <w:rsid w:val="001E3F54"/>
    <w:rsid w:val="001E400B"/>
    <w:rsid w:val="001E45E5"/>
    <w:rsid w:val="001F1FD9"/>
    <w:rsid w:val="001F2062"/>
    <w:rsid w:val="001F21D2"/>
    <w:rsid w:val="001F43F2"/>
    <w:rsid w:val="001F645F"/>
    <w:rsid w:val="001F7BAC"/>
    <w:rsid w:val="002000F5"/>
    <w:rsid w:val="002001BE"/>
    <w:rsid w:val="002026BC"/>
    <w:rsid w:val="00210BCE"/>
    <w:rsid w:val="0021314C"/>
    <w:rsid w:val="00213F14"/>
    <w:rsid w:val="00217ABA"/>
    <w:rsid w:val="00220309"/>
    <w:rsid w:val="0022375C"/>
    <w:rsid w:val="00223DF4"/>
    <w:rsid w:val="00223E39"/>
    <w:rsid w:val="00224FA0"/>
    <w:rsid w:val="0023170D"/>
    <w:rsid w:val="00232B6B"/>
    <w:rsid w:val="002357B6"/>
    <w:rsid w:val="00241F37"/>
    <w:rsid w:val="00242CA1"/>
    <w:rsid w:val="0025143F"/>
    <w:rsid w:val="00256835"/>
    <w:rsid w:val="00256946"/>
    <w:rsid w:val="00256D59"/>
    <w:rsid w:val="002604E2"/>
    <w:rsid w:val="0026752C"/>
    <w:rsid w:val="00270F31"/>
    <w:rsid w:val="0027271F"/>
    <w:rsid w:val="002804B0"/>
    <w:rsid w:val="0028619C"/>
    <w:rsid w:val="002874D2"/>
    <w:rsid w:val="00293B5B"/>
    <w:rsid w:val="002952F5"/>
    <w:rsid w:val="00296F2D"/>
    <w:rsid w:val="002A633B"/>
    <w:rsid w:val="002B078B"/>
    <w:rsid w:val="002B0816"/>
    <w:rsid w:val="002B63D1"/>
    <w:rsid w:val="002D007B"/>
    <w:rsid w:val="002D2C34"/>
    <w:rsid w:val="002D7C67"/>
    <w:rsid w:val="002E23EA"/>
    <w:rsid w:val="002E5EE3"/>
    <w:rsid w:val="002F4A12"/>
    <w:rsid w:val="002F5951"/>
    <w:rsid w:val="0030079A"/>
    <w:rsid w:val="0030247F"/>
    <w:rsid w:val="003071FF"/>
    <w:rsid w:val="003079AF"/>
    <w:rsid w:val="00310D76"/>
    <w:rsid w:val="0031496C"/>
    <w:rsid w:val="0031706E"/>
    <w:rsid w:val="00322A40"/>
    <w:rsid w:val="00322B0A"/>
    <w:rsid w:val="00324C1E"/>
    <w:rsid w:val="00332394"/>
    <w:rsid w:val="00342BA3"/>
    <w:rsid w:val="003525B0"/>
    <w:rsid w:val="00354FD3"/>
    <w:rsid w:val="00357B55"/>
    <w:rsid w:val="003619A2"/>
    <w:rsid w:val="00362F82"/>
    <w:rsid w:val="00365713"/>
    <w:rsid w:val="00366B85"/>
    <w:rsid w:val="00373DEE"/>
    <w:rsid w:val="00375C00"/>
    <w:rsid w:val="0038143A"/>
    <w:rsid w:val="003847BE"/>
    <w:rsid w:val="00390718"/>
    <w:rsid w:val="003932EC"/>
    <w:rsid w:val="00394CAD"/>
    <w:rsid w:val="003B11B5"/>
    <w:rsid w:val="003C22C6"/>
    <w:rsid w:val="003C5624"/>
    <w:rsid w:val="003C6B51"/>
    <w:rsid w:val="003D4B1D"/>
    <w:rsid w:val="003D52F7"/>
    <w:rsid w:val="003D63E5"/>
    <w:rsid w:val="003D717A"/>
    <w:rsid w:val="003D7182"/>
    <w:rsid w:val="003E192B"/>
    <w:rsid w:val="003E4135"/>
    <w:rsid w:val="003E7069"/>
    <w:rsid w:val="003E7AC0"/>
    <w:rsid w:val="003F3F5C"/>
    <w:rsid w:val="003F74FE"/>
    <w:rsid w:val="004004C6"/>
    <w:rsid w:val="00404251"/>
    <w:rsid w:val="00411C1B"/>
    <w:rsid w:val="004121D7"/>
    <w:rsid w:val="00412F4C"/>
    <w:rsid w:val="004247AE"/>
    <w:rsid w:val="00427C20"/>
    <w:rsid w:val="0043635C"/>
    <w:rsid w:val="00442F84"/>
    <w:rsid w:val="0044596C"/>
    <w:rsid w:val="004501F7"/>
    <w:rsid w:val="0045145F"/>
    <w:rsid w:val="00451984"/>
    <w:rsid w:val="00452D1E"/>
    <w:rsid w:val="00454E6D"/>
    <w:rsid w:val="0046297B"/>
    <w:rsid w:val="00466A4E"/>
    <w:rsid w:val="00466E6E"/>
    <w:rsid w:val="00471FB6"/>
    <w:rsid w:val="00476807"/>
    <w:rsid w:val="00476972"/>
    <w:rsid w:val="004802DE"/>
    <w:rsid w:val="004805DF"/>
    <w:rsid w:val="00481037"/>
    <w:rsid w:val="00483E04"/>
    <w:rsid w:val="0048489C"/>
    <w:rsid w:val="00494129"/>
    <w:rsid w:val="004A5C1F"/>
    <w:rsid w:val="004A7A75"/>
    <w:rsid w:val="004B1821"/>
    <w:rsid w:val="004B6AA4"/>
    <w:rsid w:val="004B73A5"/>
    <w:rsid w:val="004B7BC8"/>
    <w:rsid w:val="004C0469"/>
    <w:rsid w:val="004C3DE1"/>
    <w:rsid w:val="004C6E77"/>
    <w:rsid w:val="004D09BD"/>
    <w:rsid w:val="004D0A64"/>
    <w:rsid w:val="004D0F3A"/>
    <w:rsid w:val="004D0FFF"/>
    <w:rsid w:val="004F00AE"/>
    <w:rsid w:val="004F42F9"/>
    <w:rsid w:val="004F448A"/>
    <w:rsid w:val="004F6018"/>
    <w:rsid w:val="004F7938"/>
    <w:rsid w:val="00500175"/>
    <w:rsid w:val="00501E35"/>
    <w:rsid w:val="00505248"/>
    <w:rsid w:val="00511766"/>
    <w:rsid w:val="00512294"/>
    <w:rsid w:val="005125C0"/>
    <w:rsid w:val="00525473"/>
    <w:rsid w:val="00534909"/>
    <w:rsid w:val="00536ECD"/>
    <w:rsid w:val="0054087E"/>
    <w:rsid w:val="00550E2D"/>
    <w:rsid w:val="00552724"/>
    <w:rsid w:val="0056067F"/>
    <w:rsid w:val="005641F8"/>
    <w:rsid w:val="00565551"/>
    <w:rsid w:val="00565A68"/>
    <w:rsid w:val="00566B99"/>
    <w:rsid w:val="00566F21"/>
    <w:rsid w:val="005704FA"/>
    <w:rsid w:val="00575B15"/>
    <w:rsid w:val="00582065"/>
    <w:rsid w:val="00584DF2"/>
    <w:rsid w:val="005864C2"/>
    <w:rsid w:val="005865CF"/>
    <w:rsid w:val="00587EFC"/>
    <w:rsid w:val="0059196D"/>
    <w:rsid w:val="0059392E"/>
    <w:rsid w:val="00597703"/>
    <w:rsid w:val="005A0E7B"/>
    <w:rsid w:val="005A19B0"/>
    <w:rsid w:val="005A216B"/>
    <w:rsid w:val="005A6C38"/>
    <w:rsid w:val="005B0260"/>
    <w:rsid w:val="005B02F4"/>
    <w:rsid w:val="005B299C"/>
    <w:rsid w:val="005B5881"/>
    <w:rsid w:val="005C12AD"/>
    <w:rsid w:val="005C6328"/>
    <w:rsid w:val="005D04CE"/>
    <w:rsid w:val="005D14D2"/>
    <w:rsid w:val="005D4768"/>
    <w:rsid w:val="005D5BAE"/>
    <w:rsid w:val="005E09F3"/>
    <w:rsid w:val="005E5CB3"/>
    <w:rsid w:val="005E6022"/>
    <w:rsid w:val="005E6456"/>
    <w:rsid w:val="005E64B5"/>
    <w:rsid w:val="005F00F4"/>
    <w:rsid w:val="005F48A8"/>
    <w:rsid w:val="005F7782"/>
    <w:rsid w:val="006024E5"/>
    <w:rsid w:val="00625D37"/>
    <w:rsid w:val="00626719"/>
    <w:rsid w:val="00630B43"/>
    <w:rsid w:val="0063198C"/>
    <w:rsid w:val="006332C2"/>
    <w:rsid w:val="00642793"/>
    <w:rsid w:val="00645116"/>
    <w:rsid w:val="006476F6"/>
    <w:rsid w:val="0065400C"/>
    <w:rsid w:val="00656281"/>
    <w:rsid w:val="00673BD3"/>
    <w:rsid w:val="0068473B"/>
    <w:rsid w:val="00692342"/>
    <w:rsid w:val="00695C05"/>
    <w:rsid w:val="006B2CC8"/>
    <w:rsid w:val="006B7B21"/>
    <w:rsid w:val="006C1482"/>
    <w:rsid w:val="006C19F3"/>
    <w:rsid w:val="006C1A5D"/>
    <w:rsid w:val="006C385B"/>
    <w:rsid w:val="006C4459"/>
    <w:rsid w:val="006C7C3A"/>
    <w:rsid w:val="006D072D"/>
    <w:rsid w:val="006D3816"/>
    <w:rsid w:val="006D52F8"/>
    <w:rsid w:val="006D724E"/>
    <w:rsid w:val="006E10AD"/>
    <w:rsid w:val="006F0A84"/>
    <w:rsid w:val="006F3C6D"/>
    <w:rsid w:val="006F3EB2"/>
    <w:rsid w:val="00707B88"/>
    <w:rsid w:val="00707D4F"/>
    <w:rsid w:val="00713D32"/>
    <w:rsid w:val="00722A4B"/>
    <w:rsid w:val="00726A56"/>
    <w:rsid w:val="0072776E"/>
    <w:rsid w:val="0073179C"/>
    <w:rsid w:val="00734CA1"/>
    <w:rsid w:val="00737785"/>
    <w:rsid w:val="00750215"/>
    <w:rsid w:val="00751D04"/>
    <w:rsid w:val="00752BF1"/>
    <w:rsid w:val="00754F7D"/>
    <w:rsid w:val="00761339"/>
    <w:rsid w:val="00765505"/>
    <w:rsid w:val="00767B3A"/>
    <w:rsid w:val="0077263C"/>
    <w:rsid w:val="00773EA9"/>
    <w:rsid w:val="00774257"/>
    <w:rsid w:val="00774642"/>
    <w:rsid w:val="007746A2"/>
    <w:rsid w:val="00776DDF"/>
    <w:rsid w:val="007800DE"/>
    <w:rsid w:val="007831EF"/>
    <w:rsid w:val="007849B5"/>
    <w:rsid w:val="007861EB"/>
    <w:rsid w:val="00795173"/>
    <w:rsid w:val="00797E8B"/>
    <w:rsid w:val="007A1DF3"/>
    <w:rsid w:val="007B0060"/>
    <w:rsid w:val="007B686B"/>
    <w:rsid w:val="007C2018"/>
    <w:rsid w:val="007C263E"/>
    <w:rsid w:val="007C3E51"/>
    <w:rsid w:val="007D235F"/>
    <w:rsid w:val="007D3D99"/>
    <w:rsid w:val="007D4594"/>
    <w:rsid w:val="007E0899"/>
    <w:rsid w:val="007E17B6"/>
    <w:rsid w:val="007E2367"/>
    <w:rsid w:val="007E4BB9"/>
    <w:rsid w:val="007E5ED6"/>
    <w:rsid w:val="007F2A5D"/>
    <w:rsid w:val="007F37A7"/>
    <w:rsid w:val="007F5DC7"/>
    <w:rsid w:val="007F68B3"/>
    <w:rsid w:val="007F6D91"/>
    <w:rsid w:val="0080371C"/>
    <w:rsid w:val="00803FBA"/>
    <w:rsid w:val="00805EAF"/>
    <w:rsid w:val="0080778F"/>
    <w:rsid w:val="00807C1E"/>
    <w:rsid w:val="008134F9"/>
    <w:rsid w:val="00814AF6"/>
    <w:rsid w:val="00815C23"/>
    <w:rsid w:val="00817FC9"/>
    <w:rsid w:val="0082149C"/>
    <w:rsid w:val="008304B5"/>
    <w:rsid w:val="00831668"/>
    <w:rsid w:val="0083290F"/>
    <w:rsid w:val="008349D1"/>
    <w:rsid w:val="00834CDD"/>
    <w:rsid w:val="00835482"/>
    <w:rsid w:val="008369AB"/>
    <w:rsid w:val="00836F70"/>
    <w:rsid w:val="008371A8"/>
    <w:rsid w:val="008379C5"/>
    <w:rsid w:val="00840CDB"/>
    <w:rsid w:val="00841882"/>
    <w:rsid w:val="00843079"/>
    <w:rsid w:val="00850B0C"/>
    <w:rsid w:val="008579E5"/>
    <w:rsid w:val="00861359"/>
    <w:rsid w:val="00862378"/>
    <w:rsid w:val="00863E94"/>
    <w:rsid w:val="00863F1F"/>
    <w:rsid w:val="00863F21"/>
    <w:rsid w:val="008643C9"/>
    <w:rsid w:val="0087207D"/>
    <w:rsid w:val="00873639"/>
    <w:rsid w:val="0087698F"/>
    <w:rsid w:val="00881207"/>
    <w:rsid w:val="00884B19"/>
    <w:rsid w:val="0089172A"/>
    <w:rsid w:val="008936C7"/>
    <w:rsid w:val="008A0677"/>
    <w:rsid w:val="008A0EF5"/>
    <w:rsid w:val="008A1847"/>
    <w:rsid w:val="008A33DE"/>
    <w:rsid w:val="008B5546"/>
    <w:rsid w:val="008B58AF"/>
    <w:rsid w:val="008B66D2"/>
    <w:rsid w:val="008B7196"/>
    <w:rsid w:val="008C605D"/>
    <w:rsid w:val="008D254D"/>
    <w:rsid w:val="008D559B"/>
    <w:rsid w:val="008D6A0F"/>
    <w:rsid w:val="008E080A"/>
    <w:rsid w:val="008E09B3"/>
    <w:rsid w:val="008E12C9"/>
    <w:rsid w:val="008E1347"/>
    <w:rsid w:val="008E68C4"/>
    <w:rsid w:val="008F09DA"/>
    <w:rsid w:val="008F29CA"/>
    <w:rsid w:val="00900A9D"/>
    <w:rsid w:val="00901919"/>
    <w:rsid w:val="00910851"/>
    <w:rsid w:val="00912C2F"/>
    <w:rsid w:val="009145C2"/>
    <w:rsid w:val="009332D5"/>
    <w:rsid w:val="009346C5"/>
    <w:rsid w:val="00934D1C"/>
    <w:rsid w:val="00935179"/>
    <w:rsid w:val="00935E29"/>
    <w:rsid w:val="0093730F"/>
    <w:rsid w:val="00937675"/>
    <w:rsid w:val="009404E7"/>
    <w:rsid w:val="009420CF"/>
    <w:rsid w:val="00944ECF"/>
    <w:rsid w:val="00946B65"/>
    <w:rsid w:val="0095634B"/>
    <w:rsid w:val="00956A43"/>
    <w:rsid w:val="009654DE"/>
    <w:rsid w:val="00965C9B"/>
    <w:rsid w:val="00967A36"/>
    <w:rsid w:val="009704E6"/>
    <w:rsid w:val="00973842"/>
    <w:rsid w:val="00973FD0"/>
    <w:rsid w:val="00976BE0"/>
    <w:rsid w:val="0097725E"/>
    <w:rsid w:val="0097778C"/>
    <w:rsid w:val="009804DA"/>
    <w:rsid w:val="009829D0"/>
    <w:rsid w:val="00985235"/>
    <w:rsid w:val="009869B6"/>
    <w:rsid w:val="00987CE2"/>
    <w:rsid w:val="009935E5"/>
    <w:rsid w:val="009A626F"/>
    <w:rsid w:val="009B3B74"/>
    <w:rsid w:val="009B6856"/>
    <w:rsid w:val="009D248E"/>
    <w:rsid w:val="009D3E91"/>
    <w:rsid w:val="009D618A"/>
    <w:rsid w:val="009D7472"/>
    <w:rsid w:val="009E44D6"/>
    <w:rsid w:val="009F200E"/>
    <w:rsid w:val="009F4FDF"/>
    <w:rsid w:val="009F5E3C"/>
    <w:rsid w:val="009F66F6"/>
    <w:rsid w:val="009F7489"/>
    <w:rsid w:val="009F7D21"/>
    <w:rsid w:val="00A01CF7"/>
    <w:rsid w:val="00A116D2"/>
    <w:rsid w:val="00A11F8B"/>
    <w:rsid w:val="00A1249B"/>
    <w:rsid w:val="00A14BE9"/>
    <w:rsid w:val="00A16B1C"/>
    <w:rsid w:val="00A26960"/>
    <w:rsid w:val="00A358AA"/>
    <w:rsid w:val="00A36C3E"/>
    <w:rsid w:val="00A37CC9"/>
    <w:rsid w:val="00A4068D"/>
    <w:rsid w:val="00A478E4"/>
    <w:rsid w:val="00A5172A"/>
    <w:rsid w:val="00A55FE6"/>
    <w:rsid w:val="00A57AB1"/>
    <w:rsid w:val="00A61BB7"/>
    <w:rsid w:val="00A65ECC"/>
    <w:rsid w:val="00A82F66"/>
    <w:rsid w:val="00A90944"/>
    <w:rsid w:val="00A90F3F"/>
    <w:rsid w:val="00A917F2"/>
    <w:rsid w:val="00A969A4"/>
    <w:rsid w:val="00A9735C"/>
    <w:rsid w:val="00AA172C"/>
    <w:rsid w:val="00AA3EE4"/>
    <w:rsid w:val="00AB05A8"/>
    <w:rsid w:val="00AB1559"/>
    <w:rsid w:val="00AB64B9"/>
    <w:rsid w:val="00AC6B59"/>
    <w:rsid w:val="00AD1A9F"/>
    <w:rsid w:val="00AD3AE8"/>
    <w:rsid w:val="00AF6B30"/>
    <w:rsid w:val="00B1124E"/>
    <w:rsid w:val="00B12D63"/>
    <w:rsid w:val="00B17076"/>
    <w:rsid w:val="00B17ABD"/>
    <w:rsid w:val="00B20EE5"/>
    <w:rsid w:val="00B2494B"/>
    <w:rsid w:val="00B2638C"/>
    <w:rsid w:val="00B26976"/>
    <w:rsid w:val="00B276AC"/>
    <w:rsid w:val="00B279D0"/>
    <w:rsid w:val="00B3001F"/>
    <w:rsid w:val="00B31247"/>
    <w:rsid w:val="00B33592"/>
    <w:rsid w:val="00B3454E"/>
    <w:rsid w:val="00B35C19"/>
    <w:rsid w:val="00B36C49"/>
    <w:rsid w:val="00B37366"/>
    <w:rsid w:val="00B37EAB"/>
    <w:rsid w:val="00B37FD3"/>
    <w:rsid w:val="00B4009B"/>
    <w:rsid w:val="00B43F1D"/>
    <w:rsid w:val="00B47E89"/>
    <w:rsid w:val="00B5007B"/>
    <w:rsid w:val="00B5127D"/>
    <w:rsid w:val="00B54C31"/>
    <w:rsid w:val="00B577EC"/>
    <w:rsid w:val="00B60A6D"/>
    <w:rsid w:val="00B61A7E"/>
    <w:rsid w:val="00B62D27"/>
    <w:rsid w:val="00B63961"/>
    <w:rsid w:val="00B70D71"/>
    <w:rsid w:val="00B75D4B"/>
    <w:rsid w:val="00B8397C"/>
    <w:rsid w:val="00B870C7"/>
    <w:rsid w:val="00B9446C"/>
    <w:rsid w:val="00B96556"/>
    <w:rsid w:val="00B9799D"/>
    <w:rsid w:val="00BA0158"/>
    <w:rsid w:val="00BA1184"/>
    <w:rsid w:val="00BA18F3"/>
    <w:rsid w:val="00BA2CA3"/>
    <w:rsid w:val="00BA58CA"/>
    <w:rsid w:val="00BA5DF8"/>
    <w:rsid w:val="00BA5E7A"/>
    <w:rsid w:val="00BB04F7"/>
    <w:rsid w:val="00BB0C5E"/>
    <w:rsid w:val="00BB7D41"/>
    <w:rsid w:val="00BC18EC"/>
    <w:rsid w:val="00BC4B5F"/>
    <w:rsid w:val="00BD114E"/>
    <w:rsid w:val="00BD1B3B"/>
    <w:rsid w:val="00BD26AA"/>
    <w:rsid w:val="00BD6991"/>
    <w:rsid w:val="00BD6C8D"/>
    <w:rsid w:val="00BE170D"/>
    <w:rsid w:val="00BE43E3"/>
    <w:rsid w:val="00BE67C4"/>
    <w:rsid w:val="00BE7058"/>
    <w:rsid w:val="00BF1A43"/>
    <w:rsid w:val="00BF351A"/>
    <w:rsid w:val="00BF3704"/>
    <w:rsid w:val="00BF5C7B"/>
    <w:rsid w:val="00BF64B7"/>
    <w:rsid w:val="00BF6DDA"/>
    <w:rsid w:val="00C013F8"/>
    <w:rsid w:val="00C050DC"/>
    <w:rsid w:val="00C06255"/>
    <w:rsid w:val="00C14926"/>
    <w:rsid w:val="00C16483"/>
    <w:rsid w:val="00C223F2"/>
    <w:rsid w:val="00C22C70"/>
    <w:rsid w:val="00C23193"/>
    <w:rsid w:val="00C2319F"/>
    <w:rsid w:val="00C3412F"/>
    <w:rsid w:val="00C349EE"/>
    <w:rsid w:val="00C409A9"/>
    <w:rsid w:val="00C44022"/>
    <w:rsid w:val="00C44B49"/>
    <w:rsid w:val="00C4518A"/>
    <w:rsid w:val="00C45651"/>
    <w:rsid w:val="00C50A1A"/>
    <w:rsid w:val="00C5154E"/>
    <w:rsid w:val="00C544C2"/>
    <w:rsid w:val="00C548EC"/>
    <w:rsid w:val="00C57DA6"/>
    <w:rsid w:val="00C60F32"/>
    <w:rsid w:val="00C612CF"/>
    <w:rsid w:val="00C62BE6"/>
    <w:rsid w:val="00C62EF9"/>
    <w:rsid w:val="00C6378A"/>
    <w:rsid w:val="00C63F77"/>
    <w:rsid w:val="00C64ABE"/>
    <w:rsid w:val="00C73BD1"/>
    <w:rsid w:val="00C74310"/>
    <w:rsid w:val="00C745A6"/>
    <w:rsid w:val="00C76D69"/>
    <w:rsid w:val="00C81C8E"/>
    <w:rsid w:val="00C87DA5"/>
    <w:rsid w:val="00C90665"/>
    <w:rsid w:val="00C915C8"/>
    <w:rsid w:val="00C94937"/>
    <w:rsid w:val="00CA0C5C"/>
    <w:rsid w:val="00CA294B"/>
    <w:rsid w:val="00CA32C4"/>
    <w:rsid w:val="00CA43B9"/>
    <w:rsid w:val="00CA6CDA"/>
    <w:rsid w:val="00CA78EC"/>
    <w:rsid w:val="00CB0474"/>
    <w:rsid w:val="00CB0C82"/>
    <w:rsid w:val="00CB2176"/>
    <w:rsid w:val="00CB3D88"/>
    <w:rsid w:val="00CB4691"/>
    <w:rsid w:val="00CC316F"/>
    <w:rsid w:val="00CD2297"/>
    <w:rsid w:val="00CD2B6B"/>
    <w:rsid w:val="00CD30A2"/>
    <w:rsid w:val="00CD35F7"/>
    <w:rsid w:val="00CD5A42"/>
    <w:rsid w:val="00CE07C0"/>
    <w:rsid w:val="00CE1534"/>
    <w:rsid w:val="00CE29EB"/>
    <w:rsid w:val="00CE3451"/>
    <w:rsid w:val="00CF109B"/>
    <w:rsid w:val="00CF1AF5"/>
    <w:rsid w:val="00CF252B"/>
    <w:rsid w:val="00CF3249"/>
    <w:rsid w:val="00CF4F87"/>
    <w:rsid w:val="00CF5E46"/>
    <w:rsid w:val="00D04588"/>
    <w:rsid w:val="00D046D3"/>
    <w:rsid w:val="00D10409"/>
    <w:rsid w:val="00D21C08"/>
    <w:rsid w:val="00D23558"/>
    <w:rsid w:val="00D2463F"/>
    <w:rsid w:val="00D24D53"/>
    <w:rsid w:val="00D26BDB"/>
    <w:rsid w:val="00D30EDC"/>
    <w:rsid w:val="00D34A49"/>
    <w:rsid w:val="00D35836"/>
    <w:rsid w:val="00D40DE8"/>
    <w:rsid w:val="00D41D87"/>
    <w:rsid w:val="00D43049"/>
    <w:rsid w:val="00D471DB"/>
    <w:rsid w:val="00D4758D"/>
    <w:rsid w:val="00D476F5"/>
    <w:rsid w:val="00D54547"/>
    <w:rsid w:val="00D61B98"/>
    <w:rsid w:val="00D63C47"/>
    <w:rsid w:val="00D64C15"/>
    <w:rsid w:val="00D71DA7"/>
    <w:rsid w:val="00D7349F"/>
    <w:rsid w:val="00D7581B"/>
    <w:rsid w:val="00D80CB5"/>
    <w:rsid w:val="00D85D38"/>
    <w:rsid w:val="00D87FB9"/>
    <w:rsid w:val="00D90B13"/>
    <w:rsid w:val="00D918FC"/>
    <w:rsid w:val="00D9259E"/>
    <w:rsid w:val="00D933E7"/>
    <w:rsid w:val="00D9397E"/>
    <w:rsid w:val="00D94961"/>
    <w:rsid w:val="00D95BF2"/>
    <w:rsid w:val="00D96291"/>
    <w:rsid w:val="00D96E0C"/>
    <w:rsid w:val="00DA4CFF"/>
    <w:rsid w:val="00DA68F0"/>
    <w:rsid w:val="00DA7176"/>
    <w:rsid w:val="00DB4593"/>
    <w:rsid w:val="00DB4816"/>
    <w:rsid w:val="00DB5B25"/>
    <w:rsid w:val="00DB66FB"/>
    <w:rsid w:val="00DC45BB"/>
    <w:rsid w:val="00DD6CCD"/>
    <w:rsid w:val="00DE113A"/>
    <w:rsid w:val="00DE4563"/>
    <w:rsid w:val="00DE4DF9"/>
    <w:rsid w:val="00DE5602"/>
    <w:rsid w:val="00DE5EEB"/>
    <w:rsid w:val="00DF77D1"/>
    <w:rsid w:val="00E0133F"/>
    <w:rsid w:val="00E06D15"/>
    <w:rsid w:val="00E07A39"/>
    <w:rsid w:val="00E10847"/>
    <w:rsid w:val="00E10E44"/>
    <w:rsid w:val="00E16225"/>
    <w:rsid w:val="00E1673E"/>
    <w:rsid w:val="00E20169"/>
    <w:rsid w:val="00E21941"/>
    <w:rsid w:val="00E227CE"/>
    <w:rsid w:val="00E264C0"/>
    <w:rsid w:val="00E3181D"/>
    <w:rsid w:val="00E32DA5"/>
    <w:rsid w:val="00E3345C"/>
    <w:rsid w:val="00E347BE"/>
    <w:rsid w:val="00E3564D"/>
    <w:rsid w:val="00E43CAD"/>
    <w:rsid w:val="00E5026A"/>
    <w:rsid w:val="00E546D4"/>
    <w:rsid w:val="00E63505"/>
    <w:rsid w:val="00E6456B"/>
    <w:rsid w:val="00E667F8"/>
    <w:rsid w:val="00E70BDA"/>
    <w:rsid w:val="00E75C4D"/>
    <w:rsid w:val="00E77974"/>
    <w:rsid w:val="00E80436"/>
    <w:rsid w:val="00E83E1F"/>
    <w:rsid w:val="00E92977"/>
    <w:rsid w:val="00E9390D"/>
    <w:rsid w:val="00EA1E8A"/>
    <w:rsid w:val="00EA406F"/>
    <w:rsid w:val="00EA6A22"/>
    <w:rsid w:val="00EC1493"/>
    <w:rsid w:val="00EC6754"/>
    <w:rsid w:val="00EC696C"/>
    <w:rsid w:val="00ED3B2C"/>
    <w:rsid w:val="00EE44B9"/>
    <w:rsid w:val="00EE4F25"/>
    <w:rsid w:val="00EE6DA1"/>
    <w:rsid w:val="00EF0289"/>
    <w:rsid w:val="00EF2795"/>
    <w:rsid w:val="00EF42AF"/>
    <w:rsid w:val="00EF6FE3"/>
    <w:rsid w:val="00F03E1C"/>
    <w:rsid w:val="00F06F99"/>
    <w:rsid w:val="00F10F1E"/>
    <w:rsid w:val="00F117AF"/>
    <w:rsid w:val="00F11882"/>
    <w:rsid w:val="00F13A08"/>
    <w:rsid w:val="00F13E7B"/>
    <w:rsid w:val="00F15F89"/>
    <w:rsid w:val="00F221FB"/>
    <w:rsid w:val="00F240E7"/>
    <w:rsid w:val="00F24870"/>
    <w:rsid w:val="00F30C10"/>
    <w:rsid w:val="00F322B0"/>
    <w:rsid w:val="00F35BA2"/>
    <w:rsid w:val="00F415D9"/>
    <w:rsid w:val="00F45E3C"/>
    <w:rsid w:val="00F46427"/>
    <w:rsid w:val="00F46C1E"/>
    <w:rsid w:val="00F46D02"/>
    <w:rsid w:val="00F57EC5"/>
    <w:rsid w:val="00F613EF"/>
    <w:rsid w:val="00F62D78"/>
    <w:rsid w:val="00F66187"/>
    <w:rsid w:val="00F706DF"/>
    <w:rsid w:val="00F731BF"/>
    <w:rsid w:val="00F7498C"/>
    <w:rsid w:val="00F81D0E"/>
    <w:rsid w:val="00F83009"/>
    <w:rsid w:val="00F854AA"/>
    <w:rsid w:val="00F8713E"/>
    <w:rsid w:val="00F87B80"/>
    <w:rsid w:val="00F87EFC"/>
    <w:rsid w:val="00F9081D"/>
    <w:rsid w:val="00F92E9F"/>
    <w:rsid w:val="00FA11E6"/>
    <w:rsid w:val="00FA3D4A"/>
    <w:rsid w:val="00FA3E2A"/>
    <w:rsid w:val="00FA62B6"/>
    <w:rsid w:val="00FA6DA7"/>
    <w:rsid w:val="00FB33AE"/>
    <w:rsid w:val="00FB36D6"/>
    <w:rsid w:val="00FB4350"/>
    <w:rsid w:val="00FB7B77"/>
    <w:rsid w:val="00FC0709"/>
    <w:rsid w:val="00FD2AA8"/>
    <w:rsid w:val="00FD3C65"/>
    <w:rsid w:val="00FD4FD5"/>
    <w:rsid w:val="00FE0005"/>
    <w:rsid w:val="00FE0CE7"/>
    <w:rsid w:val="00FE6C06"/>
    <w:rsid w:val="35FE6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semiHidden/>
    <w:unhideWhenUsed/>
    <w:qFormat/>
    <w:uiPriority w:val="99"/>
    <w:pPr>
      <w:jc w:val="left"/>
    </w:pPr>
  </w:style>
  <w:style w:type="paragraph" w:styleId="4">
    <w:name w:val="Date"/>
    <w:basedOn w:val="1"/>
    <w:next w:val="1"/>
    <w:link w:val="21"/>
    <w:semiHidden/>
    <w:unhideWhenUsed/>
    <w:uiPriority w:val="99"/>
    <w:pPr>
      <w:ind w:left="100" w:leftChars="2500"/>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段"/>
    <w:link w:val="16"/>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6">
    <w:name w:val="段 Char"/>
    <w:link w:val="15"/>
    <w:qFormat/>
    <w:uiPriority w:val="0"/>
    <w:rPr>
      <w:rFonts w:ascii="宋体" w:hAnsi="Times New Roman" w:eastAsia="宋体" w:cs="Times New Roman"/>
      <w:kern w:val="0"/>
      <w:szCs w:val="20"/>
    </w:rPr>
  </w:style>
  <w:style w:type="paragraph" w:customStyle="1" w:styleId="17">
    <w:name w:val="章"/>
    <w:basedOn w:val="2"/>
    <w:qFormat/>
    <w:uiPriority w:val="0"/>
    <w:pPr>
      <w:spacing w:line="415" w:lineRule="auto"/>
    </w:pPr>
    <w:rPr>
      <w:rFonts w:ascii="Times New Roman" w:hAnsi="Times New Roman" w:eastAsia="黑体" w:cs="Times New Roman"/>
      <w:b w:val="0"/>
      <w:sz w:val="21"/>
    </w:rPr>
  </w:style>
  <w:style w:type="character" w:customStyle="1" w:styleId="18">
    <w:name w:val="p10"/>
    <w:basedOn w:val="10"/>
    <w:qFormat/>
    <w:uiPriority w:val="0"/>
  </w:style>
  <w:style w:type="character" w:customStyle="1" w:styleId="19">
    <w:name w:val="标题 3 字符"/>
    <w:basedOn w:val="10"/>
    <w:link w:val="2"/>
    <w:semiHidden/>
    <w:qFormat/>
    <w:uiPriority w:val="9"/>
    <w:rPr>
      <w:b/>
      <w:bCs/>
      <w:sz w:val="32"/>
      <w:szCs w:val="32"/>
    </w:rPr>
  </w:style>
  <w:style w:type="paragraph" w:styleId="20">
    <w:name w:val="List Paragraph"/>
    <w:basedOn w:val="1"/>
    <w:qFormat/>
    <w:uiPriority w:val="34"/>
    <w:pPr>
      <w:ind w:firstLine="420" w:firstLineChars="200"/>
    </w:pPr>
  </w:style>
  <w:style w:type="character" w:customStyle="1" w:styleId="21">
    <w:name w:val="日期 字符"/>
    <w:basedOn w:val="10"/>
    <w:link w:val="4"/>
    <w:semiHidden/>
    <w:uiPriority w:val="99"/>
  </w:style>
  <w:style w:type="paragraph" w:customStyle="1" w:styleId="22">
    <w:name w:val="三级条标题"/>
    <w:basedOn w:val="23"/>
    <w:next w:val="15"/>
    <w:uiPriority w:val="99"/>
    <w:pPr>
      <w:numPr>
        <w:ilvl w:val="3"/>
      </w:numPr>
      <w:tabs>
        <w:tab w:val="left" w:pos="993"/>
        <w:tab w:val="left" w:pos="2291"/>
      </w:tabs>
      <w:ind w:left="1559" w:hanging="708"/>
      <w:outlineLvl w:val="4"/>
    </w:pPr>
  </w:style>
  <w:style w:type="paragraph" w:customStyle="1" w:styleId="23">
    <w:name w:val="二级条标题"/>
    <w:basedOn w:val="24"/>
    <w:next w:val="15"/>
    <w:qFormat/>
    <w:uiPriority w:val="99"/>
    <w:pPr>
      <w:numPr>
        <w:ilvl w:val="2"/>
      </w:numPr>
      <w:tabs>
        <w:tab w:val="left" w:pos="993"/>
      </w:tabs>
      <w:spacing w:before="50" w:after="50"/>
      <w:ind w:left="993" w:hanging="567"/>
      <w:outlineLvl w:val="3"/>
    </w:pPr>
  </w:style>
  <w:style w:type="paragraph" w:customStyle="1" w:styleId="24">
    <w:name w:val="一级条标题"/>
    <w:next w:val="15"/>
    <w:qFormat/>
    <w:uiPriority w:val="0"/>
    <w:pPr>
      <w:numPr>
        <w:ilvl w:val="1"/>
        <w:numId w:val="1"/>
      </w:numPr>
      <w:spacing w:before="156" w:beforeLines="50" w:after="156" w:afterLines="50"/>
      <w:ind w:left="567" w:hanging="567"/>
      <w:outlineLvl w:val="2"/>
    </w:pPr>
    <w:rPr>
      <w:rFonts w:ascii="黑体" w:eastAsia="黑体" w:hAnsiTheme="minorHAnsi" w:cstheme="minorBidi"/>
      <w:kern w:val="2"/>
      <w:sz w:val="21"/>
      <w:szCs w:val="21"/>
      <w:lang w:val="en-US" w:eastAsia="zh-CN" w:bidi="ar-SA"/>
    </w:rPr>
  </w:style>
  <w:style w:type="paragraph" w:customStyle="1" w:styleId="25">
    <w:name w:val="章标题"/>
    <w:next w:val="15"/>
    <w:qFormat/>
    <w:uiPriority w:val="99"/>
    <w:pPr>
      <w:numPr>
        <w:ilvl w:val="0"/>
        <w:numId w:val="1"/>
      </w:numPr>
      <w:tabs>
        <w:tab w:val="left" w:pos="0"/>
      </w:tabs>
      <w:spacing w:before="312" w:beforeLines="100" w:after="312" w:afterLines="100"/>
      <w:ind w:hanging="425"/>
      <w:jc w:val="both"/>
      <w:outlineLvl w:val="1"/>
    </w:pPr>
    <w:rPr>
      <w:rFonts w:ascii="黑体" w:hAnsi="Times New Roman" w:eastAsia="黑体" w:cs="Times New Roman"/>
      <w:kern w:val="0"/>
      <w:sz w:val="21"/>
      <w:szCs w:val="20"/>
      <w:lang w:val="en-US" w:eastAsia="zh-CN" w:bidi="ar-SA"/>
    </w:rPr>
  </w:style>
  <w:style w:type="character" w:customStyle="1" w:styleId="26">
    <w:name w:val="批注文字 字符"/>
    <w:basedOn w:val="10"/>
    <w:link w:val="3"/>
    <w:semiHidden/>
    <w:qFormat/>
    <w:uiPriority w:val="99"/>
  </w:style>
  <w:style w:type="character" w:customStyle="1" w:styleId="27">
    <w:name w:val="批注主题 字符"/>
    <w:basedOn w:val="26"/>
    <w:link w:val="7"/>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F032A-527A-4193-A66C-F31A995EF2D8}">
  <ds:schemaRefs/>
</ds:datastoreItem>
</file>

<file path=docProps/app.xml><?xml version="1.0" encoding="utf-8"?>
<Properties xmlns="http://schemas.openxmlformats.org/officeDocument/2006/extended-properties" xmlns:vt="http://schemas.openxmlformats.org/officeDocument/2006/docPropsVTypes">
  <Template>Normal</Template>
  <Pages>10</Pages>
  <Words>1188</Words>
  <Characters>6774</Characters>
  <Lines>56</Lines>
  <Paragraphs>15</Paragraphs>
  <TotalTime>7766</TotalTime>
  <ScaleCrop>false</ScaleCrop>
  <LinksUpToDate>false</LinksUpToDate>
  <CharactersWithSpaces>7947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2021-10-02T06:30:00Z</dcterms:created>
  <dc:creator>xiao zhigang</dc:creator>
  <cp:lastModifiedBy>潇楠</cp:lastModifiedBy>
  <dcterms:modified xsi:type="dcterms:W3CDTF">2022-04-07T06:57:47Z</dcterms:modified>
  <cp:revision>693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80FCD6C1579F420187AC39665B7EB4E6</vt:lpwstr>
  </property>
</Properties>
</file>