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MZSX</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MZSX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0003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2022</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盐焗肉制品</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梅州市食品行业协会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BD578AD3DBDC47CAA0608629122907AB"/>
        </w:placeholder>
      </w:sdtPr>
      <w:sdtContent>
        <w:p>
          <w:pPr>
            <w:pStyle w:val="178"/>
            <w:spacing w:before="240" w:beforeLines="100" w:after="528" w:afterLines="220"/>
          </w:pPr>
          <w:bookmarkStart w:id="22" w:name="NEW_STAND_NAME"/>
          <w:r>
            <w:rPr>
              <w:rFonts w:hint="eastAsia"/>
            </w:rPr>
            <w:t>盐焗肉制品</w:t>
          </w:r>
        </w:p>
      </w:sdtContent>
    </w:sdt>
    <w:bookmarkEnd w:id="22"/>
    <w:p>
      <w:pPr>
        <w:pStyle w:val="105"/>
        <w:spacing w:before="240" w:after="240"/>
      </w:pPr>
      <w:bookmarkStart w:id="23" w:name="_Toc24884211"/>
      <w:bookmarkStart w:id="24" w:name="_Toc26986771"/>
      <w:bookmarkStart w:id="25" w:name="_Toc26718930"/>
      <w:bookmarkStart w:id="26" w:name="_Toc24884218"/>
      <w:bookmarkStart w:id="27" w:name="_Toc26986530"/>
      <w:bookmarkStart w:id="28" w:name="_Toc17233325"/>
      <w:bookmarkStart w:id="29" w:name="_Toc17233333"/>
      <w:bookmarkStart w:id="30" w:name="_Toc26648465"/>
      <w:r>
        <w:rPr>
          <w:rFonts w:hint="eastAsia"/>
        </w:rPr>
        <w:t>范围</w:t>
      </w:r>
      <w:bookmarkEnd w:id="23"/>
      <w:bookmarkEnd w:id="24"/>
      <w:bookmarkEnd w:id="25"/>
      <w:bookmarkEnd w:id="26"/>
      <w:bookmarkEnd w:id="27"/>
      <w:bookmarkEnd w:id="28"/>
      <w:bookmarkEnd w:id="29"/>
      <w:bookmarkEnd w:id="30"/>
    </w:p>
    <w:p>
      <w:pPr>
        <w:pStyle w:val="57"/>
        <w:ind w:firstLine="420"/>
      </w:pPr>
      <w:bookmarkStart w:id="31" w:name="_Toc26648466"/>
      <w:bookmarkStart w:id="32" w:name="_Toc17233334"/>
      <w:bookmarkStart w:id="33" w:name="_Toc24884212"/>
      <w:bookmarkStart w:id="34" w:name="_Toc24884219"/>
      <w:bookmarkStart w:id="35" w:name="_Toc17233326"/>
      <w:r>
        <w:rPr>
          <w:rFonts w:hint="eastAsia"/>
        </w:rPr>
        <w:t>本标准规定了盐焗肉制品的术语和定义、技术要求、生产加工过程的卫生要求、试验方法、检验规则、包装、标识、运输和贮存。</w:t>
      </w:r>
    </w:p>
    <w:p>
      <w:pPr>
        <w:ind w:firstLine="315" w:firstLineChars="150"/>
      </w:pPr>
      <w:r>
        <w:rPr>
          <w:rFonts w:hint="eastAsia" w:ascii="宋体" w:hAnsi="宋体"/>
        </w:rPr>
        <w:t>本标准适用于盐焗肉制品系列产品。</w:t>
      </w:r>
    </w:p>
    <w:p>
      <w:pPr>
        <w:pStyle w:val="105"/>
        <w:spacing w:before="240" w:after="240"/>
      </w:pPr>
      <w:bookmarkStart w:id="36" w:name="_Toc26718931"/>
      <w:bookmarkStart w:id="37" w:name="_Toc26986772"/>
      <w:bookmarkStart w:id="38" w:name="_Toc269865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ACE7B31E6DA847AEB142B345316C61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GB/T 191       包装储运图示标志</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317       白砂糖</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1886.1      食品安全国家标准 食品添加剂 碳酸钠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1886.2      食品安全国家标准 食品添加剂 碳酸氢钠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1886.4      食品安全国家标准 食品添加剂 六偏磷酸钠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1886.10     食品安全国家标准 食品添加剂 冰乙酸（又名冰醋酸）</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1886.25     食品安全国家标准 食品添加剂 柠檬酸钠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1886.28     食品安全国家标准 食品添加剂 D-异抗坏血酸钠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1886.34     食品安全国家标准 食品添加剂 辣椒红</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1886.39     食品安全国家标准 食品添加剂 山梨酸钾</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1886.65     食品安全国家标准 食品添加剂 单，双甘油脂肪酸酯</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1886.66     食品安全国家标准 食品添加剂 红曲黄色素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 xml:space="preserve">GB 1886.181    食品安全国家标准 食品添加剂 红曲红 </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1886.171    食品安全国家标准 食品添加剂 5′-呈味核苷酸二钠（又名呈味核苷酸二钠）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1886.172    食品安全国家标准 食品添加剂 迷迭香提取物</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1886.231    食品安全国家标准 食品添加剂 乳酸链球菌素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1886.235    食品安全国家标准 食品添加剂 柠檬酸</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1886.237    食品安全国家标准 食品添加剂 植酸（又名肌醇六磷酸）</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1886.335    食品安全国家标准 食品添加剂 三聚磷酸钠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1886.339    食品安全国家标准 食品添加剂 焦磷酸钠</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2707</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食品安全国家标准 鲜（冻）畜、禽产品</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2720        食品安全国家标准 味精</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2721        食品安全国家标准 食用盐</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2716        食品安全国家标准 植物油</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2717        食品安全国家标准 酱油</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2730</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腌腊肉制品</w:t>
      </w:r>
    </w:p>
    <w:p>
      <w:pPr>
        <w:pStyle w:val="231"/>
        <w:spacing w:line="440" w:lineRule="exact"/>
        <w:ind w:firstLine="420" w:firstLineChars="200"/>
        <w:rPr>
          <w:rFonts w:ascii="Times New Roman"/>
          <w:sz w:val="21"/>
          <w:szCs w:val="21"/>
        </w:rPr>
      </w:pPr>
      <w:r>
        <w:rPr>
          <w:rFonts w:ascii="Times New Roman" w:hAnsi="Times New Roman" w:cs="Times New Roman"/>
          <w:sz w:val="21"/>
          <w:szCs w:val="21"/>
        </w:rPr>
        <w:t xml:space="preserve">GB 2760        </w:t>
      </w:r>
      <w:r>
        <w:rPr>
          <w:rFonts w:hint="eastAsia"/>
          <w:sz w:val="21"/>
          <w:szCs w:val="21"/>
        </w:rPr>
        <w:t>食品安全国家标准</w:t>
      </w:r>
      <w:r>
        <w:rPr>
          <w:rFonts w:hint="eastAsia" w:ascii="Times New Roman"/>
          <w:sz w:val="21"/>
          <w:szCs w:val="21"/>
        </w:rPr>
        <w:t xml:space="preserve"> </w:t>
      </w:r>
      <w:r>
        <w:rPr>
          <w:rFonts w:cs="Times New Roman"/>
          <w:sz w:val="21"/>
          <w:szCs w:val="21"/>
        </w:rPr>
        <w:t>食品添加剂使用卫生标准</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2762</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食品中污染物限量</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2763</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食品中农药最大残留限量</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2749        食品安全国家标准 蛋与蛋制品</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 xml:space="preserve">GB 4789.2 </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w:t>
      </w:r>
      <w:r>
        <w:rPr>
          <w:rFonts w:cs="Times New Roman"/>
          <w:sz w:val="21"/>
          <w:szCs w:val="21"/>
        </w:rPr>
        <w:t>食品微生物学检验</w:t>
      </w:r>
      <w:r>
        <w:rPr>
          <w:rFonts w:ascii="Times New Roman" w:hAnsi="Times New Roman" w:cs="Times New Roman"/>
          <w:sz w:val="21"/>
          <w:szCs w:val="21"/>
        </w:rPr>
        <w:t xml:space="preserve"> </w:t>
      </w:r>
      <w:r>
        <w:rPr>
          <w:rFonts w:cs="Times New Roman"/>
          <w:sz w:val="21"/>
          <w:szCs w:val="21"/>
        </w:rPr>
        <w:t>菌落总数测定</w:t>
      </w:r>
    </w:p>
    <w:p>
      <w:pPr>
        <w:pStyle w:val="231"/>
        <w:spacing w:line="440" w:lineRule="exact"/>
        <w:ind w:firstLine="420" w:firstLineChars="200"/>
        <w:rPr>
          <w:rFonts w:ascii="Times New Roman"/>
          <w:sz w:val="21"/>
          <w:szCs w:val="21"/>
        </w:rPr>
      </w:pPr>
      <w:r>
        <w:rPr>
          <w:rFonts w:ascii="Times New Roman" w:hAnsi="Times New Roman" w:cs="Times New Roman"/>
          <w:sz w:val="21"/>
          <w:szCs w:val="21"/>
        </w:rPr>
        <w:t xml:space="preserve">GB 4789.3 </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w:t>
      </w:r>
      <w:r>
        <w:rPr>
          <w:rFonts w:cs="Times New Roman"/>
          <w:sz w:val="21"/>
          <w:szCs w:val="21"/>
        </w:rPr>
        <w:t>食品微生物学检验</w:t>
      </w:r>
      <w:r>
        <w:rPr>
          <w:rFonts w:ascii="Times New Roman" w:hAnsi="Times New Roman" w:cs="Times New Roman"/>
          <w:sz w:val="21"/>
          <w:szCs w:val="21"/>
        </w:rPr>
        <w:t xml:space="preserve"> </w:t>
      </w:r>
      <w:r>
        <w:rPr>
          <w:rFonts w:cs="Times New Roman"/>
          <w:sz w:val="21"/>
          <w:szCs w:val="21"/>
        </w:rPr>
        <w:t>大肠菌群计数</w:t>
      </w:r>
    </w:p>
    <w:p>
      <w:pPr>
        <w:pStyle w:val="231"/>
        <w:spacing w:line="440" w:lineRule="exact"/>
        <w:ind w:firstLine="420" w:firstLineChars="200"/>
        <w:rPr>
          <w:rFonts w:ascii="Times New Roman"/>
          <w:sz w:val="21"/>
          <w:szCs w:val="21"/>
        </w:rPr>
      </w:pPr>
      <w:r>
        <w:rPr>
          <w:rFonts w:ascii="Times New Roman" w:hAnsi="Times New Roman" w:cs="Times New Roman"/>
          <w:sz w:val="21"/>
          <w:szCs w:val="21"/>
        </w:rPr>
        <w:t>GB 4789.</w:t>
      </w:r>
      <w:r>
        <w:rPr>
          <w:rFonts w:hint="eastAsia" w:ascii="Times New Roman" w:hAnsi="Times New Roman" w:cs="Times New Roman"/>
          <w:sz w:val="21"/>
          <w:szCs w:val="21"/>
        </w:rPr>
        <w:t>4</w:t>
      </w:r>
      <w:r>
        <w:rPr>
          <w:rFonts w:ascii="Times New Roman" w:hAnsi="Times New Roman" w:cs="Times New Roman"/>
          <w:sz w:val="21"/>
          <w:szCs w:val="21"/>
        </w:rPr>
        <w:t xml:space="preserve"> </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w:t>
      </w:r>
      <w:r>
        <w:rPr>
          <w:rFonts w:cs="Times New Roman"/>
          <w:sz w:val="21"/>
          <w:szCs w:val="21"/>
        </w:rPr>
        <w:t>食品微生物学检验</w:t>
      </w:r>
      <w:r>
        <w:rPr>
          <w:rFonts w:ascii="Times New Roman" w:hAnsi="Times New Roman" w:cs="Times New Roman"/>
          <w:sz w:val="21"/>
          <w:szCs w:val="21"/>
        </w:rPr>
        <w:t xml:space="preserve"> </w:t>
      </w:r>
      <w:r>
        <w:rPr>
          <w:rFonts w:hint="eastAsia"/>
          <w:sz w:val="21"/>
          <w:szCs w:val="21"/>
        </w:rPr>
        <w:t>沙门氏菌检验</w:t>
      </w:r>
    </w:p>
    <w:p>
      <w:pPr>
        <w:pStyle w:val="231"/>
        <w:spacing w:line="440" w:lineRule="exact"/>
        <w:ind w:firstLine="420" w:firstLineChars="200"/>
        <w:rPr>
          <w:rFonts w:ascii="Times New Roman"/>
          <w:sz w:val="21"/>
          <w:szCs w:val="21"/>
        </w:rPr>
      </w:pPr>
      <w:r>
        <w:rPr>
          <w:rFonts w:ascii="Times New Roman" w:hAnsi="Times New Roman" w:cs="Times New Roman"/>
          <w:sz w:val="21"/>
          <w:szCs w:val="21"/>
        </w:rPr>
        <w:t>GB 4789.</w:t>
      </w:r>
      <w:r>
        <w:rPr>
          <w:rFonts w:hint="eastAsia" w:ascii="Times New Roman" w:hAnsi="Times New Roman" w:cs="Times New Roman"/>
          <w:sz w:val="21"/>
          <w:szCs w:val="21"/>
        </w:rPr>
        <w:t>5</w:t>
      </w:r>
      <w:r>
        <w:rPr>
          <w:rFonts w:ascii="Times New Roman" w:hAnsi="Times New Roman" w:cs="Times New Roman"/>
          <w:sz w:val="21"/>
          <w:szCs w:val="21"/>
        </w:rPr>
        <w:t xml:space="preserve"> </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w:t>
      </w:r>
      <w:r>
        <w:rPr>
          <w:rFonts w:cs="Times New Roman"/>
          <w:sz w:val="21"/>
          <w:szCs w:val="21"/>
        </w:rPr>
        <w:t>食品微生物学检验</w:t>
      </w:r>
      <w:r>
        <w:rPr>
          <w:rFonts w:ascii="Times New Roman" w:hAnsi="Times New Roman" w:cs="Times New Roman"/>
          <w:sz w:val="21"/>
          <w:szCs w:val="21"/>
        </w:rPr>
        <w:t xml:space="preserve"> </w:t>
      </w:r>
      <w:r>
        <w:rPr>
          <w:rFonts w:hint="eastAsia"/>
          <w:sz w:val="21"/>
          <w:szCs w:val="21"/>
        </w:rPr>
        <w:t>志贺氏菌检验</w:t>
      </w:r>
    </w:p>
    <w:p>
      <w:pPr>
        <w:pStyle w:val="231"/>
        <w:spacing w:line="440" w:lineRule="exact"/>
        <w:ind w:firstLine="420" w:firstLineChars="200"/>
        <w:rPr>
          <w:rFonts w:hint="eastAsia"/>
          <w:sz w:val="21"/>
          <w:szCs w:val="21"/>
        </w:rPr>
      </w:pPr>
      <w:r>
        <w:rPr>
          <w:rFonts w:ascii="Times New Roman" w:hAnsi="Times New Roman" w:cs="Times New Roman"/>
          <w:sz w:val="21"/>
          <w:szCs w:val="21"/>
        </w:rPr>
        <w:t>GB 4789.</w:t>
      </w:r>
      <w:r>
        <w:rPr>
          <w:rFonts w:hint="eastAsia" w:ascii="Times New Roman" w:hAnsi="Times New Roman" w:cs="Times New Roman"/>
          <w:sz w:val="21"/>
          <w:szCs w:val="21"/>
        </w:rPr>
        <w:t xml:space="preserve">10      </w:t>
      </w:r>
      <w:r>
        <w:rPr>
          <w:rFonts w:cs="Times New Roman"/>
          <w:sz w:val="21"/>
          <w:szCs w:val="21"/>
        </w:rPr>
        <w:t>食品安全国家标准</w:t>
      </w:r>
      <w:r>
        <w:rPr>
          <w:rFonts w:ascii="Times New Roman" w:hAnsi="Times New Roman" w:cs="Times New Roman"/>
          <w:sz w:val="21"/>
          <w:szCs w:val="21"/>
        </w:rPr>
        <w:t xml:space="preserve"> 食品微生物学检验 </w:t>
      </w:r>
      <w:r>
        <w:rPr>
          <w:rFonts w:hint="eastAsia"/>
          <w:sz w:val="21"/>
          <w:szCs w:val="21"/>
        </w:rPr>
        <w:t>金黄色葡萄球菌检验</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 xml:space="preserve">GB/T 4789.17    </w:t>
      </w:r>
      <w:r>
        <w:rPr>
          <w:rFonts w:hint="eastAsia"/>
          <w:sz w:val="21"/>
          <w:szCs w:val="21"/>
        </w:rPr>
        <w:t>食品卫生微生物学检验 肉与肉制品检验</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4789.26</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食品微生物学检验 商业无菌检验</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4806.7</w:t>
      </w:r>
      <w:r>
        <w:rPr>
          <w:rFonts w:hint="eastAsia" w:ascii="Times New Roman"/>
          <w:sz w:val="21"/>
          <w:szCs w:val="21"/>
        </w:rPr>
        <w:t xml:space="preserve">      </w:t>
      </w:r>
      <w:r>
        <w:rPr>
          <w:rFonts w:ascii="Times New Roman" w:hAnsi="Times New Roman" w:cs="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食品接触用塑料材料及制品</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 xml:space="preserve">GB 5009.3       </w:t>
      </w:r>
      <w:r>
        <w:rPr>
          <w:rFonts w:hint="eastAsia"/>
          <w:sz w:val="21"/>
          <w:szCs w:val="21"/>
        </w:rPr>
        <w:t>食品安全国家标准 食品中水分的测定</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5009.5</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食品中蛋白质的测定</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5009.6</w:t>
      </w:r>
      <w:r>
        <w:rPr>
          <w:rFonts w:hint="eastAsia" w:ascii="Times New Roman"/>
          <w:sz w:val="21"/>
          <w:szCs w:val="21"/>
        </w:rPr>
        <w:t xml:space="preserve">     </w:t>
      </w:r>
      <w:r>
        <w:rPr>
          <w:rFonts w:ascii="Times New Roman" w:hAnsi="Times New Roman" w:cs="Times New Roman"/>
          <w:sz w:val="21"/>
          <w:szCs w:val="21"/>
        </w:rPr>
        <w:t xml:space="preserve"> </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食品中脂肪的测定</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5009.11      </w:t>
      </w:r>
      <w:r>
        <w:rPr>
          <w:rFonts w:hint="eastAsia"/>
          <w:sz w:val="21"/>
          <w:szCs w:val="21"/>
        </w:rPr>
        <w:t>食品安全国家标准 食品中总砷及无机砷的测定</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5009.12      </w:t>
      </w:r>
      <w:r>
        <w:rPr>
          <w:rFonts w:hint="eastAsia"/>
          <w:sz w:val="21"/>
          <w:szCs w:val="21"/>
        </w:rPr>
        <w:t>食品安全国家标准 食品中铅的测定</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5009.15      </w:t>
      </w:r>
      <w:r>
        <w:rPr>
          <w:rFonts w:hint="eastAsia"/>
          <w:sz w:val="21"/>
          <w:szCs w:val="21"/>
        </w:rPr>
        <w:t>食品安全国家标准 食品中镉的测定</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5009.17      </w:t>
      </w:r>
      <w:r>
        <w:rPr>
          <w:rFonts w:hint="eastAsia"/>
          <w:sz w:val="21"/>
          <w:szCs w:val="21"/>
        </w:rPr>
        <w:t>食品安全国家标准 食品中总汞及有机汞的测定</w:t>
      </w: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GB 5009.33</w:t>
      </w:r>
      <w:r>
        <w:rPr>
          <w:rFonts w:hint="eastAsia" w:ascii="Times New Roman"/>
          <w:sz w:val="21"/>
          <w:szCs w:val="21"/>
        </w:rPr>
        <w:t xml:space="preserve">      </w:t>
      </w:r>
      <w:r>
        <w:rPr>
          <w:rFonts w:cs="Times New Roman"/>
          <w:sz w:val="21"/>
          <w:szCs w:val="21"/>
        </w:rPr>
        <w:t>食品安全国家标准</w:t>
      </w:r>
      <w:r>
        <w:rPr>
          <w:rFonts w:ascii="Times New Roman" w:hAnsi="Times New Roman" w:cs="Times New Roman"/>
          <w:sz w:val="21"/>
          <w:szCs w:val="21"/>
        </w:rPr>
        <w:t xml:space="preserve"> 食品中亚硝酸盐与硝酸盐的测定</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GB/T 5009.37    </w:t>
      </w:r>
      <w:r>
        <w:rPr>
          <w:rFonts w:hint="eastAsia"/>
          <w:sz w:val="21"/>
          <w:szCs w:val="21"/>
        </w:rPr>
        <w:t>食用植物油卫生标准分析方法</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GB 5009.44</w:t>
      </w:r>
      <w:r>
        <w:rPr>
          <w:rFonts w:hint="eastAsia" w:ascii="Times New Roman"/>
          <w:sz w:val="21"/>
          <w:szCs w:val="21"/>
        </w:rPr>
        <w:t xml:space="preserve">      </w:t>
      </w:r>
      <w:r>
        <w:rPr>
          <w:rFonts w:hint="eastAsia"/>
          <w:sz w:val="21"/>
          <w:szCs w:val="21"/>
        </w:rPr>
        <w:t>食品安全国家标准</w:t>
      </w:r>
      <w:r>
        <w:rPr>
          <w:rFonts w:hint="eastAsia" w:ascii="Times New Roman"/>
          <w:sz w:val="21"/>
          <w:szCs w:val="21"/>
        </w:rPr>
        <w:t xml:space="preserve"> 食品中氯化物的测定</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5009.276     食品安全国家标准 食品中葡萄糖酸-δ-内酯的测定</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5749        </w:t>
      </w:r>
      <w:r>
        <w:rPr>
          <w:rFonts w:hint="eastAsia" w:ascii="Times New Roman"/>
          <w:sz w:val="21"/>
          <w:szCs w:val="21"/>
        </w:rPr>
        <w:t xml:space="preserve"> </w:t>
      </w:r>
      <w:r>
        <w:rPr>
          <w:rFonts w:hint="eastAsia"/>
          <w:sz w:val="21"/>
          <w:szCs w:val="21"/>
        </w:rPr>
        <w:t>生活饮用水卫生标准</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7718         </w:t>
      </w:r>
      <w:r>
        <w:rPr>
          <w:rFonts w:hint="eastAsia"/>
          <w:sz w:val="21"/>
          <w:szCs w:val="21"/>
        </w:rPr>
        <w:t>食品安全国家标准 预包装食品标签通则</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7912         食品安全国家标准 食品添加剂 栀子黄</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10781.3    米香型白酒</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11761      芝麻</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14754        食品安全国家标准 食品添加剂 维生素C(抗坏血酸)</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GB14880       </w:t>
      </w:r>
      <w:r>
        <w:rPr>
          <w:rFonts w:hint="eastAsia" w:ascii="Times New Roman"/>
          <w:sz w:val="21"/>
          <w:szCs w:val="21"/>
        </w:rPr>
        <w:t xml:space="preserve"> </w:t>
      </w:r>
      <w:r>
        <w:rPr>
          <w:rFonts w:hint="eastAsia"/>
          <w:sz w:val="21"/>
          <w:szCs w:val="21"/>
        </w:rPr>
        <w:t>食品安全国家标准《食品营养强化剂使用标准》</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15196       食品安全国家标准 食用油脂制品</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15691     香辛料调味品通用技术条件</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 19303      </w:t>
      </w:r>
      <w:r>
        <w:rPr>
          <w:rFonts w:hint="eastAsia" w:ascii="Times New Roman"/>
          <w:sz w:val="21"/>
          <w:szCs w:val="21"/>
        </w:rPr>
        <w:t xml:space="preserve"> </w:t>
      </w:r>
      <w:r>
        <w:rPr>
          <w:rFonts w:hint="eastAsia"/>
          <w:sz w:val="21"/>
          <w:szCs w:val="21"/>
        </w:rPr>
        <w:t>熟肉制品企业生产卫生规范</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 xml:space="preserve">GB/T 19480     </w:t>
      </w:r>
      <w:r>
        <w:rPr>
          <w:rFonts w:hint="eastAsia"/>
          <w:sz w:val="21"/>
          <w:szCs w:val="21"/>
        </w:rPr>
        <w:t>肉与肉制品术语</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20886.2    酵母产品质量要求 第2部分: 酵母加工制品</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25539       食品安全国家标准 食品添加剂 双乙酰酒石酸单双甘油酯</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25544       食品安全国家标准 食品添加剂 DL-苹果酸</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25547       食品安全国家标准 食品添加剂 脱氢乙酸钠</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28401       食品安全国家标准 食品添加剂 磷脂</w:t>
      </w:r>
    </w:p>
    <w:p>
      <w:pPr>
        <w:pStyle w:val="231"/>
        <w:spacing w:line="440" w:lineRule="exact"/>
        <w:ind w:firstLine="420" w:firstLineChars="200"/>
        <w:rPr>
          <w:rFonts w:ascii="Times New Roman"/>
          <w:sz w:val="21"/>
          <w:szCs w:val="21"/>
        </w:rPr>
      </w:pPr>
      <w:r>
        <w:rPr>
          <w:rFonts w:hint="eastAsia" w:ascii="Times New Roman" w:hAnsi="Times New Roman" w:cs="Times New Roman"/>
          <w:sz w:val="21"/>
          <w:szCs w:val="21"/>
        </w:rPr>
        <w:t>GB</w:t>
      </w:r>
      <w:r>
        <w:rPr>
          <w:rFonts w:hint="eastAsia" w:ascii="Times New Roman"/>
          <w:sz w:val="21"/>
          <w:szCs w:val="21"/>
        </w:rPr>
        <w:t xml:space="preserve"> </w:t>
      </w:r>
      <w:r>
        <w:rPr>
          <w:rFonts w:hint="eastAsia" w:ascii="Times New Roman" w:hAnsi="Times New Roman" w:cs="Times New Roman"/>
          <w:sz w:val="21"/>
          <w:szCs w:val="21"/>
        </w:rPr>
        <w:t xml:space="preserve">28050       </w:t>
      </w:r>
      <w:r>
        <w:rPr>
          <w:rFonts w:hint="eastAsia"/>
          <w:sz w:val="21"/>
          <w:szCs w:val="21"/>
        </w:rPr>
        <w:t>食品安全国家标准《预包装食品营养标签通则》</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29223       食品安全国家标准 食品添加剂 脱氢乙酸</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29933       食品安全国家标准 食品添加剂 氧化羟丙基淀粉</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29938       食品安全国家标准 食品用香料通则</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29950       食品安全国家标准 食品添加剂 甘油</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30382     辣椒（整的或粉状）</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30391     花椒</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30616       食品安全国家标准 食品用香精</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 31644       食品安全国家标准 复合调味料</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GB/T 35883     冰糖</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NY/T 455       胡椒</w:t>
      </w:r>
    </w:p>
    <w:p>
      <w:pPr>
        <w:pStyle w:val="231"/>
        <w:spacing w:line="44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QB/T 4093      液体糖</w:t>
      </w:r>
    </w:p>
    <w:p>
      <w:pPr>
        <w:pStyle w:val="231"/>
        <w:spacing w:line="440" w:lineRule="exact"/>
        <w:ind w:firstLine="420" w:firstLineChars="200"/>
        <w:rPr>
          <w:rFonts w:ascii="Times New Roman" w:hAnsi="Times New Roman" w:cs="Times New Roman"/>
          <w:sz w:val="21"/>
          <w:szCs w:val="21"/>
        </w:rPr>
      </w:pPr>
    </w:p>
    <w:p>
      <w:pPr>
        <w:pStyle w:val="231"/>
        <w:spacing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 xml:space="preserve">JJF 1070       </w:t>
      </w:r>
      <w:r>
        <w:rPr>
          <w:rFonts w:hint="eastAsia" w:ascii="Times New Roman"/>
          <w:sz w:val="21"/>
          <w:szCs w:val="21"/>
        </w:rPr>
        <w:t xml:space="preserve"> </w:t>
      </w:r>
      <w:r>
        <w:rPr>
          <w:rFonts w:cs="Times New Roman"/>
          <w:sz w:val="21"/>
          <w:szCs w:val="21"/>
        </w:rPr>
        <w:t>定量包装商品净含量计量检验规则</w:t>
      </w:r>
    </w:p>
    <w:p>
      <w:pPr>
        <w:pStyle w:val="231"/>
        <w:spacing w:line="440" w:lineRule="exact"/>
        <w:ind w:firstLine="420" w:firstLineChars="200"/>
        <w:rPr>
          <w:rFonts w:ascii="Times New Roman" w:hAnsi="Times New Roman" w:cs="Times New Roman"/>
          <w:sz w:val="21"/>
          <w:szCs w:val="21"/>
        </w:rPr>
      </w:pPr>
      <w:r>
        <w:rPr>
          <w:rFonts w:cs="Times New Roman"/>
          <w:sz w:val="21"/>
          <w:szCs w:val="21"/>
        </w:rPr>
        <w:t>国家质检总局（</w:t>
      </w:r>
      <w:r>
        <w:rPr>
          <w:rFonts w:ascii="Times New Roman" w:hAnsi="Times New Roman" w:cs="Times New Roman"/>
          <w:sz w:val="21"/>
          <w:szCs w:val="21"/>
        </w:rPr>
        <w:t>2005</w:t>
      </w:r>
      <w:r>
        <w:rPr>
          <w:rFonts w:cs="Times New Roman"/>
          <w:sz w:val="21"/>
          <w:szCs w:val="21"/>
        </w:rPr>
        <w:t>）第</w:t>
      </w:r>
      <w:r>
        <w:rPr>
          <w:rFonts w:ascii="Times New Roman" w:hAnsi="Times New Roman" w:cs="Times New Roman"/>
          <w:sz w:val="21"/>
          <w:szCs w:val="21"/>
        </w:rPr>
        <w:t>75</w:t>
      </w:r>
      <w:r>
        <w:rPr>
          <w:rFonts w:cs="Times New Roman"/>
          <w:sz w:val="21"/>
          <w:szCs w:val="21"/>
        </w:rPr>
        <w:t>号令《定量包装商品计量监督管理办法》</w:t>
      </w:r>
    </w:p>
    <w:p>
      <w:pPr>
        <w:pStyle w:val="231"/>
        <w:spacing w:line="440" w:lineRule="exact"/>
        <w:ind w:firstLine="420" w:firstLineChars="200"/>
        <w:rPr>
          <w:rFonts w:ascii="Times New Roman"/>
          <w:sz w:val="21"/>
          <w:szCs w:val="21"/>
        </w:rPr>
      </w:pPr>
      <w:r>
        <w:rPr>
          <w:rFonts w:cs="Times New Roman"/>
          <w:sz w:val="21"/>
          <w:szCs w:val="21"/>
        </w:rPr>
        <w:t>国家质检总局（</w:t>
      </w:r>
      <w:r>
        <w:rPr>
          <w:rFonts w:ascii="Times New Roman" w:hAnsi="Times New Roman" w:cs="Times New Roman"/>
          <w:sz w:val="21"/>
          <w:szCs w:val="21"/>
        </w:rPr>
        <w:t>2009</w:t>
      </w:r>
      <w:r>
        <w:rPr>
          <w:rFonts w:cs="Times New Roman"/>
          <w:sz w:val="21"/>
          <w:szCs w:val="21"/>
        </w:rPr>
        <w:t>）第</w:t>
      </w:r>
      <w:r>
        <w:rPr>
          <w:rFonts w:ascii="Times New Roman" w:hAnsi="Times New Roman" w:cs="Times New Roman"/>
          <w:sz w:val="21"/>
          <w:szCs w:val="21"/>
        </w:rPr>
        <w:t>123</w:t>
      </w:r>
      <w:r>
        <w:rPr>
          <w:rFonts w:cs="Times New Roman"/>
          <w:sz w:val="21"/>
          <w:szCs w:val="21"/>
        </w:rPr>
        <w:t>号令</w:t>
      </w:r>
      <w:r>
        <w:rPr>
          <w:rFonts w:ascii="Times New Roman" w:hAnsi="Times New Roman" w:cs="Times New Roman"/>
          <w:sz w:val="21"/>
          <w:szCs w:val="21"/>
        </w:rPr>
        <w:t xml:space="preserve"> </w:t>
      </w:r>
      <w:r>
        <w:rPr>
          <w:rFonts w:cs="Times New Roman"/>
          <w:sz w:val="21"/>
          <w:szCs w:val="21"/>
        </w:rPr>
        <w:t>《食品标识管理规定》</w:t>
      </w:r>
    </w:p>
    <w:p>
      <w:pPr>
        <w:pStyle w:val="57"/>
        <w:ind w:firstLine="420"/>
      </w:pPr>
    </w:p>
    <w:p>
      <w:pPr>
        <w:pStyle w:val="105"/>
        <w:spacing w:before="240" w:after="240"/>
      </w:pPr>
      <w:r>
        <w:rPr>
          <w:rFonts w:hint="eastAsia"/>
          <w:szCs w:val="21"/>
        </w:rPr>
        <w:t>术语和定义</w:t>
      </w:r>
    </w:p>
    <w:sdt>
      <w:sdtPr>
        <w:id w:val="-1909835108"/>
        <w:placeholder>
          <w:docPart w:val="36B864DD37D5426EB685FDA0423108C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39" w:name="_Toc26986532"/>
          <w:bookmarkEnd w:id="39"/>
          <w:r>
            <w:t>下列术语和定义适用于本文件。</w:t>
          </w:r>
        </w:p>
      </w:sdtContent>
    </w:sdt>
    <w:p>
      <w:pPr>
        <w:pStyle w:val="57"/>
        <w:ind w:firstLine="420"/>
      </w:pPr>
    </w:p>
    <w:p>
      <w:pPr>
        <w:pStyle w:val="57"/>
        <w:ind w:firstLine="422"/>
        <w:rPr>
          <w:b/>
          <w:bCs/>
        </w:rPr>
      </w:pPr>
      <w:r>
        <w:rPr>
          <w:rFonts w:hint="eastAsia"/>
          <w:b/>
          <w:bCs/>
        </w:rPr>
        <w:t>3.1 古法盐焗禽肉制品（古法客家盐焗禽肉制品）</w:t>
      </w:r>
    </w:p>
    <w:p>
      <w:pPr>
        <w:pStyle w:val="57"/>
        <w:ind w:firstLine="525" w:firstLineChars="250"/>
      </w:pPr>
      <w:r>
        <w:rPr>
          <w:rFonts w:hint="eastAsia"/>
        </w:rPr>
        <w:t>以非疫区鲜（冻）禽肉及可食用部位为主要原料，以食用盐等为辅料，添加或不添加</w:t>
      </w:r>
      <w:r>
        <w:rPr>
          <w:rFonts w:hint="eastAsia"/>
          <w:lang w:eastAsia="zh-CN"/>
        </w:rPr>
        <w:t>盐焗鸡</w:t>
      </w:r>
      <w:r>
        <w:rPr>
          <w:rFonts w:hint="eastAsia"/>
        </w:rPr>
        <w:t>调味粉</w:t>
      </w:r>
      <w:r>
        <w:rPr>
          <w:rFonts w:hint="eastAsia"/>
          <w:lang w:eastAsia="zh-CN"/>
        </w:rPr>
        <w:t>（固态调味料）、复合调味料</w:t>
      </w:r>
      <w:r>
        <w:rPr>
          <w:rFonts w:hint="eastAsia"/>
        </w:rPr>
        <w:t>，经焗制等工艺加工而成的具有客家风味的古法盐焗禽肉制品。</w:t>
      </w:r>
    </w:p>
    <w:p>
      <w:pPr>
        <w:pStyle w:val="57"/>
        <w:ind w:firstLine="422"/>
        <w:rPr>
          <w:b/>
          <w:bCs/>
        </w:rPr>
      </w:pPr>
      <w:r>
        <w:rPr>
          <w:rFonts w:hint="eastAsia"/>
          <w:b/>
          <w:bCs/>
        </w:rPr>
        <w:t>3.2 古法盐焗畜肉制品（古法客家盐焗畜肉制品）</w:t>
      </w:r>
    </w:p>
    <w:p>
      <w:pPr>
        <w:pStyle w:val="57"/>
        <w:ind w:firstLine="525" w:firstLineChars="250"/>
      </w:pPr>
      <w:r>
        <w:rPr>
          <w:rFonts w:hint="eastAsia"/>
        </w:rPr>
        <w:t>以非疫区鲜（冻）畜肉及可食用部位为主要原料，以食用盐等为辅料，添加或不添加调味粉</w:t>
      </w:r>
      <w:r>
        <w:rPr>
          <w:rFonts w:hint="eastAsia"/>
          <w:lang w:eastAsia="zh-CN"/>
        </w:rPr>
        <w:t>（固态调味料）、复合调味料</w:t>
      </w:r>
      <w:r>
        <w:rPr>
          <w:rFonts w:hint="eastAsia"/>
        </w:rPr>
        <w:t>，经焗制等工艺加工而成的具有客家风味的古法盐焗畜肉制品。</w:t>
      </w:r>
    </w:p>
    <w:p>
      <w:pPr>
        <w:pStyle w:val="57"/>
        <w:ind w:firstLine="422"/>
        <w:rPr>
          <w:b/>
          <w:bCs/>
        </w:rPr>
      </w:pPr>
      <w:r>
        <w:rPr>
          <w:rFonts w:hint="eastAsia"/>
          <w:b/>
          <w:bCs/>
        </w:rPr>
        <w:t>3.3 盐焗禽肉制品（客家盐焗禽肉制品）</w:t>
      </w:r>
    </w:p>
    <w:p>
      <w:pPr>
        <w:pStyle w:val="57"/>
        <w:ind w:firstLine="525" w:firstLineChars="250"/>
      </w:pPr>
      <w:r>
        <w:rPr>
          <w:rFonts w:hint="eastAsia"/>
        </w:rPr>
        <w:t>以非疫区鲜（冻）禽肉及可食用部位为主要原料，选择性添加食盐、味精、酱油、盐焗鸡调味粉</w:t>
      </w:r>
      <w:r>
        <w:rPr>
          <w:rFonts w:hint="eastAsia"/>
          <w:lang w:eastAsia="zh-CN"/>
        </w:rPr>
        <w:t>（固态调味料）、复合调味料、</w:t>
      </w:r>
      <w:r>
        <w:rPr>
          <w:rFonts w:hint="eastAsia"/>
        </w:rPr>
        <w:t>辣椒、花椒、胡椒、芝麻、鸡蛋、白砂糖、冰糖、白酒、液体糖、食用植物油、食品用油脂制品、冰乙酸、酵母抽提物、氧化羟丙基淀粉、</w:t>
      </w:r>
      <w:r>
        <w:t>葡萄糖酸-δ-内酯</w:t>
      </w:r>
      <w:r>
        <w:rPr>
          <w:rFonts w:hint="eastAsia"/>
        </w:rPr>
        <w:t>、红曲红、红曲黄色素、栀子黄、辣椒红、D－异抗坏血酸钠、维生素C（抗坏血酸）、柠檬酸、柠檬酸钠、焦磷酸钠、三聚磷酸钠、 六偏磷酸钠、迷迭香提取物、脱氢乙酸、脱氢乙酸钠、山梨酸钾、乳酸链球菌素、呈味核苷酸二钠、植酸、碳酸钠、碳酸氢钠、DL-苹果酸、甘油、磷脂、双乙酰酒石酸单双甘油酯、单，双甘油脂肪酸酯、香辛料、食品用香精香料中的一种或多种，经盐渍、调制、焗制或卤制、脱水或不脱水、包装、杀菌或不杀菌等工艺制成的具有客家风味的盐焗禽肉制品。</w:t>
      </w:r>
    </w:p>
    <w:p>
      <w:pPr>
        <w:pStyle w:val="57"/>
        <w:ind w:firstLine="422"/>
        <w:rPr>
          <w:b/>
          <w:bCs/>
        </w:rPr>
      </w:pPr>
      <w:r>
        <w:rPr>
          <w:rFonts w:hint="eastAsia"/>
          <w:b/>
          <w:bCs/>
        </w:rPr>
        <w:t>3.4 盐焗畜肉制品（客家盐焗畜肉制品）</w:t>
      </w:r>
    </w:p>
    <w:p>
      <w:pPr>
        <w:pStyle w:val="57"/>
        <w:ind w:firstLine="525" w:firstLineChars="250"/>
      </w:pPr>
      <w:r>
        <w:rPr>
          <w:rFonts w:hint="eastAsia"/>
        </w:rPr>
        <w:t>以非疫区鲜（冻）畜肉及可食用部位为主要原料，选择性添加食盐、味精、酱油、调味粉</w:t>
      </w:r>
      <w:r>
        <w:rPr>
          <w:rFonts w:hint="eastAsia"/>
          <w:lang w:eastAsia="zh-CN"/>
        </w:rPr>
        <w:t>（固态调味料）、复合调味料、</w:t>
      </w:r>
      <w:r>
        <w:rPr>
          <w:rFonts w:hint="eastAsia"/>
        </w:rPr>
        <w:t>辣椒、花椒、胡椒、芝麻、鸡蛋、白砂糖、冰糖、白酒、液体糖、食用植物油、食品用油脂制品、冰乙酸、酵母抽提物、氧化羟丙基淀粉、</w:t>
      </w:r>
      <w:r>
        <w:t>葡萄糖酸-δ-内酯</w:t>
      </w:r>
      <w:r>
        <w:rPr>
          <w:rFonts w:hint="eastAsia"/>
        </w:rPr>
        <w:t>、 红曲红、红曲黄色素、栀子黄、辣椒红、D－异抗坏血酸钠、维生素C（抗坏血酸）、柠檬酸、柠檬酸钠、焦磷酸钠、三聚磷酸钠、 六偏磷酸钠、迷迭香提取物、脱氢乙酸、脱氢乙酸钠、山梨酸钾、乳酸链球菌素、呈味核苷酸二钠、植酸、碳酸钠、碳酸氢钠、DL-苹果酸、甘油、磷脂、双乙酰酒石酸单双甘油酯、单，双甘油脂肪酸酯、香辛料、食品用香精香料中的一种或多种，经盐渍、调制、焗制或卤制、脱水或不脱水、包装、杀菌或不杀菌等工艺制成的具有客家风味的盐焗肉制品。</w:t>
      </w:r>
    </w:p>
    <w:p>
      <w:pPr>
        <w:pStyle w:val="57"/>
        <w:ind w:firstLine="420"/>
      </w:pPr>
    </w:p>
    <w:p>
      <w:pPr>
        <w:pStyle w:val="231"/>
        <w:spacing w:line="440" w:lineRule="exact"/>
        <w:rPr>
          <w:rFonts w:ascii="Times New Roman" w:hAnsi="Times New Roman" w:cs="Times New Roman"/>
          <w:b/>
          <w:bCs/>
          <w:sz w:val="21"/>
          <w:szCs w:val="21"/>
        </w:rPr>
      </w:pPr>
      <w:r>
        <w:rPr>
          <w:rFonts w:ascii="Times New Roman" w:hAnsi="Times New Roman" w:cs="Times New Roman"/>
          <w:b/>
          <w:bCs/>
          <w:sz w:val="21"/>
          <w:szCs w:val="21"/>
        </w:rPr>
        <w:t xml:space="preserve">4  </w:t>
      </w:r>
      <w:r>
        <w:rPr>
          <w:rFonts w:cs="Times New Roman"/>
          <w:b/>
          <w:bCs/>
          <w:sz w:val="21"/>
          <w:szCs w:val="21"/>
        </w:rPr>
        <w:t>技术要求</w:t>
      </w:r>
    </w:p>
    <w:p>
      <w:pPr>
        <w:pStyle w:val="231"/>
        <w:spacing w:line="440" w:lineRule="exact"/>
        <w:rPr>
          <w:rFonts w:ascii="Times New Roman" w:hAnsi="Times New Roman" w:cs="Times New Roman"/>
          <w:b/>
          <w:bCs/>
          <w:sz w:val="21"/>
          <w:szCs w:val="21"/>
        </w:rPr>
      </w:pPr>
      <w:r>
        <w:rPr>
          <w:rFonts w:hint="eastAsia" w:ascii="Times New Roman" w:hAnsi="Times New Roman" w:cs="Times New Roman"/>
          <w:b/>
          <w:bCs/>
          <w:sz w:val="21"/>
          <w:szCs w:val="21"/>
        </w:rPr>
        <w:t>4</w:t>
      </w:r>
      <w:r>
        <w:rPr>
          <w:rFonts w:ascii="Times New Roman" w:hAnsi="Times New Roman" w:cs="Times New Roman"/>
          <w:b/>
          <w:bCs/>
          <w:sz w:val="21"/>
          <w:szCs w:val="21"/>
        </w:rPr>
        <w:t xml:space="preserve">.1  </w:t>
      </w:r>
      <w:r>
        <w:rPr>
          <w:rFonts w:cs="Times New Roman"/>
          <w:b/>
          <w:bCs/>
          <w:sz w:val="21"/>
          <w:szCs w:val="21"/>
        </w:rPr>
        <w:t>原辅料要求</w:t>
      </w:r>
    </w:p>
    <w:p>
      <w:pPr>
        <w:pStyle w:val="25"/>
        <w:numPr>
          <w:ilvl w:val="0"/>
          <w:numId w:val="32"/>
        </w:numPr>
        <w:autoSpaceDE w:val="0"/>
        <w:autoSpaceDN w:val="0"/>
        <w:spacing w:line="440" w:lineRule="exact"/>
        <w:rPr>
          <w:sz w:val="21"/>
        </w:rPr>
      </w:pPr>
      <w:r>
        <w:rPr>
          <w:rFonts w:hint="eastAsia" w:ascii="宋体" w:hAnsi="宋体" w:cs="宋体"/>
          <w:sz w:val="21"/>
          <w:lang w:bidi="ar"/>
        </w:rPr>
        <w:t>禽、畜类原料：应来自非疫区，符合</w:t>
      </w:r>
      <w:r>
        <w:rPr>
          <w:rFonts w:cs="Calibri"/>
          <w:sz w:val="21"/>
          <w:lang w:bidi="ar"/>
        </w:rPr>
        <w:t>GB2707</w:t>
      </w:r>
      <w:r>
        <w:rPr>
          <w:rFonts w:hint="eastAsia" w:ascii="宋体" w:hAnsi="宋体" w:cs="宋体"/>
          <w:sz w:val="21"/>
          <w:lang w:bidi="ar"/>
        </w:rPr>
        <w:t>的规定并经卫生检验检疫部门检验合格附有检验检疫合格证明。</w:t>
      </w:r>
    </w:p>
    <w:p>
      <w:pPr>
        <w:numPr>
          <w:ilvl w:val="0"/>
          <w:numId w:val="32"/>
        </w:numPr>
      </w:pPr>
      <w:r>
        <w:rPr>
          <w:rFonts w:hint="eastAsia" w:ascii="宋体" w:hAnsi="宋体" w:cs="宋体"/>
          <w:lang w:bidi="ar"/>
        </w:rPr>
        <w:t>食用盐应符合</w:t>
      </w:r>
      <w:r>
        <w:rPr>
          <w:rFonts w:cs="Calibri"/>
          <w:lang w:bidi="ar"/>
        </w:rPr>
        <w:t>GB 2721</w:t>
      </w:r>
      <w:r>
        <w:rPr>
          <w:rFonts w:hint="eastAsia" w:ascii="宋体" w:hAnsi="宋体" w:cs="宋体"/>
          <w:lang w:bidi="ar"/>
        </w:rPr>
        <w:t>的规定。</w:t>
      </w:r>
    </w:p>
    <w:p>
      <w:pPr>
        <w:numPr>
          <w:ilvl w:val="0"/>
          <w:numId w:val="32"/>
        </w:numPr>
      </w:pPr>
      <w:r>
        <w:rPr>
          <w:rFonts w:hint="eastAsia" w:ascii="宋体" w:hAnsi="宋体" w:cs="宋体"/>
          <w:lang w:bidi="ar"/>
        </w:rPr>
        <w:t>盐焗鸡调味粉(固态调味料)</w:t>
      </w:r>
      <w:r>
        <w:rPr>
          <w:rFonts w:hint="eastAsia" w:ascii="宋体" w:hAnsi="宋体" w:cs="宋体"/>
          <w:lang w:eastAsia="zh-CN" w:bidi="ar"/>
        </w:rPr>
        <w:t>、</w:t>
      </w:r>
      <w:r>
        <w:rPr>
          <w:rFonts w:hint="eastAsia" w:ascii="宋体" w:hAnsi="宋体" w:cs="宋体"/>
          <w:lang w:bidi="ar"/>
        </w:rPr>
        <w:t>调味粉(固态调味料)应符合</w:t>
      </w:r>
      <w:r>
        <w:rPr>
          <w:rFonts w:hint="eastAsia" w:cs="Calibri"/>
          <w:lang w:bidi="ar"/>
        </w:rPr>
        <w:t>附录A</w:t>
      </w:r>
      <w:r>
        <w:rPr>
          <w:rFonts w:hint="eastAsia" w:cs="Calibri"/>
          <w:lang w:eastAsia="zh-CN" w:bidi="ar"/>
        </w:rPr>
        <w:t>或</w:t>
      </w:r>
      <w:r>
        <w:rPr>
          <w:rFonts w:cs="Calibri"/>
          <w:lang w:bidi="ar"/>
        </w:rPr>
        <w:t>GB 31644</w:t>
      </w:r>
      <w:r>
        <w:rPr>
          <w:rFonts w:hint="eastAsia" w:ascii="宋体" w:hAnsi="宋体" w:cs="宋体"/>
          <w:lang w:bidi="ar"/>
        </w:rPr>
        <w:t>的规定。</w:t>
      </w:r>
    </w:p>
    <w:p>
      <w:pPr>
        <w:numPr>
          <w:ilvl w:val="0"/>
          <w:numId w:val="32"/>
        </w:numPr>
      </w:pPr>
      <w:r>
        <w:rPr>
          <w:rFonts w:hint="eastAsia"/>
          <w:lang w:eastAsia="zh-CN"/>
        </w:rPr>
        <w:t>复合调味料应符合</w:t>
      </w:r>
      <w:r>
        <w:rPr>
          <w:rFonts w:cs="Calibri"/>
          <w:lang w:bidi="ar"/>
        </w:rPr>
        <w:t>GB 31644</w:t>
      </w:r>
      <w:r>
        <w:rPr>
          <w:rFonts w:hint="eastAsia" w:cs="Calibri"/>
          <w:lang w:eastAsia="zh-CN" w:bidi="ar"/>
        </w:rPr>
        <w:t>的规定。</w:t>
      </w:r>
    </w:p>
    <w:p>
      <w:pPr>
        <w:numPr>
          <w:ilvl w:val="0"/>
          <w:numId w:val="32"/>
        </w:numPr>
      </w:pPr>
      <w:r>
        <w:rPr>
          <w:rFonts w:hint="eastAsia" w:ascii="宋体" w:hAnsi="宋体" w:cs="宋体"/>
          <w:lang w:bidi="ar"/>
        </w:rPr>
        <w:t>味精应符合</w:t>
      </w:r>
      <w:r>
        <w:rPr>
          <w:rFonts w:cs="Calibri"/>
          <w:lang w:bidi="ar"/>
        </w:rPr>
        <w:t>GB 2720</w:t>
      </w:r>
      <w:r>
        <w:rPr>
          <w:rFonts w:hint="eastAsia" w:ascii="宋体" w:hAnsi="宋体" w:cs="宋体"/>
          <w:lang w:bidi="ar"/>
        </w:rPr>
        <w:t>的规定。</w:t>
      </w:r>
    </w:p>
    <w:p>
      <w:pPr>
        <w:numPr>
          <w:ilvl w:val="0"/>
          <w:numId w:val="32"/>
        </w:numPr>
      </w:pPr>
      <w:r>
        <w:rPr>
          <w:rFonts w:hint="eastAsia" w:ascii="宋体" w:hAnsi="宋体" w:cs="宋体"/>
          <w:lang w:bidi="ar"/>
        </w:rPr>
        <w:t>酱油应符合</w:t>
      </w:r>
      <w:r>
        <w:rPr>
          <w:rFonts w:cs="Calibri"/>
          <w:lang w:bidi="ar"/>
        </w:rPr>
        <w:t>GB 2717</w:t>
      </w:r>
      <w:r>
        <w:rPr>
          <w:rFonts w:hint="eastAsia" w:ascii="宋体" w:hAnsi="宋体" w:cs="宋体"/>
          <w:lang w:bidi="ar"/>
        </w:rPr>
        <w:t>的规定。</w:t>
      </w:r>
    </w:p>
    <w:p>
      <w:pPr>
        <w:numPr>
          <w:ilvl w:val="0"/>
          <w:numId w:val="32"/>
        </w:numPr>
      </w:pPr>
      <w:r>
        <w:rPr>
          <w:rFonts w:hint="eastAsia" w:ascii="宋体" w:hAnsi="宋体" w:cs="宋体"/>
          <w:lang w:bidi="ar"/>
        </w:rPr>
        <w:t>辣椒应符合</w:t>
      </w:r>
      <w:r>
        <w:rPr>
          <w:rFonts w:cs="Calibri"/>
          <w:lang w:bidi="ar"/>
        </w:rPr>
        <w:t>GB/T 30382</w:t>
      </w:r>
      <w:r>
        <w:rPr>
          <w:rFonts w:hint="eastAsia" w:ascii="宋体" w:hAnsi="宋体" w:cs="宋体"/>
          <w:lang w:bidi="ar"/>
        </w:rPr>
        <w:t>的规定。</w:t>
      </w:r>
    </w:p>
    <w:p>
      <w:pPr>
        <w:numPr>
          <w:ilvl w:val="0"/>
          <w:numId w:val="32"/>
        </w:numPr>
      </w:pPr>
      <w:r>
        <w:rPr>
          <w:rFonts w:hint="eastAsia" w:ascii="宋体" w:hAnsi="宋体" w:cs="宋体"/>
          <w:lang w:bidi="ar"/>
        </w:rPr>
        <w:t>花椒应符合</w:t>
      </w:r>
      <w:r>
        <w:rPr>
          <w:rFonts w:cs="Calibri"/>
          <w:lang w:bidi="ar"/>
        </w:rPr>
        <w:t>GB/T 3039</w:t>
      </w:r>
      <w:r>
        <w:rPr>
          <w:rFonts w:hint="eastAsia" w:ascii="宋体" w:hAnsi="宋体" w:cs="宋体"/>
          <w:lang w:bidi="ar"/>
        </w:rPr>
        <w:t>的规定。</w:t>
      </w:r>
    </w:p>
    <w:p>
      <w:pPr>
        <w:numPr>
          <w:ilvl w:val="0"/>
          <w:numId w:val="32"/>
        </w:numPr>
      </w:pPr>
      <w:r>
        <w:rPr>
          <w:rFonts w:hint="eastAsia" w:ascii="宋体" w:hAnsi="宋体" w:cs="宋体"/>
          <w:lang w:bidi="ar"/>
        </w:rPr>
        <w:t>胡椒应符合</w:t>
      </w:r>
      <w:r>
        <w:rPr>
          <w:rFonts w:cs="Calibri"/>
          <w:lang w:bidi="ar"/>
        </w:rPr>
        <w:t>NY/T 455</w:t>
      </w:r>
      <w:r>
        <w:rPr>
          <w:rFonts w:hint="eastAsia" w:ascii="宋体" w:hAnsi="宋体" w:cs="宋体"/>
          <w:lang w:bidi="ar"/>
        </w:rPr>
        <w:t>的规定。</w:t>
      </w:r>
    </w:p>
    <w:p>
      <w:pPr>
        <w:numPr>
          <w:ilvl w:val="0"/>
          <w:numId w:val="32"/>
        </w:numPr>
      </w:pPr>
      <w:r>
        <w:rPr>
          <w:rFonts w:hint="eastAsia" w:ascii="宋体" w:hAnsi="宋体" w:cs="宋体"/>
          <w:lang w:bidi="ar"/>
        </w:rPr>
        <w:t>芝麻应符合</w:t>
      </w:r>
      <w:r>
        <w:rPr>
          <w:rFonts w:cs="Calibri"/>
          <w:lang w:bidi="ar"/>
        </w:rPr>
        <w:t>GB/T 1176</w:t>
      </w:r>
      <w:r>
        <w:rPr>
          <w:rFonts w:hint="eastAsia" w:ascii="宋体" w:hAnsi="宋体" w:cs="宋体"/>
          <w:lang w:bidi="ar"/>
        </w:rPr>
        <w:t>的规定。</w:t>
      </w:r>
    </w:p>
    <w:p>
      <w:pPr>
        <w:numPr>
          <w:ilvl w:val="0"/>
          <w:numId w:val="32"/>
        </w:numPr>
      </w:pPr>
      <w:r>
        <w:rPr>
          <w:rFonts w:hint="eastAsia" w:ascii="宋体" w:hAnsi="宋体" w:cs="宋体"/>
          <w:lang w:bidi="ar"/>
        </w:rPr>
        <w:t>鸡蛋应符合</w:t>
      </w:r>
      <w:r>
        <w:rPr>
          <w:rFonts w:cs="Calibri"/>
          <w:lang w:bidi="ar"/>
        </w:rPr>
        <w:t>GB 2749</w:t>
      </w:r>
      <w:r>
        <w:rPr>
          <w:rFonts w:hint="eastAsia" w:ascii="宋体" w:hAnsi="宋体" w:cs="宋体"/>
          <w:lang w:bidi="ar"/>
        </w:rPr>
        <w:t>的规定。</w:t>
      </w:r>
    </w:p>
    <w:p>
      <w:pPr>
        <w:numPr>
          <w:ilvl w:val="0"/>
          <w:numId w:val="32"/>
        </w:numPr>
      </w:pPr>
      <w:r>
        <w:rPr>
          <w:rFonts w:hint="eastAsia" w:ascii="宋体" w:hAnsi="宋体" w:cs="宋体"/>
          <w:lang w:bidi="ar"/>
        </w:rPr>
        <w:t>白砂糖应符合</w:t>
      </w:r>
      <w:r>
        <w:rPr>
          <w:rFonts w:hint="eastAsia"/>
          <w:lang w:bidi="ar"/>
        </w:rPr>
        <w:t xml:space="preserve"> </w:t>
      </w:r>
      <w:r>
        <w:rPr>
          <w:rFonts w:cs="Calibri"/>
          <w:lang w:bidi="ar"/>
        </w:rPr>
        <w:t>GB/T 317</w:t>
      </w:r>
      <w:r>
        <w:rPr>
          <w:rFonts w:hint="eastAsia" w:ascii="宋体" w:hAnsi="宋体" w:cs="宋体"/>
          <w:lang w:bidi="ar"/>
        </w:rPr>
        <w:t>的规定。</w:t>
      </w:r>
    </w:p>
    <w:p>
      <w:pPr>
        <w:numPr>
          <w:ilvl w:val="0"/>
          <w:numId w:val="32"/>
        </w:numPr>
      </w:pPr>
      <w:r>
        <w:rPr>
          <w:rFonts w:hint="eastAsia" w:ascii="宋体" w:hAnsi="宋体" w:cs="宋体"/>
          <w:lang w:bidi="ar"/>
        </w:rPr>
        <w:t>冰糖应符合</w:t>
      </w:r>
      <w:r>
        <w:rPr>
          <w:rFonts w:cs="Calibri"/>
          <w:lang w:bidi="ar"/>
        </w:rPr>
        <w:t>GB/T 35883</w:t>
      </w:r>
      <w:r>
        <w:rPr>
          <w:rFonts w:hint="eastAsia" w:ascii="宋体" w:hAnsi="宋体" w:cs="宋体"/>
          <w:lang w:bidi="ar"/>
        </w:rPr>
        <w:t>的规定。</w:t>
      </w:r>
    </w:p>
    <w:p>
      <w:pPr>
        <w:numPr>
          <w:ilvl w:val="0"/>
          <w:numId w:val="32"/>
        </w:numPr>
      </w:pPr>
      <w:r>
        <w:rPr>
          <w:rFonts w:hint="eastAsia" w:ascii="宋体" w:hAnsi="宋体" w:cs="宋体"/>
          <w:lang w:bidi="ar"/>
        </w:rPr>
        <w:t>白酒应符合</w:t>
      </w:r>
      <w:r>
        <w:rPr>
          <w:rFonts w:cs="Calibri"/>
          <w:lang w:bidi="ar"/>
        </w:rPr>
        <w:t>GB/T 10781.3</w:t>
      </w:r>
      <w:r>
        <w:rPr>
          <w:rFonts w:hint="eastAsia" w:ascii="宋体" w:hAnsi="宋体" w:cs="宋体"/>
          <w:lang w:bidi="ar"/>
        </w:rPr>
        <w:t>的规定。</w:t>
      </w:r>
    </w:p>
    <w:p>
      <w:pPr>
        <w:numPr>
          <w:ilvl w:val="0"/>
          <w:numId w:val="32"/>
        </w:numPr>
      </w:pPr>
      <w:r>
        <w:rPr>
          <w:rFonts w:hint="eastAsia" w:ascii="宋体" w:hAnsi="宋体" w:cs="宋体"/>
          <w:lang w:bidi="ar"/>
        </w:rPr>
        <w:t>液体糖应符合</w:t>
      </w:r>
      <w:r>
        <w:rPr>
          <w:rFonts w:hint="eastAsia"/>
          <w:lang w:bidi="ar"/>
        </w:rPr>
        <w:t xml:space="preserve"> </w:t>
      </w:r>
      <w:r>
        <w:rPr>
          <w:rFonts w:cs="Calibri"/>
          <w:lang w:bidi="ar"/>
        </w:rPr>
        <w:t>QB/T 4093</w:t>
      </w:r>
      <w:r>
        <w:rPr>
          <w:rFonts w:hint="eastAsia" w:ascii="宋体" w:hAnsi="宋体" w:cs="宋体"/>
          <w:lang w:bidi="ar"/>
        </w:rPr>
        <w:t>的规定。</w:t>
      </w:r>
    </w:p>
    <w:p>
      <w:pPr>
        <w:numPr>
          <w:ilvl w:val="0"/>
          <w:numId w:val="32"/>
        </w:numPr>
      </w:pPr>
      <w:r>
        <w:rPr>
          <w:rFonts w:hint="eastAsia" w:ascii="宋体" w:hAnsi="宋体" w:cs="宋体"/>
          <w:lang w:bidi="ar"/>
        </w:rPr>
        <w:t>食用植物油应符合</w:t>
      </w:r>
      <w:r>
        <w:rPr>
          <w:rFonts w:cs="Calibri"/>
          <w:lang w:bidi="ar"/>
        </w:rPr>
        <w:t>GB 2716</w:t>
      </w:r>
      <w:r>
        <w:rPr>
          <w:rFonts w:hint="eastAsia" w:ascii="宋体" w:hAnsi="宋体" w:cs="宋体"/>
          <w:lang w:bidi="ar"/>
        </w:rPr>
        <w:t>的规定。</w:t>
      </w:r>
    </w:p>
    <w:p>
      <w:pPr>
        <w:numPr>
          <w:ilvl w:val="0"/>
          <w:numId w:val="32"/>
        </w:numPr>
      </w:pPr>
      <w:r>
        <w:rPr>
          <w:rFonts w:hint="eastAsia" w:ascii="宋体" w:hAnsi="宋体" w:cs="宋体"/>
          <w:lang w:bidi="ar"/>
        </w:rPr>
        <w:t>食用油脂制品应符合</w:t>
      </w:r>
      <w:r>
        <w:rPr>
          <w:rFonts w:hint="eastAsia"/>
          <w:lang w:bidi="ar"/>
        </w:rPr>
        <w:t xml:space="preserve"> </w:t>
      </w:r>
      <w:r>
        <w:rPr>
          <w:rFonts w:cs="Calibri"/>
          <w:lang w:bidi="ar"/>
        </w:rPr>
        <w:t>GB 15196</w:t>
      </w:r>
      <w:r>
        <w:rPr>
          <w:rFonts w:hint="eastAsia" w:ascii="宋体" w:hAnsi="宋体" w:cs="宋体"/>
          <w:lang w:bidi="ar"/>
        </w:rPr>
        <w:t>的规定。</w:t>
      </w:r>
    </w:p>
    <w:p>
      <w:pPr>
        <w:numPr>
          <w:ilvl w:val="0"/>
          <w:numId w:val="32"/>
        </w:numPr>
      </w:pPr>
      <w:r>
        <w:rPr>
          <w:rFonts w:hint="eastAsia" w:ascii="宋体" w:hAnsi="宋体" w:cs="宋体"/>
          <w:lang w:bidi="ar"/>
        </w:rPr>
        <w:t>酵母抽提物应符合</w:t>
      </w:r>
      <w:r>
        <w:rPr>
          <w:rFonts w:hint="eastAsia"/>
          <w:lang w:bidi="ar"/>
        </w:rPr>
        <w:t xml:space="preserve"> </w:t>
      </w:r>
      <w:r>
        <w:rPr>
          <w:rFonts w:cs="Calibri"/>
          <w:lang w:bidi="ar"/>
        </w:rPr>
        <w:t>GB/T 20886.2</w:t>
      </w:r>
      <w:r>
        <w:rPr>
          <w:rFonts w:hint="eastAsia" w:ascii="宋体" w:hAnsi="宋体" w:cs="宋体"/>
          <w:lang w:bidi="ar"/>
        </w:rPr>
        <w:t>的规定。</w:t>
      </w:r>
    </w:p>
    <w:p>
      <w:pPr>
        <w:numPr>
          <w:ilvl w:val="0"/>
          <w:numId w:val="32"/>
        </w:numPr>
      </w:pPr>
      <w:r>
        <w:rPr>
          <w:rFonts w:hint="eastAsia" w:ascii="宋体" w:hAnsi="宋体" w:cs="宋体"/>
          <w:lang w:bidi="ar"/>
        </w:rPr>
        <w:t>冰乙酸应符合</w:t>
      </w:r>
      <w:r>
        <w:rPr>
          <w:rFonts w:cs="Calibri"/>
          <w:lang w:bidi="ar"/>
        </w:rPr>
        <w:t>GB 1886.10</w:t>
      </w:r>
      <w:r>
        <w:rPr>
          <w:rFonts w:hint="eastAsia" w:ascii="宋体" w:hAnsi="宋体" w:cs="宋体"/>
          <w:lang w:bidi="ar"/>
        </w:rPr>
        <w:t>的规定。</w:t>
      </w:r>
    </w:p>
    <w:p>
      <w:pPr>
        <w:numPr>
          <w:ilvl w:val="0"/>
          <w:numId w:val="32"/>
        </w:numPr>
      </w:pPr>
      <w:r>
        <w:rPr>
          <w:rFonts w:hint="eastAsia" w:ascii="宋体" w:hAnsi="宋体" w:cs="宋体"/>
          <w:lang w:bidi="ar"/>
        </w:rPr>
        <w:t>氧化羟丙基淀粉应符合</w:t>
      </w:r>
      <w:r>
        <w:rPr>
          <w:rFonts w:cs="Calibri"/>
          <w:lang w:bidi="ar"/>
        </w:rPr>
        <w:t>GB 29933</w:t>
      </w:r>
      <w:r>
        <w:rPr>
          <w:rFonts w:hint="eastAsia" w:ascii="宋体" w:hAnsi="宋体" w:cs="宋体"/>
          <w:lang w:bidi="ar"/>
        </w:rPr>
        <w:t>的规定。</w:t>
      </w:r>
    </w:p>
    <w:p>
      <w:pPr>
        <w:numPr>
          <w:ilvl w:val="0"/>
          <w:numId w:val="32"/>
        </w:numPr>
      </w:pPr>
      <w:r>
        <w:rPr>
          <w:rFonts w:hint="eastAsia" w:ascii="宋体" w:hAnsi="宋体" w:cs="宋体"/>
          <w:lang w:bidi="ar"/>
        </w:rPr>
        <w:t>葡萄糖酸</w:t>
      </w:r>
      <w:r>
        <w:rPr>
          <w:rFonts w:cs="Calibri"/>
          <w:lang w:bidi="ar"/>
        </w:rPr>
        <w:t>-</w:t>
      </w:r>
      <w:r>
        <w:rPr>
          <w:rFonts w:hint="eastAsia" w:ascii="宋体" w:hAnsi="宋体" w:cs="宋体"/>
          <w:lang w:bidi="ar"/>
        </w:rPr>
        <w:t>δ</w:t>
      </w:r>
      <w:r>
        <w:rPr>
          <w:rFonts w:cs="Calibri"/>
          <w:lang w:bidi="ar"/>
        </w:rPr>
        <w:t>-</w:t>
      </w:r>
      <w:r>
        <w:rPr>
          <w:rFonts w:hint="eastAsia" w:ascii="宋体" w:hAnsi="宋体" w:cs="宋体"/>
          <w:lang w:bidi="ar"/>
        </w:rPr>
        <w:t>内酯应符合</w:t>
      </w:r>
      <w:r>
        <w:rPr>
          <w:rFonts w:cs="Calibri"/>
          <w:lang w:bidi="ar"/>
        </w:rPr>
        <w:t>GB 5009.276</w:t>
      </w:r>
      <w:r>
        <w:rPr>
          <w:rFonts w:hint="eastAsia" w:ascii="宋体" w:hAnsi="宋体" w:cs="宋体"/>
          <w:lang w:bidi="ar"/>
        </w:rPr>
        <w:t>的规定。</w:t>
      </w:r>
    </w:p>
    <w:p>
      <w:pPr>
        <w:numPr>
          <w:ilvl w:val="0"/>
          <w:numId w:val="32"/>
        </w:numPr>
      </w:pPr>
      <w:r>
        <w:rPr>
          <w:rFonts w:hint="eastAsia" w:ascii="宋体" w:hAnsi="宋体" w:cs="宋体"/>
          <w:lang w:bidi="ar"/>
        </w:rPr>
        <w:t>红曲红应符合</w:t>
      </w:r>
      <w:r>
        <w:rPr>
          <w:rFonts w:cs="Calibri"/>
          <w:lang w:bidi="ar"/>
        </w:rPr>
        <w:t>GB 1886.181</w:t>
      </w:r>
      <w:r>
        <w:rPr>
          <w:rFonts w:hint="eastAsia" w:ascii="宋体" w:hAnsi="宋体" w:cs="宋体"/>
          <w:lang w:bidi="ar"/>
        </w:rPr>
        <w:t>的规定。</w:t>
      </w:r>
    </w:p>
    <w:p>
      <w:pPr>
        <w:numPr>
          <w:ilvl w:val="0"/>
          <w:numId w:val="32"/>
        </w:numPr>
      </w:pPr>
      <w:r>
        <w:rPr>
          <w:rFonts w:hint="eastAsia" w:ascii="宋体" w:hAnsi="宋体" w:cs="宋体"/>
          <w:lang w:bidi="ar"/>
        </w:rPr>
        <w:t>红曲黄色素应符合</w:t>
      </w:r>
      <w:r>
        <w:rPr>
          <w:rFonts w:cs="Calibri"/>
          <w:lang w:bidi="ar"/>
        </w:rPr>
        <w:t>GB 1886.66</w:t>
      </w:r>
      <w:r>
        <w:rPr>
          <w:rFonts w:hint="eastAsia" w:ascii="宋体" w:hAnsi="宋体" w:cs="宋体"/>
          <w:lang w:bidi="ar"/>
        </w:rPr>
        <w:t>的规定。</w:t>
      </w:r>
    </w:p>
    <w:p>
      <w:pPr>
        <w:numPr>
          <w:ilvl w:val="0"/>
          <w:numId w:val="32"/>
        </w:numPr>
      </w:pPr>
      <w:r>
        <w:rPr>
          <w:rFonts w:hint="eastAsia" w:ascii="宋体" w:hAnsi="宋体" w:cs="宋体"/>
          <w:lang w:bidi="ar"/>
        </w:rPr>
        <w:t>栀子黄应符合</w:t>
      </w:r>
      <w:r>
        <w:rPr>
          <w:rFonts w:cs="Calibri"/>
          <w:lang w:bidi="ar"/>
        </w:rPr>
        <w:t>GB 7912</w:t>
      </w:r>
      <w:r>
        <w:rPr>
          <w:rFonts w:hint="eastAsia" w:ascii="宋体" w:hAnsi="宋体" w:cs="宋体"/>
          <w:lang w:bidi="ar"/>
        </w:rPr>
        <w:t>的规定。</w:t>
      </w:r>
    </w:p>
    <w:p>
      <w:pPr>
        <w:numPr>
          <w:ilvl w:val="0"/>
          <w:numId w:val="32"/>
        </w:numPr>
      </w:pPr>
      <w:r>
        <w:rPr>
          <w:rFonts w:hint="eastAsia" w:ascii="宋体" w:hAnsi="宋体" w:cs="宋体"/>
          <w:lang w:bidi="ar"/>
        </w:rPr>
        <w:t>辣椒红应符合</w:t>
      </w:r>
      <w:r>
        <w:rPr>
          <w:rFonts w:cs="Calibri"/>
          <w:lang w:bidi="ar"/>
        </w:rPr>
        <w:t>GB 1886.34</w:t>
      </w:r>
      <w:r>
        <w:rPr>
          <w:rFonts w:hint="eastAsia" w:ascii="宋体" w:hAnsi="宋体" w:cs="宋体"/>
          <w:lang w:bidi="ar"/>
        </w:rPr>
        <w:t>的规定。</w:t>
      </w:r>
    </w:p>
    <w:p>
      <w:pPr>
        <w:numPr>
          <w:ilvl w:val="0"/>
          <w:numId w:val="32"/>
        </w:numPr>
      </w:pPr>
      <w:r>
        <w:rPr>
          <w:rFonts w:cs="Calibri"/>
          <w:lang w:bidi="ar"/>
        </w:rPr>
        <w:t>D</w:t>
      </w:r>
      <w:r>
        <w:rPr>
          <w:rFonts w:hint="eastAsia" w:ascii="宋体" w:hAnsi="宋体" w:cs="宋体"/>
          <w:lang w:bidi="ar"/>
        </w:rPr>
        <w:t>－异抗坏血酸钠应符合</w:t>
      </w:r>
      <w:r>
        <w:rPr>
          <w:rFonts w:cs="Calibri"/>
          <w:lang w:bidi="ar"/>
        </w:rPr>
        <w:t>GB 1886.28</w:t>
      </w:r>
      <w:r>
        <w:rPr>
          <w:rFonts w:hint="eastAsia" w:ascii="宋体" w:hAnsi="宋体" w:cs="宋体"/>
          <w:lang w:bidi="ar"/>
        </w:rPr>
        <w:t>的规定。</w:t>
      </w:r>
    </w:p>
    <w:p>
      <w:pPr>
        <w:numPr>
          <w:ilvl w:val="0"/>
          <w:numId w:val="32"/>
        </w:numPr>
      </w:pPr>
      <w:r>
        <w:rPr>
          <w:rFonts w:hint="eastAsia" w:ascii="宋体" w:hAnsi="宋体" w:cs="宋体"/>
          <w:lang w:bidi="ar"/>
        </w:rPr>
        <w:t>维生素</w:t>
      </w:r>
      <w:r>
        <w:rPr>
          <w:rFonts w:cs="Calibri"/>
          <w:lang w:bidi="ar"/>
        </w:rPr>
        <w:t>C</w:t>
      </w:r>
      <w:r>
        <w:rPr>
          <w:rFonts w:hint="eastAsia" w:ascii="宋体" w:hAnsi="宋体" w:cs="宋体"/>
          <w:lang w:bidi="ar"/>
        </w:rPr>
        <w:t>（抗坏血酸）应符合</w:t>
      </w:r>
      <w:r>
        <w:rPr>
          <w:rFonts w:cs="Calibri"/>
          <w:lang w:bidi="ar"/>
        </w:rPr>
        <w:t>GB 14754</w:t>
      </w:r>
      <w:r>
        <w:rPr>
          <w:rFonts w:hint="eastAsia" w:ascii="宋体" w:hAnsi="宋体" w:cs="宋体"/>
          <w:lang w:bidi="ar"/>
        </w:rPr>
        <w:t>的规定。</w:t>
      </w:r>
    </w:p>
    <w:p>
      <w:pPr>
        <w:numPr>
          <w:ilvl w:val="0"/>
          <w:numId w:val="32"/>
        </w:numPr>
      </w:pPr>
      <w:r>
        <w:rPr>
          <w:rFonts w:hint="eastAsia" w:ascii="宋体" w:hAnsi="宋体" w:cs="宋体"/>
          <w:lang w:bidi="ar"/>
        </w:rPr>
        <w:t>柠檬酸应符合</w:t>
      </w:r>
      <w:r>
        <w:rPr>
          <w:rFonts w:cs="Calibri"/>
          <w:lang w:bidi="ar"/>
        </w:rPr>
        <w:t>GB 1886.235</w:t>
      </w:r>
      <w:r>
        <w:rPr>
          <w:rFonts w:hint="eastAsia" w:ascii="宋体" w:hAnsi="宋体" w:cs="宋体"/>
          <w:lang w:bidi="ar"/>
        </w:rPr>
        <w:t>的规定。</w:t>
      </w:r>
    </w:p>
    <w:p>
      <w:pPr>
        <w:numPr>
          <w:ilvl w:val="0"/>
          <w:numId w:val="32"/>
        </w:numPr>
      </w:pPr>
      <w:r>
        <w:rPr>
          <w:rFonts w:hint="eastAsia" w:ascii="宋体" w:hAnsi="宋体" w:cs="宋体"/>
          <w:lang w:bidi="ar"/>
        </w:rPr>
        <w:t>柠檬酸钠应符合</w:t>
      </w:r>
      <w:r>
        <w:rPr>
          <w:rFonts w:hint="eastAsia"/>
          <w:lang w:bidi="ar"/>
        </w:rPr>
        <w:t xml:space="preserve"> </w:t>
      </w:r>
      <w:r>
        <w:rPr>
          <w:rFonts w:cs="Calibri"/>
          <w:lang w:bidi="ar"/>
        </w:rPr>
        <w:t>GB 1886.25</w:t>
      </w:r>
      <w:r>
        <w:rPr>
          <w:rFonts w:hint="eastAsia" w:ascii="宋体" w:hAnsi="宋体" w:cs="宋体"/>
          <w:lang w:bidi="ar"/>
        </w:rPr>
        <w:t>的规定。</w:t>
      </w:r>
    </w:p>
    <w:p>
      <w:pPr>
        <w:numPr>
          <w:ilvl w:val="0"/>
          <w:numId w:val="32"/>
        </w:numPr>
      </w:pPr>
      <w:r>
        <w:rPr>
          <w:rFonts w:hint="eastAsia" w:ascii="宋体" w:hAnsi="宋体" w:cs="宋体"/>
          <w:lang w:bidi="ar"/>
        </w:rPr>
        <w:t>焦磷酸钠应符合</w:t>
      </w:r>
      <w:r>
        <w:rPr>
          <w:rFonts w:cs="Calibri"/>
          <w:lang w:bidi="ar"/>
        </w:rPr>
        <w:t>GB 1886.339</w:t>
      </w:r>
      <w:r>
        <w:rPr>
          <w:rFonts w:hint="eastAsia" w:ascii="宋体" w:hAnsi="宋体" w:cs="宋体"/>
          <w:lang w:bidi="ar"/>
        </w:rPr>
        <w:t>的规定。</w:t>
      </w:r>
    </w:p>
    <w:p>
      <w:pPr>
        <w:numPr>
          <w:ilvl w:val="0"/>
          <w:numId w:val="32"/>
        </w:numPr>
      </w:pPr>
      <w:r>
        <w:rPr>
          <w:rFonts w:hint="eastAsia" w:ascii="宋体" w:hAnsi="宋体" w:cs="宋体"/>
          <w:lang w:bidi="ar"/>
        </w:rPr>
        <w:t>三聚磷酸钠应符合</w:t>
      </w:r>
      <w:r>
        <w:rPr>
          <w:rFonts w:cs="Calibri"/>
          <w:lang w:bidi="ar"/>
        </w:rPr>
        <w:t>GB 1886.335</w:t>
      </w:r>
      <w:r>
        <w:rPr>
          <w:rFonts w:hint="eastAsia" w:ascii="宋体" w:hAnsi="宋体" w:cs="宋体"/>
          <w:lang w:bidi="ar"/>
        </w:rPr>
        <w:t>的规定。</w:t>
      </w:r>
    </w:p>
    <w:p>
      <w:pPr>
        <w:numPr>
          <w:ilvl w:val="0"/>
          <w:numId w:val="32"/>
        </w:numPr>
      </w:pPr>
      <w:r>
        <w:rPr>
          <w:rFonts w:hint="eastAsia" w:ascii="宋体" w:hAnsi="宋体" w:cs="宋体"/>
          <w:lang w:bidi="ar"/>
        </w:rPr>
        <w:t>六偏磷酸钠应符合</w:t>
      </w:r>
      <w:r>
        <w:rPr>
          <w:rFonts w:cs="Calibri"/>
          <w:lang w:bidi="ar"/>
        </w:rPr>
        <w:t>GB 1886.4</w:t>
      </w:r>
      <w:r>
        <w:rPr>
          <w:rFonts w:hint="eastAsia" w:ascii="宋体" w:hAnsi="宋体" w:cs="宋体"/>
          <w:lang w:bidi="ar"/>
        </w:rPr>
        <w:t>的规定。</w:t>
      </w:r>
    </w:p>
    <w:p>
      <w:pPr>
        <w:numPr>
          <w:ilvl w:val="0"/>
          <w:numId w:val="32"/>
        </w:numPr>
      </w:pPr>
      <w:r>
        <w:rPr>
          <w:rFonts w:hint="eastAsia" w:ascii="宋体" w:hAnsi="宋体" w:cs="宋体"/>
          <w:lang w:bidi="ar"/>
        </w:rPr>
        <w:t>迷迭香提取物应符合</w:t>
      </w:r>
      <w:r>
        <w:rPr>
          <w:rFonts w:cs="Calibri"/>
          <w:lang w:bidi="ar"/>
        </w:rPr>
        <w:t>GB 1886.172</w:t>
      </w:r>
      <w:r>
        <w:rPr>
          <w:rFonts w:hint="eastAsia" w:ascii="宋体" w:hAnsi="宋体" w:cs="宋体"/>
          <w:lang w:bidi="ar"/>
        </w:rPr>
        <w:t>的规定。</w:t>
      </w:r>
    </w:p>
    <w:p>
      <w:pPr>
        <w:numPr>
          <w:ilvl w:val="0"/>
          <w:numId w:val="32"/>
        </w:numPr>
      </w:pPr>
      <w:r>
        <w:rPr>
          <w:rFonts w:hint="eastAsia" w:ascii="宋体" w:hAnsi="宋体" w:cs="宋体"/>
          <w:lang w:bidi="ar"/>
        </w:rPr>
        <w:t>脱氢乙酸应符合</w:t>
      </w:r>
      <w:r>
        <w:rPr>
          <w:rFonts w:hint="eastAsia"/>
          <w:lang w:bidi="ar"/>
        </w:rPr>
        <w:t xml:space="preserve"> </w:t>
      </w:r>
      <w:r>
        <w:rPr>
          <w:rFonts w:cs="Calibri"/>
          <w:lang w:bidi="ar"/>
        </w:rPr>
        <w:t>GB 29223</w:t>
      </w:r>
      <w:r>
        <w:rPr>
          <w:rFonts w:hint="eastAsia" w:ascii="宋体" w:hAnsi="宋体" w:cs="宋体"/>
          <w:lang w:bidi="ar"/>
        </w:rPr>
        <w:t>的规定。</w:t>
      </w:r>
    </w:p>
    <w:p>
      <w:pPr>
        <w:numPr>
          <w:ilvl w:val="0"/>
          <w:numId w:val="32"/>
        </w:numPr>
      </w:pPr>
      <w:r>
        <w:rPr>
          <w:rFonts w:hint="eastAsia" w:ascii="宋体" w:hAnsi="宋体" w:cs="宋体"/>
          <w:lang w:bidi="ar"/>
        </w:rPr>
        <w:t>脱氢乙酸钠应符合</w:t>
      </w:r>
      <w:r>
        <w:rPr>
          <w:rFonts w:hint="eastAsia"/>
          <w:lang w:bidi="ar"/>
        </w:rPr>
        <w:t xml:space="preserve"> </w:t>
      </w:r>
      <w:r>
        <w:rPr>
          <w:rFonts w:cs="Calibri"/>
          <w:lang w:bidi="ar"/>
        </w:rPr>
        <w:t>GB 25547</w:t>
      </w:r>
      <w:r>
        <w:rPr>
          <w:rFonts w:hint="eastAsia" w:ascii="宋体" w:hAnsi="宋体" w:cs="宋体"/>
          <w:lang w:bidi="ar"/>
        </w:rPr>
        <w:t>的规定。</w:t>
      </w:r>
    </w:p>
    <w:p>
      <w:pPr>
        <w:numPr>
          <w:ilvl w:val="0"/>
          <w:numId w:val="32"/>
        </w:numPr>
      </w:pPr>
      <w:r>
        <w:rPr>
          <w:rFonts w:hint="eastAsia" w:ascii="宋体" w:hAnsi="宋体" w:cs="宋体"/>
          <w:lang w:bidi="ar"/>
        </w:rPr>
        <w:t>山梨酸钾应符合</w:t>
      </w:r>
      <w:r>
        <w:rPr>
          <w:rFonts w:cs="Calibri"/>
          <w:lang w:bidi="ar"/>
        </w:rPr>
        <w:t>GB 1886.39</w:t>
      </w:r>
      <w:r>
        <w:rPr>
          <w:rFonts w:hint="eastAsia" w:ascii="宋体" w:hAnsi="宋体" w:cs="宋体"/>
          <w:lang w:bidi="ar"/>
        </w:rPr>
        <w:t>的规定。</w:t>
      </w:r>
    </w:p>
    <w:p>
      <w:pPr>
        <w:numPr>
          <w:ilvl w:val="0"/>
          <w:numId w:val="32"/>
        </w:numPr>
      </w:pPr>
      <w:r>
        <w:rPr>
          <w:rFonts w:hint="eastAsia" w:ascii="宋体" w:hAnsi="宋体" w:cs="宋体"/>
          <w:lang w:bidi="ar"/>
        </w:rPr>
        <w:t>乳酸链球菌素应符合</w:t>
      </w:r>
      <w:r>
        <w:rPr>
          <w:rFonts w:cs="Calibri"/>
          <w:lang w:bidi="ar"/>
        </w:rPr>
        <w:t>GB 1886.231</w:t>
      </w:r>
      <w:r>
        <w:rPr>
          <w:rFonts w:hint="eastAsia" w:ascii="宋体" w:hAnsi="宋体" w:cs="宋体"/>
          <w:lang w:bidi="ar"/>
        </w:rPr>
        <w:t>的规定。</w:t>
      </w:r>
    </w:p>
    <w:p>
      <w:pPr>
        <w:numPr>
          <w:ilvl w:val="0"/>
          <w:numId w:val="32"/>
        </w:numPr>
      </w:pPr>
      <w:r>
        <w:rPr>
          <w:rFonts w:hint="eastAsia" w:ascii="宋体" w:hAnsi="宋体" w:cs="宋体"/>
          <w:lang w:bidi="ar"/>
        </w:rPr>
        <w:t>呈味核苷酸二钠应符合</w:t>
      </w:r>
      <w:r>
        <w:rPr>
          <w:rFonts w:cs="Calibri"/>
          <w:lang w:bidi="ar"/>
        </w:rPr>
        <w:t>GB 1886.171</w:t>
      </w:r>
      <w:r>
        <w:rPr>
          <w:rFonts w:hint="eastAsia" w:ascii="宋体" w:hAnsi="宋体" w:cs="宋体"/>
          <w:lang w:bidi="ar"/>
        </w:rPr>
        <w:t>的规定。</w:t>
      </w:r>
    </w:p>
    <w:p>
      <w:pPr>
        <w:numPr>
          <w:ilvl w:val="0"/>
          <w:numId w:val="32"/>
        </w:numPr>
      </w:pPr>
      <w:r>
        <w:rPr>
          <w:rFonts w:hint="eastAsia" w:ascii="宋体" w:hAnsi="宋体" w:cs="宋体"/>
          <w:lang w:bidi="ar"/>
        </w:rPr>
        <w:t>植酸应符合</w:t>
      </w:r>
      <w:r>
        <w:rPr>
          <w:rFonts w:cs="Calibri"/>
          <w:lang w:bidi="ar"/>
        </w:rPr>
        <w:t>GB 1886.237</w:t>
      </w:r>
      <w:r>
        <w:rPr>
          <w:rFonts w:hint="eastAsia" w:ascii="宋体" w:hAnsi="宋体" w:cs="宋体"/>
          <w:lang w:bidi="ar"/>
        </w:rPr>
        <w:t>的规定。</w:t>
      </w:r>
    </w:p>
    <w:p>
      <w:pPr>
        <w:numPr>
          <w:ilvl w:val="0"/>
          <w:numId w:val="32"/>
        </w:numPr>
      </w:pPr>
      <w:r>
        <w:rPr>
          <w:rFonts w:hint="eastAsia" w:ascii="宋体" w:hAnsi="宋体" w:cs="宋体"/>
          <w:lang w:bidi="ar"/>
        </w:rPr>
        <w:t>碳酸钠应符合</w:t>
      </w:r>
      <w:r>
        <w:rPr>
          <w:rFonts w:cs="Calibri"/>
          <w:lang w:bidi="ar"/>
        </w:rPr>
        <w:t>GB 1886.1</w:t>
      </w:r>
      <w:r>
        <w:rPr>
          <w:rFonts w:hint="eastAsia" w:ascii="宋体" w:hAnsi="宋体" w:cs="宋体"/>
          <w:lang w:bidi="ar"/>
        </w:rPr>
        <w:t>的规定。</w:t>
      </w:r>
    </w:p>
    <w:p>
      <w:pPr>
        <w:numPr>
          <w:ilvl w:val="0"/>
          <w:numId w:val="32"/>
        </w:numPr>
      </w:pPr>
      <w:r>
        <w:rPr>
          <w:rFonts w:hint="eastAsia" w:ascii="宋体" w:hAnsi="宋体" w:cs="宋体"/>
          <w:lang w:bidi="ar"/>
        </w:rPr>
        <w:t>碳酸氢钠应符合</w:t>
      </w:r>
      <w:r>
        <w:rPr>
          <w:rFonts w:cs="Calibri"/>
          <w:lang w:bidi="ar"/>
        </w:rPr>
        <w:t>GB 1886.2</w:t>
      </w:r>
      <w:r>
        <w:rPr>
          <w:rFonts w:hint="eastAsia" w:ascii="宋体" w:hAnsi="宋体" w:cs="宋体"/>
          <w:lang w:bidi="ar"/>
        </w:rPr>
        <w:t>的规定。</w:t>
      </w:r>
    </w:p>
    <w:p>
      <w:pPr>
        <w:numPr>
          <w:ilvl w:val="0"/>
          <w:numId w:val="32"/>
        </w:numPr>
      </w:pPr>
      <w:r>
        <w:rPr>
          <w:rFonts w:cs="Calibri"/>
          <w:lang w:bidi="ar"/>
        </w:rPr>
        <w:t>DL-</w:t>
      </w:r>
      <w:r>
        <w:rPr>
          <w:rFonts w:hint="eastAsia" w:ascii="宋体" w:hAnsi="宋体" w:cs="宋体"/>
          <w:lang w:bidi="ar"/>
        </w:rPr>
        <w:t>苹果酸应符合</w:t>
      </w:r>
      <w:r>
        <w:rPr>
          <w:rFonts w:cs="Calibri"/>
          <w:lang w:bidi="ar"/>
        </w:rPr>
        <w:t>GB 25544</w:t>
      </w:r>
      <w:r>
        <w:rPr>
          <w:rFonts w:hint="eastAsia" w:ascii="宋体" w:hAnsi="宋体" w:cs="宋体"/>
          <w:lang w:bidi="ar"/>
        </w:rPr>
        <w:t>的规定。</w:t>
      </w:r>
    </w:p>
    <w:p>
      <w:pPr>
        <w:numPr>
          <w:ilvl w:val="0"/>
          <w:numId w:val="32"/>
        </w:numPr>
      </w:pPr>
      <w:r>
        <w:rPr>
          <w:rFonts w:hint="eastAsia" w:ascii="宋体" w:hAnsi="宋体" w:cs="宋体"/>
          <w:lang w:bidi="ar"/>
        </w:rPr>
        <w:t>甘油应符合</w:t>
      </w:r>
      <w:r>
        <w:rPr>
          <w:rFonts w:cs="Calibri"/>
          <w:lang w:bidi="ar"/>
        </w:rPr>
        <w:t>GB 29950</w:t>
      </w:r>
      <w:r>
        <w:rPr>
          <w:rFonts w:hint="eastAsia" w:ascii="宋体" w:hAnsi="宋体" w:cs="宋体"/>
          <w:lang w:bidi="ar"/>
        </w:rPr>
        <w:t>的规定。</w:t>
      </w:r>
    </w:p>
    <w:p>
      <w:pPr>
        <w:numPr>
          <w:ilvl w:val="0"/>
          <w:numId w:val="32"/>
        </w:numPr>
      </w:pPr>
      <w:r>
        <w:rPr>
          <w:rFonts w:hint="eastAsia" w:ascii="宋体" w:hAnsi="宋体" w:cs="宋体"/>
          <w:lang w:bidi="ar"/>
        </w:rPr>
        <w:t>磷脂应符合</w:t>
      </w:r>
      <w:r>
        <w:rPr>
          <w:rFonts w:cs="Calibri"/>
          <w:lang w:bidi="ar"/>
        </w:rPr>
        <w:t>GB 28401</w:t>
      </w:r>
      <w:r>
        <w:rPr>
          <w:rFonts w:hint="eastAsia" w:ascii="宋体" w:hAnsi="宋体" w:cs="宋体"/>
          <w:lang w:bidi="ar"/>
        </w:rPr>
        <w:t>的规定。</w:t>
      </w:r>
    </w:p>
    <w:p>
      <w:pPr>
        <w:numPr>
          <w:ilvl w:val="0"/>
          <w:numId w:val="32"/>
        </w:numPr>
      </w:pPr>
      <w:r>
        <w:rPr>
          <w:rFonts w:hint="eastAsia" w:ascii="宋体" w:hAnsi="宋体" w:cs="宋体"/>
          <w:lang w:bidi="ar"/>
        </w:rPr>
        <w:t>双乙酰酒石酸单双甘油酯应符合</w:t>
      </w:r>
      <w:r>
        <w:rPr>
          <w:rFonts w:cs="Calibri"/>
          <w:lang w:bidi="ar"/>
        </w:rPr>
        <w:t>GB 25539</w:t>
      </w:r>
      <w:r>
        <w:rPr>
          <w:rFonts w:hint="eastAsia" w:ascii="宋体" w:hAnsi="宋体" w:cs="宋体"/>
          <w:lang w:bidi="ar"/>
        </w:rPr>
        <w:t>的规定。</w:t>
      </w:r>
    </w:p>
    <w:p>
      <w:pPr>
        <w:numPr>
          <w:ilvl w:val="0"/>
          <w:numId w:val="32"/>
        </w:numPr>
      </w:pPr>
      <w:r>
        <w:rPr>
          <w:rFonts w:hint="eastAsia" w:ascii="宋体" w:hAnsi="宋体" w:cs="宋体"/>
          <w:lang w:bidi="ar"/>
        </w:rPr>
        <w:t>单，双甘油脂肪酸酯应符合</w:t>
      </w:r>
      <w:r>
        <w:rPr>
          <w:rFonts w:hint="eastAsia"/>
          <w:lang w:bidi="ar"/>
        </w:rPr>
        <w:t xml:space="preserve"> </w:t>
      </w:r>
      <w:r>
        <w:rPr>
          <w:rFonts w:cs="Calibri"/>
          <w:lang w:bidi="ar"/>
        </w:rPr>
        <w:t>GB 1886.65</w:t>
      </w:r>
      <w:r>
        <w:rPr>
          <w:rFonts w:hint="eastAsia" w:ascii="宋体" w:hAnsi="宋体" w:cs="宋体"/>
          <w:lang w:bidi="ar"/>
        </w:rPr>
        <w:t>的规定。</w:t>
      </w:r>
    </w:p>
    <w:p>
      <w:pPr>
        <w:numPr>
          <w:ilvl w:val="0"/>
          <w:numId w:val="32"/>
        </w:numPr>
      </w:pPr>
      <w:r>
        <w:rPr>
          <w:rFonts w:hint="eastAsia" w:ascii="宋体" w:hAnsi="宋体" w:cs="宋体"/>
          <w:lang w:bidi="ar"/>
        </w:rPr>
        <w:t>香辛料应符合</w:t>
      </w:r>
      <w:r>
        <w:rPr>
          <w:rFonts w:cs="Calibri"/>
          <w:lang w:bidi="ar"/>
        </w:rPr>
        <w:t>GB/T 15691</w:t>
      </w:r>
      <w:r>
        <w:rPr>
          <w:rFonts w:hint="eastAsia" w:ascii="宋体" w:hAnsi="宋体" w:cs="宋体"/>
          <w:lang w:bidi="ar"/>
        </w:rPr>
        <w:t>的规定。</w:t>
      </w:r>
    </w:p>
    <w:p>
      <w:pPr>
        <w:numPr>
          <w:ilvl w:val="0"/>
          <w:numId w:val="32"/>
        </w:numPr>
      </w:pPr>
      <w:r>
        <w:rPr>
          <w:rFonts w:hint="eastAsia" w:ascii="宋体" w:hAnsi="宋体" w:cs="宋体"/>
          <w:lang w:bidi="ar"/>
        </w:rPr>
        <w:t>食品用香精应符合</w:t>
      </w:r>
      <w:r>
        <w:rPr>
          <w:rFonts w:cs="Calibri"/>
          <w:lang w:bidi="ar"/>
        </w:rPr>
        <w:t>GB 30616</w:t>
      </w:r>
      <w:r>
        <w:rPr>
          <w:rFonts w:hint="eastAsia" w:ascii="宋体" w:hAnsi="宋体" w:cs="宋体"/>
          <w:lang w:bidi="ar"/>
        </w:rPr>
        <w:t>的规定。</w:t>
      </w:r>
    </w:p>
    <w:p>
      <w:pPr>
        <w:numPr>
          <w:ilvl w:val="0"/>
          <w:numId w:val="32"/>
        </w:numPr>
      </w:pPr>
      <w:r>
        <w:rPr>
          <w:rFonts w:hint="eastAsia" w:ascii="宋体" w:hAnsi="宋体" w:cs="宋体"/>
          <w:lang w:bidi="ar"/>
        </w:rPr>
        <w:t>食品用香料应符合</w:t>
      </w:r>
      <w:r>
        <w:rPr>
          <w:rFonts w:cs="Calibri"/>
          <w:lang w:bidi="ar"/>
        </w:rPr>
        <w:t>GB 29938</w:t>
      </w:r>
      <w:r>
        <w:rPr>
          <w:rFonts w:hint="eastAsia" w:ascii="宋体" w:hAnsi="宋体" w:cs="宋体"/>
          <w:lang w:bidi="ar"/>
        </w:rPr>
        <w:t>的规定。</w:t>
      </w:r>
    </w:p>
    <w:p/>
    <w:p>
      <w:pPr>
        <w:pStyle w:val="231"/>
        <w:spacing w:line="440" w:lineRule="exact"/>
        <w:rPr>
          <w:rFonts w:ascii="Times New Roman" w:hAnsi="Times New Roman" w:cs="Times New Roman"/>
          <w:b/>
          <w:bCs/>
          <w:sz w:val="21"/>
          <w:szCs w:val="21"/>
        </w:rPr>
      </w:pPr>
      <w:r>
        <w:rPr>
          <w:rFonts w:hint="eastAsia" w:ascii="Times New Roman" w:hAnsi="Times New Roman" w:cs="Times New Roman"/>
          <w:b/>
          <w:bCs/>
          <w:sz w:val="21"/>
          <w:szCs w:val="21"/>
        </w:rPr>
        <w:t>4</w:t>
      </w:r>
      <w:r>
        <w:rPr>
          <w:rFonts w:ascii="Times New Roman" w:hAnsi="Times New Roman" w:cs="Times New Roman"/>
          <w:b/>
          <w:bCs/>
          <w:sz w:val="21"/>
          <w:szCs w:val="21"/>
        </w:rPr>
        <w:t xml:space="preserve">.2  </w:t>
      </w:r>
      <w:r>
        <w:rPr>
          <w:rFonts w:cs="Times New Roman"/>
          <w:b/>
          <w:bCs/>
          <w:sz w:val="21"/>
          <w:szCs w:val="21"/>
        </w:rPr>
        <w:t>感官指标</w:t>
      </w:r>
    </w:p>
    <w:p>
      <w:pPr>
        <w:pStyle w:val="57"/>
        <w:ind w:firstLine="420"/>
        <w:rPr>
          <w:rFonts w:ascii="Times New Roman"/>
          <w:szCs w:val="21"/>
        </w:rPr>
      </w:pPr>
      <w:r>
        <w:rPr>
          <w:rFonts w:hint="eastAsia" w:hAnsi="宋体"/>
          <w:szCs w:val="21"/>
        </w:rPr>
        <w:t>古法盐焗禽肉制品（古法客家盐焗禽肉制品）、古法盐焗畜肉制品（古法客家盐焗畜肉制品）、盐焗禽肉制品（客家盐焗禽肉制品）、盐焗畜肉制品（客家盐焗畜肉制品）</w:t>
      </w:r>
      <w:r>
        <w:rPr>
          <w:szCs w:val="21"/>
        </w:rPr>
        <w:t>应符合表</w:t>
      </w:r>
      <w:r>
        <w:rPr>
          <w:rFonts w:ascii="Times New Roman"/>
          <w:szCs w:val="21"/>
        </w:rPr>
        <w:t>1</w:t>
      </w:r>
      <w:r>
        <w:rPr>
          <w:szCs w:val="21"/>
        </w:rPr>
        <w:t>的规定。</w:t>
      </w:r>
    </w:p>
    <w:p>
      <w:pPr>
        <w:pStyle w:val="231"/>
        <w:spacing w:line="440" w:lineRule="exact"/>
        <w:jc w:val="center"/>
        <w:rPr>
          <w:sz w:val="21"/>
          <w:szCs w:val="21"/>
        </w:rPr>
      </w:pPr>
      <w:r>
        <w:rPr>
          <w:sz w:val="21"/>
          <w:szCs w:val="21"/>
        </w:rPr>
        <w:t>表 1</w:t>
      </w:r>
      <w:r>
        <w:rPr>
          <w:rFonts w:hint="eastAsia"/>
          <w:sz w:val="21"/>
          <w:szCs w:val="21"/>
        </w:rPr>
        <w:t>感官要求</w:t>
      </w:r>
    </w:p>
    <w:tbl>
      <w:tblPr>
        <w:tblStyle w:val="2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60" w:type="dxa"/>
            <w:tcBorders>
              <w:top w:val="single" w:color="auto" w:sz="4" w:space="0"/>
              <w:left w:val="single" w:color="auto" w:sz="4" w:space="0"/>
              <w:bottom w:val="single" w:color="auto" w:sz="4" w:space="0"/>
              <w:right w:val="single" w:color="auto" w:sz="4" w:space="0"/>
            </w:tcBorders>
          </w:tcPr>
          <w:p>
            <w:pPr>
              <w:pStyle w:val="231"/>
              <w:spacing w:line="440" w:lineRule="exact"/>
              <w:jc w:val="center"/>
              <w:rPr>
                <w:rFonts w:ascii="Times New Roman" w:hAnsi="Times New Roman" w:cs="Times New Roman"/>
                <w:sz w:val="21"/>
                <w:szCs w:val="21"/>
              </w:rPr>
            </w:pPr>
            <w:r>
              <w:rPr>
                <w:rFonts w:cs="Times New Roman"/>
                <w:sz w:val="21"/>
                <w:szCs w:val="21"/>
              </w:rPr>
              <w:t>项</w:t>
            </w:r>
            <w:r>
              <w:rPr>
                <w:rFonts w:ascii="Times New Roman" w:hAnsi="Times New Roman" w:cs="Times New Roman"/>
                <w:sz w:val="21"/>
                <w:szCs w:val="21"/>
              </w:rPr>
              <w:t xml:space="preserve"> </w:t>
            </w:r>
            <w:r>
              <w:rPr>
                <w:rFonts w:cs="Times New Roman"/>
                <w:sz w:val="21"/>
                <w:szCs w:val="21"/>
              </w:rPr>
              <w:t>目</w:t>
            </w:r>
          </w:p>
        </w:tc>
        <w:tc>
          <w:tcPr>
            <w:tcW w:w="6450" w:type="dxa"/>
            <w:tcBorders>
              <w:top w:val="single" w:color="auto" w:sz="4" w:space="0"/>
              <w:left w:val="single" w:color="auto" w:sz="4" w:space="0"/>
              <w:bottom w:val="single" w:color="auto" w:sz="4" w:space="0"/>
              <w:right w:val="single" w:color="auto" w:sz="4" w:space="0"/>
            </w:tcBorders>
          </w:tcPr>
          <w:p>
            <w:pPr>
              <w:pStyle w:val="231"/>
              <w:spacing w:line="440" w:lineRule="exact"/>
              <w:jc w:val="center"/>
              <w:rPr>
                <w:rFonts w:cs="Times New Roman"/>
                <w:sz w:val="21"/>
                <w:szCs w:val="21"/>
              </w:rPr>
            </w:pPr>
            <w:r>
              <w:rPr>
                <w:rFonts w:cs="Times New Roman"/>
                <w:sz w:val="21"/>
                <w:szCs w:val="21"/>
              </w:rPr>
              <w:t>指</w:t>
            </w:r>
            <w:r>
              <w:rPr>
                <w:rFonts w:ascii="Times New Roman" w:hAnsi="Times New Roman" w:cs="Times New Roman"/>
                <w:sz w:val="21"/>
                <w:szCs w:val="21"/>
              </w:rPr>
              <w:t xml:space="preserve"> </w:t>
            </w:r>
            <w:r>
              <w:rPr>
                <w:rFonts w:cs="Times New Roman"/>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6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ascii="Times New Roman" w:hAnsi="Times New Roman" w:cs="Times New Roman"/>
                <w:sz w:val="21"/>
                <w:szCs w:val="21"/>
              </w:rPr>
            </w:pPr>
            <w:r>
              <w:rPr>
                <w:rFonts w:cs="Times New Roman"/>
                <w:sz w:val="21"/>
                <w:szCs w:val="21"/>
              </w:rPr>
              <w:t>色泽</w:t>
            </w:r>
          </w:p>
        </w:tc>
        <w:tc>
          <w:tcPr>
            <w:tcW w:w="645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cs="Times New Roman"/>
                <w:sz w:val="21"/>
                <w:szCs w:val="21"/>
              </w:rPr>
            </w:pPr>
            <w:r>
              <w:rPr>
                <w:rFonts w:hint="eastAsia" w:cs="Times New Roman"/>
                <w:sz w:val="21"/>
                <w:szCs w:val="21"/>
              </w:rPr>
              <w:t>具有该品种应有色泽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6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ascii="Times New Roman" w:hAnsi="Times New Roman" w:cs="Times New Roman"/>
                <w:sz w:val="21"/>
                <w:szCs w:val="21"/>
              </w:rPr>
            </w:pPr>
            <w:r>
              <w:rPr>
                <w:rFonts w:cs="Times New Roman"/>
                <w:sz w:val="21"/>
                <w:szCs w:val="21"/>
              </w:rPr>
              <w:t>组织形态</w:t>
            </w:r>
          </w:p>
        </w:tc>
        <w:tc>
          <w:tcPr>
            <w:tcW w:w="645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cs="Times New Roman"/>
                <w:sz w:val="21"/>
                <w:szCs w:val="21"/>
              </w:rPr>
            </w:pPr>
            <w:r>
              <w:rPr>
                <w:rFonts w:hint="eastAsia" w:cs="Times New Roman"/>
                <w:sz w:val="21"/>
                <w:szCs w:val="21"/>
              </w:rPr>
              <w:t>具有产品应有的状态，无焦斑和霉斑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6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ascii="Times New Roman" w:hAnsi="Times New Roman" w:cs="Times New Roman"/>
                <w:sz w:val="21"/>
                <w:szCs w:val="21"/>
              </w:rPr>
            </w:pPr>
            <w:r>
              <w:rPr>
                <w:rFonts w:cs="Times New Roman"/>
                <w:sz w:val="21"/>
                <w:szCs w:val="21"/>
              </w:rPr>
              <w:t>滋味及气味</w:t>
            </w:r>
          </w:p>
        </w:tc>
        <w:tc>
          <w:tcPr>
            <w:tcW w:w="645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cs="Times New Roman"/>
                <w:sz w:val="21"/>
                <w:szCs w:val="21"/>
              </w:rPr>
            </w:pPr>
            <w:r>
              <w:rPr>
                <w:rFonts w:cs="Times New Roman"/>
                <w:sz w:val="21"/>
                <w:szCs w:val="21"/>
              </w:rPr>
              <w:t>具有产品</w:t>
            </w:r>
            <w:r>
              <w:rPr>
                <w:rFonts w:hint="eastAsia" w:cs="Times New Roman"/>
                <w:sz w:val="21"/>
                <w:szCs w:val="21"/>
              </w:rPr>
              <w:t>应有</w:t>
            </w:r>
            <w:r>
              <w:rPr>
                <w:rFonts w:cs="Times New Roman"/>
                <w:sz w:val="21"/>
                <w:szCs w:val="21"/>
              </w:rPr>
              <w:t>的的滋味及气味</w:t>
            </w:r>
            <w:r>
              <w:rPr>
                <w:rFonts w:hint="eastAsia" w:cs="Times New Roman"/>
                <w:sz w:val="21"/>
                <w:szCs w:val="21"/>
              </w:rPr>
              <w:t>，</w:t>
            </w:r>
            <w:r>
              <w:rPr>
                <w:rFonts w:cs="Times New Roman"/>
                <w:sz w:val="21"/>
                <w:szCs w:val="21"/>
              </w:rPr>
              <w:t>无异味、</w:t>
            </w:r>
            <w:r>
              <w:rPr>
                <w:rFonts w:hint="eastAsia" w:cs="Times New Roman"/>
                <w:sz w:val="21"/>
                <w:szCs w:val="21"/>
              </w:rPr>
              <w:t>无异嗅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6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ascii="Times New Roman" w:cs="Times New Roman"/>
                <w:sz w:val="21"/>
                <w:szCs w:val="21"/>
              </w:rPr>
            </w:pPr>
            <w:r>
              <w:rPr>
                <w:rFonts w:hint="eastAsia" w:cs="Times New Roman"/>
                <w:sz w:val="21"/>
                <w:szCs w:val="21"/>
              </w:rPr>
              <w:t>杂质</w:t>
            </w:r>
          </w:p>
        </w:tc>
        <w:tc>
          <w:tcPr>
            <w:tcW w:w="6450" w:type="dxa"/>
            <w:tcBorders>
              <w:top w:val="single" w:color="auto" w:sz="4" w:space="0"/>
              <w:left w:val="single" w:color="auto" w:sz="4" w:space="0"/>
              <w:bottom w:val="single" w:color="auto" w:sz="4" w:space="0"/>
              <w:right w:val="single" w:color="auto" w:sz="4" w:space="0"/>
            </w:tcBorders>
            <w:vAlign w:val="center"/>
          </w:tcPr>
          <w:p>
            <w:pPr>
              <w:pStyle w:val="231"/>
              <w:spacing w:line="440" w:lineRule="exact"/>
              <w:jc w:val="center"/>
              <w:rPr>
                <w:rFonts w:cs="Times New Roman"/>
                <w:sz w:val="21"/>
                <w:szCs w:val="21"/>
              </w:rPr>
            </w:pPr>
            <w:r>
              <w:rPr>
                <w:rFonts w:hint="eastAsia" w:cs="Times New Roman"/>
                <w:sz w:val="21"/>
                <w:szCs w:val="21"/>
              </w:rPr>
              <w:t>无正常视力可见外来异物</w:t>
            </w:r>
          </w:p>
        </w:tc>
      </w:tr>
    </w:tbl>
    <w:p>
      <w:pPr>
        <w:pStyle w:val="231"/>
        <w:spacing w:line="440" w:lineRule="exact"/>
        <w:rPr>
          <w:rFonts w:ascii="Times New Roman"/>
          <w:bCs/>
          <w:sz w:val="21"/>
          <w:szCs w:val="21"/>
        </w:rPr>
      </w:pPr>
      <w:r>
        <w:rPr>
          <w:rFonts w:hint="eastAsia" w:ascii="Times New Roman"/>
          <w:bCs/>
          <w:sz w:val="21"/>
          <w:szCs w:val="21"/>
        </w:rPr>
        <w:t xml:space="preserve"> </w:t>
      </w:r>
    </w:p>
    <w:p>
      <w:pPr>
        <w:pStyle w:val="231"/>
        <w:spacing w:line="440" w:lineRule="exact"/>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 xml:space="preserve">.3  </w:t>
      </w:r>
      <w:r>
        <w:rPr>
          <w:rFonts w:cs="Times New Roman"/>
          <w:bCs/>
          <w:sz w:val="21"/>
          <w:szCs w:val="21"/>
        </w:rPr>
        <w:t>理化指标</w:t>
      </w:r>
      <w:r>
        <w:rPr>
          <w:rFonts w:hint="eastAsia" w:cs="Times New Roman"/>
          <w:bCs/>
          <w:sz w:val="21"/>
          <w:szCs w:val="21"/>
        </w:rPr>
        <w:t>和卫生指标</w:t>
      </w:r>
    </w:p>
    <w:p>
      <w:pPr>
        <w:pStyle w:val="231"/>
        <w:spacing w:line="440" w:lineRule="exact"/>
        <w:ind w:firstLine="420" w:firstLineChars="200"/>
        <w:rPr>
          <w:rFonts w:ascii="Times New Roman" w:hAnsi="Times New Roman" w:cs="Times New Roman"/>
          <w:sz w:val="21"/>
          <w:szCs w:val="21"/>
        </w:rPr>
      </w:pPr>
      <w:r>
        <w:rPr>
          <w:rFonts w:cs="Times New Roman"/>
          <w:sz w:val="21"/>
          <w:szCs w:val="21"/>
        </w:rPr>
        <w:t>应符合表</w:t>
      </w:r>
      <w:r>
        <w:rPr>
          <w:rFonts w:ascii="Times New Roman" w:hAnsi="Times New Roman" w:cs="Times New Roman"/>
          <w:sz w:val="21"/>
          <w:szCs w:val="21"/>
        </w:rPr>
        <w:t>2</w:t>
      </w:r>
      <w:r>
        <w:rPr>
          <w:rFonts w:cs="Times New Roman"/>
          <w:sz w:val="21"/>
          <w:szCs w:val="21"/>
        </w:rPr>
        <w:t>的规定。</w:t>
      </w:r>
    </w:p>
    <w:p>
      <w:pPr>
        <w:pStyle w:val="231"/>
        <w:spacing w:line="440" w:lineRule="exact"/>
        <w:jc w:val="center"/>
        <w:rPr>
          <w:rFonts w:ascii="Times New Roman"/>
          <w:sz w:val="21"/>
          <w:szCs w:val="21"/>
        </w:rPr>
      </w:pPr>
      <w:r>
        <w:rPr>
          <w:rFonts w:cs="Times New Roman"/>
          <w:sz w:val="21"/>
          <w:szCs w:val="21"/>
        </w:rPr>
        <w:t>表</w:t>
      </w:r>
      <w:r>
        <w:rPr>
          <w:rFonts w:ascii="Times New Roman" w:hAnsi="Times New Roman" w:cs="Times New Roman"/>
          <w:sz w:val="21"/>
          <w:szCs w:val="21"/>
        </w:rPr>
        <w:t xml:space="preserve"> 2</w:t>
      </w:r>
      <w:r>
        <w:rPr>
          <w:rFonts w:hint="eastAsia" w:ascii="Times New Roman"/>
          <w:sz w:val="21"/>
          <w:szCs w:val="21"/>
        </w:rPr>
        <w:t xml:space="preserve"> </w:t>
      </w:r>
      <w:r>
        <w:rPr>
          <w:rFonts w:hint="eastAsia"/>
          <w:sz w:val="21"/>
          <w:szCs w:val="21"/>
        </w:rPr>
        <w:t>理化指标和卫生指标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cs="Times New Roman"/>
                <w:sz w:val="21"/>
                <w:szCs w:val="21"/>
              </w:rPr>
              <w:t>项</w:t>
            </w:r>
            <w:r>
              <w:rPr>
                <w:rFonts w:ascii="Times New Roman" w:hAnsi="Times New Roman" w:cs="Times New Roman"/>
                <w:sz w:val="21"/>
                <w:szCs w:val="21"/>
              </w:rPr>
              <w:t xml:space="preserve"> </w:t>
            </w:r>
            <w:r>
              <w:rPr>
                <w:rFonts w:cs="Times New Roman"/>
                <w:sz w:val="21"/>
                <w:szCs w:val="21"/>
              </w:rPr>
              <w:t>目</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cs="Times New Roman"/>
                <w:sz w:val="21"/>
                <w:szCs w:val="21"/>
              </w:rPr>
              <w:t>指</w:t>
            </w:r>
            <w:r>
              <w:rPr>
                <w:rFonts w:ascii="Times New Roman" w:hAnsi="Times New Roman" w:cs="Times New Roman"/>
                <w:sz w:val="21"/>
                <w:szCs w:val="21"/>
              </w:rPr>
              <w:t xml:space="preserve"> </w:t>
            </w:r>
            <w:r>
              <w:rPr>
                <w:rFonts w:cs="Times New Roman"/>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hAnsi="Times New Roman" w:cs="Times New Roman"/>
                <w:sz w:val="21"/>
                <w:szCs w:val="21"/>
              </w:rPr>
            </w:pPr>
            <w:r>
              <w:rPr>
                <w:rFonts w:cs="Times New Roman"/>
                <w:sz w:val="21"/>
                <w:szCs w:val="21"/>
              </w:rPr>
              <w:t>水分</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ascii="Times New Roman" w:hAnsi="Times New Roman" w:cs="Times New Roman"/>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hAnsi="Times New Roman" w:cs="Times New Roman"/>
                <w:sz w:val="21"/>
                <w:szCs w:val="21"/>
              </w:rPr>
            </w:pPr>
            <w:r>
              <w:rPr>
                <w:rFonts w:hint="eastAsia" w:cs="Times New Roman"/>
                <w:sz w:val="21"/>
                <w:szCs w:val="21"/>
              </w:rPr>
              <w:t>氯化物（以</w:t>
            </w:r>
            <w:r>
              <w:rPr>
                <w:rFonts w:hint="eastAsia" w:ascii="Times New Roman" w:hAnsi="Times New Roman" w:cs="Times New Roman"/>
                <w:sz w:val="21"/>
                <w:szCs w:val="21"/>
              </w:rPr>
              <w:t>Cl</w:t>
            </w:r>
            <w:r>
              <w:rPr>
                <w:rFonts w:hint="eastAsia" w:ascii="Times New Roman" w:hAnsi="Times New Roman" w:cs="Times New Roman"/>
                <w:sz w:val="21"/>
                <w:szCs w:val="21"/>
                <w:vertAlign w:val="superscript"/>
              </w:rPr>
              <w:t>-</w:t>
            </w:r>
            <w:r>
              <w:rPr>
                <w:rFonts w:hint="eastAsia" w:cs="Times New Roman"/>
                <w:sz w:val="21"/>
                <w:szCs w:val="21"/>
              </w:rPr>
              <w:t>）</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g/100g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cs="Times New Roman"/>
                <w:sz w:val="21"/>
                <w:szCs w:val="21"/>
              </w:rPr>
            </w:pPr>
            <w:r>
              <w:rPr>
                <w:rFonts w:hint="eastAsia" w:ascii="Times New Roman" w:hAnsi="Times New Roman" w:cs="Times New Roman"/>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cs="Times New Roman"/>
                <w:sz w:val="21"/>
                <w:szCs w:val="21"/>
              </w:rPr>
            </w:pPr>
            <w:r>
              <w:rPr>
                <w:rFonts w:cs="Times New Roman"/>
                <w:sz w:val="21"/>
                <w:szCs w:val="21"/>
              </w:rPr>
              <w:t>铅（</w:t>
            </w:r>
            <w:r>
              <w:rPr>
                <w:rFonts w:hint="eastAsia" w:cs="Times New Roman"/>
                <w:sz w:val="21"/>
                <w:szCs w:val="21"/>
              </w:rPr>
              <w:t>以</w:t>
            </w:r>
            <w:r>
              <w:rPr>
                <w:rFonts w:ascii="Times New Roman" w:hAnsi="Times New Roman" w:cs="Times New Roman"/>
                <w:sz w:val="21"/>
                <w:szCs w:val="21"/>
              </w:rPr>
              <w:t>Pb</w:t>
            </w:r>
            <w:r>
              <w:rPr>
                <w:rFonts w:hint="eastAsia" w:cs="Times New Roman"/>
                <w:sz w:val="21"/>
                <w:szCs w:val="21"/>
              </w:rPr>
              <w:t>计</w:t>
            </w:r>
            <w:r>
              <w:rPr>
                <w:rFonts w:cs="Times New Roman"/>
                <w:sz w:val="21"/>
                <w:szCs w:val="21"/>
              </w:rPr>
              <w:t>）</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mg/kg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 xml:space="preserve">             ≤</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hAnsi="Times New Roman" w:cs="Times New Roman"/>
                <w:sz w:val="21"/>
                <w:szCs w:val="21"/>
              </w:rPr>
            </w:pPr>
            <w:r>
              <w:rPr>
                <w:rFonts w:hint="eastAsia" w:cs="Times New Roman"/>
                <w:sz w:val="21"/>
                <w:szCs w:val="21"/>
              </w:rPr>
              <w:t>总</w:t>
            </w:r>
            <w:r>
              <w:rPr>
                <w:rFonts w:cs="Times New Roman"/>
                <w:sz w:val="21"/>
                <w:szCs w:val="21"/>
              </w:rPr>
              <w:t>砷</w:t>
            </w:r>
            <w:r>
              <w:rPr>
                <w:rFonts w:hint="eastAsia" w:ascii="Times New Roman" w:hAnsi="Times New Roman" w:cs="Times New Roman"/>
                <w:sz w:val="21"/>
                <w:szCs w:val="21"/>
              </w:rPr>
              <w:t>(</w:t>
            </w:r>
            <w:r>
              <w:rPr>
                <w:rFonts w:hint="eastAsia" w:cs="Times New Roman"/>
                <w:sz w:val="21"/>
                <w:szCs w:val="21"/>
              </w:rPr>
              <w:t>以</w:t>
            </w:r>
            <w:r>
              <w:rPr>
                <w:rFonts w:hint="eastAsia" w:ascii="Times New Roman" w:hAnsi="Times New Roman" w:cs="Times New Roman"/>
                <w:sz w:val="21"/>
                <w:szCs w:val="21"/>
              </w:rPr>
              <w:t>As</w:t>
            </w:r>
            <w:r>
              <w:rPr>
                <w:rFonts w:hint="eastAsia" w:cs="Times New Roman"/>
                <w:sz w:val="21"/>
                <w:szCs w:val="21"/>
              </w:rPr>
              <w:t>计</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mg/kg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hAnsi="Times New Roman" w:cs="Times New Roman"/>
                <w:sz w:val="21"/>
                <w:szCs w:val="21"/>
              </w:rPr>
            </w:pPr>
            <w:r>
              <w:rPr>
                <w:rFonts w:cs="Times New Roman"/>
                <w:sz w:val="21"/>
                <w:szCs w:val="21"/>
              </w:rPr>
              <w:t>镉（</w:t>
            </w:r>
            <w:r>
              <w:rPr>
                <w:rFonts w:hint="eastAsia" w:cs="Times New Roman"/>
                <w:sz w:val="21"/>
                <w:szCs w:val="21"/>
              </w:rPr>
              <w:t>以</w:t>
            </w:r>
            <w:r>
              <w:rPr>
                <w:rFonts w:hint="eastAsia" w:ascii="Times New Roman" w:hAnsi="Times New Roman" w:cs="Times New Roman"/>
                <w:sz w:val="21"/>
                <w:szCs w:val="21"/>
              </w:rPr>
              <w:t>C</w:t>
            </w:r>
            <w:r>
              <w:rPr>
                <w:rFonts w:ascii="Times New Roman" w:hAnsi="Times New Roman" w:cs="Times New Roman"/>
                <w:sz w:val="21"/>
                <w:szCs w:val="21"/>
              </w:rPr>
              <w:t>d</w:t>
            </w:r>
            <w:r>
              <w:rPr>
                <w:rFonts w:hint="eastAsia" w:cs="Times New Roman"/>
                <w:sz w:val="21"/>
                <w:szCs w:val="21"/>
              </w:rPr>
              <w:t>计</w:t>
            </w:r>
            <w:r>
              <w:rPr>
                <w:rFonts w:cs="Times New Roman"/>
                <w:sz w:val="21"/>
                <w:szCs w:val="21"/>
              </w:rPr>
              <w:t>）</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mg/kg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cs="Times New Roman"/>
                <w:sz w:val="21"/>
                <w:szCs w:val="21"/>
              </w:rPr>
            </w:pPr>
            <w:r>
              <w:rPr>
                <w:rFonts w:hint="eastAsia" w:cs="Times New Roman"/>
                <w:sz w:val="21"/>
                <w:szCs w:val="21"/>
              </w:rPr>
              <w:t>铬</w:t>
            </w:r>
            <w:r>
              <w:rPr>
                <w:rFonts w:cs="Times New Roman"/>
                <w:sz w:val="21"/>
                <w:szCs w:val="21"/>
              </w:rPr>
              <w:t>（</w:t>
            </w:r>
            <w:r>
              <w:rPr>
                <w:rFonts w:hint="eastAsia" w:cs="Times New Roman"/>
                <w:sz w:val="21"/>
                <w:szCs w:val="21"/>
              </w:rPr>
              <w:t>以</w:t>
            </w:r>
            <w:r>
              <w:rPr>
                <w:rFonts w:hint="eastAsia" w:ascii="Times New Roman" w:hAnsi="Times New Roman" w:cs="Times New Roman"/>
                <w:sz w:val="21"/>
                <w:szCs w:val="21"/>
              </w:rPr>
              <w:t>Cr</w:t>
            </w:r>
            <w:r>
              <w:rPr>
                <w:rFonts w:hint="eastAsia" w:cs="Times New Roman"/>
                <w:sz w:val="21"/>
                <w:szCs w:val="21"/>
              </w:rPr>
              <w:t>计</w:t>
            </w:r>
            <w:r>
              <w:rPr>
                <w:rFonts w:cs="Times New Roman"/>
                <w:sz w:val="21"/>
                <w:szCs w:val="21"/>
              </w:rPr>
              <w:t>）</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mg/kg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hAnsi="Times New Roman" w:cs="Times New Roman"/>
                <w:sz w:val="21"/>
                <w:szCs w:val="21"/>
              </w:rPr>
            </w:pPr>
            <w:r>
              <w:rPr>
                <w:rFonts w:cs="Times New Roman"/>
                <w:sz w:val="21"/>
                <w:szCs w:val="21"/>
              </w:rPr>
              <w:t>总汞（以</w:t>
            </w:r>
            <w:r>
              <w:rPr>
                <w:rFonts w:ascii="Times New Roman" w:hAnsi="Times New Roman" w:cs="Times New Roman"/>
                <w:sz w:val="21"/>
                <w:szCs w:val="21"/>
              </w:rPr>
              <w:t>Hg</w:t>
            </w:r>
            <w:r>
              <w:rPr>
                <w:rFonts w:cs="Times New Roman"/>
                <w:sz w:val="21"/>
                <w:szCs w:val="21"/>
              </w:rPr>
              <w:t>计）</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mg/kg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ascii="Times New Roman" w:hAnsi="Times New Roman"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distribute"/>
              <w:rPr>
                <w:rFonts w:ascii="Times New Roman" w:cs="Times New Roman"/>
                <w:sz w:val="21"/>
                <w:szCs w:val="21"/>
              </w:rPr>
            </w:pPr>
            <w:r>
              <w:rPr>
                <w:rFonts w:hint="eastAsia" w:ascii="Times New Roman" w:hAnsi="Times New Roman" w:cs="Times New Roman"/>
                <w:sz w:val="21"/>
                <w:szCs w:val="21"/>
              </w:rPr>
              <w:t>N-</w:t>
            </w:r>
            <w:r>
              <w:rPr>
                <w:rFonts w:hint="eastAsia" w:cs="Times New Roman"/>
                <w:sz w:val="21"/>
                <w:szCs w:val="21"/>
              </w:rPr>
              <w:t>二甲基亚硝胺</w:t>
            </w:r>
            <w:r>
              <w:rPr>
                <w:rFonts w:hint="eastAsia" w:ascii="Times New Roman" w:hAnsi="Times New Roman" w:cs="Times New Roman"/>
                <w:sz w:val="21"/>
                <w:szCs w:val="21"/>
              </w:rPr>
              <w:t>/</w:t>
            </w:r>
            <w:r>
              <w:rPr>
                <w:rFonts w:hint="eastAsia" w:cs="Times New Roman"/>
                <w:sz w:val="21"/>
                <w:szCs w:val="21"/>
              </w:rPr>
              <w:t>（</w:t>
            </w:r>
            <w:r>
              <w:rPr>
                <w:rFonts w:ascii="Times New Roman" w:hAnsi="Times New Roman" w:cs="Times New Roman"/>
                <w:sz w:val="21"/>
                <w:szCs w:val="21"/>
              </w:rPr>
              <w:t>mg/kg</w:t>
            </w:r>
            <w:r>
              <w:rPr>
                <w:rFonts w:hint="eastAsia" w:cs="Times New Roman"/>
                <w:sz w:val="21"/>
                <w:szCs w:val="21"/>
              </w:rPr>
              <w:t>）</w:t>
            </w:r>
            <w:r>
              <w:rPr>
                <w:rFonts w:ascii="Times New Roman" w:hAnsi="Times New Roman" w:cs="Times New Roman"/>
                <w:sz w:val="21"/>
                <w:szCs w:val="21"/>
              </w:rPr>
              <w:t xml:space="preserve">           </w:t>
            </w:r>
            <w:r>
              <w:rPr>
                <w:rFonts w:hint="eastAsia" w:cs="Times New Roman"/>
                <w:sz w:val="21"/>
                <w:szCs w:val="21"/>
              </w:rPr>
              <w:t>≤</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hint="eastAsia"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95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rPr>
                <w:rFonts w:ascii="Times New Roman" w:hAnsi="Times New Roman" w:cs="Times New Roman"/>
                <w:sz w:val="21"/>
                <w:szCs w:val="21"/>
              </w:rPr>
            </w:pPr>
            <w:r>
              <w:rPr>
                <w:rFonts w:cs="Times New Roman"/>
                <w:sz w:val="21"/>
                <w:szCs w:val="21"/>
              </w:rPr>
              <w:t>亚硝酸盐</w:t>
            </w:r>
          </w:p>
        </w:tc>
        <w:tc>
          <w:tcPr>
            <w:tcW w:w="4110" w:type="dxa"/>
            <w:tcBorders>
              <w:top w:val="single" w:color="auto" w:sz="4" w:space="0"/>
              <w:left w:val="single" w:color="auto" w:sz="4" w:space="0"/>
              <w:bottom w:val="single" w:color="auto" w:sz="4" w:space="0"/>
              <w:right w:val="single" w:color="auto" w:sz="4" w:space="0"/>
            </w:tcBorders>
            <w:vAlign w:val="center"/>
          </w:tcPr>
          <w:p>
            <w:pPr>
              <w:pStyle w:val="231"/>
              <w:spacing w:line="240" w:lineRule="atLeast"/>
              <w:jc w:val="center"/>
              <w:rPr>
                <w:rFonts w:ascii="Times New Roman" w:hAnsi="Times New Roman" w:cs="Times New Roman"/>
                <w:sz w:val="21"/>
                <w:szCs w:val="21"/>
              </w:rPr>
            </w:pPr>
            <w:r>
              <w:rPr>
                <w:rFonts w:cs="Times New Roman"/>
                <w:sz w:val="21"/>
                <w:szCs w:val="21"/>
              </w:rPr>
              <w:t>按</w:t>
            </w:r>
            <w:r>
              <w:rPr>
                <w:rFonts w:ascii="Times New Roman" w:hAnsi="Times New Roman" w:cs="Times New Roman"/>
                <w:sz w:val="21"/>
                <w:szCs w:val="21"/>
              </w:rPr>
              <w:t>GB 2760</w:t>
            </w:r>
            <w:r>
              <w:rPr>
                <w:rFonts w:cs="Times New Roman"/>
                <w:sz w:val="21"/>
                <w:szCs w:val="21"/>
              </w:rPr>
              <w:t>规定执行</w:t>
            </w:r>
          </w:p>
        </w:tc>
      </w:tr>
    </w:tbl>
    <w:p>
      <w:pPr>
        <w:pStyle w:val="231"/>
        <w:spacing w:line="440" w:lineRule="exact"/>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w:t>
      </w:r>
      <w:r>
        <w:rPr>
          <w:rFonts w:hint="eastAsia" w:ascii="Times New Roman" w:hAnsi="Times New Roman" w:cs="Times New Roman"/>
          <w:bCs/>
          <w:sz w:val="21"/>
          <w:szCs w:val="21"/>
        </w:rPr>
        <w:t>4</w:t>
      </w:r>
      <w:r>
        <w:rPr>
          <w:rFonts w:ascii="Times New Roman" w:hAnsi="Times New Roman" w:cs="Times New Roman"/>
          <w:bCs/>
          <w:sz w:val="21"/>
          <w:szCs w:val="21"/>
        </w:rPr>
        <w:t xml:space="preserve">  </w:t>
      </w:r>
      <w:r>
        <w:rPr>
          <w:rFonts w:cs="Times New Roman"/>
          <w:bCs/>
          <w:sz w:val="21"/>
          <w:szCs w:val="21"/>
        </w:rPr>
        <w:t>微生物指标</w:t>
      </w:r>
    </w:p>
    <w:p>
      <w:pPr>
        <w:pStyle w:val="231"/>
        <w:spacing w:line="440" w:lineRule="exact"/>
        <w:ind w:firstLine="420" w:firstLineChars="200"/>
        <w:rPr>
          <w:rFonts w:ascii="Times New Roman" w:hAnsi="Times New Roman" w:cs="Times New Roman"/>
          <w:sz w:val="21"/>
          <w:szCs w:val="21"/>
        </w:rPr>
      </w:pPr>
      <w:r>
        <w:rPr>
          <w:rFonts w:cs="Times New Roman"/>
          <w:sz w:val="21"/>
          <w:szCs w:val="21"/>
        </w:rPr>
        <w:t>应符合表</w:t>
      </w:r>
      <w:r>
        <w:rPr>
          <w:rFonts w:hint="eastAsia" w:ascii="Times New Roman" w:hAnsi="Times New Roman" w:cs="Times New Roman"/>
          <w:sz w:val="21"/>
          <w:szCs w:val="21"/>
        </w:rPr>
        <w:t>3</w:t>
      </w:r>
      <w:r>
        <w:rPr>
          <w:rFonts w:cs="Times New Roman"/>
          <w:sz w:val="21"/>
          <w:szCs w:val="21"/>
        </w:rPr>
        <w:t>的规定。</w:t>
      </w:r>
    </w:p>
    <w:p>
      <w:pPr>
        <w:pStyle w:val="231"/>
        <w:spacing w:line="440" w:lineRule="exact"/>
        <w:jc w:val="center"/>
        <w:rPr>
          <w:rFonts w:ascii="Times New Roman"/>
          <w:sz w:val="21"/>
          <w:szCs w:val="21"/>
        </w:rPr>
      </w:pPr>
      <w:r>
        <w:rPr>
          <w:rFonts w:cs="Times New Roman"/>
          <w:sz w:val="21"/>
          <w:szCs w:val="21"/>
        </w:rPr>
        <w:t>表</w:t>
      </w:r>
      <w:r>
        <w:rPr>
          <w:rFonts w:hint="eastAsia" w:ascii="Times New Roman" w:hAnsi="Times New Roman" w:cs="Times New Roman"/>
          <w:sz w:val="21"/>
          <w:szCs w:val="21"/>
        </w:rPr>
        <w:t>3</w:t>
      </w:r>
      <w:r>
        <w:rPr>
          <w:rFonts w:hint="eastAsia" w:ascii="Times New Roman"/>
          <w:sz w:val="21"/>
          <w:szCs w:val="21"/>
        </w:rPr>
        <w:t xml:space="preserve"> </w:t>
      </w:r>
      <w:r>
        <w:rPr>
          <w:rFonts w:hint="eastAsia"/>
          <w:sz w:val="21"/>
          <w:szCs w:val="21"/>
        </w:rPr>
        <w:t>指示菌指标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1185"/>
        <w:gridCol w:w="1340"/>
        <w:gridCol w:w="169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ind w:firstLine="630" w:firstLineChars="300"/>
              <w:rPr>
                <w:rFonts w:ascii="宋体" w:hAnsi="宋体"/>
              </w:rPr>
            </w:pPr>
            <w:r>
              <w:rPr>
                <w:rFonts w:hint="eastAsia" w:ascii="宋体" w:hAnsi="宋体"/>
              </w:rPr>
              <w:t xml:space="preserve">项 </w:t>
            </w:r>
            <w:r>
              <w:t xml:space="preserve"> </w:t>
            </w:r>
            <w:r>
              <w:rPr>
                <w:rFonts w:hint="eastAsia" w:ascii="宋体" w:hAnsi="宋体"/>
              </w:rPr>
              <w:t>目</w:t>
            </w:r>
          </w:p>
        </w:tc>
        <w:tc>
          <w:tcPr>
            <w:tcW w:w="6585" w:type="dxa"/>
            <w:gridSpan w:val="4"/>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宋体" w:hAnsi="宋体"/>
              </w:rPr>
            </w:pPr>
            <w:r>
              <w:t xml:space="preserve">   </w:t>
            </w:r>
            <w:r>
              <w:rPr>
                <w:rFonts w:hint="eastAsia" w:ascii="宋体" w:hAnsi="宋体"/>
              </w:rPr>
              <w:t>采样方案</w:t>
            </w:r>
            <w:r>
              <w:rPr>
                <w:rFonts w:hint="eastAsia"/>
                <w:vertAlign w:val="superscript"/>
              </w:rPr>
              <w:t>a</w:t>
            </w:r>
            <w:r>
              <w:rPr>
                <w:rFonts w:hint="eastAsia" w:ascii="宋体" w:hAnsi="宋体"/>
              </w:rPr>
              <w:t>及限量（若非指定，均以</w:t>
            </w:r>
            <w:r>
              <w:rPr>
                <w:rFonts w:hint="eastAsia"/>
              </w:rPr>
              <w:t>/25g</w:t>
            </w:r>
            <w:r>
              <w:rPr>
                <w:rFonts w:hint="eastAsia" w:ascii="宋体" w:hAnsi="宋体"/>
              </w:rPr>
              <w:t>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18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宋体" w:hAnsi="宋体"/>
              </w:rPr>
            </w:pPr>
            <w:r>
              <w:rPr>
                <w:rFonts w:hint="eastAsia"/>
              </w:rPr>
              <w:t>n</w:t>
            </w:r>
          </w:p>
        </w:tc>
        <w:tc>
          <w:tcPr>
            <w:tcW w:w="134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宋体" w:hAnsi="宋体"/>
              </w:rPr>
            </w:pPr>
            <w:r>
              <w:rPr>
                <w:rFonts w:hint="eastAsia"/>
              </w:rPr>
              <w:t>c</w:t>
            </w:r>
          </w:p>
        </w:tc>
        <w:tc>
          <w:tcPr>
            <w:tcW w:w="169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宋体" w:hAnsi="宋体"/>
              </w:rPr>
            </w:pPr>
            <w:r>
              <w:rPr>
                <w:rFonts w:hint="eastAsia"/>
              </w:rPr>
              <w:t>m</w:t>
            </w:r>
          </w:p>
        </w:tc>
        <w:tc>
          <w:tcPr>
            <w:tcW w:w="236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ascii="宋体" w:hAnsi="宋体"/>
              </w:rPr>
            </w:pPr>
            <w:r>
              <w:rPr>
                <w:rFonts w:hint="eastAsi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hAnsi="宋体"/>
              </w:rPr>
            </w:pPr>
            <w:r>
              <w:rPr>
                <w:rFonts w:hint="eastAsia" w:ascii="宋体" w:hAnsi="宋体"/>
              </w:rPr>
              <w:t>菌落总数</w:t>
            </w:r>
            <w:r>
              <w:rPr>
                <w:rFonts w:hint="eastAsia"/>
              </w:rPr>
              <w:t>/</w:t>
            </w:r>
            <w:r>
              <w:rPr>
                <w:rFonts w:hint="eastAsia" w:ascii="宋体" w:hAnsi="宋体"/>
              </w:rPr>
              <w:t>（</w:t>
            </w:r>
            <w:r>
              <w:rPr>
                <w:rFonts w:hint="eastAsia"/>
              </w:rPr>
              <w:t>CFU/g</w:t>
            </w:r>
            <w:r>
              <w:rPr>
                <w:rFonts w:hint="eastAsia" w:ascii="宋体" w:hAnsi="宋体"/>
              </w:rPr>
              <w:t>）</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5</w:t>
            </w:r>
          </w:p>
        </w:tc>
        <w:tc>
          <w:tcPr>
            <w:tcW w:w="13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pPr>
            <w:r>
              <w:rPr>
                <w:rFonts w:hint="eastAsia"/>
              </w:rPr>
              <w:t>10</w:t>
            </w:r>
            <w:r>
              <w:rPr>
                <w:rFonts w:hint="eastAsia"/>
                <w:vertAlign w:val="superscript"/>
              </w:rPr>
              <w:t>4</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10</w:t>
            </w:r>
            <w:r>
              <w:rPr>
                <w:rFonts w:hint="eastAsia"/>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宋体" w:hAnsi="宋体"/>
              </w:rPr>
            </w:pPr>
            <w:r>
              <w:rPr>
                <w:rFonts w:hint="eastAsia" w:ascii="宋体" w:hAnsi="宋体"/>
              </w:rPr>
              <w:t>大肠菌群</w:t>
            </w:r>
            <w:r>
              <w:rPr>
                <w:rFonts w:hint="eastAsia"/>
              </w:rPr>
              <w:t>/</w:t>
            </w:r>
            <w:r>
              <w:rPr>
                <w:rFonts w:hint="eastAsia" w:ascii="宋体" w:hAnsi="宋体"/>
              </w:rPr>
              <w:t>（</w:t>
            </w:r>
            <w:r>
              <w:rPr>
                <w:rFonts w:hint="eastAsia"/>
              </w:rPr>
              <w:t>CFU/g</w:t>
            </w:r>
            <w:r>
              <w:rPr>
                <w:rFonts w:hint="eastAsia" w:ascii="宋体" w:hAnsi="宋体"/>
              </w:rPr>
              <w:t>）</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5</w:t>
            </w:r>
          </w:p>
        </w:tc>
        <w:tc>
          <w:tcPr>
            <w:tcW w:w="13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10</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232"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rPr>
            </w:pPr>
            <w:r>
              <w:rPr>
                <w:rFonts w:hint="eastAsia" w:ascii="宋体" w:hAnsi="宋体"/>
                <w:kern w:val="0"/>
              </w:rPr>
              <w:t>注1：</w:t>
            </w:r>
            <w:r>
              <w:rPr>
                <w:rFonts w:hint="eastAsia"/>
                <w:vertAlign w:val="superscript"/>
              </w:rPr>
              <w:t>a</w:t>
            </w:r>
            <w:r>
              <w:rPr>
                <w:rFonts w:hint="eastAsia" w:ascii="宋体" w:hAnsi="宋体"/>
                <w:kern w:val="0"/>
              </w:rPr>
              <w:t>样品采样和处理，按GB4789.1和GB/T 4789.22执行。</w:t>
            </w:r>
          </w:p>
        </w:tc>
      </w:tr>
    </w:tbl>
    <w:p>
      <w:pPr>
        <w:pStyle w:val="232"/>
        <w:ind w:firstLine="0" w:firstLineChars="0"/>
        <w:jc w:val="center"/>
        <w:rPr>
          <w:rFonts w:ascii="Times New Roman"/>
        </w:rPr>
      </w:pPr>
      <w:r>
        <w:rPr>
          <w:rFonts w:hint="eastAsia" w:ascii="Times New Roman"/>
        </w:rPr>
        <w:t xml:space="preserve"> </w:t>
      </w:r>
    </w:p>
    <w:p>
      <w:pPr>
        <w:pStyle w:val="232"/>
        <w:ind w:firstLine="0" w:firstLineChars="0"/>
        <w:jc w:val="center"/>
        <w:rPr>
          <w:rFonts w:hint="eastAsia"/>
        </w:rPr>
      </w:pPr>
    </w:p>
    <w:p>
      <w:pPr>
        <w:pStyle w:val="232"/>
        <w:ind w:firstLine="0" w:firstLineChars="0"/>
        <w:jc w:val="center"/>
        <w:rPr>
          <w:rFonts w:ascii="Times New Roman"/>
        </w:rPr>
      </w:pPr>
      <w:r>
        <w:rPr>
          <w:rFonts w:hint="eastAsia"/>
        </w:rPr>
        <w:t>表</w:t>
      </w:r>
      <w:r>
        <w:rPr>
          <w:rFonts w:hint="eastAsia" w:ascii="Times New Roman" w:hAnsi="Times New Roman" w:cs="Times New Roman"/>
        </w:rPr>
        <w:t xml:space="preserve">4 </w:t>
      </w:r>
      <w:r>
        <w:rPr>
          <w:rFonts w:hint="eastAsia"/>
        </w:rPr>
        <w:t>食品中致病菌限量</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1060"/>
        <w:gridCol w:w="1310"/>
        <w:gridCol w:w="217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775" w:type="dxa"/>
            <w:vMerge w:val="restart"/>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致病菌指标</w:t>
            </w:r>
          </w:p>
        </w:tc>
        <w:tc>
          <w:tcPr>
            <w:tcW w:w="6730" w:type="dxa"/>
            <w:gridSpan w:val="4"/>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采样方案及限量（若非指定，均以/25g表示）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106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n</w:t>
            </w:r>
          </w:p>
        </w:tc>
        <w:tc>
          <w:tcPr>
            <w:tcW w:w="131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c</w:t>
            </w:r>
          </w:p>
        </w:tc>
        <w:tc>
          <w:tcPr>
            <w:tcW w:w="2170" w:type="dxa"/>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m</w:t>
            </w:r>
          </w:p>
        </w:tc>
        <w:tc>
          <w:tcPr>
            <w:tcW w:w="2190" w:type="dxa"/>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75" w:type="dxa"/>
            <w:tcBorders>
              <w:top w:val="single" w:color="auto" w:sz="4" w:space="0"/>
              <w:left w:val="single" w:color="auto" w:sz="4" w:space="0"/>
              <w:bottom w:val="single" w:color="auto" w:sz="4" w:space="0"/>
              <w:right w:val="single" w:color="auto" w:sz="4" w:space="0"/>
            </w:tcBorders>
            <w:vAlign w:val="center"/>
          </w:tcPr>
          <w:p>
            <w:pPr>
              <w:pStyle w:val="232"/>
              <w:ind w:firstLine="0" w:firstLineChars="0"/>
              <w:jc w:val="left"/>
              <w:rPr>
                <w:rFonts w:cs="Times New Roman"/>
              </w:rPr>
            </w:pPr>
            <w:r>
              <w:rPr>
                <w:rFonts w:hint="eastAsia" w:cs="Times New Roman"/>
              </w:rPr>
              <w:t>沙门氏菌</w:t>
            </w:r>
          </w:p>
        </w:tc>
        <w:tc>
          <w:tcPr>
            <w:tcW w:w="106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5</w:t>
            </w:r>
          </w:p>
        </w:tc>
        <w:tc>
          <w:tcPr>
            <w:tcW w:w="131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0</w:t>
            </w:r>
          </w:p>
        </w:tc>
        <w:tc>
          <w:tcPr>
            <w:tcW w:w="2170" w:type="dxa"/>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0</w:t>
            </w:r>
          </w:p>
        </w:tc>
        <w:tc>
          <w:tcPr>
            <w:tcW w:w="2190" w:type="dxa"/>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75" w:type="dxa"/>
            <w:tcBorders>
              <w:top w:val="single" w:color="auto" w:sz="4" w:space="0"/>
              <w:left w:val="single" w:color="auto" w:sz="4" w:space="0"/>
              <w:bottom w:val="single" w:color="auto" w:sz="4" w:space="0"/>
              <w:right w:val="single" w:color="auto" w:sz="4" w:space="0"/>
            </w:tcBorders>
            <w:vAlign w:val="center"/>
          </w:tcPr>
          <w:p>
            <w:pPr>
              <w:pStyle w:val="232"/>
              <w:ind w:firstLine="0" w:firstLineChars="0"/>
              <w:jc w:val="left"/>
              <w:rPr>
                <w:rFonts w:cs="Times New Roman"/>
              </w:rPr>
            </w:pPr>
            <w:r>
              <w:rPr>
                <w:rFonts w:hint="eastAsia" w:cs="Times New Roman"/>
              </w:rPr>
              <w:t>金黄色葡萄球菌</w:t>
            </w:r>
          </w:p>
        </w:tc>
        <w:tc>
          <w:tcPr>
            <w:tcW w:w="106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5</w:t>
            </w:r>
          </w:p>
        </w:tc>
        <w:tc>
          <w:tcPr>
            <w:tcW w:w="131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1</w:t>
            </w:r>
          </w:p>
        </w:tc>
        <w:tc>
          <w:tcPr>
            <w:tcW w:w="217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kern w:val="0"/>
              </w:rPr>
            </w:pPr>
            <w:r>
              <w:rPr>
                <w:rFonts w:hint="eastAsia" w:ascii="宋体" w:hAnsi="宋体"/>
                <w:kern w:val="0"/>
              </w:rPr>
              <w:t>100CFU/g</w:t>
            </w:r>
          </w:p>
        </w:tc>
        <w:tc>
          <w:tcPr>
            <w:tcW w:w="21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kern w:val="0"/>
              </w:rPr>
            </w:pPr>
            <w:r>
              <w:rPr>
                <w:rFonts w:hint="eastAsia" w:ascii="宋体" w:hAnsi="宋体"/>
                <w:kern w:val="0"/>
              </w:rPr>
              <w:t>1000CFU/g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75" w:type="dxa"/>
            <w:tcBorders>
              <w:top w:val="single" w:color="auto" w:sz="4" w:space="0"/>
              <w:left w:val="single" w:color="auto" w:sz="4" w:space="0"/>
              <w:bottom w:val="single" w:color="auto" w:sz="4" w:space="0"/>
              <w:right w:val="single" w:color="auto" w:sz="4" w:space="0"/>
            </w:tcBorders>
            <w:vAlign w:val="center"/>
          </w:tcPr>
          <w:p>
            <w:pPr>
              <w:pStyle w:val="232"/>
              <w:ind w:firstLine="0" w:firstLineChars="0"/>
              <w:jc w:val="left"/>
              <w:rPr>
                <w:rFonts w:cs="Times New Roman"/>
              </w:rPr>
            </w:pPr>
            <w:r>
              <w:rPr>
                <w:rFonts w:hint="eastAsia" w:cs="Times New Roman"/>
              </w:rPr>
              <w:t>单核细胞增生李斯特氏菌</w:t>
            </w:r>
          </w:p>
        </w:tc>
        <w:tc>
          <w:tcPr>
            <w:tcW w:w="106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5</w:t>
            </w:r>
          </w:p>
        </w:tc>
        <w:tc>
          <w:tcPr>
            <w:tcW w:w="1310" w:type="dxa"/>
            <w:tcBorders>
              <w:top w:val="single" w:color="auto" w:sz="4" w:space="0"/>
              <w:left w:val="single" w:color="auto" w:sz="4" w:space="0"/>
              <w:bottom w:val="single" w:color="auto" w:sz="4" w:space="0"/>
              <w:right w:val="single" w:color="auto" w:sz="4" w:space="0"/>
            </w:tcBorders>
            <w:vAlign w:val="center"/>
          </w:tcPr>
          <w:p>
            <w:pPr>
              <w:pStyle w:val="232"/>
              <w:ind w:firstLine="420"/>
              <w:rPr>
                <w:rFonts w:cs="Times New Roman"/>
              </w:rPr>
            </w:pPr>
            <w:r>
              <w:rPr>
                <w:rFonts w:hint="eastAsia" w:cs="Times New Roman"/>
              </w:rPr>
              <w:t>0</w:t>
            </w:r>
          </w:p>
        </w:tc>
        <w:tc>
          <w:tcPr>
            <w:tcW w:w="2170" w:type="dxa"/>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0</w:t>
            </w:r>
          </w:p>
        </w:tc>
        <w:tc>
          <w:tcPr>
            <w:tcW w:w="2190" w:type="dxa"/>
            <w:tcBorders>
              <w:top w:val="single" w:color="auto" w:sz="4" w:space="0"/>
              <w:left w:val="single" w:color="auto" w:sz="4" w:space="0"/>
              <w:bottom w:val="single" w:color="auto" w:sz="4" w:space="0"/>
              <w:right w:val="single" w:color="auto" w:sz="4" w:space="0"/>
            </w:tcBorders>
            <w:vAlign w:val="center"/>
          </w:tcPr>
          <w:p>
            <w:pPr>
              <w:pStyle w:val="232"/>
              <w:ind w:firstLine="420"/>
              <w:jc w:val="center"/>
              <w:rPr>
                <w:rFonts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75" w:type="dxa"/>
            <w:tcBorders>
              <w:top w:val="single" w:color="auto" w:sz="4" w:space="0"/>
              <w:left w:val="single" w:color="auto" w:sz="4" w:space="0"/>
              <w:bottom w:val="single" w:color="auto" w:sz="4" w:space="0"/>
              <w:right w:val="single" w:color="auto" w:sz="4" w:space="0"/>
            </w:tcBorders>
            <w:vAlign w:val="center"/>
          </w:tcPr>
          <w:p>
            <w:pPr>
              <w:pStyle w:val="232"/>
              <w:ind w:firstLine="0" w:firstLineChars="0"/>
              <w:jc w:val="left"/>
              <w:rPr>
                <w:rFonts w:cs="Times New Roman"/>
              </w:rPr>
            </w:pPr>
            <w:r>
              <w:rPr>
                <w:rFonts w:hint="eastAsia" w:cs="Times New Roman"/>
              </w:rPr>
              <w:t>致泻大肠埃希氏菌</w:t>
            </w:r>
            <w:r>
              <w:rPr>
                <w:rFonts w:hint="eastAsia" w:cs="Times New Roman"/>
                <w:vertAlign w:val="superscript"/>
              </w:rPr>
              <w:t>b</w:t>
            </w:r>
          </w:p>
        </w:tc>
        <w:tc>
          <w:tcPr>
            <w:tcW w:w="1060" w:type="dxa"/>
            <w:tcBorders>
              <w:top w:val="single" w:color="auto" w:sz="4" w:space="0"/>
              <w:left w:val="single" w:color="auto" w:sz="4" w:space="0"/>
              <w:bottom w:val="single" w:color="auto" w:sz="4" w:space="0"/>
              <w:right w:val="single" w:color="auto" w:sz="4" w:space="0"/>
            </w:tcBorders>
            <w:vAlign w:val="center"/>
          </w:tcPr>
          <w:p>
            <w:pPr>
              <w:pStyle w:val="232"/>
              <w:ind w:firstLine="420" w:firstLineChars="200"/>
              <w:rPr>
                <w:rFonts w:ascii="宋体" w:hAnsi="宋体" w:eastAsia="宋体" w:cs="Times New Roman"/>
                <w:kern w:val="0"/>
                <w:sz w:val="21"/>
                <w:szCs w:val="21"/>
                <w:lang w:val="en-US" w:eastAsia="zh-CN" w:bidi="ar-SA"/>
              </w:rPr>
            </w:pPr>
            <w:r>
              <w:rPr>
                <w:rFonts w:hint="eastAsia" w:cs="Times New Roman"/>
              </w:rPr>
              <w:t>5</w:t>
            </w:r>
          </w:p>
        </w:tc>
        <w:tc>
          <w:tcPr>
            <w:tcW w:w="1310" w:type="dxa"/>
            <w:tcBorders>
              <w:top w:val="single" w:color="auto" w:sz="4" w:space="0"/>
              <w:left w:val="single" w:color="auto" w:sz="4" w:space="0"/>
              <w:bottom w:val="single" w:color="auto" w:sz="4" w:space="0"/>
              <w:right w:val="single" w:color="auto" w:sz="4" w:space="0"/>
            </w:tcBorders>
            <w:vAlign w:val="center"/>
          </w:tcPr>
          <w:p>
            <w:pPr>
              <w:pStyle w:val="232"/>
              <w:ind w:firstLine="420" w:firstLineChars="200"/>
              <w:rPr>
                <w:rFonts w:ascii="宋体" w:hAnsi="宋体" w:eastAsia="宋体" w:cs="Times New Roman"/>
                <w:kern w:val="0"/>
                <w:sz w:val="21"/>
                <w:szCs w:val="21"/>
                <w:lang w:val="en-US" w:eastAsia="zh-CN" w:bidi="ar-SA"/>
              </w:rPr>
            </w:pPr>
            <w:r>
              <w:rPr>
                <w:rFonts w:hint="eastAsia" w:cs="Times New Roman"/>
              </w:rPr>
              <w:t>0</w:t>
            </w:r>
          </w:p>
        </w:tc>
        <w:tc>
          <w:tcPr>
            <w:tcW w:w="2170" w:type="dxa"/>
            <w:tcBorders>
              <w:top w:val="single" w:color="auto" w:sz="4" w:space="0"/>
              <w:left w:val="single" w:color="auto" w:sz="4" w:space="0"/>
              <w:bottom w:val="single" w:color="auto" w:sz="4" w:space="0"/>
              <w:right w:val="single" w:color="auto" w:sz="4" w:space="0"/>
            </w:tcBorders>
            <w:vAlign w:val="center"/>
          </w:tcPr>
          <w:p>
            <w:pPr>
              <w:pStyle w:val="232"/>
              <w:ind w:firstLine="420" w:firstLineChars="200"/>
              <w:jc w:val="center"/>
              <w:rPr>
                <w:rFonts w:ascii="宋体" w:hAnsi="宋体" w:eastAsia="宋体" w:cs="Times New Roman"/>
                <w:kern w:val="0"/>
                <w:sz w:val="21"/>
                <w:szCs w:val="21"/>
                <w:lang w:val="en-US" w:eastAsia="zh-CN" w:bidi="ar-SA"/>
              </w:rPr>
            </w:pPr>
            <w:r>
              <w:rPr>
                <w:rFonts w:hint="eastAsia" w:cs="Times New Roman"/>
              </w:rPr>
              <w:t>0</w:t>
            </w:r>
          </w:p>
        </w:tc>
        <w:tc>
          <w:tcPr>
            <w:tcW w:w="2190" w:type="dxa"/>
            <w:tcBorders>
              <w:top w:val="single" w:color="auto" w:sz="4" w:space="0"/>
              <w:left w:val="single" w:color="auto" w:sz="4" w:space="0"/>
              <w:bottom w:val="single" w:color="auto" w:sz="4" w:space="0"/>
              <w:right w:val="single" w:color="auto" w:sz="4" w:space="0"/>
            </w:tcBorders>
            <w:vAlign w:val="center"/>
          </w:tcPr>
          <w:p>
            <w:pPr>
              <w:pStyle w:val="232"/>
              <w:ind w:firstLine="420" w:firstLineChars="200"/>
              <w:jc w:val="center"/>
              <w:rPr>
                <w:rFonts w:ascii="宋体" w:hAnsi="宋体" w:eastAsia="宋体" w:cs="Times New Roman"/>
                <w:kern w:val="0"/>
                <w:sz w:val="21"/>
                <w:szCs w:val="21"/>
                <w:lang w:val="en-US" w:eastAsia="zh-CN" w:bidi="ar-SA"/>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05" w:type="dxa"/>
            <w:gridSpan w:val="5"/>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注</w:t>
            </w:r>
            <w:r>
              <w:rPr>
                <w:rFonts w:hint="eastAsia"/>
              </w:rPr>
              <w:t>：b仅适用于牛肉制品。</w:t>
            </w:r>
          </w:p>
          <w:p>
            <w:pPr>
              <w:ind w:firstLine="420" w:firstLineChars="200"/>
              <w:rPr>
                <w:rFonts w:ascii="宋体" w:hAnsi="宋体"/>
              </w:rPr>
            </w:pPr>
            <w:r>
              <w:rPr>
                <w:rFonts w:hint="eastAsia" w:ascii="宋体" w:hAnsi="宋体"/>
              </w:rPr>
              <w:t>样品采样和处理，按</w:t>
            </w:r>
            <w:r>
              <w:rPr>
                <w:rFonts w:hint="eastAsia"/>
              </w:rPr>
              <w:t>GB4789.1</w:t>
            </w:r>
            <w:r>
              <w:rPr>
                <w:rFonts w:hint="eastAsia" w:ascii="宋体" w:hAnsi="宋体"/>
              </w:rPr>
              <w:t>执行。</w:t>
            </w:r>
          </w:p>
          <w:p>
            <w:pPr>
              <w:ind w:left="420" w:leftChars="200"/>
              <w:rPr>
                <w:rFonts w:ascii="宋体" w:hAnsi="宋体"/>
              </w:rPr>
            </w:pPr>
            <w:r>
              <w:rPr>
                <w:rFonts w:hint="eastAsia"/>
              </w:rPr>
              <w:t>n</w:t>
            </w:r>
            <w:r>
              <w:rPr>
                <w:rFonts w:hint="eastAsia" w:ascii="宋体" w:hAnsi="宋体"/>
              </w:rPr>
              <w:t>为同一批次产品应采集的样品件数；</w:t>
            </w:r>
            <w:r>
              <w:rPr>
                <w:rFonts w:hint="eastAsia"/>
              </w:rPr>
              <w:t>c</w:t>
            </w:r>
            <w:r>
              <w:rPr>
                <w:rFonts w:hint="eastAsia" w:ascii="宋体" w:hAnsi="宋体"/>
              </w:rPr>
              <w:t>为最大可允许超出</w:t>
            </w:r>
            <w:r>
              <w:rPr>
                <w:rFonts w:hint="eastAsia"/>
              </w:rPr>
              <w:t>m</w:t>
            </w:r>
            <w:r>
              <w:rPr>
                <w:rFonts w:hint="eastAsia" w:ascii="宋体" w:hAnsi="宋体"/>
              </w:rPr>
              <w:t>值的样品数；</w:t>
            </w:r>
            <w:r>
              <w:rPr>
                <w:rFonts w:hint="eastAsia"/>
              </w:rPr>
              <w:t>m</w:t>
            </w:r>
            <w:r>
              <w:rPr>
                <w:rFonts w:hint="eastAsia" w:ascii="宋体" w:hAnsi="宋体"/>
              </w:rPr>
              <w:t>为致病菌指标可接受水平的限量值；</w:t>
            </w:r>
            <w:r>
              <w:rPr>
                <w:rFonts w:hint="eastAsia"/>
              </w:rPr>
              <w:t>M</w:t>
            </w:r>
            <w:r>
              <w:rPr>
                <w:rFonts w:hint="eastAsia" w:ascii="宋体" w:hAnsi="宋体"/>
              </w:rPr>
              <w:t>为致病菌指标的最高安全限量值。</w:t>
            </w:r>
          </w:p>
        </w:tc>
      </w:tr>
    </w:tbl>
    <w:p>
      <w:pPr>
        <w:pStyle w:val="231"/>
        <w:spacing w:line="440" w:lineRule="exact"/>
        <w:rPr>
          <w:rFonts w:ascii="Times New Roman"/>
          <w:bCs/>
          <w:sz w:val="21"/>
          <w:szCs w:val="21"/>
        </w:rPr>
      </w:pPr>
    </w:p>
    <w:p>
      <w:pPr>
        <w:pStyle w:val="234"/>
        <w:widowControl w:val="0"/>
        <w:spacing w:line="360" w:lineRule="exact"/>
        <w:rPr>
          <w:rFonts w:ascii="黑体" w:hAnsi="黑体"/>
        </w:rPr>
      </w:pPr>
      <w:r>
        <w:rPr>
          <w:rFonts w:hint="eastAsia"/>
        </w:rPr>
        <w:t xml:space="preserve">4.5 </w:t>
      </w:r>
      <w:r>
        <w:rPr>
          <w:rFonts w:hint="eastAsia" w:ascii="黑体" w:hAnsi="黑体"/>
        </w:rPr>
        <w:t>净含量及允许负偏差要求</w:t>
      </w:r>
    </w:p>
    <w:p>
      <w:pPr>
        <w:pStyle w:val="232"/>
        <w:widowControl w:val="0"/>
        <w:spacing w:line="360" w:lineRule="exact"/>
        <w:ind w:firstLine="420"/>
      </w:pPr>
      <w:r>
        <w:rPr>
          <w:rFonts w:hint="eastAsia"/>
        </w:rPr>
        <w:t>预包装产品净含量偏差应符合国家质量监督检验总局令第75号《定量包装商品计量监督管理办法》的规定。</w:t>
      </w:r>
    </w:p>
    <w:p>
      <w:pPr>
        <w:pStyle w:val="234"/>
        <w:widowControl w:val="0"/>
        <w:spacing w:line="360" w:lineRule="exact"/>
        <w:rPr>
          <w:rFonts w:ascii="黑体" w:hAnsi="黑体"/>
        </w:rPr>
      </w:pPr>
      <w:r>
        <w:rPr>
          <w:rFonts w:hint="eastAsia"/>
        </w:rPr>
        <w:t xml:space="preserve">4.6  </w:t>
      </w:r>
      <w:r>
        <w:rPr>
          <w:rFonts w:hint="eastAsia" w:ascii="黑体" w:hAnsi="黑体"/>
        </w:rPr>
        <w:t>食品添加剂</w:t>
      </w:r>
    </w:p>
    <w:p>
      <w:pPr>
        <w:pStyle w:val="235"/>
        <w:rPr>
          <w:rFonts w:hint="eastAsia" w:ascii="宋体" w:hAnsi="宋体" w:eastAsia="宋体"/>
        </w:rPr>
      </w:pPr>
      <w:r>
        <w:rPr>
          <w:rFonts w:hint="eastAsia"/>
        </w:rPr>
        <w:t>4.6.1</w:t>
      </w:r>
      <w:r>
        <w:rPr>
          <w:rFonts w:hint="eastAsia" w:ascii="黑体" w:hAnsi="黑体"/>
        </w:rPr>
        <w:t xml:space="preserve"> </w:t>
      </w:r>
      <w:r>
        <w:rPr>
          <w:rFonts w:hint="eastAsia" w:ascii="宋体" w:hAnsi="宋体" w:eastAsia="宋体"/>
        </w:rPr>
        <w:t>食品添加剂质量应符合相应的标准和有关规定.</w:t>
      </w:r>
    </w:p>
    <w:p>
      <w:pPr>
        <w:pStyle w:val="235"/>
        <w:rPr>
          <w:rFonts w:ascii="宋体" w:hAnsi="宋体" w:eastAsia="宋体"/>
        </w:rPr>
      </w:pPr>
      <w:r>
        <w:rPr>
          <w:rFonts w:hint="eastAsia"/>
        </w:rPr>
        <w:t xml:space="preserve">4.6.2 </w:t>
      </w:r>
      <w:r>
        <w:rPr>
          <w:rFonts w:hint="eastAsia" w:ascii="宋体" w:hAnsi="宋体" w:eastAsia="宋体"/>
        </w:rPr>
        <w:t>食品添加剂的品种和使用量应符合GB 2760的规定。</w:t>
      </w:r>
    </w:p>
    <w:p>
      <w:pPr>
        <w:pStyle w:val="232"/>
        <w:widowControl w:val="0"/>
        <w:spacing w:line="360" w:lineRule="exact"/>
        <w:ind w:firstLine="0" w:firstLineChars="0"/>
        <w:rPr>
          <w:rFonts w:ascii="Times New Roman" w:hAnsi="黑体" w:eastAsia="黑体"/>
        </w:rPr>
      </w:pPr>
      <w:r>
        <w:rPr>
          <w:rFonts w:hint="eastAsia" w:ascii="Times New Roman" w:hAnsi="Times New Roman" w:eastAsia="黑体" w:cs="Times New Roman"/>
        </w:rPr>
        <w:t>5</w:t>
      </w:r>
      <w:r>
        <w:rPr>
          <w:rFonts w:hint="eastAsia" w:ascii="Times New Roman" w:hAnsi="黑体" w:eastAsia="黑体"/>
        </w:rPr>
        <w:t xml:space="preserve">   </w:t>
      </w:r>
      <w:r>
        <w:rPr>
          <w:rFonts w:hint="eastAsia" w:ascii="黑体" w:hAnsi="黑体" w:eastAsia="黑体"/>
        </w:rPr>
        <w:t>生产加工过程的卫生要求</w:t>
      </w:r>
    </w:p>
    <w:p>
      <w:pPr>
        <w:pStyle w:val="232"/>
        <w:widowControl w:val="0"/>
        <w:spacing w:line="360" w:lineRule="exact"/>
        <w:ind w:firstLine="420"/>
      </w:pPr>
      <w:r>
        <w:rPr>
          <w:rFonts w:hint="eastAsia"/>
        </w:rPr>
        <w:t>生产加工过程的卫生要求符合GB 14881的规定。</w:t>
      </w:r>
    </w:p>
    <w:p>
      <w:pPr>
        <w:pStyle w:val="233"/>
        <w:widowControl w:val="0"/>
        <w:spacing w:before="120" w:after="120" w:line="360" w:lineRule="exact"/>
        <w:rPr>
          <w:rFonts w:ascii="Times New Roman"/>
        </w:rPr>
      </w:pPr>
      <w:r>
        <w:rPr>
          <w:rFonts w:hint="eastAsia" w:ascii="Times New Roman" w:hAnsi="Times New Roman" w:cs="Times New Roman"/>
        </w:rPr>
        <w:t>6</w:t>
      </w:r>
      <w:r>
        <w:rPr>
          <w:rFonts w:hint="eastAsia" w:ascii="Times New Roman"/>
        </w:rPr>
        <w:t xml:space="preserve"> </w:t>
      </w:r>
      <w:r>
        <w:rPr>
          <w:rFonts w:hint="eastAsia"/>
        </w:rPr>
        <w:t>试验方法</w:t>
      </w:r>
    </w:p>
    <w:p>
      <w:pPr>
        <w:pStyle w:val="232"/>
        <w:widowControl w:val="0"/>
        <w:spacing w:line="360" w:lineRule="exact"/>
        <w:ind w:firstLine="0" w:firstLineChars="0"/>
      </w:pPr>
      <w:r>
        <w:rPr>
          <w:rFonts w:hint="eastAsia" w:ascii="黑体" w:hAnsi="黑体" w:eastAsia="黑体"/>
        </w:rPr>
        <w:t>6.1 感官要求</w:t>
      </w:r>
    </w:p>
    <w:p>
      <w:pPr>
        <w:pStyle w:val="232"/>
        <w:widowControl w:val="0"/>
        <w:spacing w:line="360" w:lineRule="exact"/>
        <w:ind w:firstLine="420"/>
      </w:pPr>
      <w:r>
        <w:rPr>
          <w:rFonts w:hint="eastAsia"/>
        </w:rPr>
        <w:t>在正常光线下，目测、鼻嗅、品尝。</w:t>
      </w:r>
    </w:p>
    <w:p>
      <w:pPr>
        <w:pStyle w:val="234"/>
        <w:widowControl w:val="0"/>
        <w:spacing w:line="360" w:lineRule="exact"/>
        <w:rPr>
          <w:rFonts w:ascii="黑体" w:hAnsi="黑体"/>
        </w:rPr>
      </w:pPr>
      <w:r>
        <w:rPr>
          <w:rFonts w:hint="eastAsia"/>
        </w:rPr>
        <w:t>6.2</w:t>
      </w:r>
      <w:r>
        <w:rPr>
          <w:rFonts w:hint="eastAsia" w:ascii="黑体" w:hAnsi="黑体"/>
        </w:rPr>
        <w:t xml:space="preserve">  理化指标和卫生要求</w:t>
      </w:r>
    </w:p>
    <w:p>
      <w:pPr>
        <w:widowControl/>
        <w:spacing w:line="360" w:lineRule="exact"/>
        <w:jc w:val="left"/>
        <w:rPr>
          <w:rFonts w:ascii="黑体" w:hAnsi="宋体" w:eastAsia="黑体"/>
          <w:kern w:val="0"/>
        </w:rPr>
      </w:pPr>
      <w:r>
        <w:rPr>
          <w:rFonts w:hint="eastAsia" w:ascii="黑体" w:hAnsi="黑体" w:eastAsia="黑体"/>
          <w:kern w:val="0"/>
        </w:rPr>
        <w:t>6.2.1</w:t>
      </w:r>
      <w:r>
        <w:rPr>
          <w:rFonts w:hint="eastAsia" w:ascii="黑体" w:hAnsi="宋体" w:eastAsia="黑体"/>
          <w:kern w:val="0"/>
        </w:rPr>
        <w:t xml:space="preserve"> </w:t>
      </w:r>
      <w:r>
        <w:rPr>
          <w:rFonts w:hint="eastAsia" w:ascii="黑体" w:hAnsi="黑体" w:eastAsia="黑体"/>
          <w:kern w:val="0"/>
        </w:rPr>
        <w:t>水分</w:t>
      </w:r>
    </w:p>
    <w:p>
      <w:pPr>
        <w:widowControl/>
        <w:spacing w:line="360" w:lineRule="exact"/>
        <w:ind w:firstLine="420" w:firstLineChars="200"/>
        <w:jc w:val="left"/>
        <w:rPr>
          <w:rFonts w:hint="eastAsia"/>
        </w:rPr>
      </w:pPr>
      <w:r>
        <w:rPr>
          <w:rFonts w:hint="eastAsia" w:ascii="宋体" w:hAnsi="宋体"/>
          <w:kern w:val="0"/>
        </w:rPr>
        <w:t>按G</w:t>
      </w:r>
      <w:r>
        <w:rPr>
          <w:rFonts w:hint="eastAsia" w:ascii="宋体" w:hAnsi="宋体"/>
          <w:kern w:val="0"/>
        </w:rPr>
        <w:t>B 5009.3规定</w:t>
      </w:r>
      <w:r>
        <w:rPr>
          <w:rFonts w:hint="eastAsia"/>
        </w:rPr>
        <w:t>执行。</w:t>
      </w:r>
    </w:p>
    <w:p>
      <w:pPr>
        <w:widowControl/>
        <w:spacing w:line="360" w:lineRule="exact"/>
        <w:jc w:val="left"/>
        <w:rPr>
          <w:rFonts w:ascii="黑体" w:hAnsi="宋体" w:eastAsia="黑体"/>
          <w:kern w:val="0"/>
        </w:rPr>
      </w:pPr>
      <w:r>
        <w:rPr>
          <w:rFonts w:hint="eastAsia" w:ascii="黑体" w:hAnsi="黑体" w:eastAsia="黑体"/>
          <w:kern w:val="0"/>
        </w:rPr>
        <w:t>6.2.2 氯化物</w:t>
      </w:r>
    </w:p>
    <w:p>
      <w:pPr>
        <w:widowControl/>
        <w:spacing w:line="360" w:lineRule="exact"/>
        <w:ind w:firstLine="420" w:firstLineChars="200"/>
        <w:jc w:val="left"/>
        <w:rPr>
          <w:rFonts w:ascii="宋体" w:hAnsi="宋体"/>
          <w:kern w:val="0"/>
        </w:rPr>
      </w:pPr>
      <w:r>
        <w:rPr>
          <w:rFonts w:hint="eastAsia" w:ascii="宋体" w:hAnsi="宋体"/>
          <w:kern w:val="0"/>
        </w:rPr>
        <w:t>按GB 5009.44</w:t>
      </w:r>
      <w:r>
        <w:rPr>
          <w:rFonts w:hint="eastAsia" w:ascii="宋体" w:hAnsi="宋体"/>
          <w:kern w:val="0"/>
        </w:rPr>
        <w:t>规定执行。</w:t>
      </w:r>
    </w:p>
    <w:p>
      <w:pPr>
        <w:widowControl/>
        <w:spacing w:line="360" w:lineRule="exact"/>
        <w:jc w:val="left"/>
        <w:rPr>
          <w:rFonts w:ascii="黑体" w:hAnsi="宋体" w:eastAsia="黑体"/>
          <w:kern w:val="0"/>
        </w:rPr>
      </w:pPr>
      <w:r>
        <w:rPr>
          <w:rFonts w:hint="eastAsia" w:ascii="黑体" w:hAnsi="黑体" w:eastAsia="黑体"/>
          <w:kern w:val="0"/>
        </w:rPr>
        <w:t>6.2.3</w:t>
      </w:r>
      <w:r>
        <w:rPr>
          <w:rFonts w:hint="eastAsia" w:ascii="黑体" w:hAnsi="宋体" w:eastAsia="黑体"/>
          <w:kern w:val="0"/>
        </w:rPr>
        <w:t xml:space="preserve"> </w:t>
      </w:r>
      <w:r>
        <w:rPr>
          <w:rFonts w:hint="eastAsia" w:ascii="黑体" w:hAnsi="黑体" w:eastAsia="黑体"/>
          <w:kern w:val="0"/>
        </w:rPr>
        <w:t>总砷</w:t>
      </w:r>
    </w:p>
    <w:p>
      <w:pPr>
        <w:widowControl/>
        <w:spacing w:line="360" w:lineRule="exact"/>
        <w:ind w:firstLine="420" w:firstLineChars="200"/>
        <w:jc w:val="left"/>
        <w:rPr>
          <w:rFonts w:ascii="宋体" w:hAnsi="宋体"/>
          <w:kern w:val="0"/>
        </w:rPr>
      </w:pPr>
      <w:r>
        <w:rPr>
          <w:rFonts w:hint="eastAsia" w:ascii="宋体" w:hAnsi="宋体"/>
          <w:kern w:val="0"/>
        </w:rPr>
        <w:t>按GB 5009.11</w:t>
      </w:r>
      <w:r>
        <w:rPr>
          <w:rFonts w:hint="eastAsia" w:ascii="宋体" w:hAnsi="宋体"/>
          <w:kern w:val="0"/>
        </w:rPr>
        <w:t>规定执行。</w:t>
      </w:r>
    </w:p>
    <w:p>
      <w:pPr>
        <w:widowControl/>
        <w:spacing w:line="360" w:lineRule="exact"/>
        <w:jc w:val="left"/>
        <w:rPr>
          <w:rFonts w:ascii="黑体" w:hAnsi="宋体" w:eastAsia="黑体"/>
          <w:kern w:val="0"/>
        </w:rPr>
      </w:pPr>
      <w:r>
        <w:rPr>
          <w:rFonts w:hint="eastAsia" w:ascii="黑体" w:hAnsi="黑体" w:eastAsia="黑体"/>
          <w:kern w:val="0"/>
        </w:rPr>
        <w:t>6.2.4</w:t>
      </w:r>
      <w:r>
        <w:rPr>
          <w:rFonts w:hint="eastAsia" w:ascii="黑体" w:hAnsi="宋体" w:eastAsia="黑体"/>
          <w:kern w:val="0"/>
        </w:rPr>
        <w:t xml:space="preserve">  </w:t>
      </w:r>
      <w:r>
        <w:rPr>
          <w:rFonts w:hint="eastAsia" w:ascii="黑体" w:hAnsi="黑体" w:eastAsia="黑体"/>
          <w:kern w:val="0"/>
        </w:rPr>
        <w:t>铅</w:t>
      </w:r>
    </w:p>
    <w:p>
      <w:pPr>
        <w:widowControl/>
        <w:spacing w:line="360" w:lineRule="exact"/>
        <w:ind w:firstLine="420" w:firstLineChars="200"/>
        <w:jc w:val="left"/>
        <w:rPr>
          <w:rFonts w:ascii="宋体" w:hAnsi="宋体"/>
          <w:kern w:val="0"/>
        </w:rPr>
      </w:pPr>
      <w:r>
        <w:rPr>
          <w:rFonts w:hint="eastAsia" w:ascii="宋体" w:hAnsi="宋体"/>
        </w:rPr>
        <w:t>按</w:t>
      </w:r>
      <w:r>
        <w:rPr>
          <w:rFonts w:hint="eastAsia" w:ascii="宋体" w:hAnsi="宋体"/>
          <w:kern w:val="0"/>
        </w:rPr>
        <w:t>GB 5009.12规</w:t>
      </w:r>
      <w:r>
        <w:rPr>
          <w:rFonts w:hint="eastAsia" w:ascii="宋体" w:hAnsi="宋体"/>
        </w:rPr>
        <w:t>定执行</w:t>
      </w:r>
      <w:r>
        <w:rPr>
          <w:rFonts w:hint="eastAsia" w:ascii="宋体" w:hAnsi="宋体"/>
          <w:kern w:val="0"/>
        </w:rPr>
        <w:t>。</w:t>
      </w:r>
    </w:p>
    <w:p>
      <w:pPr>
        <w:widowControl/>
        <w:spacing w:line="360" w:lineRule="exact"/>
        <w:jc w:val="left"/>
        <w:rPr>
          <w:rFonts w:ascii="宋体" w:hAnsi="宋体"/>
        </w:rPr>
      </w:pPr>
      <w:r>
        <w:rPr>
          <w:rFonts w:hint="eastAsia" w:ascii="黑体" w:hAnsi="黑体" w:eastAsia="黑体"/>
          <w:kern w:val="0"/>
        </w:rPr>
        <w:t>6.2.5</w:t>
      </w:r>
      <w:r>
        <w:rPr>
          <w:rFonts w:hint="eastAsia" w:ascii="黑体" w:hAnsi="宋体" w:eastAsia="黑体"/>
          <w:kern w:val="0"/>
        </w:rPr>
        <w:t xml:space="preserve">  </w:t>
      </w:r>
      <w:r>
        <w:rPr>
          <w:rFonts w:hint="eastAsia" w:ascii="黑体" w:hAnsi="黑体" w:eastAsia="黑体"/>
          <w:kern w:val="0"/>
        </w:rPr>
        <w:t>铬</w:t>
      </w:r>
    </w:p>
    <w:p>
      <w:pPr>
        <w:widowControl/>
        <w:spacing w:line="360" w:lineRule="exact"/>
        <w:jc w:val="left"/>
        <w:rPr>
          <w:rFonts w:ascii="宋体" w:hAnsi="宋体"/>
        </w:rPr>
      </w:pPr>
      <w:r>
        <w:rPr>
          <w:rFonts w:hint="eastAsia" w:ascii="宋体" w:hAnsi="宋体"/>
        </w:rPr>
        <w:t xml:space="preserve">    按</w:t>
      </w:r>
      <w:r>
        <w:rPr>
          <w:rFonts w:hint="eastAsia" w:ascii="宋体" w:hAnsi="宋体"/>
          <w:kern w:val="0"/>
        </w:rPr>
        <w:t>GB 5009.123 规定执行</w:t>
      </w:r>
      <w:r>
        <w:rPr>
          <w:rFonts w:hint="eastAsia" w:ascii="宋体" w:hAnsi="宋体"/>
        </w:rPr>
        <w:t>。</w:t>
      </w:r>
    </w:p>
    <w:p>
      <w:pPr>
        <w:widowControl/>
        <w:spacing w:line="360" w:lineRule="exact"/>
        <w:jc w:val="left"/>
        <w:rPr>
          <w:rFonts w:ascii="黑体" w:hAnsi="宋体" w:eastAsia="黑体"/>
          <w:kern w:val="0"/>
        </w:rPr>
      </w:pPr>
      <w:r>
        <w:rPr>
          <w:rFonts w:hint="eastAsia" w:ascii="黑体" w:hAnsi="黑体" w:eastAsia="黑体"/>
          <w:kern w:val="0"/>
        </w:rPr>
        <w:t>6.2.6</w:t>
      </w:r>
      <w:r>
        <w:rPr>
          <w:rFonts w:hint="eastAsia" w:ascii="黑体" w:hAnsi="宋体" w:eastAsia="黑体"/>
          <w:kern w:val="0"/>
        </w:rPr>
        <w:t xml:space="preserve">  </w:t>
      </w:r>
      <w:r>
        <w:rPr>
          <w:rFonts w:hint="eastAsia" w:ascii="黑体" w:hAnsi="黑体" w:eastAsia="黑体"/>
          <w:kern w:val="0"/>
        </w:rPr>
        <w:t>镉</w:t>
      </w:r>
    </w:p>
    <w:p>
      <w:pPr>
        <w:widowControl/>
        <w:spacing w:line="360" w:lineRule="exact"/>
        <w:jc w:val="left"/>
        <w:rPr>
          <w:rFonts w:ascii="宋体" w:hAnsi="宋体"/>
        </w:rPr>
      </w:pPr>
      <w:r>
        <w:rPr>
          <w:rFonts w:hint="eastAsia" w:ascii="宋体" w:hAnsi="宋体"/>
        </w:rPr>
        <w:t xml:space="preserve">   按</w:t>
      </w:r>
      <w:r>
        <w:rPr>
          <w:rFonts w:hint="eastAsia" w:ascii="宋体" w:hAnsi="宋体"/>
          <w:kern w:val="0"/>
        </w:rPr>
        <w:t>GB 5009.15规定执</w:t>
      </w:r>
      <w:r>
        <w:rPr>
          <w:rFonts w:hint="eastAsia" w:ascii="宋体" w:hAnsi="宋体"/>
        </w:rPr>
        <w:t>行。</w:t>
      </w:r>
    </w:p>
    <w:p>
      <w:pPr>
        <w:widowControl/>
        <w:spacing w:line="360" w:lineRule="exact"/>
        <w:jc w:val="left"/>
        <w:rPr>
          <w:rFonts w:ascii="黑体" w:hAnsi="宋体" w:eastAsia="黑体"/>
          <w:kern w:val="0"/>
        </w:rPr>
      </w:pPr>
      <w:r>
        <w:rPr>
          <w:rFonts w:hint="eastAsia" w:ascii="黑体" w:hAnsi="黑体" w:eastAsia="黑体"/>
          <w:kern w:val="0"/>
        </w:rPr>
        <w:t>6.2.7</w:t>
      </w:r>
      <w:r>
        <w:rPr>
          <w:rFonts w:hint="eastAsia" w:ascii="黑体" w:hAnsi="宋体" w:eastAsia="黑体"/>
          <w:kern w:val="0"/>
        </w:rPr>
        <w:t xml:space="preserve">  </w:t>
      </w:r>
      <w:r>
        <w:rPr>
          <w:rFonts w:hint="eastAsia" w:ascii="黑体" w:hAnsi="黑体" w:eastAsia="黑体"/>
          <w:kern w:val="0"/>
        </w:rPr>
        <w:t>N-二甲基亚硝胺</w:t>
      </w:r>
    </w:p>
    <w:p>
      <w:pPr>
        <w:widowControl/>
        <w:spacing w:line="360" w:lineRule="exact"/>
        <w:ind w:firstLine="420" w:firstLineChars="200"/>
        <w:jc w:val="left"/>
        <w:rPr>
          <w:rFonts w:ascii="宋体" w:hAnsi="宋体"/>
        </w:rPr>
      </w:pPr>
      <w:r>
        <w:rPr>
          <w:rFonts w:hint="eastAsia" w:ascii="宋体" w:hAnsi="宋体"/>
          <w:kern w:val="0"/>
        </w:rPr>
        <w:t>按GB 5009.26规定执</w:t>
      </w:r>
      <w:r>
        <w:rPr>
          <w:rFonts w:hint="eastAsia" w:ascii="宋体" w:hAnsi="宋体"/>
        </w:rPr>
        <w:t>行</w:t>
      </w:r>
    </w:p>
    <w:p>
      <w:pPr>
        <w:widowControl/>
        <w:spacing w:line="360" w:lineRule="exact"/>
        <w:jc w:val="left"/>
        <w:rPr>
          <w:rFonts w:ascii="黑体" w:hAnsi="宋体" w:eastAsia="黑体"/>
          <w:kern w:val="0"/>
        </w:rPr>
      </w:pPr>
      <w:r>
        <w:rPr>
          <w:rFonts w:hint="eastAsia" w:ascii="黑体" w:hAnsi="黑体" w:eastAsia="黑体"/>
          <w:kern w:val="0"/>
        </w:rPr>
        <w:t>6.2.8</w:t>
      </w:r>
      <w:r>
        <w:rPr>
          <w:rFonts w:hint="eastAsia" w:ascii="黑体" w:hAnsi="宋体" w:eastAsia="黑体"/>
          <w:kern w:val="0"/>
        </w:rPr>
        <w:t xml:space="preserve">  </w:t>
      </w:r>
      <w:r>
        <w:rPr>
          <w:rFonts w:hint="eastAsia" w:ascii="黑体" w:hAnsi="黑体" w:eastAsia="黑体"/>
          <w:kern w:val="0"/>
        </w:rPr>
        <w:t>总汞</w:t>
      </w:r>
    </w:p>
    <w:p>
      <w:pPr>
        <w:widowControl/>
        <w:spacing w:line="360" w:lineRule="exact"/>
        <w:ind w:firstLine="420" w:firstLineChars="200"/>
        <w:jc w:val="left"/>
        <w:rPr>
          <w:rFonts w:hint="eastAsia" w:ascii="宋体" w:hAnsi="宋体"/>
          <w:kern w:val="0"/>
        </w:rPr>
      </w:pPr>
      <w:r>
        <w:rPr>
          <w:rFonts w:hint="eastAsia" w:ascii="宋体" w:hAnsi="宋体"/>
          <w:kern w:val="0"/>
        </w:rPr>
        <w:t>按GB 5009.17规定执行</w:t>
      </w:r>
      <w:r>
        <w:rPr>
          <w:rFonts w:hint="eastAsia" w:ascii="宋体" w:hAnsi="宋体"/>
          <w:kern w:val="0"/>
        </w:rPr>
        <w:t>。</w:t>
      </w:r>
    </w:p>
    <w:p>
      <w:pPr>
        <w:widowControl/>
        <w:spacing w:line="360" w:lineRule="exact"/>
        <w:jc w:val="left"/>
        <w:rPr>
          <w:rFonts w:ascii="黑体" w:hAnsi="宋体" w:eastAsia="黑体"/>
          <w:kern w:val="0"/>
        </w:rPr>
      </w:pPr>
      <w:r>
        <w:rPr>
          <w:rFonts w:hint="eastAsia" w:ascii="黑体" w:hAnsi="黑体" w:eastAsia="黑体"/>
          <w:kern w:val="0"/>
        </w:rPr>
        <w:t>6.2.9</w:t>
      </w:r>
      <w:r>
        <w:rPr>
          <w:rFonts w:hint="eastAsia" w:ascii="黑体" w:hAnsi="宋体" w:eastAsia="黑体"/>
          <w:kern w:val="0"/>
        </w:rPr>
        <w:t xml:space="preserve">  </w:t>
      </w:r>
      <w:r>
        <w:rPr>
          <w:rFonts w:hint="eastAsia" w:ascii="黑体" w:hAnsi="黑体" w:eastAsia="黑体"/>
          <w:kern w:val="0"/>
        </w:rPr>
        <w:t>亚硝酸盐</w:t>
      </w:r>
    </w:p>
    <w:p>
      <w:pPr>
        <w:widowControl/>
        <w:spacing w:line="360" w:lineRule="exact"/>
        <w:ind w:firstLine="420" w:firstLineChars="200"/>
        <w:jc w:val="left"/>
        <w:rPr>
          <w:rFonts w:hint="eastAsia" w:ascii="宋体" w:hAnsi="宋体"/>
          <w:kern w:val="0"/>
        </w:rPr>
      </w:pPr>
      <w:r>
        <w:rPr>
          <w:rFonts w:hint="eastAsia" w:ascii="宋体" w:hAnsi="宋体"/>
          <w:kern w:val="0"/>
        </w:rPr>
        <w:t>按GB 5009.33规定执行</w:t>
      </w:r>
      <w:r>
        <w:rPr>
          <w:rFonts w:hint="eastAsia" w:ascii="宋体" w:hAnsi="宋体"/>
          <w:kern w:val="0"/>
        </w:rPr>
        <w:t>。</w:t>
      </w:r>
    </w:p>
    <w:p>
      <w:pPr>
        <w:widowControl/>
        <w:spacing w:line="360" w:lineRule="exact"/>
        <w:jc w:val="left"/>
        <w:rPr>
          <w:rFonts w:ascii="黑体" w:hAnsi="宋体" w:eastAsia="黑体"/>
          <w:kern w:val="0"/>
        </w:rPr>
      </w:pPr>
      <w:r>
        <w:rPr>
          <w:rFonts w:hint="eastAsia" w:ascii="黑体" w:hAnsi="黑体" w:eastAsia="黑体"/>
          <w:kern w:val="0"/>
        </w:rPr>
        <w:t>6.2.10</w:t>
      </w:r>
      <w:r>
        <w:rPr>
          <w:rFonts w:hint="eastAsia" w:ascii="黑体" w:hAnsi="宋体" w:eastAsia="黑体"/>
          <w:kern w:val="0"/>
        </w:rPr>
        <w:t xml:space="preserve">  </w:t>
      </w:r>
      <w:r>
        <w:rPr>
          <w:rFonts w:hint="eastAsia" w:ascii="黑体" w:hAnsi="黑体" w:eastAsia="黑体"/>
          <w:kern w:val="0"/>
        </w:rPr>
        <w:t>菌落总数</w:t>
      </w:r>
    </w:p>
    <w:p>
      <w:pPr>
        <w:widowControl/>
        <w:spacing w:line="360" w:lineRule="exact"/>
        <w:ind w:firstLine="420" w:firstLineChars="200"/>
        <w:jc w:val="left"/>
        <w:rPr>
          <w:rFonts w:hint="eastAsia" w:ascii="宋体" w:hAnsi="宋体"/>
          <w:kern w:val="0"/>
        </w:rPr>
      </w:pPr>
      <w:bookmarkStart w:id="41" w:name="_GoBack"/>
      <w:r>
        <w:rPr>
          <w:rFonts w:hint="eastAsia" w:ascii="宋体" w:hAnsi="宋体"/>
          <w:kern w:val="0"/>
        </w:rPr>
        <w:t>按GB 4789.2规定执行。</w:t>
      </w:r>
    </w:p>
    <w:bookmarkEnd w:id="41"/>
    <w:p>
      <w:pPr>
        <w:widowControl/>
        <w:spacing w:line="360" w:lineRule="exact"/>
        <w:jc w:val="left"/>
        <w:rPr>
          <w:rFonts w:ascii="宋体" w:hAnsi="宋体"/>
        </w:rPr>
      </w:pPr>
      <w:r>
        <w:rPr>
          <w:rFonts w:hint="eastAsia" w:ascii="黑体" w:hAnsi="黑体"/>
        </w:rPr>
        <w:t>6.2.11  大肠菌群</w:t>
      </w:r>
    </w:p>
    <w:p>
      <w:pPr>
        <w:widowControl/>
        <w:spacing w:line="360" w:lineRule="exact"/>
        <w:ind w:firstLine="315" w:firstLineChars="150"/>
        <w:jc w:val="left"/>
        <w:rPr>
          <w:rFonts w:ascii="宋体" w:hAnsi="宋体"/>
        </w:rPr>
      </w:pPr>
      <w:r>
        <w:rPr>
          <w:rFonts w:hint="eastAsia" w:ascii="宋体" w:hAnsi="宋体"/>
        </w:rPr>
        <w:t>按GB 4789.3 规定执行。</w:t>
      </w:r>
    </w:p>
    <w:p>
      <w:pPr>
        <w:widowControl/>
        <w:spacing w:line="360" w:lineRule="exact"/>
        <w:jc w:val="left"/>
        <w:rPr>
          <w:rFonts w:ascii="黑体" w:hAnsi="黑体" w:eastAsia="黑体"/>
          <w:kern w:val="0"/>
        </w:rPr>
      </w:pPr>
      <w:r>
        <w:rPr>
          <w:rFonts w:hint="eastAsia" w:ascii="黑体" w:hAnsi="黑体" w:eastAsia="黑体"/>
          <w:kern w:val="0"/>
        </w:rPr>
        <w:t>6.2.11 沙门氏菌</w:t>
      </w:r>
    </w:p>
    <w:p>
      <w:pPr>
        <w:widowControl/>
        <w:spacing w:line="360" w:lineRule="exact"/>
        <w:ind w:firstLine="315" w:firstLineChars="150"/>
        <w:jc w:val="left"/>
        <w:rPr>
          <w:rFonts w:ascii="宋体" w:hAnsi="宋体"/>
        </w:rPr>
      </w:pPr>
      <w:r>
        <w:rPr>
          <w:rFonts w:hint="eastAsia" w:ascii="宋体" w:hAnsi="宋体"/>
        </w:rPr>
        <w:t>按GB 4789.4规定执行。</w:t>
      </w:r>
    </w:p>
    <w:p>
      <w:pPr>
        <w:widowControl/>
        <w:spacing w:line="360" w:lineRule="exact"/>
        <w:jc w:val="left"/>
        <w:rPr>
          <w:rFonts w:ascii="黑体" w:hAnsi="黑体" w:eastAsia="黑体"/>
          <w:kern w:val="0"/>
        </w:rPr>
      </w:pPr>
      <w:r>
        <w:rPr>
          <w:rFonts w:hint="eastAsia" w:ascii="黑体" w:hAnsi="黑体" w:eastAsia="黑体"/>
          <w:kern w:val="0"/>
        </w:rPr>
        <w:t>6.2.12 金黄色葡萄球菌</w:t>
      </w:r>
    </w:p>
    <w:p>
      <w:pPr>
        <w:widowControl/>
        <w:spacing w:line="360" w:lineRule="exact"/>
        <w:ind w:firstLine="315" w:firstLineChars="150"/>
        <w:jc w:val="left"/>
        <w:rPr>
          <w:rFonts w:ascii="宋体" w:hAnsi="宋体"/>
        </w:rPr>
      </w:pPr>
      <w:r>
        <w:rPr>
          <w:rFonts w:hint="eastAsia" w:ascii="宋体" w:hAnsi="宋体"/>
        </w:rPr>
        <w:t>按GB 4789.10中第二法规定执行。</w:t>
      </w:r>
    </w:p>
    <w:p>
      <w:pPr>
        <w:widowControl/>
        <w:spacing w:line="360" w:lineRule="exact"/>
        <w:jc w:val="left"/>
        <w:rPr>
          <w:rFonts w:ascii="黑体" w:hAnsi="黑体" w:eastAsia="黑体"/>
          <w:kern w:val="0"/>
        </w:rPr>
      </w:pPr>
      <w:r>
        <w:rPr>
          <w:rFonts w:hint="eastAsia" w:ascii="黑体" w:hAnsi="黑体" w:eastAsia="黑体"/>
          <w:kern w:val="0"/>
        </w:rPr>
        <w:t>6.2.13 单核细胞增生李斯特氏菌</w:t>
      </w:r>
    </w:p>
    <w:p>
      <w:pPr>
        <w:widowControl/>
        <w:spacing w:line="360" w:lineRule="exact"/>
        <w:ind w:firstLine="315" w:firstLineChars="150"/>
        <w:jc w:val="left"/>
        <w:rPr>
          <w:rFonts w:ascii="宋体" w:hAnsi="宋体"/>
        </w:rPr>
      </w:pPr>
      <w:r>
        <w:rPr>
          <w:rFonts w:hint="eastAsia" w:ascii="宋体" w:hAnsi="宋体"/>
        </w:rPr>
        <w:t>按GB 4789.30规定执行。</w:t>
      </w:r>
    </w:p>
    <w:p>
      <w:pPr>
        <w:widowControl/>
        <w:spacing w:line="360" w:lineRule="exact"/>
        <w:jc w:val="left"/>
        <w:rPr>
          <w:rFonts w:ascii="黑体" w:hAnsi="黑体" w:eastAsia="黑体"/>
          <w:kern w:val="0"/>
        </w:rPr>
      </w:pPr>
      <w:r>
        <w:rPr>
          <w:rFonts w:hint="eastAsia" w:ascii="黑体" w:hAnsi="黑体" w:eastAsia="黑体"/>
          <w:kern w:val="0"/>
        </w:rPr>
        <w:t>6.2.14 致泻大肠埃希氏菌</w:t>
      </w:r>
    </w:p>
    <w:p>
      <w:pPr>
        <w:widowControl/>
        <w:spacing w:line="360" w:lineRule="exact"/>
        <w:ind w:firstLine="315" w:firstLineChars="150"/>
        <w:jc w:val="left"/>
        <w:rPr>
          <w:rFonts w:ascii="宋体" w:hAnsi="宋体"/>
        </w:rPr>
      </w:pPr>
      <w:r>
        <w:rPr>
          <w:rFonts w:hint="eastAsia" w:ascii="宋体" w:hAnsi="宋体"/>
        </w:rPr>
        <w:t>按GB 4789.6规定执行。</w:t>
      </w:r>
    </w:p>
    <w:p>
      <w:pPr>
        <w:pStyle w:val="234"/>
        <w:widowControl w:val="0"/>
        <w:spacing w:line="360" w:lineRule="exact"/>
        <w:rPr>
          <w:rFonts w:ascii="黑体" w:hAnsi="黑体"/>
        </w:rPr>
      </w:pPr>
      <w:r>
        <w:rPr>
          <w:rFonts w:hint="eastAsia"/>
        </w:rPr>
        <w:t xml:space="preserve">6.3  </w:t>
      </w:r>
      <w:r>
        <w:rPr>
          <w:rFonts w:hint="eastAsia" w:ascii="黑体" w:hAnsi="黑体"/>
        </w:rPr>
        <w:t>净含量</w:t>
      </w:r>
    </w:p>
    <w:p>
      <w:pPr>
        <w:widowControl/>
        <w:spacing w:line="360" w:lineRule="exact"/>
        <w:ind w:firstLine="420" w:firstLineChars="200"/>
        <w:jc w:val="left"/>
        <w:rPr>
          <w:rFonts w:ascii="宋体" w:hAnsi="宋体"/>
        </w:rPr>
      </w:pPr>
      <w:r>
        <w:rPr>
          <w:rFonts w:hint="eastAsia" w:ascii="宋体" w:hAnsi="宋体"/>
        </w:rPr>
        <w:t>按</w:t>
      </w:r>
      <w:r>
        <w:rPr>
          <w:rFonts w:hint="eastAsia"/>
        </w:rPr>
        <w:t>JJF 1070</w:t>
      </w:r>
      <w:r>
        <w:rPr>
          <w:rFonts w:hint="eastAsia" w:ascii="宋体" w:hAnsi="宋体"/>
        </w:rPr>
        <w:t>的规定执行。</w:t>
      </w:r>
    </w:p>
    <w:p>
      <w:pPr>
        <w:widowControl/>
        <w:spacing w:line="360" w:lineRule="exact"/>
        <w:ind w:firstLine="420" w:firstLineChars="200"/>
        <w:jc w:val="left"/>
        <w:rPr>
          <w:rFonts w:ascii="宋体" w:hAnsi="宋体"/>
        </w:rPr>
      </w:pPr>
      <w:r>
        <w:rPr>
          <w:rFonts w:hint="eastAsia" w:ascii="宋体" w:hAnsi="宋体"/>
        </w:rPr>
        <w:t xml:space="preserve"> </w:t>
      </w:r>
    </w:p>
    <w:p>
      <w:pPr>
        <w:pStyle w:val="233"/>
        <w:spacing w:before="120" w:after="120" w:line="320" w:lineRule="exact"/>
      </w:pPr>
      <w:r>
        <w:rPr>
          <w:rFonts w:hint="eastAsia"/>
        </w:rPr>
        <w:t>7  检验规则</w:t>
      </w:r>
    </w:p>
    <w:p>
      <w:pPr>
        <w:pStyle w:val="234"/>
        <w:spacing w:line="320" w:lineRule="exact"/>
        <w:rPr>
          <w:rFonts w:ascii="黑体" w:hAnsi="黑体"/>
        </w:rPr>
      </w:pPr>
      <w:r>
        <w:rPr>
          <w:rFonts w:hint="eastAsia"/>
        </w:rPr>
        <w:t xml:space="preserve">7.1 </w:t>
      </w:r>
      <w:r>
        <w:rPr>
          <w:rFonts w:hint="eastAsia" w:ascii="黑体" w:hAnsi="黑体"/>
        </w:rPr>
        <w:t>原辅材料入库检验</w:t>
      </w:r>
    </w:p>
    <w:p>
      <w:pPr>
        <w:pStyle w:val="232"/>
        <w:spacing w:line="320" w:lineRule="exact"/>
        <w:ind w:firstLine="420"/>
      </w:pPr>
      <w:r>
        <w:rPr>
          <w:rFonts w:hint="eastAsia"/>
        </w:rPr>
        <w:t>原料入库前应由生产单位技术检验部门按原料质量标准验收，合格后方可入库使用。</w:t>
      </w:r>
    </w:p>
    <w:p>
      <w:pPr>
        <w:pStyle w:val="234"/>
        <w:spacing w:line="320" w:lineRule="exact"/>
        <w:rPr>
          <w:rFonts w:ascii="黑体" w:hAnsi="黑体"/>
        </w:rPr>
      </w:pPr>
      <w:r>
        <w:rPr>
          <w:rFonts w:hint="eastAsia"/>
        </w:rPr>
        <w:t xml:space="preserve">7.2 </w:t>
      </w:r>
      <w:r>
        <w:rPr>
          <w:rFonts w:hint="eastAsia" w:ascii="黑体" w:hAnsi="黑体"/>
        </w:rPr>
        <w:t>出厂检验</w:t>
      </w:r>
    </w:p>
    <w:p>
      <w:pPr>
        <w:pStyle w:val="232"/>
        <w:spacing w:line="320" w:lineRule="exact"/>
        <w:ind w:firstLine="420"/>
      </w:pPr>
      <w:r>
        <w:rPr>
          <w:rFonts w:hint="eastAsia"/>
        </w:rPr>
        <w:t>每批产品应由本厂质检部门，按出厂检验项目进行检验。检验合格后方准出厂。</w:t>
      </w:r>
    </w:p>
    <w:p>
      <w:pPr>
        <w:pStyle w:val="235"/>
        <w:spacing w:line="320" w:lineRule="exact"/>
        <w:rPr>
          <w:rFonts w:ascii="黑体" w:hAnsi="黑体"/>
        </w:rPr>
      </w:pPr>
      <w:r>
        <w:rPr>
          <w:rFonts w:hint="eastAsia"/>
        </w:rPr>
        <w:t xml:space="preserve">7.2.1 </w:t>
      </w:r>
      <w:r>
        <w:rPr>
          <w:rFonts w:hint="eastAsia" w:ascii="黑体" w:hAnsi="黑体"/>
        </w:rPr>
        <w:t>组批和抽样</w:t>
      </w:r>
    </w:p>
    <w:p>
      <w:pPr>
        <w:pStyle w:val="232"/>
        <w:spacing w:line="320" w:lineRule="exact"/>
        <w:ind w:firstLine="420"/>
      </w:pPr>
      <w:r>
        <w:rPr>
          <w:rFonts w:hint="eastAsia"/>
        </w:rPr>
        <w:t>同一批原料、同一生产线、同一班次生产的同一生产日期、同一规格的产品为一批。每批抽样数独立包装应不少于5个（不含净含量抽样），样品量总数不少于500g，检样一式二份，供检验和复检备用。</w:t>
      </w:r>
    </w:p>
    <w:p>
      <w:pPr>
        <w:pStyle w:val="235"/>
        <w:spacing w:line="320" w:lineRule="exact"/>
        <w:rPr>
          <w:rFonts w:ascii="黑体" w:hAnsi="黑体"/>
        </w:rPr>
      </w:pPr>
      <w:r>
        <w:rPr>
          <w:rFonts w:hint="eastAsia"/>
        </w:rPr>
        <w:t>7.2.2</w:t>
      </w:r>
      <w:r>
        <w:rPr>
          <w:rFonts w:hint="eastAsia" w:ascii="黑体" w:hAnsi="黑体"/>
        </w:rPr>
        <w:t>检验项目</w:t>
      </w:r>
    </w:p>
    <w:p>
      <w:pPr>
        <w:pStyle w:val="232"/>
        <w:spacing w:line="320" w:lineRule="exact"/>
        <w:ind w:firstLine="420"/>
        <w:rPr>
          <w:rFonts w:ascii="Times New Roman"/>
        </w:rPr>
      </w:pPr>
      <w:r>
        <w:rPr>
          <w:rFonts w:hint="eastAsia"/>
        </w:rPr>
        <w:t>检验项目为感官品质、净含量、菌落总数和大肠菌群。</w:t>
      </w:r>
    </w:p>
    <w:p>
      <w:pPr>
        <w:pStyle w:val="235"/>
        <w:spacing w:line="320" w:lineRule="exact"/>
        <w:rPr>
          <w:rFonts w:ascii="黑体" w:hAnsi="黑体"/>
        </w:rPr>
      </w:pPr>
      <w:r>
        <w:rPr>
          <w:rFonts w:hint="eastAsia"/>
        </w:rPr>
        <w:t xml:space="preserve">7.2.3 </w:t>
      </w:r>
      <w:r>
        <w:rPr>
          <w:rFonts w:hint="eastAsia" w:ascii="黑体" w:hAnsi="黑体"/>
        </w:rPr>
        <w:t>判定规则</w:t>
      </w:r>
    </w:p>
    <w:p>
      <w:pPr>
        <w:pStyle w:val="232"/>
        <w:spacing w:line="320" w:lineRule="exact"/>
        <w:ind w:firstLine="420"/>
      </w:pPr>
      <w:r>
        <w:rPr>
          <w:rFonts w:hint="eastAsia"/>
        </w:rPr>
        <w:t>出厂检验项目全部符合本标准时，判定为合格。检验结果中如微生物指标不合格，则判该批产品为不合格品并不得复检。如其它项目不合格，允许加倍抽样对不合格项目进行复检，如仍有1项指标不合格，判该批产品为不合格品。</w:t>
      </w:r>
    </w:p>
    <w:p>
      <w:pPr>
        <w:pStyle w:val="234"/>
        <w:spacing w:line="320" w:lineRule="exact"/>
        <w:rPr>
          <w:rFonts w:ascii="黑体" w:hAnsi="黑体"/>
        </w:rPr>
      </w:pPr>
      <w:r>
        <w:rPr>
          <w:rFonts w:hint="eastAsia"/>
        </w:rPr>
        <w:t xml:space="preserve">7.3 </w:t>
      </w:r>
      <w:r>
        <w:rPr>
          <w:rFonts w:hint="eastAsia" w:ascii="黑体" w:hAnsi="黑体"/>
        </w:rPr>
        <w:t>型式检验</w:t>
      </w:r>
    </w:p>
    <w:p>
      <w:pPr>
        <w:pStyle w:val="232"/>
        <w:spacing w:line="320" w:lineRule="exact"/>
        <w:ind w:firstLine="420"/>
        <w:rPr>
          <w:rFonts w:ascii="Times New Roman"/>
        </w:rPr>
      </w:pPr>
      <w:r>
        <w:rPr>
          <w:rFonts w:hint="eastAsia"/>
        </w:rPr>
        <w:t>型式检验正常生产每半年进行一次，有下列情况之一，应进行型式检验：</w:t>
      </w:r>
    </w:p>
    <w:p>
      <w:pPr>
        <w:pStyle w:val="232"/>
        <w:numPr>
          <w:ilvl w:val="0"/>
          <w:numId w:val="33"/>
        </w:numPr>
        <w:spacing w:line="320" w:lineRule="exact"/>
        <w:ind w:firstLineChars="0"/>
      </w:pPr>
      <w:r>
        <w:rPr>
          <w:rFonts w:hint="eastAsia"/>
        </w:rPr>
        <w:t>新产品投产前；</w:t>
      </w:r>
    </w:p>
    <w:p>
      <w:pPr>
        <w:pStyle w:val="232"/>
        <w:numPr>
          <w:ilvl w:val="0"/>
          <w:numId w:val="33"/>
        </w:numPr>
        <w:spacing w:line="320" w:lineRule="exact"/>
        <w:ind w:firstLineChars="0"/>
      </w:pPr>
      <w:r>
        <w:rPr>
          <w:rFonts w:hint="eastAsia"/>
        </w:rPr>
        <w:t>原辅材料产地或供应商发生改变时；</w:t>
      </w:r>
    </w:p>
    <w:p>
      <w:pPr>
        <w:pStyle w:val="232"/>
        <w:numPr>
          <w:ilvl w:val="0"/>
          <w:numId w:val="33"/>
        </w:numPr>
        <w:spacing w:line="320" w:lineRule="exact"/>
        <w:ind w:firstLineChars="0"/>
      </w:pPr>
      <w:r>
        <w:rPr>
          <w:rFonts w:hint="eastAsia"/>
        </w:rPr>
        <w:t>停产三个月以上，恢复生产时；</w:t>
      </w:r>
    </w:p>
    <w:p>
      <w:pPr>
        <w:pStyle w:val="232"/>
        <w:numPr>
          <w:ilvl w:val="0"/>
          <w:numId w:val="33"/>
        </w:numPr>
        <w:spacing w:line="320" w:lineRule="exact"/>
        <w:ind w:firstLineChars="0"/>
      </w:pPr>
      <w:r>
        <w:rPr>
          <w:rFonts w:hint="eastAsia"/>
        </w:rPr>
        <w:t>出厂检验的结果与上次型式检验的结果有较大差异时；</w:t>
      </w:r>
    </w:p>
    <w:p>
      <w:pPr>
        <w:pStyle w:val="232"/>
        <w:numPr>
          <w:ilvl w:val="0"/>
          <w:numId w:val="33"/>
        </w:numPr>
        <w:spacing w:line="320" w:lineRule="exact"/>
        <w:ind w:firstLineChars="0"/>
      </w:pPr>
      <w:r>
        <w:rPr>
          <w:rFonts w:hint="eastAsia"/>
        </w:rPr>
        <w:t>更换主要生产设备时；</w:t>
      </w:r>
    </w:p>
    <w:p>
      <w:pPr>
        <w:pStyle w:val="232"/>
        <w:numPr>
          <w:ilvl w:val="0"/>
          <w:numId w:val="33"/>
        </w:numPr>
        <w:spacing w:line="320" w:lineRule="exact"/>
        <w:ind w:firstLineChars="0"/>
      </w:pPr>
      <w:r>
        <w:rPr>
          <w:rFonts w:hint="eastAsia"/>
        </w:rPr>
        <w:t>食品安全监督部门提出要求时。</w:t>
      </w:r>
    </w:p>
    <w:p>
      <w:pPr>
        <w:pStyle w:val="235"/>
        <w:spacing w:line="320" w:lineRule="exact"/>
        <w:rPr>
          <w:rFonts w:ascii="黑体" w:hAnsi="黑体"/>
        </w:rPr>
      </w:pPr>
      <w:r>
        <w:rPr>
          <w:rFonts w:hint="eastAsia"/>
        </w:rPr>
        <w:t xml:space="preserve">7.4 </w:t>
      </w:r>
      <w:r>
        <w:rPr>
          <w:rFonts w:hint="eastAsia" w:ascii="黑体" w:hAnsi="黑体"/>
        </w:rPr>
        <w:t>组批和抽样</w:t>
      </w:r>
    </w:p>
    <w:p>
      <w:pPr>
        <w:pStyle w:val="232"/>
        <w:spacing w:line="320" w:lineRule="exact"/>
        <w:ind w:firstLine="420"/>
      </w:pPr>
      <w:r>
        <w:rPr>
          <w:rFonts w:hint="eastAsia"/>
        </w:rPr>
        <w:t>同一批原料、同一生产线、同一班次生产的同一生产日期、同一规格的产品为一批。每批抽样数独立包装应不少于5个（不含净含量抽样），样品量总数不少于500g，检样一式二份，供检验和复检备用。</w:t>
      </w:r>
    </w:p>
    <w:p>
      <w:pPr>
        <w:pStyle w:val="235"/>
        <w:spacing w:line="320" w:lineRule="exact"/>
        <w:rPr>
          <w:rFonts w:ascii="黑体" w:hAnsi="黑体"/>
        </w:rPr>
      </w:pPr>
      <w:r>
        <w:rPr>
          <w:rFonts w:hint="eastAsia"/>
        </w:rPr>
        <w:t xml:space="preserve">7.5  </w:t>
      </w:r>
      <w:r>
        <w:rPr>
          <w:rFonts w:hint="eastAsia" w:ascii="黑体" w:hAnsi="黑体"/>
        </w:rPr>
        <w:t>检验项目</w:t>
      </w:r>
    </w:p>
    <w:p>
      <w:pPr>
        <w:pStyle w:val="232"/>
        <w:spacing w:line="320" w:lineRule="exact"/>
        <w:ind w:firstLine="420"/>
        <w:rPr>
          <w:rFonts w:ascii="Times New Roman"/>
        </w:rPr>
      </w:pPr>
      <w:r>
        <w:rPr>
          <w:rFonts w:hint="eastAsia"/>
        </w:rPr>
        <w:t>本标准第</w:t>
      </w:r>
      <w:r>
        <w:rPr>
          <w:rFonts w:hint="eastAsia" w:ascii="Times New Roman" w:hAnsi="Times New Roman" w:cs="Times New Roman"/>
        </w:rPr>
        <w:t>4</w:t>
      </w:r>
      <w:r>
        <w:rPr>
          <w:rFonts w:hint="eastAsia"/>
        </w:rPr>
        <w:t>章的全部项目和标签。</w:t>
      </w:r>
    </w:p>
    <w:p>
      <w:pPr>
        <w:pStyle w:val="235"/>
        <w:spacing w:line="320" w:lineRule="exact"/>
        <w:rPr>
          <w:rFonts w:ascii="黑体" w:hAnsi="黑体"/>
        </w:rPr>
      </w:pPr>
      <w:r>
        <w:rPr>
          <w:rFonts w:hint="eastAsia"/>
        </w:rPr>
        <w:t xml:space="preserve">7.6 </w:t>
      </w:r>
      <w:r>
        <w:rPr>
          <w:rFonts w:hint="eastAsia" w:ascii="黑体" w:hAnsi="黑体"/>
        </w:rPr>
        <w:t>判定规则</w:t>
      </w:r>
    </w:p>
    <w:p>
      <w:pPr>
        <w:pStyle w:val="232"/>
        <w:spacing w:line="320" w:lineRule="exact"/>
        <w:ind w:firstLine="420"/>
        <w:rPr>
          <w:rFonts w:ascii="Times New Roman"/>
        </w:rPr>
      </w:pPr>
      <w:r>
        <w:rPr>
          <w:rFonts w:hint="eastAsia"/>
        </w:rPr>
        <w:t>型式检验项目全部符合本标准时，判定为合格。检验结果中如微生物指标不合格，则判该批产品为不合格品并不得复检。如其它项目不合格，允许加倍抽样对不合格项目进行复检，如仍有1项指标不合格，判该批产品为不合格品。</w:t>
      </w:r>
    </w:p>
    <w:p>
      <w:pPr>
        <w:pStyle w:val="233"/>
        <w:spacing w:before="120" w:after="120" w:line="320" w:lineRule="exact"/>
      </w:pPr>
      <w:r>
        <w:rPr>
          <w:rFonts w:hint="eastAsia"/>
        </w:rPr>
        <w:t>8  标签、标志、包装、运输、贮存、保质期</w:t>
      </w:r>
    </w:p>
    <w:p>
      <w:pPr>
        <w:pStyle w:val="234"/>
        <w:spacing w:line="320" w:lineRule="exact"/>
        <w:rPr>
          <w:rFonts w:ascii="黑体" w:hAnsi="黑体"/>
        </w:rPr>
      </w:pPr>
      <w:r>
        <w:rPr>
          <w:rFonts w:hint="eastAsia"/>
        </w:rPr>
        <w:t xml:space="preserve">8.1 </w:t>
      </w:r>
      <w:r>
        <w:rPr>
          <w:rFonts w:hint="eastAsia" w:ascii="黑体" w:hAnsi="黑体"/>
        </w:rPr>
        <w:t>标签及标志</w:t>
      </w:r>
    </w:p>
    <w:p>
      <w:pPr>
        <w:pStyle w:val="235"/>
        <w:spacing w:line="320" w:lineRule="exact"/>
        <w:rPr>
          <w:rFonts w:ascii="新宋体" w:hAnsi="新宋体" w:eastAsia="新宋体"/>
        </w:rPr>
      </w:pPr>
      <w:r>
        <w:rPr>
          <w:rFonts w:hint="eastAsia" w:ascii="新宋体" w:hAnsi="新宋体" w:eastAsia="新宋体"/>
        </w:rPr>
        <w:t>8.1.1 标签应符合GB 7718、GB 28050和《食品标识管理规定》规定执行。</w:t>
      </w:r>
    </w:p>
    <w:p>
      <w:pPr>
        <w:pStyle w:val="235"/>
        <w:spacing w:line="320" w:lineRule="exact"/>
        <w:rPr>
          <w:rFonts w:ascii="新宋体" w:hAnsi="新宋体" w:eastAsia="新宋体"/>
        </w:rPr>
      </w:pPr>
      <w:r>
        <w:rPr>
          <w:rFonts w:hint="eastAsia" w:ascii="新宋体" w:hAnsi="新宋体" w:eastAsia="新宋体"/>
        </w:rPr>
        <w:t>8.1.2 包装储运图示标志应符合GB/T 191的规定。</w:t>
      </w:r>
    </w:p>
    <w:p>
      <w:pPr>
        <w:pStyle w:val="234"/>
        <w:spacing w:line="320" w:lineRule="exact"/>
        <w:rPr>
          <w:rFonts w:ascii="黑体" w:hAnsi="黑体"/>
        </w:rPr>
      </w:pPr>
      <w:r>
        <w:rPr>
          <w:rFonts w:hint="eastAsia"/>
        </w:rPr>
        <w:t xml:space="preserve">8.2 </w:t>
      </w:r>
      <w:r>
        <w:rPr>
          <w:rFonts w:hint="eastAsia" w:ascii="黑体" w:hAnsi="黑体"/>
        </w:rPr>
        <w:t xml:space="preserve"> 包装</w:t>
      </w:r>
    </w:p>
    <w:p>
      <w:pPr>
        <w:pStyle w:val="232"/>
        <w:spacing w:line="320" w:lineRule="exact"/>
        <w:ind w:firstLine="420"/>
      </w:pPr>
      <w:r>
        <w:rPr>
          <w:rFonts w:hint="eastAsia"/>
          <w:kern w:val="2"/>
        </w:rPr>
        <w:t>销售包装材</w:t>
      </w:r>
      <w:r>
        <w:rPr>
          <w:rFonts w:hint="eastAsia"/>
        </w:rPr>
        <w:t>料应清洁、无毒、无异味，产品包装应符合GB 4806.4和 GB 4806.7的规定，外包装应符合GB/T 6543规定。包装应封口严密，食用方便。</w:t>
      </w:r>
    </w:p>
    <w:p>
      <w:pPr>
        <w:pStyle w:val="234"/>
        <w:spacing w:line="320" w:lineRule="exact"/>
        <w:rPr>
          <w:rFonts w:ascii="黑体" w:hAnsi="黑体"/>
        </w:rPr>
      </w:pPr>
      <w:r>
        <w:rPr>
          <w:rFonts w:hint="eastAsia"/>
        </w:rPr>
        <w:t xml:space="preserve">8.3 </w:t>
      </w:r>
      <w:r>
        <w:rPr>
          <w:rFonts w:hint="eastAsia" w:ascii="黑体" w:hAnsi="黑体"/>
        </w:rPr>
        <w:t xml:space="preserve"> 运输</w:t>
      </w:r>
    </w:p>
    <w:p>
      <w:pPr>
        <w:pStyle w:val="232"/>
        <w:spacing w:line="320" w:lineRule="exact"/>
        <w:ind w:firstLine="420"/>
      </w:pPr>
      <w:r>
        <w:rPr>
          <w:rFonts w:hint="eastAsia"/>
        </w:rPr>
        <w:t>运输工具应清洁、卫生、干燥、无异味、无污染；运输时应防雨、防潮、防曝晒；严禁与有毒、有害、有异味、易污染的物品混装、混运。</w:t>
      </w:r>
    </w:p>
    <w:p>
      <w:pPr>
        <w:pStyle w:val="234"/>
        <w:spacing w:line="320" w:lineRule="exact"/>
        <w:rPr>
          <w:rFonts w:ascii="黑体" w:hAnsi="黑体"/>
        </w:rPr>
      </w:pPr>
      <w:r>
        <w:rPr>
          <w:rFonts w:hint="eastAsia"/>
        </w:rPr>
        <w:t>8.4</w:t>
      </w:r>
      <w:r>
        <w:rPr>
          <w:rFonts w:hint="eastAsia" w:ascii="黑体" w:hAnsi="黑体"/>
        </w:rPr>
        <w:t xml:space="preserve">  贮存</w:t>
      </w:r>
    </w:p>
    <w:p>
      <w:pPr>
        <w:pStyle w:val="232"/>
        <w:spacing w:line="320" w:lineRule="exact"/>
        <w:ind w:firstLine="420"/>
      </w:pPr>
      <w:r>
        <w:rPr>
          <w:rFonts w:hint="eastAsia"/>
        </w:rPr>
        <w:t>原料、辅料、半成品、成品应分开放置，成品应贮存在清洁、卫生、阴凉、干燥、通风、无异味的库房内，产品离地离墙10cm以上，禁止与有毒、有害、有异味、有腐蚀性、易污染的物品混贮、混放。</w:t>
      </w:r>
    </w:p>
    <w:p>
      <w:pPr>
        <w:pStyle w:val="234"/>
        <w:spacing w:line="320" w:lineRule="exact"/>
        <w:rPr>
          <w:rFonts w:ascii="黑体" w:hAnsi="黑体"/>
        </w:rPr>
      </w:pPr>
      <w:r>
        <w:rPr>
          <w:rFonts w:hint="eastAsia"/>
        </w:rPr>
        <w:t>8.5</w:t>
      </w:r>
      <w:r>
        <w:rPr>
          <w:rFonts w:hint="eastAsia" w:ascii="黑体" w:hAnsi="黑体"/>
        </w:rPr>
        <w:t xml:space="preserve"> 保质期</w:t>
      </w:r>
    </w:p>
    <w:p>
      <w:pPr>
        <w:pStyle w:val="232"/>
        <w:spacing w:line="320" w:lineRule="exact"/>
        <w:ind w:firstLine="420"/>
        <w:rPr>
          <w:rFonts w:hint="eastAsia"/>
        </w:rPr>
      </w:pPr>
      <w:r>
        <w:rPr>
          <w:rFonts w:hint="eastAsia"/>
        </w:rPr>
        <w:t>在符合8.4的贮存条件下，产品保质期按产品标签所示，在0℃～5℃保存不超过6个月，在常温下保存不超过12个月。</w:t>
      </w:r>
    </w:p>
    <w:p>
      <w:pPr>
        <w:pStyle w:val="232"/>
        <w:spacing w:line="320" w:lineRule="exact"/>
        <w:ind w:firstLine="420"/>
      </w:pPr>
    </w:p>
    <w:p>
      <w:pPr>
        <w:widowControl/>
        <w:spacing w:line="320" w:lineRule="exact"/>
        <w:jc w:val="left"/>
        <w:rPr>
          <w:rFonts w:eastAsia="黑体"/>
          <w:kern w:val="0"/>
        </w:rPr>
      </w:pPr>
    </w:p>
    <w:p>
      <w:pPr>
        <w:pStyle w:val="231"/>
        <w:spacing w:line="440" w:lineRule="exact"/>
        <w:rPr>
          <w:rFonts w:ascii="Times New Roman" w:hAnsi="Times New Roman" w:cs="Times New Roman"/>
          <w:sz w:val="21"/>
          <w:szCs w:val="21"/>
        </w:rPr>
      </w:pPr>
      <w:r>
        <w:rPr>
          <w:rFonts w:ascii="Times New Roman" w:hAnsi="Times New Roman" w:cs="Times New Roman"/>
          <w:sz w:val="21"/>
          <w:szCs w:val="21"/>
        </w:rPr>
        <w:t xml:space="preserve"> </w:t>
      </w:r>
    </w:p>
    <w:p>
      <w:pPr>
        <w:pStyle w:val="57"/>
        <w:ind w:firstLine="420"/>
      </w:pPr>
    </w:p>
    <w:p>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start="1"/>
          <w:cols w:space="425" w:num="1"/>
          <w:formProt w:val="0"/>
          <w:docGrid w:linePitch="312" w:charSpace="0"/>
        </w:sectPr>
      </w:pPr>
    </w:p>
    <w:bookmarkEnd w:id="21"/>
    <w:p>
      <w:pPr>
        <w:pStyle w:val="199"/>
        <w:rPr>
          <w:vanish w:val="0"/>
        </w:rPr>
      </w:pPr>
      <w:bookmarkStart w:id="40" w:name="BookMark5"/>
    </w:p>
    <w:p>
      <w:pPr>
        <w:pStyle w:val="200"/>
        <w:rPr>
          <w:vanish w:val="0"/>
        </w:rPr>
      </w:pPr>
    </w:p>
    <w:p>
      <w:pPr>
        <w:pStyle w:val="77"/>
        <w:spacing w:before="60" w:after="120"/>
        <w:rPr>
          <w:rFonts w:hint="eastAsia"/>
        </w:rPr>
      </w:pPr>
      <w:r>
        <w:br w:type="textWrapping"/>
      </w:r>
      <w:r>
        <w:rPr>
          <w:rFonts w:hint="eastAsia"/>
        </w:rPr>
        <w:t>（规范性）</w:t>
      </w:r>
      <w:r>
        <w:br w:type="textWrapping"/>
      </w:r>
      <w:r>
        <w:rPr>
          <w:rFonts w:hint="eastAsia"/>
        </w:rPr>
        <w:t>原料盐焗鸡调味粉（固态调味料）质量标准</w:t>
      </w:r>
    </w:p>
    <w:p>
      <w:pPr>
        <w:pStyle w:val="57"/>
        <w:spacing w:line="360" w:lineRule="auto"/>
        <w:ind w:firstLine="420"/>
        <w:rPr>
          <w:rFonts w:hint="eastAsia" w:ascii="黑体" w:eastAsia="黑体"/>
        </w:rPr>
      </w:pPr>
      <w:r>
        <w:rPr>
          <w:rFonts w:hint="eastAsia" w:ascii="黑体" w:eastAsia="黑体"/>
        </w:rPr>
        <w:t>A.1  原料</w:t>
      </w:r>
    </w:p>
    <w:p>
      <w:pPr>
        <w:pStyle w:val="236"/>
        <w:spacing w:line="360" w:lineRule="auto"/>
        <w:ind w:firstLine="525" w:firstLineChars="250"/>
        <w:rPr>
          <w:rFonts w:hint="eastAsia"/>
        </w:rPr>
      </w:pPr>
      <w:r>
        <w:rPr>
          <w:rFonts w:hint="eastAsia"/>
        </w:rPr>
        <w:t>定义：以</w:t>
      </w:r>
      <w:r>
        <w:rPr>
          <w:rFonts w:hint="eastAsia" w:ascii="宋体" w:hAnsi="宋体"/>
        </w:rPr>
        <w:t>本标准</w:t>
      </w:r>
      <w:r>
        <w:rPr>
          <w:rFonts w:ascii="宋体" w:hAnsi="宋体"/>
        </w:rPr>
        <w:t>适用于</w:t>
      </w:r>
      <w:r>
        <w:rPr>
          <w:rFonts w:hint="eastAsia" w:ascii="宋体" w:hAnsi="宋体"/>
        </w:rPr>
        <w:t>以食用盐、鸡粉、味精、香辛料（沙姜粉）、食品用香精为原料经粉碎、调配、包装等工艺制成的非即食固态调味料</w:t>
      </w:r>
      <w:r>
        <w:rPr>
          <w:rFonts w:hint="eastAsia"/>
        </w:rPr>
        <w:t>,</w:t>
      </w:r>
      <w:r>
        <w:rPr>
          <w:rFonts w:hint="eastAsia" w:ascii="宋体" w:hAnsi="宋体"/>
        </w:rPr>
        <w:t>食用时将适量固态调味料与新鲜肉类混匀，经烹饪熟透即可食用</w:t>
      </w:r>
      <w:r>
        <w:rPr>
          <w:rFonts w:hint="eastAsia"/>
        </w:rPr>
        <w:t>。</w:t>
      </w:r>
    </w:p>
    <w:p>
      <w:pPr>
        <w:pStyle w:val="233"/>
        <w:spacing w:beforeLines="0" w:afterLines="0" w:line="320" w:lineRule="exact"/>
        <w:ind w:left="105" w:firstLine="105" w:firstLineChars="50"/>
      </w:pPr>
      <w:r>
        <w:rPr>
          <w:rFonts w:hint="eastAsia"/>
        </w:rPr>
        <w:t>A.2产品分类</w:t>
      </w:r>
    </w:p>
    <w:p>
      <w:pPr>
        <w:pStyle w:val="232"/>
        <w:ind w:firstLine="420"/>
        <w:rPr>
          <w:rFonts w:hint="eastAsia"/>
        </w:rPr>
      </w:pPr>
      <w:r>
        <w:rPr>
          <w:rFonts w:hint="eastAsia"/>
        </w:rPr>
        <w:t>按照配方中食用盐含量的不同分为固态调味料I和固态调味料II。</w:t>
      </w:r>
    </w:p>
    <w:p>
      <w:pPr>
        <w:widowControl/>
        <w:spacing w:line="320" w:lineRule="exact"/>
        <w:ind w:firstLine="420"/>
        <w:jc w:val="left"/>
        <w:rPr>
          <w:rFonts w:hint="eastAsia" w:ascii="宋体" w:hAnsi="宋体"/>
          <w:spacing w:val="1"/>
          <w:kern w:val="0"/>
        </w:rPr>
      </w:pPr>
      <w:r>
        <w:rPr>
          <w:rFonts w:hint="eastAsia" w:ascii="宋体" w:hAnsi="宋体"/>
        </w:rPr>
        <w:t>固态调味料</w:t>
      </w:r>
      <w:r>
        <w:rPr>
          <w:rFonts w:hint="eastAsia"/>
        </w:rPr>
        <w:t xml:space="preserve">I </w:t>
      </w:r>
      <w:r>
        <w:rPr>
          <w:rFonts w:hint="eastAsia" w:ascii="宋体" w:hAnsi="宋体"/>
        </w:rPr>
        <w:t>：食盐含量</w:t>
      </w:r>
      <w:r>
        <w:rPr>
          <w:rFonts w:hint="eastAsia" w:ascii="宋体" w:hAnsi="宋体"/>
          <w:bCs/>
        </w:rPr>
        <w:t>2-10</w:t>
      </w:r>
      <w:r>
        <w:rPr>
          <w:rFonts w:hint="eastAsia" w:ascii="宋体" w:hAnsi="宋体"/>
          <w:spacing w:val="1"/>
          <w:kern w:val="0"/>
        </w:rPr>
        <w:t xml:space="preserve">(g/100g) </w:t>
      </w:r>
    </w:p>
    <w:p>
      <w:pPr>
        <w:widowControl/>
        <w:spacing w:line="320" w:lineRule="exact"/>
        <w:ind w:firstLine="420"/>
        <w:jc w:val="left"/>
        <w:rPr>
          <w:rFonts w:hint="eastAsia" w:ascii="宋体" w:hAnsi="宋体"/>
          <w:spacing w:val="1"/>
          <w:kern w:val="0"/>
        </w:rPr>
      </w:pPr>
      <w:r>
        <w:rPr>
          <w:rFonts w:hint="eastAsia" w:ascii="宋体" w:hAnsi="宋体"/>
        </w:rPr>
        <w:t>固态调味料</w:t>
      </w:r>
      <w:r>
        <w:rPr>
          <w:rFonts w:hint="eastAsia"/>
        </w:rPr>
        <w:t>II</w:t>
      </w:r>
      <w:r>
        <w:rPr>
          <w:rFonts w:hint="eastAsia" w:ascii="宋体" w:hAnsi="宋体"/>
        </w:rPr>
        <w:t>： 食盐含量</w:t>
      </w:r>
      <w:r>
        <w:rPr>
          <w:rFonts w:hint="eastAsia" w:ascii="宋体" w:hAnsi="宋体"/>
          <w:bCs/>
        </w:rPr>
        <w:t>40-60</w:t>
      </w:r>
      <w:r>
        <w:rPr>
          <w:rFonts w:hint="eastAsia" w:ascii="宋体" w:hAnsi="宋体"/>
          <w:spacing w:val="1"/>
          <w:kern w:val="0"/>
        </w:rPr>
        <w:t xml:space="preserve">(g/100g) </w:t>
      </w:r>
    </w:p>
    <w:p>
      <w:pPr>
        <w:pStyle w:val="57"/>
        <w:ind w:firstLine="420"/>
        <w:rPr>
          <w:rFonts w:hint="eastAsia" w:ascii="黑体" w:eastAsia="黑体"/>
        </w:rPr>
      </w:pPr>
    </w:p>
    <w:p>
      <w:pPr>
        <w:pStyle w:val="57"/>
        <w:ind w:firstLine="199" w:firstLineChars="95"/>
        <w:rPr>
          <w:rFonts w:hint="eastAsia" w:ascii="黑体" w:eastAsia="黑体"/>
        </w:rPr>
      </w:pPr>
      <w:r>
        <w:rPr>
          <w:rFonts w:hint="eastAsia" w:ascii="黑体" w:eastAsia="黑体"/>
        </w:rPr>
        <w:t>A.3 质量要求应符合附表A的规定</w:t>
      </w:r>
    </w:p>
    <w:p>
      <w:pPr>
        <w:pStyle w:val="57"/>
        <w:ind w:firstLine="420"/>
        <w:rPr>
          <w:rFonts w:hint="eastAsia"/>
        </w:rPr>
      </w:pPr>
    </w:p>
    <w:p>
      <w:pPr>
        <w:pStyle w:val="57"/>
        <w:ind w:firstLine="420"/>
        <w:jc w:val="center"/>
      </w:pPr>
      <w:r>
        <w:rPr>
          <w:rFonts w:hint="eastAsia"/>
        </w:rPr>
        <w:t>附表A  原料盐焗鸡调味粉（固态调味料）质量要求</w:t>
      </w:r>
    </w:p>
    <w:p>
      <w:pPr>
        <w:pStyle w:val="57"/>
        <w:ind w:firstLine="420"/>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6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834" w:type="dxa"/>
            <w:vMerge w:val="restart"/>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ascii="宋体" w:hAnsi="宋体"/>
              </w:rPr>
              <w:t>项目</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rPr>
            </w:pPr>
            <w:r>
              <w:rPr>
                <w:rFonts w:hint="eastAsia" w:ascii="宋体" w:hAnsi="宋体"/>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834"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rPr>
            </w:pPr>
          </w:p>
        </w:tc>
        <w:tc>
          <w:tcPr>
            <w:tcW w:w="26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
              </w:rPr>
            </w:pPr>
            <w:r>
              <w:rPr>
                <w:rFonts w:hint="eastAsia" w:ascii="宋体" w:hAnsi="宋体"/>
              </w:rPr>
              <w:t>固态调味料</w:t>
            </w:r>
            <w:r>
              <w:rPr>
                <w:rFonts w:hint="eastAsia"/>
              </w:rPr>
              <w:t>I</w:t>
            </w:r>
          </w:p>
        </w:tc>
        <w:tc>
          <w:tcPr>
            <w:tcW w:w="26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
              </w:rPr>
            </w:pPr>
            <w:r>
              <w:rPr>
                <w:rFonts w:hint="eastAsia" w:ascii="宋体" w:hAnsi="宋体"/>
              </w:rPr>
              <w:t>固态调味料</w:t>
            </w:r>
            <w:r>
              <w:rPr>
                <w:rFonts w:hint="eastAsia"/>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性</w:t>
            </w:r>
            <w:r>
              <w:t xml:space="preserve">  </w:t>
            </w:r>
            <w:r>
              <w:rPr>
                <w:rFonts w:hint="eastAsia" w:ascii="宋体" w:hAnsi="宋体"/>
              </w:rPr>
              <w:t>状</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粉状，无结块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色</w:t>
            </w:r>
            <w:r>
              <w:t xml:space="preserve">  </w:t>
            </w:r>
            <w:r>
              <w:rPr>
                <w:rFonts w:hint="eastAsia" w:ascii="宋体" w:hAnsi="宋体"/>
              </w:rPr>
              <w:t>泽</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具有该产品应有之颜色，无霉点或其他异常颜色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气味和滋味</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具有该产品应有气味，口感咸、香、无异嗅和异味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3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杂</w:t>
            </w:r>
            <w:r>
              <w:t xml:space="preserve">   </w:t>
            </w:r>
            <w:r>
              <w:rPr>
                <w:rFonts w:hint="eastAsia" w:ascii="宋体" w:hAnsi="宋体"/>
              </w:rPr>
              <w:t>质</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rPr>
            </w:pPr>
            <w:r>
              <w:rPr>
                <w:rFonts w:hint="eastAsia" w:ascii="宋体" w:hAnsi="宋体"/>
              </w:rPr>
              <w:t>无肉眼可见外来杂质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20" w:lineRule="exact"/>
              <w:rPr>
                <w:rFonts w:ascii="宋体" w:hAnsi="宋体"/>
              </w:rPr>
            </w:pPr>
            <w:r>
              <w:rPr>
                <w:rFonts w:hint="eastAsia" w:ascii="宋体" w:hAnsi="宋体"/>
                <w:spacing w:val="1"/>
                <w:kern w:val="0"/>
              </w:rPr>
              <w:t>干燥失重/(g/100g)        ≤</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20" w:lineRule="exact"/>
              <w:rPr>
                <w:rFonts w:ascii="宋体" w:hAnsi="宋体"/>
              </w:rPr>
            </w:pPr>
            <w:r>
              <w:rPr>
                <w:rFonts w:hint="eastAsia" w:ascii="宋体" w:hAnsi="宋体"/>
                <w:spacing w:val="1"/>
                <w:kern w:val="0"/>
              </w:rPr>
              <w:t xml:space="preserve">食盐/(g/100g)           </w:t>
            </w:r>
          </w:p>
        </w:tc>
        <w:tc>
          <w:tcPr>
            <w:tcW w:w="26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2-10</w:t>
            </w:r>
          </w:p>
        </w:tc>
        <w:tc>
          <w:tcPr>
            <w:tcW w:w="26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20" w:lineRule="exact"/>
              <w:rPr>
                <w:rFonts w:ascii="宋体" w:hAnsi="宋体"/>
              </w:rPr>
            </w:pPr>
            <w:r>
              <w:rPr>
                <w:rFonts w:hint="eastAsia" w:ascii="宋体" w:hAnsi="宋体"/>
                <w:spacing w:val="1"/>
                <w:kern w:val="0"/>
              </w:rPr>
              <w:t>总砷/(以As计)/(mg/kg)   ≤</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20" w:lineRule="exact"/>
              <w:rPr>
                <w:rFonts w:ascii="宋体" w:hAnsi="宋体"/>
              </w:rPr>
            </w:pPr>
            <w:r>
              <w:rPr>
                <w:rFonts w:hint="eastAsia" w:ascii="宋体" w:hAnsi="宋体"/>
                <w:spacing w:val="1"/>
                <w:kern w:val="0"/>
              </w:rPr>
              <w:t>铅/(以Pb计)/(mg/kg)     ≤</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8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20" w:lineRule="exact"/>
              <w:rPr>
                <w:rFonts w:ascii="宋体" w:hAnsi="宋体"/>
                <w:spacing w:val="1"/>
                <w:kern w:val="0"/>
              </w:rPr>
            </w:pPr>
            <w:r>
              <w:rPr>
                <w:rFonts w:hint="eastAsia" w:ascii="宋体" w:hAnsi="宋体"/>
                <w:kern w:val="0"/>
              </w:rPr>
              <w:t>氨基酸态氮</w:t>
            </w:r>
            <w:r>
              <w:rPr>
                <w:rFonts w:hint="eastAsia" w:ascii="宋体" w:hAnsi="宋体"/>
                <w:spacing w:val="1"/>
                <w:kern w:val="0"/>
              </w:rPr>
              <w:t xml:space="preserve">/(g/100g)      </w:t>
            </w:r>
            <w:r>
              <w:rPr>
                <w:rFonts w:hint="eastAsia" w:ascii="宋体" w:hAnsi="宋体"/>
                <w:kern w:val="0"/>
              </w:rPr>
              <w:t>≥</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83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20" w:lineRule="exact"/>
              <w:rPr>
                <w:rFonts w:ascii="宋体" w:hAnsi="宋体"/>
                <w:spacing w:val="1"/>
                <w:kern w:val="0"/>
              </w:rPr>
            </w:pPr>
            <w:r>
              <w:rPr>
                <w:rFonts w:hint="eastAsia" w:ascii="宋体" w:hAnsi="宋体"/>
                <w:spacing w:val="1"/>
                <w:kern w:val="0"/>
              </w:rPr>
              <w:t>总氮/(g/100g)            ≥</w:t>
            </w:r>
          </w:p>
        </w:tc>
        <w:tc>
          <w:tcPr>
            <w:tcW w:w="528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20" w:lineRule="exact"/>
              <w:jc w:val="center"/>
              <w:rPr>
                <w:rFonts w:ascii="宋体" w:hAnsi="宋体"/>
                <w:bCs/>
              </w:rPr>
            </w:pPr>
            <w:r>
              <w:rPr>
                <w:rFonts w:hint="eastAsia" w:ascii="宋体" w:hAnsi="宋体"/>
                <w:bCs/>
              </w:rPr>
              <w:t>0.25</w:t>
            </w:r>
          </w:p>
        </w:tc>
      </w:tr>
    </w:tbl>
    <w:p>
      <w:pPr>
        <w:pStyle w:val="57"/>
        <w:ind w:firstLine="420"/>
      </w:pPr>
    </w:p>
    <w:p>
      <w:pPr>
        <w:widowControl/>
        <w:spacing w:line="360" w:lineRule="exact"/>
        <w:jc w:val="left"/>
        <w:rPr>
          <w:rFonts w:ascii="宋体" w:hAnsi="宋体"/>
        </w:rPr>
      </w:pPr>
      <w:r>
        <w:rPr>
          <w:rFonts w:hint="eastAsia" w:ascii="宋体" w:hAnsi="宋体"/>
        </w:rPr>
        <w:t>本标准出自于</w:t>
      </w:r>
      <w:r>
        <w:rPr>
          <w:rFonts w:hint="eastAsia"/>
        </w:rPr>
        <w:t xml:space="preserve">Q/HXGT 0001S </w:t>
      </w:r>
      <w:r>
        <w:rPr>
          <w:rFonts w:hint="eastAsia" w:ascii="宋体" w:hAnsi="宋体"/>
        </w:rPr>
        <w:t xml:space="preserve">《固态调味料》                 </w:t>
      </w:r>
    </w:p>
    <w:p>
      <w:pPr>
        <w:jc w:val="center"/>
      </w:pPr>
      <w:r>
        <w:drawing>
          <wp:inline distT="0" distB="0" distL="0" distR="0">
            <wp:extent cx="1532255" cy="19050"/>
            <wp:effectExtent l="0" t="0" r="0" b="0"/>
            <wp:docPr id="3" name="图片 3" descr="C:\Users\ADMINI~1\AppData\Local\Temp\ksohtml\wpsB58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B581.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32255" cy="19050"/>
                    </a:xfrm>
                    <a:prstGeom prst="rect">
                      <a:avLst/>
                    </a:prstGeom>
                    <a:noFill/>
                    <a:ln>
                      <a:noFill/>
                    </a:ln>
                  </pic:spPr>
                </pic:pic>
              </a:graphicData>
            </a:graphic>
          </wp:inline>
        </w:drawing>
      </w:r>
    </w:p>
    <w:bookmarkEnd w:id="40"/>
    <w:p>
      <w:pPr>
        <w:pStyle w:val="57"/>
        <w:ind w:firstLine="42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T/MZSX 0003—2022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T/MZSX 0003—2022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D35B1"/>
    <w:multiLevelType w:val="multilevel"/>
    <w:tmpl w:val="009D35B1"/>
    <w:lvl w:ilvl="0" w:tentative="0">
      <w:start w:val="1"/>
      <w:numFmt w:val="lowerLetter"/>
      <w:lvlText w:val="%1)"/>
      <w:lvlJc w:val="left"/>
      <w:pPr>
        <w:tabs>
          <w:tab w:val="left" w:pos="780"/>
        </w:tabs>
        <w:ind w:left="780" w:hanging="360"/>
      </w:pPr>
      <w:rPr>
        <w:rFonts w:hint="eastAsia" w:ascii="宋体" w:hAnsi="宋体" w:eastAsia="宋体"/>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57D3B16"/>
    <w:multiLevelType w:val="multilevel"/>
    <w:tmpl w:val="257D3B16"/>
    <w:lvl w:ilvl="0" w:tentative="0">
      <w:start w:val="1"/>
      <w:numFmt w:val="decimal"/>
      <w:lvlText w:val="4.1.%1"/>
      <w:lvlJc w:val="left"/>
      <w:pPr>
        <w:ind w:left="425" w:hanging="425"/>
      </w:pPr>
      <w:rPr>
        <w:rFonts w:hint="eastAsia" w:ascii="宋体" w:hAnsi="宋体" w:eastAsia="宋体" w:cs="宋体"/>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ascii="Times New Roman" w:hAnsi="Times New Roman"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dit="forms" w:enforcement="1" w:cryptProviderType="rsaFull" w:cryptAlgorithmClass="hash" w:cryptAlgorithmType="typeAny" w:cryptAlgorithmSid="4" w:cryptSpinCount="100000" w:hash="1xLGHWTJ+zoyzyk0g4jdi2ZpUCA=" w:salt="EoxV6nxGODubJkIDDWgW/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F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22"/>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2C4"/>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5FB2"/>
    <w:rsid w:val="00243540"/>
    <w:rsid w:val="0024497B"/>
    <w:rsid w:val="0024515B"/>
    <w:rsid w:val="00246021"/>
    <w:rsid w:val="0024666E"/>
    <w:rsid w:val="00247F52"/>
    <w:rsid w:val="00250B25"/>
    <w:rsid w:val="00250BBE"/>
    <w:rsid w:val="002515C2"/>
    <w:rsid w:val="0025194F"/>
    <w:rsid w:val="00253F8B"/>
    <w:rsid w:val="0026148A"/>
    <w:rsid w:val="00262696"/>
    <w:rsid w:val="00263D25"/>
    <w:rsid w:val="002643C3"/>
    <w:rsid w:val="00264A0C"/>
    <w:rsid w:val="00266EEB"/>
    <w:rsid w:val="00267EF4"/>
    <w:rsid w:val="00270CB8"/>
    <w:rsid w:val="00272B08"/>
    <w:rsid w:val="0027476B"/>
    <w:rsid w:val="00281BB8"/>
    <w:rsid w:val="00281E9E"/>
    <w:rsid w:val="00282405"/>
    <w:rsid w:val="002837C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CA8"/>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7AE"/>
    <w:rsid w:val="002C7EBB"/>
    <w:rsid w:val="002D06C1"/>
    <w:rsid w:val="002D1618"/>
    <w:rsid w:val="002D36B9"/>
    <w:rsid w:val="002D42B5"/>
    <w:rsid w:val="002D4F1A"/>
    <w:rsid w:val="002D6EC6"/>
    <w:rsid w:val="002D79AC"/>
    <w:rsid w:val="002E01C1"/>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430"/>
    <w:rsid w:val="003221B4"/>
    <w:rsid w:val="0032258D"/>
    <w:rsid w:val="00322E62"/>
    <w:rsid w:val="00324D13"/>
    <w:rsid w:val="00324EDD"/>
    <w:rsid w:val="003331E4"/>
    <w:rsid w:val="00336C64"/>
    <w:rsid w:val="00337162"/>
    <w:rsid w:val="0034194F"/>
    <w:rsid w:val="00341CA3"/>
    <w:rsid w:val="00341DAA"/>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694"/>
    <w:rsid w:val="003872FC"/>
    <w:rsid w:val="00387ADC"/>
    <w:rsid w:val="00390020"/>
    <w:rsid w:val="003903D6"/>
    <w:rsid w:val="00390EE6"/>
    <w:rsid w:val="0039118F"/>
    <w:rsid w:val="00392AD7"/>
    <w:rsid w:val="003938D9"/>
    <w:rsid w:val="00394376"/>
    <w:rsid w:val="003943FF"/>
    <w:rsid w:val="003974EB"/>
    <w:rsid w:val="00397CC5"/>
    <w:rsid w:val="003A1582"/>
    <w:rsid w:val="003A1C78"/>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CC0"/>
    <w:rsid w:val="003E2D49"/>
    <w:rsid w:val="003E2FD4"/>
    <w:rsid w:val="003E49F6"/>
    <w:rsid w:val="003E660F"/>
    <w:rsid w:val="003F0841"/>
    <w:rsid w:val="003F23D3"/>
    <w:rsid w:val="003F3F08"/>
    <w:rsid w:val="003F49F1"/>
    <w:rsid w:val="003F5402"/>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3E7F"/>
    <w:rsid w:val="004644A6"/>
    <w:rsid w:val="004659BD"/>
    <w:rsid w:val="00470775"/>
    <w:rsid w:val="004728C2"/>
    <w:rsid w:val="004746B1"/>
    <w:rsid w:val="0047583F"/>
    <w:rsid w:val="00475DE8"/>
    <w:rsid w:val="00481C44"/>
    <w:rsid w:val="0048429F"/>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4C9"/>
    <w:rsid w:val="00504A3D"/>
    <w:rsid w:val="00505767"/>
    <w:rsid w:val="005073F0"/>
    <w:rsid w:val="00510A7B"/>
    <w:rsid w:val="00512F6E"/>
    <w:rsid w:val="00513038"/>
    <w:rsid w:val="00514174"/>
    <w:rsid w:val="00514558"/>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E9C"/>
    <w:rsid w:val="00573144"/>
    <w:rsid w:val="00573D9E"/>
    <w:rsid w:val="00576149"/>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799"/>
    <w:rsid w:val="005C7156"/>
    <w:rsid w:val="005D0C75"/>
    <w:rsid w:val="005D1EA1"/>
    <w:rsid w:val="005D4171"/>
    <w:rsid w:val="005D6A95"/>
    <w:rsid w:val="005D6B2C"/>
    <w:rsid w:val="005D6D9C"/>
    <w:rsid w:val="005E2335"/>
    <w:rsid w:val="005E34CA"/>
    <w:rsid w:val="005E3C18"/>
    <w:rsid w:val="005E4250"/>
    <w:rsid w:val="005E6812"/>
    <w:rsid w:val="005E703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E55"/>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44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5E"/>
    <w:rsid w:val="00776599"/>
    <w:rsid w:val="0078114B"/>
    <w:rsid w:val="00781DD2"/>
    <w:rsid w:val="0078302C"/>
    <w:rsid w:val="00783ECF"/>
    <w:rsid w:val="0078413A"/>
    <w:rsid w:val="007959E8"/>
    <w:rsid w:val="00795E9C"/>
    <w:rsid w:val="00797F3A"/>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A16"/>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7109"/>
    <w:rsid w:val="008603CE"/>
    <w:rsid w:val="008608D5"/>
    <w:rsid w:val="008620FC"/>
    <w:rsid w:val="008627A5"/>
    <w:rsid w:val="008637E1"/>
    <w:rsid w:val="00863E05"/>
    <w:rsid w:val="00865ACA"/>
    <w:rsid w:val="00865D28"/>
    <w:rsid w:val="00865F85"/>
    <w:rsid w:val="00867157"/>
    <w:rsid w:val="00867C10"/>
    <w:rsid w:val="00870439"/>
    <w:rsid w:val="00870DA1"/>
    <w:rsid w:val="008759FA"/>
    <w:rsid w:val="00883F93"/>
    <w:rsid w:val="00884DB3"/>
    <w:rsid w:val="00885A9D"/>
    <w:rsid w:val="008864F6"/>
    <w:rsid w:val="00887A37"/>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9AA"/>
    <w:rsid w:val="00911BE5"/>
    <w:rsid w:val="00913CA9"/>
    <w:rsid w:val="009145AE"/>
    <w:rsid w:val="009146CE"/>
    <w:rsid w:val="00914CA7"/>
    <w:rsid w:val="00915C3E"/>
    <w:rsid w:val="009161A8"/>
    <w:rsid w:val="009245AE"/>
    <w:rsid w:val="009245F5"/>
    <w:rsid w:val="009249EC"/>
    <w:rsid w:val="009273B3"/>
    <w:rsid w:val="009305B5"/>
    <w:rsid w:val="009378DD"/>
    <w:rsid w:val="00941663"/>
    <w:rsid w:val="00941E3F"/>
    <w:rsid w:val="009429D5"/>
    <w:rsid w:val="00942BF1"/>
    <w:rsid w:val="00945180"/>
    <w:rsid w:val="00945428"/>
    <w:rsid w:val="0094607B"/>
    <w:rsid w:val="00953604"/>
    <w:rsid w:val="0095496B"/>
    <w:rsid w:val="00960F1E"/>
    <w:rsid w:val="009610DC"/>
    <w:rsid w:val="00961490"/>
    <w:rsid w:val="0096381A"/>
    <w:rsid w:val="00965E04"/>
    <w:rsid w:val="00966CE1"/>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90B"/>
    <w:rsid w:val="009B6029"/>
    <w:rsid w:val="009B6971"/>
    <w:rsid w:val="009C27F1"/>
    <w:rsid w:val="009C3152"/>
    <w:rsid w:val="009C3257"/>
    <w:rsid w:val="009C4CFA"/>
    <w:rsid w:val="009C5070"/>
    <w:rsid w:val="009D112C"/>
    <w:rsid w:val="009D1385"/>
    <w:rsid w:val="009D47FA"/>
    <w:rsid w:val="009D4C5B"/>
    <w:rsid w:val="009D50D2"/>
    <w:rsid w:val="009D6BCA"/>
    <w:rsid w:val="009E0A40"/>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4C3"/>
    <w:rsid w:val="00AC5DF4"/>
    <w:rsid w:val="00AC72D1"/>
    <w:rsid w:val="00AD0AEF"/>
    <w:rsid w:val="00AD11B7"/>
    <w:rsid w:val="00AD1A94"/>
    <w:rsid w:val="00AD1C05"/>
    <w:rsid w:val="00AD4126"/>
    <w:rsid w:val="00AD421C"/>
    <w:rsid w:val="00AD44FA"/>
    <w:rsid w:val="00AE070A"/>
    <w:rsid w:val="00AE101C"/>
    <w:rsid w:val="00AE2A69"/>
    <w:rsid w:val="00AE37E5"/>
    <w:rsid w:val="00AE5EB4"/>
    <w:rsid w:val="00AF0C18"/>
    <w:rsid w:val="00AF1EEA"/>
    <w:rsid w:val="00AF47C5"/>
    <w:rsid w:val="00AF5398"/>
    <w:rsid w:val="00B049AF"/>
    <w:rsid w:val="00B07242"/>
    <w:rsid w:val="00B10534"/>
    <w:rsid w:val="00B113DB"/>
    <w:rsid w:val="00B11D8A"/>
    <w:rsid w:val="00B12981"/>
    <w:rsid w:val="00B12CD1"/>
    <w:rsid w:val="00B147DD"/>
    <w:rsid w:val="00B156FD"/>
    <w:rsid w:val="00B161A5"/>
    <w:rsid w:val="00B20F1F"/>
    <w:rsid w:val="00B21F61"/>
    <w:rsid w:val="00B261F1"/>
    <w:rsid w:val="00B265BC"/>
    <w:rsid w:val="00B31FB1"/>
    <w:rsid w:val="00B33952"/>
    <w:rsid w:val="00B33C5E"/>
    <w:rsid w:val="00B342F4"/>
    <w:rsid w:val="00B34369"/>
    <w:rsid w:val="00B34DC2"/>
    <w:rsid w:val="00B36CE2"/>
    <w:rsid w:val="00B378E5"/>
    <w:rsid w:val="00B4346D"/>
    <w:rsid w:val="00B43638"/>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09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07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130"/>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F5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A03"/>
    <w:rsid w:val="00D51BF3"/>
    <w:rsid w:val="00D626D0"/>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98A"/>
    <w:rsid w:val="00E44A83"/>
    <w:rsid w:val="00E502C1"/>
    <w:rsid w:val="00E502DD"/>
    <w:rsid w:val="00E50D3A"/>
    <w:rsid w:val="00E51387"/>
    <w:rsid w:val="00E51E68"/>
    <w:rsid w:val="00E52EFD"/>
    <w:rsid w:val="00E5408A"/>
    <w:rsid w:val="00E5644D"/>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47D5"/>
    <w:rsid w:val="00F420D5"/>
    <w:rsid w:val="00F451EA"/>
    <w:rsid w:val="00F45447"/>
    <w:rsid w:val="00F456C6"/>
    <w:rsid w:val="00F4577B"/>
    <w:rsid w:val="00F46496"/>
    <w:rsid w:val="00F474D0"/>
    <w:rsid w:val="00F4751B"/>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8F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B976C1"/>
    <w:rsid w:val="04974587"/>
    <w:rsid w:val="062067FE"/>
    <w:rsid w:val="06B34F7C"/>
    <w:rsid w:val="06C65766"/>
    <w:rsid w:val="071C6FC5"/>
    <w:rsid w:val="0A0D52EB"/>
    <w:rsid w:val="100D394F"/>
    <w:rsid w:val="13573157"/>
    <w:rsid w:val="17443969"/>
    <w:rsid w:val="18CB43A7"/>
    <w:rsid w:val="1C3B5CE8"/>
    <w:rsid w:val="1DBB7509"/>
    <w:rsid w:val="1ECC1A3C"/>
    <w:rsid w:val="1F4D55DB"/>
    <w:rsid w:val="210617F6"/>
    <w:rsid w:val="21F20BF7"/>
    <w:rsid w:val="23DC309A"/>
    <w:rsid w:val="24BE3012"/>
    <w:rsid w:val="27B0758A"/>
    <w:rsid w:val="28C332ED"/>
    <w:rsid w:val="2A9D2A82"/>
    <w:rsid w:val="2D2D342B"/>
    <w:rsid w:val="2DD35D80"/>
    <w:rsid w:val="2F4D1B62"/>
    <w:rsid w:val="30433499"/>
    <w:rsid w:val="341E702D"/>
    <w:rsid w:val="368978C7"/>
    <w:rsid w:val="3709636F"/>
    <w:rsid w:val="372E285D"/>
    <w:rsid w:val="389B55DE"/>
    <w:rsid w:val="389F3FFB"/>
    <w:rsid w:val="38F8669B"/>
    <w:rsid w:val="398E611F"/>
    <w:rsid w:val="3AF17846"/>
    <w:rsid w:val="3B567FF1"/>
    <w:rsid w:val="3C4E4D6E"/>
    <w:rsid w:val="3C73081A"/>
    <w:rsid w:val="3CE35413"/>
    <w:rsid w:val="3CF947C0"/>
    <w:rsid w:val="3DA80FD2"/>
    <w:rsid w:val="403523D4"/>
    <w:rsid w:val="41A93BC9"/>
    <w:rsid w:val="41D22B69"/>
    <w:rsid w:val="4497746C"/>
    <w:rsid w:val="478D2501"/>
    <w:rsid w:val="4BF2341E"/>
    <w:rsid w:val="4D206542"/>
    <w:rsid w:val="5043693E"/>
    <w:rsid w:val="54092EF7"/>
    <w:rsid w:val="545D61E4"/>
    <w:rsid w:val="57825F9E"/>
    <w:rsid w:val="589917F1"/>
    <w:rsid w:val="58D46932"/>
    <w:rsid w:val="5F225970"/>
    <w:rsid w:val="5FD621A4"/>
    <w:rsid w:val="618C1A58"/>
    <w:rsid w:val="62EE3F20"/>
    <w:rsid w:val="62F54CD7"/>
    <w:rsid w:val="643050EF"/>
    <w:rsid w:val="65053D6A"/>
    <w:rsid w:val="67C51FCF"/>
    <w:rsid w:val="6B58613A"/>
    <w:rsid w:val="72EC6569"/>
    <w:rsid w:val="7521601C"/>
    <w:rsid w:val="77BA6C36"/>
    <w:rsid w:val="794D439D"/>
    <w:rsid w:val="79863274"/>
    <w:rsid w:val="7B2C6EB1"/>
    <w:rsid w:val="7F912972"/>
    <w:rsid w:val="7FBB64BE"/>
    <w:rsid w:val="7FF8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注×："/>
    <w:basedOn w:val="1"/>
    <w:qFormat/>
    <w:uiPriority w:val="0"/>
    <w:pPr>
      <w:autoSpaceDE w:val="0"/>
      <w:autoSpaceDN w:val="0"/>
      <w:adjustRightInd/>
      <w:spacing w:line="240" w:lineRule="auto"/>
    </w:pPr>
    <w:rPr>
      <w:rFonts w:ascii="宋体" w:hAnsi="宋体" w:cs="宋体"/>
      <w:kern w:val="0"/>
      <w:sz w:val="18"/>
      <w:szCs w:val="18"/>
    </w:rPr>
  </w:style>
  <w:style w:type="paragraph" w:customStyle="1" w:styleId="232">
    <w:name w:val="段"/>
    <w:basedOn w:val="1"/>
    <w:qFormat/>
    <w:uiPriority w:val="0"/>
    <w:pPr>
      <w:widowControl/>
      <w:autoSpaceDE w:val="0"/>
      <w:autoSpaceDN w:val="0"/>
      <w:adjustRightInd/>
      <w:spacing w:line="240" w:lineRule="auto"/>
      <w:ind w:firstLine="200" w:firstLineChars="200"/>
    </w:pPr>
    <w:rPr>
      <w:rFonts w:ascii="宋体" w:hAnsi="宋体" w:cs="宋体"/>
      <w:kern w:val="0"/>
    </w:rPr>
  </w:style>
  <w:style w:type="paragraph" w:customStyle="1" w:styleId="233">
    <w:name w:val="章标题"/>
    <w:basedOn w:val="1"/>
    <w:next w:val="232"/>
    <w:qFormat/>
    <w:uiPriority w:val="0"/>
    <w:pPr>
      <w:widowControl/>
      <w:adjustRightInd/>
      <w:spacing w:beforeLines="50" w:afterLines="50" w:line="240" w:lineRule="auto"/>
      <w:outlineLvl w:val="1"/>
    </w:pPr>
    <w:rPr>
      <w:rFonts w:ascii="黑体" w:hAnsi="黑体" w:eastAsia="黑体" w:cs="宋体"/>
      <w:kern w:val="0"/>
    </w:rPr>
  </w:style>
  <w:style w:type="paragraph" w:customStyle="1" w:styleId="234">
    <w:name w:val="一级条标题"/>
    <w:basedOn w:val="1"/>
    <w:next w:val="232"/>
    <w:qFormat/>
    <w:uiPriority w:val="0"/>
    <w:pPr>
      <w:widowControl/>
      <w:adjustRightInd/>
      <w:spacing w:before="100" w:beforeAutospacing="1" w:after="100" w:afterAutospacing="1" w:line="240" w:lineRule="auto"/>
      <w:jc w:val="left"/>
      <w:outlineLvl w:val="2"/>
    </w:pPr>
    <w:rPr>
      <w:rFonts w:ascii="Times New Roman" w:hAnsi="Times New Roman" w:eastAsia="黑体"/>
      <w:kern w:val="0"/>
    </w:rPr>
  </w:style>
  <w:style w:type="paragraph" w:customStyle="1" w:styleId="235">
    <w:name w:val="二级条标题"/>
    <w:basedOn w:val="234"/>
    <w:next w:val="232"/>
    <w:qFormat/>
    <w:uiPriority w:val="0"/>
    <w:pPr>
      <w:outlineLvl w:val="3"/>
    </w:pPr>
  </w:style>
  <w:style w:type="paragraph" w:customStyle="1" w:styleId="23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578AD3DBDC47CAA0608629122907AB"/>
        <w:style w:val=""/>
        <w:category>
          <w:name w:val="常规"/>
          <w:gallery w:val="placeholder"/>
        </w:category>
        <w:types>
          <w:type w:val="bbPlcHdr"/>
        </w:types>
        <w:behaviors>
          <w:behavior w:val="content"/>
        </w:behaviors>
        <w:description w:val=""/>
        <w:guid w:val="{2122533B-F39D-4292-AC72-11963023B39D}"/>
      </w:docPartPr>
      <w:docPartBody>
        <w:p>
          <w:pPr>
            <w:pStyle w:val="5"/>
          </w:pPr>
          <w:r>
            <w:rPr>
              <w:rStyle w:val="4"/>
              <w:rFonts w:hint="eastAsia"/>
            </w:rPr>
            <w:t>单击或点击此处输入文字。</w:t>
          </w:r>
        </w:p>
      </w:docPartBody>
    </w:docPart>
    <w:docPart>
      <w:docPartPr>
        <w:name w:val="ACE7B31E6DA847AEB142B345316C61F3"/>
        <w:style w:val=""/>
        <w:category>
          <w:name w:val="常规"/>
          <w:gallery w:val="placeholder"/>
        </w:category>
        <w:types>
          <w:type w:val="bbPlcHdr"/>
        </w:types>
        <w:behaviors>
          <w:behavior w:val="content"/>
        </w:behaviors>
        <w:description w:val=""/>
        <w:guid w:val="{5849F3FB-3855-4081-9026-F76677448FE6}"/>
      </w:docPartPr>
      <w:docPartBody>
        <w:p>
          <w:pPr>
            <w:pStyle w:val="6"/>
          </w:pPr>
          <w:r>
            <w:rPr>
              <w:rStyle w:val="4"/>
              <w:rFonts w:hint="eastAsia"/>
            </w:rPr>
            <w:t>选择一项。</w:t>
          </w:r>
        </w:p>
      </w:docPartBody>
    </w:docPart>
    <w:docPart>
      <w:docPartPr>
        <w:name w:val="36B864DD37D5426EB685FDA0423108C9"/>
        <w:style w:val=""/>
        <w:category>
          <w:name w:val="常规"/>
          <w:gallery w:val="placeholder"/>
        </w:category>
        <w:types>
          <w:type w:val="bbPlcHdr"/>
        </w:types>
        <w:behaviors>
          <w:behavior w:val="content"/>
        </w:behaviors>
        <w:description w:val=""/>
        <w:guid w:val="{220CC7EE-A854-4FAB-8265-92C7AA9DB15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EA"/>
    <w:rsid w:val="004B66AF"/>
    <w:rsid w:val="00AE2BEA"/>
    <w:rsid w:val="00AF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D578AD3DBDC47CAA0608629122907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CE7B31E6DA847AEB142B345316C61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6B864DD37D5426EB685FDA0423108C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FE3AF-81B2-4D71-8E32-3E824190FA7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3890</Words>
  <Characters>4863</Characters>
  <Lines>810</Lines>
  <Paragraphs>729</Paragraphs>
  <TotalTime>1</TotalTime>
  <ScaleCrop>false</ScaleCrop>
  <LinksUpToDate>false</LinksUpToDate>
  <CharactersWithSpaces>8024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2022-01-13T01:51:00Z</dcterms:created>
  <dc:creator>user</dc:creator>
  <dc:description>&lt;config cover="true" show_menu="true" version="1.0.0" doctype="SDKXY"&gt;_x000d_
&lt;/config&gt;</dc:description>
  <cp:lastModifiedBy>HDML</cp:lastModifiedBy>
  <cp:lastPrinted>2022-02-09T03:14:20Z</cp:lastPrinted>
  <dcterms:modified xsi:type="dcterms:W3CDTF">2022-02-09T03:23:21Z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2052-11.1.0.11294</vt:lpwstr>
  </property>
  <property fmtid="{D5CDD505-2E9C-101B-9397-08002B2CF9AE}" pid="15" name="ICV">
    <vt:lpwstr>EA9B97DB702547FDBE8D92C2905D15A7</vt:lpwstr>
  </property>
</Properties>
</file>