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firstLine="880" w:firstLineChars="200"/>
        <w:rPr>
          <w:rFonts w:eastAsia="黑体"/>
          <w:kern w:val="0"/>
          <w:sz w:val="44"/>
          <w:szCs w:val="44"/>
        </w:rPr>
      </w:pPr>
      <w:bookmarkStart w:id="0" w:name="_Hlk89331868"/>
      <w:bookmarkStart w:id="1" w:name="_Hlk89347621"/>
      <w:r>
        <w:rPr>
          <w:rFonts w:hint="eastAsia" w:eastAsia="黑体"/>
          <w:kern w:val="0"/>
          <w:sz w:val="44"/>
          <w:szCs w:val="44"/>
        </w:rPr>
        <w:t>食用油过氧化值的检测</w:t>
      </w:r>
      <w:bookmarkEnd w:id="0"/>
      <w:r>
        <w:rPr>
          <w:rFonts w:hint="eastAsia" w:eastAsia="黑体"/>
          <w:kern w:val="0"/>
          <w:sz w:val="44"/>
          <w:szCs w:val="44"/>
        </w:rPr>
        <w:t xml:space="preserve"> 便携式分光光度法</w:t>
      </w:r>
      <w:bookmarkEnd w:id="1"/>
      <w:r>
        <w:rPr>
          <w:rFonts w:eastAsia="黑体"/>
          <w:kern w:val="0"/>
          <w:sz w:val="44"/>
          <w:szCs w:val="44"/>
        </w:rPr>
        <w:t>》</w:t>
      </w:r>
      <w:r>
        <w:rPr>
          <w:rFonts w:hint="eastAsia" w:eastAsia="黑体"/>
          <w:kern w:val="0"/>
          <w:sz w:val="44"/>
          <w:szCs w:val="44"/>
        </w:rPr>
        <w:t>团体</w:t>
      </w:r>
      <w:r>
        <w:rPr>
          <w:rFonts w:eastAsia="黑体"/>
          <w:kern w:val="0"/>
          <w:sz w:val="44"/>
          <w:szCs w:val="44"/>
        </w:rPr>
        <w:t>标准编制说明</w:t>
      </w:r>
    </w:p>
    <w:p>
      <w:pPr>
        <w:snapToGrid w:val="0"/>
        <w:spacing w:line="360" w:lineRule="auto"/>
        <w:ind w:firstLine="640" w:firstLineChars="200"/>
        <w:rPr>
          <w:rFonts w:eastAsia="黑体"/>
          <w:kern w:val="0"/>
          <w:sz w:val="32"/>
          <w:szCs w:val="32"/>
        </w:rPr>
      </w:pPr>
      <w:r>
        <w:rPr>
          <w:rFonts w:eastAsia="黑体"/>
          <w:kern w:val="0"/>
          <w:sz w:val="32"/>
          <w:szCs w:val="32"/>
        </w:rPr>
        <w:t>一、编制的目的和意义</w:t>
      </w:r>
    </w:p>
    <w:p>
      <w:pPr>
        <w:autoSpaceDE w:val="0"/>
        <w:autoSpaceDN w:val="0"/>
        <w:adjustRightInd w:val="0"/>
        <w:spacing w:line="360" w:lineRule="auto"/>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食用植物油是人们日常生活中必不可少的食品，富含多种独特的营养成分，如不饱和脂肪酸、甾醇、磷脂和脂溶性 维生素等，对人体营养与健康有着重要的作用。在实际食用过程中，食用植物油很容易受到氧、光、热等因素的影响，使得油中不饱和脂肪酸双键首先，被氧化，导致油品酸败，不仅影响其口感风味，还会严重危害消费者的健康。</w:t>
      </w:r>
    </w:p>
    <w:p>
      <w:pPr>
        <w:autoSpaceDE w:val="0"/>
        <w:autoSpaceDN w:val="0"/>
        <w:adjustRightInd w:val="0"/>
        <w:spacing w:line="360" w:lineRule="auto"/>
        <w:ind w:firstLine="640" w:firstLineChars="200"/>
        <w:jc w:val="both"/>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研究发现，食用植物油氧化后产生的自由基会加快人体的老化，产生的反式脂肪酸会引起人体心血管疾病。作为评价食用植物油氧化劣变程度的主要技术指标，过氧化值是国家成品油脂卫生检验中的必检项目。根据食品安全国家标准G</w:t>
      </w:r>
      <w:r>
        <w:rPr>
          <w:rFonts w:ascii="仿宋_GB2312" w:hAnsi="宋体" w:eastAsia="仿宋_GB2312"/>
          <w:bCs/>
          <w:snapToGrid w:val="0"/>
          <w:kern w:val="0"/>
          <w:sz w:val="32"/>
          <w:szCs w:val="32"/>
        </w:rPr>
        <w:t xml:space="preserve">B2716-2018 </w:t>
      </w:r>
      <w:r>
        <w:rPr>
          <w:rFonts w:hint="eastAsia" w:ascii="仿宋_GB2312" w:hAnsi="宋体" w:eastAsia="仿宋_GB2312"/>
          <w:bCs/>
          <w:snapToGrid w:val="0"/>
          <w:kern w:val="0"/>
          <w:sz w:val="32"/>
          <w:szCs w:val="32"/>
        </w:rPr>
        <w:t>规定，食用植物油（包括调和油）中过氧化值应≤0</w:t>
      </w:r>
      <w:r>
        <w:rPr>
          <w:rFonts w:ascii="仿宋_GB2312" w:hAnsi="宋体" w:eastAsia="仿宋_GB2312"/>
          <w:bCs/>
          <w:snapToGrid w:val="0"/>
          <w:kern w:val="0"/>
          <w:sz w:val="32"/>
          <w:szCs w:val="32"/>
        </w:rPr>
        <w:t>.25g/100</w:t>
      </w:r>
      <w:r>
        <w:rPr>
          <w:rFonts w:hint="eastAsia" w:ascii="仿宋_GB2312" w:hAnsi="宋体" w:eastAsia="仿宋_GB2312"/>
          <w:bCs/>
          <w:snapToGrid w:val="0"/>
          <w:kern w:val="0"/>
          <w:sz w:val="32"/>
          <w:szCs w:val="32"/>
        </w:rPr>
        <w:t>ｇ，即过氧化值应≤9</w:t>
      </w:r>
      <w:r>
        <w:rPr>
          <w:rFonts w:ascii="仿宋_GB2312" w:hAnsi="宋体" w:eastAsia="仿宋_GB2312"/>
          <w:bCs/>
          <w:snapToGrid w:val="0"/>
          <w:kern w:val="0"/>
          <w:sz w:val="32"/>
          <w:szCs w:val="32"/>
        </w:rPr>
        <w:t>.85mmol</w:t>
      </w:r>
      <w:r>
        <w:rPr>
          <w:rFonts w:hint="eastAsia" w:ascii="仿宋_GB2312" w:hAnsi="宋体" w:eastAsia="仿宋_GB2312"/>
          <w:bCs/>
          <w:snapToGrid w:val="0"/>
          <w:kern w:val="0"/>
          <w:sz w:val="32"/>
          <w:szCs w:val="32"/>
        </w:rPr>
        <w:t>/ｋｇ，采用该值作为衡量食用植物油中过氧化值是否超标的判定依据。另 外，不同种类、不同等级的食用植物油的产品标准中对过氧化值的质量指标又有所不同。统计近年来国家食用植物油监督抽检和风险监测任务时发现，大多数食用植物油被判为不合格的主要项目是过氧化值超标。而监督抽检属于进入流通环节后才进行的检测判定，发现不合格后才能对不合格产品进行处罚和处置。</w:t>
      </w:r>
    </w:p>
    <w:p>
      <w:pPr>
        <w:autoSpaceDE w:val="0"/>
        <w:autoSpaceDN w:val="0"/>
        <w:adjustRightInd w:val="0"/>
        <w:spacing w:line="360" w:lineRule="auto"/>
        <w:ind w:firstLine="640" w:firstLineChars="200"/>
        <w:jc w:val="both"/>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因此，当前急需要建立一种迅速、准确、易于操作、适于推广的食用油过氧化值的检测方法，适用于基层实验室，如批发市场实验室、农贸市场实验室等，能够对食用油的过氧化值进行快速筛查，防止不合格的食用植物油进入流通环节，从而保证广大群众的身体健康，确保食用植物油食品安全。</w:t>
      </w:r>
    </w:p>
    <w:p>
      <w:pPr>
        <w:snapToGrid w:val="0"/>
        <w:spacing w:line="360" w:lineRule="auto"/>
        <w:ind w:firstLine="640" w:firstLineChars="200"/>
        <w:rPr>
          <w:rFonts w:eastAsia="黑体"/>
          <w:kern w:val="0"/>
          <w:sz w:val="32"/>
          <w:szCs w:val="32"/>
        </w:rPr>
      </w:pPr>
      <w:r>
        <w:rPr>
          <w:rFonts w:eastAsia="黑体"/>
          <w:kern w:val="0"/>
          <w:sz w:val="32"/>
          <w:szCs w:val="32"/>
        </w:rPr>
        <w:t>二、任务来源及编制原则和依据</w:t>
      </w:r>
    </w:p>
    <w:p>
      <w:pPr>
        <w:ind w:firstLine="640" w:firstLineChars="200"/>
        <w:rPr>
          <w:rFonts w:hint="eastAsia" w:ascii="仿宋_GB2312" w:eastAsia="仿宋_GB2312"/>
          <w:bCs/>
          <w:snapToGrid w:val="0"/>
          <w:kern w:val="0"/>
          <w:sz w:val="32"/>
          <w:szCs w:val="32"/>
        </w:rPr>
      </w:pPr>
      <w:r>
        <w:rPr>
          <w:rFonts w:hint="eastAsia" w:ascii="仿宋_GB2312" w:eastAsia="仿宋_GB2312"/>
          <w:bCs/>
          <w:sz w:val="32"/>
          <w:szCs w:val="32"/>
        </w:rPr>
        <w:t>1、</w:t>
      </w:r>
      <w:r>
        <w:rPr>
          <w:rFonts w:hint="eastAsia" w:ascii="仿宋_GB2312" w:hAnsi="仿宋" w:eastAsia="仿宋_GB2312"/>
          <w:bCs/>
          <w:snapToGrid w:val="0"/>
          <w:kern w:val="0"/>
          <w:sz w:val="32"/>
          <w:szCs w:val="32"/>
        </w:rPr>
        <w:t>任务来源</w:t>
      </w:r>
    </w:p>
    <w:p>
      <w:pPr>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本标准根据河南省标准化协会2</w:t>
      </w:r>
      <w:r>
        <w:rPr>
          <w:rFonts w:ascii="仿宋_GB2312" w:hAnsi="仿宋" w:eastAsia="仿宋_GB2312"/>
          <w:bCs/>
          <w:snapToGrid w:val="0"/>
          <w:kern w:val="0"/>
          <w:sz w:val="32"/>
          <w:szCs w:val="32"/>
        </w:rPr>
        <w:t>021</w:t>
      </w:r>
      <w:r>
        <w:rPr>
          <w:rFonts w:hint="eastAsia" w:ascii="仿宋_GB2312" w:hAnsi="仿宋" w:eastAsia="仿宋_GB2312"/>
          <w:bCs/>
          <w:snapToGrid w:val="0"/>
          <w:kern w:val="0"/>
          <w:sz w:val="32"/>
          <w:szCs w:val="32"/>
        </w:rPr>
        <w:t>年下半年团体标准制修订计划项目立项。</w:t>
      </w:r>
      <w:bookmarkStart w:id="5" w:name="_GoBack"/>
      <w:bookmarkEnd w:id="5"/>
      <w:r>
        <w:rPr>
          <w:rFonts w:hint="eastAsia" w:ascii="仿宋_GB2312" w:hAnsi="仿宋" w:eastAsia="仿宋_GB2312"/>
          <w:bCs/>
          <w:snapToGrid w:val="0"/>
          <w:kern w:val="0"/>
          <w:sz w:val="32"/>
          <w:szCs w:val="32"/>
        </w:rPr>
        <w:t>由郑州中道生物技术有限公司提出，河南省标准化研究院、</w:t>
      </w:r>
      <w:r>
        <w:rPr>
          <w:rFonts w:hint="eastAsia" w:ascii="仿宋_GB2312" w:eastAsia="仿宋_GB2312"/>
          <w:bCs/>
          <w:snapToGrid w:val="0"/>
          <w:kern w:val="0"/>
          <w:sz w:val="32"/>
          <w:szCs w:val="32"/>
        </w:rPr>
        <w:t>河南中标检测服务有限公司、</w:t>
      </w:r>
      <w:r>
        <w:rPr>
          <w:rFonts w:hint="eastAsia" w:ascii="仿宋_GB2312" w:hAnsi="仿宋" w:eastAsia="仿宋_GB2312"/>
          <w:bCs/>
          <w:snapToGrid w:val="0"/>
          <w:kern w:val="0"/>
          <w:sz w:val="32"/>
          <w:szCs w:val="32"/>
        </w:rPr>
        <w:t>郑州大学、</w:t>
      </w:r>
      <w:r>
        <w:rPr>
          <w:rFonts w:hint="eastAsia" w:ascii="仿宋_GB2312" w:eastAsia="仿宋_GB2312"/>
          <w:bCs/>
          <w:snapToGrid w:val="0"/>
          <w:kern w:val="0"/>
          <w:sz w:val="32"/>
          <w:szCs w:val="32"/>
        </w:rPr>
        <w:t>河南省食品检验研究院、河南国昌生物科技有限公司、新乡市中标检验检疫创新研究院、国家市场监管食品安全快速检测重点实验室</w:t>
      </w:r>
      <w:r>
        <w:rPr>
          <w:rFonts w:hint="eastAsia" w:ascii="仿宋_GB2312" w:hAnsi="仿宋" w:eastAsia="仿宋_GB2312"/>
          <w:bCs/>
          <w:snapToGrid w:val="0"/>
          <w:kern w:val="0"/>
          <w:sz w:val="32"/>
          <w:szCs w:val="32"/>
        </w:rPr>
        <w:t>等单位共同起草。</w:t>
      </w:r>
    </w:p>
    <w:p>
      <w:pPr>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2、编制原则</w:t>
      </w:r>
    </w:p>
    <w:p>
      <w:pPr>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符合国家法律、法规和政策，有利于技术进步和经济发展的原则；引入国家、行业相关标准，结合食品快速检测需要实际的原则；技术先进，经济合理，切实可行的原则。</w:t>
      </w:r>
    </w:p>
    <w:p>
      <w:pPr>
        <w:ind w:firstLine="640" w:firstLineChars="200"/>
        <w:rPr>
          <w:rFonts w:hint="eastAsia" w:ascii="仿宋_GB2312" w:eastAsia="仿宋_GB2312"/>
          <w:bCs/>
          <w:snapToGrid w:val="0"/>
          <w:kern w:val="0"/>
          <w:sz w:val="32"/>
          <w:szCs w:val="32"/>
        </w:rPr>
      </w:pPr>
      <w:r>
        <w:rPr>
          <w:rFonts w:hint="eastAsia" w:ascii="仿宋_GB2312" w:eastAsia="仿宋_GB2312"/>
          <w:bCs/>
          <w:snapToGrid w:val="0"/>
          <w:kern w:val="0"/>
          <w:sz w:val="32"/>
          <w:szCs w:val="32"/>
        </w:rPr>
        <w:t>3</w:t>
      </w:r>
      <w:r>
        <w:rPr>
          <w:rFonts w:hint="eastAsia" w:ascii="仿宋_GB2312" w:hAnsi="仿宋" w:eastAsia="仿宋_GB2312"/>
          <w:bCs/>
          <w:snapToGrid w:val="0"/>
          <w:kern w:val="0"/>
          <w:sz w:val="32"/>
          <w:szCs w:val="32"/>
        </w:rPr>
        <w:t>、编制依据</w:t>
      </w:r>
    </w:p>
    <w:p>
      <w:pPr>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主要依据以下法律法规和标准：</w:t>
      </w:r>
    </w:p>
    <w:p>
      <w:pPr>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《中华人民共和国食品安全法》</w:t>
      </w:r>
      <w:bookmarkStart w:id="2" w:name="_Hlk89352516"/>
    </w:p>
    <w:p>
      <w:pPr>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GB 5009.227-2016食品安全国家标准 食品中过氧化值的测定</w:t>
      </w:r>
      <w:bookmarkEnd w:id="2"/>
    </w:p>
    <w:p>
      <w:pPr>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GB 2716-2018 食品安全国家标准 植物油</w:t>
      </w:r>
    </w:p>
    <w:p>
      <w:pPr>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GB 10146-2015 食品安全国家标准 食用动物油脂</w:t>
      </w:r>
    </w:p>
    <w:p>
      <w:pPr>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GB/T 1535-2017 大豆油（含第1号修改单）</w:t>
      </w:r>
    </w:p>
    <w:p>
      <w:pPr>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GB/T 1534-2017 花生油（含第1号修改单）</w:t>
      </w:r>
    </w:p>
    <w:p>
      <w:pPr>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GB/T 1536-2021 菜籽油。</w:t>
      </w:r>
    </w:p>
    <w:p>
      <w:pPr>
        <w:snapToGrid w:val="0"/>
        <w:spacing w:line="360" w:lineRule="auto"/>
        <w:ind w:firstLine="640" w:firstLineChars="200"/>
        <w:rPr>
          <w:rFonts w:eastAsia="黑体"/>
          <w:kern w:val="0"/>
          <w:sz w:val="32"/>
          <w:szCs w:val="32"/>
        </w:rPr>
      </w:pPr>
      <w:r>
        <w:rPr>
          <w:rFonts w:eastAsia="黑体"/>
          <w:kern w:val="0"/>
          <w:sz w:val="32"/>
          <w:szCs w:val="32"/>
        </w:rPr>
        <w:t>三、编制过程</w:t>
      </w:r>
    </w:p>
    <w:p>
      <w:pPr>
        <w:spacing w:line="360" w:lineRule="auto"/>
        <w:ind w:left="72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（一）</w:t>
      </w:r>
      <w:r>
        <w:rPr>
          <w:rFonts w:hint="eastAsia" w:ascii="仿宋_GB2312" w:eastAsia="仿宋_GB2312"/>
          <w:kern w:val="0"/>
          <w:sz w:val="32"/>
          <w:szCs w:val="32"/>
        </w:rPr>
        <w:t>前期研究</w:t>
      </w:r>
      <w:r>
        <w:rPr>
          <w:rFonts w:ascii="仿宋_GB2312" w:eastAsia="仿宋_GB2312"/>
          <w:kern w:val="0"/>
          <w:sz w:val="32"/>
          <w:szCs w:val="32"/>
        </w:rPr>
        <w:t>阶段</w:t>
      </w:r>
    </w:p>
    <w:p>
      <w:pPr>
        <w:spacing w:line="360" w:lineRule="auto"/>
        <w:ind w:firstLine="643" w:firstLineChars="200"/>
        <w:rPr>
          <w:rFonts w:hint="eastAsia" w:ascii="仿宋_GB2312" w:eastAsia="仿宋_GB2312"/>
          <w:b/>
          <w:bCs/>
          <w:snapToGrid w:val="0"/>
          <w:kern w:val="0"/>
          <w:sz w:val="32"/>
          <w:szCs w:val="32"/>
        </w:rPr>
      </w:pPr>
      <w:r>
        <w:rPr>
          <w:rFonts w:hint="eastAsia" w:ascii="仿宋_GB2312" w:hAnsi="仿宋" w:eastAsia="仿宋_GB2312"/>
          <w:b/>
          <w:bCs/>
          <w:snapToGrid w:val="0"/>
          <w:kern w:val="0"/>
          <w:sz w:val="32"/>
          <w:szCs w:val="32"/>
        </w:rPr>
        <w:t>第一阶段：食用油过氧化值的检测 便携式分光光度法的建立</w:t>
      </w:r>
      <w:r>
        <w:rPr>
          <w:rFonts w:hint="eastAsia" w:ascii="仿宋_GB2312" w:eastAsia="仿宋_GB2312"/>
          <w:b/>
          <w:bCs/>
          <w:snapToGrid w:val="0"/>
          <w:kern w:val="0"/>
          <w:sz w:val="32"/>
          <w:szCs w:val="32"/>
        </w:rPr>
        <w:t xml:space="preserve"> </w:t>
      </w:r>
    </w:p>
    <w:p>
      <w:pPr>
        <w:spacing w:line="360" w:lineRule="auto"/>
        <w:ind w:firstLine="640" w:firstLineChars="200"/>
        <w:rPr>
          <w:rFonts w:ascii="仿宋_GB2312" w:eastAsia="仿宋_GB2312"/>
          <w:bCs/>
          <w:snapToGrid w:val="0"/>
          <w:kern w:val="0"/>
          <w:sz w:val="32"/>
          <w:szCs w:val="32"/>
        </w:rPr>
      </w:pPr>
      <w:r>
        <w:rPr>
          <w:rFonts w:hint="eastAsia" w:ascii="仿宋_GB2312" w:eastAsia="仿宋_GB2312"/>
          <w:bCs/>
          <w:snapToGrid w:val="0"/>
          <w:kern w:val="0"/>
          <w:sz w:val="32"/>
          <w:szCs w:val="32"/>
        </w:rPr>
        <w:t>1</w:t>
      </w:r>
      <w:r>
        <w:rPr>
          <w:rFonts w:ascii="仿宋_GB2312" w:eastAsia="仿宋_GB2312"/>
          <w:bCs/>
          <w:snapToGrid w:val="0"/>
          <w:kern w:val="0"/>
          <w:sz w:val="32"/>
          <w:szCs w:val="32"/>
        </w:rPr>
        <w:t xml:space="preserve">.  </w:t>
      </w:r>
      <w:r>
        <w:rPr>
          <w:rFonts w:hint="eastAsia" w:ascii="仿宋_GB2312" w:eastAsia="仿宋_GB2312"/>
          <w:bCs/>
          <w:snapToGrid w:val="0"/>
          <w:kern w:val="0"/>
          <w:sz w:val="32"/>
          <w:szCs w:val="32"/>
        </w:rPr>
        <w:t>本标准建立的分光光度法的基本原理是碘元素与淀粉反应后呈蓝色，该实验现象能直观、清晰地反映化学实验的反应结果。因此，在该实验中，食用油中的过氧化物在含有碘化钾的不同溶剂配合比的异辛烷、冰乙酸混合试剂中溶解后，能发生一定的化学反应，从而生成碘元素。将碘溶液稀释到一定程度后，会在淀粉的作用下呈蓝色。此时，合理控制实验时间，并使用分光光度计进行检测，根据实际的光度变化，计算食用油的过氧化值。</w:t>
      </w:r>
    </w:p>
    <w:p>
      <w:pPr>
        <w:spacing w:line="360" w:lineRule="auto"/>
        <w:ind w:firstLine="640" w:firstLineChars="200"/>
        <w:rPr>
          <w:rFonts w:hint="eastAsia" w:ascii="仿宋_GB2312" w:hAnsi="仿宋" w:eastAsia="仿宋_GB2312"/>
          <w:bCs/>
          <w:snapToGrid w:val="0"/>
          <w:kern w:val="0"/>
          <w:sz w:val="32"/>
          <w:szCs w:val="32"/>
        </w:rPr>
      </w:pPr>
      <w:r>
        <w:rPr>
          <w:rFonts w:hint="eastAsia" w:ascii="仿宋_GB2312" w:eastAsia="仿宋_GB2312"/>
          <w:bCs/>
          <w:snapToGrid w:val="0"/>
          <w:kern w:val="0"/>
          <w:sz w:val="32"/>
          <w:szCs w:val="32"/>
        </w:rPr>
        <w:t xml:space="preserve"> 2. </w:t>
      </w:r>
      <w:r>
        <w:rPr>
          <w:rFonts w:hint="eastAsia" w:ascii="仿宋_GB2312" w:hAnsi="仿宋" w:eastAsia="仿宋_GB2312"/>
          <w:bCs/>
          <w:snapToGrid w:val="0"/>
          <w:kern w:val="0"/>
          <w:sz w:val="32"/>
          <w:szCs w:val="32"/>
        </w:rPr>
        <w:t>分光光度法的优化</w:t>
      </w:r>
      <w:r>
        <w:rPr>
          <w:rFonts w:hint="eastAsia" w:ascii="仿宋_GB2312" w:eastAsia="仿宋_GB2312"/>
          <w:bCs/>
          <w:snapToGrid w:val="0"/>
          <w:kern w:val="0"/>
          <w:sz w:val="32"/>
          <w:szCs w:val="32"/>
        </w:rPr>
        <w:t xml:space="preserve">  </w:t>
      </w:r>
      <w:r>
        <w:rPr>
          <w:rFonts w:hint="eastAsia" w:ascii="仿宋_GB2312" w:hAnsi="仿宋" w:eastAsia="仿宋_GB2312"/>
          <w:bCs/>
          <w:snapToGrid w:val="0"/>
          <w:kern w:val="0"/>
          <w:sz w:val="32"/>
          <w:szCs w:val="32"/>
        </w:rPr>
        <w:t>利用实验室保存的样品，优化方法各种参数，包括</w:t>
      </w:r>
      <w:r>
        <w:rPr>
          <w:rFonts w:hint="eastAsia" w:ascii="仿宋_GB2312" w:eastAsia="仿宋_GB2312"/>
          <w:bCs/>
          <w:snapToGrid w:val="0"/>
          <w:kern w:val="0"/>
          <w:sz w:val="32"/>
          <w:szCs w:val="32"/>
        </w:rPr>
        <w:t>光波长度、饱和溶液的实验有效剂量、反应时间、淀粉添加容量值等</w:t>
      </w:r>
      <w:r>
        <w:rPr>
          <w:rFonts w:hint="eastAsia" w:ascii="仿宋_GB2312" w:hAnsi="仿宋" w:eastAsia="仿宋_GB2312"/>
          <w:bCs/>
          <w:snapToGrid w:val="0"/>
          <w:kern w:val="0"/>
          <w:sz w:val="32"/>
          <w:szCs w:val="32"/>
        </w:rPr>
        <w:t>，以及建立了光谱模型，即光谱模型的建立在常温环境下，在 5</w:t>
      </w:r>
      <w:r>
        <w:rPr>
          <w:rFonts w:ascii="仿宋_GB2312" w:hAnsi="仿宋" w:eastAsia="仿宋_GB2312"/>
          <w:bCs/>
          <w:snapToGrid w:val="0"/>
          <w:kern w:val="0"/>
          <w:sz w:val="32"/>
          <w:szCs w:val="32"/>
        </w:rPr>
        <w:t>60</w:t>
      </w:r>
      <w:r>
        <w:rPr>
          <w:rFonts w:hint="eastAsia" w:ascii="仿宋_GB2312" w:hAnsi="仿宋" w:eastAsia="仿宋_GB2312"/>
          <w:bCs/>
          <w:snapToGrid w:val="0"/>
          <w:kern w:val="0"/>
          <w:sz w:val="32"/>
          <w:szCs w:val="32"/>
        </w:rPr>
        <w:t xml:space="preserve"> nm 处测定溶液的吸光度，从而建立食用油过氧化值的光谱模型。</w:t>
      </w:r>
      <w:r>
        <w:rPr>
          <w:rFonts w:hint="eastAsia" w:ascii="仿宋_GB2312" w:eastAsia="仿宋_GB2312"/>
          <w:bCs/>
          <w:snapToGrid w:val="0"/>
          <w:kern w:val="0"/>
          <w:sz w:val="32"/>
          <w:szCs w:val="32"/>
        </w:rPr>
        <w:t xml:space="preserve">      </w:t>
      </w:r>
    </w:p>
    <w:p>
      <w:pPr>
        <w:spacing w:line="360" w:lineRule="auto"/>
        <w:ind w:firstLine="640" w:firstLineChars="200"/>
        <w:rPr>
          <w:rFonts w:hint="eastAsia" w:ascii="仿宋_GB2312" w:eastAsia="仿宋_GB2312"/>
          <w:bCs/>
          <w:snapToGrid w:val="0"/>
          <w:kern w:val="0"/>
          <w:sz w:val="32"/>
          <w:szCs w:val="32"/>
        </w:rPr>
      </w:pPr>
      <w:r>
        <w:rPr>
          <w:rFonts w:hint="eastAsia" w:ascii="仿宋_GB2312" w:eastAsia="仿宋_GB2312"/>
          <w:bCs/>
          <w:snapToGrid w:val="0"/>
          <w:kern w:val="0"/>
          <w:sz w:val="32"/>
          <w:szCs w:val="32"/>
        </w:rPr>
        <w:t>3. 检测</w:t>
      </w:r>
      <w:r>
        <w:rPr>
          <w:rFonts w:hint="eastAsia" w:ascii="仿宋_GB2312" w:hAnsi="仿宋" w:eastAsia="仿宋_GB2312"/>
          <w:bCs/>
          <w:snapToGrid w:val="0"/>
          <w:kern w:val="0"/>
          <w:sz w:val="32"/>
          <w:szCs w:val="32"/>
        </w:rPr>
        <w:t>方法测定低限、加标回收率及精密度的确定。</w:t>
      </w:r>
    </w:p>
    <w:p>
      <w:pPr>
        <w:spacing w:line="360" w:lineRule="auto"/>
        <w:ind w:firstLine="640" w:firstLineChars="200"/>
        <w:rPr>
          <w:rFonts w:hint="eastAsia" w:ascii="仿宋_GB2312" w:eastAsia="仿宋_GB2312"/>
          <w:bCs/>
          <w:snapToGrid w:val="0"/>
          <w:kern w:val="0"/>
          <w:sz w:val="32"/>
          <w:szCs w:val="32"/>
        </w:rPr>
      </w:pPr>
      <w:r>
        <w:rPr>
          <w:rFonts w:hint="eastAsia" w:ascii="仿宋_GB2312" w:eastAsia="仿宋_GB2312"/>
          <w:bCs/>
          <w:snapToGrid w:val="0"/>
          <w:kern w:val="0"/>
          <w:sz w:val="32"/>
          <w:szCs w:val="32"/>
        </w:rPr>
        <w:t>4. 对</w:t>
      </w:r>
      <w:r>
        <w:rPr>
          <w:rFonts w:hint="eastAsia" w:ascii="仿宋_GB2312" w:hAnsi="仿宋" w:eastAsia="仿宋_GB2312"/>
          <w:bCs/>
          <w:snapToGrid w:val="0"/>
          <w:kern w:val="0"/>
          <w:sz w:val="32"/>
          <w:szCs w:val="32"/>
        </w:rPr>
        <w:t>测定低限、加标回收率及精密度验证。</w:t>
      </w:r>
    </w:p>
    <w:p>
      <w:pPr>
        <w:spacing w:line="360" w:lineRule="auto"/>
        <w:ind w:firstLine="640" w:firstLineChars="200"/>
        <w:rPr>
          <w:rFonts w:hint="eastAsia" w:ascii="仿宋_GB2312" w:eastAsia="仿宋_GB2312"/>
          <w:bCs/>
          <w:snapToGrid w:val="0"/>
          <w:kern w:val="0"/>
          <w:sz w:val="32"/>
          <w:szCs w:val="32"/>
        </w:rPr>
      </w:pPr>
      <w:r>
        <w:rPr>
          <w:rFonts w:hint="eastAsia" w:ascii="仿宋_GB2312" w:eastAsia="仿宋_GB2312"/>
          <w:bCs/>
          <w:snapToGrid w:val="0"/>
          <w:kern w:val="0"/>
          <w:sz w:val="32"/>
          <w:szCs w:val="32"/>
        </w:rPr>
        <w:t>5.</w:t>
      </w:r>
      <w:r>
        <w:rPr>
          <w:rFonts w:hint="eastAsia" w:ascii="仿宋_GB2312" w:hAnsi="仿宋" w:eastAsia="仿宋_GB2312"/>
          <w:bCs/>
          <w:snapToGrid w:val="0"/>
          <w:kern w:val="0"/>
          <w:sz w:val="32"/>
          <w:szCs w:val="32"/>
        </w:rPr>
        <w:t xml:space="preserve"> 对建立的检测方法法人准确度以及可靠性进行验证。</w:t>
      </w:r>
    </w:p>
    <w:p>
      <w:pPr>
        <w:spacing w:line="360" w:lineRule="auto"/>
        <w:ind w:firstLine="643" w:firstLineChars="200"/>
        <w:rPr>
          <w:rFonts w:hint="eastAsia" w:ascii="仿宋_GB2312" w:eastAsia="仿宋_GB2312"/>
          <w:b/>
          <w:bCs/>
          <w:snapToGrid w:val="0"/>
          <w:kern w:val="0"/>
          <w:sz w:val="32"/>
          <w:szCs w:val="32"/>
        </w:rPr>
      </w:pPr>
      <w:r>
        <w:rPr>
          <w:rFonts w:hint="eastAsia" w:ascii="仿宋_GB2312" w:hAnsi="仿宋" w:eastAsia="仿宋_GB2312"/>
          <w:b/>
          <w:bCs/>
          <w:snapToGrid w:val="0"/>
          <w:kern w:val="0"/>
          <w:sz w:val="32"/>
          <w:szCs w:val="32"/>
        </w:rPr>
        <w:t>第二阶段：食用油过氧化值的检测 便携式分光光度法的应用实验</w:t>
      </w:r>
      <w:r>
        <w:rPr>
          <w:rFonts w:hint="eastAsia" w:ascii="仿宋_GB2312" w:eastAsia="仿宋_GB2312"/>
          <w:b/>
          <w:bCs/>
          <w:snapToGrid w:val="0"/>
          <w:kern w:val="0"/>
          <w:sz w:val="32"/>
          <w:szCs w:val="32"/>
        </w:rPr>
        <w:t xml:space="preserve"> </w:t>
      </w:r>
    </w:p>
    <w:p>
      <w:pPr>
        <w:spacing w:line="360" w:lineRule="auto"/>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本阶段主要进行</w:t>
      </w:r>
      <w:r>
        <w:rPr>
          <w:rFonts w:hint="eastAsia" w:ascii="仿宋_GB2312" w:eastAsia="仿宋_GB2312"/>
          <w:bCs/>
          <w:snapToGrid w:val="0"/>
          <w:kern w:val="0"/>
          <w:sz w:val="32"/>
          <w:szCs w:val="32"/>
        </w:rPr>
        <w:t>食用油中过氧化值的</w:t>
      </w:r>
      <w:r>
        <w:rPr>
          <w:rFonts w:hint="eastAsia" w:ascii="仿宋_GB2312" w:hAnsi="仿宋" w:eastAsia="仿宋_GB2312"/>
          <w:bCs/>
          <w:snapToGrid w:val="0"/>
          <w:kern w:val="0"/>
          <w:sz w:val="32"/>
          <w:szCs w:val="32"/>
        </w:rPr>
        <w:t>应用实验。为了验证所建立的方法的准确度、精密度、测定低限和加标回收率，由郑州中道生物技术有限公司组织河南中标检测服务有限公司、郑州大学、河南省食品检验研究院、河南国昌生物科技有限公司等单位对食用油中过氧化值的最适条件、检测波长、所用仪器、试剂耗材等方面提出了不同的修改意见和建议；对该方法的准确性、特异性、敏感性等进行了充分实验并得出了肯定意见。</w:t>
      </w:r>
    </w:p>
    <w:p>
      <w:pPr>
        <w:spacing w:line="360" w:lineRule="auto"/>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（二）标准起草阶段</w:t>
      </w:r>
    </w:p>
    <w:p>
      <w:pPr>
        <w:spacing w:line="360" w:lineRule="auto"/>
        <w:ind w:firstLine="643" w:firstLineChars="200"/>
        <w:rPr>
          <w:rFonts w:ascii="仿宋_GB2312" w:hAnsi="仿宋" w:eastAsia="仿宋_GB2312"/>
          <w:b/>
          <w:bCs/>
          <w:snapToGrid w:val="0"/>
          <w:kern w:val="0"/>
          <w:sz w:val="32"/>
          <w:szCs w:val="32"/>
        </w:rPr>
      </w:pPr>
      <w:r>
        <w:rPr>
          <w:rFonts w:hint="eastAsia" w:ascii="仿宋_GB2312" w:hAnsi="仿宋" w:eastAsia="仿宋_GB2312"/>
          <w:b/>
          <w:bCs/>
          <w:snapToGrid w:val="0"/>
          <w:kern w:val="0"/>
          <w:sz w:val="32"/>
          <w:szCs w:val="32"/>
        </w:rPr>
        <w:t>1、成立起草组，明确分工</w:t>
      </w:r>
    </w:p>
    <w:p>
      <w:pPr>
        <w:snapToGrid w:val="0"/>
        <w:spacing w:line="360" w:lineRule="auto"/>
        <w:ind w:firstLine="640" w:firstLineChars="200"/>
        <w:rPr>
          <w:rFonts w:hint="eastAsia" w:ascii="仿宋_GB2312" w:hAnsi="仿宋" w:eastAsia="仿宋_GB2312"/>
          <w:bCs/>
          <w:snapToGrid w:val="0"/>
          <w:kern w:val="0"/>
          <w:sz w:val="32"/>
          <w:szCs w:val="32"/>
        </w:rPr>
      </w:pPr>
      <w:r>
        <w:rPr>
          <w:rFonts w:eastAsia="仿宋_GB2312"/>
          <w:kern w:val="0"/>
          <w:sz w:val="32"/>
          <w:szCs w:val="32"/>
        </w:rPr>
        <w:t>接到标准编制任务后，</w:t>
      </w:r>
      <w:r>
        <w:rPr>
          <w:rFonts w:hint="eastAsia" w:ascii="仿宋_GB2312" w:hAnsi="仿宋" w:eastAsia="仿宋_GB2312"/>
          <w:bCs/>
          <w:snapToGrid w:val="0"/>
          <w:kern w:val="0"/>
          <w:sz w:val="32"/>
          <w:szCs w:val="32"/>
        </w:rPr>
        <w:t>郑州中道生物技术有限公司</w:t>
      </w:r>
      <w:r>
        <w:rPr>
          <w:rFonts w:eastAsia="仿宋_GB2312"/>
          <w:kern w:val="0"/>
          <w:sz w:val="32"/>
          <w:szCs w:val="32"/>
        </w:rPr>
        <w:t>组建了《</w:t>
      </w:r>
      <w:r>
        <w:rPr>
          <w:rFonts w:hint="eastAsia" w:ascii="仿宋_GB2312" w:hAnsi="仿宋" w:eastAsia="仿宋_GB2312"/>
          <w:bCs/>
          <w:snapToGrid w:val="0"/>
          <w:kern w:val="0"/>
          <w:sz w:val="32"/>
          <w:szCs w:val="32"/>
        </w:rPr>
        <w:t>食用油过氧化值的检测 便携式分光光度法</w:t>
      </w:r>
      <w:r>
        <w:rPr>
          <w:rFonts w:eastAsia="仿宋_GB2312"/>
          <w:kern w:val="0"/>
          <w:sz w:val="32"/>
          <w:szCs w:val="32"/>
        </w:rPr>
        <w:t>》标准编制组，确定主要负责人，明确起草组人员及相关职责，</w:t>
      </w:r>
      <w:r>
        <w:rPr>
          <w:rFonts w:hint="eastAsia" w:ascii="仿宋_GB2312" w:hAnsi="宋体" w:eastAsia="仿宋_GB2312"/>
          <w:kern w:val="0"/>
          <w:sz w:val="32"/>
          <w:szCs w:val="32"/>
        </w:rPr>
        <w:t>对标准各项内容的编制工作逐一进行了细化。</w:t>
      </w:r>
    </w:p>
    <w:p>
      <w:pPr>
        <w:snapToGrid w:val="0"/>
        <w:spacing w:line="360" w:lineRule="auto"/>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项目主持人：屈凌波，主持本项团体标准的制定与编写。</w:t>
      </w:r>
    </w:p>
    <w:p>
      <w:pPr>
        <w:snapToGrid w:val="0"/>
        <w:spacing w:line="360" w:lineRule="auto"/>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 xml:space="preserve">参加者： </w:t>
      </w:r>
    </w:p>
    <w:p>
      <w:pPr>
        <w:snapToGrid w:val="0"/>
        <w:spacing w:line="360" w:lineRule="auto"/>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赵林萍：郑州中道生物技术有限公司，负责标准的制定和试验技术推广。</w:t>
      </w:r>
    </w:p>
    <w:p>
      <w:pPr>
        <w:snapToGrid w:val="0"/>
        <w:spacing w:line="360" w:lineRule="auto"/>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付燕峰：郑州中道生物技术有限公司，负责标准的制定、校订和检测方法的建立。</w:t>
      </w:r>
    </w:p>
    <w:p>
      <w:pPr>
        <w:snapToGrid w:val="0"/>
        <w:spacing w:line="360" w:lineRule="auto"/>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秦廷瑞：河南省食品检验研究院，负责标准的校订和测方法的建立。</w:t>
      </w:r>
    </w:p>
    <w:p>
      <w:pPr>
        <w:snapToGrid w:val="0"/>
        <w:spacing w:line="360" w:lineRule="auto"/>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赵雪峰：河南中标检测服务有限公司，负责标准的制定、校订和优化。</w:t>
      </w:r>
    </w:p>
    <w:p>
      <w:pPr>
        <w:snapToGrid w:val="0"/>
        <w:spacing w:line="360" w:lineRule="auto"/>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苗银萍：郑州中道生物技术有限公司，负责标准的制定和检测方法的优化。</w:t>
      </w:r>
    </w:p>
    <w:p>
      <w:pPr>
        <w:snapToGrid w:val="0"/>
        <w:spacing w:line="360" w:lineRule="auto"/>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樊国强：河南国昌生物科技有限公司，负责标准的制定和检测方法的优化。</w:t>
      </w:r>
    </w:p>
    <w:p>
      <w:pPr>
        <w:snapToGrid w:val="0"/>
        <w:spacing w:line="360" w:lineRule="auto"/>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陈金标：新乡市中标检验检疫创新研究院，负责标准的制定和检测方法的优化。</w:t>
      </w:r>
    </w:p>
    <w:p>
      <w:pPr>
        <w:spacing w:after="156" w:afterLines="50" w:line="360" w:lineRule="auto"/>
        <w:ind w:firstLine="643" w:firstLineChars="200"/>
        <w:rPr>
          <w:rFonts w:ascii="仿宋_GB2312" w:hAnsi="仿宋" w:eastAsia="仿宋_GB2312"/>
          <w:b/>
          <w:bCs/>
          <w:snapToGrid w:val="0"/>
          <w:kern w:val="0"/>
          <w:sz w:val="32"/>
          <w:szCs w:val="32"/>
        </w:rPr>
      </w:pPr>
      <w:r>
        <w:rPr>
          <w:rFonts w:hint="eastAsia" w:ascii="仿宋_GB2312" w:hAnsi="仿宋" w:eastAsia="仿宋_GB2312"/>
          <w:b/>
          <w:bCs/>
          <w:snapToGrid w:val="0"/>
          <w:kern w:val="0"/>
          <w:sz w:val="32"/>
          <w:szCs w:val="32"/>
        </w:rPr>
        <w:t>2、标准的起草</w:t>
      </w:r>
    </w:p>
    <w:p>
      <w:pPr>
        <w:snapToGrid w:val="0"/>
        <w:spacing w:line="360" w:lineRule="auto"/>
        <w:ind w:firstLine="640" w:firstLineChars="200"/>
        <w:rPr>
          <w:rFonts w:hint="eastAsia" w:eastAsia="仿宋_GB2312"/>
          <w:kern w:val="0"/>
          <w:sz w:val="32"/>
          <w:szCs w:val="32"/>
        </w:rPr>
      </w:pPr>
      <w:r>
        <w:rPr>
          <w:rFonts w:hint="eastAsia" w:ascii="仿宋_GB2312" w:hAnsi="仿宋" w:eastAsia="仿宋_GB2312"/>
          <w:bCs/>
          <w:snapToGrid w:val="0"/>
          <w:kern w:val="0"/>
          <w:sz w:val="32"/>
          <w:szCs w:val="32"/>
        </w:rPr>
        <w:t>在系统统计、科学分析、试验验证的基础上，</w:t>
      </w:r>
      <w:r>
        <w:rPr>
          <w:rFonts w:eastAsia="仿宋_GB2312"/>
          <w:kern w:val="0"/>
          <w:sz w:val="32"/>
          <w:szCs w:val="32"/>
        </w:rPr>
        <w:t>起草组成员收集了相关行业标准、技术规范</w:t>
      </w:r>
      <w:r>
        <w:rPr>
          <w:rFonts w:hint="eastAsia" w:eastAsia="仿宋_GB2312"/>
          <w:kern w:val="0"/>
          <w:sz w:val="32"/>
          <w:szCs w:val="32"/>
        </w:rPr>
        <w:t>，</w:t>
      </w:r>
      <w:r>
        <w:rPr>
          <w:rFonts w:hint="eastAsia" w:ascii="仿宋_GB2312" w:hAnsi="仿宋" w:eastAsia="仿宋_GB2312"/>
          <w:bCs/>
          <w:snapToGrid w:val="0"/>
          <w:kern w:val="0"/>
          <w:sz w:val="32"/>
          <w:szCs w:val="32"/>
        </w:rPr>
        <w:t>组织有关专家起草了《食用油过氧化值的检测 便携式分光光度法》标准草案。通过对来自不同种类、不同品牌的食用油样品进行检测应用，结合与</w:t>
      </w:r>
      <w:bookmarkStart w:id="3" w:name="_Hlk89355531"/>
      <w:r>
        <w:rPr>
          <w:rFonts w:hint="eastAsia" w:ascii="仿宋_GB2312" w:hAnsi="仿宋" w:eastAsia="仿宋_GB2312"/>
          <w:bCs/>
          <w:snapToGrid w:val="0"/>
          <w:kern w:val="0"/>
          <w:sz w:val="32"/>
          <w:szCs w:val="32"/>
        </w:rPr>
        <w:t>GB 5009.227-2016食品安全国家标准 食品中过氧化值的测定</w:t>
      </w:r>
      <w:bookmarkEnd w:id="3"/>
      <w:r>
        <w:rPr>
          <w:rFonts w:hint="eastAsia" w:ascii="仿宋_GB2312" w:hAnsi="仿宋" w:eastAsia="仿宋_GB2312"/>
          <w:bCs/>
          <w:snapToGrid w:val="0"/>
          <w:kern w:val="0"/>
          <w:sz w:val="32"/>
          <w:szCs w:val="32"/>
        </w:rPr>
        <w:t>对照实验，同时经征求国内相关专家意见，对获取的实验数据进行科学统计分析，力求标准客观公正、真实科学、易于操作、便于推广，体现先进性，增强其指导性。</w:t>
      </w:r>
      <w:r>
        <w:rPr>
          <w:rFonts w:eastAsia="仿宋_GB2312"/>
          <w:kern w:val="0"/>
          <w:sz w:val="32"/>
          <w:szCs w:val="32"/>
        </w:rPr>
        <w:t>经过起草组成员反复修改和研讨后，形成</w:t>
      </w:r>
      <w:r>
        <w:rPr>
          <w:rFonts w:hint="eastAsia" w:eastAsia="仿宋_GB2312"/>
          <w:kern w:val="0"/>
          <w:sz w:val="32"/>
          <w:szCs w:val="32"/>
        </w:rPr>
        <w:t>了</w:t>
      </w:r>
      <w:r>
        <w:rPr>
          <w:rFonts w:eastAsia="仿宋_GB2312"/>
          <w:kern w:val="0"/>
          <w:sz w:val="32"/>
          <w:szCs w:val="32"/>
        </w:rPr>
        <w:t>标准</w:t>
      </w:r>
      <w:r>
        <w:rPr>
          <w:rFonts w:hint="eastAsia" w:eastAsia="仿宋_GB2312"/>
          <w:kern w:val="0"/>
          <w:sz w:val="32"/>
          <w:szCs w:val="32"/>
        </w:rPr>
        <w:t>的征求意见稿。</w:t>
      </w:r>
    </w:p>
    <w:p>
      <w:pPr>
        <w:snapToGrid w:val="0"/>
        <w:spacing w:line="360" w:lineRule="auto"/>
        <w:ind w:firstLine="640" w:firstLineChars="200"/>
        <w:rPr>
          <w:rFonts w:eastAsia="黑体"/>
          <w:kern w:val="0"/>
          <w:sz w:val="32"/>
          <w:szCs w:val="32"/>
        </w:rPr>
      </w:pPr>
      <w:r>
        <w:rPr>
          <w:rFonts w:eastAsia="黑体"/>
          <w:kern w:val="0"/>
          <w:sz w:val="32"/>
          <w:szCs w:val="32"/>
        </w:rPr>
        <w:t>四、主要内容的确定</w:t>
      </w:r>
    </w:p>
    <w:p>
      <w:pPr>
        <w:spacing w:line="360" w:lineRule="auto"/>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本文件主要规定了食用油过氧化值的检测方法原理、仪器设备、试剂耗材、操作步骤、结果判定等内容。</w:t>
      </w:r>
    </w:p>
    <w:p>
      <w:pPr>
        <w:spacing w:line="360" w:lineRule="auto"/>
        <w:ind w:firstLine="643" w:firstLineChars="200"/>
        <w:rPr>
          <w:rFonts w:hint="eastAsia" w:ascii="仿宋_GB2312" w:eastAsia="仿宋_GB2312"/>
          <w:b/>
          <w:bCs/>
          <w:snapToGrid w:val="0"/>
          <w:kern w:val="0"/>
          <w:sz w:val="32"/>
          <w:szCs w:val="32"/>
        </w:rPr>
      </w:pPr>
      <w:r>
        <w:rPr>
          <w:rFonts w:hint="eastAsia" w:ascii="仿宋_GB2312" w:eastAsia="仿宋_GB2312"/>
          <w:b/>
          <w:bCs/>
          <w:snapToGrid w:val="0"/>
          <w:kern w:val="0"/>
          <w:sz w:val="32"/>
          <w:szCs w:val="32"/>
        </w:rPr>
        <w:t>（一）范围</w:t>
      </w:r>
    </w:p>
    <w:p>
      <w:pPr>
        <w:spacing w:line="360" w:lineRule="auto"/>
        <w:ind w:firstLine="800" w:firstLineChars="250"/>
        <w:rPr>
          <w:rFonts w:hint="eastAsia" w:ascii="仿宋_GB2312" w:eastAsia="仿宋_GB2312"/>
          <w:bCs/>
          <w:snapToGrid w:val="0"/>
          <w:kern w:val="0"/>
          <w:sz w:val="32"/>
          <w:szCs w:val="32"/>
        </w:rPr>
      </w:pPr>
      <w:r>
        <w:rPr>
          <w:rFonts w:hint="eastAsia" w:ascii="仿宋_GB2312" w:hAnsi="仿宋" w:eastAsia="仿宋_GB2312"/>
          <w:bCs/>
          <w:snapToGrid w:val="0"/>
          <w:kern w:val="0"/>
          <w:sz w:val="32"/>
          <w:szCs w:val="32"/>
        </w:rPr>
        <w:t>结合大量试验验证结果，界定了本标准的适用范围为各种便携式分光光度法 检测食用油的过氧化值。</w:t>
      </w:r>
    </w:p>
    <w:p>
      <w:pPr>
        <w:spacing w:line="360" w:lineRule="auto"/>
        <w:ind w:firstLine="643" w:firstLineChars="200"/>
        <w:rPr>
          <w:rFonts w:hint="eastAsia" w:ascii="仿宋_GB2312" w:eastAsia="仿宋_GB2312"/>
          <w:b/>
          <w:bCs/>
          <w:snapToGrid w:val="0"/>
          <w:kern w:val="0"/>
          <w:sz w:val="32"/>
          <w:szCs w:val="32"/>
        </w:rPr>
      </w:pPr>
      <w:r>
        <w:rPr>
          <w:rFonts w:hint="eastAsia" w:ascii="仿宋_GB2312" w:hAnsi="仿宋" w:eastAsia="仿宋_GB2312"/>
          <w:b/>
          <w:bCs/>
          <w:snapToGrid w:val="0"/>
          <w:kern w:val="0"/>
          <w:sz w:val="32"/>
          <w:szCs w:val="32"/>
        </w:rPr>
        <w:t>（二）</w:t>
      </w:r>
      <w:r>
        <w:rPr>
          <w:rFonts w:hint="eastAsia" w:ascii="仿宋_GB2312" w:eastAsia="仿宋_GB2312"/>
          <w:b/>
          <w:bCs/>
          <w:snapToGrid w:val="0"/>
          <w:kern w:val="0"/>
          <w:sz w:val="32"/>
          <w:szCs w:val="32"/>
        </w:rPr>
        <w:t>方法原理</w:t>
      </w:r>
    </w:p>
    <w:p>
      <w:pPr>
        <w:spacing w:line="360" w:lineRule="auto"/>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为保证标准的可推广性和应用范围，本标准对国内外对食用油中过氧化值的测定进行了研究，依据氧化还原的化学原理结合分光光度计操作的便利性，建立食用油过氧化值的光谱模型，从而便捷的建立了过氧化值的测定的快速检测方法。</w:t>
      </w:r>
    </w:p>
    <w:p>
      <w:pPr>
        <w:spacing w:line="360" w:lineRule="auto"/>
        <w:ind w:firstLine="643" w:firstLineChars="200"/>
        <w:rPr>
          <w:rFonts w:hint="eastAsia" w:ascii="仿宋_GB2312" w:eastAsia="仿宋_GB2312"/>
          <w:b/>
          <w:bCs/>
          <w:snapToGrid w:val="0"/>
          <w:kern w:val="0"/>
          <w:sz w:val="32"/>
          <w:szCs w:val="32"/>
        </w:rPr>
      </w:pPr>
      <w:r>
        <w:rPr>
          <w:rFonts w:hAnsi="仿宋" w:eastAsia="仿宋"/>
          <w:b/>
          <w:bCs/>
          <w:snapToGrid w:val="0"/>
          <w:kern w:val="0"/>
          <w:sz w:val="32"/>
          <w:szCs w:val="32"/>
        </w:rPr>
        <w:t>（</w:t>
      </w:r>
      <w:r>
        <w:rPr>
          <w:rFonts w:hint="eastAsia" w:ascii="仿宋_GB2312" w:hAnsi="仿宋" w:eastAsia="仿宋_GB2312"/>
          <w:b/>
          <w:bCs/>
          <w:snapToGrid w:val="0"/>
          <w:kern w:val="0"/>
          <w:sz w:val="32"/>
          <w:szCs w:val="32"/>
        </w:rPr>
        <w:t>三）</w:t>
      </w:r>
      <w:r>
        <w:rPr>
          <w:rFonts w:hint="eastAsia" w:ascii="仿宋_GB2312" w:eastAsia="仿宋_GB2312"/>
          <w:b/>
          <w:bCs/>
          <w:snapToGrid w:val="0"/>
          <w:kern w:val="0"/>
          <w:sz w:val="32"/>
          <w:szCs w:val="32"/>
        </w:rPr>
        <w:t>实验材料</w:t>
      </w:r>
    </w:p>
    <w:p>
      <w:pPr>
        <w:spacing w:line="360" w:lineRule="auto"/>
        <w:ind w:firstLine="640" w:firstLineChars="200"/>
        <w:rPr>
          <w:rFonts w:eastAsia="仿宋"/>
          <w:bCs/>
          <w:snapToGrid w:val="0"/>
          <w:kern w:val="0"/>
          <w:sz w:val="32"/>
          <w:szCs w:val="32"/>
        </w:rPr>
      </w:pPr>
      <w:r>
        <w:rPr>
          <w:rFonts w:hint="eastAsia" w:ascii="仿宋_GB2312" w:hAnsi="仿宋" w:eastAsia="仿宋_GB2312"/>
          <w:bCs/>
          <w:snapToGrid w:val="0"/>
          <w:kern w:val="0"/>
          <w:sz w:val="32"/>
          <w:szCs w:val="32"/>
        </w:rPr>
        <w:t>选取的是在综合农贸市场中流动的不同生产厂家、不同成分、不同类型的食用油，例如常用的菜籽压榨油、大豆油、玉米油、花生油及芝麻油等等。</w:t>
      </w:r>
    </w:p>
    <w:p>
      <w:pPr>
        <w:spacing w:line="360" w:lineRule="auto"/>
        <w:ind w:firstLine="643" w:firstLineChars="200"/>
        <w:rPr>
          <w:rFonts w:hint="eastAsia" w:ascii="仿宋_GB2312" w:eastAsia="仿宋_GB2312"/>
          <w:b/>
          <w:bCs/>
          <w:snapToGrid w:val="0"/>
          <w:kern w:val="0"/>
          <w:sz w:val="32"/>
          <w:szCs w:val="32"/>
        </w:rPr>
      </w:pPr>
      <w:r>
        <w:rPr>
          <w:rFonts w:hint="eastAsia" w:ascii="仿宋_GB2312" w:hAnsi="仿宋" w:eastAsia="仿宋_GB2312"/>
          <w:b/>
          <w:bCs/>
          <w:snapToGrid w:val="0"/>
          <w:kern w:val="0"/>
          <w:sz w:val="32"/>
          <w:szCs w:val="32"/>
        </w:rPr>
        <w:t>（四）</w:t>
      </w:r>
      <w:r>
        <w:rPr>
          <w:rFonts w:hint="eastAsia" w:ascii="仿宋_GB2312" w:eastAsia="仿宋_GB2312"/>
          <w:b/>
          <w:bCs/>
          <w:snapToGrid w:val="0"/>
          <w:kern w:val="0"/>
          <w:sz w:val="32"/>
          <w:szCs w:val="32"/>
        </w:rPr>
        <w:t>最佳检测波长</w:t>
      </w:r>
    </w:p>
    <w:p>
      <w:pPr>
        <w:spacing w:line="360" w:lineRule="auto"/>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确定了检测的最佳波长为5</w:t>
      </w:r>
      <w:r>
        <w:rPr>
          <w:rFonts w:ascii="仿宋_GB2312" w:hAnsi="仿宋" w:eastAsia="仿宋_GB2312"/>
          <w:bCs/>
          <w:snapToGrid w:val="0"/>
          <w:kern w:val="0"/>
          <w:sz w:val="32"/>
          <w:szCs w:val="32"/>
        </w:rPr>
        <w:t>60</w:t>
      </w:r>
      <w:r>
        <w:rPr>
          <w:rFonts w:hint="eastAsia" w:ascii="仿宋_GB2312" w:hAnsi="仿宋" w:eastAsia="仿宋_GB2312"/>
          <w:bCs/>
          <w:snapToGrid w:val="0"/>
          <w:kern w:val="0"/>
          <w:sz w:val="32"/>
          <w:szCs w:val="32"/>
        </w:rPr>
        <w:t>nm，如图</w:t>
      </w:r>
    </w:p>
    <w:p>
      <w:pPr>
        <w:spacing w:line="360" w:lineRule="auto"/>
        <w:ind w:firstLine="640" w:firstLineChars="200"/>
        <w:rPr>
          <w:rFonts w:hint="eastAsia" w:ascii="仿宋_GB2312" w:hAnsi="仿宋" w:eastAsia="仿宋_GB2312"/>
          <w:bCs/>
          <w:snapToGrid w:val="0"/>
          <w:kern w:val="0"/>
          <w:sz w:val="32"/>
          <w:szCs w:val="32"/>
        </w:rPr>
      </w:pPr>
    </w:p>
    <w:p>
      <w:pPr>
        <w:spacing w:line="360" w:lineRule="auto"/>
        <w:ind w:firstLine="640" w:firstLineChars="200"/>
        <w:jc w:val="center"/>
        <w:rPr>
          <w:rFonts w:ascii="仿宋_GB2312" w:eastAsia="仿宋_GB2312"/>
          <w:bCs/>
          <w:snapToGrid w:val="0"/>
          <w:kern w:val="0"/>
          <w:sz w:val="32"/>
          <w:szCs w:val="32"/>
        </w:rPr>
      </w:pPr>
      <w:r>
        <w:rPr>
          <w:rFonts w:ascii="仿宋_GB2312" w:eastAsia="仿宋_GB2312"/>
          <w:bCs/>
          <w:kern w:val="0"/>
          <w:sz w:val="32"/>
          <w:szCs w:val="32"/>
        </w:rPr>
        <w:drawing>
          <wp:inline distT="0" distB="0" distL="0" distR="0">
            <wp:extent cx="3476625" cy="1882775"/>
            <wp:effectExtent l="0" t="0" r="9525"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476625" cy="1882775"/>
                    </a:xfrm>
                    <a:prstGeom prst="rect">
                      <a:avLst/>
                    </a:prstGeom>
                    <a:noFill/>
                  </pic:spPr>
                </pic:pic>
              </a:graphicData>
            </a:graphic>
          </wp:inline>
        </w:drawing>
      </w:r>
    </w:p>
    <w:p>
      <w:pPr>
        <w:spacing w:line="360" w:lineRule="auto"/>
        <w:ind w:firstLine="640" w:firstLineChars="200"/>
        <w:rPr>
          <w:rFonts w:hint="eastAsia" w:ascii="仿宋_GB2312" w:eastAsia="仿宋_GB2312"/>
          <w:bCs/>
          <w:snapToGrid w:val="0"/>
          <w:kern w:val="0"/>
          <w:sz w:val="32"/>
          <w:szCs w:val="32"/>
        </w:rPr>
      </w:pPr>
      <w:r>
        <w:rPr>
          <w:rFonts w:hint="eastAsia" w:ascii="仿宋_GB2312" w:eastAsia="仿宋_GB2312"/>
          <w:bCs/>
          <w:snapToGrid w:val="0"/>
          <w:kern w:val="0"/>
          <w:sz w:val="32"/>
          <w:szCs w:val="32"/>
        </w:rPr>
        <w:t>根据光谱图可以清晰的看出，在 500 ～ 600 nm 范围内，有较高的吸收峰，在5</w:t>
      </w:r>
      <w:r>
        <w:rPr>
          <w:rFonts w:ascii="仿宋_GB2312" w:eastAsia="仿宋_GB2312"/>
          <w:bCs/>
          <w:snapToGrid w:val="0"/>
          <w:kern w:val="0"/>
          <w:sz w:val="32"/>
          <w:szCs w:val="32"/>
        </w:rPr>
        <w:t>60</w:t>
      </w:r>
      <w:r>
        <w:rPr>
          <w:rFonts w:hint="eastAsia" w:ascii="仿宋_GB2312" w:eastAsia="仿宋_GB2312"/>
          <w:bCs/>
          <w:snapToGrid w:val="0"/>
          <w:kern w:val="0"/>
          <w:sz w:val="32"/>
          <w:szCs w:val="32"/>
        </w:rPr>
        <w:t>nm达到峰值。</w:t>
      </w:r>
    </w:p>
    <w:p>
      <w:pPr>
        <w:spacing w:line="360" w:lineRule="auto"/>
        <w:ind w:firstLine="643" w:firstLineChars="200"/>
        <w:rPr>
          <w:rFonts w:hint="eastAsia" w:ascii="仿宋_GB2312" w:eastAsia="仿宋_GB2312"/>
          <w:b/>
          <w:bCs/>
          <w:snapToGrid w:val="0"/>
          <w:kern w:val="0"/>
          <w:sz w:val="32"/>
          <w:szCs w:val="32"/>
        </w:rPr>
      </w:pPr>
      <w:r>
        <w:rPr>
          <w:rFonts w:hint="eastAsia" w:ascii="仿宋_GB2312" w:hAnsi="仿宋" w:eastAsia="仿宋_GB2312"/>
          <w:b/>
          <w:bCs/>
          <w:snapToGrid w:val="0"/>
          <w:kern w:val="0"/>
          <w:sz w:val="32"/>
          <w:szCs w:val="32"/>
        </w:rPr>
        <w:t>（五）</w:t>
      </w:r>
      <w:r>
        <w:rPr>
          <w:rFonts w:hint="eastAsia" w:ascii="仿宋_GB2312" w:eastAsia="仿宋_GB2312"/>
          <w:b/>
          <w:bCs/>
          <w:snapToGrid w:val="0"/>
          <w:kern w:val="0"/>
          <w:sz w:val="32"/>
          <w:szCs w:val="32"/>
        </w:rPr>
        <w:t>确定碘化钾的加入量</w:t>
      </w:r>
    </w:p>
    <w:p>
      <w:pPr>
        <w:spacing w:line="360" w:lineRule="auto"/>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碘化钾的添加量可对实验结果造成直接影响。例如，所添加的碘化钾容量较小时，会导致实验结果出现数值上的差异，影响结果的准确性。如果碘化钾的添加量过多，同样会给实验带来影响，因此，为进一步减少浪费，将风险控制到最小，可通过对实验样品添加不同体积的碘化钾溶液，制定出不同容量下溶液光谱的变化图，如图所示：</w:t>
      </w:r>
    </w:p>
    <w:p>
      <w:pPr>
        <w:pStyle w:val="3"/>
        <w:ind w:left="357"/>
        <w:jc w:val="center"/>
        <w:rPr>
          <w:rFonts w:ascii="华光书宋_CNKI"/>
        </w:rPr>
      </w:pPr>
      <w:r>
        <w:rPr>
          <w:rFonts w:ascii="华光书宋_CNKI"/>
          <w:lang w:eastAsia="zh-CN"/>
        </w:rPr>
        <w:drawing>
          <wp:inline distT="0" distB="0" distL="0" distR="0">
            <wp:extent cx="4416425" cy="2682875"/>
            <wp:effectExtent l="0" t="0" r="3175" b="3175"/>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416425" cy="2682875"/>
                    </a:xfrm>
                    <a:prstGeom prst="rect">
                      <a:avLst/>
                    </a:prstGeom>
                    <a:noFill/>
                    <a:ln>
                      <a:noFill/>
                    </a:ln>
                  </pic:spPr>
                </pic:pic>
              </a:graphicData>
            </a:graphic>
          </wp:inline>
        </w:drawing>
      </w:r>
    </w:p>
    <w:p>
      <w:pPr>
        <w:spacing w:line="360" w:lineRule="auto"/>
        <w:ind w:firstLine="640" w:firstLineChars="200"/>
        <w:rPr>
          <w:rFonts w:eastAsia="黑体"/>
          <w:bCs/>
          <w:snapToGrid w:val="0"/>
          <w:kern w:val="0"/>
          <w:szCs w:val="21"/>
        </w:rPr>
      </w:pPr>
      <w:r>
        <w:rPr>
          <w:rFonts w:hint="eastAsia" w:ascii="仿宋_GB2312" w:hAnsi="仿宋" w:eastAsia="仿宋_GB2312"/>
          <w:bCs/>
          <w:snapToGrid w:val="0"/>
          <w:kern w:val="0"/>
          <w:sz w:val="32"/>
          <w:szCs w:val="32"/>
        </w:rPr>
        <w:t>由图可知，当碘化钾溶液的容量在0.4 ～ 0.8 mL 时， 溶液吸光度数值的变化波动较小，因此确定该实验的碘化钾溶液容量为 0.6 mL。</w:t>
      </w:r>
    </w:p>
    <w:p>
      <w:pPr>
        <w:spacing w:line="360" w:lineRule="auto"/>
        <w:ind w:firstLine="643" w:firstLineChars="200"/>
        <w:rPr>
          <w:rFonts w:hint="eastAsia" w:ascii="仿宋_GB2312" w:eastAsia="仿宋_GB2312"/>
          <w:b/>
          <w:bCs/>
          <w:snapToGrid w:val="0"/>
          <w:kern w:val="0"/>
          <w:sz w:val="32"/>
          <w:szCs w:val="32"/>
        </w:rPr>
      </w:pPr>
      <w:r>
        <w:rPr>
          <w:rFonts w:hint="eastAsia" w:ascii="仿宋_GB2312" w:hAnsi="仿宋" w:eastAsia="仿宋_GB2312"/>
          <w:b/>
          <w:bCs/>
          <w:snapToGrid w:val="0"/>
          <w:kern w:val="0"/>
          <w:sz w:val="32"/>
          <w:szCs w:val="32"/>
        </w:rPr>
        <w:t>（六）最佳反应时间</w:t>
      </w:r>
    </w:p>
    <w:p>
      <w:pPr>
        <w:spacing w:line="360" w:lineRule="auto"/>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利碘化钾与油样中的过氧化物反应的时间决定了油样内的过氧化物是否能够完全反应，反应时间的长短会影响试验结果的精准性。从同一批食用油样品种抽取</w:t>
      </w:r>
      <w:r>
        <w:rPr>
          <w:rFonts w:ascii="仿宋_GB2312" w:hAnsi="仿宋" w:eastAsia="仿宋_GB2312"/>
          <w:bCs/>
          <w:snapToGrid w:val="0"/>
          <w:kern w:val="0"/>
          <w:sz w:val="32"/>
          <w:szCs w:val="32"/>
        </w:rPr>
        <w:t>20</w:t>
      </w:r>
      <w:r>
        <w:rPr>
          <w:rFonts w:hint="eastAsia" w:ascii="仿宋_GB2312" w:hAnsi="仿宋" w:eastAsia="仿宋_GB2312"/>
          <w:bCs/>
          <w:snapToGrid w:val="0"/>
          <w:kern w:val="0"/>
          <w:sz w:val="32"/>
          <w:szCs w:val="32"/>
        </w:rPr>
        <w:t>份样品，每份为 0.100 g， 反应时间为 2、4、6、8、10 min 及 12 min。</w:t>
      </w:r>
    </w:p>
    <w:p>
      <w:pPr>
        <w:spacing w:line="360" w:lineRule="auto"/>
        <w:ind w:firstLine="640" w:firstLineChars="200"/>
        <w:jc w:val="center"/>
        <w:rPr>
          <w:rFonts w:ascii="仿宋_GB2312" w:hAnsi="仿宋" w:eastAsia="仿宋_GB2312"/>
          <w:bCs/>
          <w:snapToGrid w:val="0"/>
          <w:kern w:val="0"/>
          <w:sz w:val="32"/>
          <w:szCs w:val="32"/>
        </w:rPr>
      </w:pPr>
      <w:r>
        <w:rPr>
          <w:rFonts w:ascii="仿宋_GB2312" w:hAnsi="仿宋" w:eastAsia="仿宋_GB2312"/>
          <w:bCs/>
          <w:kern w:val="0"/>
          <w:sz w:val="32"/>
          <w:szCs w:val="32"/>
        </w:rPr>
        <w:drawing>
          <wp:inline distT="0" distB="0" distL="0" distR="0">
            <wp:extent cx="4032885" cy="2025015"/>
            <wp:effectExtent l="0" t="0" r="571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32885" cy="2025015"/>
                    </a:xfrm>
                    <a:prstGeom prst="rect">
                      <a:avLst/>
                    </a:prstGeom>
                    <a:noFill/>
                  </pic:spPr>
                </pic:pic>
              </a:graphicData>
            </a:graphic>
          </wp:inline>
        </w:drawing>
      </w:r>
    </w:p>
    <w:p>
      <w:pPr>
        <w:spacing w:line="360" w:lineRule="auto"/>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在反应 6 min 后，反应时间对吸光度的影响并不显著，溶液吸光度不会随反应时间发生明显变化，基本趋于稳定值。表明此时过氧化物与碘化钾饱和溶液充分反应，即便是延长反应时间，也不会使溶液吸光度发生变化，因此，将反应时间定为 6 min。</w:t>
      </w:r>
    </w:p>
    <w:p>
      <w:pPr>
        <w:spacing w:line="360" w:lineRule="auto"/>
        <w:ind w:firstLine="643" w:firstLineChars="200"/>
        <w:rPr>
          <w:rFonts w:hint="eastAsia" w:ascii="仿宋_GB2312" w:eastAsia="仿宋_GB2312"/>
          <w:b/>
          <w:bCs/>
          <w:snapToGrid w:val="0"/>
          <w:kern w:val="0"/>
          <w:sz w:val="32"/>
          <w:szCs w:val="32"/>
        </w:rPr>
      </w:pPr>
      <w:r>
        <w:rPr>
          <w:rFonts w:hint="eastAsia" w:ascii="仿宋_GB2312" w:hAnsi="仿宋" w:eastAsia="仿宋_GB2312"/>
          <w:b/>
          <w:bCs/>
          <w:snapToGrid w:val="0"/>
          <w:kern w:val="0"/>
          <w:sz w:val="32"/>
          <w:szCs w:val="32"/>
        </w:rPr>
        <w:t>（七）淀粉溶液添加量</w:t>
      </w:r>
    </w:p>
    <w:p>
      <w:pPr>
        <w:spacing w:line="360" w:lineRule="auto"/>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对淀粉添加量对溶液显色反应的影响较大，若添加量过大，将会影响溶液吸光度检测的精准性。过小则会导致溶液中的碘分子无法完全形成络合物，从而影响测定结果。从同一油样内取出</w:t>
      </w:r>
      <w:r>
        <w:rPr>
          <w:rFonts w:ascii="仿宋_GB2312" w:hAnsi="仿宋" w:eastAsia="仿宋_GB2312"/>
          <w:bCs/>
          <w:snapToGrid w:val="0"/>
          <w:kern w:val="0"/>
          <w:sz w:val="32"/>
          <w:szCs w:val="32"/>
        </w:rPr>
        <w:t>20</w:t>
      </w:r>
      <w:r>
        <w:rPr>
          <w:rFonts w:hint="eastAsia" w:ascii="仿宋_GB2312" w:hAnsi="仿宋" w:eastAsia="仿宋_GB2312"/>
          <w:bCs/>
          <w:snapToGrid w:val="0"/>
          <w:kern w:val="0"/>
          <w:sz w:val="32"/>
          <w:szCs w:val="32"/>
        </w:rPr>
        <w:t>份同等质量的样品，添加不同量的淀粉溶液，0.5、1.0、1.5、2.0、2.5 mL 及</w:t>
      </w:r>
      <w:r>
        <w:rPr>
          <w:rFonts w:ascii="仿宋_GB2312" w:hAnsi="仿宋" w:eastAsia="仿宋_GB2312"/>
          <w:bCs/>
          <w:snapToGrid w:val="0"/>
          <w:kern w:val="0"/>
          <w:sz w:val="32"/>
          <w:szCs w:val="32"/>
        </w:rPr>
        <w:t>3.0 mL</w:t>
      </w:r>
      <w:r>
        <w:rPr>
          <w:rFonts w:hint="eastAsia" w:ascii="仿宋_GB2312" w:hAnsi="仿宋" w:eastAsia="仿宋_GB2312"/>
          <w:bCs/>
          <w:snapToGrid w:val="0"/>
          <w:kern w:val="0"/>
          <w:sz w:val="32"/>
          <w:szCs w:val="32"/>
        </w:rPr>
        <w:t>。</w:t>
      </w:r>
    </w:p>
    <w:p>
      <w:pPr>
        <w:spacing w:line="360" w:lineRule="auto"/>
        <w:ind w:firstLine="640" w:firstLineChars="200"/>
        <w:rPr>
          <w:rFonts w:ascii="仿宋_GB2312" w:hAnsi="仿宋" w:eastAsia="仿宋_GB2312"/>
          <w:bCs/>
          <w:snapToGrid w:val="0"/>
          <w:kern w:val="0"/>
          <w:sz w:val="32"/>
          <w:szCs w:val="32"/>
        </w:rPr>
      </w:pPr>
      <w:r>
        <w:rPr>
          <w:rFonts w:ascii="仿宋_GB2312" w:hAnsi="仿宋" w:eastAsia="仿宋_GB2312"/>
          <w:bCs/>
          <w:kern w:val="0"/>
          <w:sz w:val="32"/>
          <w:szCs w:val="32"/>
        </w:rPr>
        <w:drawing>
          <wp:inline distT="0" distB="0" distL="0" distR="0">
            <wp:extent cx="3824605" cy="2016760"/>
            <wp:effectExtent l="0" t="0" r="4445" b="25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24605" cy="2016760"/>
                    </a:xfrm>
                    <a:prstGeom prst="rect">
                      <a:avLst/>
                    </a:prstGeom>
                    <a:noFill/>
                  </pic:spPr>
                </pic:pic>
              </a:graphicData>
            </a:graphic>
          </wp:inline>
        </w:drawing>
      </w:r>
    </w:p>
    <w:p>
      <w:pPr>
        <w:spacing w:line="360" w:lineRule="auto"/>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当淀粉溶液达到 1.0 mL 后，淀粉的添加量持续增加时，溶液吸光度也不变。溶液吸光数值接近稳定数值，表明淀粉已经全部与碘形成络合物， 且较为稳定。因此，将淀粉添加量确定为 1.0 mL。</w:t>
      </w:r>
    </w:p>
    <w:p>
      <w:pPr>
        <w:spacing w:line="360" w:lineRule="auto"/>
        <w:ind w:firstLine="643" w:firstLineChars="200"/>
        <w:rPr>
          <w:rFonts w:hint="eastAsia" w:ascii="仿宋_GB2312" w:eastAsia="仿宋_GB2312"/>
          <w:b/>
          <w:bCs/>
          <w:snapToGrid w:val="0"/>
          <w:kern w:val="0"/>
          <w:sz w:val="32"/>
          <w:szCs w:val="32"/>
        </w:rPr>
      </w:pPr>
      <w:r>
        <w:rPr>
          <w:rFonts w:hint="eastAsia" w:ascii="仿宋_GB2312" w:hAnsi="仿宋" w:eastAsia="仿宋_GB2312"/>
          <w:b/>
          <w:bCs/>
          <w:snapToGrid w:val="0"/>
          <w:kern w:val="0"/>
          <w:sz w:val="32"/>
          <w:szCs w:val="32"/>
        </w:rPr>
        <w:t>（八）模型的建立</w:t>
      </w:r>
    </w:p>
    <w:p>
      <w:pPr>
        <w:spacing w:line="360" w:lineRule="auto"/>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对检测条件进行实验分析，以 0.100 g 油样进行反应条件检测，检测碘标准液的吸光度，并将其换算成过氧化数值，建立过氧化值 - 吸光度检测模型。</w:t>
      </w:r>
    </w:p>
    <w:p>
      <w:pPr>
        <w:spacing w:line="360" w:lineRule="auto"/>
        <w:jc w:val="center"/>
        <w:rPr>
          <w:rFonts w:hint="eastAsia" w:ascii="仿宋_GB2312" w:hAnsi="仿宋" w:eastAsia="仿宋_GB2312"/>
          <w:bCs/>
          <w:snapToGrid w:val="0"/>
          <w:kern w:val="0"/>
          <w:sz w:val="32"/>
          <w:szCs w:val="32"/>
        </w:rPr>
      </w:pPr>
      <w:r>
        <w:rPr>
          <w:rFonts w:ascii="华光书宋_CNKI"/>
        </w:rPr>
        <w:drawing>
          <wp:inline distT="0" distB="0" distL="0" distR="0">
            <wp:extent cx="3743960" cy="1889125"/>
            <wp:effectExtent l="0" t="0" r="889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743960" cy="1889125"/>
                    </a:xfrm>
                    <a:prstGeom prst="rect">
                      <a:avLst/>
                    </a:prstGeom>
                    <a:noFill/>
                    <a:ln>
                      <a:noFill/>
                    </a:ln>
                  </pic:spPr>
                </pic:pic>
              </a:graphicData>
            </a:graphic>
          </wp:inline>
        </w:drawing>
      </w:r>
    </w:p>
    <w:p>
      <w:pPr>
        <w:spacing w:line="360" w:lineRule="auto"/>
        <w:ind w:firstLine="640" w:firstLineChars="200"/>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该预测模型为 y=28.856x+ 0.1331，R</w:t>
      </w:r>
      <w:r>
        <w:rPr>
          <w:rFonts w:hint="eastAsia" w:ascii="仿宋_GB2312" w:hAnsi="仿宋" w:eastAsia="仿宋_GB2312"/>
          <w:bCs/>
          <w:snapToGrid w:val="0"/>
          <w:kern w:val="0"/>
          <w:sz w:val="32"/>
          <w:szCs w:val="32"/>
          <w:vertAlign w:val="superscript"/>
        </w:rPr>
        <w:t>2</w:t>
      </w:r>
      <w:r>
        <w:rPr>
          <w:rFonts w:hint="eastAsia" w:ascii="仿宋_GB2312" w:hAnsi="仿宋" w:eastAsia="仿宋_GB2312"/>
          <w:bCs/>
          <w:snapToGrid w:val="0"/>
          <w:kern w:val="0"/>
          <w:sz w:val="32"/>
          <w:szCs w:val="32"/>
        </w:rPr>
        <w:t>=0.9985。模型的 R</w:t>
      </w:r>
      <w:r>
        <w:rPr>
          <w:rFonts w:hint="eastAsia" w:ascii="仿宋_GB2312" w:hAnsi="仿宋" w:eastAsia="仿宋_GB2312"/>
          <w:bCs/>
          <w:snapToGrid w:val="0"/>
          <w:kern w:val="0"/>
          <w:sz w:val="32"/>
          <w:szCs w:val="32"/>
          <w:vertAlign w:val="superscript"/>
        </w:rPr>
        <w:t>2</w:t>
      </w:r>
      <w:r>
        <w:rPr>
          <w:rFonts w:hint="eastAsia" w:ascii="仿宋_GB2312" w:hAnsi="仿宋" w:eastAsia="仿宋_GB2312"/>
          <w:bCs/>
          <w:snapToGrid w:val="0"/>
          <w:kern w:val="0"/>
          <w:sz w:val="32"/>
          <w:szCs w:val="32"/>
        </w:rPr>
        <w:t xml:space="preserve"> 值接近 1，说明溶液吸光度与过氧化值的线性关系较好，表明该建设模型切实可行。</w:t>
      </w:r>
    </w:p>
    <w:p>
      <w:pPr>
        <w:spacing w:before="156" w:beforeLines="50" w:after="156" w:afterLines="50" w:line="360" w:lineRule="auto"/>
        <w:ind w:firstLine="640" w:firstLineChars="200"/>
        <w:rPr>
          <w:rFonts w:eastAsia="黑体"/>
          <w:kern w:val="0"/>
          <w:sz w:val="32"/>
          <w:szCs w:val="32"/>
        </w:rPr>
      </w:pPr>
      <w:r>
        <w:rPr>
          <w:rFonts w:eastAsia="黑体"/>
          <w:kern w:val="0"/>
          <w:sz w:val="32"/>
          <w:szCs w:val="32"/>
        </w:rPr>
        <w:t>五、与国家法律法规和强制性标准的关系</w:t>
      </w:r>
    </w:p>
    <w:p>
      <w:pPr>
        <w:snapToGrid w:val="0"/>
        <w:spacing w:line="360" w:lineRule="auto"/>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为了更好地贯彻《中华人民共和国食品安全法》以及有关的法律法规，加快我国食品快速检测标准化工作进程，适应食品安全快速检测需要，填补食用油中过氧化值的测定 分光光度法的空白，与现行的国家法律法规和强制性标准协调统一，无冲突。</w:t>
      </w:r>
    </w:p>
    <w:p>
      <w:pPr>
        <w:snapToGrid w:val="0"/>
        <w:spacing w:line="360" w:lineRule="auto"/>
        <w:ind w:firstLine="640" w:firstLineChars="200"/>
        <w:rPr>
          <w:rFonts w:eastAsia="黑体"/>
          <w:kern w:val="0"/>
          <w:sz w:val="32"/>
          <w:szCs w:val="32"/>
        </w:rPr>
      </w:pPr>
      <w:r>
        <w:rPr>
          <w:rFonts w:eastAsia="黑体"/>
          <w:kern w:val="0"/>
          <w:sz w:val="32"/>
          <w:szCs w:val="32"/>
        </w:rPr>
        <w:t>六、标准实施的建议</w:t>
      </w:r>
    </w:p>
    <w:p>
      <w:pPr>
        <w:ind w:firstLine="640" w:firstLineChars="200"/>
        <w:rPr>
          <w:rFonts w:ascii="仿宋_GB2312" w:hAnsi="仿宋" w:eastAsia="仿宋_GB2312"/>
          <w:bCs/>
          <w:snapToGrid w:val="0"/>
          <w:kern w:val="0"/>
          <w:sz w:val="32"/>
          <w:szCs w:val="32"/>
        </w:rPr>
      </w:pPr>
      <w:bookmarkStart w:id="4" w:name="OLE_LINK6"/>
      <w:r>
        <w:rPr>
          <w:rFonts w:hint="eastAsia" w:ascii="仿宋_GB2312" w:hAnsi="仿宋" w:eastAsia="仿宋_GB2312"/>
          <w:bCs/>
          <w:snapToGrid w:val="0"/>
          <w:kern w:val="0"/>
          <w:sz w:val="32"/>
          <w:szCs w:val="32"/>
        </w:rPr>
        <w:t>1、</w:t>
      </w:r>
      <w:r>
        <w:rPr>
          <w:rFonts w:hint="eastAsia" w:ascii="仿宋_GB2312" w:hAnsi="仿宋" w:eastAsia="仿宋_GB2312"/>
          <w:bCs/>
          <w:kern w:val="0"/>
          <w:sz w:val="32"/>
          <w:szCs w:val="32"/>
        </w:rPr>
        <w:t>广泛宣传</w:t>
      </w:r>
    </w:p>
    <w:p>
      <w:pPr>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该项技术标准的制定，试验数据充分，科学性强，并经过了长期大量实际应用，方法准确度、精密度、灵敏度均较高，性能稳定且不需要大型仪器和严格的实验环境，适用于基层实验室，也适用于食品安全监管工作中进一步推广应用。</w:t>
      </w:r>
    </w:p>
    <w:p>
      <w:pPr>
        <w:snapToGrid w:val="0"/>
        <w:spacing w:line="360" w:lineRule="auto"/>
        <w:ind w:firstLine="627" w:firstLineChars="196"/>
        <w:rPr>
          <w:rFonts w:ascii="仿宋_GB2312" w:hAnsi="仿宋" w:eastAsia="仿宋_GB2312"/>
          <w:bCs/>
          <w:kern w:val="0"/>
          <w:sz w:val="32"/>
          <w:szCs w:val="32"/>
        </w:rPr>
      </w:pPr>
      <w:r>
        <w:rPr>
          <w:rFonts w:hint="eastAsia" w:ascii="仿宋_GB2312" w:hAnsi="仿宋" w:eastAsia="仿宋_GB2312"/>
          <w:bCs/>
          <w:kern w:val="0"/>
          <w:sz w:val="32"/>
          <w:szCs w:val="32"/>
        </w:rPr>
        <w:t>2、</w:t>
      </w:r>
      <w:r>
        <w:rPr>
          <w:rFonts w:ascii="仿宋_GB2312" w:hAnsi="仿宋" w:eastAsia="仿宋_GB2312"/>
          <w:bCs/>
          <w:kern w:val="0"/>
          <w:sz w:val="32"/>
          <w:szCs w:val="32"/>
        </w:rPr>
        <w:t>完善和发展</w:t>
      </w:r>
    </w:p>
    <w:p>
      <w:pPr>
        <w:ind w:firstLine="640" w:firstLineChars="200"/>
        <w:rPr>
          <w:rFonts w:hint="eastAsia" w:ascii="仿宋_GB2312" w:eastAsia="仿宋_GB2312"/>
          <w:bCs/>
          <w:snapToGrid w:val="0"/>
          <w:kern w:val="0"/>
          <w:sz w:val="32"/>
          <w:szCs w:val="32"/>
        </w:rPr>
      </w:pPr>
      <w:r>
        <w:rPr>
          <w:rFonts w:ascii="仿宋_GB2312" w:hAnsi="仿宋" w:eastAsia="仿宋_GB2312"/>
          <w:bCs/>
          <w:kern w:val="0"/>
          <w:sz w:val="32"/>
          <w:szCs w:val="32"/>
        </w:rPr>
        <w:t>在标准应用过程中及时跟踪调查，收集标准应用过程出现的问题，提出切实可行的对策，不断完善标准</w:t>
      </w:r>
      <w:r>
        <w:rPr>
          <w:rFonts w:hint="eastAsia" w:ascii="仿宋_GB2312" w:hAnsi="仿宋" w:eastAsia="仿宋_GB2312"/>
          <w:bCs/>
          <w:kern w:val="0"/>
          <w:sz w:val="32"/>
          <w:szCs w:val="32"/>
        </w:rPr>
        <w:t>的技术内容</w:t>
      </w:r>
      <w:r>
        <w:rPr>
          <w:rFonts w:hint="eastAsia" w:ascii="仿宋_GB2312" w:hAnsi="仿宋" w:eastAsia="仿宋_GB2312"/>
          <w:bCs/>
          <w:snapToGrid w:val="0"/>
          <w:kern w:val="0"/>
          <w:sz w:val="32"/>
          <w:szCs w:val="32"/>
        </w:rPr>
        <w:t>。</w:t>
      </w:r>
    </w:p>
    <w:bookmarkEnd w:id="4"/>
    <w:p>
      <w:pPr>
        <w:snapToGrid w:val="0"/>
        <w:spacing w:line="360" w:lineRule="auto"/>
        <w:ind w:firstLine="640" w:firstLineChars="200"/>
        <w:rPr>
          <w:rFonts w:eastAsia="黑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光书宋_CNKI">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47"/>
    <w:rsid w:val="00000F87"/>
    <w:rsid w:val="00007644"/>
    <w:rsid w:val="00010AEE"/>
    <w:rsid w:val="0001166D"/>
    <w:rsid w:val="00011AFE"/>
    <w:rsid w:val="000131DB"/>
    <w:rsid w:val="00020A47"/>
    <w:rsid w:val="00024E02"/>
    <w:rsid w:val="000279FE"/>
    <w:rsid w:val="00032CC5"/>
    <w:rsid w:val="0004025C"/>
    <w:rsid w:val="000460EA"/>
    <w:rsid w:val="00052747"/>
    <w:rsid w:val="00056757"/>
    <w:rsid w:val="00070A14"/>
    <w:rsid w:val="00080A6E"/>
    <w:rsid w:val="00082EDC"/>
    <w:rsid w:val="000A3FAE"/>
    <w:rsid w:val="000B63B0"/>
    <w:rsid w:val="000B7F44"/>
    <w:rsid w:val="000D3FCF"/>
    <w:rsid w:val="000E2D0A"/>
    <w:rsid w:val="000E3394"/>
    <w:rsid w:val="000F627F"/>
    <w:rsid w:val="000F7F8C"/>
    <w:rsid w:val="00101E05"/>
    <w:rsid w:val="00104AB7"/>
    <w:rsid w:val="0012300C"/>
    <w:rsid w:val="001231C2"/>
    <w:rsid w:val="001460F6"/>
    <w:rsid w:val="001472F9"/>
    <w:rsid w:val="00153A19"/>
    <w:rsid w:val="001571E5"/>
    <w:rsid w:val="00165855"/>
    <w:rsid w:val="00181483"/>
    <w:rsid w:val="00184B90"/>
    <w:rsid w:val="00193C80"/>
    <w:rsid w:val="00197539"/>
    <w:rsid w:val="001A0C60"/>
    <w:rsid w:val="001A7F8C"/>
    <w:rsid w:val="001B1A2B"/>
    <w:rsid w:val="001C7064"/>
    <w:rsid w:val="001D14E3"/>
    <w:rsid w:val="001E2464"/>
    <w:rsid w:val="001E3271"/>
    <w:rsid w:val="001E7802"/>
    <w:rsid w:val="001F421A"/>
    <w:rsid w:val="00204868"/>
    <w:rsid w:val="002077D2"/>
    <w:rsid w:val="00210265"/>
    <w:rsid w:val="0022455C"/>
    <w:rsid w:val="002356DA"/>
    <w:rsid w:val="002414DB"/>
    <w:rsid w:val="00243499"/>
    <w:rsid w:val="0024388A"/>
    <w:rsid w:val="00252B90"/>
    <w:rsid w:val="0025627B"/>
    <w:rsid w:val="00257C54"/>
    <w:rsid w:val="00264E94"/>
    <w:rsid w:val="002757EB"/>
    <w:rsid w:val="00277223"/>
    <w:rsid w:val="0028239B"/>
    <w:rsid w:val="002828D8"/>
    <w:rsid w:val="002918D3"/>
    <w:rsid w:val="002A38D2"/>
    <w:rsid w:val="002A693E"/>
    <w:rsid w:val="002B2B4B"/>
    <w:rsid w:val="002B4E72"/>
    <w:rsid w:val="002C26D6"/>
    <w:rsid w:val="002C5EF8"/>
    <w:rsid w:val="002C6FFA"/>
    <w:rsid w:val="002E04B5"/>
    <w:rsid w:val="002E587C"/>
    <w:rsid w:val="002F3E86"/>
    <w:rsid w:val="003259C2"/>
    <w:rsid w:val="00327E74"/>
    <w:rsid w:val="00330670"/>
    <w:rsid w:val="00340E06"/>
    <w:rsid w:val="00342DD6"/>
    <w:rsid w:val="00344D38"/>
    <w:rsid w:val="0035622D"/>
    <w:rsid w:val="00357F4A"/>
    <w:rsid w:val="00361586"/>
    <w:rsid w:val="00367098"/>
    <w:rsid w:val="00387FED"/>
    <w:rsid w:val="00395AF7"/>
    <w:rsid w:val="00395D49"/>
    <w:rsid w:val="00397623"/>
    <w:rsid w:val="003A4C7A"/>
    <w:rsid w:val="003E4286"/>
    <w:rsid w:val="003E65DB"/>
    <w:rsid w:val="003F263F"/>
    <w:rsid w:val="003F292A"/>
    <w:rsid w:val="003F63D0"/>
    <w:rsid w:val="003F724D"/>
    <w:rsid w:val="00402161"/>
    <w:rsid w:val="00402BB0"/>
    <w:rsid w:val="004123B6"/>
    <w:rsid w:val="00417F9D"/>
    <w:rsid w:val="00421DE1"/>
    <w:rsid w:val="00432FAE"/>
    <w:rsid w:val="00434E76"/>
    <w:rsid w:val="00435107"/>
    <w:rsid w:val="0043675D"/>
    <w:rsid w:val="004372E6"/>
    <w:rsid w:val="00451618"/>
    <w:rsid w:val="00462148"/>
    <w:rsid w:val="004641AF"/>
    <w:rsid w:val="00466C74"/>
    <w:rsid w:val="004F4BB5"/>
    <w:rsid w:val="004F7AA1"/>
    <w:rsid w:val="005018C9"/>
    <w:rsid w:val="00502473"/>
    <w:rsid w:val="00510CAF"/>
    <w:rsid w:val="00514B18"/>
    <w:rsid w:val="0051591D"/>
    <w:rsid w:val="0051696E"/>
    <w:rsid w:val="00517EAF"/>
    <w:rsid w:val="00535357"/>
    <w:rsid w:val="00544D1F"/>
    <w:rsid w:val="00545D3F"/>
    <w:rsid w:val="00555D17"/>
    <w:rsid w:val="005606F6"/>
    <w:rsid w:val="005622C3"/>
    <w:rsid w:val="00576508"/>
    <w:rsid w:val="005765E5"/>
    <w:rsid w:val="00576DAA"/>
    <w:rsid w:val="00586342"/>
    <w:rsid w:val="0059159A"/>
    <w:rsid w:val="005A6265"/>
    <w:rsid w:val="005C0113"/>
    <w:rsid w:val="005C3A49"/>
    <w:rsid w:val="005C62D7"/>
    <w:rsid w:val="005F1008"/>
    <w:rsid w:val="005F78B1"/>
    <w:rsid w:val="00616333"/>
    <w:rsid w:val="00616F49"/>
    <w:rsid w:val="0062571D"/>
    <w:rsid w:val="00632A49"/>
    <w:rsid w:val="0063722D"/>
    <w:rsid w:val="00642DAA"/>
    <w:rsid w:val="00647AB0"/>
    <w:rsid w:val="00654895"/>
    <w:rsid w:val="00660214"/>
    <w:rsid w:val="006641AF"/>
    <w:rsid w:val="00666CB7"/>
    <w:rsid w:val="00676101"/>
    <w:rsid w:val="006778A0"/>
    <w:rsid w:val="00680317"/>
    <w:rsid w:val="00686FDA"/>
    <w:rsid w:val="00690B7D"/>
    <w:rsid w:val="006A1CF3"/>
    <w:rsid w:val="006B6292"/>
    <w:rsid w:val="006C61CC"/>
    <w:rsid w:val="006E19FB"/>
    <w:rsid w:val="006E7BB0"/>
    <w:rsid w:val="006F0824"/>
    <w:rsid w:val="006F25CA"/>
    <w:rsid w:val="006F3F05"/>
    <w:rsid w:val="007003BA"/>
    <w:rsid w:val="00700B05"/>
    <w:rsid w:val="00711902"/>
    <w:rsid w:val="00714D9E"/>
    <w:rsid w:val="00717F11"/>
    <w:rsid w:val="00723390"/>
    <w:rsid w:val="00736DB3"/>
    <w:rsid w:val="00746677"/>
    <w:rsid w:val="0075035C"/>
    <w:rsid w:val="00765B19"/>
    <w:rsid w:val="00770D9B"/>
    <w:rsid w:val="007720C6"/>
    <w:rsid w:val="00785F08"/>
    <w:rsid w:val="00787B48"/>
    <w:rsid w:val="00793C0B"/>
    <w:rsid w:val="007B28C8"/>
    <w:rsid w:val="007D2BF2"/>
    <w:rsid w:val="007E6DE8"/>
    <w:rsid w:val="00814ED7"/>
    <w:rsid w:val="008373CE"/>
    <w:rsid w:val="00841A91"/>
    <w:rsid w:val="008420D7"/>
    <w:rsid w:val="0085064B"/>
    <w:rsid w:val="00852F5D"/>
    <w:rsid w:val="008637AD"/>
    <w:rsid w:val="00871DA2"/>
    <w:rsid w:val="008759DF"/>
    <w:rsid w:val="0089036B"/>
    <w:rsid w:val="00890677"/>
    <w:rsid w:val="00890729"/>
    <w:rsid w:val="00897A8B"/>
    <w:rsid w:val="008B0F0F"/>
    <w:rsid w:val="008C2478"/>
    <w:rsid w:val="008E21BB"/>
    <w:rsid w:val="008F0B4E"/>
    <w:rsid w:val="008F434E"/>
    <w:rsid w:val="00926729"/>
    <w:rsid w:val="00930DBA"/>
    <w:rsid w:val="00931AA1"/>
    <w:rsid w:val="00951D59"/>
    <w:rsid w:val="00951FEF"/>
    <w:rsid w:val="00952967"/>
    <w:rsid w:val="00953643"/>
    <w:rsid w:val="00955793"/>
    <w:rsid w:val="0096184B"/>
    <w:rsid w:val="0096369E"/>
    <w:rsid w:val="00973C39"/>
    <w:rsid w:val="00973C80"/>
    <w:rsid w:val="00974A23"/>
    <w:rsid w:val="009771AB"/>
    <w:rsid w:val="009777ED"/>
    <w:rsid w:val="00995247"/>
    <w:rsid w:val="009A1D33"/>
    <w:rsid w:val="009E218F"/>
    <w:rsid w:val="009F61A4"/>
    <w:rsid w:val="009F689C"/>
    <w:rsid w:val="00A0203D"/>
    <w:rsid w:val="00A05BC2"/>
    <w:rsid w:val="00A1421C"/>
    <w:rsid w:val="00A21D4E"/>
    <w:rsid w:val="00A25FA3"/>
    <w:rsid w:val="00A301BD"/>
    <w:rsid w:val="00A50828"/>
    <w:rsid w:val="00A60ED8"/>
    <w:rsid w:val="00A813B2"/>
    <w:rsid w:val="00A86EBC"/>
    <w:rsid w:val="00AA06CE"/>
    <w:rsid w:val="00AA746E"/>
    <w:rsid w:val="00AB4A73"/>
    <w:rsid w:val="00AB4C5B"/>
    <w:rsid w:val="00AC4957"/>
    <w:rsid w:val="00AD50F5"/>
    <w:rsid w:val="00AE5FE9"/>
    <w:rsid w:val="00B04C80"/>
    <w:rsid w:val="00B22E76"/>
    <w:rsid w:val="00B346F4"/>
    <w:rsid w:val="00B42A48"/>
    <w:rsid w:val="00B75EF0"/>
    <w:rsid w:val="00B91181"/>
    <w:rsid w:val="00B97451"/>
    <w:rsid w:val="00BA5BA1"/>
    <w:rsid w:val="00BB7156"/>
    <w:rsid w:val="00BC03D9"/>
    <w:rsid w:val="00BC5425"/>
    <w:rsid w:val="00BF01A3"/>
    <w:rsid w:val="00BF0E80"/>
    <w:rsid w:val="00C14AF2"/>
    <w:rsid w:val="00C220B2"/>
    <w:rsid w:val="00C26686"/>
    <w:rsid w:val="00C301E1"/>
    <w:rsid w:val="00C47D99"/>
    <w:rsid w:val="00C6305F"/>
    <w:rsid w:val="00C631B1"/>
    <w:rsid w:val="00C67273"/>
    <w:rsid w:val="00C70B90"/>
    <w:rsid w:val="00C829EE"/>
    <w:rsid w:val="00CC222D"/>
    <w:rsid w:val="00CC2BEA"/>
    <w:rsid w:val="00CC3639"/>
    <w:rsid w:val="00CC40F9"/>
    <w:rsid w:val="00D030CC"/>
    <w:rsid w:val="00D144B9"/>
    <w:rsid w:val="00D24E1A"/>
    <w:rsid w:val="00D4433F"/>
    <w:rsid w:val="00D57ADF"/>
    <w:rsid w:val="00D61884"/>
    <w:rsid w:val="00D81F92"/>
    <w:rsid w:val="00DA6C99"/>
    <w:rsid w:val="00DC48D0"/>
    <w:rsid w:val="00DD7F25"/>
    <w:rsid w:val="00DE141C"/>
    <w:rsid w:val="00DF37BF"/>
    <w:rsid w:val="00E13E81"/>
    <w:rsid w:val="00E32CEF"/>
    <w:rsid w:val="00E37F46"/>
    <w:rsid w:val="00E400AE"/>
    <w:rsid w:val="00E443A8"/>
    <w:rsid w:val="00E45BDC"/>
    <w:rsid w:val="00E46877"/>
    <w:rsid w:val="00E83D70"/>
    <w:rsid w:val="00E951FF"/>
    <w:rsid w:val="00EC3849"/>
    <w:rsid w:val="00F03279"/>
    <w:rsid w:val="00F34563"/>
    <w:rsid w:val="00F35FAA"/>
    <w:rsid w:val="00F40131"/>
    <w:rsid w:val="00F40234"/>
    <w:rsid w:val="00F47BA2"/>
    <w:rsid w:val="00F54896"/>
    <w:rsid w:val="00F62C0F"/>
    <w:rsid w:val="00F63458"/>
    <w:rsid w:val="00F71A17"/>
    <w:rsid w:val="00F72862"/>
    <w:rsid w:val="00F72F67"/>
    <w:rsid w:val="00F757FC"/>
    <w:rsid w:val="00F827E7"/>
    <w:rsid w:val="00F85806"/>
    <w:rsid w:val="00F85D8F"/>
    <w:rsid w:val="00F875F7"/>
    <w:rsid w:val="00F96B96"/>
    <w:rsid w:val="00F97D8D"/>
    <w:rsid w:val="00FA0DC3"/>
    <w:rsid w:val="00FA1654"/>
    <w:rsid w:val="00FA2ECD"/>
    <w:rsid w:val="00FB362B"/>
    <w:rsid w:val="00FB5E98"/>
    <w:rsid w:val="00FC2038"/>
    <w:rsid w:val="00FC5432"/>
    <w:rsid w:val="00FD2AEF"/>
    <w:rsid w:val="00FF37FD"/>
    <w:rsid w:val="26694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annotation text"/>
    <w:basedOn w:val="1"/>
    <w:semiHidden/>
    <w:uiPriority w:val="0"/>
  </w:style>
  <w:style w:type="paragraph" w:styleId="3">
    <w:name w:val="Body Text"/>
    <w:basedOn w:val="1"/>
    <w:link w:val="18"/>
    <w:qFormat/>
    <w:uiPriority w:val="1"/>
    <w:pPr>
      <w:widowControl w:val="0"/>
      <w:autoSpaceDE w:val="0"/>
      <w:autoSpaceDN w:val="0"/>
    </w:pPr>
    <w:rPr>
      <w:rFonts w:ascii="宋体" w:hAnsi="宋体" w:cs="宋体"/>
      <w:kern w:val="0"/>
      <w:sz w:val="20"/>
      <w:szCs w:val="20"/>
      <w:lang w:eastAsia="en-US"/>
    </w:rPr>
  </w:style>
  <w:style w:type="paragraph" w:styleId="4">
    <w:name w:val="Plain Text"/>
    <w:basedOn w:val="1"/>
    <w:uiPriority w:val="0"/>
    <w:rPr>
      <w:rFonts w:ascii="宋体" w:hAnsi="Courier New"/>
      <w:szCs w:val="21"/>
    </w:rPr>
  </w:style>
  <w:style w:type="paragraph" w:styleId="5">
    <w:name w:val="Balloon Text"/>
    <w:basedOn w:val="1"/>
    <w:semiHidden/>
    <w:uiPriority w:val="0"/>
    <w:rPr>
      <w:sz w:val="18"/>
      <w:szCs w:val="18"/>
    </w:rPr>
  </w:style>
  <w:style w:type="paragraph" w:styleId="6">
    <w:name w:val="footer"/>
    <w:basedOn w:val="1"/>
    <w:link w:val="15"/>
    <w:qFormat/>
    <w:uiPriority w:val="0"/>
    <w:pPr>
      <w:tabs>
        <w:tab w:val="center" w:pos="4153"/>
        <w:tab w:val="right" w:pos="8306"/>
      </w:tabs>
      <w:snapToGrid w:val="0"/>
    </w:pPr>
    <w:rPr>
      <w:sz w:val="18"/>
      <w:szCs w:val="18"/>
      <w:lang w:val="zh-CN" w:eastAsia="zh-CN"/>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8">
    <w:name w:val="HTML Preformatted"/>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lang w:val="zh-CN" w:eastAsia="zh-CN"/>
    </w:rPr>
  </w:style>
  <w:style w:type="paragraph" w:styleId="9">
    <w:name w:val="annotation subject"/>
    <w:basedOn w:val="2"/>
    <w:next w:val="2"/>
    <w:semiHidden/>
    <w:qFormat/>
    <w:uiPriority w:val="0"/>
    <w:rPr>
      <w:b/>
      <w:bCs/>
    </w:rPr>
  </w:style>
  <w:style w:type="character" w:styleId="12">
    <w:name w:val="annotation reference"/>
    <w:semiHidden/>
    <w:qFormat/>
    <w:uiPriority w:val="0"/>
    <w:rPr>
      <w:sz w:val="21"/>
      <w:szCs w:val="21"/>
    </w:rPr>
  </w:style>
  <w:style w:type="paragraph" w:customStyle="1" w:styleId="13">
    <w:name w:val=" Char"/>
    <w:basedOn w:val="1"/>
    <w:uiPriority w:val="0"/>
    <w:pPr>
      <w:spacing w:after="160" w:line="240" w:lineRule="exact"/>
    </w:pPr>
    <w:rPr>
      <w:rFonts w:ascii="Verdana" w:hAnsi="Verdana"/>
      <w:kern w:val="0"/>
      <w:sz w:val="20"/>
      <w:szCs w:val="20"/>
      <w:lang w:eastAsia="en-US"/>
    </w:rPr>
  </w:style>
  <w:style w:type="character" w:customStyle="1" w:styleId="14">
    <w:name w:val="页眉 Char"/>
    <w:link w:val="7"/>
    <w:qFormat/>
    <w:uiPriority w:val="0"/>
    <w:rPr>
      <w:kern w:val="2"/>
      <w:sz w:val="18"/>
      <w:szCs w:val="18"/>
    </w:rPr>
  </w:style>
  <w:style w:type="character" w:customStyle="1" w:styleId="15">
    <w:name w:val="页脚 Char"/>
    <w:link w:val="6"/>
    <w:qFormat/>
    <w:uiPriority w:val="0"/>
    <w:rPr>
      <w:kern w:val="2"/>
      <w:sz w:val="18"/>
      <w:szCs w:val="18"/>
    </w:rPr>
  </w:style>
  <w:style w:type="character" w:customStyle="1" w:styleId="16">
    <w:name w:val="HTML 预设格式 Char"/>
    <w:link w:val="8"/>
    <w:uiPriority w:val="0"/>
    <w:rPr>
      <w:rFonts w:ascii="宋体" w:hAnsi="宋体" w:cs="宋体"/>
      <w:sz w:val="24"/>
      <w:szCs w:val="24"/>
    </w:rPr>
  </w:style>
  <w:style w:type="paragraph" w:customStyle="1" w:styleId="17">
    <w:name w:val="目次、标准名称标题"/>
    <w:basedOn w:val="1"/>
    <w:next w:val="1"/>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character" w:customStyle="1" w:styleId="18">
    <w:name w:val="正文文本 字符"/>
    <w:link w:val="3"/>
    <w:uiPriority w:val="1"/>
    <w:rPr>
      <w:rFonts w:ascii="宋体" w:hAnsi="宋体" w:cs="宋体"/>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aa</Company>
  <Pages>10</Pages>
  <Words>600</Words>
  <Characters>3423</Characters>
  <Lines>28</Lines>
  <Paragraphs>8</Paragraphs>
  <TotalTime>19</TotalTime>
  <ScaleCrop>false</ScaleCrop>
  <LinksUpToDate>false</LinksUpToDate>
  <CharactersWithSpaces>4015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2021-12-03T02:58:00Z</dcterms:created>
  <dc:creator>刘光辉</dc:creator>
  <cp:lastModifiedBy>qzuser</cp:lastModifiedBy>
  <cp:lastPrinted>2008-06-30T03:21:00Z</cp:lastPrinted>
  <dcterms:modified xsi:type="dcterms:W3CDTF">2021-12-14T04:29:23Z</dcterms:modified>
  <dc:title>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3C001BAF51B44EF5A1E11CD62776208D</vt:lpwstr>
  </property>
</Properties>
</file>