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E49" w:rsidRDefault="005D4E49">
      <w:pPr>
        <w:pStyle w:val="a3"/>
        <w:rPr>
          <w:rFonts w:ascii="Times New Roman" w:eastAsiaTheme="minorEastAsia" w:hAnsi="Times New Roman" w:cs="Times New Roman"/>
          <w:sz w:val="20"/>
        </w:rPr>
      </w:pPr>
    </w:p>
    <w:p w:rsidR="005D4E49" w:rsidRDefault="005D4E49">
      <w:pPr>
        <w:pStyle w:val="a3"/>
        <w:rPr>
          <w:rFonts w:ascii="Times New Roman" w:eastAsiaTheme="minorEastAsia" w:hAnsi="Times New Roman" w:cs="Times New Roman"/>
          <w:sz w:val="20"/>
        </w:rPr>
      </w:pPr>
    </w:p>
    <w:p w:rsidR="005D4E49" w:rsidRDefault="005D4E49">
      <w:pPr>
        <w:pStyle w:val="a3"/>
        <w:rPr>
          <w:rFonts w:ascii="Times New Roman" w:eastAsiaTheme="minorEastAsia" w:hAnsi="Times New Roman" w:cs="Times New Roman"/>
          <w:sz w:val="20"/>
        </w:rPr>
      </w:pPr>
    </w:p>
    <w:p w:rsidR="005D4E49" w:rsidRDefault="005D4E49">
      <w:pPr>
        <w:pStyle w:val="a3"/>
        <w:rPr>
          <w:rFonts w:ascii="Times New Roman" w:eastAsiaTheme="minorEastAsia" w:hAnsi="Times New Roman" w:cs="Times New Roman"/>
          <w:sz w:val="20"/>
        </w:rPr>
      </w:pPr>
    </w:p>
    <w:p w:rsidR="005D4E49" w:rsidRDefault="005D4E49">
      <w:pPr>
        <w:pStyle w:val="a3"/>
        <w:rPr>
          <w:rFonts w:ascii="Times New Roman" w:eastAsiaTheme="minorEastAsia" w:hAnsi="Times New Roman" w:cs="Times New Roman"/>
          <w:sz w:val="20"/>
        </w:rPr>
      </w:pPr>
    </w:p>
    <w:p w:rsidR="005D4E49" w:rsidRDefault="005D4E49">
      <w:pPr>
        <w:pStyle w:val="a3"/>
        <w:rPr>
          <w:rFonts w:ascii="Times New Roman" w:eastAsiaTheme="minorEastAsia" w:hAnsi="Times New Roman" w:cs="Times New Roman"/>
          <w:sz w:val="20"/>
        </w:rPr>
      </w:pPr>
    </w:p>
    <w:p w:rsidR="005D4E49" w:rsidRDefault="005D4E49">
      <w:pPr>
        <w:pStyle w:val="a3"/>
        <w:rPr>
          <w:rFonts w:ascii="Times New Roman" w:eastAsiaTheme="minorEastAsia" w:hAnsi="Times New Roman" w:cs="Times New Roman"/>
          <w:sz w:val="20"/>
        </w:rPr>
      </w:pPr>
    </w:p>
    <w:p w:rsidR="005D4E49" w:rsidRDefault="005D4E49">
      <w:pPr>
        <w:pStyle w:val="a3"/>
        <w:rPr>
          <w:rFonts w:ascii="Times New Roman" w:eastAsiaTheme="minorEastAsia" w:hAnsi="Times New Roman" w:cs="Times New Roman"/>
          <w:sz w:val="20"/>
        </w:rPr>
      </w:pPr>
    </w:p>
    <w:p w:rsidR="005D4E49" w:rsidRDefault="005D4E49">
      <w:pPr>
        <w:pStyle w:val="a3"/>
        <w:rPr>
          <w:rFonts w:ascii="Times New Roman" w:eastAsiaTheme="minorEastAsia" w:hAnsi="Times New Roman" w:cs="Times New Roman"/>
          <w:sz w:val="20"/>
        </w:rPr>
      </w:pPr>
    </w:p>
    <w:p w:rsidR="005D4E49" w:rsidRDefault="005D4E49">
      <w:pPr>
        <w:pStyle w:val="a3"/>
        <w:rPr>
          <w:rFonts w:ascii="Times New Roman" w:eastAsiaTheme="minorEastAsia" w:hAnsi="Times New Roman" w:cs="Times New Roman"/>
          <w:sz w:val="20"/>
        </w:rPr>
      </w:pPr>
    </w:p>
    <w:p w:rsidR="005D4E49" w:rsidRDefault="005D4E49">
      <w:pPr>
        <w:pStyle w:val="a3"/>
        <w:rPr>
          <w:rFonts w:ascii="Times New Roman" w:eastAsiaTheme="minorEastAsia" w:hAnsi="Times New Roman" w:cs="Times New Roman"/>
          <w:sz w:val="20"/>
        </w:rPr>
      </w:pPr>
    </w:p>
    <w:p w:rsidR="005D4E49" w:rsidRDefault="005D4E49">
      <w:pPr>
        <w:pStyle w:val="a3"/>
        <w:spacing w:before="8"/>
        <w:rPr>
          <w:rFonts w:ascii="Times New Roman" w:eastAsiaTheme="minorEastAsia" w:hAnsi="Times New Roman" w:cs="Times New Roman"/>
          <w:sz w:val="29"/>
        </w:rPr>
      </w:pPr>
    </w:p>
    <w:p w:rsidR="005D4E49" w:rsidRDefault="0017034B">
      <w:pPr>
        <w:pStyle w:val="1"/>
        <w:spacing w:line="618" w:lineRule="exact"/>
        <w:rPr>
          <w:rFonts w:ascii="Times New Roman" w:eastAsia="黑体" w:hAnsi="Times New Roman" w:cs="Times New Roman"/>
        </w:rPr>
      </w:pPr>
      <w:r>
        <w:rPr>
          <w:rFonts w:ascii="Times New Roman" w:eastAsia="黑体" w:hAnsi="Times New Roman" w:cs="Times New Roman"/>
          <w:spacing w:val="1"/>
          <w:w w:val="95"/>
        </w:rPr>
        <w:t>团体标准</w:t>
      </w:r>
    </w:p>
    <w:p w:rsidR="005D4E49" w:rsidRDefault="0017034B">
      <w:pPr>
        <w:tabs>
          <w:tab w:val="left" w:pos="7179"/>
        </w:tabs>
        <w:spacing w:before="39" w:line="189" w:lineRule="auto"/>
        <w:ind w:left="2100" w:right="1845"/>
        <w:jc w:val="center"/>
        <w:rPr>
          <w:rFonts w:ascii="Times New Roman" w:eastAsia="黑体" w:hAnsi="Times New Roman" w:cs="Times New Roman"/>
          <w:b/>
          <w:spacing w:val="-17"/>
          <w:sz w:val="44"/>
        </w:rPr>
      </w:pPr>
      <w:r>
        <w:rPr>
          <w:rFonts w:ascii="Times New Roman" w:eastAsia="黑体" w:hAnsi="Times New Roman" w:cs="Times New Roman"/>
          <w:b/>
          <w:spacing w:val="4"/>
          <w:sz w:val="44"/>
        </w:rPr>
        <w:t>《</w:t>
      </w:r>
      <w:r>
        <w:rPr>
          <w:rFonts w:ascii="Times New Roman" w:eastAsia="黑体" w:hAnsi="Times New Roman" w:cs="Times New Roman"/>
          <w:b/>
          <w:spacing w:val="4"/>
          <w:sz w:val="44"/>
          <w:lang w:val="en-US"/>
        </w:rPr>
        <w:t>柔性带核桃破壳取仁装置</w:t>
      </w:r>
      <w:r>
        <w:rPr>
          <w:rFonts w:ascii="Times New Roman" w:eastAsia="黑体" w:hAnsi="Times New Roman" w:cs="Times New Roman"/>
          <w:b/>
          <w:spacing w:val="-17"/>
          <w:sz w:val="44"/>
        </w:rPr>
        <w:t>》</w:t>
      </w:r>
    </w:p>
    <w:p w:rsidR="005D4E49" w:rsidRDefault="0017034B">
      <w:pPr>
        <w:tabs>
          <w:tab w:val="left" w:pos="7179"/>
        </w:tabs>
        <w:spacing w:before="39" w:line="189" w:lineRule="auto"/>
        <w:ind w:left="2100" w:right="1845"/>
        <w:jc w:val="center"/>
        <w:rPr>
          <w:rFonts w:ascii="Times New Roman" w:eastAsia="黑体" w:hAnsi="Times New Roman" w:cs="Times New Roman"/>
          <w:b/>
          <w:sz w:val="44"/>
        </w:rPr>
      </w:pPr>
      <w:r>
        <w:rPr>
          <w:rFonts w:ascii="Times New Roman" w:eastAsia="黑体" w:hAnsi="Times New Roman" w:cs="Times New Roman"/>
          <w:b/>
          <w:spacing w:val="4"/>
          <w:sz w:val="44"/>
        </w:rPr>
        <w:t>编</w:t>
      </w:r>
      <w:r>
        <w:rPr>
          <w:rFonts w:ascii="Times New Roman" w:eastAsia="黑体" w:hAnsi="Times New Roman" w:cs="Times New Roman"/>
          <w:b/>
          <w:sz w:val="44"/>
        </w:rPr>
        <w:t>制</w:t>
      </w:r>
      <w:r>
        <w:rPr>
          <w:rFonts w:ascii="Times New Roman" w:eastAsia="黑体" w:hAnsi="Times New Roman" w:cs="Times New Roman"/>
          <w:b/>
          <w:spacing w:val="4"/>
          <w:sz w:val="44"/>
        </w:rPr>
        <w:t>说</w:t>
      </w:r>
      <w:r>
        <w:rPr>
          <w:rFonts w:ascii="Times New Roman" w:eastAsia="黑体" w:hAnsi="Times New Roman" w:cs="Times New Roman"/>
          <w:b/>
          <w:sz w:val="44"/>
        </w:rPr>
        <w:t>明</w:t>
      </w:r>
    </w:p>
    <w:p w:rsidR="005D4E49" w:rsidRDefault="005D4E49">
      <w:pPr>
        <w:pStyle w:val="a3"/>
        <w:rPr>
          <w:rFonts w:ascii="Times New Roman" w:eastAsiaTheme="minorEastAsia" w:hAnsi="Times New Roman" w:cs="Times New Roman"/>
          <w:b/>
          <w:sz w:val="44"/>
        </w:rPr>
      </w:pPr>
    </w:p>
    <w:p w:rsidR="005D4E49" w:rsidRDefault="005D4E49">
      <w:pPr>
        <w:pStyle w:val="a3"/>
        <w:rPr>
          <w:rFonts w:ascii="Times New Roman" w:eastAsiaTheme="minorEastAsia" w:hAnsi="Times New Roman" w:cs="Times New Roman"/>
          <w:b/>
          <w:sz w:val="44"/>
        </w:rPr>
      </w:pPr>
    </w:p>
    <w:p w:rsidR="005D4E49" w:rsidRDefault="005D4E49">
      <w:pPr>
        <w:pStyle w:val="a3"/>
        <w:rPr>
          <w:rFonts w:ascii="Times New Roman" w:eastAsiaTheme="minorEastAsia" w:hAnsi="Times New Roman" w:cs="Times New Roman"/>
          <w:b/>
          <w:sz w:val="44"/>
        </w:rPr>
      </w:pPr>
    </w:p>
    <w:p w:rsidR="005D4E49" w:rsidRDefault="005D4E49">
      <w:pPr>
        <w:pStyle w:val="a3"/>
        <w:rPr>
          <w:rFonts w:ascii="Times New Roman" w:eastAsiaTheme="minorEastAsia" w:hAnsi="Times New Roman" w:cs="Times New Roman"/>
          <w:b/>
          <w:sz w:val="44"/>
        </w:rPr>
      </w:pPr>
    </w:p>
    <w:p w:rsidR="005D4E49" w:rsidRDefault="005D4E49">
      <w:pPr>
        <w:pStyle w:val="a3"/>
        <w:rPr>
          <w:rFonts w:ascii="Times New Roman" w:eastAsiaTheme="minorEastAsia" w:hAnsi="Times New Roman" w:cs="Times New Roman"/>
          <w:b/>
          <w:sz w:val="44"/>
        </w:rPr>
      </w:pPr>
    </w:p>
    <w:p w:rsidR="005D4E49" w:rsidRDefault="005D4E49">
      <w:pPr>
        <w:pStyle w:val="a3"/>
        <w:rPr>
          <w:rFonts w:ascii="Times New Roman" w:eastAsiaTheme="minorEastAsia" w:hAnsi="Times New Roman" w:cs="Times New Roman"/>
          <w:b/>
          <w:sz w:val="44"/>
        </w:rPr>
      </w:pPr>
    </w:p>
    <w:p w:rsidR="005D4E49" w:rsidRDefault="005D4E49">
      <w:pPr>
        <w:pStyle w:val="a3"/>
        <w:rPr>
          <w:rFonts w:ascii="Times New Roman" w:eastAsiaTheme="minorEastAsia" w:hAnsi="Times New Roman" w:cs="Times New Roman"/>
          <w:b/>
          <w:sz w:val="44"/>
        </w:rPr>
      </w:pPr>
    </w:p>
    <w:p w:rsidR="005D4E49" w:rsidRDefault="005D4E49">
      <w:pPr>
        <w:pStyle w:val="a3"/>
        <w:rPr>
          <w:rFonts w:ascii="Times New Roman" w:eastAsiaTheme="minorEastAsia" w:hAnsi="Times New Roman" w:cs="Times New Roman"/>
          <w:b/>
          <w:sz w:val="44"/>
        </w:rPr>
      </w:pPr>
    </w:p>
    <w:p w:rsidR="005D4E49" w:rsidRDefault="005D4E49">
      <w:pPr>
        <w:pStyle w:val="a3"/>
        <w:rPr>
          <w:rFonts w:ascii="Times New Roman" w:eastAsiaTheme="minorEastAsia" w:hAnsi="Times New Roman" w:cs="Times New Roman"/>
          <w:b/>
          <w:sz w:val="44"/>
        </w:rPr>
      </w:pPr>
    </w:p>
    <w:p w:rsidR="005D4E49" w:rsidRDefault="005D4E49">
      <w:pPr>
        <w:pStyle w:val="a3"/>
        <w:rPr>
          <w:rFonts w:ascii="Times New Roman" w:eastAsiaTheme="minorEastAsia" w:hAnsi="Times New Roman" w:cs="Times New Roman"/>
          <w:b/>
          <w:sz w:val="44"/>
        </w:rPr>
      </w:pPr>
    </w:p>
    <w:p w:rsidR="005D4E49" w:rsidRDefault="005D4E49">
      <w:pPr>
        <w:pStyle w:val="a3"/>
        <w:rPr>
          <w:rFonts w:ascii="Times New Roman" w:eastAsiaTheme="minorEastAsia" w:hAnsi="Times New Roman" w:cs="Times New Roman"/>
          <w:b/>
          <w:sz w:val="44"/>
        </w:rPr>
      </w:pPr>
    </w:p>
    <w:p w:rsidR="005D4E49" w:rsidRDefault="005D4E49">
      <w:pPr>
        <w:pStyle w:val="a3"/>
        <w:spacing w:before="16"/>
        <w:rPr>
          <w:rFonts w:ascii="Times New Roman" w:eastAsiaTheme="minorEastAsia" w:hAnsi="Times New Roman" w:cs="Times New Roman"/>
          <w:b/>
          <w:sz w:val="56"/>
        </w:rPr>
      </w:pPr>
    </w:p>
    <w:p w:rsidR="005D4E49" w:rsidRDefault="005D4E49">
      <w:pPr>
        <w:pStyle w:val="a3"/>
        <w:spacing w:before="16"/>
        <w:rPr>
          <w:rFonts w:ascii="Times New Roman" w:eastAsiaTheme="minorEastAsia" w:hAnsi="Times New Roman" w:cs="Times New Roman"/>
          <w:b/>
          <w:sz w:val="56"/>
        </w:rPr>
      </w:pPr>
    </w:p>
    <w:p w:rsidR="005D4E49" w:rsidRDefault="0017034B">
      <w:pPr>
        <w:jc w:val="center"/>
        <w:rPr>
          <w:rFonts w:ascii="Times New Roman" w:hAnsi="Times New Roman" w:cs="Times New Roman"/>
          <w:sz w:val="36"/>
          <w:szCs w:val="36"/>
        </w:rPr>
      </w:pPr>
      <w:r>
        <w:rPr>
          <w:rFonts w:ascii="Times New Roman" w:hAnsi="Times New Roman" w:cs="Times New Roman"/>
          <w:sz w:val="36"/>
          <w:szCs w:val="36"/>
        </w:rPr>
        <w:t>二〇二一年</w:t>
      </w:r>
      <w:r>
        <w:rPr>
          <w:rFonts w:ascii="Times New Roman" w:hAnsi="Times New Roman" w:cs="Times New Roman" w:hint="eastAsia"/>
          <w:sz w:val="36"/>
          <w:szCs w:val="36"/>
        </w:rPr>
        <w:t>十一</w:t>
      </w:r>
      <w:r>
        <w:rPr>
          <w:rFonts w:ascii="Times New Roman" w:hAnsi="Times New Roman" w:cs="Times New Roman"/>
          <w:sz w:val="36"/>
          <w:szCs w:val="36"/>
        </w:rPr>
        <w:t>月</w:t>
      </w:r>
      <w:r>
        <w:rPr>
          <w:rFonts w:ascii="Times New Roman" w:hAnsi="Times New Roman" w:cs="Times New Roman" w:hint="eastAsia"/>
          <w:sz w:val="36"/>
          <w:szCs w:val="36"/>
          <w:lang w:val="en-US"/>
        </w:rPr>
        <w:t>二十五</w:t>
      </w:r>
      <w:r>
        <w:rPr>
          <w:rFonts w:ascii="Times New Roman" w:hAnsi="Times New Roman" w:cs="Times New Roman"/>
          <w:sz w:val="36"/>
          <w:szCs w:val="36"/>
        </w:rPr>
        <w:t>日</w:t>
      </w:r>
    </w:p>
    <w:p w:rsidR="005D4E49" w:rsidRDefault="005D4E49">
      <w:pPr>
        <w:jc w:val="center"/>
        <w:rPr>
          <w:rFonts w:ascii="Times New Roman" w:hAnsi="Times New Roman" w:cs="Times New Roman"/>
          <w:sz w:val="36"/>
          <w:szCs w:val="36"/>
        </w:rPr>
      </w:pPr>
    </w:p>
    <w:p w:rsidR="005D4E49" w:rsidRDefault="005D4E49">
      <w:pPr>
        <w:jc w:val="center"/>
        <w:rPr>
          <w:rFonts w:ascii="Times New Roman" w:hAnsi="Times New Roman" w:cs="Times New Roman"/>
          <w:sz w:val="36"/>
          <w:szCs w:val="36"/>
        </w:rPr>
      </w:pPr>
    </w:p>
    <w:p w:rsidR="005D4E49" w:rsidRDefault="005D4E49">
      <w:pPr>
        <w:jc w:val="center"/>
        <w:rPr>
          <w:rFonts w:ascii="Times New Roman" w:hAnsi="Times New Roman" w:cs="Times New Roman"/>
          <w:sz w:val="36"/>
          <w:szCs w:val="36"/>
        </w:rPr>
      </w:pPr>
    </w:p>
    <w:p w:rsidR="005D4E49" w:rsidRDefault="005D4E49">
      <w:pPr>
        <w:jc w:val="center"/>
        <w:rPr>
          <w:rFonts w:ascii="Times New Roman" w:hAnsi="Times New Roman" w:cs="Times New Roman"/>
          <w:sz w:val="36"/>
          <w:szCs w:val="36"/>
        </w:rPr>
      </w:pPr>
    </w:p>
    <w:p w:rsidR="005D4E49" w:rsidRDefault="005D4E49">
      <w:pPr>
        <w:jc w:val="both"/>
        <w:rPr>
          <w:rFonts w:ascii="Times New Roman" w:hAnsi="Times New Roman" w:cs="Times New Roman"/>
          <w:sz w:val="36"/>
          <w:szCs w:val="36"/>
        </w:rPr>
      </w:pPr>
    </w:p>
    <w:p w:rsidR="005D4E49" w:rsidRDefault="0017034B">
      <w:pPr>
        <w:jc w:val="center"/>
        <w:rPr>
          <w:rFonts w:ascii="Times New Roman" w:eastAsiaTheme="minorEastAsia" w:hAnsi="Times New Roman" w:cs="Times New Roman"/>
          <w:b/>
          <w:sz w:val="36"/>
        </w:rPr>
      </w:pPr>
      <w:r>
        <w:rPr>
          <w:rFonts w:ascii="Times New Roman" w:eastAsiaTheme="minorEastAsia" w:hAnsi="Times New Roman" w:cs="Times New Roman"/>
          <w:b/>
          <w:sz w:val="36"/>
        </w:rPr>
        <w:lastRenderedPageBreak/>
        <w:t>《</w:t>
      </w:r>
      <w:bookmarkStart w:id="0" w:name="_Hlk90286824"/>
      <w:r>
        <w:rPr>
          <w:rFonts w:ascii="Times New Roman" w:eastAsiaTheme="minorEastAsia" w:hAnsi="Times New Roman" w:cs="Times New Roman"/>
          <w:b/>
          <w:sz w:val="36"/>
          <w:lang w:val="en-US"/>
        </w:rPr>
        <w:t>柔性带核桃破壳取仁装置</w:t>
      </w:r>
      <w:bookmarkEnd w:id="0"/>
      <w:r>
        <w:rPr>
          <w:rFonts w:ascii="Times New Roman" w:eastAsiaTheme="minorEastAsia" w:hAnsi="Times New Roman" w:cs="Times New Roman"/>
          <w:b/>
          <w:sz w:val="36"/>
        </w:rPr>
        <w:t>》</w:t>
      </w:r>
    </w:p>
    <w:p w:rsidR="005D4E49" w:rsidRDefault="0017034B">
      <w:pPr>
        <w:jc w:val="center"/>
        <w:rPr>
          <w:rFonts w:ascii="Times New Roman" w:eastAsiaTheme="minorEastAsia" w:hAnsi="Times New Roman" w:cs="Times New Roman"/>
          <w:b/>
          <w:sz w:val="36"/>
        </w:rPr>
      </w:pPr>
      <w:r>
        <w:rPr>
          <w:rFonts w:ascii="Times New Roman" w:eastAsiaTheme="minorEastAsia" w:hAnsi="Times New Roman" w:cs="Times New Roman"/>
          <w:b/>
          <w:sz w:val="36"/>
        </w:rPr>
        <w:t>编制说明</w:t>
      </w:r>
    </w:p>
    <w:p w:rsidR="005D4E49" w:rsidRDefault="005D4E49">
      <w:pPr>
        <w:pStyle w:val="a3"/>
        <w:spacing w:before="17"/>
        <w:rPr>
          <w:rFonts w:ascii="Times New Roman" w:eastAsiaTheme="minorEastAsia" w:hAnsi="Times New Roman" w:cs="Times New Roman"/>
          <w:b/>
          <w:sz w:val="21"/>
        </w:rPr>
      </w:pPr>
    </w:p>
    <w:p w:rsidR="005D4E49" w:rsidRDefault="0017034B">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一、标准制定的必要性</w:t>
      </w:r>
    </w:p>
    <w:p w:rsidR="005D4E49" w:rsidRDefault="0017034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核桃是世界四大干果之首，我国是世界核桃产量和种植面积第一大国，种植范围遍布全国</w:t>
      </w:r>
      <w:r>
        <w:rPr>
          <w:rFonts w:ascii="Times New Roman" w:hAnsi="Times New Roman" w:cs="Times New Roman"/>
          <w:sz w:val="24"/>
          <w:szCs w:val="24"/>
        </w:rPr>
        <w:t>20</w:t>
      </w:r>
      <w:r>
        <w:rPr>
          <w:rFonts w:ascii="Times New Roman" w:hAnsi="Times New Roman" w:cs="Times New Roman"/>
          <w:sz w:val="24"/>
          <w:szCs w:val="24"/>
        </w:rPr>
        <w:t>多个省自治区，是我国种植范围最广的经济树种。核桃破壳取仁装置是贯彻落实乡村振兴战略的重要成果。然而在破壳取仁过程中，由于缺少有效技术指导，破壳取仁效果尚未最大化。因此，有必要对柔性带核桃破壳取仁装置制造、实验、操作进行规范，提升破壳取仁生产效率，降低生产成本。</w:t>
      </w:r>
    </w:p>
    <w:p w:rsidR="005D4E49" w:rsidRDefault="0017034B">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二、标准编制原则及依据</w:t>
      </w:r>
    </w:p>
    <w:p w:rsidR="005D4E49" w:rsidRDefault="0017034B">
      <w:pPr>
        <w:tabs>
          <w:tab w:val="left" w:pos="1078"/>
          <w:tab w:val="left" w:pos="6917"/>
        </w:tabs>
        <w:spacing w:line="360" w:lineRule="auto"/>
        <w:ind w:right="311"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按照</w:t>
      </w:r>
      <w:r>
        <w:rPr>
          <w:rFonts w:ascii="Times New Roman" w:hAnsi="Times New Roman" w:cs="Times New Roman"/>
          <w:sz w:val="24"/>
          <w:szCs w:val="24"/>
        </w:rPr>
        <w:t xml:space="preserve"> GB/T 1.1</w:t>
      </w:r>
      <w:r>
        <w:rPr>
          <w:rFonts w:ascii="Times New Roman" w:hAnsi="Times New Roman" w:cs="Times New Roman"/>
          <w:sz w:val="24"/>
          <w:szCs w:val="24"/>
        </w:rPr>
        <w:t>－</w:t>
      </w:r>
      <w:r>
        <w:rPr>
          <w:rFonts w:ascii="Times New Roman" w:hAnsi="Times New Roman" w:cs="Times New Roman"/>
          <w:sz w:val="24"/>
          <w:szCs w:val="24"/>
        </w:rPr>
        <w:t>2020</w:t>
      </w:r>
      <w:r>
        <w:rPr>
          <w:rFonts w:ascii="Times New Roman" w:hAnsi="Times New Roman" w:cs="Times New Roman"/>
          <w:sz w:val="24"/>
          <w:szCs w:val="24"/>
        </w:rPr>
        <w:t>《标准化工作导则第</w:t>
      </w:r>
      <w:r>
        <w:rPr>
          <w:rFonts w:ascii="Times New Roman" w:hAnsi="Times New Roman" w:cs="Times New Roman"/>
          <w:sz w:val="24"/>
          <w:szCs w:val="24"/>
        </w:rPr>
        <w:t xml:space="preserve"> 1 </w:t>
      </w:r>
      <w:r>
        <w:rPr>
          <w:rFonts w:ascii="Times New Roman" w:hAnsi="Times New Roman" w:cs="Times New Roman"/>
          <w:sz w:val="24"/>
          <w:szCs w:val="24"/>
        </w:rPr>
        <w:t>部分：标准化文件的结构和起草规则》要求进行编写。</w:t>
      </w:r>
    </w:p>
    <w:p w:rsidR="005D4E49" w:rsidRDefault="0017034B">
      <w:pPr>
        <w:tabs>
          <w:tab w:val="left" w:pos="1078"/>
          <w:tab w:val="left" w:pos="6917"/>
        </w:tabs>
        <w:spacing w:line="360" w:lineRule="auto"/>
        <w:ind w:right="311"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参照相关法律、法规和规定，</w:t>
      </w:r>
      <w:r>
        <w:rPr>
          <w:rFonts w:ascii="Times New Roman" w:hAnsi="Times New Roman" w:cs="Times New Roman"/>
          <w:sz w:val="24"/>
          <w:szCs w:val="24"/>
        </w:rPr>
        <w:t>在编制过程中着重考虑了科学性、适用性和可操作性。</w:t>
      </w:r>
    </w:p>
    <w:p w:rsidR="005D4E49" w:rsidRDefault="0017034B">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三、项目背景及工作情况</w:t>
      </w:r>
    </w:p>
    <w:p w:rsidR="005D4E49" w:rsidRDefault="0017034B">
      <w:pPr>
        <w:spacing w:line="360" w:lineRule="auto"/>
        <w:ind w:left="420"/>
        <w:rPr>
          <w:rFonts w:ascii="Times New Roman" w:eastAsiaTheme="minorEastAsia" w:hAnsi="Times New Roman" w:cs="Times New Roman"/>
          <w:b/>
          <w:sz w:val="28"/>
          <w:szCs w:val="21"/>
        </w:rPr>
      </w:pPr>
      <w:r>
        <w:rPr>
          <w:rFonts w:ascii="Times New Roman" w:eastAsiaTheme="minorEastAsia" w:hAnsi="Times New Roman" w:cs="Times New Roman"/>
          <w:b/>
          <w:sz w:val="28"/>
          <w:szCs w:val="21"/>
        </w:rPr>
        <w:t>（一）任务来源</w:t>
      </w:r>
    </w:p>
    <w:p w:rsidR="005D4E49" w:rsidRDefault="0017034B">
      <w:pPr>
        <w:tabs>
          <w:tab w:val="left" w:pos="1078"/>
        </w:tabs>
        <w:spacing w:line="360" w:lineRule="auto"/>
        <w:ind w:right="390" w:firstLineChars="200" w:firstLine="480"/>
        <w:rPr>
          <w:rFonts w:ascii="Times New Roman" w:hAnsi="Times New Roman" w:cs="Times New Roman"/>
          <w:sz w:val="24"/>
          <w:szCs w:val="24"/>
        </w:rPr>
      </w:pPr>
      <w:r>
        <w:rPr>
          <w:rFonts w:ascii="Times New Roman" w:hAnsi="Times New Roman" w:cs="Times New Roman"/>
          <w:sz w:val="24"/>
          <w:szCs w:val="24"/>
        </w:rPr>
        <w:t>根据《中国国际科技促进会标准化工作委员会团体标准管理办法》的有关规定，经中国国际科技促进会标准化工作委员会及相关专家技术审核，批准《柔性带核桃破壳取仁装置》团体标准制定计划，项目计划号为：</w:t>
      </w:r>
      <w:r>
        <w:rPr>
          <w:rFonts w:ascii="Times New Roman" w:hAnsi="Times New Roman" w:cs="Times New Roman" w:hint="eastAsia"/>
          <w:sz w:val="24"/>
          <w:szCs w:val="24"/>
        </w:rPr>
        <w:t>T/CI 0XX-2021</w:t>
      </w:r>
      <w:r>
        <w:rPr>
          <w:rFonts w:ascii="Times New Roman" w:hAnsi="Times New Roman" w:cs="Times New Roman"/>
          <w:sz w:val="24"/>
          <w:szCs w:val="24"/>
        </w:rPr>
        <w:t>。本标准由青岛理工大学提出，中国国际科技促进会归口。</w:t>
      </w:r>
    </w:p>
    <w:p w:rsidR="005D4E49" w:rsidRDefault="0017034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根据计划要求，本标准完成时限为</w:t>
      </w:r>
      <w:r>
        <w:rPr>
          <w:rFonts w:ascii="Times New Roman" w:hAnsi="Times New Roman" w:cs="Times New Roman"/>
          <w:sz w:val="24"/>
          <w:szCs w:val="24"/>
        </w:rPr>
        <w:t>6</w:t>
      </w:r>
      <w:r>
        <w:rPr>
          <w:rFonts w:ascii="Times New Roman" w:hAnsi="Times New Roman" w:cs="Times New Roman"/>
          <w:sz w:val="24"/>
          <w:szCs w:val="24"/>
        </w:rPr>
        <w:t>个月。</w:t>
      </w:r>
    </w:p>
    <w:p w:rsidR="005D4E49" w:rsidRDefault="0017034B">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（二）标准起草单位</w:t>
      </w:r>
    </w:p>
    <w:p w:rsidR="005D4E49" w:rsidRDefault="0017034B">
      <w:pPr>
        <w:pStyle w:val="a3"/>
        <w:spacing w:line="360" w:lineRule="auto"/>
        <w:ind w:right="278" w:firstLineChars="200" w:firstLine="480"/>
        <w:rPr>
          <w:rFonts w:ascii="Times New Roman" w:hAnsi="Times New Roman" w:cs="Times New Roman"/>
          <w:sz w:val="24"/>
          <w:szCs w:val="24"/>
        </w:rPr>
      </w:pPr>
      <w:r>
        <w:rPr>
          <w:rFonts w:ascii="Times New Roman" w:hAnsi="Times New Roman" w:cs="Times New Roman"/>
          <w:sz w:val="24"/>
          <w:szCs w:val="24"/>
        </w:rPr>
        <w:t>本标准的主要起草单位</w:t>
      </w:r>
      <w:r>
        <w:rPr>
          <w:rFonts w:ascii="Times New Roman" w:hAnsi="Times New Roman" w:cs="Times New Roman" w:hint="eastAsia"/>
          <w:sz w:val="24"/>
          <w:szCs w:val="24"/>
        </w:rPr>
        <w:t>青岛理工大学、新疆农业科学院农业机械化研究所，安徽农业大学、四川洁能干燥设备有限责任公司、沈阳农业大学、新疆理工学院，内蒙古民族大学</w:t>
      </w:r>
      <w:r>
        <w:rPr>
          <w:rFonts w:ascii="Times New Roman" w:hAnsi="Times New Roman" w:cs="Times New Roman"/>
          <w:sz w:val="24"/>
          <w:szCs w:val="24"/>
        </w:rPr>
        <w:t>为主要参与单位，负责标准中重要技术点的研究和建议，并参与标准内容的讨论。</w:t>
      </w:r>
    </w:p>
    <w:p w:rsidR="005D4E49" w:rsidRDefault="0017034B">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（三）标准研制过程及相关工作计划</w:t>
      </w:r>
    </w:p>
    <w:p w:rsidR="005D4E49" w:rsidRDefault="0017034B">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（一）前期准备工作</w:t>
      </w:r>
    </w:p>
    <w:p w:rsidR="005D4E49" w:rsidRDefault="0017034B">
      <w:pPr>
        <w:tabs>
          <w:tab w:val="left" w:pos="1078"/>
        </w:tabs>
        <w:spacing w:line="360" w:lineRule="auto"/>
        <w:ind w:right="391" w:firstLineChars="200" w:firstLine="480"/>
        <w:jc w:val="both"/>
        <w:rPr>
          <w:rFonts w:ascii="Times New Roman" w:hAnsi="Times New Roman" w:cs="Times New Roman"/>
          <w:sz w:val="24"/>
          <w:szCs w:val="24"/>
        </w:rPr>
      </w:pPr>
      <w:r>
        <w:rPr>
          <w:rFonts w:ascii="Times New Roman" w:hAnsi="Times New Roman" w:cs="Times New Roman"/>
          <w:sz w:val="24"/>
          <w:szCs w:val="24"/>
        </w:rPr>
        <w:t>项目立项前，标准编制小组查阅、研读相关国内外文献，广泛搜集核桃破壳取仁装置有关材料。同时，标准编制小组安排相关人员，多次前往</w:t>
      </w:r>
      <w:r>
        <w:rPr>
          <w:rFonts w:ascii="Times New Roman" w:hAnsi="Times New Roman" w:cs="Times New Roman"/>
          <w:sz w:val="24"/>
          <w:szCs w:val="28"/>
        </w:rPr>
        <w:t>核桃种植基地、核桃破壳装备制造公司</w:t>
      </w:r>
      <w:r>
        <w:rPr>
          <w:rFonts w:ascii="Times New Roman" w:hAnsi="Times New Roman" w:cs="Times New Roman"/>
          <w:sz w:val="24"/>
          <w:szCs w:val="24"/>
        </w:rPr>
        <w:t>进行现场调研，与现场操作人员及安全管理人员进行了深入座谈交流，</w:t>
      </w:r>
      <w:r>
        <w:rPr>
          <w:rFonts w:ascii="Times New Roman" w:hAnsi="Times New Roman" w:cs="Times New Roman"/>
          <w:sz w:val="24"/>
          <w:szCs w:val="24"/>
        </w:rPr>
        <w:lastRenderedPageBreak/>
        <w:t>广泛征求标准制订方面的意见和建议</w:t>
      </w:r>
      <w:r>
        <w:rPr>
          <w:rFonts w:ascii="Times New Roman" w:hAnsi="Times New Roman" w:cs="Times New Roman"/>
          <w:sz w:val="24"/>
          <w:szCs w:val="24"/>
        </w:rPr>
        <w:t>。</w:t>
      </w:r>
    </w:p>
    <w:p w:rsidR="005D4E49" w:rsidRDefault="0017034B">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（二）标准起草过程</w:t>
      </w:r>
    </w:p>
    <w:p w:rsidR="005D4E49" w:rsidRDefault="0017034B">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团体标准立项通知公示后，标准编制小组首先组织了标注制定工作会议，各编写人员根据工作计划分工和编写要求开展了相关工作。在标准起草期间，编制小组主编单位及参编单位组织了数次内部研讨会和专家咨询会，经过多次修改，于</w:t>
      </w:r>
      <w:r>
        <w:rPr>
          <w:rFonts w:ascii="Times New Roman" w:hAnsi="Times New Roman" w:cs="Times New Roman"/>
          <w:sz w:val="24"/>
          <w:szCs w:val="24"/>
        </w:rPr>
        <w:t>2021</w:t>
      </w:r>
      <w:r>
        <w:rPr>
          <w:rFonts w:ascii="Times New Roman" w:hAnsi="Times New Roman" w:cs="Times New Roman"/>
          <w:sz w:val="24"/>
          <w:szCs w:val="24"/>
        </w:rPr>
        <w:t>年</w:t>
      </w:r>
      <w:r>
        <w:rPr>
          <w:rFonts w:ascii="Times New Roman" w:hAnsi="Times New Roman" w:cs="Times New Roman"/>
          <w:sz w:val="24"/>
          <w:szCs w:val="24"/>
        </w:rPr>
        <w:t>X</w:t>
      </w:r>
      <w:r>
        <w:rPr>
          <w:rFonts w:ascii="Times New Roman" w:hAnsi="Times New Roman" w:cs="Times New Roman"/>
          <w:sz w:val="24"/>
          <w:szCs w:val="24"/>
        </w:rPr>
        <w:t>月底完成了标准初稿及编制说明的撰写工作。</w:t>
      </w:r>
    </w:p>
    <w:p w:rsidR="005D4E49" w:rsidRDefault="0017034B">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（三）征求意见情况</w:t>
      </w:r>
    </w:p>
    <w:p w:rsidR="005D4E49" w:rsidRDefault="0017034B">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年</w:t>
      </w:r>
      <w:r>
        <w:rPr>
          <w:rFonts w:ascii="Times New Roman" w:hAnsi="Times New Roman" w:cs="Times New Roman"/>
          <w:sz w:val="24"/>
          <w:szCs w:val="24"/>
        </w:rPr>
        <w:t>10</w:t>
      </w:r>
      <w:r>
        <w:rPr>
          <w:rFonts w:ascii="Times New Roman" w:hAnsi="Times New Roman" w:cs="Times New Roman"/>
          <w:sz w:val="24"/>
          <w:szCs w:val="24"/>
        </w:rPr>
        <w:t>月</w:t>
      </w:r>
      <w:r>
        <w:rPr>
          <w:rFonts w:ascii="Times New Roman" w:hAnsi="Times New Roman" w:cs="Times New Roman"/>
          <w:sz w:val="24"/>
          <w:szCs w:val="24"/>
          <w:lang w:val="en-US"/>
        </w:rPr>
        <w:t>中上旬</w:t>
      </w:r>
      <w:r>
        <w:rPr>
          <w:rFonts w:ascii="Times New Roman" w:hAnsi="Times New Roman" w:cs="Times New Roman"/>
          <w:sz w:val="24"/>
          <w:szCs w:val="24"/>
        </w:rPr>
        <w:t>，标准编制小组先后通过电话、邮件等多种形式征集行业专家相关意见和建议。针对征集的意见，标准编制小组召开了研讨会，将收集到的意见进行汇总处理分析，在充分吸纳合理意见的基础上，先后修改和完</w:t>
      </w:r>
      <w:r>
        <w:rPr>
          <w:rFonts w:ascii="Times New Roman" w:hAnsi="Times New Roman" w:cs="Times New Roman"/>
          <w:sz w:val="24"/>
          <w:szCs w:val="24"/>
        </w:rPr>
        <w:t>成标准内容，与</w:t>
      </w:r>
      <w:r>
        <w:rPr>
          <w:rFonts w:ascii="Times New Roman" w:hAnsi="Times New Roman" w:cs="Times New Roman"/>
          <w:sz w:val="24"/>
          <w:szCs w:val="24"/>
        </w:rPr>
        <w:t>2021</w:t>
      </w:r>
      <w:r>
        <w:rPr>
          <w:rFonts w:ascii="Times New Roman" w:hAnsi="Times New Roman" w:cs="Times New Roman"/>
          <w:sz w:val="24"/>
          <w:szCs w:val="24"/>
        </w:rPr>
        <w:t>年</w:t>
      </w:r>
      <w:r>
        <w:rPr>
          <w:rFonts w:ascii="Times New Roman" w:hAnsi="Times New Roman" w:cs="Times New Roman"/>
          <w:sz w:val="24"/>
          <w:szCs w:val="24"/>
        </w:rPr>
        <w:t>11</w:t>
      </w:r>
      <w:r>
        <w:rPr>
          <w:rFonts w:ascii="Times New Roman" w:hAnsi="Times New Roman" w:cs="Times New Roman"/>
          <w:sz w:val="24"/>
          <w:szCs w:val="24"/>
        </w:rPr>
        <w:t>月</w:t>
      </w:r>
      <w:r>
        <w:rPr>
          <w:rFonts w:ascii="Times New Roman" w:hAnsi="Times New Roman" w:cs="Times New Roman"/>
          <w:sz w:val="24"/>
          <w:szCs w:val="24"/>
        </w:rPr>
        <w:t>25</w:t>
      </w:r>
      <w:r>
        <w:rPr>
          <w:rFonts w:ascii="Times New Roman" w:hAnsi="Times New Roman" w:cs="Times New Roman"/>
          <w:sz w:val="24"/>
          <w:szCs w:val="24"/>
        </w:rPr>
        <w:t>日形成团体标准文件最终稿</w:t>
      </w:r>
      <w:r>
        <w:rPr>
          <w:rFonts w:ascii="Times New Roman" w:hAnsi="Times New Roman" w:cs="Times New Roman" w:hint="eastAsia"/>
          <w:sz w:val="24"/>
          <w:szCs w:val="24"/>
        </w:rPr>
        <w:t>,</w:t>
      </w:r>
      <w:r>
        <w:rPr>
          <w:rFonts w:ascii="Times New Roman" w:hAnsi="Times New Roman" w:cs="Times New Roman" w:hint="eastAsia"/>
          <w:sz w:val="24"/>
          <w:szCs w:val="24"/>
        </w:rPr>
        <w:t>由中国国际科技促进会报送全国标准信息平台向全社会公开征求意见。</w:t>
      </w:r>
      <w:bookmarkStart w:id="1" w:name="_GoBack"/>
      <w:bookmarkEnd w:id="1"/>
    </w:p>
    <w:p w:rsidR="005D4E49" w:rsidRDefault="0017034B">
      <w:pPr>
        <w:spacing w:line="360" w:lineRule="auto"/>
        <w:ind w:left="420" w:right="866"/>
        <w:rPr>
          <w:rFonts w:ascii="Times New Roman" w:eastAsiaTheme="minorEastAsia" w:hAnsi="Times New Roman" w:cs="Times New Roman"/>
          <w:b/>
          <w:sz w:val="28"/>
          <w:szCs w:val="21"/>
        </w:rPr>
      </w:pPr>
      <w:r>
        <w:rPr>
          <w:rFonts w:ascii="Times New Roman" w:eastAsiaTheme="minorEastAsia" w:hAnsi="Times New Roman" w:cs="Times New Roman"/>
          <w:b/>
          <w:sz w:val="28"/>
          <w:szCs w:val="21"/>
        </w:rPr>
        <w:t>四、标准制定的基本原则</w:t>
      </w:r>
    </w:p>
    <w:p w:rsidR="005D4E49" w:rsidRDefault="0017034B">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标准编制过程中，遵循了以下基本原则：</w:t>
      </w:r>
    </w:p>
    <w:p w:rsidR="005D4E49" w:rsidRDefault="0017034B">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标准需要具有行业特点，指标及其对应的分析方法要积极参照采用国家标准和行业标准。</w:t>
      </w:r>
    </w:p>
    <w:p w:rsidR="005D4E49" w:rsidRDefault="0017034B">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标准能够体现出产品的具有关键共性的技术要素。</w:t>
      </w:r>
    </w:p>
    <w:p w:rsidR="005D4E49" w:rsidRDefault="0017034B">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标准能够为产品的开发、改进指出明确的方向。</w:t>
      </w:r>
    </w:p>
    <w:p w:rsidR="005D4E49" w:rsidRDefault="0017034B">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标准需要具有科学性、先进性和可操作性。</w:t>
      </w:r>
      <w:r>
        <w:rPr>
          <w:rFonts w:ascii="Times New Roman" w:hAnsi="Times New Roman" w:cs="Times New Roman"/>
          <w:sz w:val="24"/>
          <w:szCs w:val="24"/>
        </w:rPr>
        <w:t xml:space="preserve"> </w:t>
      </w:r>
    </w:p>
    <w:p w:rsidR="005D4E49" w:rsidRDefault="0017034B">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要能够结合行业实际情况和产品特点。</w:t>
      </w:r>
    </w:p>
    <w:p w:rsidR="005D4E49" w:rsidRDefault="0017034B">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与相关标准法规协调一致。</w:t>
      </w:r>
    </w:p>
    <w:p w:rsidR="005D4E49" w:rsidRDefault="0017034B">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）促进行业健康发展与技术进步。</w:t>
      </w:r>
    </w:p>
    <w:p w:rsidR="005D4E49" w:rsidRDefault="0017034B">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五、标准主要内容</w:t>
      </w:r>
    </w:p>
    <w:p w:rsidR="005D4E49" w:rsidRDefault="0017034B">
      <w:pPr>
        <w:spacing w:line="360" w:lineRule="auto"/>
        <w:ind w:firstLineChars="200" w:firstLine="480"/>
        <w:rPr>
          <w:rFonts w:ascii="Times New Roman" w:hAnsi="Times New Roman" w:cs="Times New Roman"/>
        </w:rPr>
      </w:pPr>
      <w:r>
        <w:rPr>
          <w:rFonts w:ascii="Times New Roman" w:hAnsi="Times New Roman" w:cs="Times New Roman"/>
          <w:sz w:val="24"/>
          <w:szCs w:val="24"/>
        </w:rPr>
        <w:t>本标准规定了柔性带核桃破壳取仁装置的生产制造技术要求及测试方法，正文部分共分八章，内容包括标准的适用范围，规范性引用文件，术语和定义，产品型号标记，技术要求，试验方法，检验规范，标志、包装、运输和贮存。</w:t>
      </w:r>
    </w:p>
    <w:p w:rsidR="005D4E49" w:rsidRDefault="0017034B">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六、与有关法律法规和强制性标准的关系</w:t>
      </w:r>
    </w:p>
    <w:p w:rsidR="005D4E49" w:rsidRDefault="0017034B">
      <w:pPr>
        <w:pStyle w:val="a3"/>
        <w:spacing w:line="360" w:lineRule="auto"/>
        <w:ind w:right="390" w:firstLineChars="200" w:firstLine="480"/>
        <w:rPr>
          <w:rFonts w:ascii="Times New Roman" w:eastAsiaTheme="minorEastAsia" w:hAnsi="Times New Roman" w:cs="Times New Roman"/>
          <w:spacing w:val="-1"/>
          <w:w w:val="95"/>
          <w:sz w:val="24"/>
          <w:szCs w:val="24"/>
        </w:rPr>
      </w:pPr>
      <w:r>
        <w:rPr>
          <w:rFonts w:ascii="Times New Roman" w:hAnsi="Times New Roman" w:cs="Times New Roman"/>
          <w:sz w:val="24"/>
          <w:szCs w:val="24"/>
        </w:rPr>
        <w:t>本标准依据</w:t>
      </w:r>
      <w:r>
        <w:rPr>
          <w:rFonts w:ascii="Times New Roman" w:hAnsi="Times New Roman" w:cs="Times New Roman"/>
          <w:sz w:val="24"/>
          <w:szCs w:val="24"/>
        </w:rPr>
        <w:t>GB/T 1.1</w:t>
      </w:r>
      <w:r>
        <w:rPr>
          <w:rFonts w:ascii="Times New Roman" w:hAnsi="Times New Roman" w:cs="Times New Roman"/>
          <w:sz w:val="24"/>
          <w:szCs w:val="24"/>
        </w:rPr>
        <w:t>－</w:t>
      </w:r>
      <w:r>
        <w:rPr>
          <w:rFonts w:ascii="Times New Roman" w:hAnsi="Times New Roman" w:cs="Times New Roman"/>
          <w:sz w:val="24"/>
          <w:szCs w:val="24"/>
        </w:rPr>
        <w:t>2020</w:t>
      </w:r>
      <w:r>
        <w:rPr>
          <w:rFonts w:ascii="Times New Roman" w:hAnsi="Times New Roman" w:cs="Times New Roman"/>
          <w:sz w:val="24"/>
          <w:szCs w:val="24"/>
        </w:rPr>
        <w:t>制订，遵循</w:t>
      </w:r>
      <w:r>
        <w:rPr>
          <w:rFonts w:ascii="Times New Roman" w:hAnsi="Times New Roman" w:cs="Times New Roman"/>
          <w:sz w:val="24"/>
          <w:szCs w:val="24"/>
        </w:rPr>
        <w:t>“</w:t>
      </w:r>
      <w:r>
        <w:rPr>
          <w:rFonts w:ascii="Times New Roman" w:hAnsi="Times New Roman" w:cs="Times New Roman"/>
          <w:sz w:val="24"/>
          <w:szCs w:val="24"/>
        </w:rPr>
        <w:t>自主制定、及时修订、不断完善</w:t>
      </w:r>
      <w:r>
        <w:rPr>
          <w:rFonts w:ascii="Times New Roman" w:hAnsi="Times New Roman" w:cs="Times New Roman"/>
          <w:sz w:val="24"/>
          <w:szCs w:val="24"/>
        </w:rPr>
        <w:t xml:space="preserve">” </w:t>
      </w:r>
      <w:r>
        <w:rPr>
          <w:rFonts w:ascii="Times New Roman" w:hAnsi="Times New Roman" w:cs="Times New Roman"/>
          <w:sz w:val="24"/>
          <w:szCs w:val="24"/>
        </w:rPr>
        <w:t>的原则，以保证标准制定的科学性、规范性、时效性和可操作性。</w:t>
      </w:r>
      <w:r>
        <w:rPr>
          <w:rFonts w:ascii="Times New Roman" w:eastAsiaTheme="minorEastAsia" w:hAnsi="Times New Roman" w:cs="Times New Roman"/>
          <w:spacing w:val="-1"/>
          <w:sz w:val="24"/>
          <w:szCs w:val="24"/>
        </w:rPr>
        <w:t>与现行的法律法规、规章及相关标准相协调一致。</w:t>
      </w:r>
    </w:p>
    <w:p w:rsidR="005D4E49" w:rsidRDefault="0017034B">
      <w:pPr>
        <w:spacing w:line="360" w:lineRule="auto"/>
        <w:ind w:left="420" w:right="3565"/>
        <w:rPr>
          <w:rFonts w:ascii="Times New Roman" w:eastAsiaTheme="minorEastAsia" w:hAnsi="Times New Roman" w:cs="Times New Roman"/>
          <w:b/>
          <w:sz w:val="28"/>
          <w:szCs w:val="21"/>
        </w:rPr>
      </w:pPr>
      <w:r>
        <w:rPr>
          <w:rFonts w:ascii="Times New Roman" w:eastAsiaTheme="minorEastAsia" w:hAnsi="Times New Roman" w:cs="Times New Roman"/>
          <w:b/>
          <w:sz w:val="28"/>
          <w:szCs w:val="21"/>
        </w:rPr>
        <w:lastRenderedPageBreak/>
        <w:t>七、重大分歧意见的处理经过和依据</w:t>
      </w:r>
    </w:p>
    <w:p w:rsidR="005D4E49" w:rsidRDefault="0017034B">
      <w:pPr>
        <w:spacing w:line="360" w:lineRule="auto"/>
        <w:ind w:right="10" w:firstLineChars="200" w:firstLine="480"/>
        <w:rPr>
          <w:rFonts w:ascii="Times New Roman" w:eastAsiaTheme="minorEastAsia" w:hAnsi="Times New Roman" w:cs="Times New Roman"/>
          <w:bCs/>
          <w:sz w:val="24"/>
          <w:szCs w:val="20"/>
        </w:rPr>
      </w:pPr>
      <w:r>
        <w:rPr>
          <w:rFonts w:ascii="Times New Roman" w:eastAsiaTheme="minorEastAsia" w:hAnsi="Times New Roman" w:cs="Times New Roman"/>
          <w:bCs/>
          <w:sz w:val="24"/>
          <w:szCs w:val="20"/>
        </w:rPr>
        <w:t>本标准在编写过程中无重大意见分歧。</w:t>
      </w:r>
    </w:p>
    <w:p w:rsidR="005D4E49" w:rsidRDefault="0017034B">
      <w:pPr>
        <w:spacing w:line="360" w:lineRule="auto"/>
        <w:ind w:left="420" w:right="-210"/>
        <w:rPr>
          <w:rFonts w:ascii="Times New Roman" w:eastAsiaTheme="minorEastAsia" w:hAnsi="Times New Roman" w:cs="Times New Roman"/>
          <w:b/>
          <w:sz w:val="28"/>
          <w:szCs w:val="21"/>
        </w:rPr>
      </w:pPr>
      <w:r>
        <w:rPr>
          <w:rFonts w:ascii="Times New Roman" w:eastAsiaTheme="minorEastAsia" w:hAnsi="Times New Roman" w:cs="Times New Roman"/>
          <w:b/>
          <w:sz w:val="28"/>
          <w:szCs w:val="21"/>
        </w:rPr>
        <w:t>八、采标程度，国内外同类标准水平的对比情况</w:t>
      </w:r>
    </w:p>
    <w:p w:rsidR="005D4E49" w:rsidRDefault="0017034B">
      <w:pPr>
        <w:spacing w:line="360" w:lineRule="auto"/>
        <w:ind w:right="-210" w:firstLineChars="200" w:firstLine="480"/>
        <w:rPr>
          <w:rFonts w:ascii="Times New Roman" w:hAnsi="Times New Roman" w:cs="Times New Roman"/>
          <w:sz w:val="24"/>
          <w:szCs w:val="20"/>
          <w:lang w:val="en-US" w:bidi="ar-SA"/>
        </w:rPr>
      </w:pPr>
      <w:r>
        <w:rPr>
          <w:rFonts w:ascii="Times New Roman" w:hAnsi="Times New Roman" w:cs="Times New Roman"/>
          <w:sz w:val="24"/>
          <w:szCs w:val="20"/>
          <w:lang w:val="en-US" w:bidi="ar-SA"/>
        </w:rPr>
        <w:t>本标准没有采用国际标准。</w:t>
      </w:r>
    </w:p>
    <w:p w:rsidR="005D4E49" w:rsidRDefault="0017034B">
      <w:pPr>
        <w:spacing w:line="360" w:lineRule="auto"/>
        <w:ind w:right="-210" w:firstLineChars="200" w:firstLine="480"/>
        <w:rPr>
          <w:rFonts w:ascii="Times New Roman" w:hAnsi="Times New Roman" w:cs="Times New Roman"/>
          <w:sz w:val="24"/>
          <w:szCs w:val="20"/>
          <w:lang w:val="en-US" w:bidi="ar-SA"/>
        </w:rPr>
      </w:pPr>
      <w:r>
        <w:rPr>
          <w:rFonts w:ascii="Times New Roman" w:hAnsi="Times New Roman" w:cs="Times New Roman"/>
          <w:sz w:val="24"/>
          <w:szCs w:val="20"/>
          <w:lang w:val="en-US" w:bidi="ar-SA"/>
        </w:rPr>
        <w:t>本标准制定过程中未查到同类国内外柔性带核桃破壳取仁装置的规范或工业标准。</w:t>
      </w:r>
    </w:p>
    <w:p w:rsidR="005D4E49" w:rsidRDefault="0017034B">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九、后续贯彻措施</w:t>
      </w:r>
    </w:p>
    <w:p w:rsidR="005D4E49" w:rsidRDefault="0017034B">
      <w:pPr>
        <w:widowControl/>
        <w:tabs>
          <w:tab w:val="center" w:pos="4201"/>
          <w:tab w:val="right" w:leader="dot" w:pos="9298"/>
        </w:tabs>
        <w:spacing w:line="360" w:lineRule="auto"/>
        <w:ind w:firstLineChars="200" w:firstLine="480"/>
        <w:jc w:val="both"/>
        <w:rPr>
          <w:rFonts w:ascii="Times New Roman" w:hAnsi="Times New Roman" w:cs="Times New Roman"/>
          <w:sz w:val="24"/>
          <w:szCs w:val="20"/>
          <w:lang w:val="en-US" w:bidi="ar-SA"/>
        </w:rPr>
      </w:pPr>
      <w:r>
        <w:rPr>
          <w:rFonts w:ascii="Times New Roman" w:hAnsi="Times New Roman" w:cs="Times New Roman"/>
          <w:sz w:val="24"/>
          <w:szCs w:val="20"/>
          <w:lang w:val="en-US" w:bidi="ar-SA"/>
        </w:rPr>
        <w:t>建议由</w:t>
      </w:r>
      <w:r>
        <w:rPr>
          <w:rFonts w:ascii="Times New Roman" w:hAnsi="Times New Roman" w:cs="Times New Roman" w:hint="eastAsia"/>
          <w:sz w:val="24"/>
          <w:szCs w:val="20"/>
          <w:lang w:val="en-US" w:bidi="ar-SA"/>
        </w:rPr>
        <w:t>核桃破壳装备</w:t>
      </w:r>
      <w:r>
        <w:rPr>
          <w:rFonts w:ascii="Times New Roman" w:hAnsi="Times New Roman" w:cs="Times New Roman"/>
          <w:sz w:val="24"/>
          <w:szCs w:val="20"/>
          <w:lang w:val="en-US" w:bidi="ar-SA"/>
        </w:rPr>
        <w:t>标准化管理机构组织贯彻本标准的相关活动，利用各种活动（如工作组活动、行业协会的管理和活动、专家培训、标准化技术刊物、网上信息、产品认证等）尽可能行业相关单位和机构宣贯该标准。</w:t>
      </w:r>
    </w:p>
    <w:p w:rsidR="005D4E49" w:rsidRDefault="0017034B">
      <w:pPr>
        <w:spacing w:line="360" w:lineRule="auto"/>
        <w:ind w:left="420" w:right="3566"/>
        <w:jc w:val="both"/>
        <w:rPr>
          <w:rFonts w:ascii="Times New Roman" w:eastAsiaTheme="minorEastAsia" w:hAnsi="Times New Roman" w:cs="Times New Roman"/>
          <w:b/>
          <w:sz w:val="24"/>
          <w:szCs w:val="20"/>
          <w:lang w:val="en-US"/>
        </w:rPr>
      </w:pPr>
      <w:r>
        <w:rPr>
          <w:rFonts w:ascii="Times New Roman" w:hAnsi="Times New Roman" w:cs="Times New Roman"/>
          <w:sz w:val="24"/>
        </w:rPr>
        <w:t>建议本标准发布之日起半年内实施。</w:t>
      </w:r>
    </w:p>
    <w:p w:rsidR="005D4E49" w:rsidRDefault="0017034B">
      <w:pPr>
        <w:spacing w:line="360" w:lineRule="auto"/>
        <w:ind w:left="420"/>
        <w:rPr>
          <w:rFonts w:ascii="Times New Roman" w:eastAsiaTheme="minorEastAsia" w:hAnsi="Times New Roman" w:cs="Times New Roman"/>
          <w:b/>
          <w:bCs/>
          <w:sz w:val="28"/>
          <w:szCs w:val="28"/>
          <w:lang w:val="en-US"/>
        </w:rPr>
      </w:pPr>
      <w:r>
        <w:rPr>
          <w:rFonts w:ascii="Times New Roman" w:eastAsiaTheme="minorEastAsia" w:hAnsi="Times New Roman" w:cs="Times New Roman"/>
          <w:b/>
          <w:bCs/>
          <w:sz w:val="28"/>
          <w:szCs w:val="28"/>
          <w:lang w:val="en-US"/>
        </w:rPr>
        <w:t>十、其他应说明的事项</w:t>
      </w:r>
    </w:p>
    <w:p w:rsidR="005D4E49" w:rsidRDefault="0017034B">
      <w:pPr>
        <w:spacing w:line="360" w:lineRule="auto"/>
        <w:ind w:right="3566" w:firstLine="420"/>
        <w:jc w:val="both"/>
        <w:rPr>
          <w:rFonts w:ascii="Times New Roman" w:hAnsi="Times New Roman" w:cs="Times New Roman"/>
          <w:sz w:val="24"/>
        </w:rPr>
      </w:pPr>
      <w:r>
        <w:rPr>
          <w:rFonts w:ascii="Times New Roman" w:hAnsi="Times New Roman" w:cs="Times New Roman"/>
          <w:sz w:val="24"/>
        </w:rPr>
        <w:t>无</w:t>
      </w:r>
    </w:p>
    <w:p w:rsidR="005D4E49" w:rsidRDefault="005D4E49">
      <w:pPr>
        <w:pStyle w:val="a3"/>
        <w:spacing w:line="304" w:lineRule="auto"/>
        <w:ind w:left="7476" w:right="386" w:hanging="319"/>
        <w:rPr>
          <w:rFonts w:ascii="Times New Roman" w:eastAsiaTheme="minorEastAsia" w:hAnsi="Times New Roman" w:cs="Times New Roman"/>
        </w:rPr>
      </w:pPr>
    </w:p>
    <w:p w:rsidR="005D4E49" w:rsidRDefault="0017034B">
      <w:pPr>
        <w:pStyle w:val="a3"/>
        <w:spacing w:line="304" w:lineRule="auto"/>
        <w:ind w:right="386" w:firstLineChars="1700" w:firstLine="4760"/>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2"/>
          <w:lang w:val="en-US"/>
        </w:rPr>
        <w:t>柔性带核桃破壳取仁装置</w:t>
      </w:r>
      <w:r>
        <w:rPr>
          <w:rFonts w:ascii="Times New Roman" w:eastAsiaTheme="minorEastAsia" w:hAnsi="Times New Roman" w:cs="Times New Roman"/>
          <w:sz w:val="28"/>
          <w:szCs w:val="28"/>
        </w:rPr>
        <w:t>》编制小组</w:t>
      </w:r>
    </w:p>
    <w:p w:rsidR="005D4E49" w:rsidRDefault="0017034B">
      <w:pPr>
        <w:pStyle w:val="a3"/>
        <w:spacing w:line="304" w:lineRule="auto"/>
        <w:ind w:right="386" w:firstLineChars="1900" w:firstLine="5320"/>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2021</w:t>
      </w:r>
      <w:r>
        <w:rPr>
          <w:rFonts w:ascii="Times New Roman" w:eastAsiaTheme="minorEastAsia" w:hAnsi="Times New Roman" w:cs="Times New Roman"/>
          <w:sz w:val="28"/>
          <w:szCs w:val="28"/>
        </w:rPr>
        <w:t>年</w:t>
      </w:r>
      <w:r>
        <w:rPr>
          <w:rFonts w:ascii="Times New Roman" w:eastAsiaTheme="minorEastAsia" w:hAnsi="Times New Roman" w:cs="Times New Roman"/>
          <w:sz w:val="28"/>
          <w:szCs w:val="28"/>
        </w:rPr>
        <w:t>11</w:t>
      </w:r>
      <w:r>
        <w:rPr>
          <w:rFonts w:ascii="Times New Roman" w:eastAsiaTheme="minorEastAsia" w:hAnsi="Times New Roman" w:cs="Times New Roman"/>
          <w:sz w:val="28"/>
          <w:szCs w:val="28"/>
        </w:rPr>
        <w:t>月</w:t>
      </w:r>
      <w:r>
        <w:rPr>
          <w:rFonts w:ascii="Times New Roman" w:eastAsiaTheme="minorEastAsia" w:hAnsi="Times New Roman" w:cs="Times New Roman"/>
          <w:sz w:val="28"/>
          <w:szCs w:val="28"/>
        </w:rPr>
        <w:t>25</w:t>
      </w:r>
      <w:r>
        <w:rPr>
          <w:rFonts w:ascii="Times New Roman" w:eastAsiaTheme="minorEastAsia" w:hAnsi="Times New Roman" w:cs="Times New Roman"/>
          <w:sz w:val="28"/>
          <w:szCs w:val="28"/>
        </w:rPr>
        <w:t>日</w:t>
      </w:r>
    </w:p>
    <w:sectPr w:rsidR="005D4E49" w:rsidSect="005D4E49">
      <w:footerReference w:type="default" r:id="rId7"/>
      <w:pgSz w:w="11910" w:h="16840"/>
      <w:pgMar w:top="1480" w:right="1140" w:bottom="1160" w:left="1300" w:header="0" w:footer="9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34B" w:rsidRDefault="0017034B" w:rsidP="005D4E49">
      <w:r>
        <w:separator/>
      </w:r>
    </w:p>
  </w:endnote>
  <w:endnote w:type="continuationSeparator" w:id="1">
    <w:p w:rsidR="0017034B" w:rsidRDefault="0017034B" w:rsidP="005D4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altName w:val="PMingLiU"/>
    <w:panose1 w:val="020B0604030504040204"/>
    <w:charset w:val="88"/>
    <w:family w:val="swiss"/>
    <w:pitch w:val="default"/>
    <w:sig w:usb0="00000000" w:usb1="00000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E49" w:rsidRDefault="005D4E49">
    <w:pPr>
      <w:pStyle w:val="a3"/>
      <w:spacing w:line="14" w:lineRule="auto"/>
      <w:rPr>
        <w:sz w:val="20"/>
      </w:rPr>
    </w:pPr>
    <w:r w:rsidRPr="005D4E49">
      <w:rPr>
        <w:lang w:val="en-US" w:bidi="ar-SA"/>
      </w:rPr>
      <w:pict>
        <v:shapetype id="_x0000_t202" coordsize="21600,21600" o:spt="202" path="m,l,21600r21600,l21600,xe">
          <v:stroke joinstyle="miter"/>
          <v:path gradientshapeok="t" o:connecttype="rect"/>
        </v:shapetype>
        <v:shape id="文本框 1025" o:spid="_x0000_s1026" type="#_x0000_t202" style="position:absolute;margin-left:-31.4pt;margin-top:0;width:8.6pt;height:11pt;z-index:251659264;mso-position-horizontal:right;mso-position-horizontal-relative:margin"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kQOotMAAAADAQAADwAAAAAAAAABACAAAAAiAAAAZHJz&#10;L2Rvd25yZXYueG1sUEsBAhQAFAAAAAgAh07iQJ4EDK/QAQAAmQMAAA4AAAAAAAAAAQAgAAAAIgEA&#10;AGRycy9lMm9Eb2MueG1sUEsFBgAAAAAGAAYAWQEAAGQFAAAAAA==&#10;" filled="f" stroked="f">
          <v:textbox inset="0,0,0,0">
            <w:txbxContent>
              <w:p w:rsidR="005D4E49" w:rsidRDefault="005D4E49">
                <w:pPr>
                  <w:spacing w:line="203" w:lineRule="exact"/>
                  <w:ind w:left="40"/>
                  <w:rPr>
                    <w:rFonts w:ascii="Calibri"/>
                    <w:sz w:val="18"/>
                  </w:rPr>
                </w:pPr>
                <w:r>
                  <w:fldChar w:fldCharType="begin"/>
                </w:r>
                <w:r w:rsidR="0017034B">
                  <w:rPr>
                    <w:rFonts w:ascii="Calibri"/>
                    <w:sz w:val="18"/>
                  </w:rPr>
                  <w:instrText xml:space="preserve"> PAGE </w:instrText>
                </w:r>
                <w:r>
                  <w:fldChar w:fldCharType="separate"/>
                </w:r>
                <w:r w:rsidR="004058FA">
                  <w:rPr>
                    <w:rFonts w:ascii="Calibri"/>
                    <w:noProof/>
                    <w:sz w:val="18"/>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34B" w:rsidRDefault="0017034B" w:rsidP="005D4E49">
      <w:r>
        <w:separator/>
      </w:r>
    </w:p>
  </w:footnote>
  <w:footnote w:type="continuationSeparator" w:id="1">
    <w:p w:rsidR="0017034B" w:rsidRDefault="0017034B" w:rsidP="005D4E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doNotExpandShiftReturn/>
    <w:useFELayout/>
  </w:compat>
  <w:docVars>
    <w:docVar w:name="__Grammarly_42____i" w:val="H4sIAAAAAAAEAKtWckksSQxILCpxzi/NK1GyMqwFAAEhoTITAAAA"/>
    <w:docVar w:name="__Grammarly_42___1" w:val="H4sIAAAAAAAEAKtWcslP9kxRslIyNDayMDI0MjE1MDE0MDA3tDBV0lEKTi0uzszPAykwqgUA94IYBCwAAAA="/>
  </w:docVars>
  <w:rsids>
    <w:rsidRoot w:val="00686A1B"/>
    <w:rsid w:val="00037706"/>
    <w:rsid w:val="000606C0"/>
    <w:rsid w:val="00072AD5"/>
    <w:rsid w:val="00077268"/>
    <w:rsid w:val="000C3876"/>
    <w:rsid w:val="000E26DE"/>
    <w:rsid w:val="0010035C"/>
    <w:rsid w:val="0011279D"/>
    <w:rsid w:val="00152B14"/>
    <w:rsid w:val="0017034B"/>
    <w:rsid w:val="001705D4"/>
    <w:rsid w:val="001F6590"/>
    <w:rsid w:val="002151F0"/>
    <w:rsid w:val="002545FB"/>
    <w:rsid w:val="00274E8F"/>
    <w:rsid w:val="002A3249"/>
    <w:rsid w:val="002D2C11"/>
    <w:rsid w:val="00344176"/>
    <w:rsid w:val="003A1C59"/>
    <w:rsid w:val="003A76BB"/>
    <w:rsid w:val="004058FA"/>
    <w:rsid w:val="00407C4C"/>
    <w:rsid w:val="00427EC7"/>
    <w:rsid w:val="00456D2A"/>
    <w:rsid w:val="00461A05"/>
    <w:rsid w:val="00462166"/>
    <w:rsid w:val="004870DC"/>
    <w:rsid w:val="00501033"/>
    <w:rsid w:val="0051523F"/>
    <w:rsid w:val="00526314"/>
    <w:rsid w:val="00552D8A"/>
    <w:rsid w:val="005A3024"/>
    <w:rsid w:val="005A3A05"/>
    <w:rsid w:val="005C08DC"/>
    <w:rsid w:val="005D4E49"/>
    <w:rsid w:val="005E649D"/>
    <w:rsid w:val="005F6484"/>
    <w:rsid w:val="006017A7"/>
    <w:rsid w:val="00621318"/>
    <w:rsid w:val="00636D5E"/>
    <w:rsid w:val="00673E38"/>
    <w:rsid w:val="006839CD"/>
    <w:rsid w:val="00686A1B"/>
    <w:rsid w:val="006E1D69"/>
    <w:rsid w:val="00702D7B"/>
    <w:rsid w:val="00711B7E"/>
    <w:rsid w:val="00756991"/>
    <w:rsid w:val="007B126D"/>
    <w:rsid w:val="007E56F9"/>
    <w:rsid w:val="007E691F"/>
    <w:rsid w:val="00800AC0"/>
    <w:rsid w:val="00881DEA"/>
    <w:rsid w:val="008B30C2"/>
    <w:rsid w:val="008E7035"/>
    <w:rsid w:val="008F6ABB"/>
    <w:rsid w:val="00902F06"/>
    <w:rsid w:val="00920B92"/>
    <w:rsid w:val="00937094"/>
    <w:rsid w:val="00970E1E"/>
    <w:rsid w:val="00975602"/>
    <w:rsid w:val="00994F90"/>
    <w:rsid w:val="009D1A3D"/>
    <w:rsid w:val="009E6DA2"/>
    <w:rsid w:val="009F73E0"/>
    <w:rsid w:val="00A061F6"/>
    <w:rsid w:val="00A45F21"/>
    <w:rsid w:val="00A62181"/>
    <w:rsid w:val="00A70980"/>
    <w:rsid w:val="00A72178"/>
    <w:rsid w:val="00A94C0C"/>
    <w:rsid w:val="00AB10A5"/>
    <w:rsid w:val="00B84B76"/>
    <w:rsid w:val="00BA19C3"/>
    <w:rsid w:val="00BB2986"/>
    <w:rsid w:val="00C038C6"/>
    <w:rsid w:val="00C10BF7"/>
    <w:rsid w:val="00C45E24"/>
    <w:rsid w:val="00C64C98"/>
    <w:rsid w:val="00C87511"/>
    <w:rsid w:val="00C90ED5"/>
    <w:rsid w:val="00CC02C0"/>
    <w:rsid w:val="00CD719F"/>
    <w:rsid w:val="00D32D45"/>
    <w:rsid w:val="00D8325F"/>
    <w:rsid w:val="00DA4B59"/>
    <w:rsid w:val="00DC09B8"/>
    <w:rsid w:val="00DC52F5"/>
    <w:rsid w:val="00DE0294"/>
    <w:rsid w:val="00E33227"/>
    <w:rsid w:val="00E431C0"/>
    <w:rsid w:val="00E569F9"/>
    <w:rsid w:val="00E8294B"/>
    <w:rsid w:val="00E837B5"/>
    <w:rsid w:val="00E97EA5"/>
    <w:rsid w:val="00EB69EA"/>
    <w:rsid w:val="00EE2C60"/>
    <w:rsid w:val="00F722AB"/>
    <w:rsid w:val="00F873F0"/>
    <w:rsid w:val="00FA64AB"/>
    <w:rsid w:val="00FB1308"/>
    <w:rsid w:val="04792582"/>
    <w:rsid w:val="16D07364"/>
    <w:rsid w:val="1FCD657C"/>
    <w:rsid w:val="2DE826C7"/>
    <w:rsid w:val="358E17DE"/>
    <w:rsid w:val="363D37CD"/>
    <w:rsid w:val="3A3F4699"/>
    <w:rsid w:val="3D22516B"/>
    <w:rsid w:val="3F7C19D9"/>
    <w:rsid w:val="4F593E49"/>
    <w:rsid w:val="50351553"/>
    <w:rsid w:val="5F3979EB"/>
    <w:rsid w:val="65ED08CC"/>
    <w:rsid w:val="6C331BE8"/>
    <w:rsid w:val="7DA925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D4E49"/>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5D4E49"/>
    <w:pPr>
      <w:ind w:left="2093" w:right="1845"/>
      <w:jc w:val="center"/>
      <w:outlineLvl w:val="0"/>
    </w:pPr>
    <w:rPr>
      <w:rFonts w:ascii="Microsoft JhengHei" w:eastAsia="Microsoft JhengHei" w:hAnsi="Microsoft JhengHei" w:cs="Microsoft JhengHei"/>
      <w:b/>
      <w:bCs/>
      <w:sz w:val="44"/>
      <w:szCs w:val="44"/>
    </w:rPr>
  </w:style>
  <w:style w:type="paragraph" w:styleId="2">
    <w:name w:val="heading 2"/>
    <w:basedOn w:val="a"/>
    <w:next w:val="a"/>
    <w:uiPriority w:val="1"/>
    <w:qFormat/>
    <w:rsid w:val="005D4E49"/>
    <w:pPr>
      <w:ind w:left="757"/>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D4E49"/>
    <w:rPr>
      <w:sz w:val="32"/>
      <w:szCs w:val="32"/>
    </w:rPr>
  </w:style>
  <w:style w:type="paragraph" w:styleId="a4">
    <w:name w:val="footer"/>
    <w:basedOn w:val="a"/>
    <w:rsid w:val="005D4E49"/>
    <w:pPr>
      <w:tabs>
        <w:tab w:val="center" w:pos="4153"/>
        <w:tab w:val="right" w:pos="8306"/>
      </w:tabs>
      <w:snapToGrid w:val="0"/>
    </w:pPr>
    <w:rPr>
      <w:sz w:val="18"/>
    </w:rPr>
  </w:style>
  <w:style w:type="paragraph" w:styleId="a5">
    <w:name w:val="header"/>
    <w:basedOn w:val="a"/>
    <w:link w:val="Char"/>
    <w:rsid w:val="005D4E49"/>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D4E49"/>
    <w:tblPr>
      <w:tblCellMar>
        <w:top w:w="0" w:type="dxa"/>
        <w:left w:w="0" w:type="dxa"/>
        <w:bottom w:w="0" w:type="dxa"/>
        <w:right w:w="0" w:type="dxa"/>
      </w:tblCellMar>
    </w:tblPr>
  </w:style>
  <w:style w:type="paragraph" w:styleId="a6">
    <w:name w:val="List Paragraph"/>
    <w:basedOn w:val="a"/>
    <w:uiPriority w:val="1"/>
    <w:qFormat/>
    <w:rsid w:val="005D4E49"/>
    <w:pPr>
      <w:ind w:left="1077" w:hanging="321"/>
    </w:pPr>
  </w:style>
  <w:style w:type="paragraph" w:customStyle="1" w:styleId="TableParagraph">
    <w:name w:val="Table Paragraph"/>
    <w:basedOn w:val="a"/>
    <w:uiPriority w:val="1"/>
    <w:qFormat/>
    <w:rsid w:val="005D4E49"/>
  </w:style>
  <w:style w:type="character" w:customStyle="1" w:styleId="Char">
    <w:name w:val="页眉 Char"/>
    <w:basedOn w:val="a0"/>
    <w:link w:val="a5"/>
    <w:qFormat/>
    <w:rsid w:val="005D4E49"/>
    <w:rPr>
      <w:rFonts w:ascii="宋体" w:hAnsi="宋体" w:cs="宋体"/>
      <w:sz w:val="18"/>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1571</Characters>
  <Application>Microsoft Office Word</Application>
  <DocSecurity>0</DocSecurity>
  <Lines>13</Lines>
  <Paragraphs>3</Paragraphs>
  <ScaleCrop>false</ScaleCrop>
  <Company>微软中国</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ã•−æfl¿åºœæœºå–³ç›©ä¸ıæœ“å−¡è§—è„…ã•‰ç¼Œå‹¶è¯´æŸ”.doc</dc:title>
  <dc:creator>Admin</dc:creator>
  <cp:lastModifiedBy>微软用户</cp:lastModifiedBy>
  <cp:revision>2</cp:revision>
  <dcterms:created xsi:type="dcterms:W3CDTF">2021-12-14T02:22:00Z</dcterms:created>
  <dcterms:modified xsi:type="dcterms:W3CDTF">2021-12-14T02:22:00Z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LastSaved">
    <vt:filetime>2021-09-09T00:00:00Z</vt:filetime>
  </property>
  <property fmtid="{D5CDD505-2E9C-101B-9397-08002B2CF9AE}" pid="4" name="KSOProductBuildVer">
    <vt:lpwstr>2052-11.1.0.9991</vt:lpwstr>
  </property>
  <property fmtid="{D5CDD505-2E9C-101B-9397-08002B2CF9AE}" pid="5" name="ICV">
    <vt:lpwstr>B104C0CAE05140359B2366BFC14E83CE</vt:lpwstr>
  </property>
</Properties>
</file>