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t>YQAC</w:t>
                  </w:r>
                  <w:r>
                    <w:fldChar w:fldCharType="end"/>
                  </w:r>
                  <w:bookmarkEnd w:id="0"/>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pPr>
        <w:pStyle w:val="50"/>
        <w:framePr w:w="9639" w:h="624" w:hRule="exact" w:hSpace="181" w:vSpace="181" w:hAnchor="page" w:x="1305" w:y="2269"/>
        <w:rPr>
          <w:rFonts w:ascii="黑体" w:hAnsi="黑体" w:eastAsia="黑体"/>
          <w:b w:val="0"/>
          <w:bCs w:val="0"/>
          <w:w w:val="100"/>
          <w:sz w:val="48"/>
          <w:szCs w:val="48"/>
        </w:rPr>
      </w:pPr>
      <w:bookmarkStart w:id="1" w:name="_Hlk26473981"/>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阳泉市艾草产业协会</w:t>
      </w:r>
      <w:r>
        <w:rPr>
          <w:rFonts w:ascii="黑体" w:eastAsia="黑体"/>
          <w:b w:val="0"/>
          <w:w w:val="100"/>
          <w:sz w:val="48"/>
        </w:rPr>
        <w:fldChar w:fldCharType="end"/>
      </w:r>
      <w:bookmarkEnd w:id="2"/>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pPr>
        <w:pStyle w:val="195"/>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YQAC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0001</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202</w:t>
      </w:r>
      <w:r>
        <w:rPr>
          <w:rFonts w:hint="eastAsia"/>
          <w:lang w:val="en-US" w:eastAsia="zh-CN"/>
        </w:rPr>
        <w:t>2</w:t>
      </w:r>
      <w:r>
        <w:fldChar w:fldCharType="end"/>
      </w:r>
      <w:bookmarkEnd w:id="5"/>
    </w:p>
    <w:p>
      <w:pPr>
        <w:pStyle w:val="196"/>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艾草种植技术</w:t>
      </w:r>
      <w:r>
        <w:rPr>
          <w:rFonts w:hint="eastAsia"/>
        </w:rPr>
        <w:t>规程</w:t>
      </w:r>
      <w:r>
        <w:fldChar w:fldCharType="end"/>
      </w:r>
      <w:bookmarkEnd w:id="7"/>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2021</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0"/>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2</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3"/>
      <w:r>
        <w:rPr>
          <w:rFonts w:hint="eastAsia"/>
        </w:rPr>
        <w:t>实施</w:t>
      </w:r>
    </w:p>
    <w:p>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int="eastAsia" w:hAnsi="黑体"/>
          <w:w w:val="100"/>
          <w:sz w:val="28"/>
        </w:rPr>
        <w:t>阳泉市艾草产业协会</w:t>
      </w:r>
      <w:r>
        <w:rPr>
          <w:rFonts w:hAnsi="黑体"/>
          <w:w w:val="100"/>
          <w:sz w:val="28"/>
        </w:rPr>
        <w:fldChar w:fldCharType="end"/>
      </w:r>
      <w:bookmarkEnd w:id="14"/>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rPr>
          <w:rFonts w:hint="eastAsia"/>
        </w:rPr>
      </w:pPr>
      <w:bookmarkStart w:id="15" w:name="BookMark1"/>
      <w:bookmarkStart w:id="59" w:name="_GoBack"/>
      <w:bookmarkEnd w:id="59"/>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"_Toc87892556" </w:instrText>
      </w:r>
      <w:r>
        <w:fldChar w:fldCharType="separate"/>
      </w:r>
      <w:r>
        <w:rPr>
          <w:rStyle w:val="32"/>
        </w:rPr>
        <w:t>前言</w:t>
      </w:r>
      <w:r>
        <w:tab/>
      </w:r>
      <w:r>
        <w:fldChar w:fldCharType="begin"/>
      </w:r>
      <w:r>
        <w:instrText xml:space="preserve"> PAGEREF _Toc87892556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"_Toc87892557" </w:instrText>
      </w:r>
      <w:r>
        <w:fldChar w:fldCharType="separate"/>
      </w:r>
      <w:r>
        <w:rPr>
          <w:rStyle w:val="32"/>
        </w:rPr>
        <w:t>1  范围</w:t>
      </w:r>
      <w:r>
        <w:tab/>
      </w:r>
      <w:r>
        <w:fldChar w:fldCharType="begin"/>
      </w:r>
      <w:r>
        <w:instrText xml:space="preserve"> PAGEREF _Toc87892557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"_Toc87892558" </w:instrText>
      </w:r>
      <w:r>
        <w:fldChar w:fldCharType="separate"/>
      </w:r>
      <w:r>
        <w:rPr>
          <w:rStyle w:val="32"/>
        </w:rPr>
        <w:t>2  规范性引用文件</w:t>
      </w:r>
      <w:r>
        <w:tab/>
      </w:r>
      <w:r>
        <w:fldChar w:fldCharType="begin"/>
      </w:r>
      <w:r>
        <w:instrText xml:space="preserve"> PAGEREF _Toc87892558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"_Toc87892559" </w:instrText>
      </w:r>
      <w:r>
        <w:fldChar w:fldCharType="separate"/>
      </w:r>
      <w:r>
        <w:rPr>
          <w:rStyle w:val="32"/>
        </w:rPr>
        <w:t>3  术语和定义</w:t>
      </w:r>
      <w:r>
        <w:tab/>
      </w:r>
      <w:r>
        <w:fldChar w:fldCharType="begin"/>
      </w:r>
      <w:r>
        <w:instrText xml:space="preserve"> PAGEREF _Toc87892559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"_Toc87892560" </w:instrText>
      </w:r>
      <w:r>
        <w:fldChar w:fldCharType="separate"/>
      </w:r>
      <w:r>
        <w:rPr>
          <w:rStyle w:val="32"/>
        </w:rPr>
        <w:t>4  繁殖方法</w:t>
      </w:r>
      <w:r>
        <w:tab/>
      </w:r>
      <w:r>
        <w:fldChar w:fldCharType="begin"/>
      </w:r>
      <w:r>
        <w:instrText xml:space="preserve"> PAGEREF _Toc87892560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"_Toc87892561" </w:instrText>
      </w:r>
      <w:r>
        <w:fldChar w:fldCharType="separate"/>
      </w:r>
      <w:r>
        <w:rPr>
          <w:rStyle w:val="32"/>
          <w14:scene3d>
            <w14:lightRig w14:rig="threePt" w14:dir="t">
              <w14:rot w14:lat="0" w14:lon="0" w14:rev="0"/>
            </w14:lightRig>
          </w14:scene3d>
        </w:rPr>
        <w:t xml:space="preserve">4.1 </w:t>
      </w:r>
      <w:r>
        <w:rPr>
          <w:rStyle w:val="32"/>
        </w:rPr>
        <w:t xml:space="preserve"> 根状茎繁殖</w:t>
      </w:r>
      <w:r>
        <w:tab/>
      </w:r>
      <w:r>
        <w:fldChar w:fldCharType="begin"/>
      </w:r>
      <w:r>
        <w:instrText xml:space="preserve"> PAGEREF _Toc87892561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"_Toc87892562" </w:instrText>
      </w:r>
      <w:r>
        <w:fldChar w:fldCharType="separate"/>
      </w:r>
      <w:r>
        <w:rPr>
          <w:rStyle w:val="32"/>
          <w14:scene3d>
            <w14:lightRig w14:rig="threePt" w14:dir="t">
              <w14:rot w14:lat="0" w14:lon="0" w14:rev="0"/>
            </w14:lightRig>
          </w14:scene3d>
        </w:rPr>
        <w:t xml:space="preserve">4.2 </w:t>
      </w:r>
      <w:r>
        <w:rPr>
          <w:rStyle w:val="32"/>
        </w:rPr>
        <w:t xml:space="preserve"> 分株繁殖</w:t>
      </w:r>
      <w:r>
        <w:tab/>
      </w:r>
      <w:r>
        <w:fldChar w:fldCharType="begin"/>
      </w:r>
      <w:r>
        <w:instrText xml:space="preserve"> PAGEREF _Toc87892562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"_Toc87892563" </w:instrText>
      </w:r>
      <w:r>
        <w:fldChar w:fldCharType="separate"/>
      </w:r>
      <w:r>
        <w:rPr>
          <w:rStyle w:val="32"/>
        </w:rPr>
        <w:t>5  基地建设</w:t>
      </w:r>
      <w:r>
        <w:tab/>
      </w:r>
      <w:r>
        <w:fldChar w:fldCharType="begin"/>
      </w:r>
      <w:r>
        <w:instrText xml:space="preserve"> PAGEREF _Toc87892563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"_Toc87892564" </w:instrText>
      </w:r>
      <w:r>
        <w:fldChar w:fldCharType="separate"/>
      </w:r>
      <w:r>
        <w:rPr>
          <w:rStyle w:val="32"/>
          <w14:scene3d>
            <w14:lightRig w14:rig="threePt" w14:dir="t">
              <w14:rot w14:lat="0" w14:lon="0" w14:rev="0"/>
            </w14:lightRig>
          </w14:scene3d>
        </w:rPr>
        <w:t xml:space="preserve">5.1 </w:t>
      </w:r>
      <w:r>
        <w:rPr>
          <w:rStyle w:val="32"/>
        </w:rPr>
        <w:t xml:space="preserve"> 选址</w:t>
      </w:r>
      <w:r>
        <w:tab/>
      </w:r>
      <w:r>
        <w:fldChar w:fldCharType="begin"/>
      </w:r>
      <w:r>
        <w:instrText xml:space="preserve"> PAGEREF _Toc87892564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"_Toc87892565" </w:instrText>
      </w:r>
      <w:r>
        <w:fldChar w:fldCharType="separate"/>
      </w:r>
      <w:r>
        <w:rPr>
          <w:rStyle w:val="32"/>
          <w14:scene3d>
            <w14:lightRig w14:rig="threePt" w14:dir="t">
              <w14:rot w14:lat="0" w14:lon="0" w14:rev="0"/>
            </w14:lightRig>
          </w14:scene3d>
        </w:rPr>
        <w:t xml:space="preserve">5.2 </w:t>
      </w:r>
      <w:r>
        <w:rPr>
          <w:rStyle w:val="32"/>
        </w:rPr>
        <w:t xml:space="preserve"> 基肥</w:t>
      </w:r>
      <w:r>
        <w:tab/>
      </w:r>
      <w:r>
        <w:fldChar w:fldCharType="begin"/>
      </w:r>
      <w:r>
        <w:instrText xml:space="preserve"> PAGEREF _Toc87892565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"_Toc87892566" </w:instrText>
      </w:r>
      <w:r>
        <w:fldChar w:fldCharType="separate"/>
      </w:r>
      <w:r>
        <w:rPr>
          <w:rStyle w:val="32"/>
          <w14:scene3d>
            <w14:lightRig w14:rig="threePt" w14:dir="t">
              <w14:rot w14:lat="0" w14:lon="0" w14:rev="0"/>
            </w14:lightRig>
          </w14:scene3d>
        </w:rPr>
        <w:t xml:space="preserve">5.3 </w:t>
      </w:r>
      <w:r>
        <w:rPr>
          <w:rStyle w:val="32"/>
        </w:rPr>
        <w:t xml:space="preserve"> 整地</w:t>
      </w:r>
      <w:r>
        <w:tab/>
      </w:r>
      <w:r>
        <w:fldChar w:fldCharType="begin"/>
      </w:r>
      <w:r>
        <w:instrText xml:space="preserve"> PAGEREF _Toc87892566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"_Toc87892567" </w:instrText>
      </w:r>
      <w:r>
        <w:fldChar w:fldCharType="separate"/>
      </w:r>
      <w:r>
        <w:rPr>
          <w:rStyle w:val="32"/>
        </w:rPr>
        <w:t>6  栽种技术</w:t>
      </w:r>
      <w:r>
        <w:tab/>
      </w:r>
      <w:r>
        <w:fldChar w:fldCharType="begin"/>
      </w:r>
      <w:r>
        <w:instrText xml:space="preserve"> PAGEREF _Toc87892567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"_Toc87892568" </w:instrText>
      </w:r>
      <w:r>
        <w:fldChar w:fldCharType="separate"/>
      </w:r>
      <w:r>
        <w:rPr>
          <w:rStyle w:val="32"/>
          <w14:scene3d>
            <w14:lightRig w14:rig="threePt" w14:dir="t">
              <w14:rot w14:lat="0" w14:lon="0" w14:rev="0"/>
            </w14:lightRig>
          </w14:scene3d>
        </w:rPr>
        <w:t xml:space="preserve">6.1 </w:t>
      </w:r>
      <w:r>
        <w:rPr>
          <w:rStyle w:val="32"/>
        </w:rPr>
        <w:t xml:space="preserve"> 根状茎的栽种</w:t>
      </w:r>
      <w:r>
        <w:tab/>
      </w:r>
      <w:r>
        <w:fldChar w:fldCharType="begin"/>
      </w:r>
      <w:r>
        <w:instrText xml:space="preserve"> PAGEREF _Toc87892568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"_Toc87892569" </w:instrText>
      </w:r>
      <w:r>
        <w:fldChar w:fldCharType="separate"/>
      </w:r>
      <w:r>
        <w:rPr>
          <w:rStyle w:val="32"/>
          <w14:scene3d>
            <w14:lightRig w14:rig="threePt" w14:dir="t">
              <w14:rot w14:lat="0" w14:lon="0" w14:rev="0"/>
            </w14:lightRig>
          </w14:scene3d>
        </w:rPr>
        <w:t xml:space="preserve">6.2 </w:t>
      </w:r>
      <w:r>
        <w:rPr>
          <w:rStyle w:val="32"/>
        </w:rPr>
        <w:t xml:space="preserve"> 分株栽种</w:t>
      </w:r>
      <w:r>
        <w:tab/>
      </w:r>
      <w:r>
        <w:fldChar w:fldCharType="begin"/>
      </w:r>
      <w:r>
        <w:instrText xml:space="preserve"> PAGEREF _Toc87892569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"_Toc87892570" </w:instrText>
      </w:r>
      <w:r>
        <w:fldChar w:fldCharType="separate"/>
      </w:r>
      <w:r>
        <w:rPr>
          <w:rStyle w:val="32"/>
        </w:rPr>
        <w:t>7  田间管理</w:t>
      </w:r>
      <w:r>
        <w:tab/>
      </w:r>
      <w:r>
        <w:fldChar w:fldCharType="begin"/>
      </w:r>
      <w:r>
        <w:instrText xml:space="preserve"> PAGEREF _Toc87892570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"_Toc87892571" </w:instrText>
      </w:r>
      <w:r>
        <w:fldChar w:fldCharType="separate"/>
      </w:r>
      <w:r>
        <w:rPr>
          <w:rStyle w:val="32"/>
          <w14:scene3d>
            <w14:lightRig w14:rig="threePt" w14:dir="t">
              <w14:rot w14:lat="0" w14:lon="0" w14:rev="0"/>
            </w14:lightRig>
          </w14:scene3d>
        </w:rPr>
        <w:t xml:space="preserve">7.1 </w:t>
      </w:r>
      <w:r>
        <w:rPr>
          <w:rStyle w:val="32"/>
        </w:rPr>
        <w:t xml:space="preserve"> 灌溉</w:t>
      </w:r>
      <w:r>
        <w:tab/>
      </w:r>
      <w:r>
        <w:fldChar w:fldCharType="begin"/>
      </w:r>
      <w:r>
        <w:instrText xml:space="preserve"> PAGEREF _Toc87892571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"_Toc87892572" </w:instrText>
      </w:r>
      <w:r>
        <w:fldChar w:fldCharType="separate"/>
      </w:r>
      <w:r>
        <w:rPr>
          <w:rStyle w:val="32"/>
          <w14:scene3d>
            <w14:lightRig w14:rig="threePt" w14:dir="t">
              <w14:rot w14:lat="0" w14:lon="0" w14:rev="0"/>
            </w14:lightRig>
          </w14:scene3d>
        </w:rPr>
        <w:t xml:space="preserve">7.2 </w:t>
      </w:r>
      <w:r>
        <w:rPr>
          <w:rStyle w:val="32"/>
        </w:rPr>
        <w:t xml:space="preserve"> 追肥</w:t>
      </w:r>
      <w:r>
        <w:tab/>
      </w:r>
      <w:r>
        <w:fldChar w:fldCharType="begin"/>
      </w:r>
      <w:r>
        <w:instrText xml:space="preserve"> PAGEREF _Toc87892572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"_Toc87892573" </w:instrText>
      </w:r>
      <w:r>
        <w:fldChar w:fldCharType="separate"/>
      </w:r>
      <w:r>
        <w:rPr>
          <w:rStyle w:val="32"/>
          <w14:scene3d>
            <w14:lightRig w14:rig="threePt" w14:dir="t">
              <w14:rot w14:lat="0" w14:lon="0" w14:rev="0"/>
            </w14:lightRig>
          </w14:scene3d>
        </w:rPr>
        <w:t xml:space="preserve">7.3 </w:t>
      </w:r>
      <w:r>
        <w:rPr>
          <w:rStyle w:val="32"/>
        </w:rPr>
        <w:t xml:space="preserve"> 除草</w:t>
      </w:r>
      <w:r>
        <w:tab/>
      </w:r>
      <w:r>
        <w:fldChar w:fldCharType="begin"/>
      </w:r>
      <w:r>
        <w:instrText xml:space="preserve"> PAGEREF _Toc87892573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"_Toc87892574" </w:instrText>
      </w:r>
      <w:r>
        <w:fldChar w:fldCharType="separate"/>
      </w:r>
      <w:r>
        <w:rPr>
          <w:rStyle w:val="32"/>
          <w14:scene3d>
            <w14:lightRig w14:rig="threePt" w14:dir="t">
              <w14:rot w14:lat="0" w14:lon="0" w14:rev="0"/>
            </w14:lightRig>
          </w14:scene3d>
        </w:rPr>
        <w:t xml:space="preserve">7.4 </w:t>
      </w:r>
      <w:r>
        <w:rPr>
          <w:rStyle w:val="32"/>
        </w:rPr>
        <w:t xml:space="preserve"> 排水</w:t>
      </w:r>
      <w:r>
        <w:tab/>
      </w:r>
      <w:r>
        <w:fldChar w:fldCharType="begin"/>
      </w:r>
      <w:r>
        <w:instrText xml:space="preserve"> PAGEREF _Toc87892574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"_Toc87892575" </w:instrText>
      </w:r>
      <w:r>
        <w:fldChar w:fldCharType="separate"/>
      </w:r>
      <w:r>
        <w:rPr>
          <w:rStyle w:val="32"/>
        </w:rPr>
        <w:t>8  病虫害防治</w:t>
      </w:r>
      <w:r>
        <w:tab/>
      </w:r>
      <w:r>
        <w:fldChar w:fldCharType="begin"/>
      </w:r>
      <w:r>
        <w:instrText xml:space="preserve"> PAGEREF _Toc87892575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"_Toc87892576" </w:instrText>
      </w:r>
      <w:r>
        <w:fldChar w:fldCharType="separate"/>
      </w:r>
      <w:r>
        <w:rPr>
          <w:rStyle w:val="32"/>
        </w:rPr>
        <w:t>9  采收</w:t>
      </w:r>
      <w:r>
        <w:tab/>
      </w:r>
      <w:r>
        <w:fldChar w:fldCharType="begin"/>
      </w:r>
      <w:r>
        <w:instrText xml:space="preserve"> PAGEREF _Toc87892576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"_Toc87892577" </w:instrText>
      </w:r>
      <w:r>
        <w:fldChar w:fldCharType="separate"/>
      </w:r>
      <w:r>
        <w:rPr>
          <w:rStyle w:val="32"/>
        </w:rPr>
        <w:t>10  包装和储存</w:t>
      </w:r>
      <w:r>
        <w:tab/>
      </w:r>
      <w:r>
        <w:fldChar w:fldCharType="begin"/>
      </w:r>
      <w:r>
        <w:instrText xml:space="preserve"> PAGEREF _Toc87892577 \h </w:instrText>
      </w:r>
      <w:r>
        <w:fldChar w:fldCharType="separate"/>
      </w:r>
      <w:r>
        <w:t>3</w:t>
      </w:r>
      <w:r>
        <w:fldChar w:fldCharType="end"/>
      </w:r>
      <w:r>
        <w:fldChar w:fldCharType="end"/>
      </w:r>
    </w:p>
    <w:p>
      <w:pPr>
        <w:pStyle w:val="91"/>
        <w:spacing w:after="36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15"/>
    <w:p>
      <w:pPr>
        <w:pStyle w:val="89"/>
        <w:spacing w:after="360"/>
      </w:pPr>
      <w:bookmarkStart w:id="16" w:name="_Toc87892556"/>
      <w:bookmarkStart w:id="17" w:name="BookMark2"/>
      <w:r>
        <w:rPr>
          <w:spacing w:val="320"/>
        </w:rPr>
        <w:t>前</w:t>
      </w:r>
      <w:r>
        <w:t>言</w:t>
      </w:r>
      <w:bookmarkEnd w:id="16"/>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本文件由阳泉市艾草产业协会提出。</w:t>
      </w:r>
    </w:p>
    <w:p>
      <w:pPr>
        <w:pStyle w:val="56"/>
        <w:ind w:firstLine="420"/>
      </w:pPr>
      <w:r>
        <w:rPr>
          <w:rFonts w:hint="eastAsia"/>
        </w:rPr>
        <w:t>本文件由阳泉市艾草产业协会归口。</w:t>
      </w:r>
    </w:p>
    <w:p>
      <w:pPr>
        <w:pStyle w:val="56"/>
        <w:ind w:firstLine="420"/>
      </w:pPr>
      <w:r>
        <w:rPr>
          <w:rFonts w:hint="eastAsia"/>
        </w:rPr>
        <w:t>本文件起草单位：阳泉市艾草产业协会、山西农业大学生命科学院、</w:t>
      </w:r>
      <w:r>
        <w:rPr>
          <w:rFonts w:hint="eastAsia"/>
          <w:lang w:eastAsia="zh-CN"/>
        </w:rPr>
        <w:t>平定县农业技术推广中心、</w:t>
      </w:r>
      <w:r>
        <w:rPr>
          <w:rFonts w:hint="eastAsia"/>
        </w:rPr>
        <w:t>山西本茂盛农业科技开发有限公司、平定县方兴艾业种植专业合作社、平定县茂顺源种植专业合作社。</w:t>
      </w:r>
    </w:p>
    <w:p>
      <w:pPr>
        <w:pStyle w:val="56"/>
        <w:ind w:firstLine="420"/>
      </w:pPr>
      <w:r>
        <w:rPr>
          <w:rFonts w:hint="eastAsia"/>
        </w:rPr>
        <w:t>本文件主要起草人：牛颜冰、王德富、杨富林、</w:t>
      </w:r>
      <w:r>
        <w:rPr>
          <w:rFonts w:hint="eastAsia"/>
          <w:lang w:eastAsia="zh-CN"/>
        </w:rPr>
        <w:t>岳兰玉</w:t>
      </w:r>
      <w:r>
        <w:rPr>
          <w:rFonts w:hint="eastAsia"/>
        </w:rPr>
        <w:t>、</w:t>
      </w:r>
      <w:r>
        <w:rPr>
          <w:rFonts w:hint="eastAsia"/>
          <w:lang w:eastAsia="zh-CN"/>
        </w:rPr>
        <w:t>王海荣、耿双柱</w:t>
      </w:r>
      <w:r>
        <w:rPr>
          <w:rFonts w:hint="eastAsia"/>
        </w:rPr>
        <w:t>、</w:t>
      </w:r>
      <w:r>
        <w:rPr>
          <w:rFonts w:hint="eastAsia"/>
          <w:lang w:eastAsia="zh-CN"/>
        </w:rPr>
        <w:t>苏书文</w:t>
      </w:r>
      <w:r>
        <w:rPr>
          <w:rFonts w:hint="eastAsia"/>
        </w:rPr>
        <w:t>、</w:t>
      </w:r>
      <w:r>
        <w:rPr>
          <w:rFonts w:hint="eastAsia"/>
          <w:lang w:eastAsia="zh-CN"/>
        </w:rPr>
        <w:t>赵海棠</w:t>
      </w:r>
      <w:r>
        <w:rPr>
          <w:rFonts w:hint="eastAsia"/>
        </w:rPr>
        <w:t>、</w:t>
      </w:r>
      <w:r>
        <w:rPr>
          <w:rFonts w:hint="eastAsia"/>
          <w:lang w:eastAsia="zh-CN"/>
        </w:rPr>
        <w:t>李刚</w:t>
      </w:r>
      <w:r>
        <w:rPr>
          <w:rFonts w:hint="eastAsia"/>
        </w:rPr>
        <w:t>。</w:t>
      </w: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linePitch="312" w:charSpace="0"/>
        </w:sectPr>
      </w:pPr>
    </w:p>
    <w:bookmarkEnd w:id="17"/>
    <w:p>
      <w:pPr>
        <w:spacing w:line="20" w:lineRule="exact"/>
        <w:jc w:val="center"/>
        <w:rPr>
          <w:rFonts w:ascii="黑体" w:hAnsi="黑体" w:eastAsia="黑体"/>
          <w:sz w:val="32"/>
          <w:szCs w:val="32"/>
        </w:rPr>
      </w:pPr>
      <w:bookmarkStart w:id="18" w:name="BookMark4"/>
    </w:p>
    <w:p>
      <w:pPr>
        <w:spacing w:line="20" w:lineRule="exact"/>
        <w:jc w:val="center"/>
        <w:rPr>
          <w:rFonts w:ascii="黑体" w:hAnsi="黑体" w:eastAsia="黑体"/>
          <w:sz w:val="32"/>
          <w:szCs w:val="32"/>
        </w:rPr>
      </w:pPr>
    </w:p>
    <w:sdt>
      <w:sdtPr>
        <w:tag w:val="NEW_STAND_NAME"/>
        <w:id w:val="595910757"/>
        <w:lock w:val="sdtLocked"/>
        <w:placeholder>
          <w:docPart w:val="D5369044FEDD4D44913D11A3B793D2A2"/>
        </w:placeholder>
      </w:sdtPr>
      <w:sdtContent>
        <w:p>
          <w:pPr>
            <w:pStyle w:val="177"/>
            <w:spacing w:before="240" w:beforeLines="100" w:after="528" w:afterLines="220"/>
          </w:pPr>
          <w:bookmarkStart w:id="19" w:name="NEW_STAND_NAME"/>
          <w:r>
            <w:rPr>
              <w:rFonts w:hint="eastAsia"/>
            </w:rPr>
            <w:t>艾草种植技术规程</w:t>
          </w:r>
        </w:p>
      </w:sdtContent>
    </w:sdt>
    <w:bookmarkEnd w:id="19"/>
    <w:p>
      <w:pPr>
        <w:pStyle w:val="104"/>
        <w:spacing w:before="240" w:after="240"/>
      </w:pPr>
      <w:bookmarkStart w:id="20" w:name="_Toc24884211"/>
      <w:bookmarkStart w:id="21" w:name="_Toc26986771"/>
      <w:bookmarkStart w:id="22" w:name="_Toc26986530"/>
      <w:bookmarkStart w:id="23" w:name="_Toc17233325"/>
      <w:bookmarkStart w:id="24" w:name="_Toc26648465"/>
      <w:bookmarkStart w:id="25" w:name="_Toc87892557"/>
      <w:bookmarkStart w:id="26" w:name="_Toc26718930"/>
      <w:bookmarkStart w:id="27" w:name="_Toc24884218"/>
      <w:bookmarkStart w:id="28" w:name="_Toc17233333"/>
      <w:r>
        <w:rPr>
          <w:rFonts w:hint="eastAsia"/>
        </w:rPr>
        <w:t>范围</w:t>
      </w:r>
      <w:bookmarkEnd w:id="20"/>
      <w:bookmarkEnd w:id="21"/>
      <w:bookmarkEnd w:id="22"/>
      <w:bookmarkEnd w:id="23"/>
      <w:bookmarkEnd w:id="24"/>
      <w:bookmarkEnd w:id="25"/>
      <w:bookmarkEnd w:id="26"/>
      <w:bookmarkEnd w:id="27"/>
      <w:bookmarkEnd w:id="28"/>
    </w:p>
    <w:p>
      <w:pPr>
        <w:pStyle w:val="56"/>
        <w:ind w:firstLine="420"/>
      </w:pPr>
      <w:bookmarkStart w:id="29" w:name="_Toc24884219"/>
      <w:bookmarkStart w:id="30" w:name="_Toc24884212"/>
      <w:bookmarkStart w:id="31" w:name="_Toc26648466"/>
      <w:bookmarkStart w:id="32" w:name="_Toc17233326"/>
      <w:bookmarkStart w:id="33" w:name="_Toc17233334"/>
      <w:r>
        <w:rPr>
          <w:rFonts w:hint="eastAsia"/>
        </w:rPr>
        <w:t>本文件规定了艾草的繁殖方法、基地建设、栽种技术、田间管理、病虫害防治、采收、包装和储存等要求。</w:t>
      </w:r>
    </w:p>
    <w:p>
      <w:pPr>
        <w:pStyle w:val="56"/>
        <w:ind w:firstLine="420"/>
        <w:rPr>
          <w:rFonts w:hint="eastAsia"/>
        </w:rPr>
      </w:pPr>
      <w:r>
        <w:rPr>
          <w:rFonts w:hint="eastAsia"/>
        </w:rPr>
        <w:t>本文件适用于阳泉市区域范围内的艾草种植。</w:t>
      </w:r>
    </w:p>
    <w:p>
      <w:pPr>
        <w:pStyle w:val="104"/>
        <w:spacing w:before="240" w:after="240"/>
      </w:pPr>
      <w:bookmarkStart w:id="34" w:name="_Toc26718931"/>
      <w:bookmarkStart w:id="35" w:name="_Toc87892558"/>
      <w:bookmarkStart w:id="36" w:name="_Toc26986531"/>
      <w:bookmarkStart w:id="37" w:name="_Toc26986772"/>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6732BF0F3C8D49FBB5387700B7434CE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int="eastAsia"/>
        </w:rPr>
      </w:pPr>
      <w:r>
        <w:rPr>
          <w:rFonts w:hint="eastAsia"/>
        </w:rPr>
        <w:t>G</w:t>
      </w:r>
      <w:r>
        <w:t xml:space="preserve">B 3095 </w:t>
      </w:r>
      <w:r>
        <w:rPr>
          <w:rFonts w:hint="eastAsia"/>
        </w:rPr>
        <w:t>环境空气质量标准</w:t>
      </w:r>
    </w:p>
    <w:p>
      <w:pPr>
        <w:pStyle w:val="56"/>
        <w:ind w:firstLine="420"/>
      </w:pPr>
      <w:r>
        <w:rPr>
          <w:rFonts w:hint="eastAsia"/>
        </w:rPr>
        <w:t>G</w:t>
      </w:r>
      <w:r>
        <w:t xml:space="preserve">B 5084 </w:t>
      </w:r>
      <w:r>
        <w:rPr>
          <w:rFonts w:hint="eastAsia"/>
        </w:rPr>
        <w:t>农田灌溉水质标准</w:t>
      </w:r>
    </w:p>
    <w:p>
      <w:pPr>
        <w:pStyle w:val="56"/>
        <w:ind w:firstLine="420"/>
      </w:pPr>
      <w:r>
        <w:rPr>
          <w:rFonts w:hint="eastAsia"/>
        </w:rPr>
        <w:t>G</w:t>
      </w:r>
      <w:r>
        <w:t xml:space="preserve">B 15618 </w:t>
      </w:r>
      <w:r>
        <w:rPr>
          <w:rFonts w:hint="eastAsia"/>
        </w:rPr>
        <w:t>土壤环境质量 农用地土壤污染风险管控标准（试行）</w:t>
      </w:r>
    </w:p>
    <w:p>
      <w:pPr>
        <w:pStyle w:val="56"/>
        <w:ind w:firstLine="420"/>
        <w:rPr>
          <w:rFonts w:hint="eastAsia"/>
        </w:rPr>
      </w:pPr>
      <w:r>
        <w:rPr>
          <w:rFonts w:hint="eastAsia"/>
        </w:rPr>
        <w:t>G</w:t>
      </w:r>
      <w:r>
        <w:t xml:space="preserve">B 5009.3 </w:t>
      </w:r>
      <w:r>
        <w:rPr>
          <w:rFonts w:hint="eastAsia"/>
        </w:rPr>
        <w:t>食品安全国家标准 食品中水分的测定</w:t>
      </w:r>
    </w:p>
    <w:p>
      <w:pPr>
        <w:pStyle w:val="56"/>
        <w:ind w:firstLine="420"/>
      </w:pPr>
      <w:r>
        <w:rPr>
          <w:rFonts w:hint="eastAsia"/>
        </w:rPr>
        <w:t>N</w:t>
      </w:r>
      <w:r>
        <w:t xml:space="preserve">Y/T 496 </w:t>
      </w:r>
      <w:r>
        <w:rPr>
          <w:rFonts w:hint="eastAsia"/>
        </w:rPr>
        <w:t>肥料合理使用准则 通则</w:t>
      </w:r>
    </w:p>
    <w:p>
      <w:pPr>
        <w:pStyle w:val="56"/>
        <w:ind w:firstLine="420"/>
      </w:pPr>
      <w:r>
        <w:rPr>
          <w:rFonts w:hint="eastAsia"/>
        </w:rPr>
        <w:t>N</w:t>
      </w:r>
      <w:r>
        <w:t xml:space="preserve">Y/T 525 </w:t>
      </w:r>
      <w:r>
        <w:rPr>
          <w:rFonts w:hint="eastAsia"/>
        </w:rPr>
        <w:t>有机肥料</w:t>
      </w:r>
    </w:p>
    <w:p>
      <w:pPr>
        <w:pStyle w:val="104"/>
        <w:spacing w:before="240" w:after="240"/>
      </w:pPr>
      <w:bookmarkStart w:id="38" w:name="_Toc87892559"/>
      <w:r>
        <w:rPr>
          <w:rFonts w:hint="eastAsia"/>
          <w:szCs w:val="21"/>
        </w:rPr>
        <w:t>术语和定义</w:t>
      </w:r>
      <w:bookmarkEnd w:id="38"/>
    </w:p>
    <w:sdt>
      <w:sdtPr>
        <w:id w:val="-1909835108"/>
        <w:placeholder>
          <w:docPart w:val="72B01A0ED19740399A2E8DD1A2FC6B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39" w:name="_Toc26986532"/>
          <w:bookmarkEnd w:id="39"/>
          <w:r>
            <w:t>本文件没有需要界定的术语和定义。</w:t>
          </w:r>
        </w:p>
      </w:sdtContent>
    </w:sdt>
    <w:p>
      <w:pPr>
        <w:pStyle w:val="104"/>
        <w:spacing w:before="240" w:after="240"/>
      </w:pPr>
      <w:bookmarkStart w:id="40" w:name="_Toc87892560"/>
      <w:r>
        <w:rPr>
          <w:rFonts w:hint="eastAsia"/>
        </w:rPr>
        <w:t>繁殖方法</w:t>
      </w:r>
      <w:bookmarkEnd w:id="40"/>
    </w:p>
    <w:p>
      <w:pPr>
        <w:pStyle w:val="105"/>
        <w:spacing w:before="120" w:after="120"/>
      </w:pPr>
      <w:bookmarkStart w:id="41" w:name="_Toc87892561"/>
      <w:r>
        <w:rPr>
          <w:rFonts w:hint="eastAsia"/>
        </w:rPr>
        <w:t>根状茎繁殖</w:t>
      </w:r>
      <w:bookmarkEnd w:id="41"/>
    </w:p>
    <w:p>
      <w:pPr>
        <w:pStyle w:val="165"/>
      </w:pPr>
      <w:r>
        <w:rPr>
          <w:rFonts w:hint="eastAsia"/>
        </w:rPr>
        <w:t>选取根状茎应在每年春季3月份芽苞发芽前。</w:t>
      </w:r>
    </w:p>
    <w:p>
      <w:pPr>
        <w:pStyle w:val="165"/>
      </w:pPr>
      <w:r>
        <w:rPr>
          <w:rFonts w:hint="eastAsia"/>
        </w:rPr>
        <w:t>挖取根状茎时应全根挖出，并保持全根完整。</w:t>
      </w:r>
    </w:p>
    <w:p>
      <w:pPr>
        <w:pStyle w:val="165"/>
      </w:pPr>
      <w:r>
        <w:rPr>
          <w:rFonts w:hint="eastAsia"/>
        </w:rPr>
        <w:t>挖取出全根后应选取3年以上，健壮、无病虫害的根茎嫩茎，并截成</w:t>
      </w:r>
      <w:r>
        <w:t>10cm</w:t>
      </w:r>
      <w:r>
        <w:rPr>
          <w:rFonts w:hint="eastAsia" w:ascii="仿宋" w:hAnsi="仿宋" w:eastAsia="仿宋"/>
        </w:rPr>
        <w:t>～</w:t>
      </w:r>
      <w:r>
        <w:t>15cm</w:t>
      </w:r>
      <w:r>
        <w:rPr>
          <w:rFonts w:hint="eastAsia"/>
        </w:rPr>
        <w:t>长的小段保鲜待种，每段宜保持3个芽苞。</w:t>
      </w:r>
    </w:p>
    <w:p>
      <w:pPr>
        <w:pStyle w:val="105"/>
        <w:spacing w:before="120" w:after="120"/>
      </w:pPr>
      <w:bookmarkStart w:id="42" w:name="_Toc87892562"/>
      <w:r>
        <w:rPr>
          <w:rFonts w:hint="eastAsia"/>
        </w:rPr>
        <w:t>分株繁殖</w:t>
      </w:r>
      <w:bookmarkEnd w:id="42"/>
    </w:p>
    <w:p>
      <w:pPr>
        <w:pStyle w:val="165"/>
      </w:pPr>
      <w:r>
        <w:rPr>
          <w:rFonts w:hint="eastAsia"/>
        </w:rPr>
        <w:t>选取种苗母株时应选取叶片大且肥厚，茎秆粗壮直立，叶片颜色浓绿，气味浓郁，密被绒毛，幼苗根系发达的植株。</w:t>
      </w:r>
    </w:p>
    <w:p>
      <w:pPr>
        <w:pStyle w:val="165"/>
      </w:pPr>
      <w:r>
        <w:rPr>
          <w:rFonts w:hint="eastAsia"/>
        </w:rPr>
        <w:t>选取种苗时应从母株基分离出高为5cm</w:t>
      </w:r>
      <w:r>
        <w:rPr>
          <w:rFonts w:hint="eastAsia" w:ascii="仿宋" w:hAnsi="仿宋" w:eastAsia="仿宋"/>
        </w:rPr>
        <w:t>～</w:t>
      </w:r>
      <w:r>
        <w:rPr>
          <w:rFonts w:hint="eastAsia"/>
        </w:rPr>
        <w:t>10cm的健壮、无病虫害幼苗。</w:t>
      </w:r>
    </w:p>
    <w:p>
      <w:pPr>
        <w:pStyle w:val="104"/>
        <w:spacing w:before="240" w:after="240"/>
      </w:pPr>
      <w:bookmarkStart w:id="43" w:name="_Toc87892563"/>
      <w:r>
        <w:rPr>
          <w:rFonts w:hint="eastAsia"/>
        </w:rPr>
        <w:t>基地建设</w:t>
      </w:r>
      <w:bookmarkEnd w:id="43"/>
    </w:p>
    <w:p>
      <w:pPr>
        <w:pStyle w:val="105"/>
        <w:spacing w:before="120" w:after="120"/>
      </w:pPr>
      <w:bookmarkStart w:id="44" w:name="_Toc87892564"/>
      <w:r>
        <w:rPr>
          <w:rFonts w:hint="eastAsia"/>
        </w:rPr>
        <w:t>选址</w:t>
      </w:r>
      <w:bookmarkEnd w:id="44"/>
    </w:p>
    <w:p>
      <w:pPr>
        <w:pStyle w:val="165"/>
      </w:pPr>
      <w:r>
        <w:rPr>
          <w:rFonts w:hint="eastAsia"/>
        </w:rPr>
        <w:t>种植基地应选择在气候温暖湿润、日照充足的地区。</w:t>
      </w:r>
    </w:p>
    <w:p>
      <w:pPr>
        <w:pStyle w:val="165"/>
      </w:pPr>
      <w:r>
        <w:rPr>
          <w:rFonts w:hint="eastAsia"/>
        </w:rPr>
        <w:t>种植基地的空气质量应符合GB 3095中二级标准的规定。基地四周应有充足水源，且各项水质指标应符合GB</w:t>
      </w:r>
      <w:r>
        <w:t xml:space="preserve"> </w:t>
      </w:r>
      <w:r>
        <w:rPr>
          <w:rFonts w:hint="eastAsia"/>
        </w:rPr>
        <w:t>5084的规定。基地附近还应无居民用水和工业污染。</w:t>
      </w:r>
    </w:p>
    <w:p>
      <w:pPr>
        <w:pStyle w:val="165"/>
      </w:pPr>
      <w:r>
        <w:rPr>
          <w:rFonts w:hint="eastAsia"/>
        </w:rPr>
        <w:t>种植基地应选择向阳、龟背形或者斜坡地形。四周应便于排水。</w:t>
      </w:r>
    </w:p>
    <w:p>
      <w:pPr>
        <w:pStyle w:val="165"/>
      </w:pPr>
      <w:r>
        <w:rPr>
          <w:rFonts w:hint="eastAsia"/>
        </w:rPr>
        <w:t xml:space="preserve">种植基地宜选土层深厚、湿润肥沃，通透性好，有机物丰富的中性土壤。土地质量应符合 </w:t>
      </w:r>
      <w:r>
        <w:t xml:space="preserve">      </w:t>
      </w:r>
      <w:r>
        <w:rPr>
          <w:rFonts w:hint="eastAsia"/>
        </w:rPr>
        <w:t>G</w:t>
      </w:r>
      <w:r>
        <w:t>B 15618</w:t>
      </w:r>
      <w:r>
        <w:rPr>
          <w:rFonts w:hint="eastAsia"/>
        </w:rPr>
        <w:t>的规定。</w:t>
      </w:r>
    </w:p>
    <w:p>
      <w:pPr>
        <w:pStyle w:val="105"/>
        <w:spacing w:before="120" w:after="120"/>
      </w:pPr>
      <w:bookmarkStart w:id="45" w:name="_Toc87892565"/>
      <w:r>
        <w:rPr>
          <w:rFonts w:hint="eastAsia"/>
        </w:rPr>
        <w:t>基肥</w:t>
      </w:r>
      <w:bookmarkEnd w:id="45"/>
    </w:p>
    <w:p>
      <w:pPr>
        <w:pStyle w:val="165"/>
      </w:pPr>
      <w:r>
        <w:rPr>
          <w:rFonts w:hint="eastAsia"/>
        </w:rPr>
        <w:t>宜选择进行无公害处理过腐熟的有机肥料。</w:t>
      </w:r>
    </w:p>
    <w:p>
      <w:pPr>
        <w:pStyle w:val="165"/>
      </w:pPr>
      <w:r>
        <w:rPr>
          <w:rFonts w:hint="eastAsia"/>
        </w:rPr>
        <w:t>播种前要施足底肥，亩施腐熟的农家肥2000k</w:t>
      </w:r>
      <w:r>
        <w:t>g</w:t>
      </w:r>
      <w:r>
        <w:rPr>
          <w:rFonts w:hint="eastAsia"/>
        </w:rPr>
        <w:t>，结合深耕与土壤充分混匀。</w:t>
      </w:r>
    </w:p>
    <w:p>
      <w:pPr>
        <w:pStyle w:val="105"/>
        <w:spacing w:before="120" w:after="120"/>
      </w:pPr>
      <w:bookmarkStart w:id="46" w:name="_Toc87892566"/>
      <w:r>
        <w:rPr>
          <w:rFonts w:hint="eastAsia"/>
        </w:rPr>
        <w:t>整地</w:t>
      </w:r>
      <w:bookmarkEnd w:id="46"/>
    </w:p>
    <w:p>
      <w:pPr>
        <w:pStyle w:val="165"/>
      </w:pPr>
      <w:r>
        <w:rPr>
          <w:rFonts w:hint="eastAsia"/>
        </w:rPr>
        <w:t>对土壤进行翻耕，将肥料均匀翻入土中，翻耕深度宜在2</w:t>
      </w:r>
      <w:r>
        <w:t>5</w:t>
      </w:r>
      <w:r>
        <w:rPr>
          <w:rFonts w:hint="eastAsia"/>
        </w:rPr>
        <w:t>cm</w:t>
      </w:r>
      <w:r>
        <w:rPr>
          <w:rFonts w:hint="eastAsia" w:ascii="仿宋" w:hAnsi="仿宋" w:eastAsia="仿宋"/>
        </w:rPr>
        <w:t>～</w:t>
      </w:r>
      <w:r>
        <w:rPr>
          <w:rFonts w:hint="eastAsia"/>
        </w:rPr>
        <w:t>30cm。</w:t>
      </w:r>
    </w:p>
    <w:p>
      <w:pPr>
        <w:pStyle w:val="165"/>
      </w:pPr>
      <w:r>
        <w:rPr>
          <w:rFonts w:hint="eastAsia"/>
        </w:rPr>
        <w:t>翻耕后做畦，畦面宜为鱼背型。畦宽</w:t>
      </w:r>
      <w:r>
        <w:t>1.2</w:t>
      </w:r>
      <w:r>
        <w:rPr>
          <w:rFonts w:hint="eastAsia"/>
        </w:rPr>
        <w:t>m为宜，深</w:t>
      </w:r>
      <w:r>
        <w:t>0.3</w:t>
      </w:r>
      <w:r>
        <w:rPr>
          <w:rFonts w:hint="eastAsia"/>
        </w:rPr>
        <w:t>m为宜。每畦之间开排水沟，沟宽0.3m为宜。</w:t>
      </w:r>
    </w:p>
    <w:p>
      <w:pPr>
        <w:pStyle w:val="165"/>
      </w:pPr>
      <w:r>
        <w:rPr>
          <w:rFonts w:hint="eastAsia"/>
        </w:rPr>
        <w:t>基地四周开好排水沟，水沟应能满足排水需要。</w:t>
      </w:r>
    </w:p>
    <w:p>
      <w:pPr>
        <w:pStyle w:val="165"/>
      </w:pPr>
      <w:r>
        <w:rPr>
          <w:rFonts w:hint="eastAsia"/>
        </w:rPr>
        <w:t>基地3年后应再次进行施肥和整地。整地时深耕翻兜，去除老根。</w:t>
      </w:r>
    </w:p>
    <w:p>
      <w:pPr>
        <w:pStyle w:val="104"/>
        <w:spacing w:before="240" w:after="240"/>
      </w:pPr>
      <w:bookmarkStart w:id="47" w:name="_Toc87892567"/>
      <w:r>
        <w:rPr>
          <w:rFonts w:hint="eastAsia"/>
        </w:rPr>
        <w:t>栽种技术</w:t>
      </w:r>
      <w:bookmarkEnd w:id="47"/>
    </w:p>
    <w:p>
      <w:pPr>
        <w:pStyle w:val="105"/>
        <w:spacing w:before="120" w:after="120"/>
      </w:pPr>
      <w:bookmarkStart w:id="48" w:name="_Toc87892568"/>
      <w:r>
        <w:rPr>
          <w:rFonts w:hint="eastAsia"/>
        </w:rPr>
        <w:t>根状茎的栽种</w:t>
      </w:r>
      <w:bookmarkEnd w:id="48"/>
    </w:p>
    <w:p>
      <w:pPr>
        <w:pStyle w:val="165"/>
      </w:pPr>
      <w:r>
        <w:rPr>
          <w:rFonts w:hint="eastAsia"/>
        </w:rPr>
        <w:t>根状茎宜在11月份栽种，水源条件较好的地块也可在春季3月份前移栽，栽种宜在雨后进行。</w:t>
      </w:r>
    </w:p>
    <w:p>
      <w:pPr>
        <w:pStyle w:val="165"/>
      </w:pPr>
      <w:r>
        <w:rPr>
          <w:rFonts w:hint="eastAsia"/>
        </w:rPr>
        <w:t>栽种时应按行距30cm</w:t>
      </w:r>
      <w:r>
        <w:rPr>
          <w:rFonts w:hint="eastAsia" w:ascii="仿宋" w:hAnsi="仿宋" w:eastAsia="仿宋"/>
        </w:rPr>
        <w:t>～</w:t>
      </w:r>
      <w:r>
        <w:rPr>
          <w:rFonts w:hint="eastAsia"/>
        </w:rPr>
        <w:t>40cm开沟，把根状茎按照</w:t>
      </w:r>
      <w:r>
        <w:t>15</w:t>
      </w:r>
      <w:r>
        <w:rPr>
          <w:rFonts w:hint="eastAsia"/>
        </w:rPr>
        <w:t>cm</w:t>
      </w:r>
      <w:r>
        <w:rPr>
          <w:rFonts w:hint="eastAsia" w:ascii="仿宋" w:hAnsi="仿宋" w:eastAsia="仿宋"/>
        </w:rPr>
        <w:t>～2</w:t>
      </w:r>
      <w:r>
        <w:rPr>
          <w:rFonts w:ascii="仿宋" w:hAnsi="仿宋" w:eastAsia="仿宋"/>
        </w:rPr>
        <w:t>5</w:t>
      </w:r>
      <w:r>
        <w:rPr>
          <w:rFonts w:hint="eastAsia" w:ascii="仿宋" w:hAnsi="仿宋" w:eastAsia="仿宋"/>
        </w:rPr>
        <w:t>cm</w:t>
      </w:r>
      <w:r>
        <w:rPr>
          <w:rFonts w:hint="eastAsia"/>
        </w:rPr>
        <w:t>的株距平放在沟内，再覆土压实。如栽种时土壤较干应进行浇水保湿。</w:t>
      </w:r>
    </w:p>
    <w:p>
      <w:pPr>
        <w:pStyle w:val="105"/>
        <w:spacing w:before="120" w:after="120"/>
      </w:pPr>
      <w:bookmarkStart w:id="49" w:name="_Toc87892569"/>
      <w:r>
        <w:rPr>
          <w:rFonts w:hint="eastAsia"/>
        </w:rPr>
        <w:t>分株栽种</w:t>
      </w:r>
      <w:bookmarkEnd w:id="49"/>
    </w:p>
    <w:p>
      <w:pPr>
        <w:pStyle w:val="165"/>
      </w:pPr>
      <w:r>
        <w:rPr>
          <w:rFonts w:hint="eastAsia"/>
        </w:rPr>
        <w:t>分株栽种宜在3月份进行。栽种时宜在雨后或者阴天进行。</w:t>
      </w:r>
    </w:p>
    <w:p>
      <w:pPr>
        <w:pStyle w:val="165"/>
      </w:pPr>
      <w:r>
        <w:rPr>
          <w:rFonts w:hint="eastAsia"/>
        </w:rPr>
        <w:t>种苗从母株分离后应在2天内移植到基地种植。</w:t>
      </w:r>
    </w:p>
    <w:p>
      <w:pPr>
        <w:pStyle w:val="165"/>
      </w:pPr>
      <w:r>
        <w:rPr>
          <w:rFonts w:hint="eastAsia"/>
        </w:rPr>
        <w:t>栽种时应按株行距30cm</w:t>
      </w:r>
      <w:r>
        <w:rPr>
          <w:rFonts w:ascii="Times New Roman"/>
        </w:rPr>
        <w:t>×</w:t>
      </w:r>
      <w:r>
        <w:rPr>
          <w:rFonts w:hint="eastAsia"/>
        </w:rPr>
        <w:t>40cm进行挖穴，栽种时扶正种苗并覆土压实。每穴宜栽种2</w:t>
      </w:r>
      <w:r>
        <w:rPr>
          <w:rFonts w:hint="eastAsia" w:ascii="仿宋" w:hAnsi="仿宋" w:eastAsia="仿宋"/>
        </w:rPr>
        <w:t>～</w:t>
      </w:r>
      <w:r>
        <w:rPr>
          <w:rFonts w:hint="eastAsia"/>
        </w:rPr>
        <w:t>3棵，栽种密度宜为30株/平方米。</w:t>
      </w:r>
    </w:p>
    <w:p>
      <w:pPr>
        <w:pStyle w:val="165"/>
      </w:pPr>
      <w:r>
        <w:rPr>
          <w:rFonts w:hint="eastAsia"/>
        </w:rPr>
        <w:t>如栽种时土壤较干应进行浇水保湿，栽种后2</w:t>
      </w:r>
      <w:r>
        <w:rPr>
          <w:rFonts w:hint="eastAsia" w:ascii="仿宋" w:hAnsi="仿宋" w:eastAsia="仿宋"/>
        </w:rPr>
        <w:t>～</w:t>
      </w:r>
      <w:r>
        <w:rPr>
          <w:rFonts w:hint="eastAsia"/>
        </w:rPr>
        <w:t>3天后没有下雨，应进行浇水。</w:t>
      </w:r>
    </w:p>
    <w:p>
      <w:pPr>
        <w:pStyle w:val="104"/>
        <w:spacing w:before="240" w:after="240"/>
      </w:pPr>
      <w:bookmarkStart w:id="50" w:name="_Toc87892570"/>
      <w:r>
        <w:rPr>
          <w:rFonts w:hint="eastAsia"/>
        </w:rPr>
        <w:t>田间管理</w:t>
      </w:r>
      <w:bookmarkEnd w:id="50"/>
    </w:p>
    <w:p>
      <w:pPr>
        <w:pStyle w:val="105"/>
        <w:spacing w:before="120" w:after="120"/>
      </w:pPr>
      <w:bookmarkStart w:id="51" w:name="_Toc87892571"/>
      <w:r>
        <w:rPr>
          <w:rFonts w:hint="eastAsia"/>
        </w:rPr>
        <w:t>灌溉</w:t>
      </w:r>
      <w:bookmarkEnd w:id="51"/>
    </w:p>
    <w:p>
      <w:pPr>
        <w:pStyle w:val="165"/>
      </w:pPr>
      <w:r>
        <w:rPr>
          <w:rFonts w:hint="eastAsia"/>
        </w:rPr>
        <w:t>栽种后土壤应及时浇水一直保持湿润，浇水宜在早上9时和下午5时进行。</w:t>
      </w:r>
    </w:p>
    <w:p>
      <w:pPr>
        <w:pStyle w:val="165"/>
      </w:pPr>
      <w:r>
        <w:rPr>
          <w:rFonts w:hint="eastAsia"/>
        </w:rPr>
        <w:t>如遇到干旱季节，苗高30cm应进行叶面喷灌，苗高60cm以上时应进行漫灌。</w:t>
      </w:r>
    </w:p>
    <w:p>
      <w:pPr>
        <w:pStyle w:val="105"/>
        <w:spacing w:before="120" w:after="120"/>
      </w:pPr>
      <w:bookmarkStart w:id="52" w:name="_Toc87892572"/>
      <w:r>
        <w:rPr>
          <w:rFonts w:hint="eastAsia"/>
        </w:rPr>
        <w:t>追肥</w:t>
      </w:r>
      <w:bookmarkEnd w:id="52"/>
    </w:p>
    <w:p>
      <w:pPr>
        <w:pStyle w:val="56"/>
        <w:ind w:firstLine="420"/>
      </w:pPr>
      <w:r>
        <w:rPr>
          <w:rFonts w:hint="eastAsia"/>
        </w:rPr>
        <w:t>5月下旬采收第一茬后追肥，每茬亩高30cm时，亩用6kg尿素做提苗肥撒施或叶面喷施，第二次在苗高60cm</w:t>
      </w:r>
      <w:r>
        <w:rPr>
          <w:rFonts w:hint="eastAsia" w:ascii="仿宋" w:hAnsi="仿宋" w:eastAsia="仿宋"/>
        </w:rPr>
        <w:t>～</w:t>
      </w:r>
      <w:r>
        <w:rPr>
          <w:rFonts w:hint="eastAsia"/>
        </w:rPr>
        <w:t>80cm时趁阴雨天亩撒施进口高含量复合肥10kg</w:t>
      </w:r>
      <w:r>
        <w:rPr>
          <w:rFonts w:hint="eastAsia" w:ascii="仿宋" w:hAnsi="仿宋" w:eastAsia="仿宋"/>
        </w:rPr>
        <w:t>～</w:t>
      </w:r>
      <w:r>
        <w:rPr>
          <w:rFonts w:hint="eastAsia"/>
        </w:rPr>
        <w:t>15</w:t>
      </w:r>
      <w:r>
        <w:t>kg</w:t>
      </w:r>
      <w:r>
        <w:rPr>
          <w:rFonts w:hint="eastAsia"/>
        </w:rPr>
        <w:t>，促使艾草健壮生长，叶厚杆壮。11月上旬，整理清除艾园枯枝残叶，再施入腐熟农家肥，厩肥或饼肥，亩施农家肥1500k</w:t>
      </w:r>
      <w:r>
        <w:t>g</w:t>
      </w:r>
      <w:r>
        <w:rPr>
          <w:rFonts w:hint="eastAsia"/>
        </w:rPr>
        <w:t>或饼肥150k</w:t>
      </w:r>
      <w:r>
        <w:t>g</w:t>
      </w:r>
      <w:r>
        <w:rPr>
          <w:rFonts w:hint="eastAsia"/>
        </w:rPr>
        <w:t>，促使艾根生长肥壮。</w:t>
      </w:r>
    </w:p>
    <w:p>
      <w:pPr>
        <w:pStyle w:val="105"/>
        <w:spacing w:before="120" w:after="120"/>
      </w:pPr>
      <w:bookmarkStart w:id="53" w:name="_Toc87892573"/>
      <w:r>
        <w:rPr>
          <w:rFonts w:hint="eastAsia"/>
        </w:rPr>
        <w:t>除草</w:t>
      </w:r>
      <w:bookmarkEnd w:id="53"/>
    </w:p>
    <w:p>
      <w:pPr>
        <w:pStyle w:val="165"/>
      </w:pPr>
      <w:r>
        <w:rPr>
          <w:rFonts w:hint="eastAsia"/>
        </w:rPr>
        <w:t>除草方式宜是人工除草。</w:t>
      </w:r>
    </w:p>
    <w:p>
      <w:pPr>
        <w:pStyle w:val="165"/>
      </w:pPr>
      <w:r>
        <w:rPr>
          <w:rFonts w:hint="eastAsia"/>
        </w:rPr>
        <w:t>艾草长出1个月或头茬收获后进行中耕除草。中耕应均匀，深度15cm左右，艾草根部应进行人工除草</w:t>
      </w:r>
    </w:p>
    <w:p>
      <w:pPr>
        <w:pStyle w:val="165"/>
      </w:pPr>
      <w:r>
        <w:rPr>
          <w:rFonts w:hint="eastAsia"/>
        </w:rPr>
        <w:t>每茬艾草采收后应进行1次人工除草。</w:t>
      </w:r>
    </w:p>
    <w:p>
      <w:pPr>
        <w:pStyle w:val="165"/>
      </w:pPr>
      <w:r>
        <w:rPr>
          <w:rFonts w:hint="eastAsia"/>
        </w:rPr>
        <w:t>杂草除后应收集运走，防止草籽在土壤里生长。</w:t>
      </w:r>
    </w:p>
    <w:p>
      <w:pPr>
        <w:pStyle w:val="105"/>
        <w:spacing w:before="120" w:after="120"/>
      </w:pPr>
      <w:bookmarkStart w:id="54" w:name="_Toc87892574"/>
      <w:r>
        <w:rPr>
          <w:rFonts w:hint="eastAsia"/>
        </w:rPr>
        <w:t>排水</w:t>
      </w:r>
      <w:bookmarkEnd w:id="54"/>
    </w:p>
    <w:p>
      <w:pPr>
        <w:pStyle w:val="56"/>
        <w:ind w:firstLine="420"/>
      </w:pPr>
      <w:r>
        <w:rPr>
          <w:rFonts w:hint="eastAsia"/>
        </w:rPr>
        <w:t>如遇雨水较多时，应及时进行排水，还应及时清淤和清除杂物，保持排水沟畅通。</w:t>
      </w:r>
    </w:p>
    <w:p>
      <w:pPr>
        <w:pStyle w:val="104"/>
        <w:spacing w:before="240" w:after="240"/>
      </w:pPr>
      <w:bookmarkStart w:id="55" w:name="_Toc87892575"/>
      <w:r>
        <w:rPr>
          <w:rFonts w:hint="eastAsia"/>
        </w:rPr>
        <w:t>病虫害防治</w:t>
      </w:r>
      <w:bookmarkEnd w:id="55"/>
    </w:p>
    <w:p>
      <w:pPr>
        <w:pStyle w:val="56"/>
        <w:ind w:firstLine="420"/>
      </w:pPr>
      <w:r>
        <w:rPr>
          <w:rFonts w:hint="eastAsia"/>
        </w:rPr>
        <w:t>艾草幼苗期由于枝叶较嫩，常有蚜虫发生，以食嫩叶为主，生产防治上一般在定植成活后用2</w:t>
      </w:r>
      <w:r>
        <w:t>0%</w:t>
      </w:r>
      <w:r>
        <w:rPr>
          <w:rFonts w:hint="eastAsia"/>
        </w:rPr>
        <w:t>氯虫苯甲酰胺悬浮剂喷防1</w:t>
      </w:r>
      <w:r>
        <w:rPr>
          <w:rFonts w:hint="eastAsia" w:ascii="仿宋" w:hAnsi="仿宋" w:eastAsia="仿宋"/>
        </w:rPr>
        <w:t>～</w:t>
      </w:r>
      <w:r>
        <w:rPr>
          <w:rFonts w:hint="eastAsia"/>
        </w:rPr>
        <w:t>2次即可。</w:t>
      </w:r>
    </w:p>
    <w:p>
      <w:pPr>
        <w:pStyle w:val="56"/>
        <w:ind w:firstLine="420"/>
      </w:pPr>
      <w:r>
        <w:rPr>
          <w:rFonts w:hint="eastAsia"/>
        </w:rPr>
        <w:t>随着艾草的生长，艾叶散发的挥发油有驱虫作用，根茎亦有强烈的抗病害能力，可在每次收割后及时进行1次地块清理，清除残枝枯叶，集中深埋或烧毁。如果部分地块有病害发生，可在次年3月未出芽前，地表喷洒1次多菌灵或甲基托布津进行清园消毒。</w:t>
      </w:r>
    </w:p>
    <w:p>
      <w:pPr>
        <w:pStyle w:val="104"/>
        <w:spacing w:before="240" w:after="240"/>
      </w:pPr>
      <w:bookmarkStart w:id="56" w:name="_Toc87892576"/>
      <w:r>
        <w:rPr>
          <w:rFonts w:hint="eastAsia"/>
        </w:rPr>
        <w:t>采收</w:t>
      </w:r>
      <w:bookmarkEnd w:id="56"/>
    </w:p>
    <w:p>
      <w:pPr>
        <w:pStyle w:val="162"/>
      </w:pPr>
      <w:r>
        <w:rPr>
          <w:rFonts w:hint="eastAsia"/>
        </w:rPr>
        <w:t>艾草每年采收3茬，采收宜在晴天进行。</w:t>
      </w:r>
    </w:p>
    <w:p>
      <w:pPr>
        <w:pStyle w:val="162"/>
      </w:pPr>
      <w:r>
        <w:rPr>
          <w:rFonts w:hint="eastAsia"/>
        </w:rPr>
        <w:t>当艾草长至60c</w:t>
      </w:r>
      <w:r>
        <w:t>m</w:t>
      </w:r>
      <w:r>
        <w:rPr>
          <w:rFonts w:hint="eastAsia"/>
        </w:rPr>
        <w:t>左右，茎秆直立未萌发分枝的情况下全草收割，根部留茬5cm。</w:t>
      </w:r>
    </w:p>
    <w:p>
      <w:pPr>
        <w:pStyle w:val="162"/>
      </w:pPr>
      <w:r>
        <w:rPr>
          <w:rFonts w:hint="eastAsia"/>
        </w:rPr>
        <w:t>采收下来的艾草应摊晒自然晾干，不应暴晒：叶片水分不大于14%时，即为全干。全干后打包储藏。</w:t>
      </w:r>
    </w:p>
    <w:p>
      <w:pPr>
        <w:pStyle w:val="104"/>
        <w:spacing w:before="240" w:after="240"/>
      </w:pPr>
      <w:bookmarkStart w:id="57" w:name="_Toc87892577"/>
      <w:r>
        <w:rPr>
          <w:rFonts w:hint="eastAsia"/>
        </w:rPr>
        <w:t>包装和储存</w:t>
      </w:r>
      <w:bookmarkEnd w:id="57"/>
    </w:p>
    <w:p>
      <w:pPr>
        <w:pStyle w:val="162"/>
      </w:pPr>
      <w:r>
        <w:rPr>
          <w:rFonts w:hint="eastAsia"/>
        </w:rPr>
        <w:t>艾草的外层包装材料应选用干燥、洁净的包装材料。</w:t>
      </w:r>
    </w:p>
    <w:p>
      <w:pPr>
        <w:pStyle w:val="162"/>
      </w:pPr>
      <w:r>
        <w:rPr>
          <w:rFonts w:hint="eastAsia"/>
        </w:rPr>
        <w:t>打包时应用竹片定型再用铁丝打捆成包装入。</w:t>
      </w:r>
    </w:p>
    <w:p>
      <w:pPr>
        <w:pStyle w:val="162"/>
      </w:pPr>
      <w:r>
        <w:rPr>
          <w:rFonts w:hint="eastAsia"/>
        </w:rPr>
        <w:t>艾草打包后应储存在干燥、清洁、阴凉、通风、无异味的专用仓库。</w:t>
      </w:r>
    </w:p>
    <w:p>
      <w:pPr>
        <w:pStyle w:val="162"/>
      </w:pPr>
      <w:r>
        <w:rPr>
          <w:rFonts w:hint="eastAsia"/>
        </w:rPr>
        <w:t>储存后按照1个月、3个月、6个月、1</w:t>
      </w:r>
      <w:r>
        <w:t>2</w:t>
      </w:r>
      <w:r>
        <w:rPr>
          <w:rFonts w:hint="eastAsia"/>
        </w:rPr>
        <w:t>个月的间隔期，依据G</w:t>
      </w:r>
      <w:r>
        <w:t>B 5009.3</w:t>
      </w:r>
      <w:r>
        <w:rPr>
          <w:rFonts w:hint="eastAsia"/>
        </w:rPr>
        <w:t>规定的方法进行水分测定，含水量超过1</w:t>
      </w:r>
      <w:r>
        <w:t>3%</w:t>
      </w:r>
      <w:r>
        <w:rPr>
          <w:rFonts w:hint="eastAsia"/>
        </w:rPr>
        <w:t>时，应及时进行翻垛或拆包重晾晒。</w:t>
      </w:r>
    </w:p>
    <w:p>
      <w:pPr>
        <w:pStyle w:val="56"/>
        <w:ind w:firstLine="420"/>
      </w:pPr>
    </w:p>
    <w:p>
      <w:pPr>
        <w:pStyle w:val="56"/>
        <w:ind w:firstLine="420"/>
      </w:pPr>
    </w:p>
    <w:bookmarkEnd w:id="18"/>
    <w:p>
      <w:pPr>
        <w:pStyle w:val="56"/>
        <w:ind w:firstLine="0" w:firstLineChars="0"/>
        <w:jc w:val="center"/>
      </w:pPr>
      <w:bookmarkStart w:id="58"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pgSz w:w="11906" w:h="16838"/>
      <w:pgMar w:top="2410" w:right="1134" w:bottom="1134" w:left="1134" w:header="1418" w:footer="1134" w:gutter="284"/>
      <w:pgNumType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等线 Light">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T/YQAC 0001—2021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2"/>
      <w:suff w:val="nothing"/>
      <w:lvlText w:val="%1.%2.%3　"/>
      <w:lvlJc w:val="left"/>
      <w:pPr>
        <w:ind w:left="0" w:firstLine="0"/>
      </w:pPr>
      <w:rPr>
        <w:rFonts w:hint="eastAsia" w:ascii="黑体" w:hAnsi="Times New Roman" w:eastAsia="黑体"/>
        <w:b w:val="0"/>
        <w:i w:val="0"/>
        <w:sz w:val="21"/>
      </w:rPr>
    </w:lvl>
    <w:lvl w:ilvl="3" w:tentative="0">
      <w:start w:val="1"/>
      <w:numFmt w:val="decimal"/>
      <w:pStyle w:val="231"/>
      <w:suff w:val="nothing"/>
      <w:lvlText w:val="%1.%2.%3.%4　"/>
      <w:lvlJc w:val="left"/>
      <w:pPr>
        <w:ind w:left="0" w:firstLine="0"/>
      </w:pPr>
      <w:rPr>
        <w:rFonts w:hint="eastAsia" w:ascii="黑体" w:hAnsi="Times New Roman" w:eastAsia="黑体"/>
        <w:b w:val="0"/>
        <w:i w:val="0"/>
        <w:sz w:val="21"/>
      </w:rPr>
    </w:lvl>
    <w:lvl w:ilvl="4" w:tentative="0">
      <w:start w:val="1"/>
      <w:numFmt w:val="decimal"/>
      <w:pStyle w:val="230"/>
      <w:suff w:val="nothing"/>
      <w:lvlText w:val="%1.%2.%3.%4.%5　"/>
      <w:lvlJc w:val="left"/>
      <w:pPr>
        <w:ind w:left="0" w:firstLine="0"/>
      </w:pPr>
      <w:rPr>
        <w:rFonts w:hint="eastAsia" w:ascii="黑体" w:hAnsi="Times New Roman" w:eastAsia="黑体"/>
        <w:b w:val="0"/>
        <w:i w:val="0"/>
        <w:sz w:val="21"/>
      </w:rPr>
    </w:lvl>
    <w:lvl w:ilvl="5" w:tentative="0">
      <w:start w:val="1"/>
      <w:numFmt w:val="decimal"/>
      <w:pStyle w:val="23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dit="forms" w:enforcement="1" w:cryptProviderType="rsaAES" w:cryptAlgorithmClass="hash" w:cryptAlgorithmType="typeAny" w:cryptAlgorithmSid="14" w:cryptSpinCount="100000" w:hash="HZfZQIbQdeyNcz87wB56g1BzEeewv6zCEGYRW1B+IJ/LVr5WAS9RwB5uvjCkh75eur+7kMf0bdibXfwnYyogBQ==" w:salt="R9i4k2CgsBj7YFYTOZDHr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E5"/>
    <w:rsid w:val="0000040A"/>
    <w:rsid w:val="00000A94"/>
    <w:rsid w:val="00001972"/>
    <w:rsid w:val="00001D9A"/>
    <w:rsid w:val="00007B3A"/>
    <w:rsid w:val="000107E0"/>
    <w:rsid w:val="00011FDE"/>
    <w:rsid w:val="00012FFD"/>
    <w:rsid w:val="00014162"/>
    <w:rsid w:val="00014340"/>
    <w:rsid w:val="00016624"/>
    <w:rsid w:val="00016A9C"/>
    <w:rsid w:val="00022184"/>
    <w:rsid w:val="00022762"/>
    <w:rsid w:val="000238E0"/>
    <w:rsid w:val="000249DB"/>
    <w:rsid w:val="0002595E"/>
    <w:rsid w:val="000300F4"/>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B25"/>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1D97"/>
    <w:rsid w:val="001E2484"/>
    <w:rsid w:val="001E3CC4"/>
    <w:rsid w:val="001E4882"/>
    <w:rsid w:val="001E73AB"/>
    <w:rsid w:val="001F092D"/>
    <w:rsid w:val="001F143A"/>
    <w:rsid w:val="001F1605"/>
    <w:rsid w:val="001F239E"/>
    <w:rsid w:val="001F2508"/>
    <w:rsid w:val="001F4816"/>
    <w:rsid w:val="001F69B4"/>
    <w:rsid w:val="001F6F86"/>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1FEF"/>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8AB"/>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09B"/>
    <w:rsid w:val="00344605"/>
    <w:rsid w:val="003474AA"/>
    <w:rsid w:val="00350D1D"/>
    <w:rsid w:val="00352C83"/>
    <w:rsid w:val="00352F1A"/>
    <w:rsid w:val="0035449B"/>
    <w:rsid w:val="00356303"/>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05A"/>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5A7"/>
    <w:rsid w:val="00404869"/>
    <w:rsid w:val="00405884"/>
    <w:rsid w:val="00407D39"/>
    <w:rsid w:val="0041477A"/>
    <w:rsid w:val="004167A3"/>
    <w:rsid w:val="00432DAA"/>
    <w:rsid w:val="00434305"/>
    <w:rsid w:val="00435DF7"/>
    <w:rsid w:val="0044083F"/>
    <w:rsid w:val="00441AE7"/>
    <w:rsid w:val="00445574"/>
    <w:rsid w:val="004467FB"/>
    <w:rsid w:val="00446DC6"/>
    <w:rsid w:val="0045030C"/>
    <w:rsid w:val="00452D6B"/>
    <w:rsid w:val="00454484"/>
    <w:rsid w:val="0045517B"/>
    <w:rsid w:val="00463B77"/>
    <w:rsid w:val="00463C7B"/>
    <w:rsid w:val="004644A6"/>
    <w:rsid w:val="004659BD"/>
    <w:rsid w:val="00470775"/>
    <w:rsid w:val="004746B1"/>
    <w:rsid w:val="0047583F"/>
    <w:rsid w:val="00475DE8"/>
    <w:rsid w:val="00481C44"/>
    <w:rsid w:val="00483701"/>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728"/>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7F4"/>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B7C51"/>
    <w:rsid w:val="005C0F4B"/>
    <w:rsid w:val="005C2987"/>
    <w:rsid w:val="005C29B8"/>
    <w:rsid w:val="005C5F21"/>
    <w:rsid w:val="005C7156"/>
    <w:rsid w:val="005D0C75"/>
    <w:rsid w:val="005D4171"/>
    <w:rsid w:val="005D6A95"/>
    <w:rsid w:val="005D6B2C"/>
    <w:rsid w:val="005D6D9C"/>
    <w:rsid w:val="005E2335"/>
    <w:rsid w:val="005E24AC"/>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DF5"/>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7741"/>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7EE"/>
    <w:rsid w:val="00750D61"/>
    <w:rsid w:val="00750EE1"/>
    <w:rsid w:val="00752101"/>
    <w:rsid w:val="00752B4D"/>
    <w:rsid w:val="00755402"/>
    <w:rsid w:val="00756B26"/>
    <w:rsid w:val="00756EDF"/>
    <w:rsid w:val="007600E3"/>
    <w:rsid w:val="00765C43"/>
    <w:rsid w:val="00765EFB"/>
    <w:rsid w:val="00766A50"/>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DE5"/>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C7C70"/>
    <w:rsid w:val="007D06C4"/>
    <w:rsid w:val="007D1352"/>
    <w:rsid w:val="007D2508"/>
    <w:rsid w:val="007D346A"/>
    <w:rsid w:val="007D6518"/>
    <w:rsid w:val="007D76BD"/>
    <w:rsid w:val="007E0BF1"/>
    <w:rsid w:val="007F0ED8"/>
    <w:rsid w:val="007F0F63"/>
    <w:rsid w:val="007F3D0C"/>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DF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20BD"/>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4D2"/>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668"/>
    <w:rsid w:val="00913CA9"/>
    <w:rsid w:val="009145AE"/>
    <w:rsid w:val="009146CE"/>
    <w:rsid w:val="00914CA7"/>
    <w:rsid w:val="00915C3E"/>
    <w:rsid w:val="009161A8"/>
    <w:rsid w:val="009245AE"/>
    <w:rsid w:val="009245F5"/>
    <w:rsid w:val="009249EC"/>
    <w:rsid w:val="009273B3"/>
    <w:rsid w:val="009305B5"/>
    <w:rsid w:val="00933A83"/>
    <w:rsid w:val="009378DD"/>
    <w:rsid w:val="009429D5"/>
    <w:rsid w:val="00942BF1"/>
    <w:rsid w:val="00945180"/>
    <w:rsid w:val="00945428"/>
    <w:rsid w:val="0094607B"/>
    <w:rsid w:val="00947BFB"/>
    <w:rsid w:val="00953604"/>
    <w:rsid w:val="0095496B"/>
    <w:rsid w:val="00960F1E"/>
    <w:rsid w:val="009610DC"/>
    <w:rsid w:val="00961490"/>
    <w:rsid w:val="0096381A"/>
    <w:rsid w:val="00965E04"/>
    <w:rsid w:val="009674AD"/>
    <w:rsid w:val="00970CDC"/>
    <w:rsid w:val="00975727"/>
    <w:rsid w:val="00977010"/>
    <w:rsid w:val="0097701F"/>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2A96"/>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2BD"/>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4C0"/>
    <w:rsid w:val="00AF47C5"/>
    <w:rsid w:val="00AF5398"/>
    <w:rsid w:val="00B049AF"/>
    <w:rsid w:val="00B07242"/>
    <w:rsid w:val="00B10534"/>
    <w:rsid w:val="00B113DB"/>
    <w:rsid w:val="00B11D8A"/>
    <w:rsid w:val="00B12981"/>
    <w:rsid w:val="00B147DD"/>
    <w:rsid w:val="00B156FD"/>
    <w:rsid w:val="00B1654A"/>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990"/>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4C4"/>
    <w:rsid w:val="00C64E95"/>
    <w:rsid w:val="00C71372"/>
    <w:rsid w:val="00C72410"/>
    <w:rsid w:val="00C7287F"/>
    <w:rsid w:val="00C80CB8"/>
    <w:rsid w:val="00C819F8"/>
    <w:rsid w:val="00C8248C"/>
    <w:rsid w:val="00C84E33"/>
    <w:rsid w:val="00C86D6F"/>
    <w:rsid w:val="00C905FC"/>
    <w:rsid w:val="00C92D03"/>
    <w:rsid w:val="00C9319C"/>
    <w:rsid w:val="00C9435D"/>
    <w:rsid w:val="00C94756"/>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991"/>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5447"/>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0313"/>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34BED"/>
    <w:rsid w:val="00F420D5"/>
    <w:rsid w:val="00F42D50"/>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A82404C"/>
    <w:rsid w:val="721A4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vAnchor="page" w:hAnchor="page" w:x="1419" w:y="14097"/>
    </w:pPr>
  </w:style>
  <w:style w:type="paragraph" w:customStyle="1" w:styleId="194">
    <w:name w:val="其他实施日期"/>
    <w:basedOn w:val="154"/>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四级条标题"/>
    <w:basedOn w:val="231"/>
    <w:next w:val="1"/>
    <w:uiPriority w:val="0"/>
    <w:pPr>
      <w:numPr>
        <w:ilvl w:val="4"/>
      </w:numPr>
      <w:outlineLvl w:val="5"/>
    </w:pPr>
  </w:style>
  <w:style w:type="paragraph" w:customStyle="1" w:styleId="231">
    <w:name w:val="三级条标题"/>
    <w:basedOn w:val="232"/>
    <w:next w:val="1"/>
    <w:qFormat/>
    <w:uiPriority w:val="0"/>
    <w:pPr>
      <w:numPr>
        <w:ilvl w:val="3"/>
      </w:numPr>
      <w:outlineLvl w:val="4"/>
    </w:pPr>
  </w:style>
  <w:style w:type="paragraph" w:customStyle="1" w:styleId="232">
    <w:name w:val="二级条标题"/>
    <w:basedOn w:val="233"/>
    <w:next w:val="1"/>
    <w:qFormat/>
    <w:uiPriority w:val="0"/>
    <w:pPr>
      <w:numPr>
        <w:ilvl w:val="2"/>
      </w:numPr>
      <w:spacing w:before="50" w:after="50"/>
      <w:outlineLvl w:val="3"/>
    </w:pPr>
  </w:style>
  <w:style w:type="paragraph" w:customStyle="1" w:styleId="233">
    <w:name w:val="一级条标题"/>
    <w:next w:val="1"/>
    <w:qFormat/>
    <w:uiPriority w:val="0"/>
    <w:pPr>
      <w:numPr>
        <w:ilvl w:val="1"/>
        <w:numId w:val="32"/>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234">
    <w:name w:val="章标题"/>
    <w:next w:val="1"/>
    <w:qFormat/>
    <w:uiPriority w:val="0"/>
    <w:pPr>
      <w:numPr>
        <w:ilvl w:val="0"/>
        <w:numId w:val="32"/>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235">
    <w:name w:val="五级条标题"/>
    <w:basedOn w:val="230"/>
    <w:next w:val="1"/>
    <w:qFormat/>
    <w:uiPriority w:val="0"/>
    <w:pPr>
      <w:numPr>
        <w:ilvl w:val="5"/>
      </w:numPr>
      <w:outlineLvl w:val="6"/>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369044FEDD4D44913D11A3B793D2A2"/>
        <w:style w:val=""/>
        <w:category>
          <w:name w:val="常规"/>
          <w:gallery w:val="placeholder"/>
        </w:category>
        <w:types>
          <w:type w:val="bbPlcHdr"/>
        </w:types>
        <w:behaviors>
          <w:behavior w:val="content"/>
        </w:behaviors>
        <w:description w:val=""/>
        <w:guid w:val="{9DD8246A-FFBB-43F9-B660-C09AE97177CE}"/>
      </w:docPartPr>
      <w:docPartBody>
        <w:p>
          <w:pPr>
            <w:pStyle w:val="5"/>
          </w:pPr>
          <w:r>
            <w:rPr>
              <w:rStyle w:val="4"/>
              <w:rFonts w:hint="eastAsia"/>
            </w:rPr>
            <w:t>单击或点击此处输入文字。</w:t>
          </w:r>
        </w:p>
      </w:docPartBody>
    </w:docPart>
    <w:docPart>
      <w:docPartPr>
        <w:name w:val="6732BF0F3C8D49FBB5387700B7434CE5"/>
        <w:style w:val=""/>
        <w:category>
          <w:name w:val="常规"/>
          <w:gallery w:val="placeholder"/>
        </w:category>
        <w:types>
          <w:type w:val="bbPlcHdr"/>
        </w:types>
        <w:behaviors>
          <w:behavior w:val="content"/>
        </w:behaviors>
        <w:description w:val=""/>
        <w:guid w:val="{22F3F02F-BED7-4771-9DBB-4E491340323D}"/>
      </w:docPartPr>
      <w:docPartBody>
        <w:p>
          <w:pPr>
            <w:pStyle w:val="6"/>
          </w:pPr>
          <w:r>
            <w:rPr>
              <w:rStyle w:val="4"/>
              <w:rFonts w:hint="eastAsia"/>
            </w:rPr>
            <w:t>选择一项。</w:t>
          </w:r>
        </w:p>
      </w:docPartBody>
    </w:docPart>
    <w:docPart>
      <w:docPartPr>
        <w:name w:val="72B01A0ED19740399A2E8DD1A2FC6B16"/>
        <w:style w:val=""/>
        <w:category>
          <w:name w:val="常规"/>
          <w:gallery w:val="placeholder"/>
        </w:category>
        <w:types>
          <w:type w:val="bbPlcHdr"/>
        </w:types>
        <w:behaviors>
          <w:behavior w:val="content"/>
        </w:behaviors>
        <w:description w:val=""/>
        <w:guid w:val="{43BC41E0-09B5-45B3-AB31-97A55B0AAD3E}"/>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6D"/>
    <w:rsid w:val="002F396D"/>
    <w:rsid w:val="008A1F18"/>
    <w:rsid w:val="00B15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5369044FEDD4D44913D11A3B793D2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732BF0F3C8D49FBB5387700B7434CE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2B01A0ED19740399A2E8DD1A2FC6B1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6</Pages>
  <Words>631</Words>
  <Characters>3599</Characters>
  <Lines>29</Lines>
  <Paragraphs>8</Paragraphs>
  <TotalTime>329</TotalTime>
  <ScaleCrop>false</ScaleCrop>
  <LinksUpToDate>false</LinksUpToDate>
  <CharactersWithSpaces>4222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2021-11-15T07:20:00Z</dcterms:created>
  <dc:creator>Administrator</dc:creator>
  <dc:description>&lt;config cover="true" show_menu="true" version="1.0.0" doctype="SDKXY"&gt;_x000d_
&lt;/config&gt;</dc:description>
  <cp:lastModifiedBy>方兴艾业</cp:lastModifiedBy>
  <cp:lastPrinted>2021-02-02T08:22:00Z</cp:lastPrinted>
  <dcterms:modified xsi:type="dcterms:W3CDTF">2021-11-16T06:03:15Z</dcterms:modified>
  <dc:title>团体标准</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ies>
</file>