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firstLine="0" w:firstLineChars="0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宜宾市标准化促进协会团体标准</w:t>
      </w:r>
    </w:p>
    <w:p>
      <w:pPr>
        <w:pStyle w:val="13"/>
        <w:ind w:firstLine="0" w:firstLineChars="0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《</w:t>
      </w:r>
      <w:r>
        <w:rPr>
          <w:rFonts w:hint="eastAsia" w:ascii="Times New Roman" w:eastAsia="方正小标宋简体"/>
          <w:sz w:val="44"/>
          <w:szCs w:val="44"/>
          <w:lang w:val="en-US" w:eastAsia="zh-CN"/>
        </w:rPr>
        <w:t>李庄白糕</w:t>
      </w:r>
      <w:r>
        <w:rPr>
          <w:rFonts w:ascii="Times New Roman" w:eastAsia="方正小标宋简体"/>
          <w:sz w:val="44"/>
          <w:szCs w:val="44"/>
        </w:rPr>
        <w:t>》</w:t>
      </w:r>
    </w:p>
    <w:p>
      <w:pPr>
        <w:pStyle w:val="13"/>
        <w:ind w:firstLine="0" w:firstLineChars="0"/>
        <w:jc w:val="center"/>
        <w:rPr>
          <w:rFonts w:ascii="Times New Roman" w:eastAsia="方正小标宋简体"/>
          <w:sz w:val="44"/>
          <w:szCs w:val="44"/>
        </w:rPr>
      </w:pPr>
    </w:p>
    <w:p>
      <w:pPr>
        <w:pStyle w:val="13"/>
        <w:ind w:firstLine="0" w:firstLineChars="0"/>
        <w:jc w:val="center"/>
        <w:rPr>
          <w:rFonts w:ascii="Times New Roman" w:eastAsia="方正小标宋简体"/>
          <w:sz w:val="44"/>
          <w:szCs w:val="44"/>
        </w:rPr>
      </w:pPr>
    </w:p>
    <w:p>
      <w:pPr>
        <w:pStyle w:val="13"/>
        <w:ind w:firstLine="0" w:firstLineChars="0"/>
        <w:jc w:val="center"/>
        <w:rPr>
          <w:rFonts w:ascii="Times New Roman" w:eastAsia="方正小标宋简体"/>
          <w:sz w:val="44"/>
          <w:szCs w:val="44"/>
        </w:rPr>
      </w:pPr>
    </w:p>
    <w:p>
      <w:pPr>
        <w:pStyle w:val="13"/>
        <w:ind w:firstLine="0" w:firstLineChars="0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编制说明</w:t>
      </w:r>
    </w:p>
    <w:p>
      <w:pPr>
        <w:pStyle w:val="13"/>
        <w:ind w:firstLine="0" w:firstLineChars="0"/>
        <w:jc w:val="center"/>
        <w:rPr>
          <w:rFonts w:ascii="Times New Roman" w:eastAsia="方正小标宋简体"/>
          <w:sz w:val="44"/>
          <w:szCs w:val="44"/>
        </w:rPr>
      </w:pPr>
    </w:p>
    <w:p>
      <w:pPr>
        <w:pStyle w:val="13"/>
        <w:ind w:firstLine="0" w:firstLineChars="0"/>
        <w:jc w:val="center"/>
        <w:rPr>
          <w:rFonts w:ascii="Times New Roman" w:eastAsia="方正小标宋简体"/>
          <w:sz w:val="44"/>
          <w:szCs w:val="44"/>
        </w:rPr>
      </w:pPr>
    </w:p>
    <w:p>
      <w:pPr>
        <w:pStyle w:val="13"/>
        <w:ind w:firstLine="0" w:firstLineChars="0"/>
        <w:jc w:val="center"/>
        <w:rPr>
          <w:rFonts w:ascii="Times New Roman" w:eastAsia="方正小标宋简体"/>
          <w:sz w:val="44"/>
          <w:szCs w:val="44"/>
        </w:rPr>
      </w:pPr>
    </w:p>
    <w:p>
      <w:pPr>
        <w:pStyle w:val="13"/>
        <w:ind w:firstLine="0" w:firstLineChars="0"/>
        <w:jc w:val="center"/>
        <w:rPr>
          <w:rFonts w:ascii="Times New Roman" w:eastAsia="方正小标宋简体"/>
          <w:sz w:val="44"/>
          <w:szCs w:val="44"/>
        </w:rPr>
      </w:pPr>
    </w:p>
    <w:p>
      <w:pPr>
        <w:pStyle w:val="13"/>
        <w:ind w:firstLine="0" w:firstLineChars="0"/>
        <w:rPr>
          <w:rFonts w:ascii="Times New Roman" w:eastAsia="方正小标宋简体"/>
          <w:sz w:val="44"/>
          <w:szCs w:val="44"/>
        </w:rPr>
      </w:pPr>
    </w:p>
    <w:p>
      <w:pPr>
        <w:pStyle w:val="13"/>
        <w:ind w:firstLine="0" w:firstLineChars="0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标准起草工作组</w:t>
      </w:r>
    </w:p>
    <w:p>
      <w:pPr>
        <w:pStyle w:val="13"/>
        <w:ind w:firstLine="0" w:firstLineChars="0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二〇二一年十月</w:t>
      </w:r>
    </w:p>
    <w:p>
      <w:pPr>
        <w:pStyle w:val="13"/>
        <w:ind w:firstLine="480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br w:type="page"/>
      </w:r>
    </w:p>
    <w:p>
      <w:pPr>
        <w:pStyle w:val="13"/>
        <w:spacing w:line="560" w:lineRule="exact"/>
        <w:ind w:firstLine="640"/>
        <w:jc w:val="left"/>
        <w:outlineLvl w:val="0"/>
        <w:rPr>
          <w:rFonts w:asci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一、工作简况</w:t>
      </w:r>
    </w:p>
    <w:p>
      <w:pPr>
        <w:pStyle w:val="13"/>
        <w:spacing w:line="560" w:lineRule="exact"/>
        <w:ind w:firstLine="640"/>
        <w:jc w:val="left"/>
        <w:outlineLvl w:val="1"/>
        <w:rPr>
          <w:rFonts w:ascii="Times New Roman" w:eastAsia="楷体"/>
          <w:sz w:val="32"/>
          <w:szCs w:val="32"/>
        </w:rPr>
      </w:pPr>
      <w:r>
        <w:rPr>
          <w:rFonts w:ascii="Times New Roman" w:eastAsia="楷体"/>
          <w:sz w:val="32"/>
          <w:szCs w:val="32"/>
        </w:rPr>
        <w:t>（一）任务来源</w:t>
      </w:r>
    </w:p>
    <w:p>
      <w:pPr>
        <w:pStyle w:val="13"/>
        <w:spacing w:line="360" w:lineRule="auto"/>
        <w:ind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李庄白糕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是四川宜宾的特产，李庄白糕主料是采用优质糯米经炒熟后，加进一些能帮助消化的中药材如淮山等，再磨成细粉加入白糖后，用模具压制成型，若是加入炒熟磨细的芝麻则称为"麻糕"</w:t>
      </w:r>
      <w:r>
        <w:rPr>
          <w:rFonts w:ascii="Times New Roman" w:eastAsia="仿宋_GB2312"/>
          <w:sz w:val="32"/>
          <w:szCs w:val="32"/>
        </w:rPr>
        <w:t>。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李庄白糕作为李庄古镇“三白”之一，</w:t>
      </w:r>
      <w:r>
        <w:rPr>
          <w:rFonts w:ascii="Times New Roman" w:eastAsia="仿宋_GB2312"/>
          <w:sz w:val="32"/>
          <w:szCs w:val="32"/>
        </w:rPr>
        <w:t>已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成为当地旅游特色食品</w:t>
      </w:r>
      <w:r>
        <w:rPr>
          <w:rFonts w:ascii="Times New Roman" w:eastAsia="仿宋_GB2312"/>
          <w:sz w:val="32"/>
          <w:szCs w:val="32"/>
        </w:rPr>
        <w:t>，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也因此闻名。为</w:t>
      </w:r>
      <w:r>
        <w:rPr>
          <w:rFonts w:ascii="Times New Roman" w:eastAsia="仿宋_GB2312"/>
          <w:sz w:val="32"/>
          <w:szCs w:val="32"/>
        </w:rPr>
        <w:t>进一步加强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李庄白糕的</w:t>
      </w:r>
      <w:r>
        <w:rPr>
          <w:rFonts w:ascii="Times New Roman" w:eastAsia="仿宋_GB2312"/>
          <w:sz w:val="32"/>
          <w:szCs w:val="32"/>
        </w:rPr>
        <w:t>生产管理，保障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李庄白糕的产品质量</w:t>
      </w:r>
      <w:r>
        <w:rPr>
          <w:rFonts w:ascii="Times New Roman" w:eastAsia="仿宋_GB2312"/>
          <w:sz w:val="32"/>
          <w:szCs w:val="32"/>
        </w:rPr>
        <w:t>，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使其风味和口感达到更佳的状态，</w:t>
      </w:r>
      <w:r>
        <w:rPr>
          <w:rFonts w:ascii="Times New Roman" w:eastAsia="仿宋_GB2312"/>
          <w:sz w:val="32"/>
          <w:szCs w:val="32"/>
        </w:rPr>
        <w:t>宜宾市标准促进协会经过对《</w:t>
      </w:r>
      <w:r>
        <w:rPr>
          <w:rFonts w:hint="eastAsia" w:ascii="Times New Roman" w:eastAsia="仿宋_GB2312"/>
          <w:sz w:val="32"/>
          <w:szCs w:val="32"/>
        </w:rPr>
        <w:t>李庄白糕</w:t>
      </w:r>
      <w:r>
        <w:rPr>
          <w:rFonts w:ascii="Times New Roman" w:eastAsia="仿宋_GB2312"/>
          <w:sz w:val="32"/>
          <w:szCs w:val="32"/>
        </w:rPr>
        <w:t>》团体标准公开征集、自愿申报及立项论证等程序，批准《</w:t>
      </w:r>
      <w:r>
        <w:rPr>
          <w:rFonts w:hint="eastAsia" w:ascii="Times New Roman" w:eastAsia="仿宋_GB2312"/>
          <w:sz w:val="32"/>
          <w:szCs w:val="32"/>
        </w:rPr>
        <w:t>李庄白糕</w:t>
      </w:r>
      <w:r>
        <w:rPr>
          <w:rFonts w:ascii="Times New Roman" w:eastAsia="仿宋_GB2312"/>
          <w:sz w:val="32"/>
          <w:szCs w:val="32"/>
        </w:rPr>
        <w:t>》团体标准立项，标准立项的公告为宜标促发〔2021〕0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eastAsia="仿宋_GB2312"/>
          <w:sz w:val="32"/>
          <w:szCs w:val="32"/>
        </w:rPr>
        <w:t>号。</w:t>
      </w:r>
    </w:p>
    <w:p>
      <w:pPr>
        <w:pStyle w:val="13"/>
        <w:spacing w:line="560" w:lineRule="exact"/>
        <w:ind w:firstLine="640"/>
        <w:jc w:val="left"/>
        <w:outlineLvl w:val="1"/>
        <w:rPr>
          <w:rFonts w:ascii="Times New Roman" w:eastAsia="楷体"/>
          <w:sz w:val="32"/>
          <w:szCs w:val="32"/>
        </w:rPr>
      </w:pPr>
      <w:r>
        <w:rPr>
          <w:rFonts w:ascii="Times New Roman" w:eastAsia="楷体"/>
          <w:sz w:val="32"/>
          <w:szCs w:val="32"/>
        </w:rPr>
        <w:t>（二）编制单位</w:t>
      </w:r>
    </w:p>
    <w:p>
      <w:pPr>
        <w:pStyle w:val="13"/>
        <w:spacing w:line="560" w:lineRule="exact"/>
        <w:ind w:firstLine="640"/>
        <w:jc w:val="left"/>
        <w:outlineLvl w:val="1"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</w:rPr>
        <w:t>李庄镇人民政府、宜宾市标准化促进会、宜宾市粮油质量监测站、宜宾市翠屏区市场监督管理局</w:t>
      </w:r>
      <w:r>
        <w:rPr>
          <w:rFonts w:hint="eastAsia" w:ascii="Times New Roman" w:eastAsia="仿宋_GB2312"/>
          <w:sz w:val="32"/>
          <w:szCs w:val="32"/>
          <w:lang w:eastAsia="zh-CN"/>
        </w:rPr>
        <w:t>。</w:t>
      </w:r>
    </w:p>
    <w:p>
      <w:pPr>
        <w:pStyle w:val="13"/>
        <w:spacing w:line="560" w:lineRule="exact"/>
        <w:ind w:firstLine="640"/>
        <w:jc w:val="left"/>
        <w:outlineLvl w:val="1"/>
        <w:rPr>
          <w:rFonts w:ascii="Times New Roman" w:eastAsia="楷体"/>
          <w:sz w:val="32"/>
          <w:szCs w:val="32"/>
        </w:rPr>
      </w:pPr>
      <w:r>
        <w:rPr>
          <w:rFonts w:ascii="Times New Roman" w:eastAsia="楷体"/>
          <w:sz w:val="32"/>
          <w:szCs w:val="32"/>
        </w:rPr>
        <w:t>（三）制（修）订标准的必要性、目的和意义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1、必要性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李庄白糕是四川宜宾特有的产品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和李庄白肉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、李庄白酒称为李庄三白，李庄“三白”美食名满天下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李庄白糕</w:t>
      </w:r>
      <w:r>
        <w:rPr>
          <w:rFonts w:hint="eastAsia" w:ascii="仿宋_GB2312" w:hAnsi="仿宋_GB2312" w:eastAsia="仿宋_GB2312" w:cs="仿宋_GB2312"/>
          <w:sz w:val="30"/>
          <w:szCs w:val="30"/>
        </w:rPr>
        <w:t>已不可或缺地成为了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当地旅游业</w:t>
      </w:r>
      <w:r>
        <w:rPr>
          <w:rFonts w:hint="eastAsia" w:ascii="仿宋_GB2312" w:hAnsi="仿宋_GB2312" w:eastAsia="仿宋_GB2312" w:cs="仿宋_GB2312"/>
          <w:sz w:val="30"/>
          <w:szCs w:val="30"/>
        </w:rPr>
        <w:t>重要组成，不同程度地</w:t>
      </w:r>
      <w:r>
        <w:rPr>
          <w:rFonts w:ascii="仿宋_GB2312" w:hAnsi="仿宋_GB2312" w:eastAsia="仿宋_GB2312" w:cs="仿宋_GB2312"/>
          <w:sz w:val="30"/>
          <w:szCs w:val="30"/>
        </w:rPr>
        <w:t>满足个性化和差异化的市场需求</w:t>
      </w:r>
      <w:r>
        <w:rPr>
          <w:rFonts w:hint="eastAsia" w:ascii="仿宋_GB2312" w:hAnsi="仿宋_GB2312" w:eastAsia="仿宋_GB2312" w:cs="仿宋_GB2312"/>
          <w:sz w:val="30"/>
          <w:szCs w:val="30"/>
        </w:rPr>
        <w:t>，并且成为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食品和旅游业</w:t>
      </w:r>
      <w:r>
        <w:rPr>
          <w:rFonts w:hint="eastAsia" w:ascii="仿宋_GB2312" w:hAnsi="仿宋_GB2312" w:eastAsia="仿宋_GB2312" w:cs="仿宋_GB2312"/>
          <w:sz w:val="30"/>
          <w:szCs w:val="30"/>
        </w:rPr>
        <w:t>增加收入的途径之一。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为对李庄白糕的基本要求、技术要求、试验方法、检验规则、标签、标志、包装、贮存、销售、运输等方面作进一步的规范，保证其产品具有更高质量，扩宽李庄白糕的销路，给李庄白糕树立规范依据，</w:t>
      </w:r>
      <w:r>
        <w:rPr>
          <w:rFonts w:hint="eastAsia" w:ascii="仿宋_GB2312" w:hAnsi="仿宋_GB2312" w:eastAsia="仿宋_GB2312" w:cs="仿宋_GB2312"/>
          <w:sz w:val="30"/>
          <w:szCs w:val="30"/>
        </w:rPr>
        <w:t>规范化生产，形成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李庄白糕</w:t>
      </w:r>
      <w:r>
        <w:rPr>
          <w:rFonts w:hint="eastAsia" w:ascii="仿宋_GB2312" w:hAnsi="仿宋_GB2312" w:eastAsia="仿宋_GB2312" w:cs="仿宋_GB2312"/>
          <w:sz w:val="30"/>
          <w:szCs w:val="30"/>
        </w:rPr>
        <w:t>品牌效应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sz w:val="30"/>
          <w:szCs w:val="30"/>
        </w:rPr>
        <w:t>知名度。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且目前李庄白糕尚未建立相关标准，现在</w:t>
      </w:r>
      <w:r>
        <w:rPr>
          <w:rFonts w:hint="eastAsia" w:ascii="仿宋_GB2312" w:hAnsi="仿宋_GB2312" w:eastAsia="仿宋_GB2312" w:cs="仿宋_GB2312"/>
          <w:sz w:val="30"/>
          <w:szCs w:val="30"/>
        </w:rPr>
        <w:t>迫切需要制定相应标准来规范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李庄白糕和保障白糕的质量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56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2、目的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为企业提供生产依据，规范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李庄白糕</w:t>
      </w:r>
      <w:r>
        <w:rPr>
          <w:rFonts w:hint="eastAsia" w:ascii="仿宋_GB2312" w:hAnsi="仿宋_GB2312" w:eastAsia="仿宋_GB2312" w:cs="仿宋_GB2312"/>
          <w:sz w:val="30"/>
          <w:szCs w:val="30"/>
        </w:rPr>
        <w:t>的生产，拓宽宜宾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白糕</w:t>
      </w:r>
      <w:r>
        <w:rPr>
          <w:rFonts w:hint="eastAsia" w:ascii="仿宋_GB2312" w:hAnsi="仿宋_GB2312" w:eastAsia="仿宋_GB2312" w:cs="仿宋_GB2312"/>
          <w:sz w:val="30"/>
          <w:szCs w:val="30"/>
        </w:rPr>
        <w:t>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</w:t>
      </w:r>
      <w:r>
        <w:rPr>
          <w:rFonts w:hint="eastAsia" w:ascii="仿宋_GB2312" w:hAnsi="仿宋_GB2312" w:eastAsia="仿宋_GB2312" w:cs="仿宋_GB2312"/>
          <w:sz w:val="30"/>
          <w:szCs w:val="30"/>
        </w:rPr>
        <w:t>线；同时为提高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李庄白糕</w:t>
      </w:r>
      <w:r>
        <w:rPr>
          <w:rFonts w:hint="eastAsia" w:ascii="仿宋_GB2312" w:hAnsi="仿宋_GB2312" w:eastAsia="仿宋_GB2312" w:cs="仿宋_GB2312"/>
          <w:sz w:val="30"/>
          <w:szCs w:val="30"/>
        </w:rPr>
        <w:t>的品质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提升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李庄白糕</w:t>
      </w:r>
      <w:r>
        <w:rPr>
          <w:rFonts w:hint="eastAsia" w:ascii="仿宋_GB2312" w:hAnsi="仿宋_GB2312" w:eastAsia="仿宋_GB2312" w:cs="仿宋_GB2312"/>
          <w:sz w:val="30"/>
          <w:szCs w:val="30"/>
        </w:rPr>
        <w:t>品牌知名度和影响力，促进宜宾地区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白糕</w:t>
      </w:r>
      <w:r>
        <w:rPr>
          <w:rFonts w:hint="eastAsia" w:ascii="仿宋_GB2312" w:hAnsi="仿宋_GB2312" w:eastAsia="仿宋_GB2312" w:cs="仿宋_GB2312"/>
          <w:sz w:val="30"/>
          <w:szCs w:val="30"/>
        </w:rPr>
        <w:t>生产持续健康地发展。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3、意义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李庄白糕</w:t>
      </w:r>
      <w:r>
        <w:rPr>
          <w:rFonts w:hint="eastAsia" w:ascii="仿宋_GB2312" w:hAnsi="仿宋_GB2312" w:eastAsia="仿宋_GB2312" w:cs="仿宋_GB2312"/>
          <w:sz w:val="30"/>
          <w:szCs w:val="30"/>
        </w:rPr>
        <w:t>》团体标准发布后，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白糕制作</w:t>
      </w:r>
      <w:r>
        <w:rPr>
          <w:rFonts w:hint="eastAsia" w:ascii="仿宋_GB2312" w:hAnsi="仿宋_GB2312" w:eastAsia="仿宋_GB2312" w:cs="仿宋_GB2312"/>
          <w:sz w:val="30"/>
          <w:szCs w:val="30"/>
        </w:rPr>
        <w:t>企业能更好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地依据标准制作出风味和质量更佳</w:t>
      </w:r>
      <w:r>
        <w:rPr>
          <w:rFonts w:hint="eastAsia" w:ascii="仿宋_GB2312" w:hAnsi="仿宋_GB2312" w:eastAsia="仿宋_GB2312" w:cs="仿宋_GB2312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李庄白糕</w:t>
      </w:r>
      <w:r>
        <w:rPr>
          <w:rFonts w:hint="eastAsia" w:ascii="仿宋_GB2312" w:hAnsi="仿宋_GB2312" w:eastAsia="仿宋_GB2312" w:cs="仿宋_GB2312"/>
          <w:sz w:val="30"/>
          <w:szCs w:val="30"/>
        </w:rPr>
        <w:t>，生产出符合标准的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白糕</w:t>
      </w:r>
      <w:r>
        <w:rPr>
          <w:rFonts w:hint="eastAsia" w:ascii="仿宋_GB2312" w:hAnsi="仿宋_GB2312" w:eastAsia="仿宋_GB2312" w:cs="仿宋_GB2312"/>
          <w:sz w:val="30"/>
          <w:szCs w:val="30"/>
        </w:rPr>
        <w:t>产品，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白糕</w:t>
      </w:r>
      <w:r>
        <w:rPr>
          <w:rFonts w:hint="eastAsia" w:ascii="仿宋_GB2312" w:hAnsi="仿宋_GB2312" w:eastAsia="仿宋_GB2312" w:cs="仿宋_GB2312"/>
          <w:sz w:val="30"/>
          <w:szCs w:val="30"/>
        </w:rPr>
        <w:t>的质量评价检测有标准可循，消费者的权益能得到保障，同时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为李庄白糕的</w:t>
      </w:r>
      <w:r>
        <w:rPr>
          <w:rFonts w:hint="eastAsia" w:ascii="仿宋_GB2312" w:hAnsi="仿宋_GB2312" w:eastAsia="仿宋_GB2312" w:cs="仿宋_GB2312"/>
          <w:sz w:val="30"/>
          <w:szCs w:val="30"/>
        </w:rPr>
        <w:t>品牌发展建设打下坚实基础。</w:t>
      </w:r>
    </w:p>
    <w:p>
      <w:pPr>
        <w:pStyle w:val="13"/>
        <w:spacing w:line="560" w:lineRule="exact"/>
        <w:ind w:firstLine="640"/>
        <w:jc w:val="left"/>
        <w:outlineLvl w:val="1"/>
        <w:rPr>
          <w:rFonts w:ascii="Times New Roman" w:eastAsia="楷体"/>
          <w:sz w:val="32"/>
          <w:szCs w:val="32"/>
        </w:rPr>
      </w:pPr>
      <w:r>
        <w:rPr>
          <w:rFonts w:ascii="Times New Roman" w:eastAsia="楷体"/>
          <w:sz w:val="32"/>
          <w:szCs w:val="32"/>
        </w:rPr>
        <w:t>（四）主要工作过程</w:t>
      </w:r>
    </w:p>
    <w:p>
      <w:pPr>
        <w:pStyle w:val="13"/>
        <w:spacing w:line="560" w:lineRule="exact"/>
        <w:ind w:firstLine="643"/>
        <w:jc w:val="left"/>
        <w:outlineLvl w:val="2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1.项目立项</w:t>
      </w:r>
    </w:p>
    <w:p>
      <w:pPr>
        <w:pStyle w:val="5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2021年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kern w:val="0"/>
          <w:sz w:val="32"/>
          <w:szCs w:val="32"/>
        </w:rPr>
        <w:t>月，</w:t>
      </w:r>
      <w:r>
        <w:rPr>
          <w:rFonts w:eastAsia="仿宋_GB2312"/>
          <w:sz w:val="32"/>
          <w:szCs w:val="32"/>
        </w:rPr>
        <w:t>宜宾市标准化促进协会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对</w:t>
      </w:r>
      <w:r>
        <w:rPr>
          <w:rFonts w:eastAsia="仿宋_GB2312"/>
          <w:kern w:val="0"/>
          <w:sz w:val="32"/>
          <w:szCs w:val="32"/>
        </w:rPr>
        <w:t>本标准的立项申请批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准</w:t>
      </w:r>
      <w:r>
        <w:rPr>
          <w:rFonts w:eastAsia="仿宋_GB2312"/>
          <w:kern w:val="0"/>
          <w:sz w:val="32"/>
          <w:szCs w:val="32"/>
        </w:rPr>
        <w:t>立项。</w:t>
      </w:r>
    </w:p>
    <w:p>
      <w:pPr>
        <w:pStyle w:val="13"/>
        <w:spacing w:line="560" w:lineRule="exact"/>
        <w:ind w:firstLine="643"/>
        <w:jc w:val="left"/>
        <w:outlineLvl w:val="2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2.成立标准起草工作组</w:t>
      </w:r>
    </w:p>
    <w:p>
      <w:pPr>
        <w:pStyle w:val="5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2021年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kern w:val="0"/>
          <w:sz w:val="32"/>
          <w:szCs w:val="32"/>
        </w:rPr>
        <w:t xml:space="preserve">月， </w:t>
      </w:r>
      <w:r>
        <w:rPr>
          <w:rFonts w:hint="eastAsia" w:ascii="Times New Roman" w:eastAsia="仿宋_GB2312"/>
          <w:sz w:val="32"/>
          <w:szCs w:val="32"/>
        </w:rPr>
        <w:t>李庄镇人民政府、宜宾市标准化促进会、宜宾市粮油质量监测站、宜宾市翠屏区市场监督管理局</w:t>
      </w:r>
      <w:r>
        <w:rPr>
          <w:rFonts w:eastAsia="仿宋_GB2312"/>
          <w:kern w:val="0"/>
          <w:sz w:val="32"/>
          <w:szCs w:val="32"/>
        </w:rPr>
        <w:t>等联合成立标准起草工作组，明确共同研制团体标准等相关事宜，并对标准编制工作进行总体部署。</w:t>
      </w:r>
    </w:p>
    <w:p>
      <w:pPr>
        <w:pStyle w:val="13"/>
        <w:spacing w:line="560" w:lineRule="exact"/>
        <w:ind w:firstLine="643"/>
        <w:jc w:val="left"/>
        <w:outlineLvl w:val="2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 xml:space="preserve">3.前期调研和资料收集 </w:t>
      </w:r>
    </w:p>
    <w:p>
      <w:pPr>
        <w:pStyle w:val="5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2021年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kern w:val="0"/>
          <w:sz w:val="32"/>
          <w:szCs w:val="32"/>
        </w:rPr>
        <w:t>月-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kern w:val="0"/>
          <w:sz w:val="32"/>
          <w:szCs w:val="32"/>
        </w:rPr>
        <w:t>月，起草工作组多次到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李庄古镇</w:t>
      </w:r>
      <w:r>
        <w:rPr>
          <w:rFonts w:eastAsia="仿宋_GB2312"/>
          <w:kern w:val="0"/>
          <w:sz w:val="32"/>
          <w:szCs w:val="32"/>
        </w:rPr>
        <w:t>、宜宾市</w:t>
      </w:r>
      <w:r>
        <w:rPr>
          <w:rFonts w:hint="eastAsia" w:ascii="Times New Roman" w:eastAsia="仿宋_GB2312"/>
          <w:sz w:val="32"/>
          <w:szCs w:val="32"/>
        </w:rPr>
        <w:t>翠屏区市场监督管理局</w:t>
      </w:r>
      <w:r>
        <w:rPr>
          <w:rFonts w:eastAsia="仿宋_GB2312"/>
          <w:kern w:val="0"/>
          <w:sz w:val="32"/>
          <w:szCs w:val="32"/>
        </w:rPr>
        <w:t>调研了解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李庄白糕</w:t>
      </w:r>
      <w:r>
        <w:rPr>
          <w:rFonts w:eastAsia="仿宋_GB2312"/>
          <w:kern w:val="0"/>
          <w:sz w:val="32"/>
          <w:szCs w:val="32"/>
        </w:rPr>
        <w:t>的产业发展以及产品相关法律法规以及产品标准情况。此后，起草工作组通过电话、微信、短信等方式与相关专家保持交流沟通，讨论标准名称、框架及相关内容，通过以上工作的准备，为标准内容的详实性、可行性奠定了基础。</w:t>
      </w:r>
    </w:p>
    <w:p>
      <w:pPr>
        <w:pStyle w:val="13"/>
        <w:spacing w:line="560" w:lineRule="exact"/>
        <w:ind w:firstLine="643"/>
        <w:jc w:val="left"/>
        <w:outlineLvl w:val="2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4.标准起草</w:t>
      </w:r>
    </w:p>
    <w:p>
      <w:pPr>
        <w:pStyle w:val="5"/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eastAsia="仿宋_GB2312"/>
          <w:kern w:val="0"/>
          <w:sz w:val="32"/>
          <w:szCs w:val="32"/>
        </w:rPr>
        <w:t>2021年9月，起草工作组梳理分析收集的资料，结合调研情况，形成标准初稿，且针对存在的问题、多次召开内部会议，并邀请专家对标准的框架、技术内容进行详细讨论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2021年10月</w:t>
      </w:r>
      <w:r>
        <w:rPr>
          <w:rFonts w:eastAsia="仿宋_GB2312"/>
          <w:kern w:val="0"/>
          <w:sz w:val="32"/>
          <w:szCs w:val="32"/>
        </w:rPr>
        <w:t>，起草工作组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kern w:val="0"/>
          <w:sz w:val="32"/>
          <w:szCs w:val="32"/>
        </w:rPr>
        <w:t>部门的相关专家就标准初稿进行讨论。会上，经过讨论确定了检测指标，会后修改标准，形成了标准征求意见稿。</w:t>
      </w:r>
    </w:p>
    <w:p>
      <w:pPr>
        <w:pStyle w:val="13"/>
        <w:spacing w:line="560" w:lineRule="exact"/>
        <w:ind w:firstLine="643"/>
        <w:jc w:val="left"/>
        <w:outlineLvl w:val="2"/>
        <w:rPr>
          <w:rFonts w:ascii="Times New Roman" w:eastAsia="仿宋_GB2312"/>
          <w:b/>
          <w:bCs/>
          <w:sz w:val="32"/>
          <w:szCs w:val="32"/>
        </w:rPr>
      </w:pPr>
      <w:r>
        <w:rPr>
          <w:rFonts w:ascii="Times New Roman" w:eastAsia="仿宋_GB2312"/>
          <w:b/>
          <w:bCs/>
          <w:sz w:val="32"/>
          <w:szCs w:val="32"/>
        </w:rPr>
        <w:t>5.意见征求</w:t>
      </w:r>
    </w:p>
    <w:p>
      <w:pPr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kern w:val="0"/>
          <w:sz w:val="32"/>
          <w:szCs w:val="32"/>
        </w:rPr>
        <w:t>月，标准起草工作组将标准征求意见稿向相关专家征求意见，且通过全国团体标准信息平台征求意见，充分收集反馈意见并对标准进行修改和完善。</w:t>
      </w:r>
    </w:p>
    <w:p>
      <w:pPr>
        <w:pStyle w:val="13"/>
        <w:spacing w:line="560" w:lineRule="exact"/>
        <w:ind w:firstLine="640"/>
        <w:jc w:val="left"/>
        <w:outlineLvl w:val="0"/>
        <w:rPr>
          <w:rFonts w:asci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二、确定标准主要内容的依据</w:t>
      </w:r>
    </w:p>
    <w:p>
      <w:pPr>
        <w:pStyle w:val="13"/>
        <w:spacing w:line="560" w:lineRule="exact"/>
        <w:ind w:firstLine="640"/>
        <w:jc w:val="left"/>
        <w:outlineLvl w:val="1"/>
        <w:rPr>
          <w:rFonts w:ascii="Times New Roman" w:eastAsia="楷体"/>
          <w:sz w:val="32"/>
          <w:szCs w:val="32"/>
        </w:rPr>
      </w:pPr>
      <w:r>
        <w:rPr>
          <w:rFonts w:ascii="Times New Roman" w:eastAsia="楷体"/>
          <w:sz w:val="32"/>
          <w:szCs w:val="32"/>
        </w:rPr>
        <w:t>（一）编制原则</w:t>
      </w:r>
    </w:p>
    <w:p>
      <w:pPr>
        <w:pStyle w:val="13"/>
        <w:spacing w:line="560" w:lineRule="exact"/>
        <w:ind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1.符合《中华人民共和国标准化法》、《国家标准化管理委员会 民政部关于印发&lt;团体标准管理规定&gt;的通知》（国标委联</w:t>
      </w:r>
      <w:r>
        <w:rPr>
          <w:rFonts w:asci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〔2019〕1</w:t>
      </w:r>
      <w:r>
        <w:rPr>
          <w:rFonts w:ascii="Times New Roman" w:eastAsia="仿宋_GB2312"/>
          <w:sz w:val="32"/>
          <w:szCs w:val="32"/>
        </w:rPr>
        <w:t>号）和《宜宾市标准化促进会团体标准管理办法》等法律法规。</w:t>
      </w:r>
    </w:p>
    <w:p>
      <w:pPr>
        <w:pStyle w:val="13"/>
        <w:spacing w:line="560" w:lineRule="exact"/>
        <w:ind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2.编写严格按照GB/T 1.1-2020《标准化工作导则 第1部分：标准化文件的结构和起草规则》的规定起草。</w:t>
      </w:r>
    </w:p>
    <w:p>
      <w:pPr>
        <w:pStyle w:val="13"/>
        <w:spacing w:line="560" w:lineRule="exact"/>
        <w:ind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3.遵循科学性、先进性、适用性的基本原则。</w:t>
      </w:r>
    </w:p>
    <w:p>
      <w:pPr>
        <w:pStyle w:val="13"/>
        <w:spacing w:line="560" w:lineRule="exact"/>
        <w:ind w:firstLine="640"/>
        <w:jc w:val="left"/>
        <w:outlineLvl w:val="1"/>
        <w:rPr>
          <w:rFonts w:ascii="Times New Roman" w:eastAsia="楷体"/>
          <w:sz w:val="32"/>
          <w:szCs w:val="32"/>
        </w:rPr>
      </w:pPr>
      <w:r>
        <w:rPr>
          <w:rFonts w:ascii="Times New Roman" w:eastAsia="楷体"/>
          <w:sz w:val="32"/>
          <w:szCs w:val="32"/>
        </w:rPr>
        <w:t>（二）编制依据</w:t>
      </w:r>
    </w:p>
    <w:p>
      <w:pPr>
        <w:pStyle w:val="13"/>
        <w:spacing w:line="560" w:lineRule="exact"/>
        <w:ind w:firstLine="640"/>
        <w:jc w:val="left"/>
        <w:rPr>
          <w:rFonts w:hint="eastAsia"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标准编制过程中参考的主要文件及相关标准：</w:t>
      </w:r>
      <w:r>
        <w:rPr>
          <w:rFonts w:hint="eastAsia" w:ascii="Times New Roman" w:eastAsia="仿宋_GB2312"/>
          <w:sz w:val="32"/>
          <w:szCs w:val="32"/>
        </w:rPr>
        <w:t>GB/T 191包装储运图示标志</w:t>
      </w:r>
    </w:p>
    <w:p>
      <w:pPr>
        <w:pStyle w:val="13"/>
        <w:spacing w:line="560" w:lineRule="exact"/>
        <w:ind w:firstLine="640"/>
        <w:jc w:val="left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GB/T 317 白砂糖</w:t>
      </w:r>
    </w:p>
    <w:p>
      <w:pPr>
        <w:pStyle w:val="13"/>
        <w:spacing w:line="560" w:lineRule="exact"/>
        <w:ind w:firstLine="640"/>
        <w:jc w:val="left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GB/T 1354 大米</w:t>
      </w:r>
    </w:p>
    <w:p>
      <w:pPr>
        <w:pStyle w:val="13"/>
        <w:spacing w:line="560" w:lineRule="exact"/>
        <w:ind w:firstLine="640"/>
        <w:jc w:val="left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GB 2761 食品安全国家标准 食品中真菌毒素限量</w:t>
      </w:r>
    </w:p>
    <w:p>
      <w:pPr>
        <w:pStyle w:val="13"/>
        <w:spacing w:line="560" w:lineRule="exact"/>
        <w:ind w:firstLine="640"/>
        <w:jc w:val="left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GB 2762 食品安全国家标准 食品中污染物限量</w:t>
      </w:r>
    </w:p>
    <w:p>
      <w:pPr>
        <w:pStyle w:val="13"/>
        <w:spacing w:line="560" w:lineRule="exact"/>
        <w:ind w:firstLine="640"/>
        <w:jc w:val="left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 xml:space="preserve">GB 2763 食品安全国家标准 食品中农药最大残留限量 </w:t>
      </w:r>
    </w:p>
    <w:p>
      <w:pPr>
        <w:pStyle w:val="13"/>
        <w:spacing w:line="560" w:lineRule="exact"/>
        <w:ind w:firstLine="640"/>
        <w:jc w:val="left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GB 4806.1  食品安全国家标准 食品接触材料及制品通用安全要求</w:t>
      </w:r>
    </w:p>
    <w:p>
      <w:pPr>
        <w:pStyle w:val="13"/>
        <w:spacing w:line="560" w:lineRule="exact"/>
        <w:ind w:firstLine="640"/>
        <w:jc w:val="left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GB 5749 生活饮用水卫生标准</w:t>
      </w:r>
    </w:p>
    <w:p>
      <w:pPr>
        <w:pStyle w:val="13"/>
        <w:spacing w:line="560" w:lineRule="exact"/>
        <w:ind w:firstLine="640"/>
        <w:jc w:val="left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 xml:space="preserve">GB 5009.3 食品安全国家标准 食品中水分的测定 </w:t>
      </w:r>
    </w:p>
    <w:p>
      <w:pPr>
        <w:pStyle w:val="13"/>
        <w:spacing w:line="560" w:lineRule="exact"/>
        <w:ind w:firstLine="640"/>
        <w:jc w:val="left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 xml:space="preserve">GB 7718 食品安全国家标准 预包装食品标签通则 </w:t>
      </w:r>
    </w:p>
    <w:p>
      <w:pPr>
        <w:pStyle w:val="13"/>
        <w:spacing w:line="560" w:lineRule="exact"/>
        <w:ind w:firstLine="640"/>
        <w:jc w:val="left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GB/T 11761  芝麻</w:t>
      </w:r>
    </w:p>
    <w:p>
      <w:pPr>
        <w:pStyle w:val="13"/>
        <w:spacing w:line="560" w:lineRule="exact"/>
        <w:ind w:firstLine="640"/>
        <w:jc w:val="left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GB/T 20883 麦芽糖</w:t>
      </w:r>
    </w:p>
    <w:p>
      <w:pPr>
        <w:pStyle w:val="13"/>
        <w:spacing w:line="560" w:lineRule="exact"/>
        <w:ind w:firstLine="640"/>
        <w:jc w:val="left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 xml:space="preserve">GB/T 20977 糕点通则 </w:t>
      </w:r>
    </w:p>
    <w:p>
      <w:pPr>
        <w:pStyle w:val="13"/>
        <w:spacing w:line="560" w:lineRule="exact"/>
        <w:ind w:firstLine="640"/>
        <w:jc w:val="left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 xml:space="preserve">GB/T 23780 糕点质量检验方法 </w:t>
      </w:r>
    </w:p>
    <w:p>
      <w:pPr>
        <w:pStyle w:val="13"/>
        <w:spacing w:line="560" w:lineRule="exact"/>
        <w:ind w:firstLine="640"/>
        <w:jc w:val="left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 xml:space="preserve">GB 28050 食品安全国家标准 预包装食品营养标签通则 </w:t>
      </w:r>
    </w:p>
    <w:p>
      <w:pPr>
        <w:pStyle w:val="13"/>
        <w:spacing w:line="560" w:lineRule="exact"/>
        <w:ind w:firstLine="640"/>
        <w:jc w:val="left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GB 29921 食品安全国家标准 食品中致病菌限量</w:t>
      </w:r>
    </w:p>
    <w:p>
      <w:pPr>
        <w:pStyle w:val="13"/>
        <w:spacing w:line="560" w:lineRule="exact"/>
        <w:ind w:firstLine="640"/>
        <w:jc w:val="left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GB 31621 食品安全国家标准 食品经营过程卫生规范</w:t>
      </w:r>
    </w:p>
    <w:p>
      <w:pPr>
        <w:pStyle w:val="13"/>
        <w:spacing w:line="560" w:lineRule="exact"/>
        <w:ind w:firstLine="640"/>
        <w:jc w:val="left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JJF 1070 定量包装商品净含量计量检验规则</w:t>
      </w:r>
    </w:p>
    <w:p>
      <w:pPr>
        <w:pStyle w:val="13"/>
        <w:spacing w:line="560" w:lineRule="exact"/>
        <w:ind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T/YBAPS 0**  李庄白糕生产技术规范</w:t>
      </w:r>
    </w:p>
    <w:p>
      <w:pPr>
        <w:pStyle w:val="13"/>
        <w:spacing w:line="560" w:lineRule="exact"/>
        <w:ind w:firstLine="640"/>
        <w:jc w:val="left"/>
        <w:outlineLvl w:val="0"/>
        <w:rPr>
          <w:rFonts w:asci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三、主要技术内容的说明</w:t>
      </w:r>
    </w:p>
    <w:p>
      <w:pPr>
        <w:pStyle w:val="13"/>
        <w:spacing w:line="560" w:lineRule="exact"/>
        <w:ind w:firstLine="640"/>
        <w:jc w:val="left"/>
        <w:outlineLvl w:val="1"/>
        <w:rPr>
          <w:rFonts w:ascii="Times New Roman" w:eastAsia="楷体"/>
          <w:sz w:val="32"/>
          <w:szCs w:val="32"/>
        </w:rPr>
      </w:pPr>
      <w:r>
        <w:rPr>
          <w:rFonts w:hint="eastAsia" w:ascii="Times New Roman" w:eastAsia="楷体"/>
          <w:sz w:val="32"/>
          <w:szCs w:val="32"/>
        </w:rPr>
        <w:t>本文件规定了李庄白糕的术语和定义、产品分类、基本要求、技术要求、试验方法、检验规则、标签、标志、包装、贮存、销售、运输、服务规范及质量承诺。</w:t>
      </w:r>
    </w:p>
    <w:p>
      <w:pPr>
        <w:pStyle w:val="13"/>
        <w:spacing w:line="560" w:lineRule="exact"/>
        <w:ind w:firstLine="640"/>
        <w:jc w:val="left"/>
        <w:outlineLvl w:val="1"/>
        <w:rPr>
          <w:rFonts w:hint="eastAsia" w:ascii="Times New Roman" w:eastAsia="楷体"/>
          <w:sz w:val="32"/>
          <w:szCs w:val="32"/>
        </w:rPr>
      </w:pPr>
      <w:r>
        <w:rPr>
          <w:rFonts w:hint="eastAsia" w:ascii="Times New Roman" w:eastAsia="楷体"/>
          <w:sz w:val="32"/>
          <w:szCs w:val="32"/>
        </w:rPr>
        <w:t>本文件适用于宜宾市李庄白糕。</w:t>
      </w:r>
    </w:p>
    <w:p>
      <w:pPr>
        <w:pStyle w:val="13"/>
        <w:spacing w:line="560" w:lineRule="exact"/>
        <w:ind w:firstLine="640"/>
        <w:jc w:val="left"/>
        <w:outlineLvl w:val="1"/>
        <w:rPr>
          <w:rFonts w:ascii="Times New Roman" w:eastAsia="楷体"/>
          <w:sz w:val="32"/>
          <w:szCs w:val="32"/>
        </w:rPr>
      </w:pPr>
      <w:r>
        <w:rPr>
          <w:rFonts w:ascii="Times New Roman" w:eastAsia="楷体"/>
          <w:sz w:val="32"/>
          <w:szCs w:val="32"/>
        </w:rPr>
        <w:t>（一）术语和定义</w:t>
      </w:r>
    </w:p>
    <w:p>
      <w:pPr>
        <w:pStyle w:val="13"/>
        <w:spacing w:line="560" w:lineRule="exact"/>
        <w:ind w:firstLine="640"/>
        <w:jc w:val="left"/>
        <w:outlineLvl w:val="1"/>
        <w:rPr>
          <w:rFonts w:hint="eastAsia" w:ascii="Times New Roman" w:eastAsia="楷体"/>
          <w:sz w:val="32"/>
          <w:szCs w:val="32"/>
        </w:rPr>
      </w:pPr>
      <w:r>
        <w:rPr>
          <w:rFonts w:hint="eastAsia" w:ascii="Times New Roman" w:eastAsia="楷体"/>
          <w:sz w:val="32"/>
          <w:szCs w:val="32"/>
        </w:rPr>
        <w:t>下列术语和定义适用于本文件。</w:t>
      </w:r>
    </w:p>
    <w:p>
      <w:pPr>
        <w:pStyle w:val="13"/>
        <w:spacing w:line="560" w:lineRule="exact"/>
        <w:ind w:firstLine="640"/>
        <w:jc w:val="left"/>
        <w:outlineLvl w:val="1"/>
        <w:rPr>
          <w:rFonts w:hint="eastAsia" w:ascii="Times New Roman" w:eastAsia="楷体"/>
          <w:sz w:val="32"/>
          <w:szCs w:val="32"/>
        </w:rPr>
      </w:pPr>
      <w:r>
        <w:rPr>
          <w:rFonts w:hint="eastAsia" w:ascii="Times New Roman" w:eastAsia="楷体"/>
          <w:sz w:val="32"/>
          <w:szCs w:val="32"/>
          <w:lang w:eastAsia="zh-CN"/>
        </w:rPr>
        <w:t>（</w:t>
      </w:r>
      <w:r>
        <w:rPr>
          <w:rFonts w:hint="eastAsia" w:ascii="Times New Roman" w:eastAsia="楷体"/>
          <w:sz w:val="32"/>
          <w:szCs w:val="32"/>
          <w:lang w:val="en-US" w:eastAsia="zh-CN"/>
        </w:rPr>
        <w:t>二）</w:t>
      </w:r>
      <w:r>
        <w:rPr>
          <w:rFonts w:hint="eastAsia" w:ascii="Times New Roman" w:eastAsia="楷体"/>
          <w:sz w:val="32"/>
          <w:szCs w:val="32"/>
        </w:rPr>
        <w:t>产品分类</w:t>
      </w:r>
    </w:p>
    <w:p>
      <w:pPr>
        <w:pStyle w:val="13"/>
        <w:spacing w:line="560" w:lineRule="exact"/>
        <w:ind w:firstLine="640"/>
        <w:jc w:val="left"/>
        <w:outlineLvl w:val="1"/>
        <w:rPr>
          <w:rFonts w:hint="eastAsia" w:ascii="Times New Roman" w:eastAsia="楷体"/>
          <w:sz w:val="32"/>
          <w:szCs w:val="32"/>
        </w:rPr>
      </w:pPr>
      <w:r>
        <w:rPr>
          <w:rFonts w:hint="eastAsia" w:ascii="Times New Roman" w:eastAsia="楷体"/>
          <w:sz w:val="32"/>
          <w:szCs w:val="32"/>
        </w:rPr>
        <w:t>按口味不同可分为：</w:t>
      </w:r>
    </w:p>
    <w:p>
      <w:pPr>
        <w:pStyle w:val="13"/>
        <w:spacing w:line="560" w:lineRule="exact"/>
        <w:ind w:firstLine="640"/>
        <w:jc w:val="left"/>
        <w:outlineLvl w:val="1"/>
        <w:rPr>
          <w:rFonts w:hint="eastAsia" w:ascii="Times New Roman" w:eastAsia="楷体"/>
          <w:sz w:val="32"/>
          <w:szCs w:val="32"/>
        </w:rPr>
      </w:pPr>
      <w:r>
        <w:rPr>
          <w:rFonts w:hint="eastAsia" w:ascii="Times New Roman" w:eastAsia="楷体"/>
          <w:sz w:val="32"/>
          <w:szCs w:val="32"/>
        </w:rPr>
        <w:t>李庄白糕；</w:t>
      </w:r>
    </w:p>
    <w:p>
      <w:pPr>
        <w:pStyle w:val="13"/>
        <w:spacing w:line="560" w:lineRule="exact"/>
        <w:ind w:firstLine="640"/>
        <w:jc w:val="left"/>
        <w:outlineLvl w:val="1"/>
        <w:rPr>
          <w:rFonts w:hint="eastAsia" w:ascii="Times New Roman" w:eastAsia="楷体"/>
          <w:sz w:val="32"/>
          <w:szCs w:val="32"/>
        </w:rPr>
      </w:pPr>
      <w:r>
        <w:rPr>
          <w:rFonts w:hint="eastAsia" w:ascii="Times New Roman" w:eastAsia="楷体"/>
          <w:sz w:val="32"/>
          <w:szCs w:val="32"/>
        </w:rPr>
        <w:t>天然风味类李庄白糕，如芝麻型、花生型、玫瑰味等。</w:t>
      </w:r>
    </w:p>
    <w:p>
      <w:pPr>
        <w:pStyle w:val="13"/>
        <w:spacing w:line="560" w:lineRule="exact"/>
        <w:ind w:firstLine="640"/>
        <w:jc w:val="left"/>
        <w:outlineLvl w:val="1"/>
        <w:rPr>
          <w:rFonts w:hint="default" w:ascii="Times New Roman" w:eastAsia="楷体"/>
          <w:sz w:val="32"/>
          <w:szCs w:val="32"/>
          <w:lang w:val="en-US" w:eastAsia="zh-CN"/>
        </w:rPr>
      </w:pPr>
      <w:r>
        <w:rPr>
          <w:rFonts w:hint="eastAsia" w:ascii="Times New Roman" w:eastAsia="楷体"/>
          <w:sz w:val="32"/>
          <w:szCs w:val="32"/>
          <w:lang w:eastAsia="zh-CN"/>
        </w:rPr>
        <w:t>（</w:t>
      </w:r>
      <w:r>
        <w:rPr>
          <w:rFonts w:hint="eastAsia" w:ascii="Times New Roman" w:eastAsia="楷体"/>
          <w:sz w:val="32"/>
          <w:szCs w:val="32"/>
          <w:lang w:val="en-US" w:eastAsia="zh-CN"/>
        </w:rPr>
        <w:t>三）基本要求</w:t>
      </w:r>
    </w:p>
    <w:p>
      <w:pPr>
        <w:pStyle w:val="13"/>
        <w:spacing w:line="560" w:lineRule="exact"/>
        <w:ind w:firstLine="640"/>
        <w:jc w:val="left"/>
        <w:outlineLvl w:val="1"/>
        <w:rPr>
          <w:rFonts w:hint="eastAsia" w:ascii="Times New Roman" w:eastAsia="楷体"/>
          <w:sz w:val="32"/>
          <w:szCs w:val="32"/>
        </w:rPr>
      </w:pPr>
      <w:r>
        <w:rPr>
          <w:rFonts w:hint="eastAsia" w:ascii="Times New Roman" w:eastAsia="楷体"/>
          <w:sz w:val="32"/>
          <w:szCs w:val="32"/>
        </w:rPr>
        <w:t>应根据产品的特征，在有效保证传统加工工艺的基础上，通过设计和优化产品配方、调整制作方法等措施，达到产品口感更佳和更宜健康的效果。不应添加任何非食用物质和非天然材料转化的食材，使用的食品原料辅料应符合GB 2761、GB 2762、GB 2763 等相关标准要求。加工助剂不得检出。</w:t>
      </w:r>
    </w:p>
    <w:p>
      <w:pPr>
        <w:pStyle w:val="13"/>
        <w:spacing w:line="560" w:lineRule="exact"/>
        <w:ind w:firstLine="640"/>
        <w:jc w:val="left"/>
        <w:outlineLvl w:val="1"/>
        <w:rPr>
          <w:rFonts w:hint="eastAsia" w:ascii="Times New Roman" w:eastAsia="楷体"/>
          <w:sz w:val="32"/>
          <w:szCs w:val="32"/>
          <w:lang w:val="en-US" w:eastAsia="zh-CN"/>
        </w:rPr>
      </w:pPr>
      <w:r>
        <w:rPr>
          <w:rFonts w:hint="default" w:ascii="Times New Roman" w:eastAsia="楷体"/>
          <w:sz w:val="32"/>
          <w:szCs w:val="32"/>
          <w:lang w:val="en-US" w:eastAsia="zh-CN"/>
        </w:rPr>
        <w:t>主要原料、辅料和食品添加剂</w:t>
      </w:r>
      <w:r>
        <w:rPr>
          <w:rFonts w:hint="eastAsia" w:ascii="Times New Roman" w:eastAsia="楷体"/>
          <w:sz w:val="32"/>
          <w:szCs w:val="32"/>
          <w:lang w:val="en-US" w:eastAsia="zh-CN"/>
        </w:rPr>
        <w:t>：粳糯米应符合GB/ T 1354要求。加工用水应符合GB 5749规定。包装材料应符合GB 4806.1规定。</w:t>
      </w:r>
    </w:p>
    <w:p>
      <w:pPr>
        <w:pStyle w:val="13"/>
        <w:numPr>
          <w:ilvl w:val="0"/>
          <w:numId w:val="3"/>
        </w:numPr>
        <w:spacing w:line="560" w:lineRule="exact"/>
        <w:ind w:firstLine="640"/>
        <w:jc w:val="left"/>
        <w:outlineLvl w:val="1"/>
        <w:rPr>
          <w:rFonts w:hint="eastAsia" w:ascii="Times New Roman" w:eastAsia="楷体"/>
          <w:sz w:val="32"/>
          <w:szCs w:val="32"/>
          <w:lang w:val="en-US" w:eastAsia="zh-CN"/>
        </w:rPr>
      </w:pPr>
      <w:r>
        <w:rPr>
          <w:rFonts w:hint="eastAsia" w:ascii="Times New Roman" w:eastAsia="楷体"/>
          <w:sz w:val="32"/>
          <w:szCs w:val="32"/>
          <w:lang w:val="en-US" w:eastAsia="zh-CN"/>
        </w:rPr>
        <w:t>技术要求</w:t>
      </w:r>
    </w:p>
    <w:p>
      <w:pPr>
        <w:pStyle w:val="13"/>
        <w:numPr>
          <w:ilvl w:val="0"/>
          <w:numId w:val="0"/>
        </w:numPr>
        <w:spacing w:line="560" w:lineRule="exact"/>
        <w:jc w:val="left"/>
        <w:outlineLvl w:val="1"/>
        <w:rPr>
          <w:rFonts w:hint="eastAsia" w:ascii="Times New Roman" w:eastAsia="楷体"/>
          <w:sz w:val="32"/>
          <w:szCs w:val="32"/>
          <w:lang w:val="en-US" w:eastAsia="zh-CN"/>
        </w:rPr>
      </w:pPr>
      <w:r>
        <w:rPr>
          <w:rFonts w:hint="eastAsia" w:ascii="Times New Roman" w:eastAsia="楷体"/>
          <w:sz w:val="32"/>
          <w:szCs w:val="32"/>
          <w:lang w:val="en-US" w:eastAsia="zh-CN"/>
        </w:rPr>
        <w:t xml:space="preserve">     致病菌限量应符合 GB 29921 中熟制粮食制品的规定。菌落总数、大肠菌群、霉菌限量应符合 GB 7099 的规定。真菌毒素限量和污染物限量应符合 GB 2761 的规定。污染物限量应符合 GB 2762 的规定。净含量 应符合原国家质量监督检验检疫总局令 第75号[2005] 《定量包装商品计量监督管理办法》的规定。</w:t>
      </w:r>
    </w:p>
    <w:p>
      <w:pPr>
        <w:pStyle w:val="13"/>
        <w:numPr>
          <w:ilvl w:val="0"/>
          <w:numId w:val="3"/>
        </w:numPr>
        <w:spacing w:line="560" w:lineRule="exact"/>
        <w:ind w:firstLine="640"/>
        <w:jc w:val="left"/>
        <w:outlineLvl w:val="1"/>
        <w:rPr>
          <w:rFonts w:hint="default" w:ascii="Times New Roman" w:eastAsia="楷体"/>
          <w:sz w:val="32"/>
          <w:szCs w:val="32"/>
          <w:lang w:val="en-US" w:eastAsia="zh-CN"/>
        </w:rPr>
      </w:pPr>
      <w:r>
        <w:rPr>
          <w:rFonts w:hint="default" w:ascii="Times New Roman" w:eastAsia="楷体"/>
          <w:sz w:val="32"/>
          <w:szCs w:val="32"/>
          <w:lang w:val="en-US" w:eastAsia="zh-CN"/>
        </w:rPr>
        <w:t>检验方法</w:t>
      </w:r>
    </w:p>
    <w:p>
      <w:pPr>
        <w:pStyle w:val="13"/>
        <w:numPr>
          <w:ilvl w:val="0"/>
          <w:numId w:val="0"/>
        </w:numPr>
        <w:spacing w:line="560" w:lineRule="exact"/>
        <w:ind w:firstLine="640"/>
        <w:jc w:val="left"/>
        <w:outlineLvl w:val="1"/>
        <w:rPr>
          <w:rFonts w:hint="eastAsia" w:ascii="Times New Roman" w:eastAsia="楷体"/>
          <w:sz w:val="32"/>
          <w:szCs w:val="32"/>
          <w:lang w:val="en-US" w:eastAsia="zh-CN"/>
        </w:rPr>
      </w:pPr>
      <w:r>
        <w:rPr>
          <w:rFonts w:hint="eastAsia" w:ascii="Times New Roman" w:eastAsia="楷体"/>
          <w:sz w:val="32"/>
          <w:szCs w:val="32"/>
          <w:lang w:val="en-US" w:eastAsia="zh-CN"/>
        </w:rPr>
        <w:t>感官按GB、T 23780规定。水分按GB 5009.3第一法规定的方法测定。总糖按GB/T 23780规定的方法测定。微生物限量按GB 7099和GB 29921规定的方法测定。真菌毒素限量按GB 2761规定的方法测定。污染物限量按GB 2762规定的方法测定。净含量按JJF 1070定量包装商品净含量计量检验规则规定的方法测定。检验规则按 GB/T 20977 的规定执行。</w:t>
      </w:r>
    </w:p>
    <w:p>
      <w:pPr>
        <w:pStyle w:val="13"/>
        <w:numPr>
          <w:ilvl w:val="0"/>
          <w:numId w:val="3"/>
        </w:numPr>
        <w:spacing w:line="560" w:lineRule="exact"/>
        <w:ind w:left="0" w:leftChars="0" w:firstLine="640" w:firstLineChars="200"/>
        <w:jc w:val="left"/>
        <w:outlineLvl w:val="1"/>
        <w:rPr>
          <w:rFonts w:hint="eastAsia" w:ascii="Times New Roman" w:eastAsia="楷体"/>
          <w:sz w:val="32"/>
          <w:szCs w:val="32"/>
          <w:lang w:val="en-US" w:eastAsia="zh-CN"/>
        </w:rPr>
      </w:pPr>
      <w:r>
        <w:rPr>
          <w:rFonts w:hint="eastAsia" w:ascii="Times New Roman" w:eastAsia="楷体"/>
          <w:sz w:val="32"/>
          <w:szCs w:val="32"/>
          <w:lang w:val="en-US" w:eastAsia="zh-CN"/>
        </w:rPr>
        <w:t>包装、销售、运输和贮存</w:t>
      </w:r>
    </w:p>
    <w:p>
      <w:pPr>
        <w:pStyle w:val="13"/>
        <w:numPr>
          <w:ilvl w:val="0"/>
          <w:numId w:val="0"/>
        </w:numPr>
        <w:spacing w:line="560" w:lineRule="exact"/>
        <w:ind w:leftChars="200"/>
        <w:jc w:val="left"/>
        <w:outlineLvl w:val="1"/>
        <w:rPr>
          <w:rFonts w:hint="eastAsia" w:ascii="Times New Roman" w:eastAsia="楷体"/>
          <w:sz w:val="32"/>
          <w:szCs w:val="32"/>
          <w:lang w:val="en-US" w:eastAsia="zh-CN"/>
        </w:rPr>
      </w:pPr>
      <w:r>
        <w:rPr>
          <w:rFonts w:hint="default" w:ascii="Times New Roman" w:eastAsia="楷体"/>
          <w:sz w:val="32"/>
          <w:szCs w:val="32"/>
          <w:lang w:val="en-US" w:eastAsia="zh-CN"/>
        </w:rPr>
        <w:t>明确了</w:t>
      </w:r>
      <w:r>
        <w:rPr>
          <w:rFonts w:hint="eastAsia" w:ascii="Times New Roman" w:eastAsia="楷体"/>
          <w:sz w:val="32"/>
          <w:szCs w:val="32"/>
          <w:lang w:val="en-US" w:eastAsia="zh-CN"/>
        </w:rPr>
        <w:t>李庄</w:t>
      </w:r>
      <w:r>
        <w:rPr>
          <w:rFonts w:hint="default" w:ascii="Times New Roman" w:eastAsia="楷体"/>
          <w:sz w:val="32"/>
          <w:szCs w:val="32"/>
          <w:lang w:val="en-US" w:eastAsia="zh-CN"/>
        </w:rPr>
        <w:t>的包装、</w:t>
      </w:r>
      <w:r>
        <w:rPr>
          <w:rFonts w:hint="eastAsia" w:ascii="Times New Roman" w:eastAsia="楷体"/>
          <w:sz w:val="32"/>
          <w:szCs w:val="32"/>
          <w:lang w:val="en-US" w:eastAsia="zh-CN"/>
        </w:rPr>
        <w:t>销售</w:t>
      </w:r>
      <w:r>
        <w:rPr>
          <w:rFonts w:hint="default" w:ascii="Times New Roman" w:eastAsia="楷体"/>
          <w:sz w:val="32"/>
          <w:szCs w:val="32"/>
          <w:lang w:val="en-US" w:eastAsia="zh-CN"/>
        </w:rPr>
        <w:t>、</w:t>
      </w:r>
      <w:r>
        <w:rPr>
          <w:rFonts w:hint="eastAsia" w:ascii="Times New Roman" w:eastAsia="楷体"/>
          <w:sz w:val="32"/>
          <w:szCs w:val="32"/>
          <w:lang w:val="en-US" w:eastAsia="zh-CN"/>
        </w:rPr>
        <w:t>运输和</w:t>
      </w:r>
      <w:r>
        <w:rPr>
          <w:rFonts w:hint="default" w:ascii="Times New Roman" w:eastAsia="楷体"/>
          <w:sz w:val="32"/>
          <w:szCs w:val="32"/>
          <w:lang w:val="en-US" w:eastAsia="zh-CN"/>
        </w:rPr>
        <w:t>贮存等方面的要求</w:t>
      </w:r>
      <w:r>
        <w:rPr>
          <w:rFonts w:hint="eastAsia" w:ascii="Times New Roman" w:eastAsia="楷体"/>
          <w:sz w:val="32"/>
          <w:szCs w:val="32"/>
          <w:lang w:val="en-US" w:eastAsia="zh-CN"/>
        </w:rPr>
        <w:t>。</w:t>
      </w:r>
    </w:p>
    <w:p>
      <w:pPr>
        <w:pStyle w:val="13"/>
        <w:numPr>
          <w:ilvl w:val="0"/>
          <w:numId w:val="3"/>
        </w:numPr>
        <w:spacing w:line="560" w:lineRule="exact"/>
        <w:ind w:left="0" w:leftChars="0" w:firstLine="640" w:firstLineChars="200"/>
        <w:jc w:val="left"/>
        <w:outlineLvl w:val="1"/>
        <w:rPr>
          <w:rFonts w:hint="default" w:ascii="Times New Roman" w:eastAsia="楷体"/>
          <w:sz w:val="32"/>
          <w:szCs w:val="32"/>
          <w:lang w:val="en-US" w:eastAsia="zh-CN"/>
        </w:rPr>
      </w:pPr>
      <w:r>
        <w:rPr>
          <w:rFonts w:hint="default" w:ascii="Times New Roman" w:eastAsia="楷体"/>
          <w:sz w:val="32"/>
          <w:szCs w:val="32"/>
          <w:lang w:val="en-US" w:eastAsia="zh-CN"/>
        </w:rPr>
        <w:t>服务规范</w:t>
      </w:r>
    </w:p>
    <w:p>
      <w:pPr>
        <w:pStyle w:val="13"/>
        <w:numPr>
          <w:ilvl w:val="0"/>
          <w:numId w:val="0"/>
        </w:numPr>
        <w:spacing w:line="560" w:lineRule="exact"/>
        <w:ind w:leftChars="200" w:firstLine="640"/>
        <w:jc w:val="left"/>
        <w:outlineLvl w:val="1"/>
        <w:rPr>
          <w:rFonts w:hint="eastAsia" w:ascii="Times New Roman" w:eastAsia="楷体"/>
          <w:sz w:val="32"/>
          <w:szCs w:val="32"/>
          <w:lang w:val="en-US" w:eastAsia="zh-CN"/>
        </w:rPr>
      </w:pPr>
      <w:r>
        <w:rPr>
          <w:rFonts w:hint="eastAsia" w:ascii="Times New Roman" w:eastAsia="楷体"/>
          <w:sz w:val="32"/>
          <w:szCs w:val="32"/>
          <w:lang w:val="en-US" w:eastAsia="zh-CN"/>
        </w:rPr>
        <w:t>从工作人员要求、现场争议处理、统一标识规范要求</w:t>
      </w:r>
    </w:p>
    <w:p>
      <w:pPr>
        <w:pStyle w:val="13"/>
        <w:numPr>
          <w:ilvl w:val="0"/>
          <w:numId w:val="3"/>
        </w:numPr>
        <w:spacing w:line="560" w:lineRule="exact"/>
        <w:ind w:left="0" w:leftChars="0" w:firstLine="640" w:firstLineChars="200"/>
        <w:jc w:val="left"/>
        <w:outlineLvl w:val="1"/>
        <w:rPr>
          <w:rFonts w:hint="default" w:ascii="Times New Roman" w:eastAsia="楷体"/>
          <w:sz w:val="32"/>
          <w:szCs w:val="32"/>
          <w:lang w:val="en-US" w:eastAsia="zh-CN"/>
        </w:rPr>
      </w:pPr>
      <w:r>
        <w:rPr>
          <w:rFonts w:hint="default" w:ascii="Times New Roman" w:eastAsia="楷体"/>
          <w:sz w:val="32"/>
          <w:szCs w:val="32"/>
          <w:lang w:val="en-US" w:eastAsia="zh-CN"/>
        </w:rPr>
        <w:t>质量承诺</w:t>
      </w:r>
    </w:p>
    <w:p>
      <w:pPr>
        <w:pStyle w:val="13"/>
        <w:numPr>
          <w:ilvl w:val="0"/>
          <w:numId w:val="0"/>
        </w:numPr>
        <w:spacing w:line="560" w:lineRule="exact"/>
        <w:ind w:leftChars="200" w:firstLine="640" w:firstLineChars="200"/>
        <w:jc w:val="left"/>
        <w:outlineLvl w:val="1"/>
        <w:rPr>
          <w:rFonts w:hint="default" w:ascii="Times New Roman" w:eastAsia="楷体"/>
          <w:sz w:val="32"/>
          <w:szCs w:val="32"/>
          <w:lang w:val="en-US" w:eastAsia="zh-CN"/>
        </w:rPr>
      </w:pPr>
      <w:r>
        <w:rPr>
          <w:rFonts w:hint="default" w:ascii="Times New Roman" w:eastAsia="楷体"/>
          <w:sz w:val="32"/>
          <w:szCs w:val="32"/>
          <w:lang w:val="en-US" w:eastAsia="zh-CN"/>
        </w:rPr>
        <w:t>在本文件规定的贮存条件下，承诺产品在保质期范围内，如有质量问题的，按国家相关规定进行赔付</w:t>
      </w:r>
      <w:r>
        <w:rPr>
          <w:rFonts w:hint="eastAsia" w:ascii="Times New Roman" w:eastAsia="楷体"/>
          <w:sz w:val="32"/>
          <w:szCs w:val="32"/>
          <w:lang w:val="en-US" w:eastAsia="zh-CN"/>
        </w:rPr>
        <w:t>。应建立客服电话，网络投诉平台等，对于产品质量有异议的，应在 24 小时内作出响应并提出解决方案。</w:t>
      </w:r>
    </w:p>
    <w:p>
      <w:pPr>
        <w:pStyle w:val="13"/>
        <w:spacing w:line="560" w:lineRule="exact"/>
        <w:ind w:firstLine="640"/>
        <w:jc w:val="left"/>
        <w:outlineLvl w:val="0"/>
        <w:rPr>
          <w:rFonts w:asci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四、采用国际标准和国外先进标准的程度情况，以及与国际、国外同类标准水平的对比情况</w:t>
      </w:r>
    </w:p>
    <w:p>
      <w:pPr>
        <w:pStyle w:val="5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本标准未采用国际、国外相关标准。</w:t>
      </w:r>
    </w:p>
    <w:p>
      <w:pPr>
        <w:pStyle w:val="5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由于标准制定的主要内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容是从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李庄白糕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的实际</w:t>
      </w:r>
      <w:r>
        <w:rPr>
          <w:rFonts w:eastAsia="仿宋_GB2312"/>
          <w:sz w:val="32"/>
          <w:szCs w:val="32"/>
        </w:rPr>
        <w:t>情况出发，对</w:t>
      </w:r>
      <w:r>
        <w:rPr>
          <w:rFonts w:hint="eastAsia" w:eastAsia="仿宋_GB2312"/>
          <w:sz w:val="32"/>
          <w:szCs w:val="32"/>
          <w:lang w:val="en-US" w:eastAsia="zh-CN"/>
        </w:rPr>
        <w:t>李庄白糕</w:t>
      </w:r>
      <w:r>
        <w:rPr>
          <w:rFonts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</w:rPr>
        <w:t>产品分类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基本要求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技术要求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试验方法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检验规则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标签、标志、包装、运输和贮存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服务规范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质量承诺</w:t>
      </w:r>
      <w:r>
        <w:rPr>
          <w:rFonts w:eastAsia="仿宋_GB2312"/>
          <w:sz w:val="32"/>
          <w:szCs w:val="32"/>
        </w:rPr>
        <w:t>等进行规范。目前</w:t>
      </w:r>
      <w:r>
        <w:rPr>
          <w:rFonts w:hint="eastAsia" w:eastAsia="仿宋_GB2312"/>
          <w:sz w:val="32"/>
          <w:szCs w:val="32"/>
          <w:lang w:val="en-US" w:eastAsia="zh-CN"/>
        </w:rPr>
        <w:t>尚无</w:t>
      </w:r>
      <w:r>
        <w:rPr>
          <w:rFonts w:eastAsia="仿宋_GB2312"/>
          <w:sz w:val="32"/>
          <w:szCs w:val="32"/>
        </w:rPr>
        <w:t>与本标准相关的国际、国外标准。</w:t>
      </w:r>
    </w:p>
    <w:p>
      <w:pPr>
        <w:pStyle w:val="13"/>
        <w:spacing w:line="560" w:lineRule="exact"/>
        <w:ind w:firstLine="640"/>
        <w:jc w:val="left"/>
        <w:outlineLvl w:val="0"/>
        <w:rPr>
          <w:rFonts w:asci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五、与现行法律、法规和上级标准的关系</w:t>
      </w:r>
    </w:p>
    <w:p>
      <w:pPr>
        <w:pStyle w:val="5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本标准编制过程中，主要遵循GB/T 1.1 标准化工作导则 第1部分：标准化文件的结构和起草规则，并参考了部分国家、行业标准，标准结合</w:t>
      </w:r>
      <w:r>
        <w:rPr>
          <w:rFonts w:hint="eastAsia" w:eastAsia="仿宋_GB2312"/>
          <w:sz w:val="32"/>
          <w:szCs w:val="32"/>
          <w:lang w:val="en-US" w:eastAsia="zh-CN"/>
        </w:rPr>
        <w:t>李庄白糕</w:t>
      </w:r>
      <w:r>
        <w:rPr>
          <w:rFonts w:eastAsia="仿宋_GB2312"/>
          <w:sz w:val="32"/>
          <w:szCs w:val="32"/>
        </w:rPr>
        <w:t>生产实际情况制定，编制符合国家对标准结构、内容的要求，同时与目前国家相关文件及要求相互补充。</w:t>
      </w:r>
    </w:p>
    <w:p>
      <w:pPr>
        <w:pStyle w:val="13"/>
        <w:spacing w:line="560" w:lineRule="exact"/>
        <w:ind w:firstLine="640"/>
        <w:jc w:val="left"/>
        <w:outlineLvl w:val="0"/>
        <w:rPr>
          <w:rFonts w:asci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六、重大分歧意见的处理经过和依据</w:t>
      </w:r>
    </w:p>
    <w:p>
      <w:pPr>
        <w:pStyle w:val="5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本标准的编写过程无重大分歧意见产生。</w:t>
      </w:r>
    </w:p>
    <w:p>
      <w:pPr>
        <w:pStyle w:val="13"/>
        <w:spacing w:line="560" w:lineRule="exact"/>
        <w:ind w:firstLine="640"/>
        <w:jc w:val="left"/>
        <w:outlineLvl w:val="0"/>
        <w:rPr>
          <w:rFonts w:asci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七、贯彻标准的要求和措施建议</w:t>
      </w:r>
    </w:p>
    <w:p>
      <w:pPr>
        <w:pStyle w:val="5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为保证本标准的有效和顺利执行，建议组织起草和归口单位进行宣贯培训并具体应用实施。</w:t>
      </w:r>
    </w:p>
    <w:p>
      <w:pPr>
        <w:pStyle w:val="13"/>
        <w:spacing w:line="560" w:lineRule="exact"/>
        <w:ind w:firstLine="640"/>
        <w:jc w:val="left"/>
        <w:outlineLvl w:val="0"/>
        <w:rPr>
          <w:rFonts w:asci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八、废止现行有关标准的建议</w:t>
      </w:r>
    </w:p>
    <w:p>
      <w:pPr>
        <w:pStyle w:val="5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本标准为新制定。</w:t>
      </w:r>
    </w:p>
    <w:p>
      <w:pPr>
        <w:pStyle w:val="13"/>
        <w:spacing w:line="560" w:lineRule="exact"/>
        <w:ind w:firstLine="640"/>
        <w:jc w:val="left"/>
        <w:outlineLvl w:val="0"/>
        <w:rPr>
          <w:rFonts w:asci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九、其他应予说明的事项</w:t>
      </w:r>
    </w:p>
    <w:p>
      <w:pPr>
        <w:pStyle w:val="5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无。</w:t>
      </w:r>
    </w:p>
    <w:p>
      <w:pPr>
        <w:pStyle w:val="13"/>
        <w:spacing w:line="560" w:lineRule="exact"/>
        <w:ind w:firstLine="640"/>
        <w:jc w:val="left"/>
        <w:rPr>
          <w:rFonts w:ascii="Times New Roman" w:eastAsia="仿宋_GB2312"/>
          <w:sz w:val="32"/>
          <w:szCs w:val="32"/>
        </w:rPr>
      </w:pPr>
    </w:p>
    <w:p>
      <w:pPr>
        <w:pStyle w:val="3"/>
        <w:spacing w:line="560" w:lineRule="exact"/>
        <w:ind w:left="5783" w:hanging="5783" w:hangingChars="1800"/>
        <w:jc w:val="right"/>
        <w:rPr>
          <w:rFonts w:ascii="Times New Roman" w:hAnsi="Times New Roman" w:eastAsia="仿宋_GB2312"/>
          <w:b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　　　　　　　　　　　　　　　　　　　　　　　　　　　　　　　　　　　　　　　　</w:t>
      </w:r>
      <w:r>
        <w:rPr>
          <w:rFonts w:ascii="Times New Roman" w:hAnsi="Times New Roman" w:eastAsia="仿宋_GB2312"/>
          <w:b w:val="0"/>
          <w:sz w:val="32"/>
          <w:szCs w:val="32"/>
        </w:rPr>
        <w:t>起草工作组</w:t>
      </w:r>
    </w:p>
    <w:p>
      <w:pPr>
        <w:pStyle w:val="5"/>
        <w:spacing w:line="560" w:lineRule="exact"/>
        <w:ind w:firstLine="42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202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年1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</w:p>
    <w:p>
      <w:pPr>
        <w:pStyle w:val="5"/>
        <w:spacing w:line="560" w:lineRule="exact"/>
        <w:ind w:firstLine="4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　　　　　　　　　　　　　　　　　　　　　　　　　　　　　　　　　　　　　</w:t>
      </w:r>
    </w:p>
    <w:p>
      <w:pPr>
        <w:spacing w:line="560" w:lineRule="exact"/>
        <w:jc w:val="left"/>
        <w:rPr>
          <w:sz w:val="24"/>
        </w:rPr>
      </w:pPr>
    </w:p>
    <w:sectPr>
      <w:pgSz w:w="11906" w:h="16838"/>
      <w:pgMar w:top="2154" w:right="1587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5EA69F"/>
    <w:multiLevelType w:val="singleLevel"/>
    <w:tmpl w:val="CE5EA69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2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44C50F90"/>
    <w:multiLevelType w:val="multilevel"/>
    <w:tmpl w:val="44C50F90"/>
    <w:lvl w:ilvl="0" w:tentative="0">
      <w:start w:val="1"/>
      <w:numFmt w:val="lowerLetter"/>
      <w:pStyle w:val="21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6F5"/>
    <w:rsid w:val="00172A27"/>
    <w:rsid w:val="00192BA3"/>
    <w:rsid w:val="003567D5"/>
    <w:rsid w:val="003E5623"/>
    <w:rsid w:val="004A01AE"/>
    <w:rsid w:val="004E06C7"/>
    <w:rsid w:val="005A0B72"/>
    <w:rsid w:val="005C2054"/>
    <w:rsid w:val="005C682E"/>
    <w:rsid w:val="00953858"/>
    <w:rsid w:val="009969AF"/>
    <w:rsid w:val="00AA36B6"/>
    <w:rsid w:val="00BF0A1E"/>
    <w:rsid w:val="00C33472"/>
    <w:rsid w:val="00DF5387"/>
    <w:rsid w:val="00F3672E"/>
    <w:rsid w:val="01913CF4"/>
    <w:rsid w:val="023136C6"/>
    <w:rsid w:val="02D83B2D"/>
    <w:rsid w:val="03DD1759"/>
    <w:rsid w:val="04431E77"/>
    <w:rsid w:val="080571E5"/>
    <w:rsid w:val="0B40738E"/>
    <w:rsid w:val="0B4A58AB"/>
    <w:rsid w:val="0C115191"/>
    <w:rsid w:val="0CDA34B5"/>
    <w:rsid w:val="0E1808E9"/>
    <w:rsid w:val="0E63358E"/>
    <w:rsid w:val="0E75626B"/>
    <w:rsid w:val="0EAA55FA"/>
    <w:rsid w:val="102A57D7"/>
    <w:rsid w:val="11013B6D"/>
    <w:rsid w:val="12A3499D"/>
    <w:rsid w:val="13044B3D"/>
    <w:rsid w:val="18374F9A"/>
    <w:rsid w:val="19E02127"/>
    <w:rsid w:val="1AA534FC"/>
    <w:rsid w:val="1AAF263C"/>
    <w:rsid w:val="1BDA2E79"/>
    <w:rsid w:val="1D625CBC"/>
    <w:rsid w:val="1E24261B"/>
    <w:rsid w:val="1F5D21E8"/>
    <w:rsid w:val="1FC70FA8"/>
    <w:rsid w:val="203F2726"/>
    <w:rsid w:val="213D126D"/>
    <w:rsid w:val="2151460D"/>
    <w:rsid w:val="221E2794"/>
    <w:rsid w:val="2227294D"/>
    <w:rsid w:val="22A0038F"/>
    <w:rsid w:val="233E6128"/>
    <w:rsid w:val="23ED1C67"/>
    <w:rsid w:val="24634328"/>
    <w:rsid w:val="24E57919"/>
    <w:rsid w:val="25010A7F"/>
    <w:rsid w:val="26B2695B"/>
    <w:rsid w:val="2707345F"/>
    <w:rsid w:val="270E2802"/>
    <w:rsid w:val="28C06F46"/>
    <w:rsid w:val="29D84AB7"/>
    <w:rsid w:val="2AED54D4"/>
    <w:rsid w:val="2B1223AB"/>
    <w:rsid w:val="2C816C4C"/>
    <w:rsid w:val="2D22405B"/>
    <w:rsid w:val="2F5A0EE4"/>
    <w:rsid w:val="2FBD57C5"/>
    <w:rsid w:val="2FC853D6"/>
    <w:rsid w:val="3398688D"/>
    <w:rsid w:val="34B23913"/>
    <w:rsid w:val="36B30601"/>
    <w:rsid w:val="374079C8"/>
    <w:rsid w:val="37544964"/>
    <w:rsid w:val="37E45F81"/>
    <w:rsid w:val="393214F5"/>
    <w:rsid w:val="3A834C24"/>
    <w:rsid w:val="3C967805"/>
    <w:rsid w:val="3E2E334D"/>
    <w:rsid w:val="3E33420C"/>
    <w:rsid w:val="3F404ABD"/>
    <w:rsid w:val="42420F8B"/>
    <w:rsid w:val="42AD3D8C"/>
    <w:rsid w:val="442B6C87"/>
    <w:rsid w:val="4463134F"/>
    <w:rsid w:val="44E03C5F"/>
    <w:rsid w:val="4547770C"/>
    <w:rsid w:val="45A728A6"/>
    <w:rsid w:val="46D90778"/>
    <w:rsid w:val="48775AAF"/>
    <w:rsid w:val="487E6F6D"/>
    <w:rsid w:val="48BA6003"/>
    <w:rsid w:val="495D350C"/>
    <w:rsid w:val="49F60299"/>
    <w:rsid w:val="4A3B2EC8"/>
    <w:rsid w:val="4A4C38C8"/>
    <w:rsid w:val="4AF62F28"/>
    <w:rsid w:val="4B716381"/>
    <w:rsid w:val="4B7418CF"/>
    <w:rsid w:val="4BBE4B32"/>
    <w:rsid w:val="4C847C00"/>
    <w:rsid w:val="4C9514E0"/>
    <w:rsid w:val="4D231EBF"/>
    <w:rsid w:val="4D642EE1"/>
    <w:rsid w:val="4F6952C7"/>
    <w:rsid w:val="51F228B1"/>
    <w:rsid w:val="52E9776E"/>
    <w:rsid w:val="53603C9E"/>
    <w:rsid w:val="5445359A"/>
    <w:rsid w:val="56993CBD"/>
    <w:rsid w:val="57405111"/>
    <w:rsid w:val="57482D96"/>
    <w:rsid w:val="582C1214"/>
    <w:rsid w:val="58BE3261"/>
    <w:rsid w:val="5AE35B16"/>
    <w:rsid w:val="5BD816A3"/>
    <w:rsid w:val="5C127602"/>
    <w:rsid w:val="5CDF6A9A"/>
    <w:rsid w:val="5D11497D"/>
    <w:rsid w:val="5DBD1F16"/>
    <w:rsid w:val="5F937D4E"/>
    <w:rsid w:val="6017602A"/>
    <w:rsid w:val="60894645"/>
    <w:rsid w:val="625065FA"/>
    <w:rsid w:val="62D87FE0"/>
    <w:rsid w:val="630F0596"/>
    <w:rsid w:val="636A482F"/>
    <w:rsid w:val="64852B35"/>
    <w:rsid w:val="66DE4CEA"/>
    <w:rsid w:val="671E169C"/>
    <w:rsid w:val="67605D11"/>
    <w:rsid w:val="6911526F"/>
    <w:rsid w:val="69456860"/>
    <w:rsid w:val="6A5F582E"/>
    <w:rsid w:val="6A8754DE"/>
    <w:rsid w:val="6C8B6211"/>
    <w:rsid w:val="6CE769E3"/>
    <w:rsid w:val="6D8D2C13"/>
    <w:rsid w:val="6DC76E9B"/>
    <w:rsid w:val="6DF61C37"/>
    <w:rsid w:val="6E1810F7"/>
    <w:rsid w:val="6E441299"/>
    <w:rsid w:val="6F815F84"/>
    <w:rsid w:val="6FBE592B"/>
    <w:rsid w:val="6FC332E9"/>
    <w:rsid w:val="710B4CE1"/>
    <w:rsid w:val="71FF06B8"/>
    <w:rsid w:val="7200034C"/>
    <w:rsid w:val="728F629C"/>
    <w:rsid w:val="73020D07"/>
    <w:rsid w:val="73066DEB"/>
    <w:rsid w:val="73C336BF"/>
    <w:rsid w:val="74FA6772"/>
    <w:rsid w:val="75286972"/>
    <w:rsid w:val="75641031"/>
    <w:rsid w:val="776B151D"/>
    <w:rsid w:val="790341CF"/>
    <w:rsid w:val="79871C96"/>
    <w:rsid w:val="79CF10EC"/>
    <w:rsid w:val="7B527724"/>
    <w:rsid w:val="7BD92CA3"/>
    <w:rsid w:val="7C8A4A1D"/>
    <w:rsid w:val="7CB15B27"/>
    <w:rsid w:val="7F9C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Salutation"/>
    <w:basedOn w:val="1"/>
    <w:next w:val="1"/>
    <w:qFormat/>
    <w:uiPriority w:val="0"/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after="210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paragraph" w:customStyle="1" w:styleId="1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szCs w:val="22"/>
      <w:lang w:val="en-US" w:eastAsia="zh-CN" w:bidi="ar-SA"/>
    </w:rPr>
  </w:style>
  <w:style w:type="paragraph" w:customStyle="1" w:styleId="15">
    <w:name w:val="目次、标准名称标题"/>
    <w:basedOn w:val="1"/>
    <w:next w:val="13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7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18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1"/>
    <w:link w:val="6"/>
    <w:qFormat/>
    <w:uiPriority w:val="0"/>
    <w:rPr>
      <w:kern w:val="2"/>
      <w:sz w:val="18"/>
      <w:szCs w:val="18"/>
    </w:rPr>
  </w:style>
  <w:style w:type="paragraph" w:customStyle="1" w:styleId="20">
    <w:name w:val="一级条标题"/>
    <w:next w:val="13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1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">
    <w:name w:val="二级无"/>
    <w:basedOn w:val="23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23">
    <w:name w:val="二级条标题"/>
    <w:basedOn w:val="20"/>
    <w:next w:val="13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24">
    <w:name w:val="章标题"/>
    <w:next w:val="13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695</Words>
  <Characters>3963</Characters>
  <Lines>33</Lines>
  <Paragraphs>9</Paragraphs>
  <TotalTime>6</TotalTime>
  <ScaleCrop>false</ScaleCrop>
  <LinksUpToDate>false</LinksUpToDate>
  <CharactersWithSpaces>4649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2020-05-06T08:09:00Z</dcterms:created>
  <dc:creator>john</dc:creator>
  <cp:lastModifiedBy>榴莲牛奶</cp:lastModifiedBy>
  <cp:lastPrinted>2020-05-26T08:20:00Z</cp:lastPrinted>
  <dcterms:modified xsi:type="dcterms:W3CDTF">2021-11-05T09:07:06Z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7CD1670872424D77AE7E011709406423</vt:lpwstr>
  </property>
</Properties>
</file>