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0C1" w:rsidRDefault="00110584">
      <w:pPr>
        <w:autoSpaceDE w:val="0"/>
        <w:autoSpaceDN w:val="0"/>
        <w:adjustRightInd w:val="0"/>
        <w:ind w:left="-1800"/>
        <w:jc w:val="left"/>
        <w:rPr>
          <w:rFonts w:ascii="黑体" w:eastAsia="黑体" w:cs="黑体"/>
          <w:kern w:val="0"/>
          <w:szCs w:val="21"/>
        </w:rPr>
      </w:pPr>
      <w:r>
        <w:rPr>
          <w:rFonts w:hint="eastAsia"/>
          <w:b/>
          <w:noProof/>
          <w:kern w:val="0"/>
          <w:sz w:val="48"/>
          <w:szCs w:val="48"/>
        </w:rPr>
        <w:drawing>
          <wp:anchor distT="0" distB="0" distL="0" distR="0" simplePos="0" relativeHeight="251656192" behindDoc="0" locked="0" layoutInCell="1" allowOverlap="1">
            <wp:simplePos x="0" y="0"/>
            <wp:positionH relativeFrom="column">
              <wp:posOffset>5488940</wp:posOffset>
            </wp:positionH>
            <wp:positionV relativeFrom="paragraph">
              <wp:posOffset>194310</wp:posOffset>
            </wp:positionV>
            <wp:extent cx="1104900" cy="1080135"/>
            <wp:effectExtent l="19050" t="0" r="0" b="0"/>
            <wp:wrapNone/>
            <wp:docPr id="1026" name="图片 1" descr="药膳logo"/>
            <wp:cNvGraphicFramePr/>
            <a:graphic xmlns:a="http://schemas.openxmlformats.org/drawingml/2006/main">
              <a:graphicData uri="http://schemas.openxmlformats.org/drawingml/2006/picture">
                <pic:pic xmlns:pic="http://schemas.openxmlformats.org/drawingml/2006/picture">
                  <pic:nvPicPr>
                    <pic:cNvPr id="1026" name="图片 1" descr="药膳logo"/>
                    <pic:cNvPicPr/>
                  </pic:nvPicPr>
                  <pic:blipFill>
                    <a:blip r:embed="rId8" cstate="print"/>
                    <a:srcRect/>
                    <a:stretch>
                      <a:fillRect/>
                    </a:stretch>
                  </pic:blipFill>
                  <pic:spPr>
                    <a:xfrm>
                      <a:off x="0" y="0"/>
                      <a:ext cx="1104898" cy="1080135"/>
                    </a:xfrm>
                    <a:prstGeom prst="rect">
                      <a:avLst/>
                    </a:prstGeom>
                    <a:ln>
                      <a:noFill/>
                    </a:ln>
                  </pic:spPr>
                </pic:pic>
              </a:graphicData>
            </a:graphic>
          </wp:anchor>
        </w:drawing>
      </w:r>
    </w:p>
    <w:p w:rsidR="007830C1" w:rsidRDefault="007830C1">
      <w:pPr>
        <w:autoSpaceDE w:val="0"/>
        <w:autoSpaceDN w:val="0"/>
        <w:adjustRightInd w:val="0"/>
        <w:ind w:left="-1800"/>
        <w:jc w:val="left"/>
        <w:rPr>
          <w:rFonts w:ascii="黑体" w:eastAsia="黑体" w:cs="黑体"/>
          <w:kern w:val="0"/>
          <w:sz w:val="13"/>
          <w:szCs w:val="13"/>
        </w:rPr>
      </w:pPr>
    </w:p>
    <w:p w:rsidR="007830C1" w:rsidRDefault="00110584">
      <w:pPr>
        <w:jc w:val="left"/>
        <w:rPr>
          <w:rFonts w:ascii="黑体" w:eastAsia="黑体" w:hAnsi="黑体"/>
          <w:kern w:val="0"/>
          <w:szCs w:val="21"/>
        </w:rPr>
      </w:pPr>
      <w:r>
        <w:rPr>
          <w:rFonts w:ascii="黑体" w:eastAsia="黑体" w:hAnsi="黑体" w:hint="eastAsia"/>
          <w:szCs w:val="21"/>
        </w:rPr>
        <w:t xml:space="preserve">        </w:t>
      </w:r>
      <w:r w:rsidR="00E640BA">
        <w:rPr>
          <w:rFonts w:ascii="黑体" w:eastAsia="黑体" w:hAnsi="黑体"/>
          <w:szCs w:val="21"/>
        </w:rPr>
        <w:fldChar w:fldCharType="begin"/>
      </w:r>
      <w:r>
        <w:rPr>
          <w:rFonts w:ascii="黑体" w:eastAsia="黑体" w:hAnsi="黑体"/>
          <w:szCs w:val="21"/>
        </w:rPr>
        <w:instrText>ADDIN CNKISM.UserStyle</w:instrText>
      </w:r>
      <w:r w:rsidR="00E640BA">
        <w:rPr>
          <w:rFonts w:ascii="黑体" w:eastAsia="黑体" w:hAnsi="黑体"/>
          <w:szCs w:val="21"/>
        </w:rPr>
        <w:fldChar w:fldCharType="end"/>
      </w:r>
      <w:r w:rsidR="00E640BA">
        <w:rPr>
          <w:rFonts w:ascii="黑体" w:eastAsia="黑体" w:hAnsi="黑体"/>
          <w:b/>
          <w:kern w:val="0"/>
          <w:szCs w:val="21"/>
        </w:rPr>
        <w:fldChar w:fldCharType="begin"/>
      </w:r>
      <w:r>
        <w:rPr>
          <w:rFonts w:ascii="黑体" w:eastAsia="黑体" w:hAnsi="黑体"/>
          <w:b/>
          <w:kern w:val="0"/>
          <w:szCs w:val="21"/>
        </w:rPr>
        <w:instrText>ADDIN CNKISM.UserStyle</w:instrText>
      </w:r>
      <w:r w:rsidR="00E640BA">
        <w:rPr>
          <w:rFonts w:ascii="黑体" w:eastAsia="黑体" w:hAnsi="黑体"/>
          <w:b/>
          <w:kern w:val="0"/>
          <w:szCs w:val="21"/>
        </w:rPr>
        <w:fldChar w:fldCharType="end"/>
      </w:r>
      <w:r>
        <w:rPr>
          <w:rFonts w:ascii="黑体" w:eastAsia="黑体" w:hAnsi="黑体"/>
          <w:b/>
          <w:kern w:val="0"/>
          <w:szCs w:val="21"/>
        </w:rPr>
        <w:t>ICS</w:t>
      </w:r>
      <w:r>
        <w:rPr>
          <w:rFonts w:ascii="黑体" w:eastAsia="黑体" w:hAnsi="黑体" w:hint="eastAsia"/>
          <w:b/>
          <w:kern w:val="0"/>
          <w:szCs w:val="21"/>
        </w:rPr>
        <w:t xml:space="preserve"> </w:t>
      </w:r>
      <w:r>
        <w:rPr>
          <w:rFonts w:ascii="黑体" w:eastAsia="黑体" w:hAnsi="黑体" w:hint="eastAsia"/>
          <w:kern w:val="0"/>
          <w:szCs w:val="21"/>
        </w:rPr>
        <w:t>67</w:t>
      </w:r>
      <w:r>
        <w:rPr>
          <w:rFonts w:ascii="黑体" w:eastAsia="黑体" w:hAnsi="黑体"/>
          <w:kern w:val="0"/>
          <w:szCs w:val="21"/>
        </w:rPr>
        <w:t>.020</w:t>
      </w:r>
    </w:p>
    <w:p w:rsidR="007830C1" w:rsidRDefault="00110584">
      <w:pPr>
        <w:wordWrap w:val="0"/>
        <w:jc w:val="left"/>
        <w:rPr>
          <w:rFonts w:ascii="黑体" w:eastAsia="黑体" w:hAnsi="黑体"/>
          <w:kern w:val="0"/>
          <w:szCs w:val="21"/>
        </w:rPr>
      </w:pPr>
      <w:r>
        <w:rPr>
          <w:rFonts w:ascii="黑体" w:eastAsia="黑体" w:hAnsi="黑体" w:hint="eastAsia"/>
          <w:b/>
          <w:kern w:val="0"/>
          <w:szCs w:val="21"/>
        </w:rPr>
        <w:t xml:space="preserve">        X </w:t>
      </w:r>
      <w:r>
        <w:rPr>
          <w:rFonts w:ascii="黑体" w:eastAsia="黑体" w:hAnsi="黑体" w:hint="eastAsia"/>
          <w:kern w:val="0"/>
          <w:szCs w:val="21"/>
        </w:rPr>
        <w:t>80</w:t>
      </w:r>
    </w:p>
    <w:p w:rsidR="007830C1" w:rsidRDefault="007830C1">
      <w:pPr>
        <w:ind w:right="2892"/>
        <w:rPr>
          <w:b/>
          <w:kern w:val="0"/>
          <w:sz w:val="48"/>
          <w:szCs w:val="48"/>
        </w:rPr>
      </w:pPr>
    </w:p>
    <w:p w:rsidR="007830C1" w:rsidRDefault="007830C1">
      <w:pPr>
        <w:ind w:right="2892"/>
        <w:rPr>
          <w:b/>
          <w:kern w:val="0"/>
          <w:sz w:val="48"/>
          <w:szCs w:val="48"/>
        </w:rPr>
      </w:pPr>
    </w:p>
    <w:p w:rsidR="007830C1" w:rsidRDefault="00110584">
      <w:pPr>
        <w:ind w:leftChars="270" w:left="567" w:rightChars="310" w:right="651" w:firstLineChars="28" w:firstLine="270"/>
        <w:jc w:val="distribute"/>
        <w:rPr>
          <w:rFonts w:ascii="黑体" w:eastAsia="黑体" w:hAnsi="黑体"/>
          <w:b/>
          <w:bCs/>
          <w:w w:val="90"/>
          <w:kern w:val="0"/>
          <w:sz w:val="96"/>
          <w:szCs w:val="48"/>
        </w:rPr>
      </w:pPr>
      <w:r>
        <w:rPr>
          <w:rFonts w:ascii="黑体" w:eastAsia="黑体" w:hAnsi="黑体" w:hint="eastAsia"/>
          <w:b/>
          <w:bCs/>
          <w:kern w:val="0"/>
          <w:sz w:val="96"/>
          <w:szCs w:val="48"/>
        </w:rPr>
        <w:t>团体标准</w:t>
      </w:r>
    </w:p>
    <w:p w:rsidR="007830C1" w:rsidRDefault="00110584">
      <w:pPr>
        <w:autoSpaceDE w:val="0"/>
        <w:autoSpaceDN w:val="0"/>
        <w:adjustRightInd w:val="0"/>
        <w:ind w:firstLineChars="2750" w:firstLine="7700"/>
        <w:jc w:val="left"/>
        <w:rPr>
          <w:rFonts w:ascii="黑体" w:eastAsia="黑体" w:cs="黑体"/>
          <w:kern w:val="0"/>
          <w:sz w:val="28"/>
          <w:szCs w:val="28"/>
        </w:rPr>
      </w:pPr>
      <w:r>
        <w:rPr>
          <w:rFonts w:ascii="黑体" w:eastAsia="黑体" w:cs="黑体" w:hint="eastAsia"/>
          <w:kern w:val="0"/>
          <w:sz w:val="28"/>
          <w:szCs w:val="28"/>
        </w:rPr>
        <w:t>T/</w:t>
      </w:r>
      <w:r>
        <w:rPr>
          <w:rFonts w:ascii="黑体" w:eastAsia="黑体" w:cs="黑体"/>
          <w:kern w:val="0"/>
          <w:sz w:val="28"/>
          <w:szCs w:val="28"/>
        </w:rPr>
        <w:t>ZGYSYJH</w:t>
      </w:r>
      <w:r>
        <w:rPr>
          <w:rFonts w:ascii="黑体" w:eastAsia="黑体" w:cs="黑体" w:hint="eastAsia"/>
          <w:kern w:val="0"/>
          <w:sz w:val="28"/>
          <w:szCs w:val="28"/>
        </w:rPr>
        <w:t xml:space="preserve"> </w:t>
      </w:r>
      <w:r w:rsidR="00F45E4D">
        <w:rPr>
          <w:rFonts w:ascii="黑体" w:eastAsia="黑体" w:cs="黑体" w:hint="eastAsia"/>
          <w:kern w:val="0"/>
          <w:sz w:val="28"/>
          <w:szCs w:val="28"/>
        </w:rPr>
        <w:t>XXX</w:t>
      </w:r>
      <w:r>
        <w:rPr>
          <w:rFonts w:ascii="黑体" w:eastAsia="黑体" w:cs="黑体"/>
          <w:kern w:val="0"/>
          <w:sz w:val="28"/>
          <w:szCs w:val="28"/>
        </w:rPr>
        <w:t>.</w:t>
      </w:r>
      <w:r>
        <w:rPr>
          <w:rFonts w:ascii="黑体" w:eastAsia="黑体" w:cs="黑体" w:hint="eastAsia"/>
          <w:kern w:val="0"/>
          <w:sz w:val="28"/>
          <w:szCs w:val="28"/>
        </w:rPr>
        <w:t>X-20</w:t>
      </w:r>
      <w:r w:rsidR="00F45E4D">
        <w:rPr>
          <w:rFonts w:ascii="黑体" w:eastAsia="黑体" w:cs="黑体" w:hint="eastAsia"/>
          <w:kern w:val="0"/>
          <w:sz w:val="28"/>
          <w:szCs w:val="28"/>
        </w:rPr>
        <w:t>XX</w:t>
      </w:r>
    </w:p>
    <w:p w:rsidR="007830C1" w:rsidRDefault="00E640BA">
      <w:pPr>
        <w:ind w:left="-1800" w:right="-1800"/>
        <w:jc w:val="left"/>
        <w:rPr>
          <w:rFonts w:ascii="宋体" w:hAnsi="宋体" w:cs="黑体"/>
          <w:kern w:val="0"/>
          <w:szCs w:val="21"/>
        </w:rPr>
      </w:pPr>
      <w:r>
        <w:rPr>
          <w:rFonts w:ascii="宋体" w:hAnsi="宋体" w:cs="黑体"/>
          <w:noProof/>
          <w:kern w:val="0"/>
          <w:szCs w:val="21"/>
        </w:rPr>
        <w:pict>
          <v:shapetype id="_x0000_t32" coordsize="21600,21600" o:spt="32" o:oned="t" path="m,l21600,21600e" filled="f">
            <v:path arrowok="t" fillok="f" o:connecttype="none"/>
            <o:lock v:ext="edit" shapetype="t"/>
          </v:shapetype>
          <v:shape id="AutoShape 2" o:spid="_x0000_s1026" type="#_x0000_t32" style="position:absolute;left:0;text-align:left;margin-left:44.5pt;margin-top:.65pt;width:498.9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"/>
        </w:pict>
      </w:r>
      <w:r w:rsidR="00110584">
        <w:rPr>
          <w:rFonts w:ascii="宋体" w:hAnsi="宋体" w:cs="黑体"/>
          <w:kern w:val="0"/>
          <w:szCs w:val="21"/>
        </w:rPr>
        <w:tab/>
      </w:r>
    </w:p>
    <w:p w:rsidR="007830C1" w:rsidRDefault="007830C1">
      <w:pPr>
        <w:tabs>
          <w:tab w:val="left" w:pos="5178"/>
        </w:tabs>
        <w:ind w:left="-1800" w:right="-1800"/>
        <w:jc w:val="left"/>
        <w:rPr>
          <w:rFonts w:ascii="宋体" w:hAnsi="宋体" w:cs="黑体"/>
          <w:kern w:val="0"/>
          <w:szCs w:val="21"/>
        </w:rPr>
      </w:pPr>
    </w:p>
    <w:p w:rsidR="007830C1" w:rsidRDefault="007830C1">
      <w:pPr>
        <w:tabs>
          <w:tab w:val="left" w:pos="5178"/>
        </w:tabs>
        <w:ind w:left="-1800" w:right="-1800"/>
        <w:jc w:val="left"/>
        <w:rPr>
          <w:rFonts w:ascii="宋体" w:hAnsi="宋体" w:cs="黑体"/>
          <w:kern w:val="0"/>
          <w:sz w:val="15"/>
          <w:szCs w:val="15"/>
        </w:rPr>
      </w:pPr>
    </w:p>
    <w:p w:rsidR="007830C1" w:rsidRDefault="007830C1">
      <w:pPr>
        <w:tabs>
          <w:tab w:val="left" w:pos="5178"/>
        </w:tabs>
        <w:ind w:left="-1800" w:right="-1800"/>
        <w:jc w:val="left"/>
        <w:rPr>
          <w:rFonts w:ascii="宋体" w:hAnsi="宋体" w:cs="黑体"/>
          <w:kern w:val="0"/>
          <w:szCs w:val="21"/>
        </w:rPr>
      </w:pPr>
    </w:p>
    <w:p w:rsidR="007830C1" w:rsidRDefault="007830C1">
      <w:pPr>
        <w:tabs>
          <w:tab w:val="left" w:pos="5178"/>
        </w:tabs>
        <w:ind w:left="-1800" w:right="-1800"/>
        <w:jc w:val="left"/>
        <w:rPr>
          <w:rFonts w:ascii="宋体" w:hAnsi="宋体" w:cs="黑体"/>
          <w:kern w:val="0"/>
          <w:szCs w:val="21"/>
        </w:rPr>
      </w:pPr>
    </w:p>
    <w:p w:rsidR="007830C1" w:rsidRDefault="007830C1">
      <w:pPr>
        <w:tabs>
          <w:tab w:val="left" w:pos="5178"/>
        </w:tabs>
        <w:ind w:left="-1800" w:right="-1800"/>
        <w:jc w:val="left"/>
        <w:rPr>
          <w:rFonts w:ascii="宋体" w:hAnsi="宋体" w:cs="黑体"/>
          <w:kern w:val="0"/>
          <w:szCs w:val="21"/>
        </w:rPr>
      </w:pPr>
    </w:p>
    <w:p w:rsidR="007830C1" w:rsidRDefault="007830C1">
      <w:pPr>
        <w:tabs>
          <w:tab w:val="left" w:pos="5178"/>
        </w:tabs>
        <w:ind w:left="-1800" w:right="-1800"/>
        <w:jc w:val="left"/>
        <w:rPr>
          <w:rFonts w:ascii="宋体" w:hAnsi="宋体" w:cs="黑体"/>
          <w:kern w:val="0"/>
          <w:szCs w:val="21"/>
        </w:rPr>
      </w:pPr>
    </w:p>
    <w:p w:rsidR="007830C1" w:rsidRDefault="00110584">
      <w:pPr>
        <w:ind w:left="-1797" w:right="-1797"/>
        <w:jc w:val="center"/>
        <w:rPr>
          <w:rFonts w:ascii="黑体" w:eastAsia="黑体" w:hAnsi="黑体" w:cs="黑体"/>
          <w:b/>
          <w:bCs/>
          <w:kern w:val="0"/>
          <w:sz w:val="52"/>
          <w:szCs w:val="52"/>
        </w:rPr>
      </w:pPr>
      <w:r>
        <w:rPr>
          <w:rFonts w:ascii="黑体" w:eastAsia="黑体" w:hAnsi="黑体" w:hint="eastAsia"/>
          <w:b/>
          <w:sz w:val="52"/>
          <w:szCs w:val="52"/>
        </w:rPr>
        <w:t>妇女产后月子汤药膳</w:t>
      </w:r>
      <w:r>
        <w:rPr>
          <w:rFonts w:ascii="黑体" w:eastAsia="黑体" w:hAnsi="黑体" w:cs="黑体" w:hint="eastAsia"/>
          <w:b/>
          <w:bCs/>
          <w:kern w:val="0"/>
          <w:sz w:val="52"/>
          <w:szCs w:val="52"/>
        </w:rPr>
        <w:t>指南</w:t>
      </w:r>
    </w:p>
    <w:p w:rsidR="007830C1" w:rsidRDefault="00110584">
      <w:pPr>
        <w:spacing w:line="560" w:lineRule="exact"/>
        <w:ind w:left="-1797" w:right="-1797"/>
        <w:jc w:val="center"/>
        <w:rPr>
          <w:rFonts w:ascii="Times New Roman" w:eastAsia="黑体" w:hAnsi="Times New Roman"/>
          <w:b/>
          <w:bCs/>
          <w:kern w:val="0"/>
          <w:sz w:val="28"/>
          <w:szCs w:val="28"/>
        </w:rPr>
      </w:pPr>
      <w:r>
        <w:rPr>
          <w:rFonts w:ascii="Times New Roman" w:eastAsia="黑体" w:hAnsi="Times New Roman" w:hint="eastAsia"/>
          <w:b/>
          <w:bCs/>
          <w:kern w:val="0"/>
          <w:sz w:val="28"/>
          <w:szCs w:val="28"/>
        </w:rPr>
        <w:t xml:space="preserve">Guidelines for the Medicinal Diet of Women's postpartum </w:t>
      </w:r>
      <w:proofErr w:type="spellStart"/>
      <w:r>
        <w:rPr>
          <w:rFonts w:ascii="Times New Roman" w:eastAsia="黑体" w:hAnsi="Times New Roman" w:hint="eastAsia"/>
          <w:b/>
          <w:bCs/>
          <w:kern w:val="0"/>
          <w:sz w:val="28"/>
          <w:szCs w:val="28"/>
        </w:rPr>
        <w:t>Puerpera</w:t>
      </w:r>
      <w:proofErr w:type="spellEnd"/>
      <w:r>
        <w:rPr>
          <w:rFonts w:ascii="Times New Roman" w:eastAsia="黑体" w:hAnsi="Times New Roman" w:hint="eastAsia"/>
          <w:b/>
          <w:bCs/>
          <w:kern w:val="0"/>
          <w:sz w:val="28"/>
          <w:szCs w:val="28"/>
        </w:rPr>
        <w:t xml:space="preserve"> soup</w:t>
      </w:r>
    </w:p>
    <w:p w:rsidR="007830C1" w:rsidRDefault="007830C1">
      <w:pPr>
        <w:spacing w:line="560" w:lineRule="exact"/>
        <w:ind w:left="-1797" w:right="-1797"/>
        <w:jc w:val="center"/>
        <w:rPr>
          <w:rFonts w:ascii="黑体" w:eastAsia="黑体" w:hAnsi="黑体" w:cs="黑体"/>
          <w:kern w:val="0"/>
          <w:sz w:val="28"/>
          <w:szCs w:val="28"/>
        </w:rPr>
      </w:pPr>
    </w:p>
    <w:p w:rsidR="007830C1" w:rsidRDefault="007830C1">
      <w:pPr>
        <w:spacing w:line="560" w:lineRule="exact"/>
        <w:ind w:left="-1797" w:right="-1797"/>
        <w:jc w:val="center"/>
        <w:rPr>
          <w:rFonts w:ascii="黑体" w:eastAsia="黑体" w:hAnsi="黑体" w:cs="黑体"/>
          <w:kern w:val="0"/>
          <w:sz w:val="28"/>
          <w:szCs w:val="28"/>
        </w:rPr>
      </w:pPr>
    </w:p>
    <w:p w:rsidR="007830C1" w:rsidRDefault="007830C1">
      <w:pPr>
        <w:ind w:left="-1800" w:right="-1800"/>
        <w:jc w:val="center"/>
        <w:rPr>
          <w:rFonts w:ascii="宋体" w:hAnsi="宋体" w:cs="黑体"/>
          <w:kern w:val="0"/>
          <w:sz w:val="28"/>
          <w:szCs w:val="28"/>
        </w:rPr>
      </w:pPr>
    </w:p>
    <w:p w:rsidR="007830C1" w:rsidRDefault="007830C1">
      <w:pPr>
        <w:ind w:left="-1800" w:right="-1800"/>
        <w:jc w:val="center"/>
        <w:rPr>
          <w:rFonts w:ascii="宋体" w:hAnsi="宋体" w:cs="黑体"/>
          <w:kern w:val="0"/>
          <w:sz w:val="28"/>
          <w:szCs w:val="28"/>
        </w:rPr>
      </w:pPr>
    </w:p>
    <w:p w:rsidR="007830C1" w:rsidRDefault="007830C1">
      <w:pPr>
        <w:ind w:left="-1800" w:right="-1800"/>
        <w:jc w:val="center"/>
        <w:rPr>
          <w:rFonts w:ascii="宋体" w:hAnsi="宋体" w:cs="黑体"/>
          <w:kern w:val="0"/>
          <w:sz w:val="28"/>
          <w:szCs w:val="28"/>
        </w:rPr>
      </w:pPr>
    </w:p>
    <w:p w:rsidR="007830C1" w:rsidRDefault="007830C1">
      <w:pPr>
        <w:ind w:left="-1800" w:right="-1800"/>
        <w:jc w:val="center"/>
        <w:rPr>
          <w:rFonts w:ascii="宋体" w:hAnsi="宋体" w:cs="黑体"/>
          <w:kern w:val="0"/>
          <w:sz w:val="28"/>
          <w:szCs w:val="28"/>
        </w:rPr>
      </w:pPr>
    </w:p>
    <w:p w:rsidR="007830C1" w:rsidRDefault="007830C1">
      <w:pPr>
        <w:ind w:left="-1800" w:right="-1800"/>
        <w:jc w:val="center"/>
        <w:rPr>
          <w:rFonts w:ascii="宋体" w:hAnsi="宋体" w:cs="黑体"/>
          <w:kern w:val="0"/>
          <w:sz w:val="28"/>
          <w:szCs w:val="28"/>
        </w:rPr>
      </w:pPr>
    </w:p>
    <w:p w:rsidR="007830C1" w:rsidRDefault="00E640BA">
      <w:pPr>
        <w:ind w:left="-1800" w:right="-1800"/>
        <w:jc w:val="center"/>
        <w:rPr>
          <w:rFonts w:ascii="黑体" w:eastAsia="黑体" w:hAnsi="黑体"/>
          <w:sz w:val="28"/>
          <w:szCs w:val="28"/>
          <w:u w:val="single"/>
        </w:rPr>
      </w:pPr>
      <w:r w:rsidRPr="00E640BA">
        <w:rPr>
          <w:rFonts w:ascii="宋体" w:hAnsi="宋体" w:cs="黑体"/>
          <w:noProof/>
          <w:kern w:val="0"/>
          <w:szCs w:val="21"/>
        </w:rPr>
        <w:pict>
          <v:shape id="_x0000_s1028" type="#_x0000_t32" style="position:absolute;left:0;text-align:left;margin-left:35.3pt;margin-top:30.7pt;width:498.9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"/>
        </w:pict>
      </w:r>
      <w:r w:rsidR="00110584">
        <w:rPr>
          <w:rFonts w:ascii="黑体" w:eastAsia="黑体" w:hAnsi="黑体" w:hint="eastAsia"/>
          <w:sz w:val="28"/>
          <w:szCs w:val="28"/>
        </w:rPr>
        <w:t>2020-XX-XX发布                                      2020-XX-XX实施</w:t>
      </w:r>
    </w:p>
    <w:p w:rsidR="007830C1" w:rsidRDefault="00110584">
      <w:pPr>
        <w:ind w:left="-1800" w:right="-1800"/>
        <w:jc w:val="center"/>
        <w:rPr>
          <w:rFonts w:ascii="黑体" w:eastAsia="黑体" w:hAnsi="黑体"/>
          <w:sz w:val="28"/>
          <w:szCs w:val="28"/>
        </w:rPr>
      </w:pPr>
      <w:r>
        <w:rPr>
          <w:rFonts w:ascii="方正小标宋简体" w:eastAsia="方正小标宋简体" w:hint="eastAsia"/>
          <w:spacing w:val="57"/>
          <w:sz w:val="44"/>
          <w:szCs w:val="44"/>
        </w:rPr>
        <w:t>中国药膳研究会</w:t>
      </w:r>
      <w:r>
        <w:rPr>
          <w:rFonts w:ascii="黑体" w:eastAsia="黑体" w:hAnsi="黑体" w:hint="eastAsia"/>
          <w:sz w:val="28"/>
          <w:szCs w:val="28"/>
        </w:rPr>
        <w:t xml:space="preserve">  发布</w:t>
      </w:r>
    </w:p>
    <w:p w:rsidR="007830C1" w:rsidRDefault="007830C1">
      <w:pPr>
        <w:widowControl/>
        <w:jc w:val="left"/>
        <w:rPr>
          <w:rFonts w:ascii="黑体" w:eastAsia="黑体" w:hAnsi="黑体"/>
          <w:sz w:val="28"/>
          <w:szCs w:val="28"/>
        </w:rPr>
        <w:sectPr w:rsidR="007830C1">
          <w:headerReference w:type="even" r:id="rId9"/>
          <w:headerReference w:type="default" r:id="rId10"/>
          <w:footerReference w:type="even" r:id="rId11"/>
          <w:footerReference w:type="default" r:id="rId12"/>
          <w:headerReference w:type="first" r:id="rId13"/>
          <w:footerReference w:type="first" r:id="rId14"/>
          <w:pgSz w:w="11906" w:h="16838"/>
          <w:pgMar w:top="232" w:right="232" w:bottom="249" w:left="232" w:header="851" w:footer="992" w:gutter="0"/>
          <w:cols w:space="425"/>
          <w:titlePg/>
          <w:docGrid w:type="linesAndChars" w:linePitch="312"/>
        </w:sectPr>
      </w:pPr>
    </w:p>
    <w:p w:rsidR="007830C1" w:rsidRDefault="00110584" w:rsidP="00F45E4D">
      <w:pPr>
        <w:pStyle w:val="20"/>
        <w:spacing w:beforeLines="200" w:afterLines="200" w:line="240" w:lineRule="auto"/>
        <w:ind w:leftChars="0" w:left="0" w:firstLine="0"/>
        <w:jc w:val="center"/>
        <w:rPr>
          <w:rFonts w:ascii="黑体" w:eastAsia="黑体" w:hAnsi="黑体"/>
          <w:b/>
          <w:sz w:val="32"/>
          <w:szCs w:val="32"/>
        </w:rPr>
      </w:pPr>
      <w:r>
        <w:rPr>
          <w:rFonts w:ascii="黑体" w:eastAsia="黑体" w:hAnsi="黑体" w:hint="eastAsia"/>
          <w:b/>
          <w:sz w:val="32"/>
          <w:szCs w:val="32"/>
        </w:rPr>
        <w:lastRenderedPageBreak/>
        <w:t>目    次</w:t>
      </w:r>
    </w:p>
    <w:p w:rsidR="007830C1" w:rsidRDefault="007830C1"/>
    <w:p w:rsidR="007830C1" w:rsidRDefault="00E640BA">
      <w:pPr>
        <w:pStyle w:val="20"/>
        <w:spacing w:after="0" w:line="240" w:lineRule="auto"/>
        <w:ind w:left="-2" w:firstLine="0"/>
        <w:rPr>
          <w:rFonts w:ascii="宋体" w:hAnsi="宋体"/>
          <w:sz w:val="21"/>
          <w:szCs w:val="21"/>
        </w:rPr>
      </w:pPr>
      <w:r>
        <w:rPr>
          <w:rFonts w:ascii="宋体" w:hAnsi="宋体"/>
          <w:sz w:val="21"/>
          <w:szCs w:val="21"/>
        </w:rPr>
        <w:fldChar w:fldCharType="begin"/>
      </w:r>
      <w:r w:rsidR="00110584">
        <w:rPr>
          <w:rFonts w:ascii="宋体" w:hAnsi="宋体"/>
          <w:sz w:val="21"/>
          <w:szCs w:val="21"/>
        </w:rPr>
        <w:instrText xml:space="preserve"> TOC \o "1-2" \f \u </w:instrText>
      </w:r>
      <w:r>
        <w:rPr>
          <w:rFonts w:ascii="宋体" w:hAnsi="宋体"/>
          <w:sz w:val="21"/>
          <w:szCs w:val="21"/>
        </w:rPr>
        <w:fldChar w:fldCharType="separate"/>
      </w:r>
      <w:r w:rsidR="00110584">
        <w:rPr>
          <w:rFonts w:ascii="宋体" w:hAnsi="宋体"/>
          <w:sz w:val="21"/>
          <w:szCs w:val="21"/>
        </w:rPr>
        <w:t>前言</w:t>
      </w:r>
      <w:r w:rsidR="00110584">
        <w:rPr>
          <w:rFonts w:ascii="宋体" w:hAnsi="宋体"/>
          <w:sz w:val="21"/>
          <w:szCs w:val="21"/>
        </w:rPr>
        <w:tab/>
      </w:r>
      <w:r w:rsidR="00110584">
        <w:rPr>
          <w:rFonts w:ascii="宋体" w:hAnsi="宋体" w:hint="eastAsia"/>
          <w:sz w:val="21"/>
          <w:szCs w:val="21"/>
        </w:rPr>
        <w:t>1</w:t>
      </w:r>
    </w:p>
    <w:p w:rsidR="007830C1" w:rsidRDefault="00110584">
      <w:pPr>
        <w:pStyle w:val="20"/>
        <w:spacing w:after="0" w:line="240" w:lineRule="auto"/>
        <w:ind w:left="-2" w:firstLine="0"/>
        <w:rPr>
          <w:rFonts w:ascii="宋体" w:hAnsi="宋体"/>
          <w:sz w:val="21"/>
          <w:szCs w:val="21"/>
        </w:rPr>
      </w:pPr>
      <w:r>
        <w:rPr>
          <w:rFonts w:ascii="宋体" w:hAnsi="宋体"/>
          <w:sz w:val="21"/>
          <w:szCs w:val="21"/>
        </w:rPr>
        <w:t>引言</w:t>
      </w:r>
      <w:r>
        <w:rPr>
          <w:rFonts w:ascii="宋体" w:hAnsi="宋体"/>
          <w:sz w:val="21"/>
          <w:szCs w:val="21"/>
        </w:rPr>
        <w:tab/>
      </w:r>
      <w:r>
        <w:rPr>
          <w:rFonts w:ascii="宋体" w:hAnsi="宋体" w:hint="eastAsia"/>
          <w:sz w:val="21"/>
          <w:szCs w:val="21"/>
        </w:rPr>
        <w:t>2</w:t>
      </w:r>
    </w:p>
    <w:p w:rsidR="007830C1" w:rsidRDefault="00110584">
      <w:pPr>
        <w:pStyle w:val="20"/>
        <w:ind w:left="0"/>
        <w:rPr>
          <w:rFonts w:ascii="宋体" w:hAnsi="宋体"/>
          <w:sz w:val="21"/>
          <w:szCs w:val="21"/>
        </w:rPr>
      </w:pPr>
      <w:r>
        <w:rPr>
          <w:rFonts w:ascii="宋体" w:hAnsi="宋体"/>
          <w:sz w:val="21"/>
          <w:szCs w:val="21"/>
        </w:rPr>
        <w:t>1 范围</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Chars="0" w:left="0" w:firstLine="0"/>
        <w:rPr>
          <w:rFonts w:ascii="宋体" w:hAnsi="宋体"/>
          <w:sz w:val="21"/>
          <w:szCs w:val="21"/>
        </w:rPr>
      </w:pPr>
      <w:r>
        <w:rPr>
          <w:rFonts w:ascii="宋体" w:hAnsi="宋体"/>
          <w:sz w:val="21"/>
          <w:szCs w:val="21"/>
        </w:rPr>
        <w:t>2 规范性引用文件</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2" w:firstLine="0"/>
        <w:rPr>
          <w:rFonts w:ascii="宋体" w:hAnsi="宋体"/>
          <w:sz w:val="21"/>
          <w:szCs w:val="21"/>
        </w:rPr>
      </w:pPr>
      <w:r>
        <w:rPr>
          <w:rFonts w:ascii="宋体" w:hAnsi="宋体"/>
          <w:sz w:val="21"/>
          <w:szCs w:val="21"/>
        </w:rPr>
        <w:t>3 术语和定义</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2" w:firstLine="0"/>
        <w:rPr>
          <w:rFonts w:ascii="宋体" w:hAnsi="宋体"/>
          <w:sz w:val="21"/>
          <w:szCs w:val="21"/>
        </w:rPr>
      </w:pPr>
      <w:r>
        <w:rPr>
          <w:rFonts w:ascii="宋体" w:hAnsi="宋体"/>
          <w:sz w:val="21"/>
          <w:szCs w:val="21"/>
        </w:rPr>
        <w:t>4 一般要求</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2" w:firstLine="0"/>
        <w:rPr>
          <w:rFonts w:ascii="宋体" w:hAnsi="宋体"/>
          <w:sz w:val="21"/>
          <w:szCs w:val="21"/>
        </w:rPr>
      </w:pPr>
      <w:r>
        <w:rPr>
          <w:rFonts w:ascii="宋体" w:hAnsi="宋体"/>
          <w:sz w:val="21"/>
          <w:szCs w:val="21"/>
        </w:rPr>
        <w:t>5 药膳制作</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2" w:firstLine="0"/>
        <w:rPr>
          <w:rFonts w:ascii="宋体" w:hAnsi="宋体"/>
          <w:sz w:val="21"/>
          <w:szCs w:val="21"/>
        </w:rPr>
      </w:pPr>
      <w:r>
        <w:rPr>
          <w:rFonts w:ascii="宋体" w:hAnsi="宋体" w:hint="eastAsia"/>
          <w:sz w:val="21"/>
          <w:szCs w:val="21"/>
        </w:rPr>
        <w:t xml:space="preserve">  </w:t>
      </w:r>
      <w:r>
        <w:rPr>
          <w:rFonts w:ascii="宋体" w:hAnsi="宋体"/>
          <w:sz w:val="21"/>
          <w:szCs w:val="21"/>
        </w:rPr>
        <w:t>5.1</w:t>
      </w:r>
      <w:r>
        <w:rPr>
          <w:rFonts w:ascii="宋体" w:hAnsi="宋体" w:hint="eastAsia"/>
          <w:sz w:val="21"/>
          <w:szCs w:val="21"/>
        </w:rPr>
        <w:t xml:space="preserve"> 产后</w:t>
      </w:r>
      <w:r>
        <w:rPr>
          <w:rFonts w:hint="eastAsia"/>
          <w:sz w:val="21"/>
          <w:szCs w:val="21"/>
        </w:rPr>
        <w:t>恶露不绝</w:t>
      </w:r>
      <w:r>
        <w:rPr>
          <w:rFonts w:ascii="宋体" w:hAnsi="宋体"/>
          <w:sz w:val="21"/>
          <w:szCs w:val="21"/>
        </w:rPr>
        <w:t>药膳汤</w:t>
      </w:r>
      <w:r>
        <w:rPr>
          <w:rFonts w:ascii="宋体" w:hAnsi="宋体"/>
          <w:sz w:val="21"/>
          <w:szCs w:val="21"/>
        </w:rPr>
        <w:tab/>
      </w:r>
      <w:r>
        <w:rPr>
          <w:rFonts w:ascii="宋体" w:hAnsi="宋体" w:hint="eastAsia"/>
          <w:sz w:val="21"/>
          <w:szCs w:val="21"/>
        </w:rPr>
        <w:t>3</w:t>
      </w:r>
    </w:p>
    <w:p w:rsidR="007830C1" w:rsidRDefault="00110584">
      <w:pPr>
        <w:pStyle w:val="20"/>
        <w:spacing w:after="0" w:line="240" w:lineRule="auto"/>
        <w:ind w:left="-2" w:firstLine="0"/>
        <w:rPr>
          <w:rFonts w:ascii="宋体" w:hAnsi="宋体"/>
          <w:sz w:val="21"/>
          <w:szCs w:val="21"/>
        </w:rPr>
      </w:pPr>
      <w:r>
        <w:rPr>
          <w:rFonts w:ascii="宋体" w:hAnsi="宋体" w:hint="eastAsia"/>
          <w:sz w:val="21"/>
          <w:szCs w:val="21"/>
        </w:rPr>
        <w:t xml:space="preserve">  </w:t>
      </w:r>
      <w:r>
        <w:rPr>
          <w:rFonts w:ascii="宋体" w:hAnsi="宋体"/>
          <w:sz w:val="21"/>
          <w:szCs w:val="21"/>
        </w:rPr>
        <w:t xml:space="preserve">5.2 </w:t>
      </w:r>
      <w:r>
        <w:rPr>
          <w:rFonts w:ascii="宋体" w:hAnsi="宋体" w:hint="eastAsia"/>
          <w:sz w:val="21"/>
          <w:szCs w:val="21"/>
        </w:rPr>
        <w:t>产后</w:t>
      </w:r>
      <w:r>
        <w:rPr>
          <w:rFonts w:hint="eastAsia"/>
          <w:sz w:val="21"/>
          <w:szCs w:val="21"/>
        </w:rPr>
        <w:t>缺乳</w:t>
      </w:r>
      <w:r>
        <w:rPr>
          <w:rFonts w:ascii="宋体" w:hAnsi="宋体"/>
          <w:sz w:val="21"/>
          <w:szCs w:val="21"/>
        </w:rPr>
        <w:t>药膳汤</w:t>
      </w:r>
      <w:r>
        <w:rPr>
          <w:rFonts w:ascii="宋体" w:hAnsi="宋体"/>
          <w:sz w:val="21"/>
          <w:szCs w:val="21"/>
        </w:rPr>
        <w:tab/>
      </w:r>
      <w:r>
        <w:rPr>
          <w:rFonts w:ascii="宋体" w:hAnsi="宋体" w:hint="eastAsia"/>
          <w:sz w:val="21"/>
          <w:szCs w:val="21"/>
        </w:rPr>
        <w:t>5</w:t>
      </w:r>
    </w:p>
    <w:p w:rsidR="007830C1" w:rsidRDefault="00110584">
      <w:pPr>
        <w:pStyle w:val="20"/>
        <w:spacing w:after="0" w:line="240" w:lineRule="auto"/>
        <w:ind w:left="-2" w:firstLine="0"/>
        <w:rPr>
          <w:rFonts w:ascii="宋体" w:hAnsi="宋体"/>
          <w:sz w:val="21"/>
          <w:szCs w:val="21"/>
        </w:rPr>
      </w:pPr>
      <w:r>
        <w:rPr>
          <w:rFonts w:ascii="宋体" w:hAnsi="宋体" w:hint="eastAsia"/>
          <w:sz w:val="21"/>
          <w:szCs w:val="21"/>
        </w:rPr>
        <w:t xml:space="preserve">  </w:t>
      </w:r>
      <w:r>
        <w:rPr>
          <w:rFonts w:ascii="宋体" w:hAnsi="宋体"/>
          <w:sz w:val="21"/>
          <w:szCs w:val="21"/>
        </w:rPr>
        <w:t xml:space="preserve">5.3 </w:t>
      </w:r>
      <w:r>
        <w:rPr>
          <w:rFonts w:ascii="宋体" w:hAnsi="宋体" w:hint="eastAsia"/>
          <w:sz w:val="21"/>
          <w:szCs w:val="21"/>
        </w:rPr>
        <w:t>产后大便难</w:t>
      </w:r>
      <w:r>
        <w:rPr>
          <w:rFonts w:ascii="宋体" w:hAnsi="宋体"/>
          <w:sz w:val="21"/>
          <w:szCs w:val="21"/>
        </w:rPr>
        <w:t>药膳汤</w:t>
      </w:r>
      <w:r>
        <w:rPr>
          <w:rFonts w:ascii="宋体" w:hAnsi="宋体"/>
          <w:sz w:val="21"/>
          <w:szCs w:val="21"/>
        </w:rPr>
        <w:tab/>
      </w:r>
      <w:r>
        <w:rPr>
          <w:rFonts w:ascii="宋体" w:hAnsi="宋体" w:hint="eastAsia"/>
          <w:sz w:val="21"/>
          <w:szCs w:val="21"/>
        </w:rPr>
        <w:t>8</w:t>
      </w:r>
    </w:p>
    <w:p w:rsidR="007830C1" w:rsidRDefault="00110584">
      <w:pPr>
        <w:pStyle w:val="20"/>
        <w:spacing w:after="0" w:line="240" w:lineRule="auto"/>
        <w:ind w:left="-2" w:firstLine="0"/>
        <w:rPr>
          <w:rFonts w:ascii="宋体" w:hAnsi="宋体"/>
          <w:sz w:val="21"/>
          <w:szCs w:val="21"/>
        </w:rPr>
      </w:pPr>
      <w:r>
        <w:rPr>
          <w:rFonts w:ascii="宋体" w:hAnsi="宋体"/>
          <w:sz w:val="21"/>
          <w:szCs w:val="21"/>
        </w:rPr>
        <w:t>附录A</w:t>
      </w:r>
      <w:r>
        <w:rPr>
          <w:rFonts w:ascii="宋体" w:hAnsi="宋体"/>
          <w:szCs w:val="21"/>
        </w:rPr>
        <w:t>（</w:t>
      </w:r>
      <w:r>
        <w:rPr>
          <w:rFonts w:ascii="宋体" w:hAnsi="宋体" w:hint="eastAsia"/>
          <w:szCs w:val="21"/>
        </w:rPr>
        <w:t>资料</w:t>
      </w:r>
      <w:r>
        <w:rPr>
          <w:rFonts w:ascii="宋体" w:hAnsi="宋体"/>
          <w:szCs w:val="21"/>
        </w:rPr>
        <w:t>性附录）</w:t>
      </w:r>
      <w:r>
        <w:rPr>
          <w:rFonts w:ascii="宋体" w:hAnsi="宋体" w:hint="eastAsia"/>
          <w:szCs w:val="21"/>
        </w:rPr>
        <w:t>可用于保健食品的物品名单 按照传统既是食品又是中药材物质目录</w:t>
      </w:r>
      <w:r>
        <w:rPr>
          <w:rFonts w:ascii="宋体" w:hAnsi="宋体"/>
          <w:sz w:val="21"/>
          <w:szCs w:val="21"/>
        </w:rPr>
        <w:tab/>
      </w:r>
      <w:r>
        <w:rPr>
          <w:rFonts w:ascii="宋体" w:hAnsi="宋体" w:hint="eastAsia"/>
          <w:sz w:val="21"/>
          <w:szCs w:val="21"/>
        </w:rPr>
        <w:t>9</w:t>
      </w:r>
    </w:p>
    <w:p w:rsidR="007830C1" w:rsidRDefault="00110584">
      <w:pPr>
        <w:pStyle w:val="20"/>
        <w:spacing w:after="0" w:line="240" w:lineRule="auto"/>
        <w:ind w:left="-2" w:firstLine="0"/>
      </w:pPr>
      <w:r>
        <w:rPr>
          <w:rFonts w:ascii="宋体" w:hAnsi="宋体" w:hint="eastAsia"/>
          <w:sz w:val="21"/>
          <w:szCs w:val="21"/>
        </w:rPr>
        <w:t>附录B</w:t>
      </w:r>
      <w:r>
        <w:rPr>
          <w:rFonts w:ascii="宋体" w:hAnsi="宋体"/>
          <w:szCs w:val="21"/>
        </w:rPr>
        <w:t>（</w:t>
      </w:r>
      <w:r>
        <w:rPr>
          <w:rFonts w:ascii="宋体" w:hAnsi="宋体" w:hint="eastAsia"/>
          <w:szCs w:val="21"/>
        </w:rPr>
        <w:t>资料</w:t>
      </w:r>
      <w:r>
        <w:rPr>
          <w:rFonts w:ascii="宋体" w:hAnsi="宋体"/>
          <w:szCs w:val="21"/>
        </w:rPr>
        <w:t>性附录）</w:t>
      </w:r>
      <w:r>
        <w:rPr>
          <w:rFonts w:ascii="宋体" w:hAnsi="宋体" w:hint="eastAsia"/>
          <w:szCs w:val="21"/>
        </w:rPr>
        <w:t>产后月子</w:t>
      </w:r>
      <w:r>
        <w:rPr>
          <w:rFonts w:ascii="宋体" w:hAnsi="宋体"/>
          <w:szCs w:val="21"/>
        </w:rPr>
        <w:t>汤药膳配方的理论依据</w:t>
      </w:r>
      <w:r>
        <w:rPr>
          <w:rFonts w:ascii="宋体" w:hAnsi="宋体"/>
          <w:sz w:val="21"/>
          <w:szCs w:val="21"/>
        </w:rPr>
        <w:tab/>
      </w:r>
      <w:r>
        <w:rPr>
          <w:rFonts w:ascii="宋体" w:hAnsi="宋体" w:hint="eastAsia"/>
          <w:sz w:val="21"/>
          <w:szCs w:val="21"/>
        </w:rPr>
        <w:t>10</w:t>
      </w:r>
    </w:p>
    <w:p w:rsidR="007830C1" w:rsidRDefault="00110584">
      <w:pPr>
        <w:pStyle w:val="20"/>
        <w:spacing w:after="0" w:line="240" w:lineRule="auto"/>
        <w:ind w:left="-2" w:firstLine="0"/>
        <w:rPr>
          <w:rFonts w:ascii="宋体" w:hAnsi="宋体"/>
          <w:sz w:val="21"/>
          <w:szCs w:val="21"/>
        </w:rPr>
      </w:pPr>
      <w:r>
        <w:rPr>
          <w:rFonts w:ascii="宋体" w:hAnsi="宋体"/>
          <w:sz w:val="21"/>
          <w:szCs w:val="21"/>
        </w:rPr>
        <w:t>参考文献</w:t>
      </w:r>
      <w:r>
        <w:rPr>
          <w:rFonts w:ascii="宋体" w:hAnsi="宋体"/>
          <w:sz w:val="21"/>
          <w:szCs w:val="21"/>
        </w:rPr>
        <w:tab/>
      </w:r>
      <w:r>
        <w:rPr>
          <w:rFonts w:ascii="宋体" w:hAnsi="宋体" w:hint="eastAsia"/>
          <w:sz w:val="21"/>
          <w:szCs w:val="21"/>
        </w:rPr>
        <w:t>11</w:t>
      </w:r>
    </w:p>
    <w:p w:rsidR="007830C1" w:rsidRDefault="00E640BA">
      <w:pPr>
        <w:pStyle w:val="20"/>
        <w:spacing w:after="0" w:line="240" w:lineRule="auto"/>
        <w:ind w:left="-2" w:firstLine="0"/>
      </w:pPr>
      <w:r>
        <w:rPr>
          <w:rFonts w:ascii="宋体" w:hAnsi="宋体"/>
          <w:sz w:val="21"/>
          <w:szCs w:val="21"/>
        </w:rPr>
        <w:fldChar w:fldCharType="end"/>
      </w:r>
    </w:p>
    <w:p w:rsidR="007830C1" w:rsidRDefault="007830C1"/>
    <w:p w:rsidR="007830C1" w:rsidRDefault="007830C1"/>
    <w:p w:rsidR="007830C1" w:rsidRDefault="007830C1">
      <w:pPr>
        <w:tabs>
          <w:tab w:val="center" w:pos="4201"/>
          <w:tab w:val="right" w:leader="dot" w:pos="9298"/>
        </w:tabs>
        <w:ind w:firstLineChars="200" w:firstLine="420"/>
        <w:rPr>
          <w:rFonts w:ascii="宋体" w:hAnsi="宋体"/>
          <w:szCs w:val="21"/>
        </w:rPr>
      </w:pPr>
    </w:p>
    <w:p w:rsidR="007830C1" w:rsidRDefault="007830C1">
      <w:pPr>
        <w:rPr>
          <w:rFonts w:ascii="宋体" w:hAnsi="宋体"/>
          <w:szCs w:val="21"/>
        </w:rPr>
      </w:pPr>
    </w:p>
    <w:p w:rsidR="007830C1" w:rsidRDefault="007830C1">
      <w:pPr>
        <w:rPr>
          <w:rFonts w:ascii="宋体" w:hAnsi="宋体"/>
          <w:szCs w:val="21"/>
        </w:rPr>
        <w:sectPr w:rsidR="007830C1">
          <w:footerReference w:type="default" r:id="rId15"/>
          <w:headerReference w:type="first" r:id="rId16"/>
          <w:pgSz w:w="11906" w:h="16838"/>
          <w:pgMar w:top="1440" w:right="1797" w:bottom="1440" w:left="1797" w:header="851" w:footer="992" w:gutter="0"/>
          <w:pgNumType w:fmt="upperRoman" w:start="1"/>
          <w:cols w:space="425"/>
          <w:docGrid w:linePitch="312"/>
        </w:sectPr>
      </w:pPr>
    </w:p>
    <w:p w:rsidR="007830C1" w:rsidRDefault="00110584" w:rsidP="00F45E4D">
      <w:pPr>
        <w:pStyle w:val="20"/>
        <w:spacing w:beforeLines="200" w:afterLines="200" w:line="240" w:lineRule="auto"/>
        <w:ind w:leftChars="0" w:left="0" w:firstLine="0"/>
        <w:jc w:val="center"/>
        <w:outlineLvl w:val="0"/>
        <w:rPr>
          <w:rFonts w:ascii="黑体" w:eastAsia="黑体" w:hAnsi="黑体"/>
          <w:b/>
          <w:sz w:val="32"/>
          <w:szCs w:val="32"/>
        </w:rPr>
      </w:pPr>
      <w:bookmarkStart w:id="0" w:name="_Toc14269"/>
      <w:bookmarkStart w:id="1" w:name="_Toc34136372"/>
      <w:bookmarkStart w:id="2" w:name="_Toc34125929"/>
      <w:r>
        <w:rPr>
          <w:rFonts w:ascii="黑体" w:eastAsia="黑体" w:hAnsi="黑体" w:hint="eastAsia"/>
          <w:b/>
          <w:sz w:val="32"/>
          <w:szCs w:val="32"/>
        </w:rPr>
        <w:lastRenderedPageBreak/>
        <w:t>前    言</w:t>
      </w:r>
      <w:bookmarkEnd w:id="0"/>
      <w:bookmarkEnd w:id="1"/>
      <w:bookmarkEnd w:id="2"/>
    </w:p>
    <w:p w:rsidR="007830C1" w:rsidRDefault="00110584" w:rsidP="00F45E4D">
      <w:pPr>
        <w:tabs>
          <w:tab w:val="center" w:pos="4201"/>
          <w:tab w:val="right" w:leader="dot" w:pos="9298"/>
        </w:tabs>
        <w:spacing w:beforeLines="100"/>
        <w:ind w:firstLineChars="200" w:firstLine="420"/>
        <w:rPr>
          <w:rFonts w:ascii="宋体" w:hAnsi="宋体"/>
          <w:szCs w:val="21"/>
        </w:rPr>
      </w:pPr>
      <w:r>
        <w:rPr>
          <w:rFonts w:ascii="宋体" w:hAnsi="宋体" w:hint="eastAsia"/>
          <w:szCs w:val="21"/>
        </w:rPr>
        <w:t>本指南按照GB/T1.1-2009《标准化工作导则 第1部分：标准的结构和编写》规定的规则起草。</w:t>
      </w:r>
    </w:p>
    <w:p w:rsidR="007830C1" w:rsidRDefault="00110584">
      <w:pPr>
        <w:tabs>
          <w:tab w:val="center" w:pos="4201"/>
          <w:tab w:val="right" w:leader="dot" w:pos="9298"/>
        </w:tabs>
        <w:ind w:firstLineChars="200" w:firstLine="420"/>
        <w:rPr>
          <w:rFonts w:ascii="宋体" w:hAnsi="宋体"/>
          <w:szCs w:val="21"/>
        </w:rPr>
      </w:pPr>
      <w:r>
        <w:rPr>
          <w:rFonts w:ascii="宋体" w:hAnsi="宋体" w:hint="eastAsia"/>
          <w:szCs w:val="21"/>
        </w:rPr>
        <w:t>本指南由中国药膳研究会提出。</w:t>
      </w:r>
    </w:p>
    <w:p w:rsidR="007830C1" w:rsidRDefault="00110584">
      <w:pPr>
        <w:tabs>
          <w:tab w:val="center" w:pos="4201"/>
          <w:tab w:val="right" w:leader="dot" w:pos="9298"/>
        </w:tabs>
        <w:ind w:firstLineChars="200" w:firstLine="420"/>
        <w:rPr>
          <w:rFonts w:ascii="宋体" w:hAnsi="宋体"/>
          <w:szCs w:val="21"/>
        </w:rPr>
      </w:pPr>
      <w:r>
        <w:rPr>
          <w:rFonts w:ascii="宋体" w:hAnsi="宋体" w:hint="eastAsia"/>
          <w:szCs w:val="21"/>
        </w:rPr>
        <w:t>本指南由中国药膳研究会标准化工作委员会归口。</w:t>
      </w:r>
    </w:p>
    <w:p w:rsidR="007830C1" w:rsidRDefault="00110584">
      <w:pPr>
        <w:tabs>
          <w:tab w:val="center" w:pos="4201"/>
          <w:tab w:val="right" w:leader="dot" w:pos="9298"/>
        </w:tabs>
        <w:ind w:firstLineChars="200" w:firstLine="420"/>
        <w:rPr>
          <w:rFonts w:ascii="宋体" w:hAnsi="宋体"/>
          <w:szCs w:val="21"/>
        </w:rPr>
      </w:pPr>
      <w:r>
        <w:rPr>
          <w:rFonts w:ascii="宋体" w:hAnsi="宋体" w:hint="eastAsia"/>
          <w:szCs w:val="21"/>
        </w:rPr>
        <w:t>本指南起草单位：哈尔滨显著医生集团医疗有限公司、中国药膳研究会、哈尔滨商业大学、海南医学院、黑龙江中医药大学、蓝海职业学校、东营市东营区职业中等专业学校、广西商业技师学院。</w:t>
      </w:r>
    </w:p>
    <w:p w:rsidR="007830C1" w:rsidRDefault="00110584">
      <w:pPr>
        <w:tabs>
          <w:tab w:val="center" w:pos="4201"/>
          <w:tab w:val="right" w:leader="dot" w:pos="9298"/>
        </w:tabs>
        <w:ind w:firstLineChars="200" w:firstLine="420"/>
        <w:rPr>
          <w:rFonts w:ascii="宋体" w:hAnsi="宋体"/>
          <w:szCs w:val="21"/>
        </w:rPr>
      </w:pPr>
      <w:r>
        <w:rPr>
          <w:rFonts w:ascii="宋体" w:hAnsi="宋体" w:hint="eastAsia"/>
          <w:szCs w:val="21"/>
        </w:rPr>
        <w:t>本指南主要起草人：李显筑、</w:t>
      </w:r>
      <w:r w:rsidR="006D61EC">
        <w:rPr>
          <w:rFonts w:ascii="宋体" w:hAnsi="宋体" w:hint="eastAsia"/>
          <w:szCs w:val="21"/>
        </w:rPr>
        <w:t>高思华、</w:t>
      </w:r>
      <w:bookmarkStart w:id="3" w:name="_GoBack"/>
      <w:bookmarkEnd w:id="3"/>
      <w:r>
        <w:rPr>
          <w:rFonts w:ascii="宋体" w:hAnsi="宋体" w:hint="eastAsia"/>
          <w:szCs w:val="21"/>
        </w:rPr>
        <w:t>王丹、杨铭铎、李叶双、齐晓琳、姚美玉、关立峰、李勇、曲方园、朱胜红、谢欣、任燕、温宏淳。</w:t>
      </w:r>
    </w:p>
    <w:p w:rsidR="007830C1" w:rsidRDefault="00110584">
      <w:pPr>
        <w:tabs>
          <w:tab w:val="center" w:pos="4201"/>
          <w:tab w:val="right" w:leader="dot" w:pos="9298"/>
        </w:tabs>
        <w:ind w:firstLineChars="200" w:firstLine="420"/>
        <w:rPr>
          <w:rFonts w:ascii="宋体" w:hAnsi="宋体"/>
          <w:szCs w:val="21"/>
        </w:rPr>
      </w:pPr>
      <w:r>
        <w:rPr>
          <w:rFonts w:ascii="宋体" w:hAnsi="宋体" w:hint="eastAsia"/>
          <w:szCs w:val="21"/>
        </w:rPr>
        <w:t>本指南技术指导专家（以姓氏笔画为序）：（待审查会和广泛征求意见后补上）</w:t>
      </w:r>
    </w:p>
    <w:p w:rsidR="007830C1" w:rsidRDefault="007830C1">
      <w:pPr>
        <w:tabs>
          <w:tab w:val="center" w:pos="4201"/>
          <w:tab w:val="right" w:leader="dot" w:pos="9298"/>
        </w:tabs>
        <w:ind w:firstLineChars="200" w:firstLine="420"/>
        <w:rPr>
          <w:rFonts w:ascii="宋体" w:hAnsi="宋体"/>
          <w:szCs w:val="21"/>
        </w:rPr>
      </w:pPr>
    </w:p>
    <w:p w:rsidR="007830C1" w:rsidRDefault="00110584" w:rsidP="00F45E4D">
      <w:pPr>
        <w:pStyle w:val="20"/>
        <w:spacing w:beforeLines="200" w:afterLines="200" w:line="240" w:lineRule="auto"/>
        <w:ind w:leftChars="0" w:left="0" w:firstLine="0"/>
        <w:jc w:val="center"/>
        <w:outlineLvl w:val="0"/>
        <w:rPr>
          <w:rFonts w:ascii="黑体" w:eastAsia="黑体" w:hAnsi="黑体"/>
          <w:b/>
          <w:sz w:val="32"/>
          <w:szCs w:val="32"/>
        </w:rPr>
      </w:pPr>
      <w:r>
        <w:rPr>
          <w:rFonts w:ascii="宋体" w:hAnsi="宋体" w:hint="eastAsia"/>
          <w:szCs w:val="21"/>
        </w:rPr>
        <w:br w:type="page"/>
      </w:r>
      <w:bookmarkStart w:id="4" w:name="_Toc34129437"/>
      <w:bookmarkStart w:id="5" w:name="_Toc13830"/>
      <w:bookmarkStart w:id="6" w:name="_Toc34136373"/>
      <w:bookmarkStart w:id="7" w:name="_Toc34129515"/>
      <w:bookmarkStart w:id="8" w:name="_Toc319"/>
      <w:bookmarkStart w:id="9" w:name="_Toc34125930"/>
      <w:bookmarkStart w:id="10" w:name="_Toc24678"/>
      <w:r>
        <w:rPr>
          <w:rFonts w:ascii="黑体" w:eastAsia="黑体" w:hAnsi="黑体" w:hint="eastAsia"/>
          <w:b/>
          <w:sz w:val="32"/>
          <w:szCs w:val="32"/>
        </w:rPr>
        <w:lastRenderedPageBreak/>
        <w:t>引    言</w:t>
      </w:r>
      <w:bookmarkEnd w:id="4"/>
      <w:bookmarkEnd w:id="5"/>
      <w:bookmarkEnd w:id="6"/>
      <w:bookmarkEnd w:id="7"/>
      <w:bookmarkEnd w:id="8"/>
      <w:bookmarkEnd w:id="9"/>
      <w:bookmarkEnd w:id="10"/>
    </w:p>
    <w:p w:rsidR="007830C1" w:rsidRDefault="00110584">
      <w:pPr>
        <w:ind w:firstLineChars="200" w:firstLine="420"/>
        <w:rPr>
          <w:rFonts w:ascii="宋体" w:hAnsi="宋体" w:cs="宋体"/>
          <w:bCs/>
          <w:szCs w:val="21"/>
        </w:rPr>
      </w:pPr>
      <w:bookmarkStart w:id="11" w:name="_Toc28383_WPSOffice_Level1"/>
      <w:bookmarkStart w:id="12" w:name="_Toc27433_WPSOffice_Level1"/>
      <w:bookmarkStart w:id="13" w:name="_Toc11334_WPSOffice_Level1"/>
      <w:bookmarkStart w:id="14" w:name="_Toc11823_WPSOffice_Level1"/>
      <w:bookmarkStart w:id="15" w:name="_Toc25587_WPSOffice_Level1"/>
      <w:r>
        <w:rPr>
          <w:rFonts w:ascii="宋体" w:hAnsi="宋体" w:cs="宋体" w:hint="eastAsia"/>
          <w:bCs/>
          <w:szCs w:val="21"/>
        </w:rPr>
        <w:t>“坐月子”是华人几千年延续下来的养生保健方法，对保障产妇和婴儿的健康具有重要意义。按照百姓习惯说法，“坐月子”包括“大月子”和“小月子”，大月子是指产妇生产后的一个月，在这个月中，需要科学系统地恢复身体、补充气血、顺利哺乳。具体养生方法包括环境因素、饮食因素等。例如室温适中，环境安静，保障睡眠，调节情志，膳食营养等。一般来说，人们比较重视大月子养生保健，容易忽视小月子的养生保健。但是专业医生指出，即便是受重视的大月子，也有许多产妇调养方法不当。例如产后“月子汤”的使用，许多人忽视了产后哺乳期的生理特点，胡乱进补，导致乳络堵塞，乳汁分泌不畅；还有的人长期恶露不下，损伤胞宫，日久肝肾亏虚。产后一周内以排毒通络为主，排除宫体内恶露，使体内保持洁净的内环境，同时要疏通宫络，以保障宫体健康。排除恶露后才是丰乳下奶，早期下奶要兼顾疏通乳络，特别是生第一胎的产妇，容易出现乳络不通，如果乳络不通，即使大量进补，也难以顺利下乳，而且还容易出现乳腺结节包块，轻则影响哺乳，重则发展为乳腺疾病。“月子汤”配制要考虑到产妇诸多因素，辨析体质，有的放矢，例如产妇在生产时出血导致的气血亏虚，种种因素导致的产后恶露不能及时排除，产后内外环境变化导致的情绪抑郁，产后气血亏虚导致的大便干燥等。</w:t>
      </w: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7830C1" w:rsidP="00F45E4D">
      <w:pPr>
        <w:tabs>
          <w:tab w:val="center" w:pos="4201"/>
          <w:tab w:val="right" w:leader="dot" w:pos="9298"/>
        </w:tabs>
        <w:spacing w:beforeLines="200" w:afterLines="200"/>
        <w:jc w:val="center"/>
        <w:outlineLvl w:val="0"/>
        <w:rPr>
          <w:rFonts w:ascii="黑体" w:eastAsia="黑体" w:hAnsi="黑体" w:cs="黑体"/>
          <w:b/>
          <w:sz w:val="32"/>
          <w:szCs w:val="32"/>
        </w:rPr>
      </w:pPr>
    </w:p>
    <w:p w:rsidR="007830C1" w:rsidRDefault="00110584" w:rsidP="00F45E4D">
      <w:pPr>
        <w:tabs>
          <w:tab w:val="center" w:pos="4201"/>
          <w:tab w:val="right" w:leader="dot" w:pos="9298"/>
        </w:tabs>
        <w:spacing w:beforeLines="200" w:afterLines="200"/>
        <w:jc w:val="center"/>
        <w:outlineLvl w:val="0"/>
        <w:rPr>
          <w:rFonts w:ascii="黑体" w:eastAsia="黑体" w:hAnsi="宋体" w:cs="Arial"/>
          <w:b/>
          <w:sz w:val="32"/>
          <w:szCs w:val="32"/>
        </w:rPr>
      </w:pPr>
      <w:r>
        <w:rPr>
          <w:rFonts w:ascii="黑体" w:eastAsia="黑体" w:hAnsi="黑体" w:cs="黑体" w:hint="eastAsia"/>
          <w:b/>
          <w:sz w:val="32"/>
          <w:szCs w:val="32"/>
        </w:rPr>
        <w:t>产后月子汤药膳指南</w:t>
      </w:r>
      <w:bookmarkEnd w:id="11"/>
      <w:bookmarkEnd w:id="12"/>
      <w:bookmarkEnd w:id="13"/>
      <w:bookmarkEnd w:id="14"/>
      <w:bookmarkEnd w:id="15"/>
    </w:p>
    <w:p w:rsidR="007830C1" w:rsidRDefault="00110584" w:rsidP="00F45E4D">
      <w:pPr>
        <w:spacing w:beforeLines="100" w:afterLines="100"/>
        <w:outlineLvl w:val="0"/>
        <w:rPr>
          <w:rFonts w:ascii="黑体" w:eastAsia="黑体" w:hAnsi="黑体"/>
          <w:szCs w:val="21"/>
        </w:rPr>
      </w:pPr>
      <w:bookmarkStart w:id="16" w:name="_Toc34125931"/>
      <w:bookmarkStart w:id="17" w:name="_Toc34129516"/>
      <w:bookmarkStart w:id="18" w:name="_Toc34129438"/>
      <w:bookmarkStart w:id="19" w:name="_Toc24451"/>
      <w:bookmarkStart w:id="20" w:name="_Toc10427"/>
      <w:bookmarkStart w:id="21" w:name="_Toc34136374"/>
      <w:bookmarkStart w:id="22" w:name="_Toc22852_WPSOffice_Level1"/>
      <w:bookmarkStart w:id="23" w:name="_Toc22104"/>
      <w:r>
        <w:rPr>
          <w:rFonts w:ascii="黑体" w:eastAsia="黑体" w:hAnsi="黑体"/>
          <w:szCs w:val="21"/>
        </w:rPr>
        <w:t>1</w:t>
      </w:r>
      <w:r>
        <w:rPr>
          <w:rFonts w:ascii="黑体" w:eastAsia="黑体" w:hAnsi="黑体" w:hint="eastAsia"/>
          <w:szCs w:val="21"/>
        </w:rPr>
        <w:t xml:space="preserve">  </w:t>
      </w:r>
      <w:r>
        <w:rPr>
          <w:rFonts w:ascii="黑体" w:eastAsia="黑体" w:hAnsi="黑体"/>
          <w:szCs w:val="21"/>
        </w:rPr>
        <w:t>范围</w:t>
      </w:r>
      <w:bookmarkEnd w:id="16"/>
      <w:bookmarkEnd w:id="17"/>
      <w:bookmarkEnd w:id="18"/>
      <w:bookmarkEnd w:id="19"/>
      <w:bookmarkEnd w:id="20"/>
      <w:bookmarkEnd w:id="21"/>
      <w:bookmarkEnd w:id="22"/>
      <w:bookmarkEnd w:id="23"/>
    </w:p>
    <w:p w:rsidR="007830C1" w:rsidRDefault="00110584">
      <w:pPr>
        <w:tabs>
          <w:tab w:val="center" w:pos="4201"/>
          <w:tab w:val="right" w:leader="dot" w:pos="9298"/>
        </w:tabs>
        <w:ind w:firstLineChars="200" w:firstLine="420"/>
        <w:rPr>
          <w:rFonts w:ascii="Times New Roman" w:hAnsi="Times New Roman"/>
          <w:szCs w:val="21"/>
        </w:rPr>
      </w:pPr>
      <w:r>
        <w:rPr>
          <w:rFonts w:ascii="Times New Roman" w:hAnsi="Times New Roman"/>
          <w:szCs w:val="21"/>
        </w:rPr>
        <w:t>本指南规定了产后</w:t>
      </w:r>
      <w:r>
        <w:rPr>
          <w:rFonts w:ascii="Times New Roman" w:hAnsi="Times New Roman" w:hint="eastAsia"/>
          <w:szCs w:val="21"/>
        </w:rPr>
        <w:t>恶露不绝、</w:t>
      </w:r>
      <w:r>
        <w:rPr>
          <w:rFonts w:ascii="Times New Roman" w:hAnsi="Times New Roman"/>
          <w:szCs w:val="21"/>
        </w:rPr>
        <w:t>产后</w:t>
      </w:r>
      <w:r>
        <w:rPr>
          <w:rFonts w:ascii="Times New Roman" w:hAnsi="Times New Roman" w:hint="eastAsia"/>
          <w:szCs w:val="21"/>
        </w:rPr>
        <w:t>缺乳、</w:t>
      </w:r>
      <w:r>
        <w:rPr>
          <w:rFonts w:ascii="Times New Roman" w:hAnsi="Times New Roman"/>
          <w:szCs w:val="21"/>
        </w:rPr>
        <w:t>产后</w:t>
      </w:r>
      <w:r>
        <w:rPr>
          <w:rFonts w:ascii="Times New Roman" w:hAnsi="Times New Roman" w:hint="eastAsia"/>
          <w:szCs w:val="21"/>
        </w:rPr>
        <w:t>大便难</w:t>
      </w:r>
      <w:r>
        <w:rPr>
          <w:rFonts w:ascii="Times New Roman" w:hAnsi="Times New Roman"/>
          <w:szCs w:val="21"/>
        </w:rPr>
        <w:t>的</w:t>
      </w:r>
      <w:r>
        <w:rPr>
          <w:rFonts w:ascii="Times New Roman" w:hAnsi="Times New Roman" w:hint="eastAsia"/>
          <w:kern w:val="0"/>
          <w:szCs w:val="21"/>
        </w:rPr>
        <w:t>月子汤</w:t>
      </w:r>
      <w:r>
        <w:rPr>
          <w:rFonts w:ascii="Times New Roman" w:hAnsi="Times New Roman"/>
          <w:szCs w:val="21"/>
        </w:rPr>
        <w:t>药膳食材选择、配方、烹饪方法、功效、适用范围及禁忌。</w:t>
      </w:r>
    </w:p>
    <w:p w:rsidR="007830C1" w:rsidRDefault="00110584">
      <w:pPr>
        <w:tabs>
          <w:tab w:val="center" w:pos="4201"/>
          <w:tab w:val="right" w:leader="dot" w:pos="9298"/>
        </w:tabs>
        <w:ind w:firstLineChars="200" w:firstLine="420"/>
        <w:rPr>
          <w:rFonts w:ascii="Times New Roman" w:hAnsi="Times New Roman"/>
          <w:szCs w:val="21"/>
        </w:rPr>
      </w:pPr>
      <w:r>
        <w:rPr>
          <w:rFonts w:ascii="Times New Roman" w:hAnsi="Times New Roman"/>
          <w:szCs w:val="21"/>
        </w:rPr>
        <w:t>本指南适用于</w:t>
      </w:r>
      <w:r>
        <w:rPr>
          <w:rFonts w:ascii="Times New Roman" w:hAnsi="Times New Roman" w:hint="eastAsia"/>
          <w:szCs w:val="21"/>
        </w:rPr>
        <w:t>产后</w:t>
      </w:r>
      <w:r>
        <w:rPr>
          <w:rFonts w:ascii="Times New Roman" w:hAnsi="Times New Roman"/>
          <w:szCs w:val="21"/>
        </w:rPr>
        <w:t>月子期间以及哺乳期间的食养调理。</w:t>
      </w:r>
    </w:p>
    <w:p w:rsidR="007830C1" w:rsidRDefault="00110584" w:rsidP="00F45E4D">
      <w:pPr>
        <w:spacing w:beforeLines="100" w:afterLines="100"/>
        <w:outlineLvl w:val="0"/>
        <w:rPr>
          <w:rFonts w:ascii="黑体" w:eastAsia="黑体" w:hAnsi="黑体"/>
          <w:szCs w:val="21"/>
        </w:rPr>
      </w:pPr>
      <w:bookmarkStart w:id="24" w:name="_Toc34129439"/>
      <w:bookmarkStart w:id="25" w:name="_Toc2061"/>
      <w:bookmarkStart w:id="26" w:name="_Toc34136375"/>
      <w:bookmarkStart w:id="27" w:name="_Toc34129517"/>
      <w:bookmarkStart w:id="28" w:name="_Toc25029"/>
      <w:bookmarkStart w:id="29" w:name="_Toc7860_WPSOffice_Level1"/>
      <w:bookmarkStart w:id="30" w:name="_Toc1073"/>
      <w:bookmarkStart w:id="31" w:name="_Toc34125932"/>
      <w:r>
        <w:rPr>
          <w:rFonts w:ascii="黑体" w:eastAsia="黑体" w:hAnsi="黑体"/>
          <w:szCs w:val="21"/>
        </w:rPr>
        <w:t xml:space="preserve">2 </w:t>
      </w:r>
      <w:r>
        <w:rPr>
          <w:rFonts w:ascii="黑体" w:eastAsia="黑体" w:hAnsi="黑体" w:hint="eastAsia"/>
          <w:szCs w:val="21"/>
        </w:rPr>
        <w:t xml:space="preserve"> </w:t>
      </w:r>
      <w:r>
        <w:rPr>
          <w:rFonts w:ascii="黑体" w:eastAsia="黑体" w:hAnsi="黑体"/>
          <w:szCs w:val="21"/>
        </w:rPr>
        <w:t>规范性引用文件</w:t>
      </w:r>
      <w:bookmarkEnd w:id="24"/>
      <w:bookmarkEnd w:id="25"/>
      <w:bookmarkEnd w:id="26"/>
      <w:bookmarkEnd w:id="27"/>
      <w:bookmarkEnd w:id="28"/>
      <w:bookmarkEnd w:id="29"/>
      <w:bookmarkEnd w:id="30"/>
      <w:bookmarkEnd w:id="31"/>
    </w:p>
    <w:p w:rsidR="007830C1" w:rsidRDefault="00110584">
      <w:pPr>
        <w:ind w:firstLineChars="200" w:firstLine="420"/>
        <w:rPr>
          <w:rFonts w:ascii="Times New Roman" w:hAnsi="Times New Roman"/>
          <w:szCs w:val="21"/>
        </w:rPr>
      </w:pPr>
      <w:r>
        <w:rPr>
          <w:rFonts w:ascii="Times New Roman" w:hAnsi="Times New Roman"/>
          <w:szCs w:val="21"/>
        </w:rPr>
        <w:t>下列文件对于本文件的引用是必不可少的。凡是注日期的引用文件，仅注日期的版本适用于本文件。凡是不注日期的引用文件，其最新版本（包括所有的修改单）适用于本文件。</w:t>
      </w:r>
    </w:p>
    <w:p w:rsidR="007830C1" w:rsidRDefault="00110584">
      <w:pPr>
        <w:rPr>
          <w:rFonts w:ascii="Times New Roman" w:hAnsi="Times New Roman"/>
          <w:szCs w:val="21"/>
        </w:rPr>
      </w:pPr>
      <w:r>
        <w:rPr>
          <w:rFonts w:ascii="Times New Roman" w:hAnsi="Times New Roman" w:hint="eastAsia"/>
          <w:szCs w:val="21"/>
        </w:rPr>
        <w:t xml:space="preserve">    ISBN</w:t>
      </w:r>
      <w:r>
        <w:rPr>
          <w:rFonts w:ascii="Times New Roman" w:hAnsi="Times New Roman" w:hint="eastAsia"/>
          <w:szCs w:val="21"/>
        </w:rPr>
        <w:t>：</w:t>
      </w:r>
      <w:r>
        <w:rPr>
          <w:rFonts w:ascii="Times New Roman" w:hAnsi="Times New Roman" w:hint="eastAsia"/>
          <w:szCs w:val="21"/>
        </w:rPr>
        <w:t>9787513226592</w:t>
      </w:r>
      <w:r>
        <w:rPr>
          <w:rFonts w:ascii="Times New Roman" w:hAnsi="Times New Roman" w:hint="eastAsia"/>
          <w:szCs w:val="21"/>
        </w:rPr>
        <w:t>，中医临床</w:t>
      </w:r>
      <w:r>
        <w:rPr>
          <w:rFonts w:ascii="Times New Roman" w:hAnsi="Times New Roman"/>
          <w:szCs w:val="21"/>
        </w:rPr>
        <w:t>诊疗指南释义</w:t>
      </w:r>
      <w:r>
        <w:rPr>
          <w:rFonts w:ascii="Times New Roman" w:hAnsi="Times New Roman" w:hint="eastAsia"/>
          <w:szCs w:val="21"/>
        </w:rPr>
        <w:t>·妇科疾病分册。</w:t>
      </w:r>
    </w:p>
    <w:p w:rsidR="007830C1" w:rsidRDefault="00110584" w:rsidP="00F45E4D">
      <w:pPr>
        <w:spacing w:beforeLines="100" w:afterLines="100"/>
        <w:outlineLvl w:val="0"/>
        <w:rPr>
          <w:rFonts w:ascii="黑体" w:eastAsia="黑体" w:hAnsi="黑体"/>
          <w:szCs w:val="21"/>
        </w:rPr>
      </w:pPr>
      <w:bookmarkStart w:id="32" w:name="_Toc10593"/>
      <w:bookmarkStart w:id="33" w:name="_Toc34125933"/>
      <w:bookmarkStart w:id="34" w:name="_Toc34129440"/>
      <w:bookmarkStart w:id="35" w:name="_Toc14365"/>
      <w:bookmarkStart w:id="36" w:name="_Toc30566_WPSOffice_Level1"/>
      <w:bookmarkStart w:id="37" w:name="_Toc34129518"/>
      <w:bookmarkStart w:id="38" w:name="_Toc14984"/>
      <w:bookmarkStart w:id="39" w:name="_Toc34136376"/>
      <w:r>
        <w:rPr>
          <w:rFonts w:ascii="黑体" w:eastAsia="黑体" w:hAnsi="黑体"/>
          <w:szCs w:val="21"/>
        </w:rPr>
        <w:t>3</w:t>
      </w:r>
      <w:r>
        <w:rPr>
          <w:rFonts w:ascii="黑体" w:eastAsia="黑体" w:hAnsi="黑体" w:hint="eastAsia"/>
          <w:szCs w:val="21"/>
        </w:rPr>
        <w:t xml:space="preserve">  </w:t>
      </w:r>
      <w:r>
        <w:rPr>
          <w:rFonts w:ascii="黑体" w:eastAsia="黑体" w:hAnsi="黑体"/>
          <w:szCs w:val="21"/>
        </w:rPr>
        <w:t>术语和定义</w:t>
      </w:r>
      <w:bookmarkEnd w:id="32"/>
      <w:bookmarkEnd w:id="33"/>
      <w:bookmarkEnd w:id="34"/>
      <w:bookmarkEnd w:id="35"/>
      <w:bookmarkEnd w:id="36"/>
      <w:bookmarkEnd w:id="37"/>
      <w:bookmarkEnd w:id="38"/>
      <w:bookmarkEnd w:id="39"/>
    </w:p>
    <w:p w:rsidR="007830C1" w:rsidRDefault="00110584">
      <w:pPr>
        <w:ind w:firstLineChars="200" w:firstLine="420"/>
        <w:rPr>
          <w:rFonts w:ascii="Times New Roman" w:hAnsi="Times New Roman"/>
          <w:szCs w:val="21"/>
        </w:rPr>
      </w:pPr>
      <w:r>
        <w:rPr>
          <w:rFonts w:ascii="Times New Roman" w:hAnsi="Times New Roman"/>
          <w:szCs w:val="21"/>
        </w:rPr>
        <w:t>下列术语和定义适用于本指南。</w:t>
      </w:r>
    </w:p>
    <w:p w:rsidR="007830C1" w:rsidRDefault="00110584">
      <w:pPr>
        <w:rPr>
          <w:rFonts w:ascii="黑体" w:eastAsia="黑体" w:hAnsi="黑体"/>
          <w:szCs w:val="21"/>
        </w:rPr>
      </w:pPr>
      <w:r>
        <w:rPr>
          <w:rFonts w:ascii="黑体" w:eastAsia="黑体" w:hAnsi="黑体"/>
          <w:szCs w:val="21"/>
        </w:rPr>
        <w:t>3.1</w:t>
      </w:r>
    </w:p>
    <w:p w:rsidR="007830C1" w:rsidRDefault="00110584">
      <w:pPr>
        <w:ind w:firstLineChars="200" w:firstLine="420"/>
        <w:rPr>
          <w:rFonts w:ascii="Times New Roman" w:hAnsi="Times New Roman"/>
          <w:b/>
          <w:bCs/>
        </w:rPr>
      </w:pPr>
      <w:r>
        <w:rPr>
          <w:rFonts w:ascii="黑体" w:eastAsia="黑体" w:hAnsi="黑体" w:cs="黑体" w:hint="eastAsia"/>
        </w:rPr>
        <w:t xml:space="preserve">产后恶露不绝 postpartum </w:t>
      </w:r>
      <w:proofErr w:type="spellStart"/>
      <w:r>
        <w:rPr>
          <w:rFonts w:ascii="黑体" w:eastAsia="黑体" w:hAnsi="黑体" w:cs="黑体" w:hint="eastAsia"/>
        </w:rPr>
        <w:t>lochiorrher</w:t>
      </w:r>
      <w:proofErr w:type="spellEnd"/>
    </w:p>
    <w:p w:rsidR="007830C1" w:rsidRDefault="00110584">
      <w:pPr>
        <w:ind w:firstLineChars="200" w:firstLine="420"/>
        <w:rPr>
          <w:rFonts w:ascii="Times New Roman" w:hAnsi="Times New Roman"/>
        </w:rPr>
      </w:pPr>
      <w:r>
        <w:rPr>
          <w:rFonts w:ascii="Times New Roman" w:hAnsi="Times New Roman" w:hint="eastAsia"/>
        </w:rPr>
        <w:t>产后恶露不绝是指产后血性恶露持续</w:t>
      </w:r>
      <w:r>
        <w:rPr>
          <w:rFonts w:ascii="Times New Roman" w:hAnsi="Times New Roman" w:hint="eastAsia"/>
        </w:rPr>
        <w:t>10</w:t>
      </w:r>
      <w:r>
        <w:rPr>
          <w:rFonts w:ascii="Times New Roman" w:hAnsi="Times New Roman" w:hint="eastAsia"/>
        </w:rPr>
        <w:t>天以上仍淋漓不尽或计划生育终止妊娠后，出血超过</w:t>
      </w:r>
      <w:r>
        <w:rPr>
          <w:rFonts w:ascii="Times New Roman" w:hAnsi="Times New Roman" w:hint="eastAsia"/>
        </w:rPr>
        <w:t>10</w:t>
      </w:r>
      <w:r>
        <w:rPr>
          <w:rFonts w:ascii="Times New Roman" w:hAnsi="Times New Roman" w:hint="eastAsia"/>
        </w:rPr>
        <w:t>天以上者。又称“恶露不尽”、“恶露不止”、“血露不尽”</w:t>
      </w:r>
      <w:r>
        <w:rPr>
          <w:rFonts w:ascii="Times New Roman" w:hAnsi="Times New Roman" w:hint="eastAsia"/>
          <w:vertAlign w:val="superscript"/>
        </w:rPr>
        <w:t>[1]</w:t>
      </w:r>
      <w:r>
        <w:rPr>
          <w:rFonts w:ascii="Times New Roman" w:hAnsi="Times New Roman" w:hint="eastAsia"/>
        </w:rPr>
        <w:t>。</w:t>
      </w:r>
    </w:p>
    <w:p w:rsidR="007830C1" w:rsidRDefault="00110584">
      <w:pPr>
        <w:rPr>
          <w:rFonts w:ascii="黑体" w:eastAsia="黑体" w:hAnsi="黑体"/>
          <w:szCs w:val="21"/>
        </w:rPr>
      </w:pPr>
      <w:r>
        <w:rPr>
          <w:rFonts w:ascii="黑体" w:eastAsia="黑体" w:hAnsi="黑体"/>
          <w:szCs w:val="21"/>
        </w:rPr>
        <w:t>3.</w:t>
      </w:r>
      <w:r>
        <w:rPr>
          <w:rFonts w:ascii="黑体" w:eastAsia="黑体" w:hAnsi="黑体" w:hint="eastAsia"/>
          <w:szCs w:val="21"/>
        </w:rPr>
        <w:t>2</w:t>
      </w:r>
    </w:p>
    <w:p w:rsidR="007830C1" w:rsidRDefault="00110584">
      <w:pPr>
        <w:ind w:firstLine="435"/>
        <w:rPr>
          <w:rFonts w:ascii="黑体" w:eastAsia="黑体" w:hAnsi="黑体"/>
          <w:szCs w:val="21"/>
        </w:rPr>
      </w:pPr>
      <w:r>
        <w:rPr>
          <w:rFonts w:ascii="黑体" w:eastAsia="黑体" w:hAnsi="黑体" w:hint="eastAsia"/>
          <w:szCs w:val="21"/>
        </w:rPr>
        <w:t xml:space="preserve">缺乳 </w:t>
      </w:r>
      <w:proofErr w:type="spellStart"/>
      <w:r>
        <w:rPr>
          <w:rFonts w:ascii="黑体" w:eastAsia="黑体" w:hAnsi="黑体" w:hint="eastAsia"/>
          <w:szCs w:val="21"/>
        </w:rPr>
        <w:t>agalactia</w:t>
      </w:r>
      <w:proofErr w:type="spellEnd"/>
    </w:p>
    <w:p w:rsidR="007830C1" w:rsidRDefault="00110584">
      <w:pPr>
        <w:ind w:firstLine="435"/>
        <w:rPr>
          <w:rFonts w:asciiTheme="minorEastAsia" w:eastAsiaTheme="minorEastAsia" w:hAnsiTheme="minorEastAsia"/>
          <w:szCs w:val="21"/>
        </w:rPr>
      </w:pPr>
      <w:r>
        <w:rPr>
          <w:rFonts w:asciiTheme="minorEastAsia" w:eastAsiaTheme="minorEastAsia" w:hAnsiTheme="minorEastAsia" w:hint="eastAsia"/>
          <w:szCs w:val="21"/>
        </w:rPr>
        <w:t>缺乳是指产妇在哺乳期内，乳汁甚少或全无。又称“乳汁不行”、“乳汁不通”“乳无汁”、“乳汁不足”、“乳汁不下”、“乳迟不来”</w:t>
      </w:r>
      <w:r>
        <w:rPr>
          <w:rFonts w:ascii="Times New Roman" w:eastAsiaTheme="minorEastAsia" w:hAnsi="Times New Roman" w:hint="eastAsia"/>
          <w:szCs w:val="21"/>
          <w:vertAlign w:val="superscript"/>
        </w:rPr>
        <w:t>[2]</w:t>
      </w:r>
      <w:r>
        <w:rPr>
          <w:rFonts w:asciiTheme="minorEastAsia" w:eastAsiaTheme="minorEastAsia" w:hAnsiTheme="minorEastAsia" w:hint="eastAsia"/>
          <w:szCs w:val="21"/>
        </w:rPr>
        <w:t>。</w:t>
      </w:r>
    </w:p>
    <w:p w:rsidR="007830C1" w:rsidRDefault="00110584">
      <w:pPr>
        <w:rPr>
          <w:rFonts w:ascii="黑体" w:eastAsia="黑体" w:hAnsi="黑体"/>
          <w:szCs w:val="21"/>
        </w:rPr>
      </w:pPr>
      <w:r>
        <w:rPr>
          <w:rFonts w:ascii="黑体" w:eastAsia="黑体" w:hAnsi="黑体"/>
          <w:szCs w:val="21"/>
        </w:rPr>
        <w:t>3.</w:t>
      </w:r>
      <w:r>
        <w:rPr>
          <w:rFonts w:ascii="黑体" w:eastAsia="黑体" w:hAnsi="黑体" w:hint="eastAsia"/>
          <w:szCs w:val="21"/>
        </w:rPr>
        <w:t>3</w:t>
      </w:r>
    </w:p>
    <w:p w:rsidR="007830C1" w:rsidRDefault="00110584">
      <w:pPr>
        <w:ind w:firstLine="435"/>
        <w:rPr>
          <w:rFonts w:ascii="黑体" w:eastAsia="黑体" w:hAnsi="黑体"/>
          <w:szCs w:val="21"/>
        </w:rPr>
      </w:pPr>
      <w:r>
        <w:rPr>
          <w:rFonts w:ascii="黑体" w:eastAsia="黑体" w:hAnsi="黑体"/>
          <w:szCs w:val="21"/>
        </w:rPr>
        <w:t>产后大便难</w:t>
      </w:r>
      <w:r>
        <w:rPr>
          <w:rFonts w:ascii="黑体" w:eastAsia="黑体" w:hAnsi="黑体" w:hint="eastAsia"/>
          <w:szCs w:val="21"/>
        </w:rPr>
        <w:t xml:space="preserve"> </w:t>
      </w:r>
      <w:r>
        <w:rPr>
          <w:rFonts w:ascii="黑体" w:eastAsia="黑体" w:hAnsi="黑体" w:cs="黑体" w:hint="eastAsia"/>
        </w:rPr>
        <w:t xml:space="preserve">postpartum </w:t>
      </w:r>
      <w:r>
        <w:rPr>
          <w:rFonts w:ascii="黑体" w:eastAsia="黑体" w:hAnsi="黑体" w:cs="黑体"/>
        </w:rPr>
        <w:t>constipation</w:t>
      </w:r>
    </w:p>
    <w:p w:rsidR="007830C1" w:rsidRDefault="00110584">
      <w:pPr>
        <w:ind w:firstLine="435"/>
        <w:rPr>
          <w:rFonts w:asciiTheme="minorEastAsia" w:eastAsiaTheme="minorEastAsia" w:hAnsiTheme="minorEastAsia"/>
          <w:szCs w:val="21"/>
        </w:rPr>
      </w:pPr>
      <w:r>
        <w:rPr>
          <w:rFonts w:asciiTheme="minorEastAsia" w:eastAsiaTheme="minorEastAsia" w:hAnsiTheme="minorEastAsia" w:hint="eastAsia"/>
          <w:szCs w:val="21"/>
        </w:rPr>
        <w:t>产后饮食如故，大便数日不解，或艰涩难以排出者，又称产后大便不通</w:t>
      </w:r>
      <w:r>
        <w:rPr>
          <w:rFonts w:ascii="Times New Roman" w:eastAsiaTheme="minorEastAsia" w:hAnsi="Times New Roman"/>
          <w:szCs w:val="21"/>
          <w:vertAlign w:val="superscript"/>
        </w:rPr>
        <w:t>[3]</w:t>
      </w:r>
      <w:r>
        <w:rPr>
          <w:rFonts w:asciiTheme="minorEastAsia" w:eastAsiaTheme="minorEastAsia" w:hAnsiTheme="minorEastAsia" w:hint="eastAsia"/>
          <w:szCs w:val="21"/>
        </w:rPr>
        <w:t>。</w:t>
      </w:r>
    </w:p>
    <w:p w:rsidR="007830C1" w:rsidRDefault="00110584" w:rsidP="00F45E4D">
      <w:pPr>
        <w:spacing w:beforeLines="100" w:afterLines="100"/>
        <w:outlineLvl w:val="0"/>
        <w:rPr>
          <w:rFonts w:ascii="黑体" w:eastAsia="黑体" w:hAnsi="黑体"/>
          <w:szCs w:val="21"/>
        </w:rPr>
      </w:pPr>
      <w:bookmarkStart w:id="40" w:name="_Toc20960"/>
      <w:bookmarkStart w:id="41" w:name="_Toc19212"/>
      <w:bookmarkStart w:id="42" w:name="_Toc34129441"/>
      <w:bookmarkStart w:id="43" w:name="_Toc34136377"/>
      <w:bookmarkStart w:id="44" w:name="_Toc34125934"/>
      <w:bookmarkStart w:id="45" w:name="_Toc1469"/>
      <w:bookmarkStart w:id="46" w:name="_Toc34129519"/>
      <w:bookmarkStart w:id="47" w:name="_Toc3199_WPSOffice_Level1"/>
      <w:r>
        <w:rPr>
          <w:rFonts w:ascii="黑体" w:eastAsia="黑体" w:hAnsi="黑体"/>
          <w:szCs w:val="21"/>
        </w:rPr>
        <w:t xml:space="preserve">4 </w:t>
      </w:r>
      <w:r>
        <w:rPr>
          <w:rFonts w:ascii="黑体" w:eastAsia="黑体" w:hAnsi="黑体" w:hint="eastAsia"/>
          <w:szCs w:val="21"/>
        </w:rPr>
        <w:t xml:space="preserve"> </w:t>
      </w:r>
      <w:r>
        <w:rPr>
          <w:rFonts w:ascii="黑体" w:eastAsia="黑体" w:hAnsi="黑体"/>
          <w:szCs w:val="21"/>
        </w:rPr>
        <w:t>一般要求</w:t>
      </w:r>
      <w:bookmarkEnd w:id="40"/>
      <w:bookmarkEnd w:id="41"/>
      <w:bookmarkEnd w:id="42"/>
      <w:bookmarkEnd w:id="43"/>
      <w:bookmarkEnd w:id="44"/>
      <w:bookmarkEnd w:id="45"/>
      <w:bookmarkEnd w:id="46"/>
      <w:bookmarkEnd w:id="47"/>
    </w:p>
    <w:p w:rsidR="007830C1" w:rsidRDefault="00110584" w:rsidP="00F45E4D">
      <w:pPr>
        <w:spacing w:beforeLines="50" w:afterLines="50"/>
        <w:outlineLvl w:val="0"/>
        <w:rPr>
          <w:rFonts w:ascii="Times New Roman" w:hAnsi="Times New Roman"/>
          <w:szCs w:val="21"/>
        </w:rPr>
      </w:pPr>
      <w:r>
        <w:rPr>
          <w:rFonts w:ascii="黑体" w:eastAsia="黑体" w:hAnsi="黑体"/>
          <w:kern w:val="0"/>
          <w:szCs w:val="21"/>
        </w:rPr>
        <w:t>4.1</w:t>
      </w:r>
      <w:r>
        <w:rPr>
          <w:rFonts w:ascii="黑体" w:eastAsia="黑体" w:hAnsi="黑体" w:hint="eastAsia"/>
          <w:kern w:val="0"/>
          <w:szCs w:val="21"/>
        </w:rPr>
        <w:t xml:space="preserve">  </w:t>
      </w:r>
      <w:r>
        <w:rPr>
          <w:rFonts w:ascii="Times New Roman" w:hAnsi="Times New Roman"/>
          <w:szCs w:val="21"/>
        </w:rPr>
        <w:t>食药物质食材</w:t>
      </w:r>
      <w:r>
        <w:rPr>
          <w:rFonts w:ascii="Times New Roman" w:hAnsi="Times New Roman"/>
          <w:kern w:val="0"/>
          <w:szCs w:val="21"/>
        </w:rPr>
        <w:t>应符合</w:t>
      </w:r>
      <w:r>
        <w:rPr>
          <w:rFonts w:ascii="Times New Roman" w:hAnsi="Times New Roman"/>
          <w:szCs w:val="21"/>
        </w:rPr>
        <w:t>国家</w:t>
      </w:r>
      <w:r>
        <w:rPr>
          <w:rFonts w:ascii="Times New Roman" w:hAnsi="Times New Roman"/>
          <w:kern w:val="0"/>
          <w:szCs w:val="21"/>
        </w:rPr>
        <w:t>卫生行政部门、国家市场监管部门公布的既是食品又是</w:t>
      </w:r>
      <w:r>
        <w:rPr>
          <w:rFonts w:ascii="Times New Roman" w:hAnsi="Times New Roman"/>
          <w:szCs w:val="21"/>
        </w:rPr>
        <w:t>中药材物质目录（</w:t>
      </w:r>
      <w:r>
        <w:rPr>
          <w:rFonts w:ascii="宋体" w:hAnsi="宋体" w:hint="eastAsia"/>
          <w:szCs w:val="21"/>
        </w:rPr>
        <w:t>见规范性附录A</w:t>
      </w:r>
      <w:r>
        <w:rPr>
          <w:rFonts w:ascii="Times New Roman" w:hAnsi="Times New Roman"/>
          <w:szCs w:val="21"/>
        </w:rPr>
        <w:t>），并以道地药材作为推荐用品，严格按照取材原则结合地域进行安全选择。</w:t>
      </w:r>
    </w:p>
    <w:p w:rsidR="007830C1" w:rsidRDefault="00110584">
      <w:pPr>
        <w:jc w:val="left"/>
        <w:rPr>
          <w:rFonts w:ascii="Times New Roman" w:hAnsi="Times New Roman"/>
          <w:szCs w:val="21"/>
        </w:rPr>
      </w:pPr>
      <w:r>
        <w:rPr>
          <w:rFonts w:ascii="黑体" w:eastAsia="黑体" w:hAnsi="黑体"/>
          <w:kern w:val="0"/>
          <w:szCs w:val="21"/>
        </w:rPr>
        <w:t>4.2</w:t>
      </w:r>
      <w:r>
        <w:rPr>
          <w:rFonts w:ascii="黑体" w:eastAsia="黑体" w:hAnsi="黑体" w:hint="eastAsia"/>
          <w:kern w:val="0"/>
          <w:szCs w:val="21"/>
        </w:rPr>
        <w:t xml:space="preserve">  </w:t>
      </w:r>
      <w:r>
        <w:rPr>
          <w:rFonts w:ascii="Times New Roman" w:hAnsi="Times New Roman"/>
          <w:szCs w:val="21"/>
        </w:rPr>
        <w:t>应选用新鲜的食材，禁止选用过期、腐烂变质食材。辅料、调味品应为正规厂家生产，有合格证及保质期、符合卫生法。</w:t>
      </w:r>
    </w:p>
    <w:p w:rsidR="007830C1" w:rsidRDefault="00110584">
      <w:pPr>
        <w:jc w:val="left"/>
        <w:rPr>
          <w:rFonts w:ascii="Times New Roman" w:hAnsi="Times New Roman"/>
          <w:szCs w:val="21"/>
        </w:rPr>
      </w:pPr>
      <w:r>
        <w:rPr>
          <w:rFonts w:ascii="黑体" w:eastAsia="黑体" w:hAnsi="黑体"/>
          <w:kern w:val="0"/>
          <w:szCs w:val="21"/>
        </w:rPr>
        <w:t>4.3</w:t>
      </w:r>
      <w:r>
        <w:rPr>
          <w:rFonts w:ascii="黑体" w:eastAsia="黑体" w:hAnsi="黑体" w:hint="eastAsia"/>
          <w:kern w:val="0"/>
          <w:szCs w:val="21"/>
        </w:rPr>
        <w:t xml:space="preserve">  </w:t>
      </w:r>
      <w:r>
        <w:rPr>
          <w:rFonts w:ascii="Times New Roman" w:hAnsi="Times New Roman"/>
          <w:szCs w:val="21"/>
        </w:rPr>
        <w:t>药膳的制作应以标准的日常烹饪技术和手段为基础，按照指南要求进行选材、加工。</w:t>
      </w:r>
    </w:p>
    <w:p w:rsidR="007830C1" w:rsidRDefault="00110584">
      <w:pPr>
        <w:rPr>
          <w:rFonts w:ascii="Times New Roman" w:hAnsi="Times New Roman"/>
          <w:szCs w:val="21"/>
        </w:rPr>
      </w:pPr>
      <w:r>
        <w:rPr>
          <w:rFonts w:ascii="黑体" w:eastAsia="黑体" w:hAnsi="黑体"/>
          <w:kern w:val="0"/>
          <w:szCs w:val="21"/>
        </w:rPr>
        <w:t>4.4</w:t>
      </w:r>
      <w:r>
        <w:rPr>
          <w:rFonts w:ascii="黑体" w:eastAsia="黑体" w:hAnsi="黑体" w:hint="eastAsia"/>
          <w:kern w:val="0"/>
          <w:szCs w:val="21"/>
        </w:rPr>
        <w:t xml:space="preserve">  </w:t>
      </w:r>
      <w:r>
        <w:rPr>
          <w:rFonts w:ascii="Times New Roman" w:hAnsi="Times New Roman"/>
          <w:szCs w:val="21"/>
        </w:rPr>
        <w:t>配方中各食材剂量为一人一餐的食量，多人多次餐饮需要相应增加食材比例。</w:t>
      </w:r>
    </w:p>
    <w:p w:rsidR="007830C1" w:rsidRDefault="00110584">
      <w:pPr>
        <w:rPr>
          <w:rFonts w:ascii="Times New Roman" w:hAnsi="Times New Roman"/>
          <w:szCs w:val="21"/>
        </w:rPr>
      </w:pPr>
      <w:r>
        <w:rPr>
          <w:rFonts w:ascii="黑体" w:eastAsia="黑体" w:hAnsi="黑体"/>
          <w:kern w:val="0"/>
          <w:szCs w:val="21"/>
        </w:rPr>
        <w:t>4.5</w:t>
      </w:r>
      <w:r>
        <w:rPr>
          <w:rFonts w:ascii="黑体" w:eastAsia="黑体" w:hAnsi="黑体" w:hint="eastAsia"/>
          <w:kern w:val="0"/>
          <w:szCs w:val="21"/>
        </w:rPr>
        <w:t xml:space="preserve">  </w:t>
      </w:r>
      <w:r>
        <w:rPr>
          <w:rFonts w:ascii="Times New Roman" w:hAnsi="Times New Roman"/>
          <w:szCs w:val="21"/>
        </w:rPr>
        <w:t>本指南中提供的药膳是在中医理论指导下合理配伍，发挥强身健体的作用，具体制作时应因时、因人、因地辨证施膳，可根据药膳使用对象的具体情况适当调整配方的剂量。配方理论依据</w:t>
      </w:r>
      <w:r>
        <w:rPr>
          <w:rFonts w:ascii="宋体" w:hAnsi="宋体" w:hint="eastAsia"/>
          <w:szCs w:val="21"/>
        </w:rPr>
        <w:t>参见资料性附录B</w:t>
      </w:r>
      <w:r>
        <w:rPr>
          <w:rFonts w:ascii="Times New Roman" w:hAnsi="Times New Roman"/>
          <w:szCs w:val="21"/>
        </w:rPr>
        <w:t>。</w:t>
      </w:r>
    </w:p>
    <w:p w:rsidR="007830C1" w:rsidRDefault="00110584">
      <w:pPr>
        <w:jc w:val="left"/>
        <w:rPr>
          <w:rFonts w:ascii="Times New Roman" w:hAnsi="Times New Roman"/>
          <w:szCs w:val="21"/>
        </w:rPr>
      </w:pPr>
      <w:r>
        <w:rPr>
          <w:rFonts w:ascii="黑体" w:eastAsia="黑体" w:hAnsi="黑体"/>
          <w:kern w:val="0"/>
          <w:szCs w:val="21"/>
        </w:rPr>
        <w:t>4.6</w:t>
      </w:r>
      <w:r>
        <w:rPr>
          <w:rFonts w:ascii="黑体" w:eastAsia="黑体" w:hAnsi="黑体" w:hint="eastAsia"/>
          <w:kern w:val="0"/>
          <w:szCs w:val="21"/>
        </w:rPr>
        <w:t xml:space="preserve">  </w:t>
      </w:r>
      <w:r>
        <w:rPr>
          <w:rFonts w:ascii="Times New Roman" w:hAnsi="Times New Roman"/>
          <w:szCs w:val="21"/>
        </w:rPr>
        <w:t>与适应证类型不符合的人群，对食材过敏，以及严重肝肾损害等危重者禁止使用。</w:t>
      </w:r>
    </w:p>
    <w:p w:rsidR="007830C1" w:rsidRDefault="00110584">
      <w:pPr>
        <w:jc w:val="left"/>
        <w:rPr>
          <w:rFonts w:ascii="Times New Roman" w:hAnsi="Times New Roman"/>
          <w:szCs w:val="21"/>
        </w:rPr>
      </w:pPr>
      <w:r>
        <w:rPr>
          <w:rFonts w:ascii="黑体" w:eastAsia="黑体" w:hAnsi="黑体"/>
          <w:kern w:val="0"/>
          <w:szCs w:val="21"/>
        </w:rPr>
        <w:t>4.7</w:t>
      </w:r>
      <w:r>
        <w:rPr>
          <w:rFonts w:ascii="黑体" w:eastAsia="黑体" w:hAnsi="黑体" w:hint="eastAsia"/>
          <w:kern w:val="0"/>
          <w:szCs w:val="21"/>
        </w:rPr>
        <w:t xml:space="preserve">  </w:t>
      </w:r>
      <w:r>
        <w:rPr>
          <w:rFonts w:ascii="Times New Roman" w:hAnsi="Times New Roman"/>
          <w:szCs w:val="21"/>
        </w:rPr>
        <w:t>本指南中医名词证候术语解释参见</w:t>
      </w:r>
      <w:r>
        <w:rPr>
          <w:rFonts w:ascii="Times New Roman" w:hAnsi="Times New Roman"/>
          <w:szCs w:val="21"/>
        </w:rPr>
        <w:t>GB/T16751-1997</w:t>
      </w:r>
      <w:r>
        <w:rPr>
          <w:rFonts w:ascii="Times New Roman" w:hAnsi="Times New Roman"/>
          <w:szCs w:val="21"/>
        </w:rPr>
        <w:t>的内容。</w:t>
      </w:r>
    </w:p>
    <w:p w:rsidR="007830C1" w:rsidRDefault="00110584" w:rsidP="00F45E4D">
      <w:pPr>
        <w:spacing w:beforeLines="100" w:afterLines="100"/>
        <w:outlineLvl w:val="0"/>
        <w:rPr>
          <w:rFonts w:ascii="黑体" w:eastAsia="黑体" w:hAnsi="黑体"/>
          <w:szCs w:val="21"/>
        </w:rPr>
      </w:pPr>
      <w:bookmarkStart w:id="48" w:name="_Toc24858_WPSOffice_Level1"/>
      <w:bookmarkStart w:id="49" w:name="_Toc34136378"/>
      <w:bookmarkStart w:id="50" w:name="_Toc25946"/>
      <w:bookmarkStart w:id="51" w:name="_Toc15376"/>
      <w:bookmarkStart w:id="52" w:name="_Toc34129442"/>
      <w:bookmarkStart w:id="53" w:name="_Toc2724"/>
      <w:bookmarkStart w:id="54" w:name="_Toc34125935"/>
      <w:bookmarkStart w:id="55" w:name="_Toc34129520"/>
      <w:r>
        <w:rPr>
          <w:rFonts w:ascii="黑体" w:eastAsia="黑体" w:hAnsi="黑体"/>
          <w:szCs w:val="21"/>
        </w:rPr>
        <w:t>5</w:t>
      </w:r>
      <w:r>
        <w:rPr>
          <w:rFonts w:ascii="黑体" w:eastAsia="黑体" w:hAnsi="黑体" w:hint="eastAsia"/>
          <w:szCs w:val="21"/>
        </w:rPr>
        <w:t xml:space="preserve">  </w:t>
      </w:r>
      <w:r>
        <w:rPr>
          <w:rFonts w:ascii="黑体" w:eastAsia="黑体" w:hAnsi="黑体"/>
          <w:szCs w:val="21"/>
        </w:rPr>
        <w:t>药膳制作</w:t>
      </w:r>
      <w:bookmarkEnd w:id="48"/>
      <w:bookmarkEnd w:id="49"/>
      <w:bookmarkEnd w:id="50"/>
      <w:bookmarkEnd w:id="51"/>
      <w:bookmarkEnd w:id="52"/>
      <w:bookmarkEnd w:id="53"/>
      <w:bookmarkEnd w:id="54"/>
      <w:bookmarkEnd w:id="55"/>
    </w:p>
    <w:p w:rsidR="007830C1" w:rsidRDefault="00110584" w:rsidP="00F45E4D">
      <w:pPr>
        <w:spacing w:beforeLines="50" w:afterLines="50"/>
        <w:outlineLvl w:val="1"/>
        <w:rPr>
          <w:rFonts w:ascii="黑体" w:eastAsia="黑体" w:hAnsi="黑体"/>
          <w:szCs w:val="21"/>
        </w:rPr>
      </w:pPr>
      <w:bookmarkStart w:id="56" w:name="_Toc34136379"/>
      <w:bookmarkStart w:id="57" w:name="_Toc22852_WPSOffice_Level2"/>
      <w:r>
        <w:rPr>
          <w:rFonts w:ascii="黑体" w:eastAsia="黑体" w:hAnsi="黑体"/>
          <w:szCs w:val="21"/>
        </w:rPr>
        <w:t>5.1</w:t>
      </w:r>
      <w:r>
        <w:rPr>
          <w:rFonts w:ascii="黑体" w:eastAsia="黑体" w:hAnsi="黑体" w:hint="eastAsia"/>
          <w:szCs w:val="21"/>
        </w:rPr>
        <w:t xml:space="preserve">  产后恶露不绝月子汤</w:t>
      </w:r>
      <w:bookmarkEnd w:id="56"/>
      <w:bookmarkEnd w:id="57"/>
    </w:p>
    <w:p w:rsidR="007830C1" w:rsidRDefault="00110584">
      <w:pPr>
        <w:spacing w:line="400" w:lineRule="exact"/>
        <w:outlineLvl w:val="2"/>
        <w:rPr>
          <w:rFonts w:ascii="黑体" w:eastAsia="黑体" w:hAnsi="黑体" w:cs="黑体"/>
        </w:rPr>
      </w:pPr>
      <w:r>
        <w:rPr>
          <w:rFonts w:ascii="黑体" w:eastAsia="黑体" w:hAnsi="黑体" w:cs="黑体" w:hint="eastAsia"/>
        </w:rPr>
        <w:lastRenderedPageBreak/>
        <w:t>5.1.1  姜黄薏米乌鸡汤</w:t>
      </w:r>
    </w:p>
    <w:p w:rsidR="007830C1" w:rsidRDefault="00110584">
      <w:pPr>
        <w:spacing w:line="400" w:lineRule="exact"/>
        <w:rPr>
          <w:rFonts w:ascii="黑体" w:eastAsia="黑体" w:hAnsi="黑体" w:cs="黑体"/>
        </w:rPr>
      </w:pPr>
      <w:r>
        <w:rPr>
          <w:rFonts w:ascii="黑体" w:eastAsia="黑体" w:hAnsi="黑体" w:cs="黑体" w:hint="eastAsia"/>
        </w:rPr>
        <w:t>5.1.1.1  药食两用材料</w:t>
      </w:r>
    </w:p>
    <w:p w:rsidR="007830C1" w:rsidRDefault="00110584">
      <w:pPr>
        <w:spacing w:line="276" w:lineRule="auto"/>
        <w:ind w:firstLineChars="200" w:firstLine="420"/>
        <w:rPr>
          <w:rFonts w:ascii="宋体" w:hAnsi="宋体"/>
        </w:rPr>
      </w:pPr>
      <w:r>
        <w:rPr>
          <w:rFonts w:ascii="宋体" w:hAnsi="宋体" w:hint="eastAsia"/>
        </w:rPr>
        <w:t>姜黄6克，以福建、广东、广西、贵州、四川、云南等产地为佳。</w:t>
      </w:r>
    </w:p>
    <w:p w:rsidR="007830C1" w:rsidRDefault="00110584">
      <w:pPr>
        <w:spacing w:line="276" w:lineRule="auto"/>
        <w:ind w:firstLineChars="200" w:firstLine="420"/>
        <w:rPr>
          <w:rFonts w:ascii="宋体" w:hAnsi="宋体"/>
        </w:rPr>
      </w:pPr>
      <w:r>
        <w:rPr>
          <w:rFonts w:ascii="宋体" w:hAnsi="宋体" w:hint="eastAsia"/>
        </w:rPr>
        <w:t>薏苡仁6克，以福建、河北、辽宁产地为佳。</w:t>
      </w:r>
    </w:p>
    <w:p w:rsidR="007830C1" w:rsidRDefault="00110584">
      <w:pPr>
        <w:spacing w:line="276" w:lineRule="auto"/>
        <w:ind w:firstLineChars="200" w:firstLine="420"/>
        <w:rPr>
          <w:rFonts w:ascii="宋体" w:hAnsi="宋体"/>
        </w:rPr>
      </w:pPr>
      <w:r>
        <w:rPr>
          <w:rFonts w:ascii="宋体" w:hAnsi="宋体" w:hint="eastAsia"/>
        </w:rPr>
        <w:t>大枣6克，以陕西、山西、山东、河南、新疆产地且个大、饱满者为佳。</w:t>
      </w:r>
    </w:p>
    <w:p w:rsidR="007830C1" w:rsidRDefault="00110584">
      <w:pPr>
        <w:spacing w:line="276" w:lineRule="auto"/>
        <w:ind w:firstLineChars="200" w:firstLine="420"/>
        <w:rPr>
          <w:rFonts w:ascii="宋体" w:hAnsi="宋体"/>
        </w:rPr>
      </w:pPr>
      <w:r>
        <w:rPr>
          <w:rFonts w:ascii="宋体" w:hAnsi="宋体" w:hint="eastAsia"/>
        </w:rPr>
        <w:t>西红花3克，以南欧各国及伊朗等地为佳，也可选用国内栽培的。</w:t>
      </w:r>
    </w:p>
    <w:p w:rsidR="007830C1" w:rsidRDefault="00110584">
      <w:pPr>
        <w:spacing w:line="400" w:lineRule="exact"/>
        <w:rPr>
          <w:rFonts w:ascii="黑体" w:eastAsia="黑体" w:hAnsi="黑体" w:cs="黑体"/>
        </w:rPr>
      </w:pPr>
      <w:r>
        <w:rPr>
          <w:rFonts w:ascii="黑体" w:eastAsia="黑体" w:hAnsi="黑体" w:cs="黑体" w:hint="eastAsia"/>
        </w:rPr>
        <w:t>5.1.1.2  主料</w:t>
      </w:r>
    </w:p>
    <w:p w:rsidR="007830C1" w:rsidRDefault="00110584">
      <w:pPr>
        <w:spacing w:line="276" w:lineRule="auto"/>
        <w:ind w:firstLineChars="200" w:firstLine="420"/>
        <w:rPr>
          <w:rFonts w:ascii="宋体" w:hAnsi="宋体"/>
        </w:rPr>
      </w:pPr>
      <w:r>
        <w:rPr>
          <w:rFonts w:ascii="宋体" w:hAnsi="宋体" w:hint="eastAsia"/>
        </w:rPr>
        <w:t>乌鸡（公鸡）100克，肉用型，养足二百天，以五百年历史记载的福建德化乌鸡为佳。</w:t>
      </w:r>
    </w:p>
    <w:p w:rsidR="007830C1" w:rsidRDefault="00110584">
      <w:pPr>
        <w:spacing w:line="400" w:lineRule="exact"/>
        <w:rPr>
          <w:rFonts w:ascii="黑体" w:eastAsia="黑体" w:hAnsi="黑体" w:cs="黑体"/>
        </w:rPr>
      </w:pPr>
      <w:r>
        <w:rPr>
          <w:rFonts w:ascii="黑体" w:eastAsia="黑体" w:hAnsi="黑体" w:cs="黑体" w:hint="eastAsia"/>
        </w:rPr>
        <w:t>5.1.1.3  辅料</w:t>
      </w:r>
    </w:p>
    <w:p w:rsidR="007830C1" w:rsidRDefault="00110584">
      <w:pPr>
        <w:ind w:firstLineChars="200" w:firstLine="420"/>
      </w:pPr>
      <w:r>
        <w:rPr>
          <w:rFonts w:hint="eastAsia"/>
        </w:rPr>
        <w:t>生姜</w:t>
      </w:r>
      <w:r>
        <w:rPr>
          <w:rFonts w:hint="eastAsia"/>
        </w:rPr>
        <w:t>2</w:t>
      </w:r>
      <w:r>
        <w:rPr>
          <w:rFonts w:hint="eastAsia"/>
        </w:rPr>
        <w:t>片。</w:t>
      </w:r>
    </w:p>
    <w:p w:rsidR="007830C1" w:rsidRDefault="00110584">
      <w:pPr>
        <w:spacing w:line="400" w:lineRule="exact"/>
        <w:rPr>
          <w:rFonts w:ascii="黑体" w:eastAsia="黑体" w:hAnsi="黑体" w:cs="黑体"/>
        </w:rPr>
      </w:pPr>
      <w:r>
        <w:rPr>
          <w:rFonts w:ascii="黑体" w:eastAsia="黑体" w:hAnsi="黑体" w:cs="黑体" w:hint="eastAsia"/>
        </w:rPr>
        <w:t>5.1.1.4  调味品</w:t>
      </w:r>
    </w:p>
    <w:p w:rsidR="007830C1" w:rsidRDefault="00110584">
      <w:pPr>
        <w:widowControl/>
        <w:ind w:firstLineChars="200" w:firstLine="420"/>
        <w:jc w:val="left"/>
      </w:pPr>
      <w:r>
        <w:rPr>
          <w:rFonts w:hint="eastAsia"/>
        </w:rPr>
        <w:t>低钠盐</w:t>
      </w:r>
      <w:r>
        <w:rPr>
          <w:rFonts w:ascii="宋体" w:hAnsi="宋体" w:cs="宋体" w:hint="eastAsia"/>
          <w:kern w:val="0"/>
          <w:szCs w:val="21"/>
          <w:lang/>
        </w:rPr>
        <w:t>适量</w:t>
      </w:r>
      <w:r>
        <w:rPr>
          <w:rFonts w:hint="eastAsia"/>
        </w:rPr>
        <w:t>（每天用量严格控制在</w:t>
      </w:r>
      <w:r>
        <w:rPr>
          <w:rFonts w:hint="eastAsia"/>
        </w:rPr>
        <w:t>6</w:t>
      </w:r>
      <w:r>
        <w:rPr>
          <w:rFonts w:hint="eastAsia"/>
        </w:rPr>
        <w:t>克以内，合理的分配到三餐，下同）</w:t>
      </w:r>
      <w:r>
        <w:rPr>
          <w:rFonts w:ascii="宋体" w:hAnsi="宋体" w:cs="宋体" w:hint="eastAsia"/>
          <w:kern w:val="0"/>
          <w:szCs w:val="21"/>
          <w:lang/>
        </w:rPr>
        <w:t>。</w:t>
      </w:r>
    </w:p>
    <w:p w:rsidR="007830C1" w:rsidRDefault="00110584">
      <w:pPr>
        <w:spacing w:line="400" w:lineRule="exact"/>
        <w:rPr>
          <w:rFonts w:ascii="黑体" w:eastAsia="黑体" w:hAnsi="黑体" w:cs="黑体"/>
        </w:rPr>
      </w:pPr>
      <w:r>
        <w:rPr>
          <w:rFonts w:ascii="黑体" w:eastAsia="黑体" w:hAnsi="黑体" w:cs="黑体" w:hint="eastAsia"/>
        </w:rPr>
        <w:t>5.1.1.5  制作方法</w:t>
      </w:r>
    </w:p>
    <w:p w:rsidR="007830C1" w:rsidRDefault="00110584">
      <w:pPr>
        <w:spacing w:line="276" w:lineRule="auto"/>
        <w:ind w:firstLineChars="200" w:firstLine="420"/>
      </w:pPr>
      <w:r>
        <w:rPr>
          <w:rFonts w:hint="eastAsia"/>
        </w:rPr>
        <w:t>1</w:t>
      </w:r>
      <w:r>
        <w:rPr>
          <w:rFonts w:hint="eastAsia"/>
        </w:rPr>
        <w:t>）薏苡仁、大枣洗净后，</w:t>
      </w:r>
      <w:r>
        <w:rPr>
          <w:rFonts w:ascii="宋体" w:hAnsi="宋体" w:hint="eastAsia"/>
        </w:rPr>
        <w:t>使用纯净水</w:t>
      </w:r>
      <w:r>
        <w:rPr>
          <w:rFonts w:hint="eastAsia"/>
        </w:rPr>
        <w:t>浸泡</w:t>
      </w:r>
      <w:r>
        <w:rPr>
          <w:rFonts w:hint="eastAsia"/>
        </w:rPr>
        <w:t>1</w:t>
      </w:r>
      <w:r>
        <w:rPr>
          <w:rFonts w:hint="eastAsia"/>
        </w:rPr>
        <w:t>小时。姜黄、西红花用无菌调料包封装，使用纯净水浸泡</w:t>
      </w:r>
      <w:r>
        <w:rPr>
          <w:rFonts w:hint="eastAsia"/>
        </w:rPr>
        <w:t>30</w:t>
      </w:r>
      <w:r>
        <w:rPr>
          <w:rFonts w:hint="eastAsia"/>
        </w:rPr>
        <w:t>分钟。</w:t>
      </w:r>
    </w:p>
    <w:p w:rsidR="007830C1" w:rsidRDefault="00110584">
      <w:pPr>
        <w:widowControl/>
        <w:ind w:firstLineChars="200" w:firstLine="420"/>
        <w:jc w:val="left"/>
      </w:pPr>
      <w:r>
        <w:rPr>
          <w:rFonts w:hint="eastAsia"/>
        </w:rPr>
        <w:t>2</w:t>
      </w:r>
      <w:r>
        <w:rPr>
          <w:rFonts w:hint="eastAsia"/>
        </w:rPr>
        <w:t>）乌鸡切块，锅内加水，烧开后放入乌鸡，姜片。水再开时捞出乌鸡，用清水洗干净滤干水份、除去血水。</w:t>
      </w:r>
    </w:p>
    <w:p w:rsidR="007830C1" w:rsidRDefault="00110584">
      <w:pPr>
        <w:spacing w:line="276" w:lineRule="auto"/>
        <w:ind w:firstLineChars="200" w:firstLine="420"/>
      </w:pPr>
      <w:r>
        <w:rPr>
          <w:rFonts w:hint="eastAsia"/>
        </w:rPr>
        <w:t>3</w:t>
      </w:r>
      <w:r>
        <w:rPr>
          <w:rFonts w:hint="eastAsia"/>
        </w:rPr>
        <w:t>）把所有食材放入砂锅中，加入</w:t>
      </w:r>
      <w:r>
        <w:rPr>
          <w:rFonts w:hint="eastAsia"/>
        </w:rPr>
        <w:t>2000</w:t>
      </w:r>
      <w:r>
        <w:rPr>
          <w:rFonts w:hint="eastAsia"/>
        </w:rPr>
        <w:t>毫升清水，大火煮开后，改为小火煲</w:t>
      </w:r>
      <w:r>
        <w:rPr>
          <w:rFonts w:hint="eastAsia"/>
        </w:rPr>
        <w:t>2</w:t>
      </w:r>
      <w:r>
        <w:rPr>
          <w:rFonts w:hint="eastAsia"/>
        </w:rPr>
        <w:t>小时。</w:t>
      </w:r>
    </w:p>
    <w:p w:rsidR="007830C1" w:rsidRDefault="00110584">
      <w:pPr>
        <w:spacing w:line="276" w:lineRule="auto"/>
        <w:ind w:firstLineChars="200" w:firstLine="420"/>
      </w:pPr>
      <w:r>
        <w:rPr>
          <w:rFonts w:hint="eastAsia"/>
        </w:rPr>
        <w:t>4</w:t>
      </w:r>
      <w:r>
        <w:rPr>
          <w:rFonts w:hint="eastAsia"/>
        </w:rPr>
        <w:t>）出锅前</w:t>
      </w:r>
      <w:r>
        <w:rPr>
          <w:rFonts w:hint="eastAsia"/>
        </w:rPr>
        <w:t>10</w:t>
      </w:r>
      <w:r>
        <w:rPr>
          <w:rFonts w:hint="eastAsia"/>
        </w:rPr>
        <w:t>分钟加盐调味，小火再炖。</w:t>
      </w:r>
    </w:p>
    <w:p w:rsidR="007830C1" w:rsidRDefault="00110584">
      <w:pPr>
        <w:spacing w:line="276" w:lineRule="auto"/>
        <w:rPr>
          <w:rFonts w:ascii="黑体" w:eastAsia="黑体" w:hAnsi="黑体" w:cs="黑体"/>
        </w:rPr>
      </w:pPr>
      <w:r>
        <w:rPr>
          <w:rFonts w:ascii="黑体" w:eastAsia="黑体" w:hAnsi="黑体" w:cs="黑体" w:hint="eastAsia"/>
        </w:rPr>
        <w:t>5.1.1.6  功效</w:t>
      </w:r>
    </w:p>
    <w:p w:rsidR="007830C1" w:rsidRDefault="00110584">
      <w:pPr>
        <w:ind w:firstLineChars="200" w:firstLine="420"/>
      </w:pPr>
      <w:r>
        <w:rPr>
          <w:rFonts w:hint="eastAsia"/>
        </w:rPr>
        <w:t>活血化瘀，健脾利湿。</w:t>
      </w:r>
    </w:p>
    <w:p w:rsidR="007830C1" w:rsidRDefault="00110584">
      <w:pPr>
        <w:spacing w:line="400" w:lineRule="exact"/>
        <w:rPr>
          <w:rFonts w:ascii="黑体" w:eastAsia="黑体" w:hAnsi="黑体" w:cs="黑体"/>
        </w:rPr>
      </w:pPr>
      <w:r>
        <w:rPr>
          <w:rFonts w:ascii="黑体" w:eastAsia="黑体" w:hAnsi="黑体" w:cs="黑体" w:hint="eastAsia"/>
        </w:rPr>
        <w:t>5.1.1.7  适</w:t>
      </w:r>
      <w:r>
        <w:rPr>
          <w:rFonts w:ascii="黑体" w:eastAsia="黑体" w:hAnsi="黑体" w:cs="黑体"/>
        </w:rPr>
        <w:t>宜</w:t>
      </w:r>
      <w:r>
        <w:rPr>
          <w:rFonts w:ascii="黑体" w:eastAsia="黑体" w:hAnsi="黑体" w:cs="黑体" w:hint="eastAsia"/>
        </w:rPr>
        <w:t>人群</w:t>
      </w:r>
    </w:p>
    <w:p w:rsidR="007830C1" w:rsidRDefault="00110584">
      <w:pPr>
        <w:spacing w:line="276" w:lineRule="auto"/>
        <w:ind w:firstLineChars="200" w:firstLine="420"/>
      </w:pPr>
      <w:r>
        <w:rPr>
          <w:rFonts w:hint="eastAsia"/>
        </w:rPr>
        <w:t>产后瘀停宫中，恶露不绝者。</w:t>
      </w:r>
    </w:p>
    <w:p w:rsidR="007830C1" w:rsidRDefault="00110584">
      <w:pPr>
        <w:spacing w:line="400" w:lineRule="exact"/>
        <w:rPr>
          <w:rFonts w:ascii="黑体" w:eastAsia="黑体" w:hAnsi="黑体" w:cs="黑体"/>
        </w:rPr>
      </w:pPr>
      <w:r>
        <w:rPr>
          <w:rFonts w:ascii="黑体" w:eastAsia="黑体" w:hAnsi="黑体" w:cs="黑体" w:hint="eastAsia"/>
        </w:rPr>
        <w:t xml:space="preserve">5.1.1.8  </w:t>
      </w:r>
      <w:r>
        <w:rPr>
          <w:rFonts w:ascii="黑体" w:eastAsia="黑体" w:hAnsi="黑体" w:cs="黑体"/>
        </w:rPr>
        <w:t>不适宜</w:t>
      </w:r>
      <w:r>
        <w:rPr>
          <w:rFonts w:ascii="黑体" w:eastAsia="黑体" w:hAnsi="黑体" w:cs="黑体" w:hint="eastAsia"/>
        </w:rPr>
        <w:t>人群</w:t>
      </w:r>
    </w:p>
    <w:p w:rsidR="007830C1" w:rsidRDefault="00110584">
      <w:pPr>
        <w:ind w:firstLineChars="200" w:firstLine="420"/>
      </w:pPr>
      <w:r>
        <w:rPr>
          <w:rFonts w:hint="eastAsia"/>
        </w:rPr>
        <w:t>产后气虚或血热型恶露不绝</w:t>
      </w:r>
      <w:r>
        <w:rPr>
          <w:rFonts w:asciiTheme="majorEastAsia" w:eastAsiaTheme="majorEastAsia" w:hAnsiTheme="majorEastAsia" w:hint="eastAsia"/>
          <w:szCs w:val="21"/>
        </w:rPr>
        <w:t>及对以上食材过敏</w:t>
      </w:r>
      <w:r>
        <w:rPr>
          <w:rFonts w:hint="eastAsia"/>
        </w:rPr>
        <w:t>者。</w:t>
      </w:r>
    </w:p>
    <w:p w:rsidR="007830C1" w:rsidRDefault="00110584" w:rsidP="00F45E4D">
      <w:pPr>
        <w:spacing w:beforeLines="50" w:afterLines="50"/>
        <w:outlineLvl w:val="2"/>
        <w:rPr>
          <w:rFonts w:ascii="黑体" w:eastAsia="黑体" w:hAnsi="黑体"/>
          <w:szCs w:val="21"/>
        </w:rPr>
      </w:pPr>
      <w:bookmarkStart w:id="58" w:name="_Toc30566_WPSOffice_Level2"/>
      <w:bookmarkStart w:id="59" w:name="_Toc34136381"/>
      <w:bookmarkStart w:id="60" w:name="_Toc34136385"/>
      <w:bookmarkStart w:id="61" w:name="_Toc34129521"/>
      <w:bookmarkStart w:id="62" w:name="_Toc16270"/>
      <w:bookmarkStart w:id="63" w:name="_Toc34125936"/>
      <w:bookmarkStart w:id="64" w:name="_Toc20882"/>
      <w:bookmarkStart w:id="65" w:name="_Toc34129443"/>
      <w:bookmarkStart w:id="66" w:name="_Toc30951"/>
      <w:r>
        <w:rPr>
          <w:rFonts w:ascii="黑体" w:eastAsia="黑体" w:hAnsi="黑体" w:hint="eastAsia"/>
          <w:szCs w:val="21"/>
        </w:rPr>
        <w:t>5.1.2  党参山药乌鸡汤</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5.1.2.1  药食两用材料</w:t>
      </w:r>
    </w:p>
    <w:p w:rsidR="007830C1" w:rsidRDefault="00110584">
      <w:pPr>
        <w:spacing w:line="276" w:lineRule="auto"/>
        <w:ind w:firstLineChars="200" w:firstLine="420"/>
        <w:rPr>
          <w:rFonts w:ascii="宋体" w:hAnsi="宋体"/>
        </w:rPr>
      </w:pPr>
      <w:r>
        <w:rPr>
          <w:rFonts w:ascii="宋体" w:hAnsi="宋体" w:hint="eastAsia"/>
        </w:rPr>
        <w:t>党参6克，以山西省、东北、甘肃产地为佳。</w:t>
      </w:r>
    </w:p>
    <w:p w:rsidR="007830C1" w:rsidRDefault="00110584">
      <w:pPr>
        <w:spacing w:line="276" w:lineRule="auto"/>
        <w:ind w:firstLineChars="200" w:firstLine="420"/>
        <w:rPr>
          <w:rFonts w:ascii="宋体" w:hAnsi="宋体"/>
        </w:rPr>
      </w:pPr>
      <w:r>
        <w:rPr>
          <w:rFonts w:ascii="宋体" w:hAnsi="宋体" w:hint="eastAsia"/>
        </w:rPr>
        <w:t>山药6克，以河南焦作、温县、沁阳产地为佳。</w:t>
      </w:r>
    </w:p>
    <w:p w:rsidR="007830C1" w:rsidRDefault="00110584">
      <w:pPr>
        <w:spacing w:line="276" w:lineRule="auto"/>
        <w:ind w:firstLineChars="200" w:firstLine="420"/>
        <w:rPr>
          <w:rFonts w:ascii="宋体" w:hAnsi="宋体"/>
        </w:rPr>
      </w:pPr>
      <w:r>
        <w:rPr>
          <w:rFonts w:ascii="宋体" w:hAnsi="宋体" w:hint="eastAsia"/>
        </w:rPr>
        <w:t>莲子（干6克），去心，以湖南，福建，浙江产地者为佳。</w:t>
      </w:r>
    </w:p>
    <w:p w:rsidR="007830C1" w:rsidRDefault="00110584">
      <w:pPr>
        <w:spacing w:line="276" w:lineRule="auto"/>
        <w:ind w:firstLineChars="200" w:firstLine="420"/>
        <w:rPr>
          <w:rFonts w:ascii="宋体" w:hAnsi="宋体"/>
        </w:rPr>
      </w:pPr>
      <w:r>
        <w:rPr>
          <w:rFonts w:ascii="宋体" w:hAnsi="宋体" w:hint="eastAsia"/>
        </w:rPr>
        <w:t>大枣6克，以陕西、山西、山东、河南、新疆产地且个大、饱满者为佳。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5.1.2.2  主料</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宋体" w:hAnsi="宋体" w:hint="eastAsia"/>
        </w:rPr>
        <w:t>乌鸡（公鸡）</w:t>
      </w:r>
      <w:r>
        <w:rPr>
          <w:rFonts w:asciiTheme="majorEastAsia" w:eastAsiaTheme="majorEastAsia" w:hAnsiTheme="majorEastAsia" w:hint="eastAsia"/>
          <w:szCs w:val="21"/>
        </w:rPr>
        <w:t>100克，肉用型，养足二百天，以五百年历史记载的福建德化乌鸡为佳。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5.1.2.3  辅料</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生姜2片。</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5.1.2.4  调味品</w:t>
      </w:r>
    </w:p>
    <w:p w:rsidR="007830C1" w:rsidRDefault="00110584" w:rsidP="00F45E4D">
      <w:pPr>
        <w:spacing w:beforeLines="50" w:afterLines="50"/>
        <w:ind w:firstLineChars="200" w:firstLine="420"/>
        <w:rPr>
          <w:rFonts w:asciiTheme="majorEastAsia" w:eastAsiaTheme="majorEastAsia" w:hAnsiTheme="majorEastAsia"/>
          <w:szCs w:val="21"/>
        </w:rPr>
      </w:pPr>
      <w:r>
        <w:rPr>
          <w:rFonts w:hint="eastAsia"/>
        </w:rPr>
        <w:t>低钠盐</w:t>
      </w:r>
      <w:r>
        <w:rPr>
          <w:rFonts w:ascii="宋体" w:hAnsi="宋体" w:cs="宋体" w:hint="eastAsia"/>
          <w:kern w:val="0"/>
          <w:szCs w:val="21"/>
          <w:lang/>
        </w:rPr>
        <w:t>适量</w:t>
      </w:r>
      <w:r>
        <w:rPr>
          <w:rFonts w:asciiTheme="majorEastAsia" w:eastAsiaTheme="majorEastAsia" w:hAnsiTheme="majorEastAsia" w:hint="eastAsia"/>
          <w:szCs w:val="21"/>
        </w:rPr>
        <w:t>。</w:t>
      </w:r>
    </w:p>
    <w:p w:rsidR="007830C1" w:rsidRDefault="00110584">
      <w:pPr>
        <w:rPr>
          <w:rFonts w:ascii="黑体" w:eastAsia="黑体" w:hAnsi="黑体"/>
          <w:szCs w:val="21"/>
        </w:rPr>
      </w:pPr>
      <w:r>
        <w:rPr>
          <w:rFonts w:ascii="黑体" w:eastAsia="黑体" w:hAnsi="黑体" w:hint="eastAsia"/>
          <w:szCs w:val="21"/>
        </w:rPr>
        <w:t xml:space="preserve">5.1.2.5 </w:t>
      </w:r>
    </w:p>
    <w:p w:rsidR="007830C1" w:rsidRDefault="00110584">
      <w:pPr>
        <w:widowControl/>
        <w:numPr>
          <w:ilvl w:val="0"/>
          <w:numId w:val="1"/>
        </w:numPr>
        <w:ind w:firstLineChars="200" w:firstLine="420"/>
        <w:jc w:val="left"/>
        <w:rPr>
          <w:rFonts w:ascii="宋体" w:hAnsi="宋体"/>
        </w:rPr>
      </w:pPr>
      <w:r>
        <w:rPr>
          <w:rFonts w:ascii="宋体" w:hAnsi="宋体" w:hint="eastAsia"/>
        </w:rPr>
        <w:t>党参、莲子、大枣洗净后，使用纯净水浸泡1小时。</w:t>
      </w:r>
    </w:p>
    <w:p w:rsidR="007830C1" w:rsidRDefault="00110584">
      <w:pPr>
        <w:widowControl/>
        <w:numPr>
          <w:ilvl w:val="0"/>
          <w:numId w:val="1"/>
        </w:numPr>
        <w:ind w:firstLineChars="200" w:firstLine="420"/>
        <w:jc w:val="left"/>
        <w:rPr>
          <w:rFonts w:ascii="宋体" w:hAnsi="宋体"/>
        </w:rPr>
      </w:pPr>
      <w:r>
        <w:rPr>
          <w:rFonts w:hint="eastAsia"/>
        </w:rPr>
        <w:lastRenderedPageBreak/>
        <w:t>乌鸡切块，锅内加水，烧开后放入乌鸡，姜片。水再开时捞出乌鸡，用清水洗干净滤干水份、除去血水。</w:t>
      </w:r>
    </w:p>
    <w:p w:rsidR="007830C1" w:rsidRDefault="00110584">
      <w:pPr>
        <w:widowControl/>
        <w:numPr>
          <w:ilvl w:val="0"/>
          <w:numId w:val="1"/>
        </w:numPr>
        <w:ind w:firstLineChars="200" w:firstLine="420"/>
        <w:jc w:val="left"/>
        <w:rPr>
          <w:rFonts w:ascii="宋体" w:hAnsi="宋体"/>
        </w:rPr>
      </w:pPr>
      <w:r>
        <w:rPr>
          <w:rFonts w:ascii="宋体" w:hAnsi="宋体" w:hint="eastAsia"/>
        </w:rPr>
        <w:t>把浸泡后的食材、乌鸡放入锅中，加入2000毫升清水，大火煮开后，改为小火煲1小时左右至乌鸡炖熟。山药去皮、切成和鸡块的大小相似的滚刀块，放入乌鸡汤锅中继续炖1小时。</w:t>
      </w:r>
    </w:p>
    <w:p w:rsidR="007830C1" w:rsidRDefault="00110584">
      <w:pPr>
        <w:spacing w:line="276" w:lineRule="auto"/>
        <w:ind w:leftChars="200" w:left="420"/>
        <w:rPr>
          <w:rFonts w:ascii="宋体" w:hAnsi="宋体"/>
        </w:rPr>
      </w:pPr>
      <w:r>
        <w:rPr>
          <w:rFonts w:ascii="宋体" w:hAnsi="宋体" w:hint="eastAsia"/>
        </w:rPr>
        <w:t>4）</w:t>
      </w:r>
      <w:r>
        <w:rPr>
          <w:rFonts w:hint="eastAsia"/>
        </w:rPr>
        <w:t>出锅前</w:t>
      </w:r>
      <w:r>
        <w:rPr>
          <w:rFonts w:hint="eastAsia"/>
        </w:rPr>
        <w:t>10</w:t>
      </w:r>
      <w:r>
        <w:rPr>
          <w:rFonts w:hint="eastAsia"/>
        </w:rPr>
        <w:t>分钟加盐调味，小火再炖。</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5.1.2.6  功效</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健脾益气，排除恶露。</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5.1.2.7  适宜人群</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妇女产后气虚恶露不下者。</w:t>
      </w:r>
    </w:p>
    <w:p w:rsidR="007830C1" w:rsidRDefault="00110584" w:rsidP="00F45E4D">
      <w:pPr>
        <w:spacing w:beforeLines="50" w:afterLines="50"/>
        <w:rPr>
          <w:rFonts w:ascii="黑体" w:eastAsia="黑体" w:hAnsi="黑体"/>
          <w:szCs w:val="21"/>
        </w:rPr>
      </w:pPr>
      <w:r>
        <w:rPr>
          <w:rFonts w:ascii="黑体" w:eastAsia="黑体" w:hAnsi="黑体" w:hint="eastAsia"/>
          <w:szCs w:val="21"/>
        </w:rPr>
        <w:t>5.1.2.8  不适宜人群</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血热、瘀血型恶露不绝及对以上食材过敏者。</w:t>
      </w:r>
    </w:p>
    <w:p w:rsidR="007830C1" w:rsidRDefault="00110584" w:rsidP="00F45E4D">
      <w:pPr>
        <w:spacing w:beforeLines="50" w:afterLines="50"/>
        <w:outlineLvl w:val="1"/>
        <w:rPr>
          <w:rFonts w:ascii="黑体" w:eastAsia="黑体" w:hAnsi="黑体"/>
          <w:szCs w:val="21"/>
        </w:rPr>
      </w:pPr>
      <w:r>
        <w:rPr>
          <w:rFonts w:ascii="黑体" w:eastAsia="黑体" w:hAnsi="黑体" w:hint="eastAsia"/>
          <w:szCs w:val="21"/>
        </w:rPr>
        <w:t>5.1.3  熟地益母汤</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5.1.3.1  药食两用材料</w:t>
      </w:r>
    </w:p>
    <w:p w:rsidR="007830C1" w:rsidRDefault="00110584">
      <w:pPr>
        <w:spacing w:line="276" w:lineRule="auto"/>
        <w:ind w:firstLineChars="200" w:firstLine="420"/>
        <w:rPr>
          <w:rFonts w:ascii="宋体" w:hAnsi="宋体"/>
        </w:rPr>
      </w:pPr>
      <w:r>
        <w:rPr>
          <w:rFonts w:ascii="宋体" w:hAnsi="宋体" w:hint="eastAsia"/>
        </w:rPr>
        <w:t>熟地黄6克，以河南、浙江等产地为佳。</w:t>
      </w:r>
    </w:p>
    <w:p w:rsidR="007830C1" w:rsidRDefault="00110584">
      <w:pPr>
        <w:spacing w:line="276" w:lineRule="auto"/>
        <w:ind w:firstLineChars="200" w:firstLine="420"/>
        <w:rPr>
          <w:rFonts w:ascii="宋体" w:hAnsi="宋体"/>
        </w:rPr>
      </w:pPr>
      <w:r>
        <w:rPr>
          <w:rFonts w:ascii="宋体" w:hAnsi="宋体" w:hint="eastAsia"/>
        </w:rPr>
        <w:t>地骨皮6克，以宁夏、河北产地为佳。</w:t>
      </w:r>
    </w:p>
    <w:p w:rsidR="007830C1" w:rsidRDefault="00110584">
      <w:pPr>
        <w:spacing w:line="276" w:lineRule="auto"/>
        <w:ind w:firstLineChars="200" w:firstLine="420"/>
        <w:rPr>
          <w:rFonts w:ascii="宋体" w:hAnsi="宋体"/>
        </w:rPr>
      </w:pPr>
      <w:r>
        <w:rPr>
          <w:rFonts w:ascii="宋体" w:hAnsi="宋体" w:hint="eastAsia"/>
        </w:rPr>
        <w:t>枸杞子6克，以宁夏、甘肃产地为佳。</w:t>
      </w:r>
    </w:p>
    <w:p w:rsidR="007830C1" w:rsidRDefault="00110584">
      <w:pPr>
        <w:spacing w:line="276" w:lineRule="auto"/>
        <w:ind w:firstLineChars="200" w:firstLine="420"/>
        <w:rPr>
          <w:rFonts w:ascii="宋体" w:hAnsi="宋体"/>
        </w:rPr>
      </w:pPr>
      <w:r>
        <w:rPr>
          <w:rFonts w:ascii="宋体" w:hAnsi="宋体" w:hint="eastAsia"/>
        </w:rPr>
        <w:t>益母草6克，以内蒙古、河北、山西、陕西产地为佳。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5.1.3.2  主料</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宋体" w:hAnsi="宋体" w:hint="eastAsia"/>
        </w:rPr>
        <w:t>乌鸡（公鸡）100克，肉用型，养足二百天，以五百年历史记载的福建德化乌鸡为佳。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5.1.3.3  辅料</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生姜10克。</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5.1.3.4  调味品</w:t>
      </w:r>
    </w:p>
    <w:p w:rsidR="007830C1" w:rsidRDefault="00110584" w:rsidP="00F45E4D">
      <w:pPr>
        <w:spacing w:beforeLines="50" w:afterLines="50"/>
        <w:ind w:firstLineChars="200" w:firstLine="420"/>
        <w:rPr>
          <w:rFonts w:asciiTheme="majorEastAsia" w:eastAsiaTheme="majorEastAsia" w:hAnsiTheme="majorEastAsia"/>
          <w:szCs w:val="21"/>
        </w:rPr>
      </w:pPr>
      <w:r>
        <w:rPr>
          <w:rFonts w:hint="eastAsia"/>
        </w:rPr>
        <w:t>低钠盐</w:t>
      </w:r>
      <w:r>
        <w:rPr>
          <w:rFonts w:ascii="宋体" w:hAnsi="宋体" w:cs="宋体" w:hint="eastAsia"/>
          <w:kern w:val="0"/>
          <w:szCs w:val="21"/>
          <w:lang/>
        </w:rPr>
        <w:t>适量</w:t>
      </w:r>
      <w:r>
        <w:rPr>
          <w:rFonts w:asciiTheme="majorEastAsia" w:eastAsiaTheme="majorEastAsia" w:hAnsiTheme="majorEastAsia" w:hint="eastAsia"/>
          <w:szCs w:val="21"/>
        </w:rPr>
        <w:t>。</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5.1.3.5  制作方法</w:t>
      </w:r>
    </w:p>
    <w:p w:rsidR="007830C1" w:rsidRDefault="00110584">
      <w:pPr>
        <w:spacing w:line="276" w:lineRule="auto"/>
        <w:ind w:firstLineChars="200" w:firstLine="420"/>
        <w:rPr>
          <w:rFonts w:ascii="宋体" w:hAnsi="宋体"/>
        </w:rPr>
      </w:pPr>
      <w:r>
        <w:rPr>
          <w:rFonts w:ascii="宋体" w:hAnsi="宋体" w:hint="eastAsia"/>
        </w:rPr>
        <w:t>1）熟地黄、地骨皮、枸杞子、益母草洗净后，使用纯净水浸泡1小时。</w:t>
      </w:r>
    </w:p>
    <w:p w:rsidR="007830C1" w:rsidRDefault="00110584">
      <w:pPr>
        <w:spacing w:line="276" w:lineRule="auto"/>
        <w:ind w:firstLineChars="200" w:firstLine="420"/>
        <w:rPr>
          <w:rFonts w:ascii="宋体" w:hAnsi="宋体"/>
        </w:rPr>
      </w:pPr>
      <w:r>
        <w:rPr>
          <w:rFonts w:ascii="宋体" w:hAnsi="宋体" w:hint="eastAsia"/>
        </w:rPr>
        <w:t>2）</w:t>
      </w:r>
      <w:r>
        <w:rPr>
          <w:rFonts w:hint="eastAsia"/>
        </w:rPr>
        <w:t>乌鸡切块，锅内加水，烧开后放入乌鸡，生姜片。水再开时捞出乌鸡，用清水洗干净滤干水份、除去血水</w:t>
      </w:r>
      <w:r>
        <w:rPr>
          <w:rFonts w:ascii="宋体" w:hAnsi="宋体" w:hint="eastAsia"/>
        </w:rPr>
        <w:t>。</w:t>
      </w:r>
    </w:p>
    <w:p w:rsidR="007830C1" w:rsidRDefault="00110584">
      <w:pPr>
        <w:spacing w:line="276" w:lineRule="auto"/>
        <w:ind w:firstLineChars="200" w:firstLine="420"/>
        <w:rPr>
          <w:rFonts w:ascii="宋体" w:hAnsi="宋体"/>
        </w:rPr>
      </w:pPr>
      <w:r>
        <w:rPr>
          <w:rFonts w:ascii="宋体" w:hAnsi="宋体" w:hint="eastAsia"/>
        </w:rPr>
        <w:t>3）把所有食材放入锅中，加入2000毫升清水，大火煮开后，改为小火煲2小时。</w:t>
      </w:r>
    </w:p>
    <w:p w:rsidR="007830C1" w:rsidRDefault="00110584">
      <w:pPr>
        <w:spacing w:line="276" w:lineRule="auto"/>
        <w:ind w:leftChars="200" w:left="420"/>
        <w:rPr>
          <w:rFonts w:ascii="宋体" w:hAnsi="宋体"/>
        </w:rPr>
      </w:pPr>
      <w:r>
        <w:rPr>
          <w:rFonts w:ascii="宋体" w:hAnsi="宋体" w:hint="eastAsia"/>
        </w:rPr>
        <w:t>4）</w:t>
      </w:r>
      <w:r>
        <w:rPr>
          <w:rFonts w:hint="eastAsia"/>
        </w:rPr>
        <w:t>出锅前</w:t>
      </w:r>
      <w:r>
        <w:rPr>
          <w:rFonts w:hint="eastAsia"/>
        </w:rPr>
        <w:t>10</w:t>
      </w:r>
      <w:r>
        <w:rPr>
          <w:rFonts w:hint="eastAsia"/>
        </w:rPr>
        <w:t>分钟加盐调味，小火再炖。</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5.1.3.6  功效</w:t>
      </w:r>
    </w:p>
    <w:p w:rsidR="007830C1" w:rsidRDefault="00110584" w:rsidP="00F45E4D">
      <w:pPr>
        <w:spacing w:beforeLines="50" w:afterLines="50"/>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清热凉血，滋补肝肾。</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5.1.3.7  适宜人群</w:t>
      </w:r>
    </w:p>
    <w:p w:rsidR="007830C1" w:rsidRDefault="00110584" w:rsidP="00F45E4D">
      <w:pPr>
        <w:spacing w:beforeLines="50" w:afterLines="50"/>
        <w:rPr>
          <w:rFonts w:asciiTheme="minorEastAsia" w:eastAsiaTheme="minorEastAsia" w:hAnsiTheme="minorEastAsia"/>
          <w:szCs w:val="21"/>
        </w:rPr>
      </w:pPr>
      <w:r>
        <w:rPr>
          <w:rFonts w:ascii="黑体" w:eastAsia="黑体" w:hAnsi="黑体" w:hint="eastAsia"/>
          <w:szCs w:val="21"/>
        </w:rPr>
        <w:t xml:space="preserve">    </w:t>
      </w:r>
      <w:r>
        <w:rPr>
          <w:rFonts w:asciiTheme="minorEastAsia" w:eastAsiaTheme="minorEastAsia" w:hAnsiTheme="minorEastAsia" w:hint="eastAsia"/>
          <w:szCs w:val="21"/>
        </w:rPr>
        <w:t>适合于肝肾阴虚及血热恶露不绝者。</w:t>
      </w:r>
    </w:p>
    <w:p w:rsidR="007830C1" w:rsidRDefault="00110584" w:rsidP="00F45E4D">
      <w:pPr>
        <w:spacing w:beforeLines="50" w:afterLines="50"/>
        <w:rPr>
          <w:rFonts w:ascii="黑体" w:eastAsia="黑体" w:hAnsi="黑体"/>
          <w:szCs w:val="21"/>
        </w:rPr>
      </w:pPr>
      <w:r>
        <w:rPr>
          <w:rFonts w:ascii="黑体" w:eastAsia="黑体" w:hAnsi="黑体" w:hint="eastAsia"/>
          <w:szCs w:val="21"/>
        </w:rPr>
        <w:t>5.1.3.8  不适宜人群</w:t>
      </w:r>
    </w:p>
    <w:p w:rsidR="007830C1" w:rsidRDefault="00110584">
      <w:pPr>
        <w:spacing w:line="276" w:lineRule="auto"/>
        <w:ind w:firstLineChars="200" w:firstLine="420"/>
        <w:rPr>
          <w:rFonts w:ascii="宋体" w:hAnsi="宋体"/>
        </w:rPr>
      </w:pPr>
      <w:r>
        <w:rPr>
          <w:rFonts w:ascii="宋体" w:hAnsi="宋体" w:hint="eastAsia"/>
        </w:rPr>
        <w:t>不适合气虚型、瘀血型恶露不绝。</w:t>
      </w:r>
    </w:p>
    <w:p w:rsidR="007830C1" w:rsidRDefault="007830C1">
      <w:pPr>
        <w:spacing w:line="276" w:lineRule="auto"/>
        <w:ind w:firstLineChars="200" w:firstLine="420"/>
        <w:rPr>
          <w:rFonts w:ascii="宋体" w:hAnsi="宋体"/>
        </w:rPr>
      </w:pPr>
    </w:p>
    <w:p w:rsidR="007830C1" w:rsidRDefault="00110584" w:rsidP="00F45E4D">
      <w:pPr>
        <w:spacing w:beforeLines="50" w:afterLines="50"/>
        <w:outlineLvl w:val="2"/>
        <w:rPr>
          <w:rFonts w:ascii="黑体" w:eastAsia="黑体" w:hAnsi="黑体"/>
          <w:szCs w:val="21"/>
        </w:rPr>
      </w:pPr>
      <w:r>
        <w:rPr>
          <w:rFonts w:ascii="黑体" w:eastAsia="黑体" w:hAnsi="黑体" w:hint="eastAsia"/>
          <w:szCs w:val="21"/>
        </w:rPr>
        <w:t>5.2 产后缺乳月子汤</w:t>
      </w:r>
    </w:p>
    <w:p w:rsidR="007830C1" w:rsidRDefault="00110584" w:rsidP="00F45E4D">
      <w:pPr>
        <w:spacing w:beforeLines="50" w:afterLines="50"/>
        <w:outlineLvl w:val="2"/>
        <w:rPr>
          <w:rFonts w:ascii="黑体" w:eastAsia="黑体" w:hAnsi="黑体"/>
          <w:szCs w:val="21"/>
        </w:rPr>
      </w:pPr>
      <w:r>
        <w:rPr>
          <w:rFonts w:ascii="黑体" w:eastAsia="黑体" w:hAnsi="黑体" w:hint="eastAsia"/>
          <w:szCs w:val="21"/>
        </w:rPr>
        <w:lastRenderedPageBreak/>
        <w:t>5.2.1  参芪补血下乳汤</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5.2.1.1  药食两用材料</w:t>
      </w:r>
    </w:p>
    <w:p w:rsidR="007830C1" w:rsidRDefault="00110584">
      <w:pPr>
        <w:spacing w:line="276" w:lineRule="auto"/>
        <w:ind w:firstLineChars="200" w:firstLine="420"/>
        <w:rPr>
          <w:rFonts w:ascii="宋体" w:hAnsi="宋体"/>
        </w:rPr>
      </w:pPr>
      <w:r>
        <w:rPr>
          <w:rFonts w:ascii="宋体" w:hAnsi="宋体" w:hint="eastAsia"/>
        </w:rPr>
        <w:t>党参6克，以山西省、东北、甘肃产地为佳。</w:t>
      </w:r>
    </w:p>
    <w:p w:rsidR="007830C1" w:rsidRDefault="00110584">
      <w:pPr>
        <w:spacing w:line="276" w:lineRule="auto"/>
        <w:ind w:firstLineChars="200" w:firstLine="420"/>
        <w:rPr>
          <w:rFonts w:ascii="宋体" w:hAnsi="宋体"/>
        </w:rPr>
      </w:pPr>
      <w:r>
        <w:rPr>
          <w:rFonts w:ascii="宋体" w:hAnsi="宋体" w:hint="eastAsia"/>
        </w:rPr>
        <w:t>黄芪6克，以内蒙古、山西、黑龙江产地为佳。</w:t>
      </w:r>
    </w:p>
    <w:p w:rsidR="007830C1" w:rsidRDefault="00110584">
      <w:pPr>
        <w:spacing w:line="276" w:lineRule="auto"/>
        <w:ind w:firstLineChars="200" w:firstLine="420"/>
        <w:rPr>
          <w:rFonts w:ascii="宋体" w:hAnsi="宋体"/>
        </w:rPr>
      </w:pPr>
      <w:r>
        <w:rPr>
          <w:rFonts w:ascii="宋体" w:hAnsi="宋体" w:hint="eastAsia"/>
        </w:rPr>
        <w:t>当归6克，以甘肃、云南产地为佳。</w:t>
      </w:r>
    </w:p>
    <w:p w:rsidR="007830C1" w:rsidRDefault="00110584">
      <w:pPr>
        <w:spacing w:line="276" w:lineRule="auto"/>
        <w:ind w:firstLineChars="200" w:firstLine="420"/>
        <w:rPr>
          <w:rFonts w:ascii="宋体" w:hAnsi="宋体"/>
        </w:rPr>
      </w:pPr>
      <w:r>
        <w:rPr>
          <w:rFonts w:ascii="宋体" w:hAnsi="宋体" w:hint="eastAsia"/>
        </w:rPr>
        <w:t>山药6克，以河南焦作温县、沁阳产地为佳。</w:t>
      </w:r>
    </w:p>
    <w:p w:rsidR="007830C1" w:rsidRDefault="00110584">
      <w:pPr>
        <w:spacing w:line="276" w:lineRule="auto"/>
        <w:ind w:firstLineChars="200" w:firstLine="420"/>
        <w:rPr>
          <w:rFonts w:ascii="宋体" w:hAnsi="宋体"/>
        </w:rPr>
      </w:pPr>
      <w:r>
        <w:rPr>
          <w:rFonts w:ascii="宋体" w:hAnsi="宋体" w:hint="eastAsia"/>
        </w:rPr>
        <w:t>黑芝麻6克，以河南、山东产地为佳。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5.2.1.2  主料</w:t>
      </w:r>
    </w:p>
    <w:p w:rsidR="007830C1" w:rsidRDefault="00110584">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猪蹄（</w:t>
      </w:r>
      <w:r>
        <w:rPr>
          <w:rFonts w:ascii="宋体" w:hAnsi="宋体" w:hint="eastAsia"/>
        </w:rPr>
        <w:t>带筋的前蹄）</w:t>
      </w:r>
      <w:r>
        <w:rPr>
          <w:rFonts w:asciiTheme="minorEastAsia" w:eastAsiaTheme="minorEastAsia" w:hAnsiTheme="minorEastAsia" w:hint="eastAsia"/>
          <w:szCs w:val="21"/>
        </w:rPr>
        <w:t>1个。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5.2.1.3  辅料</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生姜2片、花生10克、</w:t>
      </w:r>
      <w:r>
        <w:rPr>
          <w:rFonts w:asciiTheme="minorEastAsia" w:eastAsiaTheme="minorEastAsia" w:hAnsiTheme="minorEastAsia" w:hint="eastAsia"/>
          <w:szCs w:val="21"/>
        </w:rPr>
        <w:t>木瓜（鲜品）0.5个、</w:t>
      </w:r>
      <w:r>
        <w:rPr>
          <w:rFonts w:asciiTheme="majorEastAsia" w:eastAsiaTheme="majorEastAsia" w:hAnsiTheme="majorEastAsia" w:hint="eastAsia"/>
          <w:szCs w:val="21"/>
        </w:rPr>
        <w:t>红枣4个。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5.2.1.4  调味品</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细盐少许、料酒适量。</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5.2.1.5  制作方法</w:t>
      </w:r>
    </w:p>
    <w:p w:rsidR="007830C1" w:rsidRDefault="00110584">
      <w:pPr>
        <w:spacing w:line="276" w:lineRule="auto"/>
        <w:ind w:firstLineChars="200" w:firstLine="420"/>
        <w:rPr>
          <w:rFonts w:ascii="宋体" w:hAnsi="宋体"/>
        </w:rPr>
      </w:pPr>
      <w:r>
        <w:rPr>
          <w:rFonts w:ascii="宋体" w:hAnsi="宋体" w:hint="eastAsia"/>
        </w:rPr>
        <w:t>1）猪蹄洗净斩小块，锅内加水烧开后放入猪蹄、姜片、料酒，水再开时焯至肉质紧实，变色成为灰白色捞出冲掉浮沫，用清水洗干净滤干水份。</w:t>
      </w:r>
    </w:p>
    <w:p w:rsidR="007830C1" w:rsidRDefault="00110584">
      <w:pPr>
        <w:spacing w:line="276" w:lineRule="auto"/>
        <w:ind w:firstLineChars="200" w:firstLine="420"/>
        <w:rPr>
          <w:rFonts w:ascii="宋体" w:hAnsi="宋体"/>
        </w:rPr>
      </w:pPr>
      <w:r>
        <w:rPr>
          <w:rFonts w:ascii="宋体" w:hAnsi="宋体" w:hint="eastAsia"/>
        </w:rPr>
        <w:t>2）花生去皮，和红枣冲洗干净备用。</w:t>
      </w:r>
    </w:p>
    <w:p w:rsidR="007830C1" w:rsidRDefault="00110584">
      <w:pPr>
        <w:spacing w:line="276" w:lineRule="auto"/>
        <w:ind w:firstLineChars="200" w:firstLine="420"/>
        <w:rPr>
          <w:rFonts w:ascii="宋体" w:hAnsi="宋体"/>
        </w:rPr>
      </w:pPr>
      <w:r>
        <w:rPr>
          <w:rFonts w:ascii="宋体" w:hAnsi="宋体" w:hint="eastAsia"/>
        </w:rPr>
        <w:t>3）将党参、黄芪、当归、山药、黑芝麻洗净后，使用纯净水浸泡1小时备用。</w:t>
      </w:r>
    </w:p>
    <w:p w:rsidR="007830C1" w:rsidRDefault="00110584">
      <w:pPr>
        <w:spacing w:line="276" w:lineRule="auto"/>
        <w:ind w:firstLineChars="200" w:firstLine="420"/>
        <w:rPr>
          <w:rFonts w:ascii="宋体" w:hAnsi="宋体"/>
        </w:rPr>
      </w:pPr>
      <w:r>
        <w:rPr>
          <w:rFonts w:ascii="宋体" w:hAnsi="宋体" w:hint="eastAsia"/>
        </w:rPr>
        <w:t>4）把所有食材放入锅中，加入1500毫升清水，大火煮开再改小火煲2小时。</w:t>
      </w:r>
    </w:p>
    <w:p w:rsidR="007830C1" w:rsidRDefault="00110584">
      <w:pPr>
        <w:spacing w:line="276" w:lineRule="auto"/>
        <w:ind w:firstLineChars="200" w:firstLine="420"/>
        <w:rPr>
          <w:rFonts w:ascii="宋体" w:hAnsi="宋体"/>
        </w:rPr>
      </w:pPr>
      <w:r>
        <w:rPr>
          <w:rFonts w:ascii="宋体" w:hAnsi="宋体" w:hint="eastAsia"/>
        </w:rPr>
        <w:t>5）木瓜去皮、去籽、去蒂，切滚刀块，大小和猪蹄相同；出锅前</w:t>
      </w:r>
      <w:r>
        <w:rPr>
          <w:rFonts w:hint="eastAsia"/>
        </w:rPr>
        <w:t>10</w:t>
      </w:r>
      <w:r>
        <w:rPr>
          <w:rFonts w:hint="eastAsia"/>
        </w:rPr>
        <w:t>分钟开盖加盐</w:t>
      </w:r>
      <w:r>
        <w:rPr>
          <w:rFonts w:ascii="宋体" w:hAnsi="宋体" w:hint="eastAsia"/>
        </w:rPr>
        <w:t>调味后加入木瓜</w:t>
      </w:r>
      <w:r>
        <w:rPr>
          <w:rFonts w:hint="eastAsia"/>
        </w:rPr>
        <w:t>，稍炖即可</w:t>
      </w:r>
      <w:r>
        <w:rPr>
          <w:rFonts w:ascii="宋体" w:hAnsi="宋体" w:hint="eastAsia"/>
        </w:rPr>
        <w:t>。</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5.2.1.6  功效</w:t>
      </w:r>
    </w:p>
    <w:p w:rsidR="007830C1" w:rsidRDefault="00110584">
      <w:pPr>
        <w:spacing w:line="276" w:lineRule="auto"/>
        <w:ind w:firstLineChars="200" w:firstLine="420"/>
        <w:rPr>
          <w:rFonts w:ascii="宋体" w:hAnsi="宋体"/>
        </w:rPr>
      </w:pPr>
      <w:r>
        <w:rPr>
          <w:rFonts w:ascii="宋体" w:hAnsi="宋体" w:hint="eastAsia"/>
        </w:rPr>
        <w:t>补气养血，滋补下乳。</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5.2.1.7  适宜人群</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产后气血亏虚，乳汁不足者。</w:t>
      </w:r>
    </w:p>
    <w:p w:rsidR="007830C1" w:rsidRDefault="00110584" w:rsidP="00F45E4D">
      <w:pPr>
        <w:spacing w:beforeLines="50" w:afterLines="50"/>
        <w:rPr>
          <w:rFonts w:ascii="黑体" w:eastAsia="黑体" w:hAnsi="黑体"/>
          <w:szCs w:val="21"/>
        </w:rPr>
      </w:pPr>
      <w:r>
        <w:rPr>
          <w:rFonts w:ascii="黑体" w:eastAsia="黑体" w:hAnsi="黑体" w:hint="eastAsia"/>
          <w:szCs w:val="21"/>
        </w:rPr>
        <w:t>5.2.1.8  不适宜人群</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肝郁气滞或痰湿阻滞者，及对以上食材过敏者。</w:t>
      </w:r>
    </w:p>
    <w:p w:rsidR="007830C1" w:rsidRDefault="00110584" w:rsidP="00F45E4D">
      <w:pPr>
        <w:spacing w:beforeLines="50" w:afterLines="50"/>
        <w:outlineLvl w:val="2"/>
        <w:rPr>
          <w:rFonts w:ascii="黑体" w:eastAsia="黑体" w:hAnsi="黑体"/>
          <w:szCs w:val="21"/>
        </w:rPr>
      </w:pPr>
      <w:r>
        <w:rPr>
          <w:rFonts w:ascii="黑体" w:eastAsia="黑体" w:hAnsi="黑体" w:hint="eastAsia"/>
          <w:szCs w:val="21"/>
        </w:rPr>
        <w:t>5.2.2  佛手木瓜下乳汤</w:t>
      </w:r>
    </w:p>
    <w:p w:rsidR="007830C1" w:rsidRDefault="00110584" w:rsidP="00F45E4D">
      <w:pPr>
        <w:spacing w:beforeLines="50" w:afterLines="50"/>
        <w:ind w:left="1260" w:hangingChars="600" w:hanging="1260"/>
        <w:rPr>
          <w:rFonts w:ascii="黑体" w:eastAsia="黑体" w:hAnsi="黑体"/>
          <w:szCs w:val="21"/>
        </w:rPr>
      </w:pPr>
      <w:r>
        <w:rPr>
          <w:rFonts w:ascii="黑体" w:eastAsia="黑体" w:hAnsi="黑体" w:hint="eastAsia"/>
          <w:szCs w:val="21"/>
        </w:rPr>
        <w:t>5.2.2.1  药食两用材料</w:t>
      </w:r>
    </w:p>
    <w:p w:rsidR="007830C1" w:rsidRDefault="00110584">
      <w:pPr>
        <w:spacing w:line="276" w:lineRule="auto"/>
        <w:ind w:firstLineChars="200" w:firstLine="420"/>
        <w:rPr>
          <w:rFonts w:ascii="宋体" w:hAnsi="宋体"/>
        </w:rPr>
      </w:pPr>
      <w:r>
        <w:rPr>
          <w:rFonts w:ascii="宋体" w:hAnsi="宋体" w:hint="eastAsia"/>
        </w:rPr>
        <w:t>当归6克，以甘肃、云南产地为佳。</w:t>
      </w:r>
    </w:p>
    <w:p w:rsidR="007830C1" w:rsidRDefault="00110584">
      <w:pPr>
        <w:spacing w:line="276" w:lineRule="auto"/>
        <w:ind w:firstLineChars="200" w:firstLine="420"/>
        <w:rPr>
          <w:rFonts w:ascii="宋体" w:hAnsi="宋体"/>
        </w:rPr>
      </w:pPr>
      <w:r>
        <w:rPr>
          <w:rFonts w:ascii="宋体" w:hAnsi="宋体" w:hint="eastAsia"/>
        </w:rPr>
        <w:t>香橼6克，以中国台湾、福建、广东、广西、云南产地为佳。</w:t>
      </w:r>
    </w:p>
    <w:p w:rsidR="007830C1" w:rsidRDefault="00110584">
      <w:pPr>
        <w:spacing w:line="276" w:lineRule="auto"/>
        <w:ind w:firstLineChars="200" w:firstLine="420"/>
        <w:rPr>
          <w:rFonts w:ascii="宋体" w:hAnsi="宋体"/>
        </w:rPr>
      </w:pPr>
      <w:r>
        <w:rPr>
          <w:rFonts w:ascii="宋体" w:hAnsi="宋体" w:hint="eastAsia"/>
        </w:rPr>
        <w:t>佛手6克，以广东、四川产地为佳。</w:t>
      </w:r>
    </w:p>
    <w:p w:rsidR="007830C1" w:rsidRDefault="00110584">
      <w:pPr>
        <w:spacing w:line="276" w:lineRule="auto"/>
        <w:ind w:firstLineChars="200" w:firstLine="420"/>
        <w:rPr>
          <w:rFonts w:ascii="宋体" w:hAnsi="宋体"/>
        </w:rPr>
      </w:pPr>
      <w:r>
        <w:rPr>
          <w:rFonts w:ascii="宋体" w:hAnsi="宋体" w:hint="eastAsia"/>
        </w:rPr>
        <w:t>甘草6克，以宁夏、内蒙古、新疆、甘肃产地为佳。</w:t>
      </w:r>
    </w:p>
    <w:p w:rsidR="007830C1" w:rsidRDefault="00110584">
      <w:pPr>
        <w:spacing w:line="276" w:lineRule="auto"/>
        <w:ind w:firstLineChars="200" w:firstLine="420"/>
        <w:rPr>
          <w:rFonts w:ascii="宋体" w:hAnsi="宋体"/>
        </w:rPr>
      </w:pPr>
      <w:r>
        <w:rPr>
          <w:rFonts w:ascii="宋体" w:hAnsi="宋体" w:hint="eastAsia"/>
        </w:rPr>
        <w:t>黑芝麻6克，以河南、山东产地为佳。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5.2.2.2  主料</w:t>
      </w:r>
    </w:p>
    <w:p w:rsidR="007830C1" w:rsidRDefault="00110584">
      <w:pPr>
        <w:spacing w:line="276" w:lineRule="auto"/>
        <w:ind w:firstLineChars="200" w:firstLine="420"/>
        <w:rPr>
          <w:rFonts w:ascii="宋体" w:eastAsiaTheme="minorEastAsia" w:hAnsi="宋体"/>
        </w:rPr>
      </w:pPr>
      <w:r>
        <w:rPr>
          <w:rFonts w:asciiTheme="minorEastAsia" w:eastAsiaTheme="minorEastAsia" w:hAnsiTheme="minorEastAsia" w:hint="eastAsia"/>
          <w:szCs w:val="21"/>
        </w:rPr>
        <w:t>猪蹄（</w:t>
      </w:r>
      <w:r>
        <w:rPr>
          <w:rFonts w:ascii="宋体" w:hAnsi="宋体" w:hint="eastAsia"/>
        </w:rPr>
        <w:t>带筋的前蹄）</w:t>
      </w:r>
      <w:r>
        <w:rPr>
          <w:rFonts w:asciiTheme="minorEastAsia" w:eastAsiaTheme="minorEastAsia" w:hAnsiTheme="minorEastAsia" w:hint="eastAsia"/>
          <w:szCs w:val="21"/>
        </w:rPr>
        <w:t>1个。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5.2.2.3  辅料</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lastRenderedPageBreak/>
        <w:t>生姜2片、花生10克、</w:t>
      </w:r>
      <w:r>
        <w:rPr>
          <w:rFonts w:asciiTheme="minorEastAsia" w:eastAsiaTheme="minorEastAsia" w:hAnsiTheme="minorEastAsia" w:hint="eastAsia"/>
          <w:szCs w:val="21"/>
        </w:rPr>
        <w:t>木瓜（鲜品）0.5个、</w:t>
      </w:r>
      <w:r>
        <w:rPr>
          <w:rFonts w:asciiTheme="majorEastAsia" w:eastAsiaTheme="majorEastAsia" w:hAnsiTheme="majorEastAsia" w:hint="eastAsia"/>
          <w:szCs w:val="21"/>
        </w:rPr>
        <w:t>红枣4个。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5.2.2.4  调味品</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低钠盐少许、料酒适量。</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5.2.2.5  制作方法</w:t>
      </w:r>
    </w:p>
    <w:p w:rsidR="007830C1" w:rsidRDefault="00110584">
      <w:pPr>
        <w:spacing w:line="276" w:lineRule="auto"/>
        <w:ind w:firstLineChars="200" w:firstLine="420"/>
        <w:rPr>
          <w:rFonts w:ascii="宋体" w:hAnsi="宋体"/>
        </w:rPr>
      </w:pPr>
      <w:r>
        <w:rPr>
          <w:rFonts w:ascii="宋体" w:hAnsi="宋体" w:hint="eastAsia"/>
        </w:rPr>
        <w:t>1）猪蹄洗净斩小块，锅内加水烧开后放入猪蹄、姜片、料酒，水再开时焯至肉质紧实，变色成为灰白色捞出冲掉浮沫，用清水洗干净滤干水份。</w:t>
      </w:r>
    </w:p>
    <w:p w:rsidR="007830C1" w:rsidRDefault="00110584">
      <w:pPr>
        <w:spacing w:line="276" w:lineRule="auto"/>
        <w:ind w:firstLineChars="200" w:firstLine="420"/>
        <w:rPr>
          <w:rFonts w:ascii="宋体" w:hAnsi="宋体"/>
        </w:rPr>
      </w:pPr>
      <w:r>
        <w:rPr>
          <w:rFonts w:ascii="宋体" w:hAnsi="宋体" w:hint="eastAsia"/>
        </w:rPr>
        <w:t>2）花生去皮、红枣冲洗干净备用。</w:t>
      </w:r>
    </w:p>
    <w:p w:rsidR="007830C1" w:rsidRDefault="00110584">
      <w:pPr>
        <w:spacing w:line="276" w:lineRule="auto"/>
        <w:ind w:firstLineChars="200" w:firstLine="420"/>
        <w:rPr>
          <w:rFonts w:ascii="宋体" w:hAnsi="宋体"/>
        </w:rPr>
      </w:pPr>
      <w:r>
        <w:rPr>
          <w:rFonts w:ascii="宋体" w:hAnsi="宋体" w:hint="eastAsia"/>
        </w:rPr>
        <w:t>3）将当归、香橼、佛手、甘草、黑芝麻洗净后，使用纯净水浸泡1小时备用。</w:t>
      </w:r>
    </w:p>
    <w:p w:rsidR="007830C1" w:rsidRDefault="00110584">
      <w:pPr>
        <w:spacing w:line="276" w:lineRule="auto"/>
        <w:ind w:firstLineChars="200" w:firstLine="420"/>
        <w:rPr>
          <w:rFonts w:ascii="宋体" w:hAnsi="宋体"/>
        </w:rPr>
      </w:pPr>
      <w:r>
        <w:rPr>
          <w:rFonts w:ascii="宋体" w:hAnsi="宋体" w:hint="eastAsia"/>
        </w:rPr>
        <w:t>4）把所有食材放入锅中，加入1500毫升清水，大火煮开再改小火煲2小时。</w:t>
      </w:r>
    </w:p>
    <w:p w:rsidR="007830C1" w:rsidRDefault="00110584">
      <w:pPr>
        <w:spacing w:line="276" w:lineRule="auto"/>
        <w:ind w:firstLineChars="200" w:firstLine="420"/>
        <w:rPr>
          <w:rFonts w:ascii="宋体" w:hAnsi="宋体"/>
        </w:rPr>
      </w:pPr>
      <w:r>
        <w:rPr>
          <w:rFonts w:ascii="宋体" w:hAnsi="宋体" w:hint="eastAsia"/>
        </w:rPr>
        <w:t>5）木瓜去皮、去籽、去蒂，切滚刀块，大小和猪蹄相同；出锅前</w:t>
      </w:r>
      <w:r>
        <w:rPr>
          <w:rFonts w:hint="eastAsia"/>
        </w:rPr>
        <w:t>10</w:t>
      </w:r>
      <w:r>
        <w:rPr>
          <w:rFonts w:hint="eastAsia"/>
        </w:rPr>
        <w:t>分钟开盖加盐</w:t>
      </w:r>
      <w:r>
        <w:rPr>
          <w:rFonts w:ascii="宋体" w:hAnsi="宋体" w:hint="eastAsia"/>
        </w:rPr>
        <w:t>调味后加入木瓜</w:t>
      </w:r>
      <w:r>
        <w:rPr>
          <w:rFonts w:hint="eastAsia"/>
        </w:rPr>
        <w:t>，稍炖即可</w:t>
      </w:r>
      <w:r>
        <w:rPr>
          <w:rFonts w:ascii="宋体" w:hAnsi="宋体" w:hint="eastAsia"/>
        </w:rPr>
        <w:t>。</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5.2.2.6  功效</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疏肝理气，养血下乳。</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5.2.2.7  适宜人群</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产后肝郁气滞，乳汁不足者。</w:t>
      </w:r>
    </w:p>
    <w:p w:rsidR="007830C1" w:rsidRDefault="00110584" w:rsidP="00F45E4D">
      <w:pPr>
        <w:spacing w:beforeLines="50" w:afterLines="50"/>
        <w:rPr>
          <w:rFonts w:ascii="黑体" w:eastAsia="黑体" w:hAnsi="黑体"/>
          <w:szCs w:val="21"/>
        </w:rPr>
      </w:pPr>
      <w:r>
        <w:rPr>
          <w:rFonts w:ascii="黑体" w:eastAsia="黑体" w:hAnsi="黑体" w:hint="eastAsia"/>
          <w:szCs w:val="21"/>
        </w:rPr>
        <w:t>5.2.2.8  不适宜人群</w:t>
      </w:r>
    </w:p>
    <w:p w:rsidR="007830C1" w:rsidRDefault="00110584">
      <w:pPr>
        <w:spacing w:line="276" w:lineRule="auto"/>
        <w:ind w:firstLineChars="200" w:firstLine="420"/>
        <w:rPr>
          <w:rFonts w:ascii="宋体" w:hAnsi="宋体"/>
        </w:rPr>
      </w:pPr>
      <w:r>
        <w:rPr>
          <w:rFonts w:ascii="宋体" w:hAnsi="宋体" w:hint="eastAsia"/>
        </w:rPr>
        <w:t>气血亏虚或痰湿阻滞者，及对以上食材过敏者。</w:t>
      </w:r>
    </w:p>
    <w:p w:rsidR="007830C1" w:rsidRDefault="007830C1">
      <w:pPr>
        <w:spacing w:line="276" w:lineRule="auto"/>
        <w:ind w:firstLineChars="200" w:firstLine="420"/>
        <w:rPr>
          <w:rFonts w:ascii="宋体" w:hAnsi="宋体"/>
        </w:rPr>
      </w:pPr>
    </w:p>
    <w:p w:rsidR="007830C1" w:rsidRDefault="00110584">
      <w:pPr>
        <w:spacing w:line="276" w:lineRule="auto"/>
        <w:rPr>
          <w:rFonts w:ascii="黑体" w:eastAsia="黑体" w:hAnsi="黑体"/>
          <w:szCs w:val="21"/>
        </w:rPr>
      </w:pPr>
      <w:r>
        <w:rPr>
          <w:rFonts w:ascii="黑体" w:eastAsia="黑体" w:hAnsi="黑体" w:hint="eastAsia"/>
          <w:szCs w:val="21"/>
        </w:rPr>
        <w:t>5.2.3  橘红祛湿下乳汤</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5.2.3.1  药食两用材料</w:t>
      </w:r>
    </w:p>
    <w:p w:rsidR="007830C1" w:rsidRDefault="00110584">
      <w:pPr>
        <w:spacing w:line="276" w:lineRule="auto"/>
        <w:ind w:firstLineChars="200" w:firstLine="420"/>
        <w:rPr>
          <w:rFonts w:ascii="宋体" w:hAnsi="宋体"/>
        </w:rPr>
      </w:pPr>
      <w:r>
        <w:rPr>
          <w:rFonts w:ascii="宋体" w:hAnsi="宋体" w:hint="eastAsia"/>
        </w:rPr>
        <w:t>橘红6克，广东、四川、重庆产地为佳。</w:t>
      </w:r>
    </w:p>
    <w:p w:rsidR="007830C1" w:rsidRDefault="00110584">
      <w:pPr>
        <w:spacing w:line="276" w:lineRule="auto"/>
        <w:ind w:firstLineChars="200" w:firstLine="420"/>
        <w:rPr>
          <w:rFonts w:ascii="宋体" w:hAnsi="宋体"/>
        </w:rPr>
      </w:pPr>
      <w:r>
        <w:rPr>
          <w:rFonts w:ascii="宋体" w:hAnsi="宋体" w:hint="eastAsia"/>
        </w:rPr>
        <w:t>薏苡仁6克，以福建、河北、辽宁产地为佳。</w:t>
      </w:r>
    </w:p>
    <w:p w:rsidR="007830C1" w:rsidRDefault="00110584">
      <w:pPr>
        <w:spacing w:line="276" w:lineRule="auto"/>
        <w:ind w:firstLineChars="200" w:firstLine="420"/>
        <w:rPr>
          <w:rFonts w:ascii="宋体" w:hAnsi="宋体"/>
        </w:rPr>
      </w:pPr>
      <w:r>
        <w:rPr>
          <w:rFonts w:ascii="宋体" w:hAnsi="宋体" w:hint="eastAsia"/>
        </w:rPr>
        <w:t>茯苓6克，以湖北、云南、安徽产地为佳。</w:t>
      </w:r>
    </w:p>
    <w:p w:rsidR="007830C1" w:rsidRDefault="00110584">
      <w:pPr>
        <w:spacing w:line="276" w:lineRule="auto"/>
        <w:ind w:firstLineChars="200" w:firstLine="420"/>
        <w:rPr>
          <w:rFonts w:ascii="宋体" w:hAnsi="宋体"/>
        </w:rPr>
      </w:pPr>
      <w:r>
        <w:rPr>
          <w:rFonts w:ascii="宋体" w:hAnsi="宋体" w:hint="eastAsia"/>
        </w:rPr>
        <w:t>甘草6克，以宁夏、内蒙古、新疆、甘肃产地为佳。</w:t>
      </w:r>
    </w:p>
    <w:p w:rsidR="007830C1" w:rsidRDefault="00110584">
      <w:pPr>
        <w:spacing w:line="276" w:lineRule="auto"/>
        <w:ind w:firstLineChars="200" w:firstLine="420"/>
        <w:rPr>
          <w:rFonts w:ascii="宋体" w:hAnsi="宋体"/>
        </w:rPr>
      </w:pPr>
      <w:r>
        <w:rPr>
          <w:rFonts w:ascii="宋体" w:hAnsi="宋体" w:hint="eastAsia"/>
        </w:rPr>
        <w:t>黑芝麻6克，以河南、山东产地为佳。</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5.2.3.2  主料</w:t>
      </w:r>
    </w:p>
    <w:p w:rsidR="007830C1" w:rsidRDefault="00110584">
      <w:pPr>
        <w:spacing w:line="276" w:lineRule="auto"/>
        <w:ind w:firstLineChars="200" w:firstLine="420"/>
        <w:rPr>
          <w:rFonts w:ascii="宋体" w:eastAsiaTheme="minorEastAsia" w:hAnsi="宋体"/>
        </w:rPr>
      </w:pPr>
      <w:r>
        <w:rPr>
          <w:rFonts w:asciiTheme="minorEastAsia" w:eastAsiaTheme="minorEastAsia" w:hAnsiTheme="minorEastAsia" w:hint="eastAsia"/>
          <w:szCs w:val="21"/>
        </w:rPr>
        <w:t>猪蹄（</w:t>
      </w:r>
      <w:r>
        <w:rPr>
          <w:rFonts w:ascii="宋体" w:hAnsi="宋体" w:hint="eastAsia"/>
        </w:rPr>
        <w:t>带筋的前蹄）</w:t>
      </w:r>
      <w:r>
        <w:rPr>
          <w:rFonts w:asciiTheme="minorEastAsia" w:eastAsiaTheme="minorEastAsia" w:hAnsiTheme="minorEastAsia" w:hint="eastAsia"/>
          <w:szCs w:val="21"/>
        </w:rPr>
        <w:t>1个。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5.2.3.3  辅料</w:t>
      </w:r>
    </w:p>
    <w:p w:rsidR="007830C1" w:rsidRDefault="00110584">
      <w:pPr>
        <w:spacing w:line="276" w:lineRule="auto"/>
        <w:ind w:firstLineChars="200" w:firstLine="420"/>
        <w:rPr>
          <w:rFonts w:ascii="宋体" w:hAnsi="宋体"/>
        </w:rPr>
      </w:pPr>
      <w:r>
        <w:rPr>
          <w:rFonts w:ascii="宋体" w:hAnsi="宋体" w:hint="eastAsia"/>
        </w:rPr>
        <w:t>生姜2片、花生10克、木瓜（鲜品）0.5个、红枣4个。</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5.2.3.4  调味品</w:t>
      </w:r>
    </w:p>
    <w:p w:rsidR="007830C1" w:rsidRDefault="00110584">
      <w:pPr>
        <w:spacing w:line="276" w:lineRule="auto"/>
        <w:ind w:firstLineChars="200" w:firstLine="420"/>
        <w:rPr>
          <w:rFonts w:ascii="宋体" w:hAnsi="宋体"/>
        </w:rPr>
      </w:pPr>
      <w:r>
        <w:rPr>
          <w:rFonts w:ascii="宋体" w:hAnsi="宋体" w:hint="eastAsia"/>
        </w:rPr>
        <w:t>低钠盐少许、料酒适量。</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5.2.3.5  制作方法</w:t>
      </w:r>
    </w:p>
    <w:p w:rsidR="007830C1" w:rsidRDefault="00110584">
      <w:pPr>
        <w:spacing w:line="276" w:lineRule="auto"/>
        <w:ind w:firstLineChars="200" w:firstLine="420"/>
        <w:rPr>
          <w:rFonts w:ascii="宋体" w:hAnsi="宋体"/>
        </w:rPr>
      </w:pPr>
      <w:r>
        <w:rPr>
          <w:rFonts w:ascii="宋体" w:hAnsi="宋体" w:hint="eastAsia"/>
        </w:rPr>
        <w:t>1）猪蹄洗净斩小块，锅内加水烧开后放入猪蹄、姜片、料酒，水再开时焯至肉质紧实，变色成为灰白色捞出冲掉浮沫，用清水洗干净滤干水份。</w:t>
      </w:r>
    </w:p>
    <w:p w:rsidR="007830C1" w:rsidRDefault="00110584">
      <w:pPr>
        <w:spacing w:line="276" w:lineRule="auto"/>
        <w:ind w:firstLineChars="200" w:firstLine="420"/>
        <w:rPr>
          <w:rFonts w:ascii="宋体" w:hAnsi="宋体"/>
        </w:rPr>
      </w:pPr>
      <w:r>
        <w:rPr>
          <w:rFonts w:ascii="宋体" w:hAnsi="宋体" w:hint="eastAsia"/>
        </w:rPr>
        <w:t>2）花生去皮、红枣冲洗干净备用。</w:t>
      </w:r>
    </w:p>
    <w:p w:rsidR="007830C1" w:rsidRDefault="00110584">
      <w:pPr>
        <w:spacing w:line="276" w:lineRule="auto"/>
        <w:ind w:firstLineChars="200" w:firstLine="420"/>
        <w:rPr>
          <w:rFonts w:ascii="宋体" w:hAnsi="宋体"/>
        </w:rPr>
      </w:pPr>
      <w:r>
        <w:rPr>
          <w:rFonts w:ascii="宋体" w:hAnsi="宋体" w:hint="eastAsia"/>
        </w:rPr>
        <w:t>3）将橘红、薏苡仁、茯苓、甘草、黑芝麻洗净后，使用纯净水浸泡1小时备用。</w:t>
      </w:r>
    </w:p>
    <w:p w:rsidR="007830C1" w:rsidRDefault="00110584">
      <w:pPr>
        <w:spacing w:line="276" w:lineRule="auto"/>
        <w:ind w:firstLineChars="200" w:firstLine="420"/>
        <w:rPr>
          <w:rFonts w:ascii="宋体" w:hAnsi="宋体"/>
        </w:rPr>
      </w:pPr>
      <w:r>
        <w:rPr>
          <w:rFonts w:ascii="宋体" w:hAnsi="宋体" w:hint="eastAsia"/>
        </w:rPr>
        <w:t>4）把所有食材放入锅中，加入1500毫升清水，大火煮开再改小火煲2小时。</w:t>
      </w:r>
    </w:p>
    <w:p w:rsidR="007830C1" w:rsidRDefault="00110584">
      <w:pPr>
        <w:spacing w:line="276" w:lineRule="auto"/>
        <w:ind w:firstLineChars="200" w:firstLine="420"/>
        <w:rPr>
          <w:rFonts w:ascii="宋体" w:hAnsi="宋体"/>
        </w:rPr>
      </w:pPr>
      <w:r>
        <w:rPr>
          <w:rFonts w:ascii="宋体" w:hAnsi="宋体" w:hint="eastAsia"/>
        </w:rPr>
        <w:t>5）木瓜去皮、去籽、去蒂，切滚刀块，大小和猪蹄相同；出锅前</w:t>
      </w:r>
      <w:r>
        <w:rPr>
          <w:rFonts w:hint="eastAsia"/>
        </w:rPr>
        <w:t>10</w:t>
      </w:r>
      <w:r>
        <w:rPr>
          <w:rFonts w:hint="eastAsia"/>
        </w:rPr>
        <w:t>分钟开盖加盐</w:t>
      </w:r>
      <w:r>
        <w:rPr>
          <w:rFonts w:ascii="宋体" w:hAnsi="宋体" w:hint="eastAsia"/>
        </w:rPr>
        <w:t>调味</w:t>
      </w:r>
      <w:r>
        <w:rPr>
          <w:rFonts w:ascii="宋体" w:hAnsi="宋体" w:hint="eastAsia"/>
        </w:rPr>
        <w:lastRenderedPageBreak/>
        <w:t>后加入木瓜</w:t>
      </w:r>
      <w:r>
        <w:rPr>
          <w:rFonts w:hint="eastAsia"/>
        </w:rPr>
        <w:t>，稍炖即可</w:t>
      </w:r>
      <w:r>
        <w:rPr>
          <w:rFonts w:ascii="宋体" w:hAnsi="宋体" w:hint="eastAsia"/>
        </w:rPr>
        <w:t>。</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5.2.3.6  功效</w:t>
      </w:r>
    </w:p>
    <w:p w:rsidR="007830C1" w:rsidRDefault="00110584">
      <w:pPr>
        <w:spacing w:line="276" w:lineRule="auto"/>
        <w:ind w:firstLineChars="200" w:firstLine="420"/>
        <w:rPr>
          <w:rFonts w:ascii="宋体" w:hAnsi="宋体"/>
        </w:rPr>
      </w:pPr>
      <w:r>
        <w:rPr>
          <w:rFonts w:ascii="宋体" w:hAnsi="宋体" w:hint="eastAsia"/>
        </w:rPr>
        <w:t>理气化痰，健脾除湿。</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5.2.3.7  适宜人群</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痰湿阻滞，乳汁不足者。</w:t>
      </w:r>
    </w:p>
    <w:p w:rsidR="007830C1" w:rsidRDefault="00110584" w:rsidP="00F45E4D">
      <w:pPr>
        <w:spacing w:beforeLines="50" w:afterLines="50"/>
        <w:rPr>
          <w:rFonts w:ascii="黑体" w:eastAsia="黑体" w:hAnsi="黑体"/>
          <w:szCs w:val="21"/>
        </w:rPr>
      </w:pPr>
      <w:r>
        <w:rPr>
          <w:rFonts w:ascii="黑体" w:eastAsia="黑体" w:hAnsi="黑体" w:hint="eastAsia"/>
          <w:szCs w:val="21"/>
        </w:rPr>
        <w:t>5.2.3.8  不适宜人群</w:t>
      </w:r>
    </w:p>
    <w:p w:rsidR="007830C1" w:rsidRDefault="00110584">
      <w:pPr>
        <w:spacing w:line="276" w:lineRule="auto"/>
        <w:ind w:firstLineChars="200" w:firstLine="420"/>
        <w:rPr>
          <w:rFonts w:ascii="宋体" w:hAnsi="宋体"/>
        </w:rPr>
      </w:pPr>
      <w:r>
        <w:rPr>
          <w:rFonts w:ascii="宋体" w:hAnsi="宋体" w:hint="eastAsia"/>
        </w:rPr>
        <w:t>气血亏虚或肝郁气滞者，及对以上食材过敏者。</w:t>
      </w:r>
    </w:p>
    <w:p w:rsidR="007830C1" w:rsidRDefault="007830C1">
      <w:pPr>
        <w:spacing w:line="276" w:lineRule="auto"/>
        <w:rPr>
          <w:rFonts w:ascii="黑体" w:eastAsia="黑体" w:hAnsi="黑体"/>
          <w:szCs w:val="21"/>
        </w:rPr>
      </w:pPr>
    </w:p>
    <w:p w:rsidR="007830C1" w:rsidRDefault="00110584">
      <w:pPr>
        <w:spacing w:line="276" w:lineRule="auto"/>
        <w:rPr>
          <w:rFonts w:ascii="黑体" w:eastAsia="黑体" w:hAnsi="黑体"/>
          <w:szCs w:val="21"/>
        </w:rPr>
      </w:pPr>
      <w:r>
        <w:rPr>
          <w:rFonts w:ascii="黑体" w:eastAsia="黑体" w:hAnsi="黑体"/>
          <w:szCs w:val="21"/>
        </w:rPr>
        <w:t>5.3</w:t>
      </w:r>
      <w:r>
        <w:rPr>
          <w:rFonts w:ascii="黑体" w:eastAsia="黑体" w:hAnsi="黑体" w:hint="eastAsia"/>
          <w:szCs w:val="21"/>
        </w:rPr>
        <w:t xml:space="preserve"> </w:t>
      </w:r>
      <w:r>
        <w:rPr>
          <w:rFonts w:ascii="黑体" w:eastAsia="黑体" w:hAnsi="黑体"/>
          <w:szCs w:val="21"/>
        </w:rPr>
        <w:t xml:space="preserve"> 产后</w:t>
      </w:r>
      <w:r>
        <w:rPr>
          <w:rFonts w:ascii="黑体" w:eastAsia="黑体" w:hAnsi="黑体" w:hint="eastAsia"/>
          <w:szCs w:val="21"/>
        </w:rPr>
        <w:t>大便难月子汤</w:t>
      </w:r>
      <w:bookmarkEnd w:id="58"/>
      <w:bookmarkEnd w:id="59"/>
    </w:p>
    <w:p w:rsidR="007830C1" w:rsidRDefault="00110584" w:rsidP="00F45E4D">
      <w:pPr>
        <w:spacing w:beforeLines="50" w:afterLines="50"/>
        <w:outlineLvl w:val="2"/>
        <w:rPr>
          <w:rFonts w:ascii="黑体" w:eastAsia="黑体" w:hAnsi="黑体"/>
          <w:szCs w:val="21"/>
        </w:rPr>
      </w:pPr>
      <w:r>
        <w:rPr>
          <w:rFonts w:ascii="黑体" w:eastAsia="黑体" w:hAnsi="黑体"/>
          <w:szCs w:val="21"/>
        </w:rPr>
        <w:t>5.3.1</w:t>
      </w:r>
      <w:r>
        <w:rPr>
          <w:rFonts w:ascii="黑体" w:eastAsia="黑体" w:hAnsi="黑体" w:hint="eastAsia"/>
          <w:szCs w:val="21"/>
        </w:rPr>
        <w:t xml:space="preserve"> 熟地麻仁月子汤</w:t>
      </w:r>
    </w:p>
    <w:p w:rsidR="007830C1" w:rsidRDefault="00110584" w:rsidP="00F45E4D">
      <w:pPr>
        <w:spacing w:beforeLines="50" w:afterLines="50"/>
        <w:rPr>
          <w:rFonts w:ascii="黑体" w:eastAsia="黑体" w:hAnsi="黑体"/>
          <w:szCs w:val="21"/>
        </w:rPr>
      </w:pPr>
      <w:r>
        <w:rPr>
          <w:rFonts w:ascii="黑体" w:eastAsia="黑体" w:hAnsi="黑体"/>
          <w:szCs w:val="21"/>
        </w:rPr>
        <w:t>5.3.1.1</w:t>
      </w:r>
      <w:r>
        <w:rPr>
          <w:rFonts w:ascii="黑体" w:eastAsia="黑体" w:hAnsi="黑体" w:hint="eastAsia"/>
          <w:szCs w:val="21"/>
        </w:rPr>
        <w:t xml:space="preserve">  药食两用材料</w:t>
      </w:r>
    </w:p>
    <w:p w:rsidR="007830C1" w:rsidRDefault="00110584">
      <w:pPr>
        <w:spacing w:line="276" w:lineRule="auto"/>
        <w:ind w:firstLineChars="200" w:firstLine="420"/>
        <w:rPr>
          <w:rFonts w:ascii="宋体" w:hAnsi="宋体"/>
        </w:rPr>
      </w:pPr>
      <w:r>
        <w:rPr>
          <w:rFonts w:ascii="宋体" w:hAnsi="宋体" w:hint="eastAsia"/>
        </w:rPr>
        <w:t xml:space="preserve">熟地6克，以河南、浙江等产地为佳。 </w:t>
      </w:r>
    </w:p>
    <w:p w:rsidR="007830C1" w:rsidRDefault="00110584">
      <w:pPr>
        <w:spacing w:line="276" w:lineRule="auto"/>
        <w:ind w:firstLineChars="200" w:firstLine="420"/>
        <w:rPr>
          <w:rFonts w:ascii="宋体" w:hAnsi="宋体"/>
        </w:rPr>
      </w:pPr>
      <w:r>
        <w:rPr>
          <w:rFonts w:ascii="宋体" w:hAnsi="宋体" w:hint="eastAsia"/>
        </w:rPr>
        <w:t>当归6克，以甘肃、云南产地为佳。</w:t>
      </w:r>
    </w:p>
    <w:p w:rsidR="007830C1" w:rsidRDefault="00110584">
      <w:pPr>
        <w:spacing w:line="276" w:lineRule="auto"/>
        <w:ind w:firstLineChars="200" w:firstLine="420"/>
        <w:rPr>
          <w:rFonts w:ascii="宋体" w:hAnsi="宋体"/>
        </w:rPr>
      </w:pPr>
      <w:r>
        <w:rPr>
          <w:rFonts w:ascii="宋体" w:hAnsi="宋体" w:hint="eastAsia"/>
        </w:rPr>
        <w:t>党参6克，以山西省、东北、甘肃产地为佳。</w:t>
      </w:r>
    </w:p>
    <w:p w:rsidR="007830C1" w:rsidRDefault="00110584">
      <w:pPr>
        <w:spacing w:line="276" w:lineRule="auto"/>
        <w:ind w:firstLineChars="200" w:firstLine="420"/>
        <w:rPr>
          <w:rFonts w:ascii="宋体" w:hAnsi="宋体"/>
        </w:rPr>
      </w:pPr>
      <w:r>
        <w:rPr>
          <w:rFonts w:ascii="宋体" w:hAnsi="宋体" w:hint="eastAsia"/>
        </w:rPr>
        <w:t>火麻仁6克，以原产锡金、不丹、印度和中亚细亚为佳，现各国均有野生或栽培。</w:t>
      </w:r>
    </w:p>
    <w:p w:rsidR="007830C1" w:rsidRDefault="00110584">
      <w:pPr>
        <w:spacing w:line="276" w:lineRule="auto"/>
        <w:ind w:firstLineChars="200" w:firstLine="420"/>
        <w:rPr>
          <w:rFonts w:ascii="宋体" w:hAnsi="宋体"/>
        </w:rPr>
      </w:pPr>
      <w:r>
        <w:rPr>
          <w:rFonts w:ascii="宋体" w:hAnsi="宋体" w:hint="eastAsia"/>
        </w:rPr>
        <w:t>郁李仁6克，以黑龙江、吉林、辽宁、内蒙古、河北、山东产地为佳。</w:t>
      </w:r>
    </w:p>
    <w:p w:rsidR="007830C1" w:rsidRDefault="00110584">
      <w:pPr>
        <w:spacing w:line="276" w:lineRule="auto"/>
        <w:ind w:firstLineChars="200" w:firstLine="420"/>
        <w:rPr>
          <w:rFonts w:ascii="宋体" w:hAnsi="宋体"/>
        </w:rPr>
      </w:pPr>
      <w:r>
        <w:rPr>
          <w:rFonts w:ascii="宋体" w:hAnsi="宋体" w:hint="eastAsia"/>
        </w:rPr>
        <w:t>桑椹6克，以河南、安徽产地为佳。</w:t>
      </w:r>
    </w:p>
    <w:p w:rsidR="007830C1" w:rsidRDefault="00110584">
      <w:pPr>
        <w:spacing w:line="276" w:lineRule="auto"/>
        <w:ind w:firstLineChars="200" w:firstLine="420"/>
        <w:rPr>
          <w:rFonts w:ascii="宋体" w:hAnsi="宋体"/>
        </w:rPr>
      </w:pPr>
      <w:r>
        <w:rPr>
          <w:rFonts w:ascii="宋体" w:hAnsi="宋体" w:hint="eastAsia"/>
        </w:rPr>
        <w:t>黑芝麻6克，以河南、山东产地为佳。</w:t>
      </w:r>
    </w:p>
    <w:p w:rsidR="007830C1" w:rsidRDefault="00110584" w:rsidP="00F45E4D">
      <w:pPr>
        <w:spacing w:beforeLines="50" w:afterLines="50"/>
        <w:rPr>
          <w:rFonts w:ascii="黑体" w:eastAsia="黑体" w:hAnsi="黑体"/>
          <w:szCs w:val="21"/>
        </w:rPr>
      </w:pPr>
      <w:r>
        <w:rPr>
          <w:rFonts w:ascii="黑体" w:eastAsia="黑体" w:hAnsi="黑体"/>
          <w:szCs w:val="21"/>
        </w:rPr>
        <w:t>5.3.1.2</w:t>
      </w:r>
      <w:r>
        <w:rPr>
          <w:rFonts w:ascii="黑体" w:eastAsia="黑体" w:hAnsi="黑体" w:hint="eastAsia"/>
          <w:szCs w:val="21"/>
        </w:rPr>
        <w:t xml:space="preserve"> </w:t>
      </w:r>
      <w:r>
        <w:rPr>
          <w:rFonts w:ascii="黑体" w:eastAsia="黑体" w:hAnsi="黑体"/>
          <w:szCs w:val="21"/>
        </w:rPr>
        <w:t xml:space="preserve"> </w:t>
      </w:r>
      <w:r>
        <w:rPr>
          <w:rFonts w:ascii="黑体" w:eastAsia="黑体" w:hAnsi="黑体" w:hint="eastAsia"/>
          <w:szCs w:val="21"/>
        </w:rPr>
        <w:t>主料</w:t>
      </w:r>
    </w:p>
    <w:p w:rsidR="007830C1" w:rsidRDefault="00110584">
      <w:pPr>
        <w:spacing w:line="276" w:lineRule="auto"/>
        <w:ind w:firstLineChars="200" w:firstLine="420"/>
        <w:rPr>
          <w:rFonts w:asciiTheme="minorEastAsia" w:eastAsiaTheme="minorEastAsia" w:hAnsiTheme="minorEastAsia"/>
          <w:szCs w:val="21"/>
          <w:highlight w:val="cyan"/>
        </w:rPr>
      </w:pPr>
      <w:r>
        <w:rPr>
          <w:rFonts w:asciiTheme="minorEastAsia" w:eastAsiaTheme="minorEastAsia" w:hAnsiTheme="minorEastAsia" w:hint="eastAsia"/>
          <w:szCs w:val="21"/>
        </w:rPr>
        <w:t>乌鸡（公鸡）100克，肉用型，养足二百天，以五百年历史记载的福建德化乌鸡为佳。</w:t>
      </w:r>
    </w:p>
    <w:p w:rsidR="007830C1" w:rsidRDefault="00110584" w:rsidP="00F45E4D">
      <w:pPr>
        <w:spacing w:beforeLines="50" w:afterLines="50"/>
        <w:rPr>
          <w:rFonts w:ascii="黑体" w:eastAsia="黑体" w:hAnsi="黑体"/>
          <w:szCs w:val="21"/>
        </w:rPr>
      </w:pPr>
      <w:r>
        <w:rPr>
          <w:rFonts w:ascii="黑体" w:eastAsia="黑体" w:hAnsi="黑体"/>
          <w:szCs w:val="21"/>
        </w:rPr>
        <w:t>5.3.1.3</w:t>
      </w:r>
      <w:r>
        <w:rPr>
          <w:rFonts w:ascii="黑体" w:eastAsia="黑体" w:hAnsi="黑体" w:hint="eastAsia"/>
          <w:szCs w:val="21"/>
        </w:rPr>
        <w:t xml:space="preserve"> </w:t>
      </w:r>
      <w:r>
        <w:rPr>
          <w:rFonts w:ascii="黑体" w:eastAsia="黑体" w:hAnsi="黑体"/>
          <w:szCs w:val="21"/>
        </w:rPr>
        <w:t xml:space="preserve"> 辅料</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生姜2片。</w:t>
      </w:r>
    </w:p>
    <w:p w:rsidR="007830C1" w:rsidRDefault="00110584" w:rsidP="00F45E4D">
      <w:pPr>
        <w:spacing w:beforeLines="50" w:afterLines="50"/>
        <w:rPr>
          <w:rFonts w:ascii="黑体" w:eastAsia="黑体" w:hAnsi="黑体"/>
          <w:szCs w:val="21"/>
        </w:rPr>
      </w:pPr>
      <w:r>
        <w:rPr>
          <w:rFonts w:ascii="黑体" w:eastAsia="黑体" w:hAnsi="黑体"/>
          <w:szCs w:val="21"/>
        </w:rPr>
        <w:t>5.3.1.4</w:t>
      </w:r>
      <w:r>
        <w:rPr>
          <w:rFonts w:ascii="黑体" w:eastAsia="黑体" w:hAnsi="黑体" w:hint="eastAsia"/>
          <w:szCs w:val="21"/>
        </w:rPr>
        <w:t xml:space="preserve"> </w:t>
      </w:r>
      <w:r>
        <w:rPr>
          <w:rFonts w:ascii="黑体" w:eastAsia="黑体" w:hAnsi="黑体"/>
          <w:szCs w:val="21"/>
        </w:rPr>
        <w:t xml:space="preserve"> 调味品</w:t>
      </w:r>
    </w:p>
    <w:p w:rsidR="007830C1" w:rsidRDefault="00110584">
      <w:pPr>
        <w:spacing w:line="276" w:lineRule="auto"/>
        <w:ind w:firstLineChars="200" w:firstLine="420"/>
        <w:rPr>
          <w:rFonts w:asciiTheme="majorEastAsia" w:eastAsiaTheme="majorEastAsia" w:hAnsiTheme="majorEastAsia"/>
          <w:szCs w:val="21"/>
        </w:rPr>
      </w:pPr>
      <w:r>
        <w:rPr>
          <w:rFonts w:asciiTheme="majorEastAsia" w:eastAsiaTheme="majorEastAsia" w:hAnsiTheme="majorEastAsia" w:hint="eastAsia"/>
          <w:szCs w:val="21"/>
        </w:rPr>
        <w:t>低钠盐少许。</w:t>
      </w:r>
    </w:p>
    <w:p w:rsidR="007830C1" w:rsidRDefault="00110584" w:rsidP="00F45E4D">
      <w:pPr>
        <w:spacing w:beforeLines="50" w:afterLines="50"/>
        <w:rPr>
          <w:rFonts w:ascii="黑体" w:eastAsia="黑体" w:hAnsi="黑体"/>
          <w:szCs w:val="21"/>
        </w:rPr>
      </w:pPr>
      <w:r>
        <w:rPr>
          <w:rFonts w:ascii="黑体" w:eastAsia="黑体" w:hAnsi="黑体"/>
          <w:szCs w:val="21"/>
        </w:rPr>
        <w:t>5.3.1.5</w:t>
      </w:r>
      <w:r>
        <w:rPr>
          <w:rFonts w:ascii="黑体" w:eastAsia="黑体" w:hAnsi="黑体" w:hint="eastAsia"/>
          <w:szCs w:val="21"/>
        </w:rPr>
        <w:t xml:space="preserve">  </w:t>
      </w:r>
      <w:r>
        <w:rPr>
          <w:rFonts w:ascii="黑体" w:eastAsia="黑体" w:hAnsi="黑体"/>
          <w:szCs w:val="21"/>
        </w:rPr>
        <w:t>烹饪方法</w:t>
      </w:r>
    </w:p>
    <w:p w:rsidR="007830C1" w:rsidRDefault="00110584">
      <w:pPr>
        <w:spacing w:line="276" w:lineRule="auto"/>
        <w:ind w:firstLineChars="200" w:firstLine="420"/>
        <w:rPr>
          <w:rFonts w:ascii="宋体" w:hAnsi="宋体"/>
        </w:rPr>
      </w:pPr>
      <w:r>
        <w:rPr>
          <w:rFonts w:ascii="宋体" w:hAnsi="宋体" w:hint="eastAsia"/>
        </w:rPr>
        <w:t>1）熟地黄、当归、党参、火麻仁、郁李仁、桑椹、黑芝麻洗净后，使用纯净水浸泡1小时备用。</w:t>
      </w:r>
    </w:p>
    <w:p w:rsidR="007830C1" w:rsidRDefault="00110584">
      <w:pPr>
        <w:spacing w:line="276" w:lineRule="auto"/>
        <w:ind w:firstLineChars="200" w:firstLine="420"/>
        <w:rPr>
          <w:rFonts w:ascii="宋体" w:hAnsi="宋体"/>
        </w:rPr>
      </w:pPr>
      <w:r>
        <w:rPr>
          <w:rFonts w:ascii="宋体" w:hAnsi="宋体" w:hint="eastAsia"/>
        </w:rPr>
        <w:t>2）</w:t>
      </w:r>
      <w:r>
        <w:rPr>
          <w:rFonts w:hint="eastAsia"/>
        </w:rPr>
        <w:t>乌鸡切块，锅内加水，烧开后放入乌鸡，姜片。水再开时捞出乌鸡，用清水洗干净滤干水份、除去血水</w:t>
      </w:r>
      <w:r>
        <w:rPr>
          <w:rFonts w:ascii="宋体" w:hAnsi="宋体" w:hint="eastAsia"/>
        </w:rPr>
        <w:t>。</w:t>
      </w:r>
    </w:p>
    <w:p w:rsidR="007830C1" w:rsidRDefault="00110584">
      <w:pPr>
        <w:spacing w:line="276" w:lineRule="auto"/>
        <w:ind w:firstLineChars="200" w:firstLine="420"/>
        <w:rPr>
          <w:rFonts w:ascii="宋体" w:hAnsi="宋体"/>
        </w:rPr>
      </w:pPr>
      <w:r>
        <w:rPr>
          <w:rFonts w:ascii="宋体" w:hAnsi="宋体" w:hint="eastAsia"/>
        </w:rPr>
        <w:t>3）把所有食材放入锅中，加入2000毫升清水，大火煮开后，改为小火煲2小时。</w:t>
      </w:r>
    </w:p>
    <w:p w:rsidR="007830C1" w:rsidRDefault="00110584">
      <w:pPr>
        <w:spacing w:line="276" w:lineRule="auto"/>
        <w:ind w:firstLineChars="200" w:firstLine="420"/>
        <w:rPr>
          <w:rFonts w:ascii="宋体" w:hAnsi="宋体"/>
        </w:rPr>
      </w:pPr>
      <w:r>
        <w:rPr>
          <w:rFonts w:ascii="宋体" w:hAnsi="宋体" w:hint="eastAsia"/>
        </w:rPr>
        <w:t>4）</w:t>
      </w:r>
      <w:r>
        <w:rPr>
          <w:rFonts w:hint="eastAsia"/>
        </w:rPr>
        <w:t>出锅前</w:t>
      </w:r>
      <w:r>
        <w:rPr>
          <w:rFonts w:hint="eastAsia"/>
        </w:rPr>
        <w:t>10</w:t>
      </w:r>
      <w:r>
        <w:rPr>
          <w:rFonts w:hint="eastAsia"/>
        </w:rPr>
        <w:t>分钟加盐调味，小火再炖</w:t>
      </w:r>
      <w:r>
        <w:rPr>
          <w:rFonts w:ascii="宋体" w:hAnsi="宋体" w:hint="eastAsia"/>
        </w:rPr>
        <w:t>。</w:t>
      </w:r>
    </w:p>
    <w:p w:rsidR="007830C1" w:rsidRDefault="00110584" w:rsidP="00F45E4D">
      <w:pPr>
        <w:spacing w:beforeLines="50" w:afterLines="50"/>
        <w:rPr>
          <w:rFonts w:ascii="黑体" w:eastAsia="黑体" w:hAnsi="黑体"/>
          <w:szCs w:val="21"/>
        </w:rPr>
      </w:pPr>
      <w:r>
        <w:rPr>
          <w:rFonts w:ascii="黑体" w:eastAsia="黑体" w:hAnsi="黑体"/>
          <w:szCs w:val="21"/>
        </w:rPr>
        <w:t>5.3.1.6</w:t>
      </w:r>
      <w:r>
        <w:rPr>
          <w:rFonts w:ascii="黑体" w:eastAsia="黑体" w:hAnsi="黑体" w:hint="eastAsia"/>
          <w:szCs w:val="21"/>
        </w:rPr>
        <w:t xml:space="preserve"> </w:t>
      </w:r>
      <w:r>
        <w:rPr>
          <w:rFonts w:ascii="黑体" w:eastAsia="黑体" w:hAnsi="黑体"/>
          <w:szCs w:val="21"/>
        </w:rPr>
        <w:t xml:space="preserve"> 功效</w:t>
      </w:r>
    </w:p>
    <w:p w:rsidR="007830C1" w:rsidRDefault="00110584">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szCs w:val="21"/>
        </w:rPr>
        <w:t>养血补气</w:t>
      </w:r>
      <w:r>
        <w:rPr>
          <w:rFonts w:asciiTheme="minorEastAsia" w:eastAsiaTheme="minorEastAsia" w:hAnsiTheme="minorEastAsia" w:hint="eastAsia"/>
          <w:szCs w:val="21"/>
        </w:rPr>
        <w:t>，</w:t>
      </w:r>
      <w:r>
        <w:rPr>
          <w:rFonts w:asciiTheme="minorEastAsia" w:eastAsiaTheme="minorEastAsia" w:hAnsiTheme="minorEastAsia"/>
          <w:szCs w:val="21"/>
        </w:rPr>
        <w:t>润肠通便</w:t>
      </w:r>
      <w:r>
        <w:rPr>
          <w:rFonts w:asciiTheme="minorEastAsia" w:eastAsiaTheme="minorEastAsia" w:hAnsiTheme="minorEastAsia" w:hint="eastAsia"/>
          <w:szCs w:val="21"/>
        </w:rPr>
        <w:t>。</w:t>
      </w:r>
    </w:p>
    <w:p w:rsidR="007830C1" w:rsidRDefault="00110584" w:rsidP="00F45E4D">
      <w:pPr>
        <w:spacing w:beforeLines="50" w:afterLines="50"/>
        <w:rPr>
          <w:rFonts w:ascii="黑体" w:eastAsia="黑体" w:hAnsi="黑体"/>
          <w:szCs w:val="21"/>
        </w:rPr>
      </w:pPr>
      <w:r>
        <w:rPr>
          <w:rFonts w:ascii="黑体" w:eastAsia="黑体" w:hAnsi="黑体"/>
          <w:szCs w:val="21"/>
        </w:rPr>
        <w:t>5.3.1.7</w:t>
      </w:r>
      <w:r>
        <w:rPr>
          <w:rFonts w:ascii="黑体" w:eastAsia="黑体" w:hAnsi="黑体" w:hint="eastAsia"/>
          <w:szCs w:val="21"/>
        </w:rPr>
        <w:t xml:space="preserve"> </w:t>
      </w:r>
      <w:r>
        <w:rPr>
          <w:rFonts w:ascii="黑体" w:eastAsia="黑体" w:hAnsi="黑体"/>
          <w:szCs w:val="21"/>
        </w:rPr>
        <w:t xml:space="preserve"> 适宜人群</w:t>
      </w:r>
    </w:p>
    <w:p w:rsidR="007830C1" w:rsidRDefault="00110584">
      <w:pPr>
        <w:spacing w:line="276"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血虚肠道干燥者。</w:t>
      </w:r>
    </w:p>
    <w:p w:rsidR="007830C1" w:rsidRDefault="00110584" w:rsidP="00F45E4D">
      <w:pPr>
        <w:spacing w:beforeLines="50" w:afterLines="50"/>
        <w:rPr>
          <w:rFonts w:ascii="黑体" w:eastAsia="黑体" w:hAnsi="黑体"/>
          <w:szCs w:val="21"/>
        </w:rPr>
      </w:pPr>
      <w:r>
        <w:rPr>
          <w:rFonts w:ascii="黑体" w:eastAsia="黑体" w:hAnsi="黑体"/>
          <w:szCs w:val="21"/>
        </w:rPr>
        <w:t>5.3.1.8</w:t>
      </w:r>
      <w:r>
        <w:rPr>
          <w:rFonts w:ascii="黑体" w:eastAsia="黑体" w:hAnsi="黑体" w:hint="eastAsia"/>
          <w:szCs w:val="21"/>
        </w:rPr>
        <w:t xml:space="preserve"> </w:t>
      </w:r>
      <w:r>
        <w:rPr>
          <w:rFonts w:ascii="黑体" w:eastAsia="黑体" w:hAnsi="黑体"/>
          <w:szCs w:val="21"/>
        </w:rPr>
        <w:t xml:space="preserve"> 不适宜人群</w:t>
      </w:r>
    </w:p>
    <w:p w:rsidR="007830C1" w:rsidRDefault="00110584">
      <w:pPr>
        <w:spacing w:line="276" w:lineRule="auto"/>
        <w:ind w:firstLineChars="200" w:firstLine="420"/>
        <w:rPr>
          <w:rFonts w:ascii="黑体" w:eastAsia="黑体" w:hAnsi="黑体"/>
          <w:szCs w:val="21"/>
        </w:rPr>
      </w:pPr>
      <w:r>
        <w:rPr>
          <w:rFonts w:asciiTheme="majorEastAsia" w:eastAsiaTheme="majorEastAsia" w:hAnsiTheme="majorEastAsia" w:hint="eastAsia"/>
          <w:szCs w:val="21"/>
        </w:rPr>
        <w:t>热盛津伤，肠道实热者。</w:t>
      </w:r>
      <w:bookmarkStart w:id="67" w:name="_Toc34129444"/>
      <w:bookmarkStart w:id="68" w:name="_Toc34136386"/>
      <w:bookmarkStart w:id="69" w:name="_Toc22410"/>
      <w:bookmarkStart w:id="70" w:name="_Toc34129522"/>
      <w:bookmarkStart w:id="71" w:name="_Toc9311"/>
      <w:bookmarkStart w:id="72" w:name="_Toc20360"/>
      <w:bookmarkStart w:id="73" w:name="_Toc34125937"/>
      <w:bookmarkEnd w:id="60"/>
      <w:bookmarkEnd w:id="61"/>
      <w:bookmarkEnd w:id="62"/>
      <w:bookmarkEnd w:id="63"/>
      <w:bookmarkEnd w:id="64"/>
      <w:bookmarkEnd w:id="65"/>
      <w:bookmarkEnd w:id="66"/>
    </w:p>
    <w:p w:rsidR="007830C1" w:rsidRDefault="007830C1" w:rsidP="00F45E4D">
      <w:pPr>
        <w:spacing w:beforeLines="50" w:afterLines="50"/>
        <w:jc w:val="left"/>
        <w:rPr>
          <w:rFonts w:ascii="黑体" w:eastAsia="黑体" w:hAnsi="黑体"/>
          <w:szCs w:val="21"/>
        </w:rPr>
      </w:pPr>
    </w:p>
    <w:p w:rsidR="007830C1" w:rsidRDefault="007830C1">
      <w:pPr>
        <w:outlineLvl w:val="0"/>
        <w:rPr>
          <w:rFonts w:ascii="黑体" w:eastAsia="黑体" w:hAnsi="黑体"/>
          <w:szCs w:val="21"/>
        </w:rPr>
      </w:pPr>
    </w:p>
    <w:bookmarkEnd w:id="67"/>
    <w:bookmarkEnd w:id="68"/>
    <w:bookmarkEnd w:id="69"/>
    <w:bookmarkEnd w:id="70"/>
    <w:bookmarkEnd w:id="71"/>
    <w:bookmarkEnd w:id="72"/>
    <w:bookmarkEnd w:id="73"/>
    <w:p w:rsidR="007830C1" w:rsidRDefault="00110584" w:rsidP="00F45E4D">
      <w:pPr>
        <w:spacing w:beforeLines="50" w:afterLines="50"/>
        <w:ind w:firstLineChars="1700" w:firstLine="3570"/>
        <w:outlineLvl w:val="0"/>
        <w:rPr>
          <w:rFonts w:ascii="黑体" w:eastAsia="黑体" w:hAnsi="黑体"/>
          <w:szCs w:val="21"/>
        </w:rPr>
      </w:pPr>
      <w:r>
        <w:rPr>
          <w:rFonts w:ascii="黑体" w:eastAsia="黑体" w:hAnsi="黑体"/>
          <w:szCs w:val="21"/>
        </w:rPr>
        <w:t>附录A</w:t>
      </w:r>
    </w:p>
    <w:p w:rsidR="007830C1" w:rsidRDefault="00110584" w:rsidP="00F45E4D">
      <w:pPr>
        <w:spacing w:beforeLines="50" w:afterLines="50"/>
        <w:ind w:firstLineChars="1600" w:firstLine="3360"/>
        <w:outlineLvl w:val="0"/>
        <w:rPr>
          <w:rFonts w:ascii="黑体" w:eastAsia="黑体" w:hAnsi="黑体"/>
          <w:szCs w:val="21"/>
        </w:rPr>
      </w:pPr>
      <w:r>
        <w:rPr>
          <w:rFonts w:ascii="黑体" w:eastAsia="黑体" w:hAnsi="黑体"/>
          <w:szCs w:val="21"/>
        </w:rPr>
        <w:t>（规范性附录）</w:t>
      </w:r>
    </w:p>
    <w:p w:rsidR="007830C1" w:rsidRDefault="00110584" w:rsidP="00F45E4D">
      <w:pPr>
        <w:spacing w:afterLines="200"/>
        <w:jc w:val="left"/>
        <w:outlineLvl w:val="0"/>
        <w:rPr>
          <w:rFonts w:ascii="Times New Roman" w:eastAsia="黑体" w:hAnsi="Times New Roman"/>
          <w:szCs w:val="21"/>
        </w:rPr>
      </w:pPr>
      <w:r>
        <w:rPr>
          <w:rFonts w:ascii="Times New Roman" w:eastAsia="黑体" w:hAnsi="Times New Roman" w:hint="eastAsia"/>
          <w:szCs w:val="21"/>
        </w:rPr>
        <w:t>A.1 </w:t>
      </w:r>
      <w:r>
        <w:rPr>
          <w:rFonts w:ascii="Times New Roman" w:eastAsia="黑体" w:hAnsi="Times New Roman" w:hint="eastAsia"/>
          <w:szCs w:val="21"/>
        </w:rPr>
        <w:t>可用于保健食品的物品名单（食品安全综合协调与卫生监督局《卫生部关于进一步规范保健食品原料管理的通知》卫法监发</w:t>
      </w:r>
      <w:r>
        <w:rPr>
          <w:rFonts w:ascii="Times New Roman" w:eastAsia="黑体" w:hAnsi="Times New Roman"/>
          <w:szCs w:val="21"/>
        </w:rPr>
        <w:t>[2002]51</w:t>
      </w:r>
      <w:r>
        <w:rPr>
          <w:rFonts w:ascii="Times New Roman" w:eastAsia="黑体" w:hAnsi="Times New Roman"/>
          <w:szCs w:val="21"/>
        </w:rPr>
        <w:t>号</w:t>
      </w:r>
      <w:r>
        <w:rPr>
          <w:rFonts w:ascii="Times New Roman" w:eastAsia="黑体" w:hAnsi="Times New Roman"/>
          <w:szCs w:val="21"/>
        </w:rPr>
        <w:t xml:space="preserve"> </w:t>
      </w:r>
      <w:r>
        <w:rPr>
          <w:rFonts w:ascii="Times New Roman" w:eastAsia="黑体" w:hAnsi="Times New Roman" w:hint="eastAsia"/>
          <w:szCs w:val="21"/>
        </w:rPr>
        <w:t>附件</w:t>
      </w:r>
      <w:r>
        <w:rPr>
          <w:rFonts w:ascii="Times New Roman" w:eastAsia="黑体" w:hAnsi="Times New Roman" w:hint="eastAsia"/>
          <w:szCs w:val="21"/>
        </w:rPr>
        <w:t>2</w:t>
      </w:r>
      <w:r>
        <w:rPr>
          <w:rFonts w:ascii="Times New Roman" w:eastAsia="黑体" w:hAnsi="Times New Roman" w:hint="eastAsia"/>
          <w:szCs w:val="21"/>
        </w:rPr>
        <w:t>）</w:t>
      </w:r>
    </w:p>
    <w:p w:rsidR="007830C1" w:rsidRDefault="00110584" w:rsidP="00F45E4D">
      <w:pPr>
        <w:spacing w:afterLines="200"/>
        <w:ind w:firstLineChars="200" w:firstLine="420"/>
        <w:jc w:val="left"/>
        <w:outlineLvl w:val="0"/>
        <w:rPr>
          <w:rFonts w:asciiTheme="minorEastAsia" w:eastAsiaTheme="minorEastAsia" w:hAnsiTheme="minorEastAsia" w:cstheme="minorEastAsia"/>
          <w:szCs w:val="21"/>
        </w:rPr>
      </w:pPr>
      <w:r>
        <w:rPr>
          <w:rFonts w:ascii="宋体" w:hAnsi="宋体" w:hint="eastAsia"/>
        </w:rPr>
        <w:t>人参、人参叶、人参果、三七、土茯苓、大蓟、女贞子、山茱萸、川牛膝、川贝母、川芎、马鹿胎、马鹿茸、马鹿骨、丹参、五加皮、五味子、升麻、天门冬、天麻、太子参、巴戟天、木香、木贼、牛蒡子、牛蒡根、车前子、车前草、北沙参、平贝母、玄参、生地黄、生何首乌、白及、白术、白芍、白豆蔻、石决明、石斛（需提供可使用证明）、地骨皮、当归、竹茹、红花、红景天、西洋参、吴茱萸、怀牛膝、杜仲、杜仲叶、沙苑子、牡丹皮、芦荟、苍术、补骨脂、诃子、赤芍、远志、麦门冬、龟甲、佩兰、侧柏叶、制大黄、制何首乌、刺五加、刺玫果、泽兰、泽泻、玫瑰花、玫瑰茄、知母、罗布麻、苦丁茶、金荞麦、金樱子、青皮、厚朴、厚朴花、姜黄、枳壳、枳实、柏子仁、珍珠、绞股蓝、胡芦巴、茜草、荜茇、韭菜子、首乌藤、香附、骨碎补、党参、桑白皮、桑枝、浙贝母、益母草、积雪草、淫羊藿、菟丝子、野菊花、银杏叶、黄芪、湖北贝母、番泻叶、蛤蚧、越橘、槐实、蒲黄、蒺藜、蜂胶、酸角、墨旱莲、熟大黄、熟地黄、鳖甲。</w:t>
      </w:r>
    </w:p>
    <w:p w:rsidR="007830C1" w:rsidRDefault="00110584" w:rsidP="00F45E4D">
      <w:pPr>
        <w:spacing w:afterLines="200"/>
        <w:jc w:val="left"/>
        <w:outlineLvl w:val="0"/>
        <w:rPr>
          <w:rFonts w:ascii="Times New Roman" w:eastAsia="黑体" w:hAnsi="Times New Roman"/>
          <w:szCs w:val="21"/>
        </w:rPr>
      </w:pPr>
      <w:r>
        <w:rPr>
          <w:rFonts w:ascii="Times New Roman" w:eastAsia="黑体" w:hAnsi="Times New Roman" w:hint="eastAsia"/>
          <w:szCs w:val="21"/>
        </w:rPr>
        <w:t xml:space="preserve"> A.2  86</w:t>
      </w:r>
      <w:r>
        <w:rPr>
          <w:rFonts w:ascii="Times New Roman" w:eastAsia="黑体" w:hAnsi="Times New Roman" w:hint="eastAsia"/>
          <w:szCs w:val="21"/>
        </w:rPr>
        <w:t>种按照传统既是食品又是中药材物质目录（征求意见稿）（国卫办食品函〔</w:t>
      </w:r>
      <w:r>
        <w:rPr>
          <w:rFonts w:ascii="Times New Roman" w:eastAsia="黑体" w:hAnsi="Times New Roman" w:hint="eastAsia"/>
          <w:szCs w:val="21"/>
        </w:rPr>
        <w:t>2014</w:t>
      </w:r>
      <w:r>
        <w:rPr>
          <w:rFonts w:ascii="Times New Roman" w:eastAsia="黑体" w:hAnsi="Times New Roman" w:hint="eastAsia"/>
          <w:szCs w:val="21"/>
        </w:rPr>
        <w:t>〕</w:t>
      </w:r>
      <w:r>
        <w:rPr>
          <w:rFonts w:ascii="Times New Roman" w:eastAsia="黑体" w:hAnsi="Times New Roman" w:hint="eastAsia"/>
          <w:szCs w:val="21"/>
        </w:rPr>
        <w:t>975</w:t>
      </w:r>
      <w:r>
        <w:rPr>
          <w:rFonts w:ascii="Times New Roman" w:eastAsia="黑体" w:hAnsi="Times New Roman" w:hint="eastAsia"/>
          <w:szCs w:val="21"/>
        </w:rPr>
        <w:t>号文件）</w:t>
      </w:r>
    </w:p>
    <w:p w:rsidR="007830C1" w:rsidRDefault="00110584" w:rsidP="00F45E4D">
      <w:pPr>
        <w:spacing w:afterLines="200"/>
        <w:jc w:val="left"/>
        <w:outlineLvl w:val="0"/>
        <w:rPr>
          <w:rFonts w:ascii="宋体" w:hAnsi="宋体"/>
        </w:rPr>
      </w:pPr>
      <w:r>
        <w:rPr>
          <w:rFonts w:asciiTheme="minorEastAsia" w:eastAsiaTheme="minorEastAsia" w:hAnsiTheme="minorEastAsia" w:cstheme="minorEastAsia" w:hint="eastAsia"/>
          <w:szCs w:val="21"/>
        </w:rPr>
        <w:t xml:space="preserve">　　</w:t>
      </w:r>
      <w:r>
        <w:rPr>
          <w:rFonts w:ascii="宋体" w:hAnsi="宋体" w:hint="eastAsia"/>
        </w:rPr>
        <w:t>丁香、八角茴香、刀豆、小茴香、小蓟、山药、山楂、马齿苋、乌梅、木瓜、火麻仁、代代花、玉竹、甘草、白芷、白果、白扁豆、白扁豆花、龙眼肉(桂圆)、决明子、百合、肉豆蔻、肉桂、余甘子、佛手、杏仁（苦、甜）、沙棘、芡实、花椒、赤小豆、麦芽、昆布、枣（大枣、黑枣）、罗汉果、郁李仁、金银花、青果、鱼腥草、姜（生姜、干姜）、枳椇子、枸杞子、栀子、砂仁、胖大海、茯苓、香橼、香薷、桃仁、桑叶、桑椹、桔红（橘红）、桔梗、益智仁、荷叶、莱菔子、莲子、高良姜、淡竹叶、淡豆豉、菊花、菊苣、黄芥子、黄精、紫苏、紫苏子（籽）、葛根、黑芝麻、黑胡椒、槐花/槐米、蒲公英、榧子、酸枣/酸枣仁、鲜白茅根(或干白茅根)、鲜芦根(或干芦根)、橘皮（或陈皮）、薄荷、薏苡仁、薤白、覆盆子、藿香、乌梢蛇、牡蛎、阿胶、鸡内金、蜂蜜、蝮蛇（蕲蛇）</w:t>
      </w:r>
    </w:p>
    <w:p w:rsidR="007830C1" w:rsidRDefault="00110584" w:rsidP="00F45E4D">
      <w:pPr>
        <w:spacing w:afterLines="200"/>
        <w:outlineLvl w:val="0"/>
        <w:rPr>
          <w:rFonts w:ascii="Times New Roman" w:eastAsia="黑体" w:hAnsi="Times New Roman"/>
          <w:szCs w:val="21"/>
        </w:rPr>
      </w:pPr>
      <w:r>
        <w:rPr>
          <w:rFonts w:ascii="Times New Roman" w:eastAsia="黑体" w:hAnsi="Times New Roman" w:hint="eastAsia"/>
          <w:szCs w:val="21"/>
        </w:rPr>
        <w:t>A.3   14</w:t>
      </w:r>
      <w:r>
        <w:rPr>
          <w:rFonts w:ascii="Times New Roman" w:eastAsia="黑体" w:hAnsi="Times New Roman" w:hint="eastAsia"/>
          <w:szCs w:val="21"/>
        </w:rPr>
        <w:t>种新增中药材物质目录（征求意见稿）（国卫办食品函〔</w:t>
      </w:r>
      <w:r>
        <w:rPr>
          <w:rFonts w:ascii="Times New Roman" w:eastAsia="黑体" w:hAnsi="Times New Roman" w:hint="eastAsia"/>
          <w:szCs w:val="21"/>
        </w:rPr>
        <w:t>2014</w:t>
      </w:r>
      <w:r>
        <w:rPr>
          <w:rFonts w:ascii="Times New Roman" w:eastAsia="黑体" w:hAnsi="Times New Roman" w:hint="eastAsia"/>
          <w:szCs w:val="21"/>
        </w:rPr>
        <w:t>〕</w:t>
      </w:r>
      <w:r>
        <w:rPr>
          <w:rFonts w:ascii="Times New Roman" w:eastAsia="黑体" w:hAnsi="Times New Roman" w:hint="eastAsia"/>
          <w:szCs w:val="21"/>
        </w:rPr>
        <w:t>975</w:t>
      </w:r>
      <w:r>
        <w:rPr>
          <w:rFonts w:ascii="Times New Roman" w:eastAsia="黑体" w:hAnsi="Times New Roman" w:hint="eastAsia"/>
          <w:szCs w:val="21"/>
        </w:rPr>
        <w:t>号文件）</w:t>
      </w:r>
    </w:p>
    <w:p w:rsidR="007830C1" w:rsidRDefault="00110584" w:rsidP="00F45E4D">
      <w:pPr>
        <w:spacing w:afterLines="200"/>
        <w:jc w:val="left"/>
        <w:outlineLvl w:val="0"/>
        <w:rPr>
          <w:rFonts w:ascii="宋体" w:hAnsi="宋体"/>
        </w:rPr>
      </w:pPr>
      <w:r>
        <w:rPr>
          <w:rFonts w:asciiTheme="minorEastAsia" w:eastAsiaTheme="minorEastAsia" w:hAnsiTheme="minorEastAsia" w:cstheme="minorEastAsia" w:hint="eastAsia"/>
          <w:szCs w:val="21"/>
        </w:rPr>
        <w:t xml:space="preserve">　</w:t>
      </w:r>
      <w:r>
        <w:rPr>
          <w:rFonts w:ascii="宋体" w:hAnsi="宋体" w:hint="eastAsia"/>
        </w:rPr>
        <w:t xml:space="preserve">　人参（5年及5年以下人工种植）、山银花、芫荽、玫瑰花、松花粉、粉葛、布渣叶、夏枯草、当归、山奈、西红花、草果、姜黄、荜茇</w:t>
      </w:r>
    </w:p>
    <w:p w:rsidR="007830C1" w:rsidRDefault="00110584" w:rsidP="00F45E4D">
      <w:pPr>
        <w:spacing w:afterLines="200"/>
        <w:jc w:val="center"/>
        <w:outlineLvl w:val="0"/>
        <w:rPr>
          <w:rFonts w:ascii="Times New Roman" w:eastAsia="黑体" w:hAnsi="Times New Roman"/>
          <w:szCs w:val="21"/>
        </w:rPr>
      </w:pPr>
      <w:r>
        <w:rPr>
          <w:rFonts w:ascii="Times New Roman" w:eastAsia="黑体" w:hAnsi="Times New Roman" w:hint="eastAsia"/>
          <w:szCs w:val="21"/>
        </w:rPr>
        <w:t>A.4   9</w:t>
      </w:r>
      <w:r>
        <w:rPr>
          <w:rFonts w:ascii="Times New Roman" w:eastAsia="黑体" w:hAnsi="Times New Roman" w:hint="eastAsia"/>
          <w:szCs w:val="21"/>
        </w:rPr>
        <w:t>种试点按照传统既是食品又是中药材的物质名单（国卫食品函〔</w:t>
      </w:r>
      <w:r>
        <w:rPr>
          <w:rFonts w:ascii="Times New Roman" w:eastAsia="黑体" w:hAnsi="Times New Roman" w:hint="eastAsia"/>
          <w:szCs w:val="21"/>
        </w:rPr>
        <w:t>2019</w:t>
      </w:r>
      <w:r>
        <w:rPr>
          <w:rFonts w:ascii="Times New Roman" w:eastAsia="黑体" w:hAnsi="Times New Roman" w:hint="eastAsia"/>
          <w:szCs w:val="21"/>
        </w:rPr>
        <w:t>〕</w:t>
      </w:r>
      <w:r>
        <w:rPr>
          <w:rFonts w:ascii="Times New Roman" w:eastAsia="黑体" w:hAnsi="Times New Roman" w:hint="eastAsia"/>
          <w:szCs w:val="21"/>
        </w:rPr>
        <w:t>311</w:t>
      </w:r>
      <w:r>
        <w:rPr>
          <w:rFonts w:ascii="Times New Roman" w:eastAsia="黑体" w:hAnsi="Times New Roman" w:hint="eastAsia"/>
          <w:szCs w:val="21"/>
        </w:rPr>
        <w:t>号文件）</w:t>
      </w:r>
    </w:p>
    <w:p w:rsidR="007830C1" w:rsidRDefault="00110584" w:rsidP="00F45E4D">
      <w:pPr>
        <w:spacing w:afterLines="200"/>
        <w:jc w:val="center"/>
        <w:outlineLvl w:val="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党参、肉苁蓉(荒漠)、铁皮石斛、西洋参、黄芪、灵芝、山茱萸、天麻、杜仲叶</w:t>
      </w:r>
    </w:p>
    <w:p w:rsidR="007830C1" w:rsidRDefault="007830C1" w:rsidP="00F45E4D">
      <w:pPr>
        <w:spacing w:afterLines="200"/>
        <w:jc w:val="center"/>
        <w:outlineLvl w:val="0"/>
        <w:rPr>
          <w:rFonts w:asciiTheme="minorEastAsia" w:eastAsiaTheme="minorEastAsia" w:hAnsiTheme="minorEastAsia" w:cstheme="minorEastAsia"/>
          <w:szCs w:val="21"/>
        </w:rPr>
      </w:pPr>
    </w:p>
    <w:p w:rsidR="007830C1" w:rsidRDefault="007830C1" w:rsidP="00F45E4D">
      <w:pPr>
        <w:spacing w:afterLines="200"/>
        <w:jc w:val="center"/>
        <w:outlineLvl w:val="0"/>
        <w:rPr>
          <w:rFonts w:asciiTheme="minorEastAsia" w:eastAsiaTheme="minorEastAsia" w:hAnsiTheme="minorEastAsia" w:cstheme="minorEastAsia"/>
          <w:szCs w:val="21"/>
        </w:rPr>
      </w:pPr>
    </w:p>
    <w:p w:rsidR="007830C1" w:rsidRDefault="00110584" w:rsidP="00F45E4D">
      <w:pPr>
        <w:spacing w:beforeLines="50" w:afterLines="50"/>
        <w:ind w:firstLineChars="1700" w:firstLine="3570"/>
        <w:outlineLvl w:val="0"/>
        <w:rPr>
          <w:rFonts w:eastAsia="黑体"/>
        </w:rPr>
      </w:pPr>
      <w:r>
        <w:rPr>
          <w:rFonts w:ascii="黑体" w:eastAsia="黑体" w:hAnsi="黑体"/>
          <w:szCs w:val="21"/>
        </w:rPr>
        <w:t>附</w:t>
      </w:r>
      <w:r>
        <w:rPr>
          <w:rFonts w:ascii="黑体" w:eastAsia="黑体" w:hAnsi="黑体" w:hint="eastAsia"/>
          <w:szCs w:val="21"/>
        </w:rPr>
        <w:t xml:space="preserve">  </w:t>
      </w:r>
      <w:r>
        <w:rPr>
          <w:rFonts w:ascii="黑体" w:eastAsia="黑体" w:hAnsi="黑体"/>
          <w:szCs w:val="21"/>
        </w:rPr>
        <w:t>录</w:t>
      </w:r>
      <w:r>
        <w:rPr>
          <w:rFonts w:ascii="黑体" w:eastAsia="黑体" w:hAnsi="黑体" w:hint="eastAsia"/>
          <w:szCs w:val="21"/>
        </w:rPr>
        <w:t>B</w:t>
      </w:r>
    </w:p>
    <w:p w:rsidR="007830C1" w:rsidRDefault="00110584">
      <w:pPr>
        <w:jc w:val="center"/>
        <w:outlineLvl w:val="0"/>
        <w:rPr>
          <w:rFonts w:ascii="Times New Roman" w:eastAsia="黑体" w:hAnsi="Times New Roman"/>
          <w:szCs w:val="21"/>
        </w:rPr>
      </w:pPr>
      <w:bookmarkStart w:id="74" w:name="_Toc26742_WPSOffice_Level1"/>
      <w:r>
        <w:rPr>
          <w:rFonts w:ascii="Times New Roman" w:eastAsia="黑体" w:hAnsi="Times New Roman"/>
          <w:szCs w:val="21"/>
        </w:rPr>
        <w:t>（资料性附录）</w:t>
      </w:r>
      <w:bookmarkEnd w:id="74"/>
    </w:p>
    <w:p w:rsidR="007830C1" w:rsidRDefault="00110584" w:rsidP="00F45E4D">
      <w:pPr>
        <w:spacing w:afterLines="200"/>
        <w:jc w:val="center"/>
        <w:outlineLvl w:val="0"/>
        <w:rPr>
          <w:rFonts w:ascii="Times New Roman" w:eastAsia="黑体" w:hAnsi="Times New Roman"/>
          <w:szCs w:val="21"/>
        </w:rPr>
      </w:pPr>
      <w:bookmarkStart w:id="75" w:name="_Toc19011_WPSOffice_Level1"/>
      <w:r>
        <w:rPr>
          <w:rFonts w:ascii="Times New Roman" w:eastAsia="黑体" w:hAnsi="Times New Roman" w:hint="eastAsia"/>
          <w:szCs w:val="21"/>
        </w:rPr>
        <w:t>产后月子汤</w:t>
      </w:r>
      <w:r>
        <w:rPr>
          <w:rFonts w:ascii="Times New Roman" w:eastAsia="黑体" w:hAnsi="Times New Roman"/>
          <w:szCs w:val="21"/>
        </w:rPr>
        <w:t>药膳配方理论依据</w:t>
      </w:r>
      <w:bookmarkEnd w:id="75"/>
    </w:p>
    <w:p w:rsidR="007830C1" w:rsidRDefault="00110584">
      <w:pPr>
        <w:rPr>
          <w:rFonts w:ascii="Times New Roman" w:eastAsia="黑体" w:hAnsi="Times New Roman"/>
          <w:szCs w:val="21"/>
        </w:rPr>
      </w:pPr>
      <w:bookmarkStart w:id="76" w:name="_Toc11012_WPSOffice_Level1"/>
      <w:r>
        <w:rPr>
          <w:rFonts w:ascii="黑体" w:eastAsia="黑体" w:hAnsi="黑体" w:hint="eastAsia"/>
          <w:szCs w:val="21"/>
        </w:rPr>
        <w:t>B</w:t>
      </w:r>
      <w:r>
        <w:rPr>
          <w:rFonts w:ascii="黑体" w:eastAsia="黑体" w:hAnsi="黑体"/>
          <w:szCs w:val="21"/>
        </w:rPr>
        <w:t>.1</w:t>
      </w:r>
      <w:r>
        <w:rPr>
          <w:rFonts w:ascii="Times New Roman" w:eastAsia="黑体" w:hAnsi="Times New Roman"/>
          <w:szCs w:val="21"/>
        </w:rPr>
        <w:t xml:space="preserve"> </w:t>
      </w:r>
      <w:r>
        <w:rPr>
          <w:rFonts w:ascii="Times New Roman" w:eastAsia="黑体" w:hAnsi="Times New Roman" w:hint="eastAsia"/>
          <w:szCs w:val="21"/>
        </w:rPr>
        <w:t xml:space="preserve"> </w:t>
      </w:r>
      <w:r>
        <w:rPr>
          <w:rFonts w:ascii="Times New Roman" w:eastAsia="黑体" w:hAnsi="Times New Roman" w:hint="eastAsia"/>
          <w:szCs w:val="21"/>
        </w:rPr>
        <w:t>产后恶露不绝月子汤配方依据</w:t>
      </w:r>
    </w:p>
    <w:p w:rsidR="007830C1" w:rsidRDefault="007830C1">
      <w:pPr>
        <w:rPr>
          <w:rFonts w:ascii="Times New Roman" w:eastAsia="黑体" w:hAnsi="Times New Roman"/>
          <w:szCs w:val="21"/>
        </w:rPr>
      </w:pPr>
    </w:p>
    <w:p w:rsidR="007830C1" w:rsidRDefault="00110584">
      <w:pPr>
        <w:ind w:firstLineChars="200" w:firstLine="420"/>
        <w:rPr>
          <w:rFonts w:ascii="Times New Roman" w:hAnsi="Times New Roman"/>
        </w:rPr>
      </w:pPr>
      <w:r>
        <w:rPr>
          <w:rFonts w:ascii="Times New Roman" w:hAnsi="Times New Roman" w:hint="eastAsia"/>
        </w:rPr>
        <w:t>产后血性恶露持续</w:t>
      </w:r>
      <w:r>
        <w:rPr>
          <w:rFonts w:ascii="Times New Roman" w:hAnsi="Times New Roman" w:hint="eastAsia"/>
        </w:rPr>
        <w:t>10</w:t>
      </w:r>
      <w:r>
        <w:rPr>
          <w:rFonts w:ascii="Times New Roman" w:hAnsi="Times New Roman" w:hint="eastAsia"/>
        </w:rPr>
        <w:t>天以上仍淋漓不尽或计划生育终止妊娠后，出血超过</w:t>
      </w:r>
      <w:r>
        <w:rPr>
          <w:rFonts w:ascii="Times New Roman" w:hAnsi="Times New Roman" w:hint="eastAsia"/>
        </w:rPr>
        <w:t>10</w:t>
      </w:r>
      <w:r>
        <w:rPr>
          <w:rFonts w:ascii="Times New Roman" w:hAnsi="Times New Roman" w:hint="eastAsia"/>
        </w:rPr>
        <w:t>天以上者称为产后恶露不绝。根据发病原因、主要表现可分为血瘀恶露不绝、气虚恶露不绝、血热恶露不绝。产后恶露不绝月子汤</w:t>
      </w:r>
      <w:r>
        <w:rPr>
          <w:rFonts w:asciiTheme="minorEastAsia" w:eastAsiaTheme="minorEastAsia" w:hAnsiTheme="minorEastAsia" w:hint="eastAsia"/>
          <w:szCs w:val="21"/>
        </w:rPr>
        <w:t>主料乌鸡性平、味甘，具有滋阴清热、补肝益肾、健脾止泻等作用。用乌鸡治病，是我国独有的方法，唐代孟冼所著《食疗本草》书中已有用乌鸡治新产妇疾病的加工方法。月子汤食材</w:t>
      </w:r>
      <w:r>
        <w:rPr>
          <w:rFonts w:ascii="宋体" w:hAnsi="宋体" w:hint="eastAsia"/>
        </w:rPr>
        <w:t>选用公乌鸡，因母鸡中雌激素含量较高，会导致回奶。</w:t>
      </w:r>
    </w:p>
    <w:p w:rsidR="007830C1" w:rsidRDefault="007830C1">
      <w:pPr>
        <w:ind w:firstLineChars="200" w:firstLine="420"/>
        <w:rPr>
          <w:rFonts w:ascii="Times New Roman" w:hAnsi="Times New Roman"/>
        </w:rPr>
      </w:pPr>
    </w:p>
    <w:p w:rsidR="007830C1" w:rsidRDefault="00110584">
      <w:pPr>
        <w:rPr>
          <w:rFonts w:ascii="黑体" w:eastAsia="黑体" w:hAnsi="黑体"/>
          <w:szCs w:val="21"/>
        </w:rPr>
      </w:pPr>
      <w:r>
        <w:rPr>
          <w:rFonts w:ascii="黑体" w:eastAsia="黑体" w:hAnsi="黑体" w:hint="eastAsia"/>
          <w:szCs w:val="21"/>
        </w:rPr>
        <w:t>B.1.1血瘀恶露不绝</w:t>
      </w:r>
    </w:p>
    <w:p w:rsidR="007830C1" w:rsidRDefault="007830C1">
      <w:pPr>
        <w:ind w:firstLineChars="200" w:firstLine="420"/>
        <w:rPr>
          <w:rFonts w:asciiTheme="minorEastAsia" w:eastAsiaTheme="minorEastAsia" w:hAnsiTheme="minorEastAsia"/>
          <w:szCs w:val="21"/>
        </w:rPr>
      </w:pPr>
    </w:p>
    <w:p w:rsidR="007830C1" w:rsidRDefault="00110584">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产后血瘀恶露不绝主要表现为恶露逾期不止，量时多时少，色紫暗有血块，小腹疼痛拒按，块下痛减，胸腹胀痛。发病原因多由于产妇胎盘、胎膜残留或既往子宫肌瘤、子宫腺肌瘤所致，治法化瘀固冲止血。</w:t>
      </w:r>
      <w:r>
        <w:rPr>
          <w:rFonts w:asciiTheme="minorEastAsia" w:eastAsiaTheme="minorEastAsia" w:hAnsiTheme="minorEastAsia" w:hint="eastAsia"/>
          <w:b/>
          <w:bCs/>
          <w:szCs w:val="21"/>
        </w:rPr>
        <w:t>姜黄薏米乌鸡汤</w:t>
      </w:r>
      <w:r>
        <w:rPr>
          <w:rFonts w:asciiTheme="minorEastAsia" w:eastAsiaTheme="minorEastAsia" w:hAnsiTheme="minorEastAsia" w:hint="eastAsia"/>
          <w:szCs w:val="21"/>
        </w:rPr>
        <w:t>以“瘀者化之”为原则，其中姜黄活血通经、行气止痛，西红花活血化瘀、凉血解毒，合用去除产后瘀滞；薏苡仁健脾利湿，生姜温中止呕，大枣补中益气、养血安神，并使药膳的色味更佳。各食材合用活血化瘀、健脾利湿、固冲止血，适合产后瘀停宫中，恶露不绝者。</w:t>
      </w:r>
    </w:p>
    <w:p w:rsidR="007830C1" w:rsidRDefault="00110584" w:rsidP="00F45E4D">
      <w:pPr>
        <w:spacing w:beforeLines="100" w:afterLines="100"/>
        <w:jc w:val="left"/>
        <w:rPr>
          <w:rFonts w:ascii="黑体" w:eastAsia="黑体" w:hAnsi="黑体"/>
          <w:szCs w:val="21"/>
        </w:rPr>
      </w:pPr>
      <w:r>
        <w:rPr>
          <w:rFonts w:ascii="黑体" w:eastAsia="黑体" w:hAnsi="黑体" w:hint="eastAsia"/>
          <w:szCs w:val="21"/>
        </w:rPr>
        <w:t>B.1.2气虚</w:t>
      </w:r>
      <w:r>
        <w:rPr>
          <w:rFonts w:ascii="黑体" w:eastAsia="黑体" w:hAnsi="黑体"/>
          <w:szCs w:val="21"/>
        </w:rPr>
        <w:t>恶露不绝</w:t>
      </w:r>
    </w:p>
    <w:p w:rsidR="007830C1" w:rsidRDefault="00110584" w:rsidP="00F45E4D">
      <w:pPr>
        <w:spacing w:beforeLines="100" w:afterLines="100"/>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产后气虚恶露不绝主要表现为产后恶露逾期不止，量多或淋漓不止，色淡红，质清稀，无臭味，小腹空坠，神疲乏力，气短懒言，面色㿠白。多由于产妇体质虚弱，或产时失血耗气，或产后调摄不慎、过劳伤脾所致。</w:t>
      </w:r>
      <w:r>
        <w:rPr>
          <w:rFonts w:asciiTheme="minorEastAsia" w:eastAsiaTheme="minorEastAsia" w:hAnsiTheme="minorEastAsia" w:hint="eastAsia"/>
          <w:b/>
          <w:bCs/>
          <w:szCs w:val="21"/>
        </w:rPr>
        <w:t>党参山药乌鸡汤</w:t>
      </w:r>
      <w:r>
        <w:rPr>
          <w:rFonts w:asciiTheme="minorEastAsia" w:eastAsiaTheme="minorEastAsia" w:hAnsiTheme="minorEastAsia" w:hint="eastAsia"/>
          <w:szCs w:val="21"/>
        </w:rPr>
        <w:t>遵循补气固冲止血的治法，虚者补之，</w:t>
      </w:r>
      <w:r>
        <w:rPr>
          <w:rFonts w:asciiTheme="majorEastAsia" w:eastAsiaTheme="majorEastAsia" w:hAnsiTheme="majorEastAsia" w:hint="eastAsia"/>
          <w:szCs w:val="21"/>
        </w:rPr>
        <w:t>健脾益气，</w:t>
      </w:r>
      <w:r>
        <w:rPr>
          <w:rFonts w:asciiTheme="minorEastAsia" w:eastAsiaTheme="minorEastAsia" w:hAnsiTheme="minorEastAsia" w:hint="eastAsia"/>
          <w:szCs w:val="21"/>
        </w:rPr>
        <w:t>排除恶露。其中党参补中益气、健脾益肺、养血生津；山药性味甘平，健中补虚，益气养阴、补脾肺肾，生津止渴，为平补之良药；大枣可以补中益气，养血安神，并使药膳的色味更佳。莲子补脾止泻，养心安神，生姜温中止呕，各食材合用，益气补虚，补而不滞，不留瘀邪。</w:t>
      </w:r>
    </w:p>
    <w:p w:rsidR="007830C1" w:rsidRDefault="00110584" w:rsidP="00F45E4D">
      <w:pPr>
        <w:spacing w:beforeLines="100" w:afterLines="100"/>
        <w:jc w:val="left"/>
        <w:rPr>
          <w:rFonts w:ascii="黑体" w:eastAsia="黑体" w:hAnsi="黑体"/>
          <w:szCs w:val="21"/>
        </w:rPr>
      </w:pPr>
      <w:r>
        <w:rPr>
          <w:rFonts w:ascii="黑体" w:eastAsia="黑体" w:hAnsi="黑体" w:hint="eastAsia"/>
          <w:szCs w:val="21"/>
        </w:rPr>
        <w:t xml:space="preserve">B.1.3血热恶露不绝 </w:t>
      </w:r>
    </w:p>
    <w:p w:rsidR="007830C1" w:rsidRDefault="00110584" w:rsidP="00F45E4D">
      <w:pPr>
        <w:spacing w:beforeLines="50" w:afterLines="50"/>
        <w:ind w:firstLineChars="200" w:firstLine="420"/>
        <w:outlineLvl w:val="1"/>
        <w:rPr>
          <w:rFonts w:asciiTheme="minorEastAsia" w:eastAsiaTheme="minorEastAsia" w:hAnsiTheme="minorEastAsia"/>
          <w:szCs w:val="21"/>
        </w:rPr>
      </w:pPr>
      <w:r>
        <w:rPr>
          <w:rFonts w:asciiTheme="minorEastAsia" w:eastAsiaTheme="minorEastAsia" w:hAnsiTheme="minorEastAsia" w:hint="eastAsia"/>
          <w:szCs w:val="21"/>
        </w:rPr>
        <w:t>产后血热恶露不绝表现为产后恶露逾期不止，量较多，色红或深红，质稠，或如败酱，气秽臭；面红唇赤，咽干口燥，或有腹痛，便秘，或兼五心烦热。多因产时产后感染邪毒，或产后过热过补，热迫血行引起。</w:t>
      </w:r>
      <w:r>
        <w:rPr>
          <w:rFonts w:asciiTheme="minorEastAsia" w:eastAsiaTheme="minorEastAsia" w:hAnsiTheme="minorEastAsia" w:hint="eastAsia"/>
          <w:b/>
          <w:bCs/>
          <w:szCs w:val="21"/>
        </w:rPr>
        <w:t>熟地益母汤</w:t>
      </w:r>
      <w:r>
        <w:rPr>
          <w:rFonts w:asciiTheme="minorEastAsia" w:eastAsiaTheme="minorEastAsia" w:hAnsiTheme="minorEastAsia" w:hint="eastAsia"/>
          <w:szCs w:val="21"/>
        </w:rPr>
        <w:t>以“热者清之”为原则，适合肝肾阴虚及血热型恶露不绝者。食材取自中药方剂保阴煎（《景岳全书》）及两地汤（《傅青主女科》）加减，熟地黄补血养阴、填精益髓，地骨皮退热除蒸、清肺降火、凉血止血，枸杞子滋补肝肾、益精明目，益母草寒凉清利，善于活血祛瘀、调经生新，是妇科常用药物。各食材合用养阴清热、固冲止血。</w:t>
      </w:r>
    </w:p>
    <w:p w:rsidR="007830C1" w:rsidRDefault="00110584" w:rsidP="00F45E4D">
      <w:pPr>
        <w:spacing w:beforeLines="100" w:afterLines="100"/>
        <w:jc w:val="left"/>
        <w:rPr>
          <w:rFonts w:ascii="Times New Roman" w:eastAsia="黑体" w:hAnsi="Times New Roman"/>
          <w:szCs w:val="21"/>
        </w:rPr>
      </w:pPr>
      <w:bookmarkStart w:id="77" w:name="_Toc16382_WPSOffice_Level1"/>
      <w:r>
        <w:rPr>
          <w:rFonts w:ascii="黑体" w:eastAsia="黑体" w:hAnsi="黑体" w:hint="eastAsia"/>
          <w:szCs w:val="21"/>
        </w:rPr>
        <w:t>B</w:t>
      </w:r>
      <w:r>
        <w:rPr>
          <w:rFonts w:ascii="黑体" w:eastAsia="黑体" w:hAnsi="黑体"/>
          <w:szCs w:val="21"/>
        </w:rPr>
        <w:t>.2</w:t>
      </w:r>
      <w:r>
        <w:rPr>
          <w:rFonts w:ascii="黑体" w:eastAsia="黑体" w:hAnsi="黑体" w:hint="eastAsia"/>
          <w:szCs w:val="21"/>
        </w:rPr>
        <w:t xml:space="preserve"> </w:t>
      </w:r>
      <w:r>
        <w:rPr>
          <w:rFonts w:ascii="Times New Roman" w:eastAsia="黑体" w:hAnsi="Times New Roman" w:hint="eastAsia"/>
          <w:szCs w:val="21"/>
        </w:rPr>
        <w:t xml:space="preserve"> </w:t>
      </w:r>
      <w:bookmarkEnd w:id="77"/>
      <w:r>
        <w:rPr>
          <w:rFonts w:ascii="Times New Roman" w:eastAsia="黑体" w:hAnsi="Times New Roman" w:hint="eastAsia"/>
          <w:szCs w:val="21"/>
        </w:rPr>
        <w:t>产后缺乳月子汤配方依据</w:t>
      </w:r>
    </w:p>
    <w:p w:rsidR="007830C1" w:rsidRDefault="00110584" w:rsidP="00F45E4D">
      <w:pPr>
        <w:spacing w:beforeLines="100" w:afterLines="100"/>
        <w:ind w:firstLineChars="200" w:firstLine="420"/>
        <w:jc w:val="left"/>
        <w:rPr>
          <w:rFonts w:ascii="Times New Roman" w:eastAsia="黑体" w:hAnsi="Times New Roman"/>
          <w:szCs w:val="21"/>
        </w:rPr>
      </w:pPr>
      <w:r>
        <w:rPr>
          <w:rFonts w:asciiTheme="minorEastAsia" w:eastAsiaTheme="minorEastAsia" w:hAnsiTheme="minorEastAsia" w:hint="eastAsia"/>
          <w:szCs w:val="21"/>
        </w:rPr>
        <w:t>缺乳是指产妇在哺乳期内，乳汁甚少或全无；多发生在新产后，以产后第二、三天至半月内常见，亦可发生在整个哺乳期。缺乳与乳母体质及哺乳期生活、饮食、精神调适有着非常重要的关系。根据不同原因主要分为气血亏虚、肝郁气滞、痰湿阻滞三个证型。产后缺乳月子汤主料食材选用猪蹄。猪蹄含有较多的蛋白质、脂肪和碳水化合物、维生素等有益成分。猪蹄下奶在民间应用极其普遍，可以强壮骨骼、催乳。</w:t>
      </w:r>
    </w:p>
    <w:p w:rsidR="007830C1" w:rsidRDefault="00110584" w:rsidP="00F45E4D">
      <w:pPr>
        <w:spacing w:beforeLines="100" w:afterLines="100"/>
        <w:jc w:val="left"/>
        <w:rPr>
          <w:rFonts w:ascii="Times New Roman" w:eastAsia="黑体" w:hAnsi="Times New Roman"/>
          <w:szCs w:val="21"/>
        </w:rPr>
      </w:pPr>
      <w:r>
        <w:rPr>
          <w:rFonts w:ascii="Times New Roman" w:eastAsia="黑体" w:hAnsi="Times New Roman" w:hint="eastAsia"/>
          <w:szCs w:val="21"/>
        </w:rPr>
        <w:lastRenderedPageBreak/>
        <w:t>B2.1</w:t>
      </w:r>
      <w:r>
        <w:rPr>
          <w:rFonts w:ascii="Times New Roman" w:eastAsia="黑体" w:hAnsi="Times New Roman" w:hint="eastAsia"/>
          <w:szCs w:val="21"/>
        </w:rPr>
        <w:t>气血亏虚缺乳</w:t>
      </w:r>
    </w:p>
    <w:p w:rsidR="007830C1" w:rsidRDefault="00110584" w:rsidP="00F45E4D">
      <w:pPr>
        <w:spacing w:beforeLines="100" w:afterLines="100"/>
        <w:ind w:firstLineChars="200" w:firstLine="420"/>
        <w:jc w:val="left"/>
        <w:rPr>
          <w:rFonts w:asciiTheme="majorEastAsia" w:hAnsiTheme="majorEastAsia"/>
          <w:szCs w:val="21"/>
        </w:rPr>
      </w:pPr>
      <w:r>
        <w:rPr>
          <w:rFonts w:asciiTheme="majorEastAsia" w:eastAsiaTheme="majorEastAsia" w:hAnsiTheme="majorEastAsia" w:hint="eastAsia"/>
          <w:szCs w:val="21"/>
        </w:rPr>
        <w:t>气血亏虚型缺乳多由于</w:t>
      </w:r>
      <w:r>
        <w:rPr>
          <w:rFonts w:asciiTheme="minorEastAsia" w:eastAsiaTheme="minorEastAsia" w:hAnsiTheme="minorEastAsia" w:hint="eastAsia"/>
          <w:szCs w:val="21"/>
        </w:rPr>
        <w:t>乳母体质羸弱，或产后失血过多、血虚精亏导致。</w:t>
      </w:r>
      <w:r>
        <w:rPr>
          <w:rFonts w:asciiTheme="majorEastAsia" w:eastAsiaTheme="majorEastAsia" w:hAnsiTheme="majorEastAsia" w:hint="eastAsia"/>
          <w:szCs w:val="21"/>
        </w:rPr>
        <w:t>主要表现为产后乳少，或逐渐减少甚或全无，乳汁清稀，乳房柔软无胀感，挤压乳汁点滴而出。治法以补气养血通乳为主。</w:t>
      </w:r>
      <w:r>
        <w:rPr>
          <w:rFonts w:asciiTheme="minorEastAsia" w:eastAsiaTheme="minorEastAsia" w:hAnsiTheme="minorEastAsia" w:hint="eastAsia"/>
          <w:b/>
          <w:bCs/>
          <w:szCs w:val="21"/>
        </w:rPr>
        <w:t>参芪补血下乳汤</w:t>
      </w:r>
      <w:r>
        <w:rPr>
          <w:rFonts w:asciiTheme="majorEastAsia" w:eastAsiaTheme="majorEastAsia" w:hAnsiTheme="majorEastAsia" w:hint="eastAsia"/>
          <w:szCs w:val="21"/>
        </w:rPr>
        <w:t>以中药方剂通乳丹（《傅青主女科》）为基础加减，</w:t>
      </w:r>
      <w:r>
        <w:rPr>
          <w:rFonts w:asciiTheme="minorEastAsia" w:eastAsiaTheme="minorEastAsia" w:hAnsiTheme="minorEastAsia" w:hint="eastAsia"/>
          <w:szCs w:val="21"/>
        </w:rPr>
        <w:t>药食同源食材党参补中益气、健脾益肺、养血生津；黄芪乃补气之圣药，当归为血中圣药，《药性论》云：“补女子诸不足。此说尽当归之用矣。”山药性味甘平，可以健中补虚，补脾肺肾，为平补之良药；黑芝麻可以健脾胃、和五脏、助消化、化积滞、顺气和中。辅料</w:t>
      </w:r>
      <w:r>
        <w:rPr>
          <w:rFonts w:ascii="宋体" w:hAnsi="宋体" w:hint="eastAsia"/>
        </w:rPr>
        <w:t>花生可以扶正补虚，悦脾和胃、润肺化痰，因花生红衣有凝血的作用，不利用前期恶露的排出，故制作时去皮。</w:t>
      </w:r>
      <w:r>
        <w:rPr>
          <w:rFonts w:asciiTheme="minorEastAsia" w:eastAsiaTheme="minorEastAsia" w:hAnsiTheme="minorEastAsia" w:hint="eastAsia"/>
          <w:szCs w:val="21"/>
        </w:rPr>
        <w:t>各食材合用气血双补，通络下乳。</w:t>
      </w:r>
    </w:p>
    <w:p w:rsidR="007830C1" w:rsidRDefault="00110584" w:rsidP="00F45E4D">
      <w:pPr>
        <w:spacing w:beforeLines="50" w:afterLines="50"/>
        <w:outlineLvl w:val="2"/>
        <w:rPr>
          <w:rFonts w:ascii="黑体" w:eastAsia="黑体" w:hAnsi="黑体"/>
          <w:szCs w:val="21"/>
        </w:rPr>
      </w:pPr>
      <w:r>
        <w:rPr>
          <w:rFonts w:ascii="黑体" w:eastAsia="黑体" w:hAnsi="黑体" w:hint="eastAsia"/>
          <w:szCs w:val="21"/>
        </w:rPr>
        <w:t>B2.2肝郁气滞缺乳</w:t>
      </w:r>
    </w:p>
    <w:p w:rsidR="007830C1" w:rsidRDefault="00110584" w:rsidP="00F45E4D">
      <w:pPr>
        <w:spacing w:beforeLines="50" w:afterLines="50"/>
        <w:ind w:firstLineChars="200" w:firstLine="420"/>
        <w:outlineLvl w:val="2"/>
        <w:rPr>
          <w:rFonts w:ascii="黑体" w:eastAsia="黑体" w:hAnsi="黑体"/>
          <w:szCs w:val="21"/>
        </w:rPr>
      </w:pPr>
      <w:r>
        <w:rPr>
          <w:rFonts w:asciiTheme="minorEastAsia" w:eastAsiaTheme="minorEastAsia" w:hAnsiTheme="minorEastAsia" w:hint="eastAsia"/>
          <w:szCs w:val="21"/>
        </w:rPr>
        <w:t>肝郁气滞型缺乳多由于产后情志不畅导致。主要表现产后乳汁涩少或不下，浓稠，乳房胀硬或积块伴有情志抑郁不乐，嗳气叹息，胸胁胀满，胃脘不舒，食欲不振；亦可见于新产后哺乳正常，突然情志所伤，乳汁骤减或不下。治法疏肝解郁、通络下乳。</w:t>
      </w:r>
      <w:r>
        <w:rPr>
          <w:rFonts w:asciiTheme="minorEastAsia" w:eastAsiaTheme="minorEastAsia" w:hAnsiTheme="minorEastAsia" w:hint="eastAsia"/>
          <w:b/>
          <w:bCs/>
          <w:szCs w:val="21"/>
        </w:rPr>
        <w:t>佛手木瓜下乳汤</w:t>
      </w:r>
      <w:r>
        <w:rPr>
          <w:rFonts w:asciiTheme="minorEastAsia" w:eastAsiaTheme="minorEastAsia" w:hAnsiTheme="minorEastAsia" w:hint="eastAsia"/>
          <w:szCs w:val="21"/>
        </w:rPr>
        <w:t>中香橼理气降逆、宽胸下痰，佛手疏肝解郁、调理气机；木瓜消食，对于胃痛、消化不良，乳汁不通具有很好的效果。甘草补脾气、补心气，黑芝麻健脾胃、化积滞。各食材合用疏肝解郁、通络下乳，</w:t>
      </w:r>
      <w:r>
        <w:rPr>
          <w:rFonts w:asciiTheme="majorEastAsia" w:eastAsiaTheme="majorEastAsia" w:hAnsiTheme="majorEastAsia" w:hint="eastAsia"/>
          <w:szCs w:val="21"/>
        </w:rPr>
        <w:t>适宜产后肝郁气滞，乳汁不足者。</w:t>
      </w:r>
    </w:p>
    <w:p w:rsidR="007830C1" w:rsidRDefault="00110584" w:rsidP="00F45E4D">
      <w:pPr>
        <w:spacing w:beforeLines="50" w:afterLines="50"/>
        <w:outlineLvl w:val="2"/>
        <w:rPr>
          <w:rFonts w:ascii="黑体" w:eastAsia="黑体" w:hAnsi="黑体"/>
          <w:szCs w:val="21"/>
        </w:rPr>
      </w:pPr>
      <w:r>
        <w:rPr>
          <w:rFonts w:ascii="黑体" w:eastAsia="黑体" w:hAnsi="黑体" w:hint="eastAsia"/>
          <w:szCs w:val="21"/>
        </w:rPr>
        <w:t>B2.3痰湿阻滞缺乳</w:t>
      </w:r>
    </w:p>
    <w:p w:rsidR="007830C1" w:rsidRDefault="00110584" w:rsidP="00F45E4D">
      <w:pPr>
        <w:spacing w:beforeLines="50" w:afterLines="50"/>
        <w:ind w:firstLineChars="200" w:firstLine="420"/>
        <w:outlineLvl w:val="2"/>
        <w:rPr>
          <w:rFonts w:asciiTheme="minorEastAsia" w:eastAsiaTheme="minorEastAsia" w:hAnsiTheme="minorEastAsia"/>
          <w:szCs w:val="21"/>
        </w:rPr>
      </w:pPr>
      <w:r>
        <w:rPr>
          <w:rFonts w:asciiTheme="minorEastAsia" w:eastAsiaTheme="minorEastAsia" w:hAnsiTheme="minorEastAsia" w:hint="eastAsia"/>
          <w:szCs w:val="21"/>
        </w:rPr>
        <w:t>痰湿阻滞型缺乳多由于乳母素体肥胖，或产后进补不当、过食肥甘、劳逸失常所致。表现为产后乳汁稀少，或点滴皆无，乳汁不稠，乳房丰满，按之松软而无胀感，伴有胸闷泛恶。纳少便溏，大便黏滞不畅或食多乳少。治法健脾化痰、通络下乳。</w:t>
      </w:r>
      <w:r>
        <w:rPr>
          <w:rFonts w:asciiTheme="minorEastAsia" w:eastAsiaTheme="minorEastAsia" w:hAnsiTheme="minorEastAsia" w:hint="eastAsia"/>
          <w:b/>
          <w:bCs/>
          <w:szCs w:val="21"/>
        </w:rPr>
        <w:t>橘红祛湿下乳汤</w:t>
      </w:r>
      <w:r>
        <w:rPr>
          <w:rFonts w:asciiTheme="minorEastAsia" w:eastAsiaTheme="minorEastAsia" w:hAnsiTheme="minorEastAsia" w:hint="eastAsia"/>
          <w:szCs w:val="21"/>
        </w:rPr>
        <w:t>中橘红理气宽中、燥湿化痰，薏苡仁、茯苓健脾利湿，木瓜通络下乳，各食材合用去除痰湿以助乳汁运行。</w:t>
      </w:r>
    </w:p>
    <w:p w:rsidR="007830C1" w:rsidRDefault="00110584" w:rsidP="00F45E4D">
      <w:pPr>
        <w:spacing w:beforeLines="100" w:afterLines="100"/>
        <w:jc w:val="left"/>
        <w:rPr>
          <w:rFonts w:ascii="Times New Roman" w:eastAsia="黑体" w:hAnsi="Times New Roman"/>
          <w:szCs w:val="21"/>
        </w:rPr>
      </w:pPr>
      <w:bookmarkStart w:id="78" w:name="_Toc833_WPSOffice_Level1"/>
      <w:bookmarkEnd w:id="76"/>
      <w:r>
        <w:rPr>
          <w:rFonts w:ascii="黑体" w:eastAsia="黑体" w:hAnsi="黑体" w:hint="eastAsia"/>
          <w:szCs w:val="21"/>
        </w:rPr>
        <w:t>B</w:t>
      </w:r>
      <w:r>
        <w:rPr>
          <w:rFonts w:ascii="黑体" w:eastAsia="黑体" w:hAnsi="黑体"/>
          <w:szCs w:val="21"/>
        </w:rPr>
        <w:t>.3</w:t>
      </w:r>
      <w:r>
        <w:rPr>
          <w:rFonts w:ascii="黑体" w:eastAsia="黑体" w:hAnsi="黑体" w:hint="eastAsia"/>
          <w:szCs w:val="21"/>
        </w:rPr>
        <w:t xml:space="preserve">  产后大便难月子汤配方依据</w:t>
      </w:r>
      <w:r>
        <w:rPr>
          <w:rFonts w:ascii="Times New Roman" w:eastAsia="黑体" w:hAnsi="Times New Roman" w:hint="eastAsia"/>
          <w:szCs w:val="21"/>
        </w:rPr>
        <w:t xml:space="preserve"> </w:t>
      </w:r>
    </w:p>
    <w:p w:rsidR="007830C1" w:rsidRDefault="00110584" w:rsidP="00F45E4D">
      <w:pPr>
        <w:spacing w:beforeLines="50" w:afterLines="50"/>
        <w:rPr>
          <w:rFonts w:ascii="黑体" w:eastAsia="黑体" w:hAnsi="黑体"/>
          <w:szCs w:val="21"/>
        </w:rPr>
      </w:pPr>
      <w:r>
        <w:rPr>
          <w:rFonts w:ascii="黑体" w:eastAsia="黑体" w:hAnsi="黑体" w:hint="eastAsia"/>
          <w:szCs w:val="21"/>
        </w:rPr>
        <w:t>B3.1气血亏虚、津亏肠燥大便难</w:t>
      </w:r>
    </w:p>
    <w:p w:rsidR="007830C1" w:rsidRDefault="00110584" w:rsidP="00F45E4D">
      <w:pPr>
        <w:spacing w:beforeLines="50" w:afterLines="50"/>
        <w:ind w:firstLineChars="200" w:firstLine="420"/>
        <w:rPr>
          <w:rFonts w:asciiTheme="minorEastAsia" w:eastAsiaTheme="minorEastAsia" w:hAnsiTheme="minorEastAsia"/>
          <w:szCs w:val="21"/>
        </w:rPr>
      </w:pPr>
      <w:r>
        <w:rPr>
          <w:rFonts w:asciiTheme="majorEastAsia" w:eastAsiaTheme="majorEastAsia" w:hAnsiTheme="majorEastAsia" w:hint="eastAsia"/>
          <w:szCs w:val="21"/>
        </w:rPr>
        <w:t>产后饮食如故，大便数日不解，或者艰涩难以排出者，称为产后大便难。主要原因为产时、产后失血</w:t>
      </w:r>
      <w:r>
        <w:rPr>
          <w:rFonts w:asciiTheme="minorEastAsia" w:eastAsiaTheme="minorEastAsia" w:hAnsiTheme="minorEastAsia" w:hint="eastAsia"/>
          <w:szCs w:val="21"/>
        </w:rPr>
        <w:t>过多，或素体气虚、血虚。大便难属血虚津亏、气虚乏力，治疗养血以润肠，补气以通行。</w:t>
      </w:r>
      <w:r>
        <w:rPr>
          <w:rFonts w:asciiTheme="minorEastAsia" w:eastAsiaTheme="minorEastAsia" w:hAnsiTheme="minorEastAsia" w:hint="eastAsia"/>
          <w:b/>
          <w:bCs/>
          <w:szCs w:val="21"/>
        </w:rPr>
        <w:t>熟地麻仁月子汤</w:t>
      </w:r>
      <w:r>
        <w:rPr>
          <w:rFonts w:asciiTheme="minorEastAsia" w:eastAsiaTheme="minorEastAsia" w:hAnsiTheme="minorEastAsia" w:hint="eastAsia"/>
          <w:szCs w:val="21"/>
        </w:rPr>
        <w:t>药膳以中药方剂四物汤加减，滋阴养血、润肠通便。其中熟地补血养阴、填精益髓；当归补血润燥；党参补中益气、健脾益肺、养血生津；火麻仁、郁李仁润肠通便；桑椹滋阴补血、生津润肠；黑芝麻健脾胃、和五脏、助消化、化积滞、顺气和中；乌鸡补肝肾、益气血、清虚热。各食材合用，以养以润、以补以行，共奏益气养血，润肠通便之功效。</w:t>
      </w:r>
    </w:p>
    <w:p w:rsidR="007830C1" w:rsidRDefault="007830C1">
      <w:pPr>
        <w:widowControl/>
        <w:jc w:val="left"/>
        <w:rPr>
          <w:rFonts w:ascii="黑体" w:eastAsia="黑体" w:hAnsi="黑体" w:cs="Arial"/>
          <w:szCs w:val="21"/>
        </w:rPr>
      </w:pPr>
      <w:bookmarkStart w:id="79" w:name="_Toc34125938"/>
      <w:bookmarkStart w:id="80" w:name="_Toc34136387"/>
      <w:bookmarkEnd w:id="78"/>
    </w:p>
    <w:p w:rsidR="007830C1" w:rsidRDefault="00110584" w:rsidP="00F45E4D">
      <w:pPr>
        <w:spacing w:beforeLines="200" w:afterLines="200"/>
        <w:jc w:val="center"/>
        <w:outlineLvl w:val="0"/>
        <w:rPr>
          <w:rFonts w:ascii="宋体" w:hAnsi="宋体" w:cs="宋体"/>
        </w:rPr>
      </w:pPr>
      <w:r>
        <w:rPr>
          <w:rFonts w:ascii="黑体" w:eastAsia="黑体" w:hAnsi="黑体" w:cs="Arial" w:hint="eastAsia"/>
          <w:szCs w:val="21"/>
        </w:rPr>
        <w:t xml:space="preserve">参  考  </w:t>
      </w:r>
      <w:r>
        <w:rPr>
          <w:rFonts w:asciiTheme="minorEastAsia" w:eastAsiaTheme="minorEastAsia" w:hAnsiTheme="minorEastAsia" w:hint="eastAsia"/>
          <w:szCs w:val="21"/>
        </w:rPr>
        <w:t>文  献</w:t>
      </w:r>
      <w:bookmarkEnd w:id="79"/>
      <w:bookmarkEnd w:id="80"/>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杜惠兰 罗颂平《中医临床诊疗指南释义·妇科疾病分册》ZYYXH/T229-2012 产后恶露不绝 中国中医药出版社2015-09-01</w:t>
      </w:r>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杜惠兰 罗颂平《中医临床诊疗指南释义·妇科疾病分册》ZYYXH/T230-2012 产后缺乳 中国中医药出版社2015-09-01</w:t>
      </w:r>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谈勇《中医妇科学》中国中医药出版社2019-11-01</w:t>
      </w:r>
    </w:p>
    <w:p w:rsidR="007830C1" w:rsidRDefault="00E640BA" w:rsidP="00F45E4D">
      <w:pPr>
        <w:numPr>
          <w:ilvl w:val="0"/>
          <w:numId w:val="2"/>
        </w:numPr>
        <w:spacing w:beforeLines="50" w:afterLines="50"/>
        <w:ind w:firstLineChars="200" w:firstLine="420"/>
        <w:rPr>
          <w:rFonts w:ascii="宋体" w:hAnsi="宋体" w:cs="宋体"/>
        </w:rPr>
      </w:pPr>
      <w:hyperlink r:id="rId17" w:tgtFrame="http://xueshu.baidu.com/usercenter/paper/_blank" w:history="1">
        <w:r w:rsidR="00110584">
          <w:rPr>
            <w:rFonts w:ascii="宋体" w:hAnsi="宋体" w:cs="宋体" w:hint="eastAsia"/>
          </w:rPr>
          <w:t>中华人民共和国国家标准中医临床诊疗术语:证候部分</w:t>
        </w:r>
      </w:hyperlink>
      <w:r w:rsidR="00110584">
        <w:rPr>
          <w:rFonts w:ascii="宋体" w:hAnsi="宋体" w:cs="宋体" w:hint="eastAsia"/>
        </w:rPr>
        <w:t>。</w:t>
      </w:r>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国家食品安全综合协调与卫生监督局 《卫生部关于进一步规范保健食品原料管理</w:t>
      </w:r>
      <w:r>
        <w:rPr>
          <w:rFonts w:ascii="宋体" w:hAnsi="宋体" w:cs="宋体" w:hint="eastAsia"/>
        </w:rPr>
        <w:lastRenderedPageBreak/>
        <w:t>的通知》（卫法监发[2002]51号） 附件2可用于保健食品的物品名单，2002.2.28</w:t>
      </w:r>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《国家卫生计生委办公厅关于征求&lt;按照传统既是食品又是中药材物质目录管理办</w:t>
      </w:r>
    </w:p>
    <w:p w:rsidR="007830C1" w:rsidRDefault="00110584" w:rsidP="00F45E4D">
      <w:pPr>
        <w:spacing w:beforeLines="50" w:afterLines="50"/>
        <w:rPr>
          <w:rFonts w:ascii="宋体" w:hAnsi="宋体" w:cs="宋体"/>
        </w:rPr>
      </w:pPr>
      <w:r>
        <w:rPr>
          <w:rFonts w:ascii="宋体" w:hAnsi="宋体" w:cs="宋体" w:hint="eastAsia"/>
        </w:rPr>
        <w:t xml:space="preserve">法&gt;（征求意见稿）意见的函》（国卫办食品函〔2014〕975 号）附件一之附件《按照传统 既是食品又是中药材物质目录（征求意见稿）》，2014.10.28 </w:t>
      </w:r>
    </w:p>
    <w:p w:rsidR="007830C1" w:rsidRDefault="00110584" w:rsidP="00F45E4D">
      <w:pPr>
        <w:numPr>
          <w:ilvl w:val="0"/>
          <w:numId w:val="2"/>
        </w:numPr>
        <w:spacing w:beforeLines="50" w:afterLines="50"/>
        <w:ind w:firstLineChars="200" w:firstLine="420"/>
        <w:rPr>
          <w:rFonts w:ascii="宋体" w:hAnsi="宋体" w:cs="宋体"/>
        </w:rPr>
      </w:pPr>
      <w:r>
        <w:rPr>
          <w:rFonts w:ascii="宋体" w:hAnsi="宋体" w:cs="宋体" w:hint="eastAsia"/>
        </w:rPr>
        <w:t xml:space="preserve">国家卫生健康委、国家市场监管总局《关于对党参等 9 种物质开展按照传统既是食品又是中药材的物质管理试点工作的通知》（国卫食品函〔2019〕311 号）附件《党参等 9 种试点按照传统既是食品又是中药材的物质名单》，2019.11.25 </w:t>
      </w:r>
    </w:p>
    <w:p w:rsidR="007830C1" w:rsidRDefault="00E640BA">
      <w:pPr>
        <w:widowControl/>
        <w:jc w:val="left"/>
        <w:rPr>
          <w:rFonts w:ascii="黑体" w:eastAsia="黑体" w:hAnsi="黑体" w:cs="Arial"/>
          <w:szCs w:val="21"/>
        </w:rPr>
      </w:pPr>
      <w:r>
        <w:rPr>
          <w:rFonts w:ascii="黑体" w:eastAsia="黑体" w:hAnsi="黑体" w:cs="Arial"/>
          <w:noProof/>
          <w:szCs w:val="21"/>
        </w:rPr>
        <w:pict>
          <v:shape id="自选图形 4" o:spid="_x0000_s1027" type="#_x0000_t32" style="position:absolute;margin-left:125.65pt;margin-top:3.1pt;width:144.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" strokeweight="1.5pt"/>
        </w:pict>
      </w:r>
    </w:p>
    <w:sectPr w:rsidR="007830C1" w:rsidSect="00E640BA">
      <w:headerReference w:type="even" r:id="rId18"/>
      <w:headerReference w:type="default" r:id="rId19"/>
      <w:footerReference w:type="even" r:id="rId20"/>
      <w:footerReference w:type="default" r:id="rId21"/>
      <w:headerReference w:type="first" r:id="rId22"/>
      <w:footerReference w:type="first" r:id="rId23"/>
      <w:pgSz w:w="11906" w:h="16838"/>
      <w:pgMar w:top="1440" w:right="1797" w:bottom="1440" w:left="1797" w:header="851" w:footer="992"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FA1" w:rsidRDefault="003C7FA1">
      <w:r>
        <w:separator/>
      </w:r>
    </w:p>
  </w:endnote>
  <w:endnote w:type="continuationSeparator" w:id="0">
    <w:p w:rsidR="003C7FA1" w:rsidRDefault="003C7F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E640BA">
    <w:pPr>
      <w:pStyle w:val="a6"/>
    </w:pPr>
    <w:r w:rsidRPr="00E640BA">
      <w:fldChar w:fldCharType="begin"/>
    </w:r>
    <w:r w:rsidR="00110584">
      <w:instrText xml:space="preserve"> PAGE   \* MERGEFORMAT </w:instrText>
    </w:r>
    <w:r w:rsidRPr="00E640BA">
      <w:fldChar w:fldCharType="separate"/>
    </w:r>
    <w:r w:rsidR="00110584">
      <w:rPr>
        <w:lang w:val="zh-CN"/>
      </w:rPr>
      <w:t>2</w:t>
    </w:r>
    <w:r>
      <w:rPr>
        <w:lang w:val="zh-CN"/>
      </w:rPr>
      <w:fldChar w:fldCharType="end"/>
    </w:r>
  </w:p>
  <w:p w:rsidR="007830C1" w:rsidRDefault="007830C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E4D" w:rsidRDefault="00F45E4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E4D" w:rsidRDefault="00F45E4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E640BA">
    <w:pPr>
      <w:pStyle w:val="a6"/>
      <w:jc w:val="right"/>
    </w:pPr>
    <w:r w:rsidRPr="00E640BA">
      <w:fldChar w:fldCharType="begin"/>
    </w:r>
    <w:r w:rsidR="00110584">
      <w:instrText xml:space="preserve"> PAGE   \* MERGEFORMAT </w:instrText>
    </w:r>
    <w:r w:rsidRPr="00E640BA">
      <w:fldChar w:fldCharType="separate"/>
    </w:r>
    <w:r w:rsidR="00F45E4D" w:rsidRPr="00F45E4D">
      <w:rPr>
        <w:noProof/>
        <w:lang w:val="zh-CN"/>
      </w:rPr>
      <w:t>I</w:t>
    </w:r>
    <w:r>
      <w:rPr>
        <w:lang w:val="zh-CN"/>
      </w:rPr>
      <w:fldChar w:fldCharType="end"/>
    </w:r>
  </w:p>
  <w:p w:rsidR="007830C1" w:rsidRDefault="007830C1">
    <w:pPr>
      <w:pStyle w:val="a6"/>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E640BA">
    <w:pPr>
      <w:pStyle w:val="a6"/>
      <w:jc w:val="right"/>
    </w:pPr>
    <w:r w:rsidRPr="00E640BA">
      <w:fldChar w:fldCharType="begin"/>
    </w:r>
    <w:r w:rsidR="00110584">
      <w:instrText xml:space="preserve"> PAGE   \* MERGEFORMAT </w:instrText>
    </w:r>
    <w:r w:rsidRPr="00E640BA">
      <w:fldChar w:fldCharType="separate"/>
    </w:r>
    <w:r w:rsidR="00110584">
      <w:rPr>
        <w:lang w:val="zh-CN"/>
      </w:rPr>
      <w:t>10</w:t>
    </w:r>
    <w:r>
      <w:rPr>
        <w:lang w:val="zh-CN"/>
      </w:rPr>
      <w:fldChar w:fldCharType="end"/>
    </w:r>
  </w:p>
  <w:p w:rsidR="007830C1" w:rsidRDefault="007830C1">
    <w:pPr>
      <w:pStyle w:val="a6"/>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E640BA">
    <w:pPr>
      <w:pStyle w:val="a6"/>
    </w:pPr>
    <w:r w:rsidRPr="00E640BA">
      <w:fldChar w:fldCharType="begin"/>
    </w:r>
    <w:r w:rsidR="00110584">
      <w:instrText xml:space="preserve"> PAGE   \* MERGEFORMAT </w:instrText>
    </w:r>
    <w:r w:rsidRPr="00E640BA">
      <w:fldChar w:fldCharType="separate"/>
    </w:r>
    <w:r w:rsidR="00F45E4D" w:rsidRPr="00F45E4D">
      <w:rPr>
        <w:noProof/>
        <w:lang w:val="zh-CN"/>
      </w:rPr>
      <w:t>12</w:t>
    </w:r>
    <w:r>
      <w:rPr>
        <w:lang w:val="zh-CN"/>
      </w:rPr>
      <w:fldChar w:fldCharType="end"/>
    </w:r>
  </w:p>
  <w:p w:rsidR="007830C1" w:rsidRDefault="007830C1">
    <w:pPr>
      <w:pStyle w:val="a6"/>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E640BA">
    <w:pPr>
      <w:pStyle w:val="a6"/>
    </w:pPr>
    <w:r w:rsidRPr="00E640BA">
      <w:fldChar w:fldCharType="begin"/>
    </w:r>
    <w:r w:rsidR="00110584">
      <w:instrText xml:space="preserve"> PAGE   \* MERGEFORMAT </w:instrText>
    </w:r>
    <w:r w:rsidRPr="00E640BA">
      <w:fldChar w:fldCharType="separate"/>
    </w:r>
    <w:r w:rsidR="00F45E4D" w:rsidRPr="00F45E4D">
      <w:rPr>
        <w:noProof/>
        <w:lang w:val="zh-CN"/>
      </w:rPr>
      <w:t>1</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FA1" w:rsidRDefault="003C7FA1">
      <w:r>
        <w:separator/>
      </w:r>
    </w:p>
  </w:footnote>
  <w:footnote w:type="continuationSeparator" w:id="0">
    <w:p w:rsidR="003C7FA1" w:rsidRDefault="003C7F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12"/>
    </w:pPr>
    <w:r>
      <w:rPr>
        <w:noProof/>
      </w:rPr>
      <w:drawing>
        <wp:anchor distT="0" distB="0" distL="0" distR="0" simplePos="0" relativeHeight="251655168" behindDoc="1" locked="0" layoutInCell="1" allowOverlap="1">
          <wp:simplePos x="0" y="0"/>
          <wp:positionH relativeFrom="margin">
            <wp:align>center</wp:align>
          </wp:positionH>
          <wp:positionV relativeFrom="margin">
            <wp:align>center</wp:align>
          </wp:positionV>
          <wp:extent cx="5278120" cy="5160645"/>
          <wp:effectExtent l="0" t="0" r="17780" b="1905"/>
          <wp:wrapNone/>
          <wp:docPr id="4097" name="WordPictureWatermark86983" descr="药膳logo"/>
          <wp:cNvGraphicFramePr/>
          <a:graphic xmlns:a="http://schemas.openxmlformats.org/drawingml/2006/main">
            <a:graphicData uri="http://schemas.openxmlformats.org/drawingml/2006/picture">
              <pic:pic xmlns:pic="http://schemas.openxmlformats.org/drawingml/2006/picture">
                <pic:nvPicPr>
                  <pic:cNvPr id="4097" name="WordPictureWatermark86983" descr="药膳logo"/>
                  <pic:cNvPicPr/>
                </pic:nvPicPr>
                <pic:blipFill>
                  <a:blip r:embed="rId1" cstate="print">
                    <a:lum bright="70000" contrast="-70000"/>
                  </a:blip>
                  <a:srcRect/>
                  <a:stretch>
                    <a:fillRect/>
                  </a:stretch>
                </pic:blipFill>
                <pic:spPr>
                  <a:xfrm>
                    <a:off x="0" y="0"/>
                    <a:ext cx="5278120" cy="5160645"/>
                  </a:xfrm>
                  <a:prstGeom prst="rect">
                    <a:avLst/>
                  </a:prstGeom>
                </pic:spPr>
              </pic:pic>
            </a:graphicData>
          </a:graphic>
        </wp:anchor>
      </w:drawing>
    </w:r>
    <w:r>
      <w:t>T/ZGYSYJH 001.1-2020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a7"/>
      <w:pBdr>
        <w:bottom w:val="none" w:sz="0" w:space="0" w:color="auto"/>
      </w:pBdr>
      <w:jc w:val="right"/>
      <w:rPr>
        <w:rFonts w:ascii="Times New Roman" w:hAnsi="Times New Roman"/>
      </w:rPr>
    </w:pPr>
    <w:r>
      <w:rPr>
        <w:rFonts w:ascii="Times New Roman" w:eastAsia="黑体" w:hAnsi="Times New Roman"/>
        <w:kern w:val="0"/>
      </w:rPr>
      <w:t>T/ZGYSYJH 001.1-2020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7830C1">
    <w:pPr>
      <w:pStyle w:val="a7"/>
      <w:pBdr>
        <w:bottom w:val="none" w:sz="0" w:space="0" w:color="auto"/>
      </w:pBd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a7"/>
      <w:pBdr>
        <w:bottom w:val="none" w:sz="0" w:space="0" w:color="auto"/>
      </w:pBdr>
      <w:jc w:val="right"/>
    </w:pPr>
    <w:r>
      <w:rPr>
        <w:rFonts w:ascii="Times New Roman" w:eastAsia="黑体" w:hAnsi="Times New Roman"/>
        <w:kern w:val="0"/>
      </w:rPr>
      <w:t>T/ZGYSYJH 001.1-2020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12"/>
      <w:jc w:val="right"/>
    </w:pPr>
    <w:r>
      <w:rPr>
        <w:noProof/>
      </w:rPr>
      <w:drawing>
        <wp:anchor distT="0" distB="0" distL="0" distR="0" simplePos="0" relativeHeight="251657216" behindDoc="1" locked="0" layoutInCell="1" allowOverlap="1">
          <wp:simplePos x="0" y="0"/>
          <wp:positionH relativeFrom="margin">
            <wp:align>center</wp:align>
          </wp:positionH>
          <wp:positionV relativeFrom="margin">
            <wp:align>center</wp:align>
          </wp:positionV>
          <wp:extent cx="5278120" cy="5160645"/>
          <wp:effectExtent l="0" t="0" r="17780" b="1905"/>
          <wp:wrapNone/>
          <wp:docPr id="4100" name="WordPictureWatermark29874" descr="药膳logo"/>
          <wp:cNvGraphicFramePr/>
          <a:graphic xmlns:a="http://schemas.openxmlformats.org/drawingml/2006/main">
            <a:graphicData uri="http://schemas.openxmlformats.org/drawingml/2006/picture">
              <pic:pic xmlns:pic="http://schemas.openxmlformats.org/drawingml/2006/picture">
                <pic:nvPicPr>
                  <pic:cNvPr id="4100" name="WordPictureWatermark29874" descr="药膳logo"/>
                  <pic:cNvPicPr/>
                </pic:nvPicPr>
                <pic:blipFill>
                  <a:blip r:embed="rId1" cstate="print">
                    <a:lum bright="70000" contrast="-70000"/>
                  </a:blip>
                  <a:srcRect/>
                  <a:stretch>
                    <a:fillRect/>
                  </a:stretch>
                </pic:blipFill>
                <pic:spPr>
                  <a:xfrm>
                    <a:off x="0" y="0"/>
                    <a:ext cx="5278120" cy="5160645"/>
                  </a:xfrm>
                  <a:prstGeom prst="rect">
                    <a:avLst/>
                  </a:prstGeom>
                </pic:spPr>
              </pic:pic>
            </a:graphicData>
          </a:graphic>
        </wp:anchor>
      </w:drawing>
    </w:r>
    <w:r>
      <w:t>T/ZGYSYJH 001.1-2020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a7"/>
      <w:pBdr>
        <w:bottom w:val="none" w:sz="0" w:space="0" w:color="auto"/>
      </w:pBdr>
      <w:jc w:val="left"/>
      <w:rPr>
        <w:rFonts w:ascii="Times New Roman" w:hAnsi="Times New Roman"/>
      </w:rPr>
    </w:pPr>
    <w:r>
      <w:rPr>
        <w:noProof/>
      </w:rPr>
      <w:drawing>
        <wp:anchor distT="0" distB="0" distL="0" distR="0" simplePos="0" relativeHeight="251658240" behindDoc="1" locked="0" layoutInCell="1" allowOverlap="1">
          <wp:simplePos x="0" y="0"/>
          <wp:positionH relativeFrom="margin">
            <wp:align>center</wp:align>
          </wp:positionH>
          <wp:positionV relativeFrom="margin">
            <wp:align>center</wp:align>
          </wp:positionV>
          <wp:extent cx="5278120" cy="5160645"/>
          <wp:effectExtent l="0" t="0" r="17780" b="1905"/>
          <wp:wrapNone/>
          <wp:docPr id="4101" name="WordPictureWatermark11896" descr="药膳logo"/>
          <wp:cNvGraphicFramePr/>
          <a:graphic xmlns:a="http://schemas.openxmlformats.org/drawingml/2006/main">
            <a:graphicData uri="http://schemas.openxmlformats.org/drawingml/2006/picture">
              <pic:pic xmlns:pic="http://schemas.openxmlformats.org/drawingml/2006/picture">
                <pic:nvPicPr>
                  <pic:cNvPr id="4101" name="WordPictureWatermark11896" descr="药膳logo"/>
                  <pic:cNvPicPr/>
                </pic:nvPicPr>
                <pic:blipFill>
                  <a:blip r:embed="rId1" cstate="print">
                    <a:lum bright="70000" contrast="-70000"/>
                  </a:blip>
                  <a:srcRect/>
                  <a:stretch>
                    <a:fillRect/>
                  </a:stretch>
                </pic:blipFill>
                <pic:spPr>
                  <a:xfrm>
                    <a:off x="0" y="0"/>
                    <a:ext cx="5278120" cy="5160645"/>
                  </a:xfrm>
                  <a:prstGeom prst="rect">
                    <a:avLst/>
                  </a:prstGeom>
                </pic:spPr>
              </pic:pic>
            </a:graphicData>
          </a:graphic>
        </wp:anchor>
      </w:drawing>
    </w:r>
    <w:r>
      <w:rPr>
        <w:rFonts w:ascii="Times New Roman" w:eastAsia="黑体" w:hAnsi="Times New Roman"/>
        <w:kern w:val="0"/>
      </w:rPr>
      <w:t>T/ZGYSYJH 001.1-2020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C1" w:rsidRDefault="00110584">
    <w:pPr>
      <w:pStyle w:val="a7"/>
      <w:pBdr>
        <w:bottom w:val="none" w:sz="0" w:space="0" w:color="auto"/>
      </w:pBdr>
      <w:jc w:val="left"/>
    </w:pPr>
    <w:r>
      <w:rPr>
        <w:noProof/>
      </w:rPr>
      <w:drawing>
        <wp:anchor distT="0" distB="0" distL="0" distR="0" simplePos="0" relativeHeight="251659264" behindDoc="1" locked="0" layoutInCell="1" allowOverlap="1">
          <wp:simplePos x="0" y="0"/>
          <wp:positionH relativeFrom="margin">
            <wp:align>center</wp:align>
          </wp:positionH>
          <wp:positionV relativeFrom="margin">
            <wp:align>center</wp:align>
          </wp:positionV>
          <wp:extent cx="5278120" cy="5160645"/>
          <wp:effectExtent l="0" t="0" r="17780" b="1905"/>
          <wp:wrapNone/>
          <wp:docPr id="4102" name="WordPictureWatermark41025" descr="药膳logo"/>
          <wp:cNvGraphicFramePr/>
          <a:graphic xmlns:a="http://schemas.openxmlformats.org/drawingml/2006/main">
            <a:graphicData uri="http://schemas.openxmlformats.org/drawingml/2006/picture">
              <pic:pic xmlns:pic="http://schemas.openxmlformats.org/drawingml/2006/picture">
                <pic:nvPicPr>
                  <pic:cNvPr id="4102" name="WordPictureWatermark41025" descr="药膳logo"/>
                  <pic:cNvPicPr/>
                </pic:nvPicPr>
                <pic:blipFill>
                  <a:blip r:embed="rId1" cstate="print">
                    <a:lum bright="70000" contrast="-70000"/>
                  </a:blip>
                  <a:srcRect/>
                  <a:stretch>
                    <a:fillRect/>
                  </a:stretch>
                </pic:blipFill>
                <pic:spPr>
                  <a:xfrm>
                    <a:off x="0" y="0"/>
                    <a:ext cx="5278120" cy="5160645"/>
                  </a:xfrm>
                  <a:prstGeom prst="rect">
                    <a:avLst/>
                  </a:prstGeom>
                </pic:spPr>
              </pic:pic>
            </a:graphicData>
          </a:graphic>
        </wp:anchor>
      </w:drawing>
    </w:r>
    <w:r>
      <w:rPr>
        <w:rFonts w:ascii="Times New Roman" w:eastAsia="黑体" w:hAnsi="Times New Roman"/>
        <w:kern w:val="0"/>
      </w:rPr>
      <w:t>T/ZGYSYJH 001.1-2020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4A7E6C"/>
    <w:multiLevelType w:val="singleLevel"/>
    <w:tmpl w:val="474A7E6C"/>
    <w:lvl w:ilvl="0">
      <w:start w:val="1"/>
      <w:numFmt w:val="decimal"/>
      <w:lvlText w:val="[%1]"/>
      <w:lvlJc w:val="left"/>
      <w:pPr>
        <w:tabs>
          <w:tab w:val="left" w:pos="312"/>
        </w:tabs>
      </w:pPr>
    </w:lvl>
  </w:abstractNum>
  <w:abstractNum w:abstractNumId="1">
    <w:nsid w:val="4C9CD083"/>
    <w:multiLevelType w:val="singleLevel"/>
    <w:tmpl w:val="4C9CD083"/>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defaultTabStop w:val="420"/>
  <w:drawingGridHorizontalSpacing w:val="105"/>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21E85"/>
    <w:rsid w:val="0000511D"/>
    <w:rsid w:val="0003777B"/>
    <w:rsid w:val="00043B13"/>
    <w:rsid w:val="00076F7E"/>
    <w:rsid w:val="000815C1"/>
    <w:rsid w:val="00081CD7"/>
    <w:rsid w:val="00082605"/>
    <w:rsid w:val="00094857"/>
    <w:rsid w:val="000A271D"/>
    <w:rsid w:val="000A379E"/>
    <w:rsid w:val="00110584"/>
    <w:rsid w:val="00126CFD"/>
    <w:rsid w:val="0015615D"/>
    <w:rsid w:val="0018543E"/>
    <w:rsid w:val="001862AB"/>
    <w:rsid w:val="001970E6"/>
    <w:rsid w:val="001B22F4"/>
    <w:rsid w:val="001B241B"/>
    <w:rsid w:val="0021025C"/>
    <w:rsid w:val="00216104"/>
    <w:rsid w:val="0022696B"/>
    <w:rsid w:val="002314CD"/>
    <w:rsid w:val="0023786A"/>
    <w:rsid w:val="002D696A"/>
    <w:rsid w:val="002F76C0"/>
    <w:rsid w:val="00341518"/>
    <w:rsid w:val="00353CE1"/>
    <w:rsid w:val="00366818"/>
    <w:rsid w:val="00367BBD"/>
    <w:rsid w:val="003C4B54"/>
    <w:rsid w:val="003C7FA1"/>
    <w:rsid w:val="004A5E9D"/>
    <w:rsid w:val="004B02F2"/>
    <w:rsid w:val="004C1A0E"/>
    <w:rsid w:val="004C58AC"/>
    <w:rsid w:val="004F6381"/>
    <w:rsid w:val="0054411C"/>
    <w:rsid w:val="00567162"/>
    <w:rsid w:val="005763FB"/>
    <w:rsid w:val="005D254F"/>
    <w:rsid w:val="00607449"/>
    <w:rsid w:val="00612D5F"/>
    <w:rsid w:val="00633D04"/>
    <w:rsid w:val="00640D87"/>
    <w:rsid w:val="00684637"/>
    <w:rsid w:val="006A52D7"/>
    <w:rsid w:val="006C2BC5"/>
    <w:rsid w:val="006D61EC"/>
    <w:rsid w:val="007126C5"/>
    <w:rsid w:val="00716ACD"/>
    <w:rsid w:val="00753C62"/>
    <w:rsid w:val="00762791"/>
    <w:rsid w:val="0077287E"/>
    <w:rsid w:val="00774476"/>
    <w:rsid w:val="0077491F"/>
    <w:rsid w:val="007755A6"/>
    <w:rsid w:val="007830C1"/>
    <w:rsid w:val="00815180"/>
    <w:rsid w:val="00821E85"/>
    <w:rsid w:val="00866A1D"/>
    <w:rsid w:val="00870F7A"/>
    <w:rsid w:val="008E1613"/>
    <w:rsid w:val="00961089"/>
    <w:rsid w:val="009815D7"/>
    <w:rsid w:val="00987053"/>
    <w:rsid w:val="00997204"/>
    <w:rsid w:val="009A344F"/>
    <w:rsid w:val="009B793A"/>
    <w:rsid w:val="00A00BC3"/>
    <w:rsid w:val="00A3153A"/>
    <w:rsid w:val="00A41DEE"/>
    <w:rsid w:val="00A5109A"/>
    <w:rsid w:val="00A55128"/>
    <w:rsid w:val="00A77024"/>
    <w:rsid w:val="00A8067C"/>
    <w:rsid w:val="00A936A2"/>
    <w:rsid w:val="00AA1FD4"/>
    <w:rsid w:val="00B424DE"/>
    <w:rsid w:val="00B517E5"/>
    <w:rsid w:val="00B60642"/>
    <w:rsid w:val="00B9499E"/>
    <w:rsid w:val="00B94C66"/>
    <w:rsid w:val="00B96D4B"/>
    <w:rsid w:val="00BD20EF"/>
    <w:rsid w:val="00BD26D0"/>
    <w:rsid w:val="00BE5527"/>
    <w:rsid w:val="00C06FE8"/>
    <w:rsid w:val="00C22F1A"/>
    <w:rsid w:val="00C243D2"/>
    <w:rsid w:val="00C27450"/>
    <w:rsid w:val="00C900D8"/>
    <w:rsid w:val="00CB3B42"/>
    <w:rsid w:val="00CC1CFB"/>
    <w:rsid w:val="00CD1DE9"/>
    <w:rsid w:val="00CE2047"/>
    <w:rsid w:val="00CE539B"/>
    <w:rsid w:val="00CE6FC7"/>
    <w:rsid w:val="00D02A45"/>
    <w:rsid w:val="00D070A3"/>
    <w:rsid w:val="00D2069D"/>
    <w:rsid w:val="00D65451"/>
    <w:rsid w:val="00D66C36"/>
    <w:rsid w:val="00D77DD7"/>
    <w:rsid w:val="00DB119F"/>
    <w:rsid w:val="00DE2AE1"/>
    <w:rsid w:val="00E4255D"/>
    <w:rsid w:val="00E45B5C"/>
    <w:rsid w:val="00E55A7C"/>
    <w:rsid w:val="00E613E4"/>
    <w:rsid w:val="00E640BA"/>
    <w:rsid w:val="00E918F6"/>
    <w:rsid w:val="00E9652C"/>
    <w:rsid w:val="00EA13C7"/>
    <w:rsid w:val="00EF6D18"/>
    <w:rsid w:val="00F17814"/>
    <w:rsid w:val="00F45E4D"/>
    <w:rsid w:val="00F56721"/>
    <w:rsid w:val="00F86799"/>
    <w:rsid w:val="00F949AE"/>
    <w:rsid w:val="00FA24D4"/>
    <w:rsid w:val="01381929"/>
    <w:rsid w:val="016D2E16"/>
    <w:rsid w:val="01964C77"/>
    <w:rsid w:val="01A164CF"/>
    <w:rsid w:val="027437ED"/>
    <w:rsid w:val="02A0416B"/>
    <w:rsid w:val="04066535"/>
    <w:rsid w:val="041F1429"/>
    <w:rsid w:val="044C6294"/>
    <w:rsid w:val="04850E52"/>
    <w:rsid w:val="04862678"/>
    <w:rsid w:val="04D60393"/>
    <w:rsid w:val="058B0724"/>
    <w:rsid w:val="059616F0"/>
    <w:rsid w:val="059F2E0B"/>
    <w:rsid w:val="063032E0"/>
    <w:rsid w:val="066B28B0"/>
    <w:rsid w:val="068451BD"/>
    <w:rsid w:val="068755C3"/>
    <w:rsid w:val="06DE0C08"/>
    <w:rsid w:val="07396977"/>
    <w:rsid w:val="07A678F4"/>
    <w:rsid w:val="07BE7E94"/>
    <w:rsid w:val="0820268E"/>
    <w:rsid w:val="08F72A3D"/>
    <w:rsid w:val="0A462F7A"/>
    <w:rsid w:val="0C043FA9"/>
    <w:rsid w:val="0DD22D1F"/>
    <w:rsid w:val="0E34745D"/>
    <w:rsid w:val="0E364CDF"/>
    <w:rsid w:val="0EE26598"/>
    <w:rsid w:val="0EEB112D"/>
    <w:rsid w:val="0F31198C"/>
    <w:rsid w:val="10894718"/>
    <w:rsid w:val="11F9371E"/>
    <w:rsid w:val="12B81F0B"/>
    <w:rsid w:val="139775A0"/>
    <w:rsid w:val="14DB263E"/>
    <w:rsid w:val="15577839"/>
    <w:rsid w:val="15E40018"/>
    <w:rsid w:val="1659465F"/>
    <w:rsid w:val="1685636C"/>
    <w:rsid w:val="168609FD"/>
    <w:rsid w:val="17ED3DBB"/>
    <w:rsid w:val="182E5A19"/>
    <w:rsid w:val="18C130A0"/>
    <w:rsid w:val="191E7DC2"/>
    <w:rsid w:val="19880F01"/>
    <w:rsid w:val="19913D76"/>
    <w:rsid w:val="1A1975DE"/>
    <w:rsid w:val="1A274ECE"/>
    <w:rsid w:val="1A743FB8"/>
    <w:rsid w:val="1AFC4586"/>
    <w:rsid w:val="1B9268DC"/>
    <w:rsid w:val="1C6C2AC9"/>
    <w:rsid w:val="1C9B6998"/>
    <w:rsid w:val="1D4641E9"/>
    <w:rsid w:val="1D993D53"/>
    <w:rsid w:val="1F5B3820"/>
    <w:rsid w:val="1F6C40BD"/>
    <w:rsid w:val="1F9E263B"/>
    <w:rsid w:val="20066AB7"/>
    <w:rsid w:val="200673BF"/>
    <w:rsid w:val="20737E71"/>
    <w:rsid w:val="208346B7"/>
    <w:rsid w:val="21D17C38"/>
    <w:rsid w:val="22A32B63"/>
    <w:rsid w:val="22D47EA0"/>
    <w:rsid w:val="22D61A52"/>
    <w:rsid w:val="231331D4"/>
    <w:rsid w:val="248277FF"/>
    <w:rsid w:val="249C7149"/>
    <w:rsid w:val="258928CA"/>
    <w:rsid w:val="272134EF"/>
    <w:rsid w:val="284F12C4"/>
    <w:rsid w:val="28731248"/>
    <w:rsid w:val="28C93CBF"/>
    <w:rsid w:val="28CB2FC0"/>
    <w:rsid w:val="29DD31E5"/>
    <w:rsid w:val="2A107496"/>
    <w:rsid w:val="2AF57AB8"/>
    <w:rsid w:val="2BA677E9"/>
    <w:rsid w:val="2C0E59A2"/>
    <w:rsid w:val="2C50494B"/>
    <w:rsid w:val="2CD42719"/>
    <w:rsid w:val="2D110B3D"/>
    <w:rsid w:val="2D8C041D"/>
    <w:rsid w:val="2DB75A07"/>
    <w:rsid w:val="2DDE42C5"/>
    <w:rsid w:val="2DF37C98"/>
    <w:rsid w:val="2E0C6095"/>
    <w:rsid w:val="2EAB6BE4"/>
    <w:rsid w:val="2F326F5F"/>
    <w:rsid w:val="2F583299"/>
    <w:rsid w:val="2FC35B0A"/>
    <w:rsid w:val="30492572"/>
    <w:rsid w:val="3071651D"/>
    <w:rsid w:val="30BA371B"/>
    <w:rsid w:val="30D26D7A"/>
    <w:rsid w:val="313166DD"/>
    <w:rsid w:val="31A712A1"/>
    <w:rsid w:val="31ED4DC4"/>
    <w:rsid w:val="32697A90"/>
    <w:rsid w:val="32E46D03"/>
    <w:rsid w:val="32F41B7C"/>
    <w:rsid w:val="33DA0E8A"/>
    <w:rsid w:val="33EA7C04"/>
    <w:rsid w:val="347D4B87"/>
    <w:rsid w:val="34996ED5"/>
    <w:rsid w:val="34A927A5"/>
    <w:rsid w:val="34F07D02"/>
    <w:rsid w:val="3532698F"/>
    <w:rsid w:val="35F76A9A"/>
    <w:rsid w:val="3629092D"/>
    <w:rsid w:val="36804953"/>
    <w:rsid w:val="375E3FBE"/>
    <w:rsid w:val="37AE1150"/>
    <w:rsid w:val="388E2084"/>
    <w:rsid w:val="39164E93"/>
    <w:rsid w:val="399B5F9D"/>
    <w:rsid w:val="39BD0EA0"/>
    <w:rsid w:val="39D55B5F"/>
    <w:rsid w:val="39E43CFE"/>
    <w:rsid w:val="3A9C1FAB"/>
    <w:rsid w:val="3B6E3B8D"/>
    <w:rsid w:val="3BEA5A01"/>
    <w:rsid w:val="3C29394A"/>
    <w:rsid w:val="3CF83768"/>
    <w:rsid w:val="3D2804BA"/>
    <w:rsid w:val="3D3D7E6E"/>
    <w:rsid w:val="3D8B774E"/>
    <w:rsid w:val="3EC96DE9"/>
    <w:rsid w:val="3F026975"/>
    <w:rsid w:val="40307782"/>
    <w:rsid w:val="414B25DA"/>
    <w:rsid w:val="41DC6319"/>
    <w:rsid w:val="426B53BA"/>
    <w:rsid w:val="42DD026F"/>
    <w:rsid w:val="42E57273"/>
    <w:rsid w:val="42E7099D"/>
    <w:rsid w:val="436915B4"/>
    <w:rsid w:val="437F2019"/>
    <w:rsid w:val="43D133FD"/>
    <w:rsid w:val="4444477D"/>
    <w:rsid w:val="45490A7B"/>
    <w:rsid w:val="460611CE"/>
    <w:rsid w:val="46487AE6"/>
    <w:rsid w:val="469A4208"/>
    <w:rsid w:val="476733ED"/>
    <w:rsid w:val="478C7FB5"/>
    <w:rsid w:val="48A11D56"/>
    <w:rsid w:val="492E46E4"/>
    <w:rsid w:val="4A843874"/>
    <w:rsid w:val="4AE4015E"/>
    <w:rsid w:val="4B0F3A20"/>
    <w:rsid w:val="4C432CD5"/>
    <w:rsid w:val="4C842EAB"/>
    <w:rsid w:val="4CB71512"/>
    <w:rsid w:val="4CF62442"/>
    <w:rsid w:val="4D7603E3"/>
    <w:rsid w:val="4E167ACE"/>
    <w:rsid w:val="4F395E55"/>
    <w:rsid w:val="4F3D7040"/>
    <w:rsid w:val="4FB35138"/>
    <w:rsid w:val="506910DF"/>
    <w:rsid w:val="50746CFA"/>
    <w:rsid w:val="50893B57"/>
    <w:rsid w:val="51957387"/>
    <w:rsid w:val="51E43D96"/>
    <w:rsid w:val="52391B4A"/>
    <w:rsid w:val="52481D90"/>
    <w:rsid w:val="53295F27"/>
    <w:rsid w:val="535F08D2"/>
    <w:rsid w:val="538103C1"/>
    <w:rsid w:val="54A41B4B"/>
    <w:rsid w:val="552F7D19"/>
    <w:rsid w:val="55651616"/>
    <w:rsid w:val="55765308"/>
    <w:rsid w:val="559B24F5"/>
    <w:rsid w:val="56B06EAE"/>
    <w:rsid w:val="5738326C"/>
    <w:rsid w:val="57472C9B"/>
    <w:rsid w:val="57DE2595"/>
    <w:rsid w:val="58742DA3"/>
    <w:rsid w:val="5895109C"/>
    <w:rsid w:val="593A3A6E"/>
    <w:rsid w:val="59461D69"/>
    <w:rsid w:val="598A4F08"/>
    <w:rsid w:val="5A034D0C"/>
    <w:rsid w:val="5A710221"/>
    <w:rsid w:val="5B323CE5"/>
    <w:rsid w:val="5B483A55"/>
    <w:rsid w:val="5C274DB9"/>
    <w:rsid w:val="5C5961EB"/>
    <w:rsid w:val="5D123219"/>
    <w:rsid w:val="5D9E296B"/>
    <w:rsid w:val="5E123157"/>
    <w:rsid w:val="5E3A5971"/>
    <w:rsid w:val="5E511878"/>
    <w:rsid w:val="5EA77B38"/>
    <w:rsid w:val="5F03271E"/>
    <w:rsid w:val="5F0E2146"/>
    <w:rsid w:val="600A41F9"/>
    <w:rsid w:val="606735D3"/>
    <w:rsid w:val="60E501CD"/>
    <w:rsid w:val="610856C4"/>
    <w:rsid w:val="624A576C"/>
    <w:rsid w:val="64060960"/>
    <w:rsid w:val="64185407"/>
    <w:rsid w:val="641C113A"/>
    <w:rsid w:val="653D0AF5"/>
    <w:rsid w:val="662346BC"/>
    <w:rsid w:val="66BF11F3"/>
    <w:rsid w:val="67B40392"/>
    <w:rsid w:val="686D3C23"/>
    <w:rsid w:val="68C64F40"/>
    <w:rsid w:val="69C03F8B"/>
    <w:rsid w:val="6A5F563A"/>
    <w:rsid w:val="6B3765E6"/>
    <w:rsid w:val="6C546BD6"/>
    <w:rsid w:val="6CB8484B"/>
    <w:rsid w:val="6CEE35B6"/>
    <w:rsid w:val="6D704302"/>
    <w:rsid w:val="6D933C92"/>
    <w:rsid w:val="6D956DEA"/>
    <w:rsid w:val="6F252DA6"/>
    <w:rsid w:val="6F4F14AA"/>
    <w:rsid w:val="6F6E269E"/>
    <w:rsid w:val="6FC2055A"/>
    <w:rsid w:val="70A0686E"/>
    <w:rsid w:val="712827BF"/>
    <w:rsid w:val="719A2A66"/>
    <w:rsid w:val="723E313C"/>
    <w:rsid w:val="73972A64"/>
    <w:rsid w:val="7464582F"/>
    <w:rsid w:val="74F80D9B"/>
    <w:rsid w:val="75175AE7"/>
    <w:rsid w:val="75281FFB"/>
    <w:rsid w:val="758D714D"/>
    <w:rsid w:val="75D772D4"/>
    <w:rsid w:val="76D20A9E"/>
    <w:rsid w:val="76D816F5"/>
    <w:rsid w:val="77362A90"/>
    <w:rsid w:val="77717144"/>
    <w:rsid w:val="77907E36"/>
    <w:rsid w:val="78284D21"/>
    <w:rsid w:val="787B60F1"/>
    <w:rsid w:val="79EF55A7"/>
    <w:rsid w:val="7A492ACA"/>
    <w:rsid w:val="7AE17E7E"/>
    <w:rsid w:val="7AFA1C30"/>
    <w:rsid w:val="7BAB78AF"/>
    <w:rsid w:val="7BC30388"/>
    <w:rsid w:val="7BE63587"/>
    <w:rsid w:val="7CAB0CE2"/>
    <w:rsid w:val="7EA824EA"/>
    <w:rsid w:val="7F121164"/>
    <w:rsid w:val="7F456971"/>
    <w:rsid w:val="7F4F4DD7"/>
    <w:rsid w:val="7F8C2F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AutoShape 2"/>
        <o:r id="V:Rule2" type="connector" idref="#_x0000_s1028"/>
        <o:r id="V:Rule3" type="connector" idref="#自选图形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annotation subject" w:semiHidden="0" w:uiPriority="0" w:unhideWhenUsed="0" w:qFormat="1"/>
    <w:lsdException w:name="Balloon Text" w:semiHidden="0" w:uiPriority="0" w:unhideWhenUsed="0" w:qFormat="1"/>
    <w:lsdException w:name="Table Grid" w:uiPriority="39"/>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0BA"/>
    <w:pPr>
      <w:widowControl w:val="0"/>
      <w:jc w:val="both"/>
    </w:pPr>
    <w:rPr>
      <w:rFonts w:ascii="Calibri" w:hAnsi="Calibri"/>
      <w:kern w:val="2"/>
      <w:sz w:val="21"/>
      <w:szCs w:val="22"/>
    </w:rPr>
  </w:style>
  <w:style w:type="paragraph" w:styleId="1">
    <w:name w:val="heading 1"/>
    <w:basedOn w:val="a"/>
    <w:next w:val="a"/>
    <w:link w:val="1Char"/>
    <w:qFormat/>
    <w:rsid w:val="00E640B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640BA"/>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Char"/>
    <w:qFormat/>
    <w:rsid w:val="00E640B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640BA"/>
    <w:rPr>
      <w:b/>
      <w:bCs/>
    </w:rPr>
  </w:style>
  <w:style w:type="paragraph" w:styleId="a4">
    <w:name w:val="annotation text"/>
    <w:basedOn w:val="a"/>
    <w:link w:val="Char0"/>
    <w:qFormat/>
    <w:rsid w:val="00E640BA"/>
    <w:pPr>
      <w:jc w:val="left"/>
    </w:pPr>
  </w:style>
  <w:style w:type="paragraph" w:styleId="30">
    <w:name w:val="toc 3"/>
    <w:basedOn w:val="a"/>
    <w:next w:val="a"/>
    <w:uiPriority w:val="39"/>
    <w:qFormat/>
    <w:rsid w:val="00E640BA"/>
    <w:pPr>
      <w:widowControl/>
      <w:spacing w:after="100" w:line="276" w:lineRule="auto"/>
      <w:ind w:left="440"/>
      <w:jc w:val="left"/>
    </w:pPr>
    <w:rPr>
      <w:kern w:val="0"/>
      <w:sz w:val="22"/>
    </w:rPr>
  </w:style>
  <w:style w:type="paragraph" w:styleId="a5">
    <w:name w:val="Balloon Text"/>
    <w:basedOn w:val="a"/>
    <w:link w:val="Char1"/>
    <w:qFormat/>
    <w:rsid w:val="00E640BA"/>
    <w:rPr>
      <w:sz w:val="18"/>
      <w:szCs w:val="18"/>
    </w:rPr>
  </w:style>
  <w:style w:type="paragraph" w:styleId="a6">
    <w:name w:val="footer"/>
    <w:basedOn w:val="a"/>
    <w:link w:val="Char2"/>
    <w:uiPriority w:val="99"/>
    <w:qFormat/>
    <w:rsid w:val="00E640BA"/>
    <w:pPr>
      <w:tabs>
        <w:tab w:val="center" w:pos="4153"/>
        <w:tab w:val="right" w:pos="8306"/>
      </w:tabs>
      <w:snapToGrid w:val="0"/>
      <w:jc w:val="left"/>
    </w:pPr>
    <w:rPr>
      <w:sz w:val="18"/>
      <w:szCs w:val="18"/>
    </w:rPr>
  </w:style>
  <w:style w:type="paragraph" w:styleId="a7">
    <w:name w:val="header"/>
    <w:basedOn w:val="a"/>
    <w:link w:val="Char3"/>
    <w:qFormat/>
    <w:rsid w:val="00E640BA"/>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E640BA"/>
    <w:pPr>
      <w:tabs>
        <w:tab w:val="right" w:leader="dot" w:pos="11432"/>
      </w:tabs>
      <w:ind w:leftChars="650" w:left="1365" w:rightChars="650" w:right="1365"/>
      <w:jc w:val="left"/>
    </w:pPr>
  </w:style>
  <w:style w:type="paragraph" w:styleId="20">
    <w:name w:val="toc 2"/>
    <w:basedOn w:val="a"/>
    <w:next w:val="a"/>
    <w:uiPriority w:val="39"/>
    <w:qFormat/>
    <w:rsid w:val="00E640BA"/>
    <w:pPr>
      <w:widowControl/>
      <w:tabs>
        <w:tab w:val="right" w:leader="dot" w:pos="8302"/>
      </w:tabs>
      <w:spacing w:after="100" w:line="276" w:lineRule="auto"/>
      <w:ind w:leftChars="-1" w:left="-1" w:hanging="2"/>
      <w:jc w:val="left"/>
    </w:pPr>
    <w:rPr>
      <w:kern w:val="0"/>
      <w:sz w:val="22"/>
    </w:rPr>
  </w:style>
  <w:style w:type="paragraph" w:styleId="a8">
    <w:name w:val="Normal (Web)"/>
    <w:basedOn w:val="a"/>
    <w:qFormat/>
    <w:rsid w:val="00E640BA"/>
    <w:pPr>
      <w:spacing w:beforeAutospacing="1" w:afterAutospacing="1"/>
      <w:jc w:val="left"/>
    </w:pPr>
    <w:rPr>
      <w:kern w:val="0"/>
      <w:sz w:val="24"/>
    </w:rPr>
  </w:style>
  <w:style w:type="character" w:styleId="a9">
    <w:name w:val="Strong"/>
    <w:uiPriority w:val="22"/>
    <w:qFormat/>
    <w:rsid w:val="00E640BA"/>
    <w:rPr>
      <w:b/>
      <w:bCs/>
    </w:rPr>
  </w:style>
  <w:style w:type="character" w:styleId="aa">
    <w:name w:val="Hyperlink"/>
    <w:uiPriority w:val="99"/>
    <w:qFormat/>
    <w:rsid w:val="00E640BA"/>
    <w:rPr>
      <w:color w:val="0000FF"/>
      <w:u w:val="single"/>
    </w:rPr>
  </w:style>
  <w:style w:type="character" w:styleId="ab">
    <w:name w:val="annotation reference"/>
    <w:qFormat/>
    <w:rsid w:val="00E640BA"/>
    <w:rPr>
      <w:sz w:val="21"/>
      <w:szCs w:val="21"/>
    </w:rPr>
  </w:style>
  <w:style w:type="paragraph" w:customStyle="1" w:styleId="ac">
    <w:name w:val="段"/>
    <w:qFormat/>
    <w:rsid w:val="00E640BA"/>
    <w:pPr>
      <w:tabs>
        <w:tab w:val="center" w:pos="4201"/>
        <w:tab w:val="right" w:leader="dot" w:pos="9298"/>
      </w:tabs>
      <w:autoSpaceDE w:val="0"/>
      <w:autoSpaceDN w:val="0"/>
      <w:ind w:firstLineChars="200" w:firstLine="420"/>
      <w:jc w:val="both"/>
    </w:pPr>
    <w:rPr>
      <w:rFonts w:ascii="宋体" w:eastAsia="Times New Roman"/>
      <w:sz w:val="21"/>
    </w:rPr>
  </w:style>
  <w:style w:type="character" w:customStyle="1" w:styleId="21">
    <w:name w:val="正文文本 (2)_"/>
    <w:link w:val="210"/>
    <w:uiPriority w:val="99"/>
    <w:qFormat/>
    <w:rsid w:val="00E640BA"/>
    <w:rPr>
      <w:rFonts w:ascii="微软雅黑" w:eastAsia="微软雅黑" w:cs="微软雅黑"/>
      <w:sz w:val="12"/>
      <w:szCs w:val="12"/>
    </w:rPr>
  </w:style>
  <w:style w:type="paragraph" w:customStyle="1" w:styleId="210">
    <w:name w:val="正文文本 (2)1"/>
    <w:basedOn w:val="a"/>
    <w:link w:val="21"/>
    <w:uiPriority w:val="99"/>
    <w:qFormat/>
    <w:rsid w:val="00E640BA"/>
    <w:pPr>
      <w:shd w:val="clear" w:color="auto" w:fill="FFFFFF"/>
      <w:spacing w:line="226" w:lineRule="exact"/>
      <w:jc w:val="distribute"/>
    </w:pPr>
    <w:rPr>
      <w:rFonts w:ascii="微软雅黑" w:eastAsia="微软雅黑"/>
      <w:kern w:val="0"/>
      <w:sz w:val="12"/>
      <w:szCs w:val="12"/>
    </w:rPr>
  </w:style>
  <w:style w:type="character" w:customStyle="1" w:styleId="Char3">
    <w:name w:val="页眉 Char"/>
    <w:link w:val="a7"/>
    <w:qFormat/>
    <w:rsid w:val="00E640BA"/>
    <w:rPr>
      <w:rFonts w:ascii="Calibri" w:eastAsia="宋体" w:hAnsi="Calibri" w:cs="Times New Roman"/>
      <w:kern w:val="2"/>
      <w:sz w:val="18"/>
      <w:szCs w:val="18"/>
    </w:rPr>
  </w:style>
  <w:style w:type="character" w:customStyle="1" w:styleId="Char2">
    <w:name w:val="页脚 Char"/>
    <w:link w:val="a6"/>
    <w:uiPriority w:val="99"/>
    <w:qFormat/>
    <w:rsid w:val="00E640BA"/>
    <w:rPr>
      <w:rFonts w:ascii="Calibri" w:eastAsia="宋体" w:hAnsi="Calibri" w:cs="Times New Roman"/>
      <w:kern w:val="2"/>
      <w:sz w:val="18"/>
      <w:szCs w:val="18"/>
    </w:rPr>
  </w:style>
  <w:style w:type="character" w:customStyle="1" w:styleId="sh141">
    <w:name w:val="sh141"/>
    <w:uiPriority w:val="99"/>
    <w:qFormat/>
    <w:rsid w:val="00E640BA"/>
    <w:rPr>
      <w:rFonts w:cs="Times New Roman"/>
      <w:color w:val="2B2B2B"/>
      <w:sz w:val="19"/>
      <w:szCs w:val="19"/>
    </w:rPr>
  </w:style>
  <w:style w:type="character" w:customStyle="1" w:styleId="Char1">
    <w:name w:val="批注框文本 Char"/>
    <w:link w:val="a5"/>
    <w:qFormat/>
    <w:rsid w:val="00E640BA"/>
    <w:rPr>
      <w:rFonts w:ascii="Calibri" w:eastAsia="宋体" w:hAnsi="Calibri" w:cs="Times New Roman"/>
      <w:kern w:val="2"/>
      <w:sz w:val="18"/>
      <w:szCs w:val="18"/>
    </w:rPr>
  </w:style>
  <w:style w:type="character" w:customStyle="1" w:styleId="skip">
    <w:name w:val="skip"/>
    <w:basedOn w:val="a0"/>
    <w:qFormat/>
    <w:rsid w:val="00E640BA"/>
  </w:style>
  <w:style w:type="character" w:customStyle="1" w:styleId="apple-converted-space">
    <w:name w:val="apple-converted-space"/>
    <w:basedOn w:val="a0"/>
    <w:qFormat/>
    <w:rsid w:val="00E640BA"/>
  </w:style>
  <w:style w:type="character" w:customStyle="1" w:styleId="Char0">
    <w:name w:val="批注文字 Char"/>
    <w:link w:val="a4"/>
    <w:qFormat/>
    <w:rsid w:val="00E640BA"/>
    <w:rPr>
      <w:rFonts w:ascii="Calibri" w:eastAsia="宋体" w:hAnsi="Calibri" w:cs="Times New Roman"/>
      <w:kern w:val="2"/>
      <w:sz w:val="21"/>
      <w:szCs w:val="22"/>
    </w:rPr>
  </w:style>
  <w:style w:type="character" w:customStyle="1" w:styleId="Char">
    <w:name w:val="批注主题 Char"/>
    <w:link w:val="a3"/>
    <w:qFormat/>
    <w:rsid w:val="00E640BA"/>
    <w:rPr>
      <w:rFonts w:ascii="Calibri" w:eastAsia="宋体" w:hAnsi="Calibri" w:cs="Times New Roman"/>
      <w:b/>
      <w:bCs/>
      <w:kern w:val="2"/>
      <w:sz w:val="21"/>
      <w:szCs w:val="22"/>
    </w:rPr>
  </w:style>
  <w:style w:type="paragraph" w:customStyle="1" w:styleId="11">
    <w:name w:val="修订1"/>
    <w:uiPriority w:val="99"/>
    <w:qFormat/>
    <w:rsid w:val="00E640BA"/>
    <w:rPr>
      <w:rFonts w:ascii="Calibri" w:hAnsi="Calibri"/>
      <w:kern w:val="2"/>
      <w:sz w:val="21"/>
      <w:szCs w:val="22"/>
    </w:rPr>
  </w:style>
  <w:style w:type="paragraph" w:customStyle="1" w:styleId="22">
    <w:name w:val="修订2"/>
    <w:uiPriority w:val="99"/>
    <w:qFormat/>
    <w:rsid w:val="00E640BA"/>
    <w:rPr>
      <w:rFonts w:ascii="Calibri" w:hAnsi="Calibri"/>
      <w:kern w:val="2"/>
      <w:sz w:val="21"/>
      <w:szCs w:val="22"/>
    </w:rPr>
  </w:style>
  <w:style w:type="character" w:customStyle="1" w:styleId="1Char">
    <w:name w:val="标题 1 Char"/>
    <w:link w:val="1"/>
    <w:qFormat/>
    <w:rsid w:val="00E640BA"/>
    <w:rPr>
      <w:rFonts w:ascii="Calibri" w:eastAsia="宋体" w:hAnsi="Calibri" w:cs="Times New Roman"/>
      <w:b/>
      <w:bCs/>
      <w:kern w:val="44"/>
      <w:sz w:val="44"/>
      <w:szCs w:val="44"/>
    </w:rPr>
  </w:style>
  <w:style w:type="character" w:customStyle="1" w:styleId="3Char">
    <w:name w:val="标题 3 Char"/>
    <w:link w:val="3"/>
    <w:qFormat/>
    <w:rsid w:val="00E640BA"/>
    <w:rPr>
      <w:rFonts w:ascii="Calibri" w:eastAsia="宋体" w:hAnsi="Calibri" w:cs="Times New Roman"/>
      <w:b/>
      <w:bCs/>
      <w:kern w:val="2"/>
      <w:sz w:val="32"/>
      <w:szCs w:val="32"/>
    </w:rPr>
  </w:style>
  <w:style w:type="paragraph" w:customStyle="1" w:styleId="WPSOffice1">
    <w:name w:val="WPSOffice手动目录 1"/>
    <w:qFormat/>
    <w:rsid w:val="00E640BA"/>
    <w:rPr>
      <w:rFonts w:ascii="Calibri" w:hAnsi="Calibri"/>
    </w:rPr>
  </w:style>
  <w:style w:type="paragraph" w:customStyle="1" w:styleId="WPSOffice2">
    <w:name w:val="WPSOffice手动目录 2"/>
    <w:qFormat/>
    <w:rsid w:val="00E640BA"/>
    <w:pPr>
      <w:ind w:leftChars="200" w:left="200"/>
    </w:pPr>
    <w:rPr>
      <w:rFonts w:ascii="Calibri" w:hAnsi="Calibri"/>
    </w:rPr>
  </w:style>
  <w:style w:type="paragraph" w:customStyle="1" w:styleId="TOC1">
    <w:name w:val="TOC 标题1"/>
    <w:basedOn w:val="1"/>
    <w:next w:val="a"/>
    <w:uiPriority w:val="39"/>
    <w:qFormat/>
    <w:rsid w:val="00E640BA"/>
    <w:pPr>
      <w:widowControl/>
      <w:spacing w:before="480" w:after="0" w:line="276" w:lineRule="auto"/>
      <w:jc w:val="left"/>
      <w:outlineLvl w:val="9"/>
    </w:pPr>
    <w:rPr>
      <w:rFonts w:ascii="Calibri Light" w:hAnsi="Calibri Light"/>
      <w:color w:val="2E74B5"/>
      <w:kern w:val="0"/>
      <w:sz w:val="28"/>
      <w:szCs w:val="28"/>
    </w:rPr>
  </w:style>
  <w:style w:type="character" w:customStyle="1" w:styleId="2Char">
    <w:name w:val="标题 2 Char"/>
    <w:link w:val="2"/>
    <w:qFormat/>
    <w:rsid w:val="00E640BA"/>
    <w:rPr>
      <w:rFonts w:ascii="Calibri Light" w:eastAsia="宋体" w:hAnsi="Calibri Light" w:cs="Times New Roman"/>
      <w:b/>
      <w:bCs/>
      <w:kern w:val="2"/>
      <w:sz w:val="32"/>
      <w:szCs w:val="32"/>
    </w:rPr>
  </w:style>
  <w:style w:type="paragraph" w:customStyle="1" w:styleId="12">
    <w:name w:val="样式1"/>
    <w:basedOn w:val="a7"/>
    <w:qFormat/>
    <w:rsid w:val="00E640BA"/>
    <w:pPr>
      <w:pBdr>
        <w:bottom w:val="none" w:sz="0" w:space="0" w:color="auto"/>
      </w:pBdr>
      <w:jc w:val="left"/>
    </w:pPr>
    <w:rPr>
      <w:rFonts w:ascii="Times New Roman" w:eastAsia="黑体" w:hAnsi="Times New Roman"/>
      <w:kern w:val="0"/>
    </w:rPr>
  </w:style>
  <w:style w:type="paragraph" w:styleId="ad">
    <w:name w:val="List Paragraph"/>
    <w:basedOn w:val="a"/>
    <w:uiPriority w:val="34"/>
    <w:qFormat/>
    <w:rsid w:val="00E640BA"/>
    <w:pPr>
      <w:ind w:firstLineChars="200" w:firstLine="420"/>
    </w:pPr>
  </w:style>
  <w:style w:type="character" w:customStyle="1" w:styleId="13">
    <w:name w:val="不明显参考1"/>
    <w:basedOn w:val="a0"/>
    <w:uiPriority w:val="31"/>
    <w:qFormat/>
    <w:rsid w:val="00E640BA"/>
    <w:rPr>
      <w:smallCaps/>
      <w:color w:val="595959" w:themeColor="text1" w:themeTint="A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219.216.19.241:88/opac/item.php?marc_no=000004477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1471</Words>
  <Characters>8389</Characters>
  <Application>Microsoft Office Word</Application>
  <DocSecurity>0</DocSecurity>
  <Lines>69</Lines>
  <Paragraphs>19</Paragraphs>
  <ScaleCrop>false</ScaleCrop>
  <Company>Microsoft</Company>
  <LinksUpToDate>false</LinksUpToDate>
  <CharactersWithSpaces>9841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理想留</dc:creator>
  <cp:lastModifiedBy>dgf</cp:lastModifiedBy>
  <cp:revision>50</cp:revision>
  <cp:lastPrinted>2020-03-03T06:30:00Z</cp:lastPrinted>
  <dcterms:created xsi:type="dcterms:W3CDTF">2020-07-15T01:48:00Z</dcterms:created>
  <dcterms:modified xsi:type="dcterms:W3CDTF">2021-11-02T07:51:00Z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