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7"/>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4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66"/>
                    <w:framePr w:wrap="notBeside" w:vAnchor="page" w:hAnchor="page" w:x="1372" w:y="568"/>
                    <w:ind w:right="624"/>
                    <w:rPr>
                      <w:rFonts w:ascii="宋体" w:hAnsi="宋体"/>
                      <w:sz w:val="28"/>
                      <w:szCs w:val="28"/>
                    </w:rPr>
                  </w:pPr>
                </w:p>
              </w:tc>
            </w:tr>
          </w:tbl>
          <w:p>
            <w:pPr>
              <w:pStyle w:val="27"/>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01</w:t>
            </w:r>
            <w:r>
              <w:rPr>
                <w:rFonts w:ascii="黑体" w:hAnsi="黑体" w:eastAsia="黑体"/>
                <w:sz w:val="21"/>
                <w:szCs w:val="21"/>
              </w:rPr>
              <w:fldChar w:fldCharType="end"/>
            </w:r>
            <w:bookmarkEnd w:id="1"/>
          </w:p>
        </w:tc>
      </w:tr>
    </w:tbl>
    <w:p>
      <w:pPr>
        <w:pStyle w:val="67"/>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212"/>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GZTC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2021</w:t>
      </w:r>
      <w:r>
        <w:fldChar w:fldCharType="end"/>
      </w:r>
      <w:bookmarkEnd w:id="5"/>
    </w:p>
    <w:p>
      <w:pPr>
        <w:pStyle w:val="213"/>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67"/>
        <w:framePr w:w="9639" w:h="6976" w:hRule="exact" w:hSpace="0" w:vSpace="0" w:wrap="around" w:hAnchor="page" w:y="6408"/>
        <w:jc w:val="center"/>
        <w:rPr>
          <w:rFonts w:ascii="黑体" w:hAnsi="黑体" w:eastAsia="黑体"/>
          <w:b w:val="0"/>
          <w:bCs w:val="0"/>
          <w:w w:val="100"/>
        </w:rPr>
      </w:pPr>
    </w:p>
    <w:p>
      <w:pPr>
        <w:pStyle w:val="21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团餐企业良好操作评级规范</w:t>
      </w:r>
      <w:r>
        <w:fldChar w:fldCharType="end"/>
      </w:r>
      <w:bookmarkEnd w:id="6"/>
    </w:p>
    <w:p>
      <w:pPr>
        <w:framePr w:w="9639" w:h="6974" w:hRule="exact" w:wrap="around" w:vAnchor="page" w:hAnchor="page" w:x="1419" w:y="6408" w:anchorLock="1"/>
      </w:pPr>
    </w:p>
    <w:p>
      <w:pPr>
        <w:pStyle w:val="14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7"/>
    </w:p>
    <w:p>
      <w:pPr>
        <w:framePr w:w="9639" w:h="6974" w:hRule="exact" w:wrap="around" w:vAnchor="page" w:hAnchor="page" w:x="1419" w:y="6408" w:anchorLock="1"/>
        <w:spacing w:line="760" w:lineRule="exact"/>
      </w:pPr>
    </w:p>
    <w:p>
      <w:pPr>
        <w:pStyle w:val="142"/>
        <w:framePr w:w="9639" w:h="6974" w:hRule="exact" w:wrap="around" w:vAnchor="page" w:hAnchor="page" w:x="1419" w:y="6408" w:anchorLock="1"/>
        <w:textAlignment w:val="bottom"/>
        <w:rPr>
          <w:rFonts w:eastAsia="黑体"/>
          <w:szCs w:val="28"/>
        </w:rPr>
      </w:pPr>
    </w:p>
    <w:p>
      <w:pPr>
        <w:pStyle w:val="14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42"/>
        <w:framePr w:w="9639" w:h="6974" w:hRule="exact" w:wrap="around" w:vAnchor="page" w:hAnchor="page" w:x="1419" w:y="6408" w:anchorLock="1"/>
        <w:spacing w:before="180" w:line="240" w:lineRule="atLeast"/>
        <w:textAlignment w:val="bottom"/>
        <w:rPr>
          <w:sz w:val="21"/>
          <w:szCs w:val="28"/>
        </w:rPr>
      </w:pPr>
    </w:p>
    <w:p>
      <w:pPr>
        <w:pStyle w:val="142"/>
        <w:framePr w:w="9639" w:h="6974" w:hRule="exact" w:wrap="around" w:vAnchor="page" w:hAnchor="page" w:x="1419" w:y="6408" w:anchorLock="1"/>
        <w:spacing w:before="720" w:beforeLines="300" w:after="72" w:afterLines="30" w:line="240" w:lineRule="auto"/>
        <w:textAlignment w:val="bottom"/>
        <w:rPr>
          <w:b/>
          <w:sz w:val="21"/>
          <w:szCs w:val="28"/>
        </w:rPr>
      </w:pPr>
    </w:p>
    <w:p>
      <w:pPr>
        <w:pStyle w:val="21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21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6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贵州省团餐配送行业协会</w:t>
      </w:r>
      <w:r>
        <w:rPr>
          <w:rFonts w:hAnsi="黑体"/>
          <w:w w:val="100"/>
          <w:sz w:val="28"/>
        </w:rPr>
        <w:fldChar w:fldCharType="end"/>
      </w:r>
      <w:bookmarkEnd w:id="15"/>
      <w:r>
        <w:rPr>
          <w:rFonts w:ascii="Times New Roman"/>
          <w:w w:val="100"/>
          <w:sz w:val="28"/>
        </w:rPr>
        <w:t>  </w:t>
      </w:r>
      <w:r>
        <w:rPr>
          <w:rStyle w:val="246"/>
          <w:rFonts w:hint="eastAsia" w:hAnsi="黑体"/>
          <w:position w:val="0"/>
        </w:rPr>
        <w:t>发</w:t>
      </w:r>
      <w:r>
        <w:rPr>
          <w:rStyle w:val="246"/>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108"/>
        <w:spacing w:after="360"/>
        <w:rPr>
          <w:rFonts w:hint="eastAsia"/>
        </w:rPr>
      </w:pPr>
      <w:bookmarkStart w:id="57" w:name="_GoBack"/>
      <w:bookmarkEnd w:id="57"/>
      <w:bookmarkStart w:id="16" w:name="BookMark1"/>
      <w:r>
        <w:rPr>
          <w:rFonts w:hint="eastAsia"/>
          <w:spacing w:val="320"/>
        </w:rPr>
        <w:t>目</w:t>
      </w:r>
      <w:r>
        <w:rPr>
          <w:rFonts w:hint="eastAsia"/>
        </w:rPr>
        <w:t>次</w:t>
      </w:r>
    </w:p>
    <w:p>
      <w:pPr>
        <w:pStyle w:val="28"/>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"_Toc85096889" </w:instrText>
      </w:r>
      <w:r>
        <w:fldChar w:fldCharType="separate"/>
      </w:r>
      <w:r>
        <w:rPr>
          <w:rStyle w:val="49"/>
          <w:rFonts w:hint="eastAsia"/>
        </w:rPr>
        <w:t>前言</w:t>
      </w:r>
      <w:r>
        <w:tab/>
      </w:r>
      <w:r>
        <w:fldChar w:fldCharType="begin"/>
      </w:r>
      <w:r>
        <w:instrText xml:space="preserve"> PAGEREF _Toc85096889 \h </w:instrText>
      </w:r>
      <w:r>
        <w:fldChar w:fldCharType="separate"/>
      </w:r>
      <w:r>
        <w:t>II</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"_Toc85096890" </w:instrText>
      </w:r>
      <w:r>
        <w:fldChar w:fldCharType="separate"/>
      </w:r>
      <w:r>
        <w:rPr>
          <w:rStyle w:val="49"/>
        </w:rPr>
        <w:t xml:space="preserve">1 </w:t>
      </w:r>
      <w:r>
        <w:rPr>
          <w:rStyle w:val="49"/>
          <w:rFonts w:hint="eastAsia"/>
        </w:rPr>
        <w:t xml:space="preserve"> 范围</w:t>
      </w:r>
      <w:r>
        <w:tab/>
      </w:r>
      <w:r>
        <w:fldChar w:fldCharType="begin"/>
      </w:r>
      <w:r>
        <w:instrText xml:space="preserve"> PAGEREF _Toc85096890 \h </w:instrText>
      </w:r>
      <w:r>
        <w:fldChar w:fldCharType="separate"/>
      </w:r>
      <w:r>
        <w:t>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"_Toc85096891" </w:instrText>
      </w:r>
      <w:r>
        <w:fldChar w:fldCharType="separate"/>
      </w:r>
      <w:r>
        <w:rPr>
          <w:rStyle w:val="49"/>
        </w:rPr>
        <w:t xml:space="preserve">2 </w:t>
      </w:r>
      <w:r>
        <w:rPr>
          <w:rStyle w:val="49"/>
          <w:rFonts w:hint="eastAsia"/>
        </w:rPr>
        <w:t xml:space="preserve"> 规范性引用文件</w:t>
      </w:r>
      <w:r>
        <w:tab/>
      </w:r>
      <w:r>
        <w:fldChar w:fldCharType="begin"/>
      </w:r>
      <w:r>
        <w:instrText xml:space="preserve"> PAGEREF _Toc85096891 \h </w:instrText>
      </w:r>
      <w:r>
        <w:fldChar w:fldCharType="separate"/>
      </w:r>
      <w:r>
        <w:t>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"_Toc85096892" </w:instrText>
      </w:r>
      <w:r>
        <w:fldChar w:fldCharType="separate"/>
      </w:r>
      <w:r>
        <w:rPr>
          <w:rStyle w:val="49"/>
        </w:rPr>
        <w:t xml:space="preserve">3 </w:t>
      </w:r>
      <w:r>
        <w:rPr>
          <w:rStyle w:val="49"/>
          <w:rFonts w:hint="eastAsia"/>
        </w:rPr>
        <w:t xml:space="preserve"> 术语和定义</w:t>
      </w:r>
      <w:r>
        <w:tab/>
      </w:r>
      <w:r>
        <w:fldChar w:fldCharType="begin"/>
      </w:r>
      <w:r>
        <w:instrText xml:space="preserve"> PAGEREF _Toc85096892 \h </w:instrText>
      </w:r>
      <w:r>
        <w:fldChar w:fldCharType="separate"/>
      </w:r>
      <w:r>
        <w:t>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"_Toc85096893" </w:instrText>
      </w:r>
      <w:r>
        <w:fldChar w:fldCharType="separate"/>
      </w:r>
      <w:r>
        <w:rPr>
          <w:rStyle w:val="49"/>
        </w:rPr>
        <w:t xml:space="preserve">4 </w:t>
      </w:r>
      <w:r>
        <w:rPr>
          <w:rStyle w:val="49"/>
          <w:rFonts w:hint="eastAsia"/>
        </w:rPr>
        <w:t xml:space="preserve"> 评定方式</w:t>
      </w:r>
      <w:r>
        <w:tab/>
      </w:r>
      <w:r>
        <w:fldChar w:fldCharType="begin"/>
      </w:r>
      <w:r>
        <w:instrText xml:space="preserve"> PAGEREF _Toc85096893 \h </w:instrText>
      </w:r>
      <w:r>
        <w:fldChar w:fldCharType="separate"/>
      </w:r>
      <w:r>
        <w:t>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"_Toc85096894" </w:instrText>
      </w:r>
      <w:r>
        <w:fldChar w:fldCharType="separate"/>
      </w:r>
      <w:r>
        <w:rPr>
          <w:rStyle w:val="49"/>
        </w:rPr>
        <w:t xml:space="preserve">5 </w:t>
      </w:r>
      <w:r>
        <w:rPr>
          <w:rStyle w:val="49"/>
          <w:rFonts w:hint="eastAsia"/>
        </w:rPr>
        <w:t xml:space="preserve"> 申报要求</w:t>
      </w:r>
      <w:r>
        <w:tab/>
      </w:r>
      <w:r>
        <w:fldChar w:fldCharType="begin"/>
      </w:r>
      <w:r>
        <w:instrText xml:space="preserve"> PAGEREF _Toc85096894 \h </w:instrText>
      </w:r>
      <w:r>
        <w:fldChar w:fldCharType="separate"/>
      </w:r>
      <w:r>
        <w:t>4</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"_Toc85096895" </w:instrText>
      </w:r>
      <w:r>
        <w:fldChar w:fldCharType="separate"/>
      </w:r>
      <w:r>
        <w:rPr>
          <w:rStyle w:val="49"/>
        </w:rPr>
        <w:t xml:space="preserve">6 </w:t>
      </w:r>
      <w:r>
        <w:rPr>
          <w:rStyle w:val="49"/>
          <w:rFonts w:hint="eastAsia"/>
        </w:rPr>
        <w:t xml:space="preserve"> 评定内容</w:t>
      </w:r>
      <w:r>
        <w:tab/>
      </w:r>
      <w:r>
        <w:fldChar w:fldCharType="begin"/>
      </w:r>
      <w:r>
        <w:instrText xml:space="preserve"> PAGEREF _Toc85096895 \h </w:instrText>
      </w:r>
      <w:r>
        <w:fldChar w:fldCharType="separate"/>
      </w:r>
      <w:r>
        <w:t>4</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"_Toc85096896" </w:instrText>
      </w:r>
      <w:r>
        <w:fldChar w:fldCharType="separate"/>
      </w:r>
      <w:r>
        <w:rPr>
          <w:rStyle w:val="49"/>
        </w:rPr>
        <w:t xml:space="preserve">7 </w:t>
      </w:r>
      <w:r>
        <w:rPr>
          <w:rStyle w:val="49"/>
          <w:rFonts w:hint="eastAsia"/>
        </w:rPr>
        <w:t xml:space="preserve"> 制度管理</w:t>
      </w:r>
      <w:r>
        <w:tab/>
      </w:r>
      <w:r>
        <w:fldChar w:fldCharType="begin"/>
      </w:r>
      <w:r>
        <w:instrText xml:space="preserve"> PAGEREF _Toc85096896 \h </w:instrText>
      </w:r>
      <w:r>
        <w:fldChar w:fldCharType="separate"/>
      </w:r>
      <w:r>
        <w:t>4</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"_Toc85096897" </w:instrText>
      </w:r>
      <w:r>
        <w:fldChar w:fldCharType="separate"/>
      </w:r>
      <w:r>
        <w:rPr>
          <w:rStyle w:val="49"/>
        </w:rPr>
        <w:t xml:space="preserve">8 </w:t>
      </w:r>
      <w:r>
        <w:rPr>
          <w:rStyle w:val="49"/>
          <w:rFonts w:hint="eastAsia"/>
        </w:rPr>
        <w:t xml:space="preserve"> 人员管理</w:t>
      </w:r>
      <w:r>
        <w:tab/>
      </w:r>
      <w:r>
        <w:fldChar w:fldCharType="begin"/>
      </w:r>
      <w:r>
        <w:instrText xml:space="preserve"> PAGEREF _Toc85096897 \h </w:instrText>
      </w:r>
      <w:r>
        <w:fldChar w:fldCharType="separate"/>
      </w:r>
      <w:r>
        <w:t>4</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"_Toc85096898" </w:instrText>
      </w:r>
      <w:r>
        <w:fldChar w:fldCharType="separate"/>
      </w:r>
      <w:r>
        <w:rPr>
          <w:rStyle w:val="49"/>
        </w:rPr>
        <w:t xml:space="preserve">9 </w:t>
      </w:r>
      <w:r>
        <w:rPr>
          <w:rStyle w:val="49"/>
          <w:rFonts w:hint="eastAsia"/>
        </w:rPr>
        <w:t xml:space="preserve"> 环境卫生</w:t>
      </w:r>
      <w:r>
        <w:tab/>
      </w:r>
      <w:r>
        <w:fldChar w:fldCharType="begin"/>
      </w:r>
      <w:r>
        <w:instrText xml:space="preserve"> PAGEREF _Toc85096898 \h </w:instrText>
      </w:r>
      <w:r>
        <w:fldChar w:fldCharType="separate"/>
      </w:r>
      <w:r>
        <w:t>5</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"_Toc85096899" </w:instrText>
      </w:r>
      <w:r>
        <w:fldChar w:fldCharType="separate"/>
      </w:r>
      <w:r>
        <w:rPr>
          <w:rStyle w:val="49"/>
        </w:rPr>
        <w:t xml:space="preserve">10 </w:t>
      </w:r>
      <w:r>
        <w:rPr>
          <w:rStyle w:val="49"/>
          <w:rFonts w:hint="eastAsia"/>
        </w:rPr>
        <w:t xml:space="preserve"> 原料质量检查与储存</w:t>
      </w:r>
      <w:r>
        <w:tab/>
      </w:r>
      <w:r>
        <w:fldChar w:fldCharType="begin"/>
      </w:r>
      <w:r>
        <w:instrText xml:space="preserve"> PAGEREF _Toc85096899 \h </w:instrText>
      </w:r>
      <w:r>
        <w:fldChar w:fldCharType="separate"/>
      </w:r>
      <w:r>
        <w:t>5</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"_Toc85096900" </w:instrText>
      </w:r>
      <w:r>
        <w:fldChar w:fldCharType="separate"/>
      </w:r>
      <w:r>
        <w:rPr>
          <w:rStyle w:val="49"/>
        </w:rPr>
        <w:t xml:space="preserve">11 </w:t>
      </w:r>
      <w:r>
        <w:rPr>
          <w:rStyle w:val="49"/>
          <w:rFonts w:hint="eastAsia"/>
        </w:rPr>
        <w:t xml:space="preserve"> 粗加工与切配</w:t>
      </w:r>
      <w:r>
        <w:tab/>
      </w:r>
      <w:r>
        <w:fldChar w:fldCharType="begin"/>
      </w:r>
      <w:r>
        <w:instrText xml:space="preserve"> PAGEREF _Toc85096900 \h </w:instrText>
      </w:r>
      <w:r>
        <w:fldChar w:fldCharType="separate"/>
      </w:r>
      <w:r>
        <w:t>6</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"_Toc85096901" </w:instrText>
      </w:r>
      <w:r>
        <w:fldChar w:fldCharType="separate"/>
      </w:r>
      <w:r>
        <w:rPr>
          <w:rStyle w:val="49"/>
        </w:rPr>
        <w:t xml:space="preserve">12 </w:t>
      </w:r>
      <w:r>
        <w:rPr>
          <w:rStyle w:val="49"/>
          <w:rFonts w:hint="eastAsia"/>
        </w:rPr>
        <w:t xml:space="preserve"> 专间要求</w:t>
      </w:r>
      <w:r>
        <w:tab/>
      </w:r>
      <w:r>
        <w:fldChar w:fldCharType="begin"/>
      </w:r>
      <w:r>
        <w:instrText xml:space="preserve"> PAGEREF _Toc85096901 \h </w:instrText>
      </w:r>
      <w:r>
        <w:fldChar w:fldCharType="separate"/>
      </w:r>
      <w:r>
        <w:t>6</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"_Toc85096902" </w:instrText>
      </w:r>
      <w:r>
        <w:fldChar w:fldCharType="separate"/>
      </w:r>
      <w:r>
        <w:rPr>
          <w:rStyle w:val="49"/>
        </w:rPr>
        <w:t xml:space="preserve">13 </w:t>
      </w:r>
      <w:r>
        <w:rPr>
          <w:rStyle w:val="49"/>
          <w:rFonts w:hint="eastAsia"/>
        </w:rPr>
        <w:t xml:space="preserve"> 烹饪</w:t>
      </w:r>
      <w:r>
        <w:tab/>
      </w:r>
      <w:r>
        <w:fldChar w:fldCharType="begin"/>
      </w:r>
      <w:r>
        <w:instrText xml:space="preserve"> PAGEREF _Toc85096902 \h </w:instrText>
      </w:r>
      <w:r>
        <w:fldChar w:fldCharType="separate"/>
      </w:r>
      <w:r>
        <w:t>6</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"_Toc85096903" </w:instrText>
      </w:r>
      <w:r>
        <w:fldChar w:fldCharType="separate"/>
      </w:r>
      <w:r>
        <w:rPr>
          <w:rStyle w:val="49"/>
        </w:rPr>
        <w:t xml:space="preserve">14 </w:t>
      </w:r>
      <w:r>
        <w:rPr>
          <w:rStyle w:val="49"/>
          <w:rFonts w:hint="eastAsia"/>
        </w:rPr>
        <w:t xml:space="preserve"> 餐用具清洗消毒保洁</w:t>
      </w:r>
      <w:r>
        <w:tab/>
      </w:r>
      <w:r>
        <w:fldChar w:fldCharType="begin"/>
      </w:r>
      <w:r>
        <w:instrText xml:space="preserve"> PAGEREF _Toc85096903 \h </w:instrText>
      </w:r>
      <w:r>
        <w:fldChar w:fldCharType="separate"/>
      </w:r>
      <w:r>
        <w:t>8</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"_Toc85096904" </w:instrText>
      </w:r>
      <w:r>
        <w:fldChar w:fldCharType="separate"/>
      </w:r>
      <w:r>
        <w:rPr>
          <w:rStyle w:val="49"/>
        </w:rPr>
        <w:t xml:space="preserve">15 </w:t>
      </w:r>
      <w:r>
        <w:rPr>
          <w:rStyle w:val="49"/>
          <w:rFonts w:hint="eastAsia"/>
        </w:rPr>
        <w:t xml:space="preserve"> 配送</w:t>
      </w:r>
      <w:r>
        <w:tab/>
      </w:r>
      <w:r>
        <w:fldChar w:fldCharType="begin"/>
      </w:r>
      <w:r>
        <w:instrText xml:space="preserve"> PAGEREF _Toc85096904 \h </w:instrText>
      </w:r>
      <w:r>
        <w:fldChar w:fldCharType="separate"/>
      </w:r>
      <w:r>
        <w:t>8</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"_Toc85096905" </w:instrText>
      </w:r>
      <w:r>
        <w:fldChar w:fldCharType="separate"/>
      </w:r>
      <w:r>
        <w:rPr>
          <w:rStyle w:val="49"/>
        </w:rPr>
        <w:t xml:space="preserve">16 </w:t>
      </w:r>
      <w:r>
        <w:rPr>
          <w:rStyle w:val="49"/>
          <w:rFonts w:hint="eastAsia"/>
        </w:rPr>
        <w:t xml:space="preserve"> 其他</w:t>
      </w:r>
      <w:r>
        <w:tab/>
      </w:r>
      <w:r>
        <w:fldChar w:fldCharType="begin"/>
      </w:r>
      <w:r>
        <w:instrText xml:space="preserve"> PAGEREF _Toc85096905 \h </w:instrText>
      </w:r>
      <w:r>
        <w:fldChar w:fldCharType="separate"/>
      </w:r>
      <w:r>
        <w:t>9</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"_Toc85096906" </w:instrText>
      </w:r>
      <w:r>
        <w:fldChar w:fldCharType="separate"/>
      </w:r>
      <w:r>
        <w:rPr>
          <w:rStyle w:val="49"/>
          <w:rFonts w:hint="eastAsia"/>
        </w:rPr>
        <w:t>附录</w:t>
      </w:r>
      <w:r>
        <w:rPr>
          <w:rStyle w:val="49"/>
        </w:rPr>
        <w:t>A</w:t>
      </w:r>
      <w:r>
        <w:rPr>
          <w:rStyle w:val="49"/>
          <w:rFonts w:hint="eastAsia"/>
        </w:rPr>
        <w:t>（资料性）</w:t>
      </w:r>
      <w:r>
        <w:rPr>
          <w:rStyle w:val="49"/>
        </w:rPr>
        <w:t xml:space="preserve">  </w:t>
      </w:r>
      <w:r>
        <w:rPr>
          <w:rStyle w:val="49"/>
          <w:rFonts w:hint="eastAsia"/>
        </w:rPr>
        <w:t>贵州省团餐企业良好操作等级评分表</w:t>
      </w:r>
      <w:r>
        <w:tab/>
      </w:r>
      <w:r>
        <w:fldChar w:fldCharType="begin"/>
      </w:r>
      <w:r>
        <w:instrText xml:space="preserve"> PAGEREF _Toc85096906 \h </w:instrText>
      </w:r>
      <w:r>
        <w:fldChar w:fldCharType="separate"/>
      </w:r>
      <w:r>
        <w:t>10</w:t>
      </w:r>
      <w:r>
        <w:fldChar w:fldCharType="end"/>
      </w:r>
      <w:r>
        <w:fldChar w:fldCharType="end"/>
      </w:r>
    </w:p>
    <w:p>
      <w:pPr>
        <w:pStyle w:val="108"/>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6"/>
    <w:p>
      <w:pPr>
        <w:pStyle w:val="106"/>
        <w:numPr>
          <w:ilvl w:val="0"/>
          <w:numId w:val="0"/>
        </w:numPr>
        <w:spacing w:after="360"/>
      </w:pPr>
      <w:bookmarkStart w:id="17" w:name="_Toc85096889"/>
      <w:bookmarkStart w:id="18" w:name="BookMark2"/>
      <w:r>
        <w:rPr>
          <w:spacing w:val="320"/>
        </w:rPr>
        <w:t>前</w:t>
      </w:r>
      <w:r>
        <w:t>言</w:t>
      </w:r>
      <w:bookmarkEnd w:id="17"/>
    </w:p>
    <w:p>
      <w:pPr>
        <w:pStyle w:val="73"/>
        <w:ind w:firstLine="420"/>
      </w:pPr>
      <w:r>
        <w:rPr>
          <w:rFonts w:hint="eastAsia"/>
        </w:rPr>
        <w:t>本文件按照GB/T 1.1—2020《标准化工作导则  第1部分：标准化文件的结构和起草规则》的规定起草。</w:t>
      </w:r>
    </w:p>
    <w:p>
      <w:pPr>
        <w:pStyle w:val="73"/>
        <w:ind w:firstLine="420"/>
      </w:pPr>
      <w:r>
        <w:rPr>
          <w:rFonts w:hint="eastAsia"/>
        </w:rPr>
        <w:t>本文件由贵州省团餐配送行业协会提出并归口。</w:t>
      </w:r>
    </w:p>
    <w:p>
      <w:pPr>
        <w:pStyle w:val="73"/>
        <w:ind w:firstLine="420"/>
      </w:pPr>
      <w:r>
        <w:rPr>
          <w:rFonts w:hint="eastAsia"/>
        </w:rPr>
        <w:t>本文件起草单位：。</w:t>
      </w:r>
    </w:p>
    <w:p>
      <w:pPr>
        <w:pStyle w:val="73"/>
        <w:ind w:firstLine="420"/>
      </w:pPr>
      <w:r>
        <w:rPr>
          <w:rFonts w:hint="eastAsia"/>
        </w:rPr>
        <w:t>本文件主要起草人：。</w:t>
      </w:r>
    </w:p>
    <w:p>
      <w:pPr>
        <w:pStyle w:val="73"/>
        <w:ind w:firstLine="0" w:firstLineChars="0"/>
        <w:sectPr>
          <w:pgSz w:w="11906" w:h="16838"/>
          <w:pgMar w:top="2410" w:right="1134" w:bottom="1134" w:left="1134" w:header="1418" w:footer="1134" w:gutter="284"/>
          <w:pgNumType w:fmt="upperRoman"/>
          <w:cols w:space="425" w:num="1"/>
          <w:formProt w:val="0"/>
          <w:docGrid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8A5C22442469464B8893ECD2E9118A60"/>
        </w:placeholder>
      </w:sdtPr>
      <w:sdtContent>
        <w:p>
          <w:pPr>
            <w:pStyle w:val="194"/>
            <w:spacing w:before="2" w:beforeLines="1" w:after="528" w:afterLines="220"/>
          </w:pPr>
          <w:bookmarkStart w:id="20" w:name="NEW_STAND_NAME"/>
          <w:r>
            <w:rPr>
              <w:rFonts w:hint="eastAsia"/>
            </w:rPr>
            <w:t>团餐企业良好操作评级规范</w:t>
          </w:r>
        </w:p>
      </w:sdtContent>
    </w:sdt>
    <w:bookmarkEnd w:id="20"/>
    <w:p>
      <w:pPr>
        <w:pStyle w:val="121"/>
        <w:spacing w:before="240" w:after="240"/>
      </w:pPr>
      <w:bookmarkStart w:id="21" w:name="_Toc24884211"/>
      <w:bookmarkStart w:id="22" w:name="_Toc26718930"/>
      <w:bookmarkStart w:id="23" w:name="_Toc85096890"/>
      <w:bookmarkStart w:id="24" w:name="_Toc26986771"/>
      <w:bookmarkStart w:id="25" w:name="_Toc17233333"/>
      <w:bookmarkStart w:id="26" w:name="_Toc24884218"/>
      <w:bookmarkStart w:id="27" w:name="_Toc26986530"/>
      <w:bookmarkStart w:id="28" w:name="_Toc26648465"/>
      <w:bookmarkStart w:id="29" w:name="_Toc17233325"/>
      <w:r>
        <w:rPr>
          <w:rFonts w:hint="eastAsia"/>
        </w:rPr>
        <w:t>范围</w:t>
      </w:r>
      <w:bookmarkEnd w:id="21"/>
      <w:bookmarkEnd w:id="22"/>
      <w:bookmarkEnd w:id="23"/>
      <w:bookmarkEnd w:id="24"/>
      <w:bookmarkEnd w:id="25"/>
      <w:bookmarkEnd w:id="26"/>
      <w:bookmarkEnd w:id="27"/>
      <w:bookmarkEnd w:id="28"/>
      <w:bookmarkEnd w:id="29"/>
    </w:p>
    <w:p>
      <w:pPr>
        <w:pStyle w:val="73"/>
        <w:ind w:firstLine="420"/>
      </w:pPr>
      <w:bookmarkStart w:id="30" w:name="_Toc26648466"/>
      <w:bookmarkStart w:id="31" w:name="_Toc24884219"/>
      <w:bookmarkStart w:id="32" w:name="_Toc24884212"/>
      <w:bookmarkStart w:id="33" w:name="_Toc17233334"/>
      <w:bookmarkStart w:id="34" w:name="_Toc17233326"/>
      <w:r>
        <w:rPr>
          <w:rFonts w:hint="eastAsia"/>
        </w:rPr>
        <w:t>本文件规定了团餐企业良好操作评级的评定方式、申报要求、毛菜企业评定内容、净菜企业评定内容、热链熟食企业评定内容等。</w:t>
      </w:r>
    </w:p>
    <w:p>
      <w:pPr>
        <w:pStyle w:val="73"/>
        <w:ind w:firstLine="420"/>
      </w:pPr>
      <w:r>
        <w:rPr>
          <w:rFonts w:hint="eastAsia"/>
        </w:rPr>
        <w:t>本文件适用于团餐毛菜、净菜、热链熟食企业良好操作的评级。</w:t>
      </w:r>
    </w:p>
    <w:p>
      <w:pPr>
        <w:pStyle w:val="121"/>
        <w:spacing w:before="240" w:after="240"/>
      </w:pPr>
      <w:bookmarkStart w:id="35" w:name="_Toc26718931"/>
      <w:bookmarkStart w:id="36" w:name="_Toc26986772"/>
      <w:bookmarkStart w:id="37" w:name="_Toc26986531"/>
      <w:bookmarkStart w:id="38" w:name="_Toc85096891"/>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9A6860DA6CEB463AA38AD90F8105AB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3"/>
        <w:ind w:firstLine="420"/>
      </w:pPr>
      <w:r>
        <w:rPr>
          <w:rFonts w:hint="eastAsia"/>
        </w:rPr>
        <w:t>GB 14930.1  食品安全国家标准  洗涤剂</w:t>
      </w:r>
    </w:p>
    <w:p>
      <w:pPr>
        <w:pStyle w:val="73"/>
        <w:ind w:firstLine="420"/>
      </w:pPr>
      <w:r>
        <w:rPr>
          <w:rFonts w:hint="eastAsia"/>
        </w:rPr>
        <w:t>GB 14930.2  食品安全国家标准  消毒剂</w:t>
      </w:r>
    </w:p>
    <w:p>
      <w:pPr>
        <w:pStyle w:val="73"/>
        <w:ind w:firstLine="420"/>
      </w:pPr>
      <w:r>
        <w:rPr>
          <w:rFonts w:hint="eastAsia"/>
        </w:rPr>
        <w:t>T/GZTC 4  团餐企业配送规程</w:t>
      </w:r>
    </w:p>
    <w:p>
      <w:pPr>
        <w:pStyle w:val="73"/>
        <w:ind w:firstLine="420"/>
      </w:pPr>
      <w:r>
        <w:rPr>
          <w:rFonts w:hint="eastAsia"/>
        </w:rPr>
        <w:t>《餐饮服务食品安全操作规范》</w:t>
      </w:r>
    </w:p>
    <w:p>
      <w:pPr>
        <w:pStyle w:val="121"/>
        <w:spacing w:before="240" w:after="240"/>
      </w:pPr>
      <w:bookmarkStart w:id="39" w:name="_Toc85096892"/>
      <w:r>
        <w:rPr>
          <w:rFonts w:hint="eastAsia"/>
        </w:rPr>
        <w:t>术语和定义</w:t>
      </w:r>
      <w:bookmarkEnd w:id="39"/>
    </w:p>
    <w:sdt>
      <w:sdtPr>
        <w:id w:val="-1909835108"/>
        <w:placeholder>
          <w:docPart w:val="C5577A5A593445DDB7D0D97C7C4162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73"/>
            <w:ind w:firstLine="420"/>
          </w:pPr>
          <w:bookmarkStart w:id="40" w:name="_Toc26986532"/>
          <w:bookmarkEnd w:id="40"/>
          <w:r>
            <w:t>下列术语和定义适用于本文件。</w:t>
          </w:r>
        </w:p>
      </w:sdtContent>
    </w:sdt>
    <w:p>
      <w:pPr>
        <w:pStyle w:val="122"/>
        <w:spacing w:before="120" w:after="120"/>
      </w:pPr>
    </w:p>
    <w:p>
      <w:pPr>
        <w:pStyle w:val="122"/>
        <w:numPr>
          <w:ilvl w:val="0"/>
          <w:numId w:val="0"/>
        </w:numPr>
        <w:spacing w:before="120" w:after="120"/>
        <w:ind w:firstLine="420" w:firstLineChars="200"/>
      </w:pPr>
      <w:r>
        <w:rPr>
          <w:rFonts w:hint="eastAsia"/>
        </w:rPr>
        <w:t>团餐</w:t>
      </w:r>
    </w:p>
    <w:p>
      <w:pPr>
        <w:pStyle w:val="73"/>
        <w:ind w:firstLine="420"/>
      </w:pPr>
      <w:r>
        <w:rPr>
          <w:rFonts w:hint="eastAsia"/>
        </w:rPr>
        <w:t>面向团体供应的餐饮服务形式，即为相对固定的人群以相对固定的模式批量提供餐饮食品。</w:t>
      </w:r>
    </w:p>
    <w:p>
      <w:pPr>
        <w:pStyle w:val="122"/>
        <w:spacing w:before="120" w:after="120"/>
      </w:pPr>
    </w:p>
    <w:p>
      <w:pPr>
        <w:pStyle w:val="122"/>
        <w:numPr>
          <w:ilvl w:val="0"/>
          <w:numId w:val="0"/>
        </w:numPr>
        <w:spacing w:before="120" w:after="120"/>
        <w:ind w:firstLine="420" w:firstLineChars="200"/>
      </w:pPr>
      <w:r>
        <w:rPr>
          <w:rFonts w:hint="eastAsia"/>
        </w:rPr>
        <w:t>食品处理区</w:t>
      </w:r>
    </w:p>
    <w:p>
      <w:pPr>
        <w:pStyle w:val="73"/>
        <w:ind w:firstLine="420"/>
      </w:pPr>
      <w:r>
        <w:rPr>
          <w:rFonts w:hint="eastAsia"/>
        </w:rPr>
        <w:t>贮存、加工制作食品及清洗消毒区域。</w:t>
      </w:r>
    </w:p>
    <w:p>
      <w:pPr>
        <w:pStyle w:val="121"/>
        <w:spacing w:before="240" w:after="240"/>
      </w:pPr>
      <w:bookmarkStart w:id="41" w:name="_Toc85096893"/>
      <w:r>
        <w:rPr>
          <w:rFonts w:hint="eastAsia"/>
        </w:rPr>
        <w:t>评定方式</w:t>
      </w:r>
      <w:bookmarkEnd w:id="41"/>
    </w:p>
    <w:p>
      <w:pPr>
        <w:pStyle w:val="122"/>
        <w:spacing w:before="120" w:after="120"/>
      </w:pPr>
      <w:r>
        <w:rPr>
          <w:rFonts w:hint="eastAsia"/>
        </w:rPr>
        <w:t>评定对象</w:t>
      </w:r>
    </w:p>
    <w:p>
      <w:pPr>
        <w:pStyle w:val="73"/>
        <w:ind w:firstLine="420"/>
      </w:pPr>
      <w:r>
        <w:rPr>
          <w:rFonts w:hint="eastAsia"/>
        </w:rPr>
        <w:t>制作毛菜、净菜、热链熟食的团餐企业。</w:t>
      </w:r>
    </w:p>
    <w:p>
      <w:pPr>
        <w:pStyle w:val="122"/>
        <w:spacing w:before="120" w:after="120"/>
      </w:pPr>
      <w:r>
        <w:rPr>
          <w:rFonts w:hint="eastAsia"/>
        </w:rPr>
        <w:t>评定组织</w:t>
      </w:r>
    </w:p>
    <w:p>
      <w:pPr>
        <w:pStyle w:val="73"/>
        <w:ind w:firstLine="420"/>
      </w:pPr>
      <w:r>
        <w:rPr>
          <w:rFonts w:hint="eastAsia"/>
        </w:rPr>
        <w:t>由贵州省团餐配送行业协会组织评审专家组进行现场评定，专家组应由5位及以上的专家构成。</w:t>
      </w:r>
    </w:p>
    <w:p>
      <w:pPr>
        <w:pStyle w:val="122"/>
        <w:spacing w:before="120" w:after="120"/>
        <w:rPr>
          <w:rFonts w:ascii="宋体" w:eastAsia="宋体"/>
        </w:rPr>
      </w:pPr>
      <w:r>
        <w:rPr>
          <w:rFonts w:hint="eastAsia"/>
        </w:rPr>
        <w:t>评定方法</w:t>
      </w:r>
    </w:p>
    <w:p>
      <w:pPr>
        <w:pStyle w:val="182"/>
      </w:pPr>
      <w:r>
        <w:t>采用《贵州省团餐企业良好操作等级评分表》（见附录A）进行打分，采取扣分方式进行计算，检查项目总扣分值共计100分。</w:t>
      </w:r>
    </w:p>
    <w:p>
      <w:pPr>
        <w:pStyle w:val="182"/>
      </w:pPr>
      <w:r>
        <w:t>检查结果为不符合扣该项目分值；“合理缺项”的不扣分；其他不符合食品安全监管规定的情形，需逐一罗列不符合项，每项1分，最高2分。</w:t>
      </w:r>
      <w:r>
        <w:rPr>
          <w:rFonts w:hint="eastAsia"/>
        </w:rPr>
        <w:t>若有评定企业不涉及的检查项目，直接默认为满分。</w:t>
      </w:r>
    </w:p>
    <w:p>
      <w:pPr>
        <w:pStyle w:val="182"/>
      </w:pPr>
      <w:r>
        <w:t>基础扣分项共81项检查内容，关键项（检查序号中打</w:t>
      </w:r>
      <w:r>
        <w:rPr>
          <w:rFonts w:hint="eastAsia" w:hAnsi="宋体" w:cs="宋体"/>
        </w:rPr>
        <w:t>★</w:t>
      </w:r>
      <w:r>
        <w:t>号项）33项，52分；一般项48项，48分；鼓励加分项为5项，6分。</w:t>
      </w:r>
    </w:p>
    <w:p>
      <w:pPr>
        <w:pStyle w:val="182"/>
      </w:pPr>
      <w:r>
        <w:t>检查结果判定方法：</w:t>
      </w:r>
      <w:r>
        <w:rPr>
          <w:rFonts w:hint="eastAsia" w:hAnsi="宋体" w:cs="宋体"/>
        </w:rPr>
        <w:t>①</w:t>
      </w:r>
      <w:r>
        <w:t>A级：未发现检查的关键项不合格，一般项合格率为≥90%评定为A级；</w:t>
      </w:r>
      <w:r>
        <w:rPr>
          <w:rFonts w:hint="eastAsia" w:hAnsi="宋体" w:cs="宋体"/>
        </w:rPr>
        <w:t>②</w:t>
      </w:r>
      <w:r>
        <w:t>B级：未发现检查的关键项不合格，80%≤一般项合格率＜90%，评定为B级；</w:t>
      </w:r>
      <w:r>
        <w:rPr>
          <w:rFonts w:hint="eastAsia" w:hAnsi="宋体" w:cs="宋体"/>
        </w:rPr>
        <w:t>③</w:t>
      </w:r>
      <w:r>
        <w:t>C级：未发现检查的关键项不合格，70%≤一般项合格率＜80%，评定为C级；</w:t>
      </w:r>
      <w:r>
        <w:rPr>
          <w:rFonts w:hint="eastAsia" w:hAnsi="宋体" w:cs="宋体"/>
        </w:rPr>
        <w:t>④</w:t>
      </w:r>
      <w:r>
        <w:t>不予评级：重点项存在1项及以上不合格，或一般项合格率＜70%，直接不予评级。</w:t>
      </w:r>
    </w:p>
    <w:p>
      <w:pPr>
        <w:pStyle w:val="182"/>
      </w:pPr>
      <w:r>
        <w:t>存在合理缺项时，一般项合格率的计算方法为：合格项目/（检查项目数-合理缺项数）×100%。</w:t>
      </w:r>
    </w:p>
    <w:p>
      <w:pPr>
        <w:pStyle w:val="182"/>
        <w:numPr>
          <w:ilvl w:val="3"/>
          <w:numId w:val="0"/>
        </w:numPr>
      </w:pPr>
      <w:r>
        <w:t>鼓励加分项给予同级别内星级评定，共计6分；加分≥2分评为</w:t>
      </w:r>
      <w:r>
        <w:rPr>
          <w:rFonts w:hint="eastAsia" w:hAnsi="宋体" w:cs="宋体"/>
        </w:rPr>
        <w:t>★</w:t>
      </w:r>
      <w:r>
        <w:t>；≥3分评为</w:t>
      </w:r>
      <w:r>
        <w:rPr>
          <w:rFonts w:hint="eastAsia" w:hAnsi="宋体" w:cs="宋体"/>
        </w:rPr>
        <w:t>★★</w:t>
      </w:r>
      <w:r>
        <w:t>；≥5分评为</w:t>
      </w:r>
      <w:r>
        <w:rPr>
          <w:rFonts w:hint="eastAsia" w:hAnsi="宋体" w:cs="宋体"/>
        </w:rPr>
        <w:t>★★★</w:t>
      </w:r>
      <w:r>
        <w:t>。</w:t>
      </w:r>
    </w:p>
    <w:p>
      <w:pPr>
        <w:pStyle w:val="121"/>
        <w:spacing w:before="240" w:after="240"/>
      </w:pPr>
      <w:bookmarkStart w:id="42" w:name="_Toc85096894"/>
      <w:r>
        <w:rPr>
          <w:rFonts w:hint="eastAsia"/>
        </w:rPr>
        <w:t>申报要求</w:t>
      </w:r>
      <w:bookmarkEnd w:id="42"/>
    </w:p>
    <w:p>
      <w:pPr>
        <w:pStyle w:val="179"/>
      </w:pPr>
      <w:r>
        <w:rPr>
          <w:rFonts w:hint="eastAsia"/>
        </w:rPr>
        <w:t>团餐企业应依法取得食品经营许可，并在有效期内。</w:t>
      </w:r>
    </w:p>
    <w:p>
      <w:pPr>
        <w:pStyle w:val="179"/>
      </w:pPr>
      <w:r>
        <w:rPr>
          <w:rFonts w:hint="eastAsia"/>
        </w:rPr>
        <w:t>食品经营许可证或其信息公示表上的经营地址应与经营场所地址保持一致。</w:t>
      </w:r>
    </w:p>
    <w:p>
      <w:pPr>
        <w:pStyle w:val="179"/>
      </w:pPr>
      <w:r>
        <w:rPr>
          <w:rFonts w:hint="eastAsia"/>
        </w:rPr>
        <w:t>食品经营主体业态应与实际的经营业态一致。</w:t>
      </w:r>
    </w:p>
    <w:p>
      <w:pPr>
        <w:pStyle w:val="179"/>
      </w:pPr>
      <w:r>
        <w:rPr>
          <w:rFonts w:hint="eastAsia"/>
        </w:rPr>
        <w:t>食品经营项目应符合法律法规要求，应涵盖所有现场制作的食品类别，不应超范围经营。</w:t>
      </w:r>
    </w:p>
    <w:p>
      <w:pPr>
        <w:pStyle w:val="179"/>
      </w:pPr>
      <w:r>
        <w:rPr>
          <w:rFonts w:hint="eastAsia"/>
        </w:rPr>
        <w:t>团餐企业需营业一年以上。</w:t>
      </w:r>
    </w:p>
    <w:p>
      <w:pPr>
        <w:pStyle w:val="179"/>
      </w:pPr>
      <w:r>
        <w:rPr>
          <w:rFonts w:hint="eastAsia"/>
        </w:rPr>
        <w:t>因造成食品安全事故，限期整改，并依法受到相应行政处罚的团餐企业， 6个月内不能申报评级。</w:t>
      </w:r>
    </w:p>
    <w:p>
      <w:pPr>
        <w:pStyle w:val="121"/>
        <w:spacing w:before="240" w:after="240"/>
      </w:pPr>
      <w:bookmarkStart w:id="43" w:name="_Toc85096895"/>
      <w:r>
        <w:rPr>
          <w:rFonts w:hint="eastAsia"/>
        </w:rPr>
        <w:t>评定内容</w:t>
      </w:r>
      <w:bookmarkEnd w:id="43"/>
    </w:p>
    <w:p>
      <w:pPr>
        <w:pStyle w:val="122"/>
        <w:spacing w:before="120" w:after="120"/>
        <w:rPr>
          <w:rFonts w:hint="eastAsia"/>
        </w:rPr>
      </w:pPr>
      <w:r>
        <w:rPr>
          <w:rFonts w:hint="eastAsia"/>
        </w:rPr>
        <w:t>资质</w:t>
      </w:r>
    </w:p>
    <w:p>
      <w:pPr>
        <w:pStyle w:val="82"/>
        <w:spacing w:before="120" w:after="120"/>
      </w:pPr>
      <w:r>
        <w:rPr>
          <w:rFonts w:hint="eastAsia"/>
        </w:rPr>
        <w:t>信息公示</w:t>
      </w:r>
    </w:p>
    <w:p>
      <w:pPr>
        <w:pStyle w:val="181"/>
      </w:pPr>
      <w:r>
        <w:rPr>
          <w:rFonts w:hint="eastAsia"/>
        </w:rPr>
        <w:t>在经营场所醒目位置公示营业执照、食品经营许可证。</w:t>
      </w:r>
    </w:p>
    <w:p>
      <w:pPr>
        <w:pStyle w:val="181"/>
      </w:pPr>
      <w:r>
        <w:rPr>
          <w:rFonts w:hint="eastAsia"/>
        </w:rPr>
        <w:t>公示从业人员有效健康证明、食品安全负责人和管理人员信息。</w:t>
      </w:r>
    </w:p>
    <w:p>
      <w:pPr>
        <w:pStyle w:val="181"/>
      </w:pPr>
      <w:r>
        <w:rPr>
          <w:rFonts w:hint="eastAsia"/>
        </w:rPr>
        <w:t>公示餐饮服务食品安全责任承诺书。</w:t>
      </w:r>
    </w:p>
    <w:p>
      <w:pPr>
        <w:pStyle w:val="181"/>
      </w:pPr>
      <w:r>
        <w:rPr>
          <w:rFonts w:hint="eastAsia"/>
        </w:rPr>
        <w:t>公示行政主管部门上一次日常监督检查结果记录表。</w:t>
      </w:r>
    </w:p>
    <w:p>
      <w:pPr>
        <w:pStyle w:val="82"/>
        <w:spacing w:before="120" w:after="120"/>
      </w:pPr>
      <w:r>
        <w:rPr>
          <w:rFonts w:hint="eastAsia"/>
        </w:rPr>
        <w:t>经营许可</w:t>
      </w:r>
    </w:p>
    <w:p>
      <w:pPr>
        <w:pStyle w:val="73"/>
        <w:ind w:firstLine="420"/>
      </w:pPr>
      <w:r>
        <w:rPr>
          <w:rFonts w:hint="eastAsia"/>
        </w:rPr>
        <w:t>营业执照、食品经营许可证合法有效、与经营场所（实体地址）、主体业态、经营项目等事项一致。</w:t>
      </w:r>
    </w:p>
    <w:p>
      <w:pPr>
        <w:pStyle w:val="121"/>
        <w:spacing w:before="240" w:after="240"/>
      </w:pPr>
      <w:bookmarkStart w:id="44" w:name="_Toc85096896"/>
      <w:r>
        <w:rPr>
          <w:rFonts w:hint="eastAsia"/>
        </w:rPr>
        <w:t>制度管理</w:t>
      </w:r>
      <w:bookmarkEnd w:id="44"/>
    </w:p>
    <w:p>
      <w:pPr>
        <w:pStyle w:val="179"/>
      </w:pPr>
      <w:r>
        <w:rPr>
          <w:rFonts w:hint="eastAsia"/>
        </w:rPr>
        <w:t>设立食品安全管理机构，配备专职食品安全管理人员；制定食品安全事故处置预案；建立从业人员健康管理、食品安全自查、食品进货查验、索证索票、食品留样、从业人员培训考核、食品配送、食品召回等食品安全相关管理制度。</w:t>
      </w:r>
    </w:p>
    <w:p>
      <w:pPr>
        <w:pStyle w:val="179"/>
      </w:pPr>
      <w:r>
        <w:rPr>
          <w:rFonts w:hint="eastAsia"/>
        </w:rPr>
        <w:t>落实食品安全应急预案、每年开展一次应急演练、每周进行一次食品安全自查，并有详细记录。</w:t>
      </w:r>
    </w:p>
    <w:p>
      <w:pPr>
        <w:pStyle w:val="179"/>
      </w:pPr>
      <w:r>
        <w:rPr>
          <w:rFonts w:hint="eastAsia"/>
        </w:rPr>
        <w:t>落实食品进货查验制度、索证索票和台账记录，并有详细记录。</w:t>
      </w:r>
    </w:p>
    <w:p>
      <w:pPr>
        <w:pStyle w:val="179"/>
      </w:pPr>
      <w:r>
        <w:rPr>
          <w:rFonts w:hint="eastAsia"/>
        </w:rPr>
        <w:t>落实食品安全知识培训考核制度，制定年度食品安全培训计划、食品安全培训考试记录。</w:t>
      </w:r>
    </w:p>
    <w:p>
      <w:pPr>
        <w:pStyle w:val="179"/>
      </w:pPr>
      <w:r>
        <w:rPr>
          <w:rFonts w:hint="eastAsia"/>
        </w:rPr>
        <w:t>落实餐用具清洗消毒制度，洗消场所应符合要求，洗消设施设备应正常运行并定期进行维修保养，且有相关记录。</w:t>
      </w:r>
    </w:p>
    <w:p>
      <w:pPr>
        <w:pStyle w:val="179"/>
      </w:pPr>
      <w:r>
        <w:rPr>
          <w:rFonts w:hint="eastAsia"/>
        </w:rPr>
        <w:t>落实除四害防治及紫外线消毒制度，有除四害防治年度计划及使用国家规定的合理有效消毒方式进行消毒，且有相关记录。</w:t>
      </w:r>
    </w:p>
    <w:p>
      <w:pPr>
        <w:pStyle w:val="179"/>
      </w:pPr>
      <w:r>
        <w:rPr>
          <w:rFonts w:hint="eastAsia"/>
        </w:rPr>
        <w:t>与有合法资质的餐厨废弃物回收者签订餐厨废弃物处置合同或者协议，且建立餐厨废弃物处置登记台账。</w:t>
      </w:r>
    </w:p>
    <w:p>
      <w:pPr>
        <w:pStyle w:val="179"/>
      </w:pPr>
      <w:r>
        <w:rPr>
          <w:rFonts w:hint="eastAsia"/>
        </w:rPr>
        <w:t>应购买食品安全责任险。</w:t>
      </w:r>
    </w:p>
    <w:p>
      <w:pPr>
        <w:pStyle w:val="179"/>
      </w:pPr>
      <w:r>
        <w:rPr>
          <w:rFonts w:hint="eastAsia"/>
        </w:rPr>
        <w:t>建立的制度应符合国家政策法规，制度内容全面具体，可操作性强。</w:t>
      </w:r>
    </w:p>
    <w:p>
      <w:pPr>
        <w:pStyle w:val="179"/>
        <w:rPr>
          <w:rFonts w:hint="eastAsia"/>
        </w:rPr>
      </w:pPr>
      <w:r>
        <w:rPr>
          <w:rFonts w:hint="eastAsia"/>
        </w:rPr>
        <w:t>及时随政策的变化修订各项制度，严格执行各项制度，并定期检查各项制度的落实情况，有相关记录文件。</w:t>
      </w:r>
    </w:p>
    <w:p>
      <w:pPr>
        <w:pStyle w:val="179"/>
        <w:numPr>
          <w:ilvl w:val="0"/>
          <w:numId w:val="0"/>
        </w:numPr>
      </w:pPr>
    </w:p>
    <w:p>
      <w:pPr>
        <w:pStyle w:val="121"/>
        <w:spacing w:before="240" w:after="240"/>
      </w:pPr>
      <w:bookmarkStart w:id="45" w:name="_Toc85096897"/>
      <w:r>
        <w:rPr>
          <w:rFonts w:hint="eastAsia"/>
        </w:rPr>
        <w:t>人员管理</w:t>
      </w:r>
      <w:bookmarkEnd w:id="45"/>
    </w:p>
    <w:p>
      <w:pPr>
        <w:pStyle w:val="179"/>
      </w:pPr>
      <w:r>
        <w:rPr>
          <w:rFonts w:hint="eastAsia"/>
        </w:rPr>
        <w:t>落实人员健康晨检管理制度，禁止让患有霍乱、细菌性和阿米巴性痢疾、伤寒和副伤寒、病毒性肝炎（甲型、戊型）、活动性肺结核，化脓性或者渗出性皮肤病等国务院卫生行政部门规定的有碍食品安全疾病人员，从事接触直接入口食品的工作。</w:t>
      </w:r>
    </w:p>
    <w:p>
      <w:pPr>
        <w:pStyle w:val="179"/>
      </w:pPr>
      <w:r>
        <w:rPr>
          <w:rFonts w:hint="eastAsia"/>
        </w:rPr>
        <w:t>落实从业人员个人卫生制度，规范穿戴工作衣帽并佩戴口罩；不应留长指甲、不应涂指甲油、不应佩带饰物；保持手部、衣帽整洁；头发不应外露；不应在食品处理区内吸烟或饮食等可能污染食品的行为。</w:t>
      </w:r>
    </w:p>
    <w:p>
      <w:pPr>
        <w:pStyle w:val="179"/>
      </w:pPr>
      <w:r>
        <w:rPr>
          <w:rFonts w:hint="eastAsia"/>
        </w:rPr>
        <w:t>工作人员应在食品安全培训考核、工作职责培训考核等合格后方可上岗。</w:t>
      </w:r>
    </w:p>
    <w:p>
      <w:pPr>
        <w:pStyle w:val="179"/>
      </w:pPr>
      <w:r>
        <w:rPr>
          <w:rFonts w:hint="eastAsia"/>
        </w:rPr>
        <w:t>工作人员应取得健康证明后方可上岗，并每年进行健康检查取得健康证明，必要时应进行临时健康检查，待查明原因并将有碍食品安全的疾病治愈后方可重新上岗。</w:t>
      </w:r>
    </w:p>
    <w:p>
      <w:pPr>
        <w:pStyle w:val="121"/>
        <w:spacing w:before="240" w:after="240"/>
      </w:pPr>
      <w:bookmarkStart w:id="46" w:name="_Toc85096898"/>
      <w:r>
        <w:rPr>
          <w:rFonts w:hint="eastAsia"/>
        </w:rPr>
        <w:t>环境卫生</w:t>
      </w:r>
      <w:bookmarkEnd w:id="46"/>
    </w:p>
    <w:p>
      <w:pPr>
        <w:pStyle w:val="122"/>
        <w:spacing w:before="120" w:after="120"/>
      </w:pPr>
      <w:r>
        <w:rPr>
          <w:rFonts w:hint="eastAsia"/>
        </w:rPr>
        <w:t>基本要求</w:t>
      </w:r>
    </w:p>
    <w:p>
      <w:pPr>
        <w:pStyle w:val="182"/>
      </w:pPr>
      <w:r>
        <w:rPr>
          <w:rFonts w:hint="eastAsia"/>
        </w:rPr>
        <w:t>空气中无异味。</w:t>
      </w:r>
    </w:p>
    <w:p>
      <w:pPr>
        <w:pStyle w:val="182"/>
      </w:pPr>
      <w:r>
        <w:rPr>
          <w:rFonts w:hint="eastAsia"/>
        </w:rPr>
        <w:t>食品加工用水符合生活饮用水卫生标准，食品加工场所设置有一定坡度的排水沟、排水出水口有做四害防护措施。</w:t>
      </w:r>
    </w:p>
    <w:p>
      <w:pPr>
        <w:pStyle w:val="182"/>
      </w:pPr>
      <w:r>
        <w:rPr>
          <w:rFonts w:hint="eastAsia"/>
        </w:rPr>
        <w:t>食品处理区天花板、墙壁、地面、门窗采用无毒、无异味、防霉、防水、不易脱落、易于清洁的材料，结构上利于防止冷凝水垂直下落；与外界直接相通的门、窗采取有效措施（如安装空气幕、灭蝇灯、防虫纱窗、防鼠板等）防止有害生物入侵。</w:t>
      </w:r>
    </w:p>
    <w:p>
      <w:pPr>
        <w:pStyle w:val="182"/>
      </w:pPr>
      <w:r>
        <w:rPr>
          <w:rFonts w:hint="eastAsia"/>
        </w:rPr>
        <w:t>食品处理区地面地砖完整无破损，不易藏油污，利于清洗消毒；地面排水流畅无积水。</w:t>
      </w:r>
    </w:p>
    <w:p>
      <w:pPr>
        <w:pStyle w:val="182"/>
      </w:pPr>
      <w:r>
        <w:rPr>
          <w:rFonts w:hint="eastAsia"/>
        </w:rPr>
        <w:t>食品处理区按照原料进入、原料处理、加工制作、成品供应的顺序合理布局，能防止食品在存放操作中产生交叉污染。</w:t>
      </w:r>
    </w:p>
    <w:p>
      <w:pPr>
        <w:pStyle w:val="182"/>
      </w:pPr>
      <w:r>
        <w:rPr>
          <w:rFonts w:hint="eastAsia"/>
        </w:rPr>
        <w:t>食品处理区卫生整洁、无乱堆乱放；食品加工设施设备、工具、用具、容器等定期清洁消毒。</w:t>
      </w:r>
    </w:p>
    <w:p>
      <w:pPr>
        <w:pStyle w:val="182"/>
      </w:pPr>
      <w:r>
        <w:rPr>
          <w:rFonts w:hint="eastAsia"/>
        </w:rPr>
        <w:t>卫生间设置在食品处理区外，设置距离符合要求并定期清扫。</w:t>
      </w:r>
    </w:p>
    <w:p>
      <w:pPr>
        <w:pStyle w:val="182"/>
      </w:pPr>
      <w:r>
        <w:rPr>
          <w:rFonts w:hint="eastAsia"/>
        </w:rPr>
        <w:t>食品处理区配备足够的洗手消毒设施。</w:t>
      </w:r>
    </w:p>
    <w:p>
      <w:pPr>
        <w:pStyle w:val="182"/>
      </w:pPr>
      <w:r>
        <w:rPr>
          <w:rFonts w:hint="eastAsia"/>
        </w:rPr>
        <w:t>设有专用的拖把等清洁工具、用具的清洗池，其位置对食品及其加工制作过程不会造成污染。</w:t>
      </w:r>
    </w:p>
    <w:p>
      <w:pPr>
        <w:pStyle w:val="122"/>
        <w:spacing w:before="120" w:after="120"/>
      </w:pPr>
      <w:r>
        <w:rPr>
          <w:rFonts w:hint="eastAsia"/>
        </w:rPr>
        <w:t>餐厨废弃物处置</w:t>
      </w:r>
    </w:p>
    <w:p>
      <w:pPr>
        <w:pStyle w:val="182"/>
      </w:pPr>
      <w:r>
        <w:rPr>
          <w:rFonts w:hint="eastAsia"/>
        </w:rPr>
        <w:t>餐厨废弃物应分类放置、及时清理，不应溢出存放容器。餐厨废弃物的存放容器应及时清洁，必要时进行消毒。</w:t>
      </w:r>
    </w:p>
    <w:p>
      <w:pPr>
        <w:pStyle w:val="182"/>
      </w:pPr>
      <w:r>
        <w:rPr>
          <w:rFonts w:hint="eastAsia"/>
        </w:rPr>
        <w:t>应索取并留存餐厨废弃物收运者的资质证明复印件（需加盖收运者公章或由收运者签字），并与其签订收运合同，明确各自的食品安全责任和义务。</w:t>
      </w:r>
    </w:p>
    <w:p>
      <w:pPr>
        <w:pStyle w:val="182"/>
      </w:pPr>
      <w:r>
        <w:rPr>
          <w:rFonts w:hint="eastAsia"/>
        </w:rPr>
        <w:t>应建立餐厨废弃物处置台账，详细记录餐厨废弃物的处置时间、种类、数量、收运者等信息。</w:t>
      </w:r>
    </w:p>
    <w:p>
      <w:pPr>
        <w:pStyle w:val="122"/>
        <w:spacing w:before="120" w:after="120"/>
      </w:pPr>
      <w:r>
        <w:rPr>
          <w:rFonts w:hint="eastAsia"/>
        </w:rPr>
        <w:t>有害生物防治</w:t>
      </w:r>
    </w:p>
    <w:p>
      <w:pPr>
        <w:pStyle w:val="182"/>
      </w:pPr>
      <w:r>
        <w:rPr>
          <w:rFonts w:hint="eastAsia"/>
        </w:rPr>
        <w:t>应保持场所建筑结构完好，环境整洁，防止虫害侵入及孽生。</w:t>
      </w:r>
    </w:p>
    <w:p>
      <w:pPr>
        <w:pStyle w:val="182"/>
      </w:pPr>
      <w:r>
        <w:rPr>
          <w:rFonts w:hint="eastAsia"/>
        </w:rPr>
        <w:t>有害生物防治应遵循优先使用物理方法，必要时使用化学方法的原则。有毒有害的化学药品应存放在专门房间内，保障食品安全和人身安全。</w:t>
      </w:r>
    </w:p>
    <w:p>
      <w:pPr>
        <w:pStyle w:val="182"/>
      </w:pPr>
      <w:r>
        <w:rPr>
          <w:rFonts w:hint="eastAsia"/>
        </w:rPr>
        <w:t>应根据需要配备适宜的有害生物防治设施（如诱捕式灭蝇蚊灯、防蝇帘、风幕机、粘鼠板、隔鼠板、防鼠网等），防治有害生物侵入。</w:t>
      </w:r>
    </w:p>
    <w:p>
      <w:pPr>
        <w:pStyle w:val="182"/>
      </w:pPr>
      <w:r>
        <w:rPr>
          <w:rFonts w:hint="eastAsia"/>
        </w:rPr>
        <w:t>如发现有害生物，应尽快将其驱赶或杀灭。发现有害生物痕迹的，应追查来源，消除隐患。</w:t>
      </w:r>
    </w:p>
    <w:p>
      <w:pPr>
        <w:pStyle w:val="182"/>
        <w:rPr>
          <w:rFonts w:hint="eastAsia"/>
        </w:rPr>
      </w:pPr>
      <w:r>
        <w:rPr>
          <w:rFonts w:hint="eastAsia"/>
        </w:rPr>
        <w:t>有害生物防治中应采取有效措施，避免食品或者食品容器、工具、设备等受到污染。食品容器、工具、设备不慎污染时，应彻底清洁消毒，消除污染。</w:t>
      </w:r>
    </w:p>
    <w:p>
      <w:pPr>
        <w:pStyle w:val="182"/>
        <w:numPr>
          <w:ilvl w:val="0"/>
          <w:numId w:val="0"/>
        </w:numPr>
        <w:rPr>
          <w:rFonts w:hint="eastAsia"/>
        </w:rPr>
      </w:pPr>
    </w:p>
    <w:p>
      <w:pPr>
        <w:pStyle w:val="182"/>
        <w:numPr>
          <w:ilvl w:val="0"/>
          <w:numId w:val="0"/>
        </w:numPr>
      </w:pPr>
    </w:p>
    <w:p>
      <w:pPr>
        <w:pStyle w:val="121"/>
        <w:spacing w:before="240" w:after="240"/>
      </w:pPr>
      <w:bookmarkStart w:id="47" w:name="_Toc85096899"/>
      <w:r>
        <w:rPr>
          <w:rFonts w:hint="eastAsia"/>
        </w:rPr>
        <w:t>原料质量检查与储存</w:t>
      </w:r>
      <w:bookmarkEnd w:id="47"/>
    </w:p>
    <w:p>
      <w:pPr>
        <w:pStyle w:val="179"/>
      </w:pPr>
      <w:r>
        <w:rPr>
          <w:rFonts w:hint="eastAsia"/>
        </w:rPr>
        <w:t>食品原料采购验收合格，无腐败、变质、污染、超过保质期等情况；无禁用物质或无明确标识、无法说明来源的物质。</w:t>
      </w:r>
    </w:p>
    <w:p>
      <w:pPr>
        <w:pStyle w:val="179"/>
      </w:pPr>
      <w:r>
        <w:rPr>
          <w:rFonts w:hint="eastAsia"/>
        </w:rPr>
        <w:t>预包装食品包装完整、整洁、无破损、内容物与产品标识一致，且按照储存条件贮存。</w:t>
      </w:r>
    </w:p>
    <w:p>
      <w:pPr>
        <w:pStyle w:val="179"/>
      </w:pPr>
      <w:r>
        <w:rPr>
          <w:rFonts w:hint="eastAsia"/>
        </w:rPr>
        <w:t>食品、食品添加剂、食品相关产品标识标签完整、清晰、载明事项符合食品安全标准和要求。</w:t>
      </w:r>
    </w:p>
    <w:p>
      <w:pPr>
        <w:pStyle w:val="179"/>
      </w:pPr>
      <w:r>
        <w:rPr>
          <w:rFonts w:hint="eastAsia"/>
        </w:rPr>
        <w:t>对变质、超过保质期或者召回的食品单独存放在有明确标志的场所或区域，及时采取无害化处理、销毁等措施并如实记录。</w:t>
      </w:r>
    </w:p>
    <w:p>
      <w:pPr>
        <w:pStyle w:val="179"/>
      </w:pPr>
      <w:r>
        <w:rPr>
          <w:rFonts w:hint="eastAsia"/>
        </w:rPr>
        <w:t>使用的食品添加剂设有专柜（位）存放，专柜标注“食品添加剂”字样。食品添加剂的标签上标注有使用范围、用量、使用方法等内容。实行“五专”管理。</w:t>
      </w:r>
    </w:p>
    <w:p>
      <w:pPr>
        <w:pStyle w:val="179"/>
      </w:pPr>
      <w:r>
        <w:rPr>
          <w:rFonts w:hint="eastAsia"/>
        </w:rPr>
        <w:t>库房设置有良好的通风、防潮、防鼠设施，温湿度符合食品储存要求。</w:t>
      </w:r>
    </w:p>
    <w:p>
      <w:pPr>
        <w:pStyle w:val="179"/>
      </w:pPr>
      <w:r>
        <w:rPr>
          <w:rFonts w:hint="eastAsia"/>
        </w:rPr>
        <w:t>使用的食品原料、食品添加剂和食品相关产品按照先进先出先用的原则，无过期或感官异常未及时清理等情形的。</w:t>
      </w:r>
    </w:p>
    <w:p>
      <w:pPr>
        <w:pStyle w:val="179"/>
      </w:pPr>
      <w:r>
        <w:rPr>
          <w:rFonts w:hint="eastAsia"/>
        </w:rPr>
        <w:t>冷冻（藏）设施正常运转，有正确显示设施内部温度的测温装置，设施内部温度符合规定；冷冻（藏）库使用防爆灯。</w:t>
      </w:r>
    </w:p>
    <w:p>
      <w:pPr>
        <w:pStyle w:val="179"/>
      </w:pPr>
      <w:r>
        <w:rPr>
          <w:rFonts w:hint="eastAsia"/>
        </w:rPr>
        <w:t>食品与非食品库房分开设置，食品原料、半成品分隔或分离储存，隔墙离地10cm以上。</w:t>
      </w:r>
    </w:p>
    <w:p>
      <w:pPr>
        <w:pStyle w:val="179"/>
      </w:pPr>
      <w:r>
        <w:rPr>
          <w:rFonts w:hint="eastAsia"/>
        </w:rPr>
        <w:t>散装食品（食用农产品除外）储存位置标明食品名称、生产日期或生产批号、使用期限，使用密闭容器储存。</w:t>
      </w:r>
    </w:p>
    <w:p>
      <w:pPr>
        <w:pStyle w:val="121"/>
        <w:spacing w:before="240" w:after="240"/>
      </w:pPr>
      <w:bookmarkStart w:id="48" w:name="_Toc85096900"/>
      <w:r>
        <w:rPr>
          <w:rFonts w:hint="eastAsia"/>
        </w:rPr>
        <w:t>粗加工与切配</w:t>
      </w:r>
      <w:bookmarkEnd w:id="48"/>
    </w:p>
    <w:p>
      <w:pPr>
        <w:pStyle w:val="179"/>
      </w:pPr>
      <w:r>
        <w:rPr>
          <w:rFonts w:hint="eastAsia"/>
        </w:rPr>
        <w:t>设有独立的粗加工和切配区域。</w:t>
      </w:r>
    </w:p>
    <w:p>
      <w:pPr>
        <w:pStyle w:val="179"/>
      </w:pPr>
      <w:r>
        <w:rPr>
          <w:rFonts w:hint="eastAsia"/>
        </w:rPr>
        <w:t>盛裝食品原料、半成品、成品的容器和工具分开放置、分类使用；容器与工具未直接放置地面或接触不洁物。</w:t>
      </w:r>
    </w:p>
    <w:p>
      <w:pPr>
        <w:pStyle w:val="179"/>
      </w:pPr>
      <w:r>
        <w:rPr>
          <w:rFonts w:hint="eastAsia"/>
        </w:rPr>
        <w:t>盛放或加工制作动物性、植物性、水产品等食品原料的工用具和容器、水池分开使用，按使用用途加以标识。</w:t>
      </w:r>
    </w:p>
    <w:p>
      <w:pPr>
        <w:pStyle w:val="179"/>
      </w:pPr>
      <w:r>
        <w:rPr>
          <w:rFonts w:hint="eastAsia"/>
        </w:rPr>
        <w:t>按照粗加工要求对切配工用具、容器进行清洗消毒。</w:t>
      </w:r>
    </w:p>
    <w:p>
      <w:pPr>
        <w:pStyle w:val="179"/>
        <w:rPr>
          <w:rFonts w:hint="eastAsia"/>
        </w:rPr>
      </w:pPr>
      <w:r>
        <w:rPr>
          <w:rFonts w:hint="eastAsia"/>
        </w:rPr>
        <w:t>粗加工原材料依照食材粗加工特性进行清洗切配。</w:t>
      </w:r>
    </w:p>
    <w:p>
      <w:pPr>
        <w:pStyle w:val="179"/>
      </w:pPr>
      <w:r>
        <w:rPr>
          <w:rFonts w:hint="eastAsia"/>
        </w:rPr>
        <w:t>加工制作流程中宜分别对畜类、禽类、蔬菜类、水产品类、蛋类的水池、加工用具和盛装的容器，进行色标管理，且有明显标识。</w:t>
      </w:r>
    </w:p>
    <w:p>
      <w:pPr>
        <w:pStyle w:val="121"/>
        <w:spacing w:before="240" w:after="240"/>
      </w:pPr>
      <w:bookmarkStart w:id="49" w:name="_Toc85096901"/>
      <w:r>
        <w:rPr>
          <w:rFonts w:hint="eastAsia"/>
        </w:rPr>
        <w:t>专间要求</w:t>
      </w:r>
      <w:bookmarkEnd w:id="49"/>
    </w:p>
    <w:p>
      <w:pPr>
        <w:pStyle w:val="179"/>
      </w:pPr>
      <w:r>
        <w:rPr>
          <w:rFonts w:hint="eastAsia"/>
        </w:rPr>
        <w:t>专间内配备与专间面积相适应的空气消毒设施，设有独立的空调设施，专间内温度高于25℃。</w:t>
      </w:r>
    </w:p>
    <w:p>
      <w:pPr>
        <w:pStyle w:val="179"/>
      </w:pPr>
      <w:r>
        <w:rPr>
          <w:rFonts w:hint="eastAsia"/>
        </w:rPr>
        <w:t>分装专间设置专用的成品通道并与人员通道分开使用。</w:t>
      </w:r>
    </w:p>
    <w:p>
      <w:pPr>
        <w:pStyle w:val="179"/>
      </w:pPr>
      <w:r>
        <w:rPr>
          <w:rFonts w:hint="eastAsia"/>
        </w:rPr>
        <w:t>食品的分装在专间内进行。</w:t>
      </w:r>
    </w:p>
    <w:p>
      <w:pPr>
        <w:pStyle w:val="179"/>
      </w:pPr>
      <w:r>
        <w:rPr>
          <w:rFonts w:hint="eastAsia"/>
        </w:rPr>
        <w:t>专间和专用操作区使用的食品容器、工具、设备、清洁工具专用，使用前清洗消毒，保持清洁。</w:t>
      </w:r>
    </w:p>
    <w:p>
      <w:pPr>
        <w:pStyle w:val="179"/>
      </w:pPr>
      <w:r>
        <w:rPr>
          <w:rFonts w:hint="eastAsia"/>
        </w:rPr>
        <w:t>专间入口处设有二次更衣设施，设有独立的非手触式洗手、消毒、干手设施。</w:t>
      </w:r>
    </w:p>
    <w:p>
      <w:pPr>
        <w:pStyle w:val="179"/>
      </w:pPr>
      <w:r>
        <w:rPr>
          <w:rFonts w:hint="eastAsia"/>
        </w:rPr>
        <w:t>在专间或专用操作区不从事可能污染食品的活动。</w:t>
      </w:r>
    </w:p>
    <w:p>
      <w:pPr>
        <w:pStyle w:val="179"/>
      </w:pPr>
      <w:r>
        <w:rPr>
          <w:rFonts w:hint="eastAsia"/>
        </w:rPr>
        <w:t>专间内设专人加工制作。加工制作人员按照专间要求穿戴专用的工作衣帽、佩戴口罩并清洗消毒手部后进入专间。</w:t>
      </w:r>
    </w:p>
    <w:p>
      <w:pPr>
        <w:pStyle w:val="179"/>
      </w:pPr>
      <w:r>
        <w:rPr>
          <w:rFonts w:hint="eastAsia"/>
        </w:rPr>
        <w:t>专间的门能自动关闭，窗户封闭式（用于传递食品的除外），专间的门和食品传递窗口能及时关闭。</w:t>
      </w:r>
    </w:p>
    <w:p>
      <w:pPr>
        <w:pStyle w:val="179"/>
      </w:pPr>
      <w:r>
        <w:rPr>
          <w:rFonts w:hint="eastAsia"/>
        </w:rPr>
        <w:t>各专间按其用途明显标识。</w:t>
      </w:r>
    </w:p>
    <w:p>
      <w:pPr>
        <w:pStyle w:val="179"/>
        <w:rPr>
          <w:rFonts w:hint="eastAsia"/>
        </w:rPr>
      </w:pPr>
      <w:r>
        <w:rPr>
          <w:rFonts w:hint="eastAsia"/>
        </w:rPr>
        <w:t>专间内的废弃物容器盖子为非手动开启式。</w:t>
      </w:r>
    </w:p>
    <w:p>
      <w:pPr>
        <w:pStyle w:val="121"/>
        <w:numPr>
          <w:ilvl w:val="0"/>
          <w:numId w:val="0"/>
        </w:numPr>
        <w:spacing w:before="240" w:after="240"/>
      </w:pPr>
    </w:p>
    <w:p>
      <w:pPr>
        <w:pStyle w:val="121"/>
        <w:spacing w:before="240" w:after="240"/>
        <w:rPr>
          <w:rFonts w:hint="eastAsia"/>
        </w:rPr>
      </w:pPr>
      <w:bookmarkStart w:id="50" w:name="_Toc85096902"/>
      <w:r>
        <w:rPr>
          <w:rFonts w:hint="eastAsia"/>
        </w:rPr>
        <w:t>烹饪</w:t>
      </w:r>
      <w:bookmarkEnd w:id="50"/>
    </w:p>
    <w:p>
      <w:pPr>
        <w:pStyle w:val="122"/>
        <w:spacing w:before="120" w:after="120"/>
      </w:pPr>
      <w:r>
        <w:rPr>
          <w:rFonts w:hint="eastAsia"/>
        </w:rPr>
        <w:t>工具容器</w:t>
      </w:r>
    </w:p>
    <w:p>
      <w:pPr>
        <w:pStyle w:val="182"/>
      </w:pPr>
      <w:r>
        <w:rPr>
          <w:rFonts w:hint="eastAsia"/>
        </w:rPr>
        <w:t>盛放调味料的容器表面清洁、加盖存放，调味料未混放同一容器等情况；食品加工制作容器见明显的区分标识，是否及时清理。</w:t>
      </w:r>
    </w:p>
    <w:p>
      <w:pPr>
        <w:pStyle w:val="182"/>
      </w:pPr>
      <w:r>
        <w:rPr>
          <w:rFonts w:hint="eastAsia"/>
        </w:rPr>
        <w:t>用于加工动物性、植物性、水产品等食品原料的容器、工用具分开使用，有明显区分标识。</w:t>
      </w:r>
    </w:p>
    <w:p>
      <w:pPr>
        <w:pStyle w:val="182"/>
        <w:rPr>
          <w:vanish/>
        </w:rPr>
      </w:pPr>
      <w:r>
        <w:rPr>
          <w:rFonts w:hint="eastAsia"/>
        </w:rPr>
        <w:t>餐厨废弃物容器盖子为非手动开启式，及时清理。</w:t>
      </w:r>
    </w:p>
    <w:p>
      <w:pPr>
        <w:pStyle w:val="122"/>
        <w:numPr>
          <w:ilvl w:val="2"/>
          <w:numId w:val="0"/>
        </w:numPr>
        <w:spacing w:before="120" w:after="120"/>
      </w:pPr>
    </w:p>
    <w:p>
      <w:pPr>
        <w:pStyle w:val="122"/>
        <w:spacing w:before="120" w:after="120"/>
      </w:pPr>
      <w:r>
        <w:rPr>
          <w:rFonts w:hint="eastAsia"/>
        </w:rPr>
        <w:t>照明、通风排烟设施</w:t>
      </w:r>
    </w:p>
    <w:p>
      <w:pPr>
        <w:pStyle w:val="82"/>
        <w:spacing w:before="120" w:after="120"/>
      </w:pPr>
      <w:r>
        <w:rPr>
          <w:rFonts w:hint="eastAsia"/>
        </w:rPr>
        <w:t>照明设施</w:t>
      </w:r>
    </w:p>
    <w:p>
      <w:pPr>
        <w:pStyle w:val="181"/>
      </w:pPr>
      <w:r>
        <w:rPr>
          <w:rFonts w:hint="eastAsia"/>
        </w:rPr>
        <w:t>应有充足的自然采光或人工照明设施，能满足正常工作活动需要，光源不应改变食品的感官颜色。</w:t>
      </w:r>
    </w:p>
    <w:p>
      <w:pPr>
        <w:pStyle w:val="181"/>
      </w:pPr>
      <w:r>
        <w:rPr>
          <w:rFonts w:hint="eastAsia"/>
        </w:rPr>
        <w:t>在裸露食品正上方安装照明设施的，应使用安全型照明设施或者采取防护措施。</w:t>
      </w:r>
    </w:p>
    <w:p>
      <w:pPr>
        <w:pStyle w:val="82"/>
        <w:spacing w:before="120" w:after="120"/>
      </w:pPr>
      <w:r>
        <w:rPr>
          <w:rFonts w:hint="eastAsia"/>
        </w:rPr>
        <w:t>通风设施</w:t>
      </w:r>
    </w:p>
    <w:p>
      <w:pPr>
        <w:pStyle w:val="181"/>
      </w:pPr>
      <w:r>
        <w:rPr>
          <w:rFonts w:hint="eastAsia"/>
        </w:rPr>
        <w:t>应保持空气流通，并定期清洁消毒空调及通风设施。</w:t>
      </w:r>
    </w:p>
    <w:p>
      <w:pPr>
        <w:pStyle w:val="181"/>
      </w:pPr>
      <w:r>
        <w:rPr>
          <w:rFonts w:hint="eastAsia"/>
        </w:rPr>
        <w:t>与外界直接相通的排气口设有易清洗、耐腐蚀的防虫筛网。</w:t>
      </w:r>
    </w:p>
    <w:p>
      <w:pPr>
        <w:pStyle w:val="122"/>
        <w:spacing w:before="120" w:after="120"/>
      </w:pPr>
      <w:r>
        <w:rPr>
          <w:rFonts w:hint="eastAsia"/>
        </w:rPr>
        <w:t>加工制作</w:t>
      </w:r>
    </w:p>
    <w:p>
      <w:pPr>
        <w:pStyle w:val="182"/>
      </w:pPr>
      <w:r>
        <w:rPr>
          <w:rFonts w:hint="eastAsia"/>
        </w:rPr>
        <w:t>利器应由专人管理，员工使用前需签字才可领用，并在规定时间内归还。</w:t>
      </w:r>
    </w:p>
    <w:p>
      <w:pPr>
        <w:pStyle w:val="182"/>
      </w:pPr>
      <w:r>
        <w:rPr>
          <w:rFonts w:hint="eastAsia"/>
        </w:rPr>
        <w:t>食品加工用水应符合GB 5749的规定。</w:t>
      </w:r>
    </w:p>
    <w:p>
      <w:pPr>
        <w:pStyle w:val="182"/>
      </w:pPr>
      <w:r>
        <w:rPr>
          <w:rFonts w:hint="eastAsia"/>
        </w:rPr>
        <w:t>冷冻（藏）原料出库后，应及时加工制作，不宜反复解冻、冷冻。</w:t>
      </w:r>
    </w:p>
    <w:p>
      <w:pPr>
        <w:pStyle w:val="182"/>
      </w:pPr>
      <w:r>
        <w:rPr>
          <w:rFonts w:hint="eastAsia"/>
        </w:rPr>
        <w:t>宜使用冷藏解冻或冷水解冻方法进行解冻，解冻时合理防护，避免受到污染。使用微波解冻方法的，解冻后的原料应被立即加工制作。</w:t>
      </w:r>
    </w:p>
    <w:p>
      <w:pPr>
        <w:pStyle w:val="182"/>
      </w:pPr>
      <w:r>
        <w:rPr>
          <w:rFonts w:hint="eastAsia"/>
        </w:rPr>
        <w:t>应缩短解冻后的高危易腐食品原料在常温下的存放时间，食品原料的表面温度不宜超过8℃。</w:t>
      </w:r>
    </w:p>
    <w:p>
      <w:pPr>
        <w:pStyle w:val="182"/>
      </w:pPr>
      <w:r>
        <w:rPr>
          <w:rFonts w:hint="eastAsia"/>
        </w:rPr>
        <w:t>食品原料应洗净后使用。盛放或加工制作不同类型食品原料的工具和容器应分开使用。</w:t>
      </w:r>
    </w:p>
    <w:p>
      <w:pPr>
        <w:pStyle w:val="182"/>
      </w:pPr>
      <w:r>
        <w:rPr>
          <w:rFonts w:hint="eastAsia"/>
        </w:rPr>
        <w:t>应清洗禽蛋的外壳，必要时消毒外壳。破蛋后应单独存放在暂存容器内，确认禽蛋未变质后再合并存放。</w:t>
      </w:r>
    </w:p>
    <w:p>
      <w:pPr>
        <w:pStyle w:val="182"/>
      </w:pPr>
      <w:r>
        <w:rPr>
          <w:rFonts w:hint="eastAsia"/>
        </w:rPr>
        <w:t>加工前，应对热加工过程中需要用到的餐具、厨具、工作台及抹布等进行清洗消毒。</w:t>
      </w:r>
    </w:p>
    <w:p>
      <w:pPr>
        <w:pStyle w:val="182"/>
      </w:pPr>
      <w:r>
        <w:rPr>
          <w:rFonts w:hint="eastAsia"/>
        </w:rPr>
        <w:t>盛调料的容器使用后应加盖存放，宜在预包装调味料标签上标注生产日期、保质期等内容及开封日期。</w:t>
      </w:r>
    </w:p>
    <w:p>
      <w:pPr>
        <w:pStyle w:val="182"/>
      </w:pPr>
      <w:r>
        <w:rPr>
          <w:rFonts w:hint="eastAsia"/>
        </w:rPr>
        <w:t>加工后，将各种炊具、用具、容器洗刷干净，定位存放。</w:t>
      </w:r>
    </w:p>
    <w:p>
      <w:pPr>
        <w:pStyle w:val="182"/>
      </w:pPr>
      <w:r>
        <w:rPr>
          <w:rFonts w:hint="eastAsia"/>
        </w:rPr>
        <w:t>台面、地面每餐后应打扫一次，废弃物桶应及时清理，保持环境清洁。</w:t>
      </w:r>
    </w:p>
    <w:p>
      <w:pPr>
        <w:pStyle w:val="182"/>
      </w:pPr>
      <w:r>
        <w:rPr>
          <w:rFonts w:hint="eastAsia"/>
        </w:rPr>
        <w:t>应尽可能减少食品在烹饪过程中产生有害物质。</w:t>
      </w:r>
    </w:p>
    <w:p>
      <w:pPr>
        <w:pStyle w:val="182"/>
      </w:pPr>
      <w:r>
        <w:rPr>
          <w:rFonts w:hint="eastAsia"/>
        </w:rPr>
        <w:t>不应在餐饮加工场所贮存和添加由国务院食品安全监督管理部门会同国务院卫生行政等部门发布的非食品用化学物质和其他可能危害人体健康的物质。</w:t>
      </w:r>
    </w:p>
    <w:p>
      <w:pPr>
        <w:pStyle w:val="182"/>
      </w:pPr>
      <w:r>
        <w:rPr>
          <w:rFonts w:hint="eastAsia"/>
        </w:rPr>
        <w:t>油炸类食品、烧烤类食品、糕点类食品、自制饮品等加工过程应符合相关要求。</w:t>
      </w:r>
    </w:p>
    <w:p>
      <w:pPr>
        <w:pStyle w:val="182"/>
      </w:pPr>
      <w:r>
        <w:rPr>
          <w:rFonts w:hint="eastAsia"/>
        </w:rPr>
        <w:t>应彻底将食品烧熟煮透，副食加工时中心温度应不低于70℃，主食熟制过程中心温度＞90℃。成品出锅食物中心温度应大于70℃，存放温度、时间应符合相关要求。</w:t>
      </w:r>
    </w:p>
    <w:p>
      <w:pPr>
        <w:pStyle w:val="182"/>
      </w:pPr>
      <w:r>
        <w:rPr>
          <w:rFonts w:hint="eastAsia"/>
        </w:rPr>
        <w:t>应按照要求准确称量和记录有“最大使用量”规定的食品添加剂，不应超范围、超限量使用食品添加剂。</w:t>
      </w:r>
    </w:p>
    <w:p>
      <w:pPr>
        <w:pStyle w:val="182"/>
        <w:rPr>
          <w:rFonts w:hint="eastAsia"/>
        </w:rPr>
      </w:pPr>
      <w:r>
        <w:rPr>
          <w:rFonts w:hint="eastAsia"/>
        </w:rPr>
        <w:t>不应采购、贮存、使用亚硝酸盐（包括亚硝酸钠、亚硝酸钾）。</w:t>
      </w:r>
    </w:p>
    <w:p>
      <w:pPr>
        <w:pStyle w:val="182"/>
      </w:pPr>
      <w:r>
        <w:rPr>
          <w:rFonts w:hint="eastAsia"/>
        </w:rPr>
        <w:t>宜采取明厨亮照、视频实时监控（视频录像保存时长不低于3个月）等先进模式，</w:t>
      </w:r>
    </w:p>
    <w:p>
      <w:pPr>
        <w:pStyle w:val="122"/>
        <w:spacing w:before="120" w:after="120"/>
      </w:pPr>
      <w:r>
        <w:rPr>
          <w:rFonts w:hint="eastAsia"/>
        </w:rPr>
        <w:t>食品留样</w:t>
      </w:r>
    </w:p>
    <w:p>
      <w:pPr>
        <w:pStyle w:val="182"/>
      </w:pPr>
      <w:r>
        <w:rPr>
          <w:rFonts w:hint="eastAsia"/>
        </w:rPr>
        <w:t>应制定留样制度，对加工制作的每餐、每品种成品进行留样，留样设备应为双锁专人管理，食品留样容器定期清洗消毒，留样标签应标注有加工时间、样品名称、留样人、留样量；留样量应不少于150g，留样时间应不低于48小时，留样记录应完整。</w:t>
      </w:r>
    </w:p>
    <w:p>
      <w:pPr>
        <w:pStyle w:val="182"/>
      </w:pPr>
      <w:r>
        <w:rPr>
          <w:rFonts w:hint="eastAsia"/>
        </w:rPr>
        <w:t>留样应做到单品专盒专勺专柜留样。</w:t>
      </w:r>
    </w:p>
    <w:p>
      <w:pPr>
        <w:pStyle w:val="182"/>
      </w:pPr>
      <w:r>
        <w:rPr>
          <w:rFonts w:hint="eastAsia"/>
        </w:rPr>
        <w:t>留样区域应配置有24小时监控设施，监控应运转正常，且可存储和回查最近15天的监控记录内容。</w:t>
      </w:r>
    </w:p>
    <w:p>
      <w:pPr>
        <w:pStyle w:val="182"/>
      </w:pPr>
      <w:r>
        <w:rPr>
          <w:rFonts w:hint="eastAsia"/>
        </w:rPr>
        <w:t>留样冷藏柜应设有正确显示内部温度的测温装置。</w:t>
      </w:r>
    </w:p>
    <w:p>
      <w:pPr>
        <w:pStyle w:val="121"/>
        <w:spacing w:before="240" w:after="240"/>
        <w:rPr>
          <w:rFonts w:hint="eastAsia"/>
        </w:rPr>
      </w:pPr>
      <w:bookmarkStart w:id="51" w:name="_Toc85096903"/>
      <w:r>
        <w:rPr>
          <w:rFonts w:hint="eastAsia"/>
        </w:rPr>
        <w:t>餐用具清洗消毒保洁</w:t>
      </w:r>
      <w:bookmarkEnd w:id="51"/>
    </w:p>
    <w:p>
      <w:pPr>
        <w:pStyle w:val="122"/>
        <w:spacing w:before="120" w:after="120"/>
      </w:pPr>
      <w:r>
        <w:rPr>
          <w:rFonts w:hint="eastAsia"/>
        </w:rPr>
        <w:t>清洗</w:t>
      </w:r>
    </w:p>
    <w:p>
      <w:pPr>
        <w:pStyle w:val="182"/>
      </w:pPr>
      <w:r>
        <w:rPr>
          <w:rFonts w:hint="eastAsia"/>
        </w:rPr>
        <w:t>清洗消毒保洁设施应能满足生产所需。</w:t>
      </w:r>
    </w:p>
    <w:p>
      <w:pPr>
        <w:pStyle w:val="182"/>
      </w:pPr>
      <w:r>
        <w:rPr>
          <w:rFonts w:hint="eastAsia"/>
        </w:rPr>
        <w:t>餐用具清洗应按照清洗流程进行清洗，应设有专用的餐用具清洗消毒水池，并与食品原料、清洁用具及接触非直接入口食品的工具、容器清洗水池分开使用。</w:t>
      </w:r>
    </w:p>
    <w:p>
      <w:pPr>
        <w:pStyle w:val="182"/>
      </w:pPr>
      <w:r>
        <w:rPr>
          <w:rFonts w:hint="eastAsia"/>
        </w:rPr>
        <w:t>清洗消毒人员佩戴手套清洗消毒用具的，接触消毒后的餐用具前应更换手套。手套宜用颜色区分。</w:t>
      </w:r>
    </w:p>
    <w:p>
      <w:pPr>
        <w:pStyle w:val="182"/>
      </w:pPr>
      <w:r>
        <w:rPr>
          <w:rFonts w:hint="eastAsia"/>
        </w:rPr>
        <w:t>消毒后的餐饮具、盛放或接触直接入口食品的容器和工具，应符合GB 14934的规定。</w:t>
      </w:r>
    </w:p>
    <w:p>
      <w:pPr>
        <w:pStyle w:val="182"/>
      </w:pPr>
      <w:r>
        <w:rPr>
          <w:rFonts w:hint="eastAsia"/>
        </w:rPr>
        <w:t>宜沥干、烘干清洗消毒后的餐用具。使用抹布擦干的，抹布应专用，并经清洗消毒后方可使用。</w:t>
      </w:r>
    </w:p>
    <w:p>
      <w:pPr>
        <w:pStyle w:val="182"/>
      </w:pPr>
      <w:r>
        <w:rPr>
          <w:rFonts w:hint="eastAsia"/>
        </w:rPr>
        <w:t>清洗剂、消毒剂的包装上标识应清楚，有产品名称、生产厂名、厂址等信息。</w:t>
      </w:r>
    </w:p>
    <w:p>
      <w:pPr>
        <w:pStyle w:val="122"/>
        <w:spacing w:before="120" w:after="120"/>
      </w:pPr>
      <w:r>
        <w:rPr>
          <w:rFonts w:hint="eastAsia"/>
        </w:rPr>
        <w:t>消毒</w:t>
      </w:r>
    </w:p>
    <w:p>
      <w:pPr>
        <w:pStyle w:val="182"/>
      </w:pPr>
      <w:r>
        <w:rPr>
          <w:rFonts w:hint="eastAsia"/>
        </w:rPr>
        <w:t>采用物理消毒的，消毒设备应能正常运转，消毒温度和时间应符合相关要求。</w:t>
      </w:r>
    </w:p>
    <w:p>
      <w:pPr>
        <w:pStyle w:val="182"/>
      </w:pPr>
      <w:r>
        <w:rPr>
          <w:rFonts w:hint="eastAsia"/>
        </w:rPr>
        <w:t>采用化学消毒的，配有含氯等消毒剂和水池等消毒设施设备，消毒液配制行为和消毒液浓度应符合相关要求。</w:t>
      </w:r>
    </w:p>
    <w:p>
      <w:pPr>
        <w:pStyle w:val="182"/>
      </w:pPr>
      <w:r>
        <w:rPr>
          <w:rFonts w:hint="eastAsia"/>
        </w:rPr>
        <w:t>委托餐饮具集中消毒服务单位提供清洗消毒服务的，应查验留存餐饮具集中消毒服务单位的营业执照复印件和消毒合格证明。</w:t>
      </w:r>
    </w:p>
    <w:p>
      <w:pPr>
        <w:pStyle w:val="182"/>
      </w:pPr>
      <w:r>
        <w:rPr>
          <w:rFonts w:hint="eastAsia"/>
        </w:rPr>
        <w:t>应制定餐具年度送检计划（计划是否是每月一次），委托有资质的第三方检验机构对餐具进行抽样检测的，应取得合格的检验报告。</w:t>
      </w:r>
    </w:p>
    <w:p>
      <w:pPr>
        <w:pStyle w:val="122"/>
        <w:spacing w:before="120" w:after="120"/>
      </w:pPr>
      <w:r>
        <w:rPr>
          <w:rFonts w:hint="eastAsia"/>
        </w:rPr>
        <w:t>保洁设施</w:t>
      </w:r>
    </w:p>
    <w:p>
      <w:pPr>
        <w:pStyle w:val="182"/>
      </w:pPr>
      <w:r>
        <w:rPr>
          <w:rFonts w:hint="eastAsia"/>
        </w:rPr>
        <w:t>使用的一次性餐具材质应为可降解和符合食品安全要求的一次性餐饮具。</w:t>
      </w:r>
    </w:p>
    <w:p>
      <w:pPr>
        <w:pStyle w:val="182"/>
      </w:pPr>
      <w:r>
        <w:rPr>
          <w:rFonts w:hint="eastAsia"/>
        </w:rPr>
        <w:t>消毒后的餐饮具应按要求存放在清洁、专用、密闭的保洁设施中，有明显区分标识。</w:t>
      </w:r>
    </w:p>
    <w:p>
      <w:pPr>
        <w:pStyle w:val="182"/>
      </w:pPr>
      <w:r>
        <w:rPr>
          <w:rFonts w:hint="eastAsia"/>
        </w:rPr>
        <w:t>使用敞开式的货架存放餐饮具，应采取防护措施。</w:t>
      </w:r>
    </w:p>
    <w:p>
      <w:pPr>
        <w:pStyle w:val="182"/>
      </w:pPr>
      <w:r>
        <w:rPr>
          <w:rFonts w:hint="eastAsia"/>
        </w:rPr>
        <w:t>餐饮具表面应清洁，无附着食物残渣、油渍、泡沫、异味等情况。</w:t>
      </w:r>
    </w:p>
    <w:p>
      <w:pPr>
        <w:pStyle w:val="182"/>
      </w:pPr>
      <w:r>
        <w:rPr>
          <w:rFonts w:hint="eastAsia"/>
        </w:rPr>
        <w:t>盛放食品及原料的容器和加工制作工具应根据不同用途进行分类管理、定位存放，应有明显标识区分。</w:t>
      </w:r>
    </w:p>
    <w:p>
      <w:pPr>
        <w:pStyle w:val="182"/>
      </w:pPr>
      <w:r>
        <w:rPr>
          <w:rFonts w:hint="eastAsia"/>
        </w:rPr>
        <w:t>应配备存放消毒后的餐饮具、盛放或接触直接入口食品的容器和工具的专用密闭保洁设备，并定期消毒、检查设备，保证其正常运行。</w:t>
      </w:r>
    </w:p>
    <w:p>
      <w:pPr>
        <w:pStyle w:val="121"/>
        <w:spacing w:before="240" w:after="240"/>
        <w:rPr>
          <w:rFonts w:hint="eastAsia"/>
        </w:rPr>
      </w:pPr>
      <w:bookmarkStart w:id="52" w:name="_Toc85096904"/>
      <w:r>
        <w:rPr>
          <w:rFonts w:hint="eastAsia"/>
        </w:rPr>
        <w:t>配送</w:t>
      </w:r>
      <w:bookmarkEnd w:id="52"/>
    </w:p>
    <w:p>
      <w:pPr>
        <w:pStyle w:val="122"/>
        <w:spacing w:before="120" w:after="120"/>
      </w:pPr>
      <w:r>
        <w:rPr>
          <w:rFonts w:hint="eastAsia"/>
        </w:rPr>
        <w:t>设施设备</w:t>
      </w:r>
    </w:p>
    <w:p>
      <w:pPr>
        <w:pStyle w:val="182"/>
      </w:pPr>
      <w:r>
        <w:rPr>
          <w:rFonts w:hint="eastAsia"/>
        </w:rPr>
        <w:t>配送前，应对车辆和盛放食品成品的容器（一次性容器除外）进行清洗消毒。</w:t>
      </w:r>
    </w:p>
    <w:p>
      <w:pPr>
        <w:pStyle w:val="182"/>
      </w:pPr>
      <w:r>
        <w:rPr>
          <w:rFonts w:hint="eastAsia"/>
        </w:rPr>
        <w:t>配送食品的包装或容器上应标注中央厨房或集体用餐配送单位的名称、地址、许可证号、联系方式、以及食品名称、加工制作时间、保存条件、保存期限、加工制作要求等相关内容。</w:t>
      </w:r>
    </w:p>
    <w:p>
      <w:pPr>
        <w:pStyle w:val="182"/>
      </w:pPr>
      <w:r>
        <w:rPr>
          <w:rFonts w:hint="eastAsia"/>
        </w:rPr>
        <w:t>配送的食品应有包装（如密封塑袋包装）或使用密闭容器（如加盖周转箱）盛放。容器材料应符合食品安全国家标准或有关规定。</w:t>
      </w:r>
    </w:p>
    <w:p>
      <w:pPr>
        <w:pStyle w:val="182"/>
      </w:pPr>
      <w:r>
        <w:rPr>
          <w:rFonts w:hint="eastAsia"/>
        </w:rPr>
        <w:t>配送前，应对运输车辆进行安全驾驶检查，有相关检查记录。</w:t>
      </w:r>
    </w:p>
    <w:p>
      <w:pPr>
        <w:pStyle w:val="182"/>
      </w:pPr>
      <w:r>
        <w:rPr>
          <w:rFonts w:hint="eastAsia"/>
        </w:rPr>
        <w:t>应使用专用的密闭容器和车辆配送食品。配送食品的车辆与运输应与杀虫剂、杀鼠剂等有毒有害物品的车辆分开使用。</w:t>
      </w:r>
    </w:p>
    <w:p>
      <w:pPr>
        <w:pStyle w:val="182"/>
        <w:rPr>
          <w:rFonts w:hint="eastAsia"/>
        </w:rPr>
      </w:pPr>
      <w:r>
        <w:rPr>
          <w:rFonts w:hint="eastAsia"/>
        </w:rPr>
        <w:t>对温度、湿度等有特殊要求的食品贮存、运输应配备保温、冷藏或者冷冻等设备设施，设备能保持有效运行。</w:t>
      </w:r>
    </w:p>
    <w:p>
      <w:pPr>
        <w:pStyle w:val="182"/>
      </w:pPr>
      <w:r>
        <w:rPr>
          <w:rFonts w:hint="eastAsia"/>
        </w:rPr>
        <w:t>配送食品的车辆宜采用对温度有要求的制冷或热链恒温车。</w:t>
      </w:r>
    </w:p>
    <w:p>
      <w:pPr>
        <w:pStyle w:val="122"/>
        <w:spacing w:before="120" w:after="120"/>
      </w:pPr>
      <w:r>
        <w:rPr>
          <w:rFonts w:hint="eastAsia"/>
        </w:rPr>
        <w:t>配送条件要求</w:t>
      </w:r>
    </w:p>
    <w:p>
      <w:pPr>
        <w:pStyle w:val="182"/>
      </w:pPr>
      <w:r>
        <w:rPr>
          <w:rFonts w:hint="eastAsia"/>
        </w:rPr>
        <w:t>食品的配送时间、温度应符合相关要求。</w:t>
      </w:r>
    </w:p>
    <w:p>
      <w:pPr>
        <w:pStyle w:val="182"/>
      </w:pPr>
      <w:r>
        <w:rPr>
          <w:rFonts w:hint="eastAsia"/>
        </w:rPr>
        <w:t>应确保货单同行，启动配送前再次确认车记录仪、GPS等设备运正常、车门正常关闭、上锁。</w:t>
      </w:r>
    </w:p>
    <w:p>
      <w:pPr>
        <w:pStyle w:val="182"/>
      </w:pPr>
      <w:r>
        <w:rPr>
          <w:rFonts w:hint="eastAsia"/>
        </w:rPr>
        <w:t>应按照规定行车路线及时间准时出车，正常情况下应按时抵达各送货地点。</w:t>
      </w:r>
    </w:p>
    <w:p>
      <w:pPr>
        <w:pStyle w:val="182"/>
      </w:pPr>
      <w:r>
        <w:rPr>
          <w:rFonts w:hint="eastAsia"/>
        </w:rPr>
        <w:t>应保持车辆平稳。</w:t>
      </w:r>
    </w:p>
    <w:p>
      <w:pPr>
        <w:pStyle w:val="182"/>
      </w:pPr>
      <w:r>
        <w:rPr>
          <w:rFonts w:hint="eastAsia"/>
        </w:rPr>
        <w:t>配送途中不宜随意撕毁封条或开锁。</w:t>
      </w:r>
    </w:p>
    <w:p>
      <w:pPr>
        <w:pStyle w:val="122"/>
        <w:spacing w:before="120" w:after="120"/>
      </w:pPr>
      <w:r>
        <w:rPr>
          <w:rFonts w:hint="eastAsia"/>
        </w:rPr>
        <w:t>交接签收要求</w:t>
      </w:r>
    </w:p>
    <w:p>
      <w:pPr>
        <w:pStyle w:val="182"/>
      </w:pPr>
      <w:r>
        <w:rPr>
          <w:rFonts w:hint="eastAsia"/>
        </w:rPr>
        <w:t>交接签收时应按照交接程序，填写相关配餐验收记录。</w:t>
      </w:r>
    </w:p>
    <w:p>
      <w:pPr>
        <w:pStyle w:val="182"/>
      </w:pPr>
      <w:r>
        <w:rPr>
          <w:rFonts w:hint="eastAsia"/>
        </w:rPr>
        <w:t>应由配送人员与客户既定收货人同时测定食品中心温度，不应低于60℃，客户既定收货人按照货单验收确认无误填写签收单。</w:t>
      </w:r>
    </w:p>
    <w:p>
      <w:pPr>
        <w:pStyle w:val="182"/>
      </w:pPr>
      <w:r>
        <w:rPr>
          <w:rFonts w:hint="eastAsia"/>
        </w:rPr>
        <w:t>应与客户协定在指定位置进行留样，留样要求参照</w:t>
      </w:r>
      <w:r>
        <w:t>T/GZTC 4</w:t>
      </w:r>
      <w:r>
        <w:rPr>
          <w:rFonts w:hint="eastAsia"/>
        </w:rPr>
        <w:t>。</w:t>
      </w:r>
    </w:p>
    <w:p>
      <w:pPr>
        <w:pStyle w:val="182"/>
      </w:pPr>
      <w:r>
        <w:rPr>
          <w:rFonts w:hint="eastAsia"/>
        </w:rPr>
        <w:t>配送人员在交接过程中应佩戴口罩、手套。</w:t>
      </w:r>
    </w:p>
    <w:p>
      <w:pPr>
        <w:pStyle w:val="182"/>
        <w:rPr>
          <w:rFonts w:hint="eastAsia"/>
        </w:rPr>
      </w:pPr>
      <w:r>
        <w:rPr>
          <w:rFonts w:hint="eastAsia"/>
        </w:rPr>
        <w:t>宜全程录音录像。</w:t>
      </w:r>
    </w:p>
    <w:p>
      <w:pPr>
        <w:pStyle w:val="121"/>
        <w:spacing w:before="240" w:after="240"/>
        <w:rPr>
          <w:rFonts w:hint="eastAsia"/>
        </w:rPr>
      </w:pPr>
      <w:bookmarkStart w:id="53" w:name="_Toc85096905"/>
      <w:r>
        <w:rPr>
          <w:rFonts w:hint="eastAsia"/>
        </w:rPr>
        <w:t>其他</w:t>
      </w:r>
      <w:bookmarkEnd w:id="53"/>
    </w:p>
    <w:p>
      <w:pPr>
        <w:pStyle w:val="179"/>
        <w:rPr>
          <w:rFonts w:hint="eastAsia"/>
        </w:rPr>
      </w:pPr>
      <w:r>
        <w:rPr>
          <w:rFonts w:hint="eastAsia"/>
        </w:rPr>
        <w:t>宜设有独立检验室，能开展相应项目的检测且符合要求检验记录的；或与有资质的第三方检验检验机构签订委托抽样检验合同或协议的。</w:t>
      </w:r>
    </w:p>
    <w:p>
      <w:pPr>
        <w:pStyle w:val="179"/>
        <w:sectPr>
          <w:pgSz w:w="11906" w:h="16838"/>
          <w:pgMar w:top="2410" w:right="1134" w:bottom="1134" w:left="1134" w:header="1418" w:footer="1134" w:gutter="284"/>
          <w:cols w:space="425" w:num="1"/>
          <w:formProt w:val="0"/>
          <w:docGrid w:linePitch="312" w:charSpace="0"/>
        </w:sectPr>
      </w:pPr>
      <w:r>
        <w:rPr>
          <w:rFonts w:hint="eastAsia"/>
        </w:rPr>
        <w:t>宜引入现代化电子管理系统，如电子索证索票检索系统等管理系统的。</w:t>
      </w:r>
    </w:p>
    <w:bookmarkEnd w:id="19"/>
    <w:p>
      <w:pPr>
        <w:pStyle w:val="215"/>
        <w:numPr>
          <w:ilvl w:val="0"/>
          <w:numId w:val="0"/>
        </w:numPr>
        <w:rPr>
          <w:vanish w:val="0"/>
        </w:rPr>
      </w:pPr>
      <w:bookmarkStart w:id="54" w:name="BookMark5"/>
    </w:p>
    <w:p>
      <w:pPr>
        <w:pStyle w:val="216"/>
        <w:numPr>
          <w:ilvl w:val="0"/>
          <w:numId w:val="0"/>
        </w:numPr>
        <w:rPr>
          <w:vanish w:val="0"/>
        </w:rPr>
      </w:pPr>
    </w:p>
    <w:p>
      <w:pPr>
        <w:pStyle w:val="93"/>
        <w:numPr>
          <w:ilvl w:val="0"/>
          <w:numId w:val="0"/>
        </w:numPr>
        <w:spacing w:before="60" w:after="120"/>
      </w:pPr>
      <w:bookmarkStart w:id="55" w:name="_Toc85096906"/>
      <w:r>
        <w:rPr>
          <w:rFonts w:hint="eastAsia"/>
        </w:rPr>
        <w:t>附录A</w:t>
      </w:r>
      <w:r>
        <w:br w:type="textWrapping"/>
      </w:r>
      <w:r>
        <w:rPr>
          <w:rFonts w:hint="eastAsia"/>
        </w:rPr>
        <w:t>（资料性）</w:t>
      </w:r>
      <w:r>
        <w:br w:type="textWrapping"/>
      </w:r>
      <w:r>
        <w:rPr>
          <w:rFonts w:hint="eastAsia"/>
        </w:rPr>
        <w:t>贵州省团餐企业良好操作等级评分表</w:t>
      </w:r>
      <w:bookmarkEnd w:id="55"/>
    </w:p>
    <w:p>
      <w:pPr>
        <w:pStyle w:val="94"/>
        <w:spacing w:before="120" w:after="120"/>
      </w:pPr>
      <w:r>
        <w:rPr>
          <w:rFonts w:hint="eastAsia"/>
        </w:rPr>
        <w:t>贵州省团餐企业良好操作等级评分表</w:t>
      </w:r>
    </w:p>
    <w:tbl>
      <w:tblPr>
        <w:tblStyle w:val="41"/>
        <w:tblW w:w="13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00"/>
        <w:gridCol w:w="1181"/>
        <w:gridCol w:w="1125"/>
        <w:gridCol w:w="6084"/>
        <w:gridCol w:w="1488"/>
        <w:gridCol w:w="90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19"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检查点位项目名称</w:t>
            </w:r>
          </w:p>
        </w:tc>
        <w:tc>
          <w:tcPr>
            <w:tcW w:w="700"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项目序号</w:t>
            </w:r>
          </w:p>
        </w:tc>
        <w:tc>
          <w:tcPr>
            <w:tcW w:w="1181"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检查项目</w:t>
            </w:r>
          </w:p>
        </w:tc>
        <w:tc>
          <w:tcPr>
            <w:tcW w:w="1125"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检查序号</w:t>
            </w:r>
          </w:p>
        </w:tc>
        <w:tc>
          <w:tcPr>
            <w:tcW w:w="6084"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检查内容</w:t>
            </w:r>
          </w:p>
        </w:tc>
        <w:tc>
          <w:tcPr>
            <w:tcW w:w="1488"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检查结果</w:t>
            </w:r>
          </w:p>
        </w:tc>
        <w:tc>
          <w:tcPr>
            <w:tcW w:w="901"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分值</w:t>
            </w:r>
          </w:p>
        </w:tc>
        <w:tc>
          <w:tcPr>
            <w:tcW w:w="1118" w:type="dxa"/>
            <w:shd w:val="clear" w:color="auto" w:fill="auto"/>
            <w:vAlign w:val="center"/>
          </w:tcPr>
          <w:p>
            <w:pPr>
              <w:adjustRightInd/>
              <w:spacing w:line="240" w:lineRule="auto"/>
              <w:jc w:val="center"/>
              <w:textAlignment w:val="baseline"/>
              <w:rPr>
                <w:rFonts w:ascii="宋体" w:hAnsi="宋体" w:cs="仿宋_GB2312"/>
                <w:b/>
                <w:bCs/>
                <w:sz w:val="18"/>
                <w:szCs w:val="18"/>
              </w:rPr>
            </w:pPr>
            <w:r>
              <w:rPr>
                <w:rFonts w:hint="eastAsia" w:ascii="宋体" w:hAnsi="宋体" w:cs="仿宋_GB2312"/>
                <w:b/>
                <w:bCs/>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资质</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信息</w:t>
            </w:r>
            <w:r>
              <w:rPr>
                <w:rFonts w:hint="eastAsia" w:ascii="宋体" w:hAnsi="宋体" w:cs="仿宋_GB2312"/>
                <w:sz w:val="18"/>
                <w:szCs w:val="18"/>
              </w:rPr>
              <w:br w:type="textWrapping"/>
            </w:r>
            <w:r>
              <w:rPr>
                <w:rFonts w:hint="eastAsia" w:ascii="宋体" w:hAnsi="宋体" w:cs="仿宋_GB2312"/>
                <w:sz w:val="18"/>
                <w:szCs w:val="18"/>
              </w:rPr>
              <w:t>公示</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(4分)</w:t>
            </w: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★1.1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是否在经营场所醒目位置公示营业执照、食品经营许可证。</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vAlign w:val="center"/>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★1.2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是否公示从业人员有效健康证明、食品安全负责人和管理人员信息。</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vAlign w:val="center"/>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★1.3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是否公示餐饮服务食品安全责任承诺书。</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vAlign w:val="center"/>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★1.4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是否公示行政主管部门上一次日常监督检查结果记录表。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vAlign w:val="center"/>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2</w:t>
            </w:r>
          </w:p>
        </w:tc>
        <w:tc>
          <w:tcPr>
            <w:tcW w:w="1181"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经营许可(2分)</w:t>
            </w: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营业执照、食品经营许可证是否合法有效、与经营场所（实体地址）、主体业态、经营项目等事项是否一致。</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vAlign w:val="center"/>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制度</w:t>
            </w:r>
            <w:r>
              <w:rPr>
                <w:rFonts w:hint="eastAsia" w:ascii="宋体" w:hAnsi="宋体" w:cs="仿宋_GB2312"/>
                <w:sz w:val="18"/>
                <w:szCs w:val="18"/>
              </w:rPr>
              <w:br w:type="textWrapping"/>
            </w:r>
            <w:r>
              <w:rPr>
                <w:rFonts w:hint="eastAsia" w:ascii="宋体" w:hAnsi="宋体" w:cs="仿宋_GB2312"/>
                <w:sz w:val="18"/>
                <w:szCs w:val="18"/>
              </w:rPr>
              <w:t>管理</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3</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制度</w:t>
            </w:r>
            <w:r>
              <w:rPr>
                <w:rFonts w:hint="eastAsia" w:ascii="宋体" w:hAnsi="宋体" w:cs="仿宋_GB2312"/>
                <w:sz w:val="18"/>
                <w:szCs w:val="18"/>
              </w:rPr>
              <w:br w:type="textWrapping"/>
            </w:r>
            <w:r>
              <w:rPr>
                <w:rFonts w:hint="eastAsia" w:ascii="宋体" w:hAnsi="宋体" w:cs="仿宋_GB2312"/>
                <w:sz w:val="18"/>
                <w:szCs w:val="18"/>
              </w:rPr>
              <w:t>落实</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(14分)</w:t>
            </w: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★3.1</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设立食品安全管理机构，配备专职食品安全管理人员；是否制定食品安全事故处置预案；是否建立从业人员健康管理、食品安全自查、食品进货查验、索证索票、食品留样、从业人员培训考核、食品配送、食品召回等食品安全相关管理制度。</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★3.2</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是否落实食品安全应急预案、每年开展一次应急演练、每周一次食品安全自查相关制度，是否有记录。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★3.3</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是否落实食品进货查验制度、索证索票和台账记录；是否有相关记录。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★3.4</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是否落实食品安全知识培训考核制度，是否制定年度食品安全培训计划、食品安全培训考试记录。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★3.5</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是否落实餐用具清洗消毒制度，洗消场所是否符合要求，洗消设施设备是否正常运行并定期进行维修保养，是否有相关记录。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★3.6</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是否落实除四害防治及紫外线消毒制度、是否有除四害防治年度计划及是否使用国家规定的合理有效消毒方式进行消毒并记录。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★3.7</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是否与有合法资质的餐厨废弃物回收者签订餐厨废弃物处置合同或者协议；是否建立餐厨废弃物处置登记台账。</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napToGrid w:val="0"/>
              <w:spacing w:before="78" w:line="240" w:lineRule="auto"/>
              <w:textAlignment w:val="baseline"/>
              <w:rPr>
                <w:rFonts w:ascii="宋体" w:hAnsi="宋体" w:cs="仿宋_GB2312"/>
                <w:b/>
                <w:bCs/>
                <w:color w:val="000000"/>
                <w:sz w:val="18"/>
                <w:szCs w:val="18"/>
              </w:rPr>
            </w:pPr>
            <w:r>
              <w:rPr>
                <w:rFonts w:hint="eastAsia" w:ascii="宋体" w:hAnsi="宋体" w:cs="仿宋_GB2312"/>
                <w:b/>
                <w:bCs/>
                <w:color w:val="000000"/>
                <w:sz w:val="18"/>
                <w:szCs w:val="18"/>
              </w:rPr>
              <w:t>3.8</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是否购买食品安全责任险。</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人</w:t>
            </w:r>
            <w:r>
              <w:rPr>
                <w:rFonts w:hint="eastAsia" w:ascii="宋体" w:hAnsi="宋体" w:cs="仿宋_GB2312"/>
                <w:sz w:val="18"/>
                <w:szCs w:val="18"/>
              </w:rPr>
              <w:br w:type="textWrapping"/>
            </w:r>
            <w:r>
              <w:rPr>
                <w:rFonts w:hint="eastAsia" w:ascii="宋体" w:hAnsi="宋体" w:cs="仿宋_GB2312"/>
                <w:sz w:val="18"/>
                <w:szCs w:val="18"/>
              </w:rPr>
              <w:t>员</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4</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人员</w:t>
            </w:r>
            <w:r>
              <w:rPr>
                <w:rFonts w:hint="eastAsia" w:ascii="宋体" w:hAnsi="宋体" w:cs="仿宋_GB2312"/>
                <w:sz w:val="18"/>
                <w:szCs w:val="18"/>
              </w:rPr>
              <w:br w:type="textWrapping"/>
            </w:r>
            <w:r>
              <w:rPr>
                <w:rFonts w:hint="eastAsia" w:ascii="宋体" w:hAnsi="宋体" w:cs="仿宋_GB2312"/>
                <w:sz w:val="18"/>
                <w:szCs w:val="18"/>
              </w:rPr>
              <w:t>管理</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(4分)</w:t>
            </w:r>
          </w:p>
        </w:tc>
        <w:tc>
          <w:tcPr>
            <w:tcW w:w="1125" w:type="dxa"/>
            <w:shd w:val="clear" w:color="auto" w:fill="auto"/>
          </w:tcPr>
          <w:p>
            <w:pPr>
              <w:adjustRightInd/>
              <w:snapToGrid w:val="0"/>
              <w:spacing w:before="78" w:line="240" w:lineRule="auto"/>
              <w:jc w:val="center"/>
              <w:textAlignment w:val="baseline"/>
              <w:rPr>
                <w:rFonts w:ascii="宋体" w:hAnsi="宋体" w:cs="仿宋_GB2312"/>
                <w:color w:val="000000"/>
                <w:sz w:val="18"/>
                <w:szCs w:val="18"/>
              </w:rPr>
            </w:pPr>
            <w:r>
              <w:rPr>
                <w:rFonts w:hint="eastAsia" w:ascii="宋体" w:hAnsi="宋体" w:cs="仿宋_GB2312"/>
                <w:b/>
                <w:bCs/>
                <w:color w:val="000000"/>
                <w:sz w:val="18"/>
                <w:szCs w:val="18"/>
              </w:rPr>
              <w:t>★4.1</w:t>
            </w:r>
          </w:p>
        </w:tc>
        <w:tc>
          <w:tcPr>
            <w:tcW w:w="6084" w:type="dxa"/>
            <w:shd w:val="clear" w:color="auto" w:fill="auto"/>
          </w:tcPr>
          <w:p>
            <w:pPr>
              <w:adjustRightInd/>
              <w:spacing w:line="240" w:lineRule="auto"/>
              <w:textAlignment w:val="baseline"/>
              <w:rPr>
                <w:rFonts w:ascii="宋体" w:hAnsi="宋体" w:cs="仿宋_GB2312"/>
                <w:color w:val="000000"/>
                <w:sz w:val="18"/>
                <w:szCs w:val="18"/>
              </w:rPr>
            </w:pPr>
            <w:r>
              <w:rPr>
                <w:rFonts w:hint="eastAsia" w:ascii="宋体" w:hAnsi="宋体" w:cs="仿宋_GB2312"/>
                <w:sz w:val="18"/>
                <w:szCs w:val="18"/>
              </w:rPr>
              <w:t>是否落实人员健康晨检管理制度，是否让禁止患有霍乱、细菌性和阿米巴性痢疾、伤寒和副伤寒、病毒性肝炎（甲型、戊型）、活动性肺结核，化脓性或者渗出性皮肤病等国务院卫生行政部门规定的有碍食品安全疾病人员，从事接触直接入口食品的工作。</w:t>
            </w:r>
          </w:p>
        </w:tc>
        <w:tc>
          <w:tcPr>
            <w:tcW w:w="1488" w:type="dxa"/>
            <w:shd w:val="clear" w:color="auto" w:fill="auto"/>
            <w:vAlign w:val="center"/>
          </w:tcPr>
          <w:p>
            <w:pPr>
              <w:adjustRightInd/>
              <w:spacing w:line="240" w:lineRule="auto"/>
              <w:textAlignment w:val="baseline"/>
              <w:rPr>
                <w:rFonts w:ascii="宋体" w:hAnsi="宋体" w:cs="仿宋_GB2312"/>
                <w:color w:val="000000"/>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color w:val="000000"/>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napToGrid w:val="0"/>
              <w:spacing w:before="78"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★4.2</w:t>
            </w:r>
          </w:p>
        </w:tc>
        <w:tc>
          <w:tcPr>
            <w:tcW w:w="6084" w:type="dxa"/>
            <w:shd w:val="clear" w:color="auto" w:fill="auto"/>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落实从业人员个人卫生制度；是否规范穿戴工作衣帽并佩戴口罩、不得留长指甲、不得涂指甲油、不得佩带饰物、保持手部、衣帽整洁、头发不得外露、不得在食品处理区内吸烟或饮食等可能污染食品的行为。</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环</w:t>
            </w:r>
            <w:r>
              <w:rPr>
                <w:rFonts w:hint="eastAsia" w:ascii="宋体" w:hAnsi="宋体" w:cs="仿宋_GB2312"/>
                <w:sz w:val="18"/>
                <w:szCs w:val="18"/>
              </w:rPr>
              <w:br w:type="textWrapping"/>
            </w:r>
            <w:r>
              <w:rPr>
                <w:rFonts w:hint="eastAsia" w:ascii="宋体" w:hAnsi="宋体" w:cs="仿宋_GB2312"/>
                <w:sz w:val="18"/>
                <w:szCs w:val="18"/>
              </w:rPr>
              <w:t>境</w:t>
            </w:r>
            <w:r>
              <w:rPr>
                <w:rFonts w:hint="eastAsia" w:ascii="宋体" w:hAnsi="宋体" w:cs="仿宋_GB2312"/>
                <w:sz w:val="18"/>
                <w:szCs w:val="18"/>
              </w:rPr>
              <w:br w:type="textWrapping"/>
            </w:r>
            <w:r>
              <w:rPr>
                <w:rFonts w:hint="eastAsia" w:ascii="宋体" w:hAnsi="宋体" w:cs="仿宋_GB2312"/>
                <w:sz w:val="18"/>
                <w:szCs w:val="18"/>
              </w:rPr>
              <w:t>卫</w:t>
            </w:r>
            <w:r>
              <w:rPr>
                <w:rFonts w:hint="eastAsia" w:ascii="宋体" w:hAnsi="宋体" w:cs="仿宋_GB2312"/>
                <w:sz w:val="18"/>
                <w:szCs w:val="18"/>
              </w:rPr>
              <w:br w:type="textWrapping"/>
            </w:r>
            <w:r>
              <w:rPr>
                <w:rFonts w:hint="eastAsia" w:ascii="宋体" w:hAnsi="宋体" w:cs="仿宋_GB2312"/>
                <w:sz w:val="18"/>
                <w:szCs w:val="18"/>
              </w:rPr>
              <w:t>生</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5</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环境</w:t>
            </w:r>
            <w:r>
              <w:rPr>
                <w:rFonts w:hint="eastAsia" w:ascii="宋体" w:hAnsi="宋体" w:cs="仿宋_GB2312"/>
                <w:sz w:val="18"/>
                <w:szCs w:val="18"/>
              </w:rPr>
              <w:br w:type="textWrapping"/>
            </w:r>
            <w:r>
              <w:rPr>
                <w:rFonts w:hint="eastAsia" w:ascii="宋体" w:hAnsi="宋体" w:cs="仿宋_GB2312"/>
                <w:sz w:val="18"/>
                <w:szCs w:val="18"/>
              </w:rPr>
              <w:t>卫生</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(9分)</w:t>
            </w: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食品加工用水是否符合生活饮用水卫生标准，食品加工场所是否设置有一定坡度的排水沟、排水出水口是否做四害防护措施。</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处理区天花板、墙壁、地面、门窗是否采用无毒、无异味、防霉、防水、不易脱落、易于清洁的材料，结构上利于防止冷凝水垂直下落；与外界直接相通的门、窗是否采取有效措施（如安装空气幕、灭蝇灯、防虫纱窗、防鼠板等）防止有害生物入侵。</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食品处理区地面地砖是否完整无破损，不易藏油污，利于清洗消毒；地面排水是否流畅无积水。</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食品处理区是否按照原料进入、原料处理、加工制作、成品供应的顺序合理布局，是否能防止食品在存放操作中产生交叉污染。</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食品处理区卫生是否整洁、无乱堆乱放；食品加工设施设备、工具、用具、容器等是否定期清洁消毒。</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5.6</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卫生间是否设置在食品处理区外，设置距离是否符合要求、环境卫生是否定期清扫。</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5.7</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食品处理区是否配备足够的洗手消毒设施。</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5.8</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是否设有专用的拖把等清洁工具、用具的清洗池，其位置对食品及其加工制作过程不会造成污染。</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原</w:t>
            </w:r>
            <w:r>
              <w:rPr>
                <w:rFonts w:hint="eastAsia" w:ascii="宋体" w:hAnsi="宋体" w:cs="仿宋_GB2312"/>
                <w:sz w:val="18"/>
                <w:szCs w:val="18"/>
              </w:rPr>
              <w:br w:type="textWrapping"/>
            </w:r>
            <w:r>
              <w:rPr>
                <w:rFonts w:hint="eastAsia" w:ascii="宋体" w:hAnsi="宋体" w:cs="仿宋_GB2312"/>
                <w:sz w:val="18"/>
                <w:szCs w:val="18"/>
              </w:rPr>
              <w:t>材</w:t>
            </w:r>
            <w:r>
              <w:rPr>
                <w:rFonts w:hint="eastAsia" w:ascii="宋体" w:hAnsi="宋体" w:cs="仿宋_GB2312"/>
                <w:sz w:val="18"/>
                <w:szCs w:val="18"/>
              </w:rPr>
              <w:br w:type="textWrapping"/>
            </w:r>
            <w:r>
              <w:rPr>
                <w:rFonts w:hint="eastAsia" w:ascii="宋体" w:hAnsi="宋体" w:cs="仿宋_GB2312"/>
                <w:sz w:val="18"/>
                <w:szCs w:val="18"/>
              </w:rPr>
              <w:t>料</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6</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 xml:space="preserve"> 原料</w:t>
            </w:r>
            <w:r>
              <w:rPr>
                <w:rFonts w:hint="eastAsia" w:ascii="宋体" w:hAnsi="宋体" w:cs="仿宋_GB2312"/>
                <w:sz w:val="18"/>
                <w:szCs w:val="18"/>
              </w:rPr>
              <w:br w:type="textWrapping"/>
            </w:r>
            <w:r>
              <w:rPr>
                <w:rFonts w:hint="eastAsia" w:ascii="宋体" w:hAnsi="宋体" w:cs="仿宋_GB2312"/>
                <w:sz w:val="18"/>
                <w:szCs w:val="18"/>
              </w:rPr>
              <w:t>质量</w:t>
            </w:r>
            <w:r>
              <w:rPr>
                <w:rFonts w:hint="eastAsia" w:ascii="宋体" w:hAnsi="宋体" w:cs="仿宋_GB2312"/>
                <w:sz w:val="18"/>
                <w:szCs w:val="18"/>
              </w:rPr>
              <w:br w:type="textWrapping"/>
            </w:r>
            <w:r>
              <w:rPr>
                <w:rFonts w:hint="eastAsia" w:ascii="宋体" w:hAnsi="宋体" w:cs="仿宋_GB2312"/>
                <w:sz w:val="18"/>
                <w:szCs w:val="18"/>
              </w:rPr>
              <w:t>检查</w:t>
            </w:r>
            <w:r>
              <w:rPr>
                <w:rFonts w:hint="eastAsia" w:ascii="宋体" w:hAnsi="宋体" w:cs="仿宋_GB2312"/>
                <w:sz w:val="18"/>
                <w:szCs w:val="18"/>
              </w:rPr>
              <w:br w:type="textWrapping"/>
            </w:r>
            <w:r>
              <w:rPr>
                <w:rFonts w:hint="eastAsia" w:ascii="宋体" w:hAnsi="宋体" w:cs="仿宋_GB2312"/>
                <w:sz w:val="18"/>
                <w:szCs w:val="18"/>
              </w:rPr>
              <w:t>(6分)</w:t>
            </w: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★6.1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食品原料采购验收是否合格，无腐败、变质、污染、超过保质期等情况；无禁用物质或无明确标识、无法说明来源的物质。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★6.2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预包装食品包装是否完整、整洁、无破损、内容物与产品标识一致，是否按照储存条件贮存。</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6.3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食品、食品添加剂、食品相关产品标识标签是否完整、清晰、载明事项符合食品安全标准和要求。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6.4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对变质、超过保质期或者召回的食品是否单独存放在有明确标志的场所或区域，是否及时采取无害化处理、销毁等措施并如实记录。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7</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原料</w:t>
            </w:r>
            <w:r>
              <w:rPr>
                <w:rFonts w:hint="eastAsia" w:ascii="宋体" w:hAnsi="宋体" w:cs="仿宋_GB2312"/>
                <w:sz w:val="18"/>
                <w:szCs w:val="18"/>
              </w:rPr>
              <w:br w:type="textWrapping"/>
            </w:r>
            <w:r>
              <w:rPr>
                <w:rFonts w:hint="eastAsia" w:ascii="宋体" w:hAnsi="宋体" w:cs="仿宋_GB2312"/>
                <w:sz w:val="18"/>
                <w:szCs w:val="18"/>
              </w:rPr>
              <w:t>储存</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(7分)</w:t>
            </w: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使用的食品添加剂是否设有专柜（位）存放，专柜是否标注“食品添加剂”字样。食品添加剂的标签上是否标注有使用范围、用量、使用方法等内容。是否实行“五专”管理。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库房是否设置有良好的通风、防潮、防鼠设施，温湿度是否符合食品储存要求。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使用的食品原料、食品添加剂和食品相关产品是否按照先进先出先用的原则，无过期或感官异常未及时清理等情形的。</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冷冻（藏）设施是否正常运转，是否有正确显示设施内部温度的测温装置，设施内部温度是否符合规定；冷冻（藏）库是否使用防爆灯。</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食品与非食品库房是否分开设置，食品原料、半成品是否分隔或分离储存，是否隔墙离地10cm以上。</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7.6</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散装食品（食用农产品除外）储存位置是否标明食品名称、生产日期或生产批号、使用期限，是否使用密闭容器储存。</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粗</w:t>
            </w:r>
            <w:r>
              <w:rPr>
                <w:rFonts w:hint="eastAsia" w:ascii="宋体" w:hAnsi="宋体" w:cs="仿宋_GB2312"/>
                <w:sz w:val="18"/>
                <w:szCs w:val="18"/>
              </w:rPr>
              <w:br w:type="textWrapping"/>
            </w:r>
            <w:r>
              <w:rPr>
                <w:rFonts w:hint="eastAsia" w:ascii="宋体" w:hAnsi="宋体" w:cs="仿宋_GB2312"/>
                <w:sz w:val="18"/>
                <w:szCs w:val="18"/>
              </w:rPr>
              <w:t>加</w:t>
            </w:r>
            <w:r>
              <w:rPr>
                <w:rFonts w:hint="eastAsia" w:ascii="宋体" w:hAnsi="宋体" w:cs="仿宋_GB2312"/>
                <w:sz w:val="18"/>
                <w:szCs w:val="18"/>
              </w:rPr>
              <w:br w:type="textWrapping"/>
            </w:r>
            <w:r>
              <w:rPr>
                <w:rFonts w:hint="eastAsia" w:ascii="宋体" w:hAnsi="宋体" w:cs="仿宋_GB2312"/>
                <w:sz w:val="18"/>
                <w:szCs w:val="18"/>
              </w:rPr>
              <w:t>工</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8</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粗加工</w:t>
            </w:r>
            <w:r>
              <w:rPr>
                <w:rFonts w:hint="eastAsia" w:ascii="宋体" w:hAnsi="宋体" w:cs="仿宋_GB2312"/>
                <w:sz w:val="18"/>
                <w:szCs w:val="18"/>
              </w:rPr>
              <w:br w:type="textWrapping"/>
            </w:r>
            <w:r>
              <w:rPr>
                <w:rFonts w:hint="eastAsia" w:ascii="宋体" w:hAnsi="宋体" w:cs="仿宋_GB2312"/>
                <w:sz w:val="18"/>
                <w:szCs w:val="18"/>
              </w:rPr>
              <w:t>与切配</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(5分)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8.1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是否设有独立的粗加工和切配区域。</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8.2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盛</w:t>
            </w:r>
            <w:r>
              <w:rPr>
                <w:rFonts w:hint="eastAsia" w:ascii="宋体" w:hAnsi="宋体" w:cs="宋体"/>
                <w:sz w:val="18"/>
                <w:szCs w:val="18"/>
              </w:rPr>
              <w:t>裝</w:t>
            </w:r>
            <w:r>
              <w:rPr>
                <w:rFonts w:hint="eastAsia" w:ascii="宋体" w:hAnsi="宋体" w:cs="仿宋_GB2312"/>
                <w:sz w:val="18"/>
                <w:szCs w:val="18"/>
              </w:rPr>
              <w:t>食品原料、半成品、成品的容器和工具是否分开放置、分类使用；容器与工具是否未直接放置地面或接触不洁物。</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8.3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盛放或加工制作动物性、植物性、水产品等食品原料的工用具和容器、水池是否分开使用，是否按使用用途加以标识。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8.4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是否按照粗加工要求对切配工用具、容器进行清洗消毒。</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8.5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粗加工原材料是否依照食材粗加工特性进行清洗切配。</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w:t>
            </w:r>
            <w:r>
              <w:rPr>
                <w:rFonts w:hint="eastAsia" w:ascii="宋体" w:hAnsi="宋体" w:cs="仿宋_GB2312"/>
                <w:sz w:val="18"/>
                <w:szCs w:val="18"/>
              </w:rPr>
              <w:br w:type="textWrapping"/>
            </w:r>
            <w:r>
              <w:rPr>
                <w:rFonts w:hint="eastAsia" w:ascii="宋体" w:hAnsi="宋体" w:cs="仿宋_GB2312"/>
                <w:sz w:val="18"/>
                <w:szCs w:val="18"/>
              </w:rPr>
              <w:t>间</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9</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w:t>
            </w:r>
            <w:r>
              <w:rPr>
                <w:rFonts w:hint="eastAsia" w:ascii="宋体" w:hAnsi="宋体" w:cs="仿宋_GB2312"/>
                <w:sz w:val="18"/>
                <w:szCs w:val="18"/>
              </w:rPr>
              <w:br w:type="textWrapping"/>
            </w:r>
            <w:r>
              <w:rPr>
                <w:rFonts w:hint="eastAsia" w:ascii="宋体" w:hAnsi="宋体" w:cs="仿宋_GB2312"/>
                <w:sz w:val="18"/>
                <w:szCs w:val="18"/>
              </w:rPr>
              <w:t>要求</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(11分)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专间内是否配备与专间面积相适应的空气消毒设施，是否设有独立的空调设施，专间内温度是否高于25℃。</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分装专间是否设置专用的成品通道并与人员通道分开使用。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食品的分装是否在专间内进行。</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专间和专用操作区使用的食品容器、工具、设备、清洁工具是否专用，使用前是否清洗消毒，保持清洁。</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专间入口处是否设有二次更衣设施，是否设有独立的非手触式洗手、消毒、干手设施。</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9.6</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是否在专间或专用操作区不从事可能污染食品的活动。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9.7</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专间内是否设专人加工制作。加工制作人员是否按照专间要求穿戴专用的工作衣帽、佩戴口罩并清洗消毒手部后进入专间。</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9.8</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专间的门是否能自动关闭，窗户是否封闭式（用于传递食品的除外），专间的门和食品传递窗口是否能及时关闭。</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9.9</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各专间是否按其用途明显标识。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9.10</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专间内的废弃物容器盖子是否为非手动开启式。</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烹</w:t>
            </w:r>
            <w:r>
              <w:rPr>
                <w:rFonts w:hint="eastAsia" w:ascii="宋体" w:hAnsi="宋体" w:cs="仿宋_GB2312"/>
                <w:sz w:val="18"/>
                <w:szCs w:val="18"/>
              </w:rPr>
              <w:br w:type="textWrapping"/>
            </w:r>
            <w:r>
              <w:rPr>
                <w:rFonts w:hint="eastAsia" w:ascii="宋体" w:hAnsi="宋体" w:cs="仿宋_GB2312"/>
                <w:sz w:val="18"/>
                <w:szCs w:val="18"/>
              </w:rPr>
              <w:t>饪</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10</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工具</w:t>
            </w:r>
            <w:r>
              <w:rPr>
                <w:rFonts w:hint="eastAsia" w:ascii="宋体" w:hAnsi="宋体" w:cs="仿宋_GB2312"/>
                <w:sz w:val="18"/>
                <w:szCs w:val="18"/>
              </w:rPr>
              <w:br w:type="textWrapping"/>
            </w:r>
            <w:r>
              <w:rPr>
                <w:rFonts w:hint="eastAsia" w:ascii="宋体" w:hAnsi="宋体" w:cs="仿宋_GB2312"/>
                <w:sz w:val="18"/>
                <w:szCs w:val="18"/>
              </w:rPr>
              <w:t>容器</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(3分)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10.1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盛放调味料的容器是否表面清洁、加盖存放，调味料是否未混放同一容器等情况；食品加工制作容器是否见明显的区分标识，是否及时清理。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10.2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用于加工动物性、植物性、水产品等食品原料的容器、工用具是否分开使用，是否有明显区分标识。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10.3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餐厨废弃物容器盖子是否为非手动开启式，是否及时清理。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11</w:t>
            </w:r>
          </w:p>
        </w:tc>
        <w:tc>
          <w:tcPr>
            <w:tcW w:w="1181"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照明、通风排烟</w:t>
            </w:r>
            <w:r>
              <w:rPr>
                <w:rFonts w:hint="eastAsia" w:ascii="宋体" w:hAnsi="宋体" w:cs="仿宋_GB2312"/>
                <w:sz w:val="18"/>
                <w:szCs w:val="18"/>
              </w:rPr>
              <w:br w:type="textWrapping"/>
            </w:r>
            <w:r>
              <w:rPr>
                <w:rFonts w:hint="eastAsia" w:ascii="宋体" w:hAnsi="宋体" w:cs="仿宋_GB2312"/>
                <w:sz w:val="18"/>
                <w:szCs w:val="18"/>
              </w:rPr>
              <w:t>设施</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11.1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是否配备通风、排烟、充足的自然光或人工照明设施，并定期清洁；使用光源是否不会改变食品的感官颜色。</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12</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加工</w:t>
            </w:r>
            <w:r>
              <w:rPr>
                <w:rFonts w:hint="eastAsia" w:ascii="宋体" w:hAnsi="宋体" w:cs="仿宋_GB2312"/>
                <w:sz w:val="18"/>
                <w:szCs w:val="18"/>
              </w:rPr>
              <w:br w:type="textWrapping"/>
            </w:r>
            <w:r>
              <w:rPr>
                <w:rFonts w:hint="eastAsia" w:ascii="宋体" w:hAnsi="宋体" w:cs="仿宋_GB2312"/>
                <w:sz w:val="18"/>
                <w:szCs w:val="18"/>
              </w:rPr>
              <w:t>制作</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(7分)</w:t>
            </w:r>
          </w:p>
        </w:tc>
        <w:tc>
          <w:tcPr>
            <w:tcW w:w="1125"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b/>
                <w:bCs/>
                <w:color w:val="000000"/>
                <w:sz w:val="18"/>
                <w:szCs w:val="18"/>
              </w:rPr>
              <w:t>★12.1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是否在餐饮加工场所贮存和添加由国务院食品安全监督管理部门会同国务院卫生行政等部门发布的非食品用化学物质和其他可能危害人体健康的物质。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b/>
                <w:bCs/>
                <w:color w:val="000000"/>
                <w:sz w:val="18"/>
                <w:szCs w:val="18"/>
              </w:rPr>
              <w:t>★12.2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油炸类食品、烧烤类食品、糕点类食品、自制饮品等加工过程是否符合要求。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12.3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成品出锅食物中心温度是否大于70℃，存放温度、时间是否符合要求。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b/>
                <w:bCs/>
                <w:color w:val="000000"/>
                <w:sz w:val="18"/>
                <w:szCs w:val="18"/>
              </w:rPr>
              <w:t>★12.4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是否按照要求准确称量和记录有“最大使用量”规定的食品添加剂，是否未超范围、超限量使用食品添加剂。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b/>
                <w:bCs/>
                <w:color w:val="000000"/>
                <w:sz w:val="18"/>
                <w:szCs w:val="18"/>
              </w:rPr>
              <w:t>★12.5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是否采购、贮存、使用亚硝酸盐（包括亚硝酸钠、亚硝酸钾）。</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13</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食品留样(5分)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★13.1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制定有留样制度，是否对加工制作的每餐、每品种成品进行留样，留样设备是否双锁专人管理，食品留样容器是否清洗消毒、留样标签是否标注有加工时间、样品名称、留样人、留样量；留样量是否不少于150g，留样时间是否不低于48小时、留样记录或记录是否完整。</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13.2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留样是否做到单品专盒专勺专柜留样。</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13.3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留样区域是否配置有监控设施，监控是否运转正常。</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13.4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留样冷藏柜是否设有正确显示内部温度的测温装置。</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餐</w:t>
            </w:r>
            <w:r>
              <w:rPr>
                <w:rFonts w:hint="eastAsia" w:ascii="宋体" w:hAnsi="宋体" w:cs="仿宋_GB2312"/>
                <w:sz w:val="18"/>
                <w:szCs w:val="18"/>
              </w:rPr>
              <w:br w:type="textWrapping"/>
            </w:r>
            <w:r>
              <w:rPr>
                <w:rFonts w:hint="eastAsia" w:ascii="宋体" w:hAnsi="宋体" w:cs="仿宋_GB2312"/>
                <w:sz w:val="18"/>
                <w:szCs w:val="18"/>
              </w:rPr>
              <w:t>用</w:t>
            </w:r>
            <w:r>
              <w:rPr>
                <w:rFonts w:hint="eastAsia" w:ascii="宋体" w:hAnsi="宋体" w:cs="仿宋_GB2312"/>
                <w:sz w:val="18"/>
                <w:szCs w:val="18"/>
              </w:rPr>
              <w:br w:type="textWrapping"/>
            </w:r>
            <w:r>
              <w:rPr>
                <w:rFonts w:hint="eastAsia" w:ascii="宋体" w:hAnsi="宋体" w:cs="仿宋_GB2312"/>
                <w:sz w:val="18"/>
                <w:szCs w:val="18"/>
              </w:rPr>
              <w:t>具</w:t>
            </w:r>
            <w:r>
              <w:rPr>
                <w:rFonts w:hint="eastAsia" w:ascii="宋体" w:hAnsi="宋体" w:cs="仿宋_GB2312"/>
                <w:sz w:val="18"/>
                <w:szCs w:val="18"/>
              </w:rPr>
              <w:br w:type="textWrapping"/>
            </w:r>
            <w:r>
              <w:rPr>
                <w:rFonts w:hint="eastAsia" w:ascii="宋体" w:hAnsi="宋体" w:cs="仿宋_GB2312"/>
                <w:sz w:val="18"/>
                <w:szCs w:val="18"/>
              </w:rPr>
              <w:t>清</w:t>
            </w:r>
            <w:r>
              <w:rPr>
                <w:rFonts w:hint="eastAsia" w:ascii="宋体" w:hAnsi="宋体" w:cs="仿宋_GB2312"/>
                <w:sz w:val="18"/>
                <w:szCs w:val="18"/>
              </w:rPr>
              <w:br w:type="textWrapping"/>
            </w:r>
            <w:r>
              <w:rPr>
                <w:rFonts w:hint="eastAsia" w:ascii="宋体" w:hAnsi="宋体" w:cs="仿宋_GB2312"/>
                <w:sz w:val="18"/>
                <w:szCs w:val="18"/>
              </w:rPr>
              <w:t>洗</w:t>
            </w:r>
            <w:r>
              <w:rPr>
                <w:rFonts w:hint="eastAsia" w:ascii="宋体" w:hAnsi="宋体" w:cs="仿宋_GB2312"/>
                <w:sz w:val="18"/>
                <w:szCs w:val="18"/>
              </w:rPr>
              <w:br w:type="textWrapping"/>
            </w:r>
            <w:r>
              <w:rPr>
                <w:rFonts w:hint="eastAsia" w:ascii="宋体" w:hAnsi="宋体" w:cs="仿宋_GB2312"/>
                <w:sz w:val="18"/>
                <w:szCs w:val="18"/>
              </w:rPr>
              <w:t>消</w:t>
            </w:r>
            <w:r>
              <w:rPr>
                <w:rFonts w:hint="eastAsia" w:ascii="宋体" w:hAnsi="宋体" w:cs="仿宋_GB2312"/>
                <w:sz w:val="18"/>
                <w:szCs w:val="18"/>
              </w:rPr>
              <w:br w:type="textWrapping"/>
            </w:r>
            <w:r>
              <w:rPr>
                <w:rFonts w:hint="eastAsia" w:ascii="宋体" w:hAnsi="宋体" w:cs="仿宋_GB2312"/>
                <w:sz w:val="18"/>
                <w:szCs w:val="18"/>
              </w:rPr>
              <w:t>毒</w:t>
            </w:r>
            <w:r>
              <w:rPr>
                <w:rFonts w:hint="eastAsia" w:ascii="宋体" w:hAnsi="宋体" w:cs="仿宋_GB2312"/>
                <w:sz w:val="18"/>
                <w:szCs w:val="18"/>
              </w:rPr>
              <w:br w:type="textWrapping"/>
            </w:r>
            <w:r>
              <w:rPr>
                <w:rFonts w:hint="eastAsia" w:ascii="宋体" w:hAnsi="宋体" w:cs="仿宋_GB2312"/>
                <w:sz w:val="18"/>
                <w:szCs w:val="18"/>
              </w:rPr>
              <w:t>保</w:t>
            </w:r>
            <w:r>
              <w:rPr>
                <w:rFonts w:hint="eastAsia" w:ascii="宋体" w:hAnsi="宋体" w:cs="仿宋_GB2312"/>
                <w:sz w:val="18"/>
                <w:szCs w:val="18"/>
              </w:rPr>
              <w:br w:type="textWrapping"/>
            </w:r>
            <w:r>
              <w:rPr>
                <w:rFonts w:hint="eastAsia" w:ascii="宋体" w:hAnsi="宋体" w:cs="仿宋_GB2312"/>
                <w:sz w:val="18"/>
                <w:szCs w:val="18"/>
              </w:rPr>
              <w:t>洁</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14</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清洗</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（3分）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14.1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清洗消毒保洁设施是否能满足生产所需。</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14.2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餐用具清洗是否按照清洗流程进行清洗。是否设有专用的餐用具清洗消毒水池，并与食品原料、清洁用具及接触非直接入口食品的工具、容器清洗水池分开使用。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14.3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清洗剂、消毒剂的包装上是否标识清楚有产品名称、生产厂名、厂址等信息。</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15</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消毒</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（4分）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★15.1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采用物理消毒的，消毒设备是否能正常运转，消毒温度和时间是否符合相关要求。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★15.2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采用化学消毒的，配有含氯等消毒剂和水池等消毒设施设备，消毒液配制行为和消毒液浓度是否符合相关要求。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15.3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委托餐饮具集中消毒服务单位提供清洗消毒服务的，是否查验留存餐饮具集中消毒服务单位的营业执照复印件和消毒合格证明。</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15.4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是否制定餐具年度送检计划（计划是否是每月一次），是否委托有资质的第三方检验机构对餐具进行抽样检测，是否取得合格的检验报告。</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r>
              <w:rPr>
                <w:rFonts w:hint="eastAsia" w:ascii="宋体" w:hAnsi="宋体" w:cs="仿宋_GB2312"/>
                <w:sz w:val="18"/>
                <w:szCs w:val="18"/>
              </w:rPr>
              <w:br w:type="textWrapping"/>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16</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保洁设施（6分）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★16.1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使用一次性餐具材质是否为可降解和符合食品安全要求的一次性餐饮具。</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★16.2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消毒后的餐饮具是否按要求存放在清洁、专用、密闭的保洁设施中，是否见明显区分标识。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b/>
                <w:bCs/>
                <w:color w:val="000000"/>
                <w:sz w:val="18"/>
                <w:szCs w:val="18"/>
              </w:rPr>
              <w:t>16.3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使用敞开式的货架存放餐饮具，是否采取防护措施。</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16.4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餐饮具表面是否清洁，无附着食物残渣、油渍、泡沫、异味等情况。</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16.5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盛放食品及原料的容器和加工制作工具是否根据不同用途进行分类管理、定位存放，是否见有明显标识或区分。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19"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送</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17</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设施设备（7分）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配送前，是否对车辆和盛放食品成品的容器（一次性容器除外）进行清洗消毒。</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配送食品的包装或容器上是否标注中央厨房或集体用餐配送单位的名称、地址、许可证号、联系方式、以及食品名称、加工制作时间、保存条件、保存期限、加工制作要求等相关内容。</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配送的食品是否有包装（如密封塑袋包装）或使用密闭容器（如加盖周转箱）盛放。容器材料是否符合食品安全国家标准或有关规定。</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配送前，是否对运输车辆进行安全驾驶检查，是否有相关检查记录。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是否使用专用的密闭容器和车辆配送食品。配送食品的车辆与运输是否与杀虫剂、杀鼠剂等有毒有害物品的车辆分开使用。</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17.6</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对温度、湿度等有特殊要求的食品贮存、运输是否配备保温、冷藏或者冷冻等设备设施，设备是否能保持有效运行。</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18</w:t>
            </w:r>
          </w:p>
        </w:tc>
        <w:tc>
          <w:tcPr>
            <w:tcW w:w="1181"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配送</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条件</w:t>
            </w:r>
            <w:r>
              <w:rPr>
                <w:rFonts w:hint="eastAsia" w:ascii="宋体" w:hAnsi="宋体" w:cs="仿宋_GB2312"/>
                <w:sz w:val="18"/>
                <w:szCs w:val="18"/>
              </w:rPr>
              <w:br w:type="textWrapping"/>
            </w:r>
            <w:r>
              <w:rPr>
                <w:rFonts w:hint="eastAsia" w:ascii="宋体" w:hAnsi="宋体" w:cs="仿宋_GB2312"/>
                <w:sz w:val="18"/>
                <w:szCs w:val="18"/>
              </w:rPr>
              <w:t>要求</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（1分）</w:t>
            </w:r>
          </w:p>
        </w:tc>
        <w:tc>
          <w:tcPr>
            <w:tcW w:w="1125"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b/>
                <w:bCs/>
                <w:color w:val="000000"/>
                <w:sz w:val="18"/>
                <w:szCs w:val="18"/>
              </w:rPr>
              <w:t>18.1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食品的配送时间、温度是否符合要求。</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19</w:t>
            </w:r>
          </w:p>
        </w:tc>
        <w:tc>
          <w:tcPr>
            <w:tcW w:w="1181"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交接</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签收</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要求</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（1分）</w:t>
            </w:r>
          </w:p>
        </w:tc>
        <w:tc>
          <w:tcPr>
            <w:tcW w:w="1125" w:type="dxa"/>
            <w:shd w:val="clear" w:color="auto" w:fill="auto"/>
            <w:vAlign w:val="center"/>
          </w:tcPr>
          <w:p>
            <w:pPr>
              <w:adjustRightInd/>
              <w:spacing w:line="220" w:lineRule="exact"/>
              <w:jc w:val="center"/>
              <w:textAlignment w:val="baseline"/>
              <w:rPr>
                <w:rFonts w:ascii="宋体" w:hAnsi="宋体" w:cs="仿宋_GB2312"/>
                <w:sz w:val="18"/>
                <w:szCs w:val="18"/>
              </w:rPr>
            </w:pPr>
            <w:r>
              <w:rPr>
                <w:rFonts w:hint="eastAsia" w:ascii="宋体" w:hAnsi="宋体" w:cs="仿宋_GB2312"/>
                <w:b/>
                <w:bCs/>
                <w:color w:val="000000"/>
                <w:sz w:val="18"/>
                <w:szCs w:val="18"/>
              </w:rPr>
              <w:t>19.1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交接签收时是否按照交接程序，是否填写相关配餐验收记录。</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合理缺项</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319" w:type="dxa"/>
            <w:vMerge w:val="restart"/>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鼓</w:t>
            </w:r>
          </w:p>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励</w:t>
            </w:r>
          </w:p>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br w:type="textWrapping"/>
            </w:r>
            <w:r>
              <w:rPr>
                <w:rFonts w:hint="eastAsia" w:ascii="宋体" w:hAnsi="宋体" w:cs="仿宋_GB2312"/>
                <w:sz w:val="18"/>
                <w:szCs w:val="18"/>
              </w:rPr>
              <w:t>项</w:t>
            </w:r>
          </w:p>
        </w:tc>
        <w:tc>
          <w:tcPr>
            <w:tcW w:w="700"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20</w:t>
            </w:r>
          </w:p>
        </w:tc>
        <w:tc>
          <w:tcPr>
            <w:tcW w:w="1181" w:type="dxa"/>
            <w:vMerge w:val="restart"/>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加分项</w:t>
            </w:r>
          </w:p>
          <w:p>
            <w:pPr>
              <w:adjustRightInd/>
              <w:spacing w:line="240" w:lineRule="auto"/>
              <w:textAlignment w:val="baseline"/>
              <w:rPr>
                <w:rFonts w:ascii="宋体" w:hAnsi="宋体" w:cs="仿宋_GB2312"/>
                <w:sz w:val="18"/>
                <w:szCs w:val="18"/>
              </w:rPr>
            </w:pPr>
            <w:r>
              <w:rPr>
                <w:rFonts w:hint="eastAsia" w:ascii="宋体" w:hAnsi="宋体" w:cs="仿宋_GB2312"/>
                <w:sz w:val="18"/>
                <w:szCs w:val="18"/>
              </w:rPr>
              <w:t>（6分）</w:t>
            </w:r>
          </w:p>
        </w:tc>
        <w:tc>
          <w:tcPr>
            <w:tcW w:w="1125" w:type="dxa"/>
            <w:shd w:val="clear" w:color="auto" w:fill="auto"/>
            <w:vAlign w:val="center"/>
          </w:tcPr>
          <w:p>
            <w:pPr>
              <w:adjustRightInd/>
              <w:spacing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20.1</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①加工制作流程中分别对畜类、禽类、蔬菜类、水产品类、蛋类的水池、加工用具和盛装的容器，进行色标管理，且有明显标识。</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20.2</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②采取明厨亮照、视频实时监控（视频录像保存时长不低于3个月的）等先进模式，提高自身食品安全管理能力或水平。</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20.3</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③设有独立检验室，能开展相应项目的检测且符合要求检验记录的；或与有资质的第三方检验检验机构签订委托抽样检验合同或协议的。</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2</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20.4</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⑤引入现代化电子管理系统，如电子索证索票检索系统等管理系统的。</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tcPr>
          <w:p>
            <w:pPr>
              <w:adjustRightInd/>
              <w:spacing w:line="240" w:lineRule="auto"/>
              <w:textAlignment w:val="baseline"/>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19"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700"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81" w:type="dxa"/>
            <w:vMerge w:val="continue"/>
            <w:shd w:val="clear" w:color="auto" w:fill="auto"/>
            <w:vAlign w:val="center"/>
          </w:tcPr>
          <w:p>
            <w:pPr>
              <w:adjustRightInd/>
              <w:spacing w:line="240" w:lineRule="auto"/>
              <w:textAlignment w:val="baseline"/>
              <w:rPr>
                <w:rFonts w:ascii="宋体" w:hAnsi="宋体" w:cs="仿宋_GB2312"/>
                <w:sz w:val="18"/>
                <w:szCs w:val="18"/>
              </w:rPr>
            </w:pPr>
          </w:p>
        </w:tc>
        <w:tc>
          <w:tcPr>
            <w:tcW w:w="1125" w:type="dxa"/>
            <w:shd w:val="clear" w:color="auto" w:fill="auto"/>
            <w:vAlign w:val="center"/>
          </w:tcPr>
          <w:p>
            <w:pPr>
              <w:adjustRightInd/>
              <w:spacing w:line="240" w:lineRule="auto"/>
              <w:jc w:val="center"/>
              <w:textAlignment w:val="baseline"/>
              <w:rPr>
                <w:rFonts w:ascii="宋体" w:hAnsi="宋体" w:cs="仿宋_GB2312"/>
                <w:b/>
                <w:bCs/>
                <w:color w:val="000000"/>
                <w:sz w:val="18"/>
                <w:szCs w:val="18"/>
              </w:rPr>
            </w:pPr>
            <w:r>
              <w:rPr>
                <w:rFonts w:hint="eastAsia" w:ascii="宋体" w:hAnsi="宋体" w:cs="仿宋_GB2312"/>
                <w:b/>
                <w:bCs/>
                <w:color w:val="000000"/>
                <w:sz w:val="18"/>
                <w:szCs w:val="18"/>
              </w:rPr>
              <w:t>20.5</w:t>
            </w:r>
          </w:p>
        </w:tc>
        <w:tc>
          <w:tcPr>
            <w:tcW w:w="6084"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⑥配送食品的车辆采用对温度有要求的制冷或热链恒温车。</w:t>
            </w:r>
          </w:p>
        </w:tc>
        <w:tc>
          <w:tcPr>
            <w:tcW w:w="1488" w:type="dxa"/>
            <w:shd w:val="clear" w:color="auto" w:fill="auto"/>
            <w:vAlign w:val="center"/>
          </w:tcPr>
          <w:p>
            <w:pPr>
              <w:adjustRightInd/>
              <w:spacing w:line="240" w:lineRule="auto"/>
              <w:textAlignment w:val="baseline"/>
              <w:rPr>
                <w:rFonts w:ascii="宋体" w:hAnsi="宋体" w:cs="仿宋_GB2312"/>
                <w:sz w:val="18"/>
                <w:szCs w:val="18"/>
              </w:rPr>
            </w:pPr>
            <w:r>
              <w:rPr>
                <w:rFonts w:hint="eastAsia" w:ascii="宋体" w:hAnsi="宋体" w:cs="仿宋_GB2312"/>
                <w:sz w:val="18"/>
                <w:szCs w:val="18"/>
              </w:rPr>
              <w:t>是</w:t>
            </w:r>
            <w:r>
              <w:rPr>
                <w:rFonts w:hint="eastAsia" w:ascii="宋体" w:hAnsi="宋体" w:cs="仿宋_GB2312"/>
                <w:sz w:val="18"/>
                <w:szCs w:val="18"/>
              </w:rPr>
              <w:sym w:font="Wingdings 2" w:char="00A3"/>
            </w:r>
            <w:r>
              <w:rPr>
                <w:rFonts w:hint="eastAsia" w:ascii="宋体" w:hAnsi="宋体" w:cs="仿宋_GB2312"/>
                <w:sz w:val="18"/>
                <w:szCs w:val="18"/>
              </w:rPr>
              <w:t>否</w:t>
            </w:r>
            <w:r>
              <w:rPr>
                <w:rFonts w:hint="eastAsia" w:ascii="宋体" w:hAnsi="宋体" w:cs="仿宋_GB2312"/>
                <w:sz w:val="18"/>
                <w:szCs w:val="18"/>
              </w:rPr>
              <w:sym w:font="Wingdings 2" w:char="00A3"/>
            </w:r>
          </w:p>
        </w:tc>
        <w:tc>
          <w:tcPr>
            <w:tcW w:w="901" w:type="dxa"/>
            <w:shd w:val="clear" w:color="auto" w:fill="auto"/>
            <w:vAlign w:val="center"/>
          </w:tcPr>
          <w:p>
            <w:pPr>
              <w:adjustRightInd/>
              <w:spacing w:line="240" w:lineRule="auto"/>
              <w:jc w:val="center"/>
              <w:textAlignment w:val="baseline"/>
              <w:rPr>
                <w:rFonts w:ascii="宋体" w:hAnsi="宋体" w:cs="仿宋_GB2312"/>
                <w:sz w:val="18"/>
                <w:szCs w:val="18"/>
              </w:rPr>
            </w:pPr>
            <w:r>
              <w:rPr>
                <w:rFonts w:hint="eastAsia" w:ascii="宋体" w:hAnsi="宋体" w:cs="仿宋_GB2312"/>
                <w:sz w:val="18"/>
                <w:szCs w:val="18"/>
              </w:rPr>
              <w:t>1</w:t>
            </w:r>
          </w:p>
        </w:tc>
        <w:tc>
          <w:tcPr>
            <w:tcW w:w="1118" w:type="dxa"/>
            <w:shd w:val="clear" w:color="auto" w:fill="auto"/>
            <w:noWrap/>
            <w:vAlign w:val="center"/>
          </w:tcPr>
          <w:p>
            <w:pPr>
              <w:adjustRightInd/>
              <w:spacing w:line="240" w:lineRule="auto"/>
              <w:textAlignment w:val="baseline"/>
              <w:rPr>
                <w:rFonts w:ascii="宋体" w:hAnsi="宋体" w:cs="仿宋_GB2312"/>
                <w:sz w:val="18"/>
                <w:szCs w:val="18"/>
              </w:rPr>
            </w:pPr>
          </w:p>
        </w:tc>
      </w:tr>
    </w:tbl>
    <w:p>
      <w:pPr>
        <w:widowControl/>
        <w:adjustRightInd/>
        <w:spacing w:line="240" w:lineRule="auto"/>
        <w:jc w:val="left"/>
        <w:rPr>
          <w:rFonts w:hint="eastAsia" w:ascii="宋体" w:hAnsi="Times New Roman"/>
          <w:kern w:val="0"/>
          <w:szCs w:val="20"/>
        </w:rPr>
      </w:pPr>
    </w:p>
    <w:p>
      <w:pPr>
        <w:widowControl/>
        <w:adjustRightInd/>
        <w:spacing w:line="240" w:lineRule="auto"/>
        <w:jc w:val="left"/>
        <w:rPr>
          <w:rFonts w:hint="eastAsia" w:ascii="宋体" w:hAnsi="Times New Roman"/>
          <w:kern w:val="0"/>
          <w:szCs w:val="20"/>
        </w:rPr>
      </w:pPr>
    </w:p>
    <w:p>
      <w:pPr>
        <w:widowControl/>
        <w:adjustRightInd/>
        <w:spacing w:line="240" w:lineRule="auto"/>
        <w:jc w:val="left"/>
        <w:sectPr>
          <w:headerReference r:id="rId14" w:type="default"/>
          <w:footerReference r:id="rId16" w:type="default"/>
          <w:headerReference r:id="rId15" w:type="even"/>
          <w:footerReference r:id="rId17" w:type="even"/>
          <w:pgSz w:w="16838" w:h="11906" w:orient="landscape"/>
          <w:pgMar w:top="1134" w:right="1871" w:bottom="1134" w:left="1134" w:header="1418" w:footer="1247" w:gutter="284"/>
          <w:cols w:space="425" w:num="1"/>
          <w:formProt w:val="0"/>
          <w:docGrid w:linePitch="312" w:charSpace="0"/>
        </w:sectPr>
      </w:pPr>
    </w:p>
    <w:bookmarkEnd w:id="54"/>
    <w:p>
      <w:pPr>
        <w:widowControl/>
        <w:adjustRightInd/>
        <w:spacing w:line="240" w:lineRule="auto"/>
        <w:jc w:val="center"/>
      </w:pPr>
      <w:bookmarkStart w:id="56"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a:stretch>
                      <a:fillRect/>
                    </a:stretch>
                  </pic:blipFill>
                  <pic:spPr>
                    <a:xfrm>
                      <a:off x="0" y="0"/>
                      <a:ext cx="1485900" cy="317500"/>
                    </a:xfrm>
                    <a:prstGeom prst="rect">
                      <a:avLst/>
                    </a:prstGeom>
                  </pic:spPr>
                </pic:pic>
              </a:graphicData>
            </a:graphic>
          </wp:inline>
        </w:drawing>
      </w:r>
      <w:bookmarkEnd w:id="56"/>
    </w:p>
    <w:sectPr>
      <w:headerReference r:id="rId18" w:type="default"/>
      <w:footerReference r:id="rId20" w:type="default"/>
      <w:headerReference r:id="rId19" w:type="even"/>
      <w:footerReference r:id="rId21" w:type="even"/>
      <w:pgSz w:w="11906" w:h="16838"/>
      <w:pgMar w:top="2410" w:right="1134" w:bottom="1134" w:left="1134" w:header="1418" w:footer="1134" w:gutter="284"/>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6561455</wp:posOffset>
              </wp:positionV>
              <wp:extent cx="1828800" cy="1828800"/>
              <wp:effectExtent l="0" t="0" r="0" b="508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9"/>
                          </w:pPr>
                          <w:r>
                            <w:fldChar w:fldCharType="begin"/>
                          </w:r>
                          <w:r>
                            <w:instrText xml:space="preserve">PAGE   \* MERGEFORMAT</w:instrText>
                          </w:r>
                          <w:r>
                            <w:fldChar w:fldCharType="separate"/>
                          </w:r>
                          <w:r>
                            <w:rPr>
                              <w:lang w:val="zh-CN"/>
                            </w:rPr>
                            <w:t>18</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16.65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KBZ1ntgAAAAN&#10;AQAADwAAAGRycy9kb3ducmV2LnhtbE2PS0/DMBCE70j8B2uRuFE7Dc8Qp0JI3Hi1ICRubrx1AvE6&#10;st0H/fVsT3D7Znc0O1vPdn4QG4ypD6ShmCgQSG2wPTkN728PZ9cgUjZkzRAINfxggllzfFSbyoYt&#10;zXGzyE5wCKXKaOhyHispU9uhN2kSRiTerUL0JrOMTtpothzuBzlV6lJ60xNf6MyI9x2234u113Cx&#10;//p4Tfb55ulq/riPL5932a2c1qcnhboFkXGX/8xwqM/VoeFOy7Amm8TAuihLtjKo8kBsOVcFw5JH&#10;5ZRJNrX8/0XzC1BLAwQUAAAACACHTuJATeIlHj8CAAB1BAAADgAAAGRycy9lMm9Eb2MueG1srVTN&#10;bhoxEL5X6jtYvpcFShKKWCIaRFUJNZHSn7PxetmV/CfbsEsfoH2Dnnrpvc+V5+hnLxCU9pBDL94Z&#10;z/ibmW9mdnrdKkl2wvna6JwOen1KhOamqPUmp58+Ll+NKfGB6YJJo0VO98LT69nLF9PGTsTQVEYW&#10;whGAaD9pbE6rEOwkyzyvhGK+Z6zQMJbGKRaguk1WONYAXcls2O9fZo1xhXWGC+9xu+iM9IDongNo&#10;yrLmYmH4VgkdOlQnJAsoyVe19XSWsi1LwcNtWXoRiMwpKg3pRBDI63hmsymbbByzVc0PKbDnpPCk&#10;JsVqjaAnqAULjGxd/ReUqrkz3pShx43KukISI6hi0H/CzX3FrEi1gGpvT6T7/wfLP+zuHKmLnF5R&#10;oplCwx9+fH/4+fvh1zdyFelprJ/A697CL7RvTYuhOd57XMaq29Kp+EU9BHaQuz+RK9pAeHw0Ho7H&#10;fZg4bEcF+Nnjc+t8eCeMIlHIqUP3Eqlst/Khcz26xGjaLGspUwelJk1OL19f9NODkwXgUkdfkWbh&#10;ABNL6lKPUmjX7aHOtSn2KNOZbk685csaqayYD3fMYTCQPlYn3OIopUFIc5AoqYz7+q/76J9TwT7j&#10;S0mDUcupxmZRIt9rdPLNYDQCbEjK6OJqCMWdW9bnFr1VNwazPMCSWp7E6B/kUSydUV+wYfMYFSam&#10;OTLL6foo3oRu/LGhXMznyQmzaFlY6XvLI3QkzNv5NoDgxHukqeMG/YoKpjF17rA5cdzP9eT1+Le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FnWe2AAAAA0BAAAPAAAAAAAAAAEAIAAAACIAAABk&#10;cnMvZG93bnJldi54bWxQSwECFAAUAAAACACHTuJATeIlHj8CAAB1BAAADgAAAAAAAAABACAAAAAn&#10;AQAAZHJzL2Uyb0RvYy54bWxQSwUGAAAAAAYABgBZAQAA2AUAAAAA&#10;">
              <v:fill on="f" focussize="0,0"/>
              <v:stroke on="f" weight="0.5pt"/>
              <v:imagedata o:title=""/>
              <o:lock v:ext="edit" aspectratio="f"/>
              <v:textbox style="layout-flow:vertical-ideographic;mso-fit-shape-to-text:t;">
                <w:txbxContent>
                  <w:p>
                    <w:pPr>
                      <w:pStyle w:val="69"/>
                    </w:pPr>
                    <w:r>
                      <w:fldChar w:fldCharType="begin"/>
                    </w:r>
                    <w:r>
                      <w:instrText xml:space="preserve">PAGE   \* MERGEFORMAT</w:instrText>
                    </w:r>
                    <w:r>
                      <w:fldChar w:fldCharType="separate"/>
                    </w:r>
                    <w:r>
                      <w:rPr>
                        <w:lang w:val="zh-CN"/>
                      </w:rP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HexjNA1AgAAZQQAAA4AAABkcnMvZTJvRG9jLnhtbK1US27b&#10;MBDdF+gdCO5r2S4aOIblwI3hooDRBHA/a5qiLAH8gaQtuQdob9BVN9n3XD5HHynLKdIusuiGGnKG&#10;j/PezGh20ypJDsL52uicjgZDSoTmpqj1LqefPq5eTSjxgemCSaNFTo/C05v5yxezxk7F2FRGFsIR&#10;gGg/bWxOqxDsNMs8r4RifmCs0HCWxikWsHW7rHCsAbqS2Xg4vMoa4wrrDBfe43TZOekZ0T0H0JRl&#10;zcXS8L0SOnSoTkgWQMlXtfV0nrItS8HDXVl6EYjMKZiGtOIR2Nu4ZvMZm+4cs1XNzymw56TwhJNi&#10;tcajF6glC4zsXf0XlKq5M96UYcCNyjoiSRGwGA2faLOpmBWJC6T29iK6/3+w/MPh3pG6yOk1JZop&#10;FPz04/vp56/TwzdyHeVprJ8iamMRF9q3pkXT9Oceh5F1WzoVv+BD4Ie4x4u4og2Ex0uT8WQyhIvD&#10;12+Anz1et86Hd8IoEo2cOlQvicoOax+60D4kvqbNqpYyVVBq0uT06vWbYbpw8QBc6hgrUi+cYSKl&#10;LvVohXbbnnluTXEETWe6PvGWr2qksmY+3DOHxkD6GJ1wh6WUBk+as0VJZdzXf53H+JwK9hlfShq0&#10;Wk41JosS+V6jkoAMveF6Y9sbeq9uDXp3hKG0PJm44ILszdIZ9QUTtYivwMU0RyY53fbmbejaHRPJ&#10;xWKRgtB7loW13lgeoaNA3i72AYImnaMsnRaoT9yg+1KlzpMS2/vPfYp6/Dv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GITl1gAAAAsBAAAPAAAAAAAAAAEAIAAAACIAAABkcnMvZG93bnJldi54&#10;bWxQSwECFAAUAAAACACHTuJAd7GM0DUCAABlBAAADgAAAAAAAAABACAAAAAlAQAAZHJzL2Uyb0Rv&#10;Yy54bWxQSwUGAAAAAAYABgBZAQAAzAUAAAAA&#10;">
              <v:fill on="f" focussize="0,0"/>
              <v:stroke on="f" weight="0.5pt"/>
              <v:imagedata o:title=""/>
              <o:lock v:ext="edit" aspectratio="f"/>
              <v:textbox inset="0mm,0mm,0mm,0mm" style="layout-flow:vertical-ideographic;mso-fit-shape-to-text:t;">
                <w:txbxContent>
                  <w:p>
                    <w:pPr>
                      <w:pStyle w:val="26"/>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T/GZTC XXXX—2021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STYLEREF  标准文件_文件编号  \* MERGEFORMAT </w:instrText>
    </w:r>
    <w:r>
      <w:fldChar w:fldCharType="separate"/>
    </w:r>
    <w:r>
      <w:t>T/GZTC XXXX—2021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5621655</wp:posOffset>
              </wp:positionV>
              <wp:extent cx="1828800"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8"/>
                          </w:pPr>
                          <w:r>
                            <w:fldChar w:fldCharType="begin"/>
                          </w:r>
                          <w:r>
                            <w:instrText xml:space="preserve"> STYLEREF  标准文件_文件编号  \* MERGEFORMAT </w:instrText>
                          </w:r>
                          <w:r>
                            <w:fldChar w:fldCharType="separate"/>
                          </w:r>
                          <w:r>
                            <w:t>T/GZTC XXXX—2021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442.65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NwTxTtwAAAAO&#10;AQAADwAAAGRycy9kb3ducmV2LnhtbE2PS0/DMBCE70j8B2uRuFE7jULSEKdCSNx4tAVV6s2NXScQ&#10;r6PYfdBfz/YEtxntaPaban5yPTuYMXQeJSQTAcxg43WHVsLnx/NdASxEhVr1Ho2EHxNgXl9fVarU&#10;/ohLc1hFy6gEQ6kktDEOJeehaY1TYeIHg3Tb+dGpSHa0XI/qSOWu51Mh7rlTHdKHVg3mqTXN92rv&#10;JGTnr/Ui6LfZa758OY/vm8dod1bK25tEPACL5hT/wnDBJ3SoiWnr96gD68lnYppSVkJRZCQukXwm&#10;SG1JJXmaAq8r/n9G/QtQSwMEFAAAAAgAh07iQDSzjaM+AgAAdQQAAA4AAABkcnMvZTJvRG9jLnht&#10;bK1US27bMBDdF+gdCO5ryW6SukLkwI2RokDQBHA/a5qiIgH8gaQjpQdob5BVN933XD5HHynZCdIu&#10;suiGmuEMH+e9Ger0rFeS3ArnW6NLOp3klAjNTdXqm5J+/nTxak6JD0xXTBotSnonPD1bvHxx2tlC&#10;zExjZCUcAYj2RWdL2oRgiyzzvBGK+YmxQiNYG6dYgOtussqxDuhKZrM8P8k64yrrDBfeY3c1BOmI&#10;6J4DaOq65WJl+FYJHQZUJyQLoOSb1nq6SNXWteDhqq69CESWFExDWnEJ7E1cs8UpK24cs03LxxLY&#10;c0p4wkmxVuPSA9SKBUa2rv0LSrXcGW/qMOFGZQORpAhYTPMn2qwbZkXiAqm9PYju/x8s/3h77Uhb&#10;YRIo0Uyh4bv7H7ufv3e/vpNplKezvkDW2iIv9O9MH1PHfY/NyLqvnYpf8CGIQ9y7g7iiD4THQ/PZ&#10;fJ4jxBHbO8DJHo5b58N7YRSJRkkdupdEZbeXPgyp+5R4mzYXrZTYZ4XUpCvpyevjPB04RAAudUwQ&#10;aRZGmEhpKD1aod/0I5+Nqe5A05lhTrzlFy1KuWQ+XDOHwUD5eDrhCkstDa40o0VJY9y3f+3H/JIK&#10;9gVfSjqMWkk1XhYl8oNGJ99Oj44AG5JzdPxmBsc9jmweR/RWnRvMMrqF6pIZ84Pcm7Uz6ite2DLe&#10;ihDTHJWVdLM3z8Mw/nihXCyXKQmzaFm41GvLI3QUzNvlNkDgpHuUadAG/YoOpjF1bnw5cdwf+ynr&#10;4W+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3BPFO3AAAAA4BAAAPAAAAAAAAAAEAIAAAACIA&#10;AABkcnMvZG93bnJldi54bWxQSwECFAAUAAAACACHTuJANLONoz4CAAB1BAAADgAAAAAAAAABACAA&#10;AAArAQAAZHJzL2Uyb0RvYy54bWxQSwUGAAAAAAYABgBZAQAA2wUAAAAA&#10;">
              <v:fill on="f" focussize="0,0"/>
              <v:stroke on="f" weight="0.5pt"/>
              <v:imagedata o:title=""/>
              <o:lock v:ext="edit" aspectratio="f"/>
              <v:textbox style="layout-flow:vertical-ideographic;mso-fit-shape-to-text:t;">
                <w:txbxContent>
                  <w:p>
                    <w:pPr>
                      <w:pStyle w:val="78"/>
                    </w:pPr>
                    <w:r>
                      <w:fldChar w:fldCharType="begin"/>
                    </w:r>
                    <w:r>
                      <w:instrText xml:space="preserve"> STYLEREF  标准文件_文件编号  \* MERGEFORMAT </w:instrText>
                    </w:r>
                    <w:r>
                      <w:fldChar w:fldCharType="separate"/>
                    </w:r>
                    <w:r>
                      <w:t>T/GZTC XXXX—2021</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254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9"/>
                          </w:pPr>
                          <w:r>
                            <w:fldChar w:fldCharType="begin"/>
                          </w:r>
                          <w:r>
                            <w:instrText xml:space="preserve"> STYLEREF  标准文件_文件编号 \* MERGEFORMAT </w:instrText>
                          </w:r>
                          <w:r>
                            <w:fldChar w:fldCharType="separate"/>
                          </w:r>
                          <w:r>
                            <w:t>T/GZTC XXXX—2021</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MDcoVg0AgAAZQQAAA4AAABkcnMvZTJvRG9jLnhtbK1U&#10;S27bMBDdF+gdCO5ryS4aGIblwI3hooDRBEg/a5qiLAH8gaQtuQdob9BVN93nXD5HHynLKdIusuiG&#10;GnKGj/PezGh+3SlJDsL5xuiCjkc5JUJzUzZ6V9BPH9evppT4wHTJpNGioEfh6fXi5Yt5a2diYmoj&#10;S+EIQLSftbagdQh2lmWe10IxPzJWaDgr4xQL2LpdVjrWAl3JbJLnV1lrXGmd4cJ7nK56Jz0juucA&#10;mqpquFgZvldChx7VCckCKPm6sZ4uUrZVJXi4rSovApEFBdOQVjwCexvXbDFns51jtm74OQX2nBSe&#10;cFKs0Xj0ArVigZG9a/6CUg13xpsqjLhRWU8kKQIW4/yJNvc1syJxgdTeXkT3/w+WfzjcOdKUBUXZ&#10;NVMo+OnH99PPh9Ovb2Qa5WmtnyHq3iIudG9Nh6YZzj0OI+uucip+wYfAD3GPF3FFFwiPl6aT6TSH&#10;i8M3bICfPV63zod3wigSjYI6VC+Jyg4bH/rQISS+ps26kTJVUGrSFvTq9Zs8Xbh4AC51jBWpF84w&#10;kVKferRCt+3OPLemPIKmM32feMvXDVLZMB/umENjIH2MTrjFUkmDJ83ZoqQ27uu/zmN8QQX7jC8l&#10;LVqtoBqTRYl8r1FJQIbBcIOxHQy9VzcGvTvGUFqeTFxwQQ5m5Yz6golaxlfgYpojk4JuB/Mm9O2O&#10;ieRiuUxB6D3LwkbfWx6ho0DeLvcBgiadoyy9FqhP3KD7UqXOkxLb+899inr8O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LIuxzZAAAADQEAAA8AAAAAAAAAAQAgAAAAIgAAAGRycy9kb3ducmV2&#10;LnhtbFBLAQIUABQAAAAIAIdO4kDA3KFYNAIAAGUEAAAOAAAAAAAAAAEAIAAAACgBAABkcnMvZTJv&#10;RG9jLnhtbFBLBQYAAAAABgAGAFkBAADOBQAAAAA=&#10;">
              <v:fill on="f" focussize="0,0"/>
              <v:stroke on="f" weight="0.5pt"/>
              <v:imagedata o:title=""/>
              <o:lock v:ext="edit" aspectratio="f"/>
              <v:textbox inset="0mm,0mm,0mm,0mm" style="layout-flow:vertical-ideographic;mso-fit-shape-to-text:t;">
                <w:txbxContent>
                  <w:p>
                    <w:pPr>
                      <w:pStyle w:val="79"/>
                    </w:pPr>
                    <w:r>
                      <w:fldChar w:fldCharType="begin"/>
                    </w:r>
                    <w:r>
                      <w:instrText xml:space="preserve"> STYLEREF  标准文件_文件编号 \* MERGEFORMAT </w:instrText>
                    </w:r>
                    <w:r>
                      <w:fldChar w:fldCharType="separate"/>
                    </w:r>
                    <w:r>
                      <w:t>T/GZTC XXXX—2021</w:t>
                    </w:r>
                    <w: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T/GZTC XXXX—2021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STYLEREF  标准文件_文件编号  \* MERGEFORMAT </w:instrText>
    </w:r>
    <w:r>
      <w:fldChar w:fldCharType="separate"/>
    </w:r>
    <w:r>
      <w:t>T/GZTC XXXX—2021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6"/>
      <w:suff w:val="nothing"/>
      <w:lvlText w:val="%1%2.%3　"/>
      <w:lvlJc w:val="left"/>
      <w:pPr>
        <w:ind w:left="0" w:firstLine="0"/>
      </w:pPr>
    </w:lvl>
    <w:lvl w:ilvl="3" w:tentative="0">
      <w:start w:val="1"/>
      <w:numFmt w:val="decimal"/>
      <w:pStyle w:val="135"/>
      <w:suff w:val="nothing"/>
      <w:lvlText w:val="%1%2.%3.%4　"/>
      <w:lvlJc w:val="left"/>
      <w:pPr>
        <w:ind w:left="0" w:firstLine="0"/>
      </w:pPr>
    </w:lvl>
    <w:lvl w:ilvl="4" w:tentative="0">
      <w:start w:val="1"/>
      <w:numFmt w:val="decimal"/>
      <w:pStyle w:val="170"/>
      <w:suff w:val="nothing"/>
      <w:lvlText w:val="%1%2.%3.%4.%5　"/>
      <w:lvlJc w:val="left"/>
      <w:pPr>
        <w:ind w:left="0" w:firstLine="0"/>
      </w:pPr>
    </w:lvl>
    <w:lvl w:ilvl="5" w:tentative="0">
      <w:start w:val="1"/>
      <w:numFmt w:val="decimal"/>
      <w:pStyle w:val="172"/>
      <w:suff w:val="nothing"/>
      <w:lvlText w:val="%1%2.%3.%4.%5.%6　"/>
      <w:lvlJc w:val="left"/>
      <w:pPr>
        <w:ind w:left="0" w:firstLine="0"/>
      </w:pPr>
    </w:lvl>
    <w:lvl w:ilvl="6" w:tentative="0">
      <w:start w:val="1"/>
      <w:numFmt w:val="decimal"/>
      <w:pStyle w:val="17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6"/>
      <w:lvlText w:val="%1"/>
      <w:lvlJc w:val="left"/>
      <w:pPr>
        <w:ind w:left="425" w:hanging="425"/>
      </w:pPr>
      <w:rPr>
        <w:rFonts w:hint="eastAsia"/>
      </w:rPr>
    </w:lvl>
    <w:lvl w:ilvl="1" w:tentative="0">
      <w:start w:val="1"/>
      <w:numFmt w:val="decimal"/>
      <w:pStyle w:val="217"/>
      <w:suff w:val="nothing"/>
      <w:lvlText w:val="%10.%2 "/>
      <w:lvlJc w:val="left"/>
      <w:pPr>
        <w:ind w:left="0" w:firstLine="0"/>
      </w:pPr>
      <w:rPr>
        <w:rFonts w:hint="eastAsia" w:ascii="黑体" w:eastAsia="黑体" w:hAnsiTheme="minorHAnsi"/>
        <w:b w:val="0"/>
        <w:i w:val="0"/>
        <w:sz w:val="21"/>
      </w:rPr>
    </w:lvl>
    <w:lvl w:ilvl="2" w:tentative="0">
      <w:start w:val="1"/>
      <w:numFmt w:val="decimal"/>
      <w:pStyle w:val="218"/>
      <w:suff w:val="nothing"/>
      <w:lvlText w:val="%10.%2.%3 "/>
      <w:lvlJc w:val="left"/>
      <w:pPr>
        <w:ind w:left="0" w:firstLine="0"/>
      </w:pPr>
      <w:rPr>
        <w:rFonts w:hint="eastAsia" w:ascii="黑体" w:eastAsia="黑体" w:hAnsiTheme="minorHAnsi"/>
        <w:b w:val="0"/>
        <w:i w:val="0"/>
        <w:sz w:val="21"/>
      </w:rPr>
    </w:lvl>
    <w:lvl w:ilvl="3" w:tentative="0">
      <w:start w:val="1"/>
      <w:numFmt w:val="decimal"/>
      <w:pStyle w:val="219"/>
      <w:suff w:val="nothing"/>
      <w:lvlText w:val="%10.%2.%3.%4 "/>
      <w:lvlJc w:val="left"/>
      <w:pPr>
        <w:ind w:left="0" w:firstLine="0"/>
      </w:pPr>
      <w:rPr>
        <w:rFonts w:hint="eastAsia" w:ascii="黑体" w:eastAsia="黑体" w:hAnsiTheme="minorHAnsi"/>
        <w:b w:val="0"/>
        <w:i w:val="0"/>
        <w:sz w:val="21"/>
      </w:rPr>
    </w:lvl>
    <w:lvl w:ilvl="4" w:tentative="0">
      <w:start w:val="1"/>
      <w:numFmt w:val="decimal"/>
      <w:pStyle w:val="220"/>
      <w:suff w:val="nothing"/>
      <w:lvlText w:val="%10.%2.%3.%4.%5 "/>
      <w:lvlJc w:val="left"/>
      <w:pPr>
        <w:ind w:left="0" w:firstLine="0"/>
      </w:pPr>
      <w:rPr>
        <w:rFonts w:hint="eastAsia" w:ascii="黑体" w:eastAsia="黑体" w:hAnsiTheme="minorHAnsi"/>
        <w:b w:val="0"/>
        <w:i w:val="0"/>
        <w:sz w:val="21"/>
      </w:rPr>
    </w:lvl>
    <w:lvl w:ilvl="5" w:tentative="0">
      <w:start w:val="1"/>
      <w:numFmt w:val="decimal"/>
      <w:pStyle w:val="22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8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2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0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4"/>
      <w:lvlText w:val=""/>
      <w:lvlJc w:val="left"/>
      <w:pPr>
        <w:ind w:left="851" w:hanging="431"/>
      </w:pPr>
      <w:rPr>
        <w:rFonts w:hint="default" w:ascii="Symbol" w:hAnsi="Symbol"/>
        <w:sz w:val="21"/>
      </w:rPr>
    </w:lvl>
    <w:lvl w:ilvl="2" w:tentative="0">
      <w:start w:val="1"/>
      <w:numFmt w:val="bullet"/>
      <w:pStyle w:val="18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1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91"/>
      <w:lvlText w:val="%1)"/>
      <w:lvlJc w:val="left"/>
      <w:pPr>
        <w:tabs>
          <w:tab w:val="left" w:pos="851"/>
        </w:tabs>
        <w:ind w:left="851" w:hanging="426"/>
      </w:pPr>
      <w:rPr>
        <w:rFonts w:hint="eastAsia" w:ascii="宋体" w:hAnsi="Times New Roman" w:eastAsia="宋体"/>
        <w:sz w:val="21"/>
      </w:rPr>
    </w:lvl>
    <w:lvl w:ilvl="1" w:tentative="0">
      <w:start w:val="1"/>
      <w:numFmt w:val="decimal"/>
      <w:pStyle w:val="126"/>
      <w:lvlText w:val="%2)"/>
      <w:lvlJc w:val="left"/>
      <w:pPr>
        <w:tabs>
          <w:tab w:val="left" w:pos="1276"/>
        </w:tabs>
        <w:ind w:left="1276" w:hanging="425"/>
      </w:pPr>
      <w:rPr>
        <w:rFonts w:hint="eastAsia" w:ascii="宋体" w:hAnsi="Times New Roman" w:eastAsia="宋体"/>
        <w:sz w:val="21"/>
      </w:rPr>
    </w:lvl>
    <w:lvl w:ilvl="2" w:tentative="0">
      <w:start w:val="1"/>
      <w:numFmt w:val="decimal"/>
      <w:pStyle w:val="13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15"/>
      <w:lvlText w:val="%1"/>
      <w:lvlJc w:val="left"/>
      <w:pPr>
        <w:ind w:left="420" w:hanging="420"/>
      </w:pPr>
      <w:rPr>
        <w:rFonts w:hint="eastAsia"/>
      </w:rPr>
    </w:lvl>
    <w:lvl w:ilvl="1" w:tentative="0">
      <w:start w:val="1"/>
      <w:numFmt w:val="decimal"/>
      <w:pStyle w:val="10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20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3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1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3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16"/>
      <w:suff w:val="space"/>
      <w:lvlText w:val="%1"/>
      <w:lvlJc w:val="left"/>
      <w:pPr>
        <w:ind w:left="425" w:hanging="425"/>
      </w:pPr>
      <w:rPr>
        <w:rFonts w:hint="eastAsia"/>
      </w:rPr>
    </w:lvl>
    <w:lvl w:ilvl="1" w:tentative="0">
      <w:start w:val="1"/>
      <w:numFmt w:val="decimal"/>
      <w:pStyle w:val="9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2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8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20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93"/>
      <w:suff w:val="nothing"/>
      <w:lvlText w:val="附录%1"/>
      <w:lvlJc w:val="left"/>
      <w:pPr>
        <w:ind w:left="0" w:firstLine="0"/>
      </w:pPr>
      <w:rPr>
        <w:rFonts w:hint="eastAsia"/>
        <w:spacing w:val="100"/>
      </w:rPr>
    </w:lvl>
    <w:lvl w:ilvl="1" w:tentative="0">
      <w:start w:val="1"/>
      <w:numFmt w:val="decimal"/>
      <w:pStyle w:val="95"/>
      <w:suff w:val="nothing"/>
      <w:lvlText w:val="%1.%2　"/>
      <w:lvlJc w:val="left"/>
      <w:pPr>
        <w:ind w:left="0" w:firstLine="0"/>
      </w:pPr>
      <w:rPr>
        <w:rFonts w:hint="eastAsia" w:ascii="黑体" w:eastAsia="黑体"/>
        <w:b w:val="0"/>
        <w:i w:val="0"/>
        <w:sz w:val="21"/>
      </w:rPr>
    </w:lvl>
    <w:lvl w:ilvl="2" w:tentative="0">
      <w:start w:val="1"/>
      <w:numFmt w:val="decimal"/>
      <w:pStyle w:val="96"/>
      <w:suff w:val="nothing"/>
      <w:lvlText w:val="%1.%2.%3　"/>
      <w:lvlJc w:val="left"/>
      <w:pPr>
        <w:ind w:left="0" w:firstLine="0"/>
      </w:pPr>
      <w:rPr>
        <w:rFonts w:hint="eastAsia" w:ascii="黑体" w:eastAsia="黑体"/>
        <w:b w:val="0"/>
        <w:i w:val="0"/>
        <w:sz w:val="21"/>
      </w:rPr>
    </w:lvl>
    <w:lvl w:ilvl="3" w:tentative="0">
      <w:start w:val="1"/>
      <w:numFmt w:val="decimal"/>
      <w:pStyle w:val="98"/>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20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1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9"/>
      <w:suff w:val="nothing"/>
      <w:lvlText w:val="%1"/>
      <w:lvlJc w:val="left"/>
      <w:pPr>
        <w:ind w:left="0" w:firstLine="0"/>
      </w:pPr>
      <w:rPr>
        <w:rFonts w:hint="eastAsia"/>
      </w:rPr>
    </w:lvl>
    <w:lvl w:ilvl="1" w:tentative="0">
      <w:start w:val="1"/>
      <w:numFmt w:val="decimal"/>
      <w:pStyle w:val="121"/>
      <w:suff w:val="nothing"/>
      <w:lvlText w:val="%1%2　"/>
      <w:lvlJc w:val="left"/>
      <w:pPr>
        <w:ind w:left="0" w:firstLine="0"/>
      </w:pPr>
      <w:rPr>
        <w:rFonts w:hint="eastAsia" w:ascii="黑体" w:eastAsia="黑体"/>
        <w:b w:val="0"/>
        <w:i w:val="0"/>
        <w:sz w:val="21"/>
      </w:rPr>
    </w:lvl>
    <w:lvl w:ilvl="2" w:tentative="0">
      <w:start w:val="1"/>
      <w:numFmt w:val="decimal"/>
      <w:pStyle w:val="1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82"/>
      <w:suff w:val="nothing"/>
      <w:lvlText w:val="%1%2.%3.%4　"/>
      <w:lvlJc w:val="left"/>
      <w:pPr>
        <w:ind w:left="0" w:firstLine="0"/>
      </w:pPr>
      <w:rPr>
        <w:rFonts w:hint="eastAsia" w:ascii="黑体" w:hAns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15"/>
      <w:suff w:val="nothing"/>
      <w:lvlText w:val="%1%2.%3.%4.%5.%6　"/>
      <w:lvlJc w:val="left"/>
      <w:pPr>
        <w:ind w:left="0" w:firstLine="0"/>
      </w:pPr>
      <w:rPr>
        <w:rFonts w:hint="eastAsia" w:ascii="黑体" w:eastAsia="黑体"/>
        <w:b w:val="0"/>
        <w:i w:val="0"/>
        <w:sz w:val="21"/>
      </w:rPr>
    </w:lvl>
    <w:lvl w:ilvl="6" w:tentative="0">
      <w:start w:val="1"/>
      <w:numFmt w:val="decimal"/>
      <w:pStyle w:val="12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9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3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5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attachedTemplate r:id="rId1"/>
  <w:documentProtection w:edit="forms" w:enforcement="1" w:cryptProviderType="rsaFull" w:cryptAlgorithmClass="hash" w:cryptAlgorithmType="typeAny" w:cryptAlgorithmSid="4" w:cryptSpinCount="100000" w:hash="v8tcWDwC0CKOc5v9+SioX+z/MHw=" w:salt="Mj7fAhGl7mUfG+aXmFVUc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1A"/>
    <w:rsid w:val="0000040A"/>
    <w:rsid w:val="000006DE"/>
    <w:rsid w:val="00000A94"/>
    <w:rsid w:val="000013D1"/>
    <w:rsid w:val="00001972"/>
    <w:rsid w:val="00001D9A"/>
    <w:rsid w:val="00002090"/>
    <w:rsid w:val="00007B3A"/>
    <w:rsid w:val="000107E0"/>
    <w:rsid w:val="000110C1"/>
    <w:rsid w:val="00011FDE"/>
    <w:rsid w:val="00012FFD"/>
    <w:rsid w:val="00014162"/>
    <w:rsid w:val="00014340"/>
    <w:rsid w:val="00016943"/>
    <w:rsid w:val="00016A9C"/>
    <w:rsid w:val="00017038"/>
    <w:rsid w:val="00022184"/>
    <w:rsid w:val="000226E7"/>
    <w:rsid w:val="00022762"/>
    <w:rsid w:val="000238E0"/>
    <w:rsid w:val="000249DB"/>
    <w:rsid w:val="000258D5"/>
    <w:rsid w:val="0002595E"/>
    <w:rsid w:val="00027C6D"/>
    <w:rsid w:val="000303C3"/>
    <w:rsid w:val="00032AC9"/>
    <w:rsid w:val="000331D3"/>
    <w:rsid w:val="000346A5"/>
    <w:rsid w:val="00035837"/>
    <w:rsid w:val="000359C3"/>
    <w:rsid w:val="00035A7D"/>
    <w:rsid w:val="000365ED"/>
    <w:rsid w:val="0004249A"/>
    <w:rsid w:val="00043282"/>
    <w:rsid w:val="00044286"/>
    <w:rsid w:val="000459B0"/>
    <w:rsid w:val="00047F28"/>
    <w:rsid w:val="000503AA"/>
    <w:rsid w:val="000506A1"/>
    <w:rsid w:val="000515DD"/>
    <w:rsid w:val="00052261"/>
    <w:rsid w:val="0005265A"/>
    <w:rsid w:val="000539DD"/>
    <w:rsid w:val="00053BD3"/>
    <w:rsid w:val="0005493B"/>
    <w:rsid w:val="000556ED"/>
    <w:rsid w:val="00055FE2"/>
    <w:rsid w:val="0005616F"/>
    <w:rsid w:val="00056EA0"/>
    <w:rsid w:val="00060C2E"/>
    <w:rsid w:val="00061033"/>
    <w:rsid w:val="000619E9"/>
    <w:rsid w:val="000622D4"/>
    <w:rsid w:val="0006357D"/>
    <w:rsid w:val="000654A9"/>
    <w:rsid w:val="00067F1E"/>
    <w:rsid w:val="00071CC0"/>
    <w:rsid w:val="00071CFC"/>
    <w:rsid w:val="00073B8B"/>
    <w:rsid w:val="00073C8C"/>
    <w:rsid w:val="00077B64"/>
    <w:rsid w:val="00080A1C"/>
    <w:rsid w:val="000818DF"/>
    <w:rsid w:val="00082317"/>
    <w:rsid w:val="00083D2C"/>
    <w:rsid w:val="00083F68"/>
    <w:rsid w:val="0008430C"/>
    <w:rsid w:val="00086AA1"/>
    <w:rsid w:val="00087A77"/>
    <w:rsid w:val="0009049C"/>
    <w:rsid w:val="00090CA6"/>
    <w:rsid w:val="00092B8A"/>
    <w:rsid w:val="00092FB0"/>
    <w:rsid w:val="000934C5"/>
    <w:rsid w:val="00093D25"/>
    <w:rsid w:val="00093DAB"/>
    <w:rsid w:val="00094259"/>
    <w:rsid w:val="00094D73"/>
    <w:rsid w:val="00096D63"/>
    <w:rsid w:val="00097CEF"/>
    <w:rsid w:val="000A0B60"/>
    <w:rsid w:val="000A0EB8"/>
    <w:rsid w:val="000A19FC"/>
    <w:rsid w:val="000A296B"/>
    <w:rsid w:val="000A7311"/>
    <w:rsid w:val="000B060F"/>
    <w:rsid w:val="000B1592"/>
    <w:rsid w:val="000B1FF2"/>
    <w:rsid w:val="000B2D6B"/>
    <w:rsid w:val="000B3CDA"/>
    <w:rsid w:val="000B6A0B"/>
    <w:rsid w:val="000C0F6C"/>
    <w:rsid w:val="000C11DB"/>
    <w:rsid w:val="000C1492"/>
    <w:rsid w:val="000C2FBD"/>
    <w:rsid w:val="000C4B41"/>
    <w:rsid w:val="000C57D6"/>
    <w:rsid w:val="000C6362"/>
    <w:rsid w:val="000C7666"/>
    <w:rsid w:val="000D000C"/>
    <w:rsid w:val="000D0A9C"/>
    <w:rsid w:val="000D0D06"/>
    <w:rsid w:val="000D1795"/>
    <w:rsid w:val="000D329A"/>
    <w:rsid w:val="000D4A29"/>
    <w:rsid w:val="000D4B9C"/>
    <w:rsid w:val="000D4EB6"/>
    <w:rsid w:val="000D753B"/>
    <w:rsid w:val="000E1EB7"/>
    <w:rsid w:val="000E346F"/>
    <w:rsid w:val="000E4C9E"/>
    <w:rsid w:val="000E6FD7"/>
    <w:rsid w:val="000F06E1"/>
    <w:rsid w:val="000F0E3C"/>
    <w:rsid w:val="000F19D5"/>
    <w:rsid w:val="000F3028"/>
    <w:rsid w:val="000F4050"/>
    <w:rsid w:val="000F4AEA"/>
    <w:rsid w:val="000F5ED7"/>
    <w:rsid w:val="000F67E9"/>
    <w:rsid w:val="0010308B"/>
    <w:rsid w:val="00104926"/>
    <w:rsid w:val="00113B1E"/>
    <w:rsid w:val="0011711C"/>
    <w:rsid w:val="00124E4F"/>
    <w:rsid w:val="001260B7"/>
    <w:rsid w:val="001265CB"/>
    <w:rsid w:val="00130D2A"/>
    <w:rsid w:val="001321C6"/>
    <w:rsid w:val="001325C4"/>
    <w:rsid w:val="00133010"/>
    <w:rsid w:val="001338EE"/>
    <w:rsid w:val="00133AAE"/>
    <w:rsid w:val="00135323"/>
    <w:rsid w:val="001356C4"/>
    <w:rsid w:val="00137565"/>
    <w:rsid w:val="00141114"/>
    <w:rsid w:val="00142969"/>
    <w:rsid w:val="001446C2"/>
    <w:rsid w:val="001457E7"/>
    <w:rsid w:val="00145D9D"/>
    <w:rsid w:val="001460E2"/>
    <w:rsid w:val="00146388"/>
    <w:rsid w:val="00147550"/>
    <w:rsid w:val="00147EF7"/>
    <w:rsid w:val="00150D88"/>
    <w:rsid w:val="00151B60"/>
    <w:rsid w:val="001529E5"/>
    <w:rsid w:val="00152FB3"/>
    <w:rsid w:val="00153C7E"/>
    <w:rsid w:val="0015601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4E97"/>
    <w:rsid w:val="00195C34"/>
    <w:rsid w:val="00196EF5"/>
    <w:rsid w:val="001A16A3"/>
    <w:rsid w:val="001A1A53"/>
    <w:rsid w:val="001A234A"/>
    <w:rsid w:val="001A35C3"/>
    <w:rsid w:val="001A4CF3"/>
    <w:rsid w:val="001A6696"/>
    <w:rsid w:val="001B06E8"/>
    <w:rsid w:val="001B4D9D"/>
    <w:rsid w:val="001B71D0"/>
    <w:rsid w:val="001B71EE"/>
    <w:rsid w:val="001C04A8"/>
    <w:rsid w:val="001C2C03"/>
    <w:rsid w:val="001C42F7"/>
    <w:rsid w:val="001C49E5"/>
    <w:rsid w:val="001C680C"/>
    <w:rsid w:val="001C7FEA"/>
    <w:rsid w:val="001D0499"/>
    <w:rsid w:val="001D0BBE"/>
    <w:rsid w:val="001D0ED4"/>
    <w:rsid w:val="001D212F"/>
    <w:rsid w:val="001D29D7"/>
    <w:rsid w:val="001D2A57"/>
    <w:rsid w:val="001D2DE7"/>
    <w:rsid w:val="001D411C"/>
    <w:rsid w:val="001D76FA"/>
    <w:rsid w:val="001E0742"/>
    <w:rsid w:val="001E1B6A"/>
    <w:rsid w:val="001E2484"/>
    <w:rsid w:val="001E3A39"/>
    <w:rsid w:val="001E3CC4"/>
    <w:rsid w:val="001E4882"/>
    <w:rsid w:val="001E6CD5"/>
    <w:rsid w:val="001E73AB"/>
    <w:rsid w:val="001F092D"/>
    <w:rsid w:val="001F143A"/>
    <w:rsid w:val="001F1605"/>
    <w:rsid w:val="001F1978"/>
    <w:rsid w:val="001F2508"/>
    <w:rsid w:val="001F4816"/>
    <w:rsid w:val="001F69B4"/>
    <w:rsid w:val="001F6AEF"/>
    <w:rsid w:val="001F77C7"/>
    <w:rsid w:val="00200183"/>
    <w:rsid w:val="00200333"/>
    <w:rsid w:val="0020107D"/>
    <w:rsid w:val="00202AA4"/>
    <w:rsid w:val="002031F7"/>
    <w:rsid w:val="00203C64"/>
    <w:rsid w:val="002040E6"/>
    <w:rsid w:val="0020527B"/>
    <w:rsid w:val="00205F2C"/>
    <w:rsid w:val="00210B15"/>
    <w:rsid w:val="002142EA"/>
    <w:rsid w:val="00215ADD"/>
    <w:rsid w:val="002204BB"/>
    <w:rsid w:val="00221B79"/>
    <w:rsid w:val="00221C6B"/>
    <w:rsid w:val="002253A1"/>
    <w:rsid w:val="00225CF8"/>
    <w:rsid w:val="0022794E"/>
    <w:rsid w:val="002323AD"/>
    <w:rsid w:val="00233D64"/>
    <w:rsid w:val="0023482A"/>
    <w:rsid w:val="002359CB"/>
    <w:rsid w:val="00240B4E"/>
    <w:rsid w:val="00243540"/>
    <w:rsid w:val="0024497B"/>
    <w:rsid w:val="0024515B"/>
    <w:rsid w:val="002452B5"/>
    <w:rsid w:val="00245E75"/>
    <w:rsid w:val="00246021"/>
    <w:rsid w:val="0024666E"/>
    <w:rsid w:val="00247F52"/>
    <w:rsid w:val="00247F76"/>
    <w:rsid w:val="00247FDA"/>
    <w:rsid w:val="0025051F"/>
    <w:rsid w:val="00250B25"/>
    <w:rsid w:val="00250BBE"/>
    <w:rsid w:val="002515C2"/>
    <w:rsid w:val="0025194F"/>
    <w:rsid w:val="00252DCD"/>
    <w:rsid w:val="002570DC"/>
    <w:rsid w:val="0026148A"/>
    <w:rsid w:val="00262696"/>
    <w:rsid w:val="00263D25"/>
    <w:rsid w:val="002643C3"/>
    <w:rsid w:val="00264A0C"/>
    <w:rsid w:val="002660ED"/>
    <w:rsid w:val="00266EEB"/>
    <w:rsid w:val="00267EF4"/>
    <w:rsid w:val="00270CB8"/>
    <w:rsid w:val="00272B08"/>
    <w:rsid w:val="00281BB8"/>
    <w:rsid w:val="00281E9E"/>
    <w:rsid w:val="00282405"/>
    <w:rsid w:val="002824E3"/>
    <w:rsid w:val="002842BC"/>
    <w:rsid w:val="00285170"/>
    <w:rsid w:val="00285361"/>
    <w:rsid w:val="002856AC"/>
    <w:rsid w:val="00292D60"/>
    <w:rsid w:val="00293B30"/>
    <w:rsid w:val="00294D34"/>
    <w:rsid w:val="00294E3B"/>
    <w:rsid w:val="00296193"/>
    <w:rsid w:val="00296C66"/>
    <w:rsid w:val="00296EBE"/>
    <w:rsid w:val="002974E3"/>
    <w:rsid w:val="002A084B"/>
    <w:rsid w:val="002A1260"/>
    <w:rsid w:val="002A1589"/>
    <w:rsid w:val="002A1608"/>
    <w:rsid w:val="002A25DC"/>
    <w:rsid w:val="002A35AD"/>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B21"/>
    <w:rsid w:val="002C3F07"/>
    <w:rsid w:val="002C5278"/>
    <w:rsid w:val="002C618F"/>
    <w:rsid w:val="002C7EBB"/>
    <w:rsid w:val="002D0397"/>
    <w:rsid w:val="002D06C1"/>
    <w:rsid w:val="002D1803"/>
    <w:rsid w:val="002D42B5"/>
    <w:rsid w:val="002D4F1A"/>
    <w:rsid w:val="002D6BF9"/>
    <w:rsid w:val="002D6EC6"/>
    <w:rsid w:val="002D79AC"/>
    <w:rsid w:val="002E039D"/>
    <w:rsid w:val="002E3111"/>
    <w:rsid w:val="002E4D5A"/>
    <w:rsid w:val="002E6326"/>
    <w:rsid w:val="002F30E0"/>
    <w:rsid w:val="002F35E4"/>
    <w:rsid w:val="002F3730"/>
    <w:rsid w:val="002F38E1"/>
    <w:rsid w:val="002F44C1"/>
    <w:rsid w:val="002F7AF6"/>
    <w:rsid w:val="00300E63"/>
    <w:rsid w:val="00302F5F"/>
    <w:rsid w:val="003040C8"/>
    <w:rsid w:val="0030441D"/>
    <w:rsid w:val="003058B6"/>
    <w:rsid w:val="00306063"/>
    <w:rsid w:val="00310EA0"/>
    <w:rsid w:val="00313A87"/>
    <w:rsid w:val="00313B85"/>
    <w:rsid w:val="00317988"/>
    <w:rsid w:val="00320341"/>
    <w:rsid w:val="003221B4"/>
    <w:rsid w:val="0032258D"/>
    <w:rsid w:val="00322E62"/>
    <w:rsid w:val="00324D13"/>
    <w:rsid w:val="00324EDD"/>
    <w:rsid w:val="003331E4"/>
    <w:rsid w:val="003353DD"/>
    <w:rsid w:val="00336C64"/>
    <w:rsid w:val="00336F82"/>
    <w:rsid w:val="00337162"/>
    <w:rsid w:val="003377B8"/>
    <w:rsid w:val="00341338"/>
    <w:rsid w:val="0034194F"/>
    <w:rsid w:val="003433FA"/>
    <w:rsid w:val="00344605"/>
    <w:rsid w:val="003474AA"/>
    <w:rsid w:val="00350D1D"/>
    <w:rsid w:val="00351319"/>
    <w:rsid w:val="00352C83"/>
    <w:rsid w:val="00352F1A"/>
    <w:rsid w:val="0036107C"/>
    <w:rsid w:val="003615D2"/>
    <w:rsid w:val="0036429C"/>
    <w:rsid w:val="00364A53"/>
    <w:rsid w:val="00364F74"/>
    <w:rsid w:val="003654CB"/>
    <w:rsid w:val="00365AA9"/>
    <w:rsid w:val="00365F86"/>
    <w:rsid w:val="00365F87"/>
    <w:rsid w:val="00366E89"/>
    <w:rsid w:val="0037046D"/>
    <w:rsid w:val="003704B3"/>
    <w:rsid w:val="003705F4"/>
    <w:rsid w:val="003708E8"/>
    <w:rsid w:val="00370D58"/>
    <w:rsid w:val="00371316"/>
    <w:rsid w:val="003713A0"/>
    <w:rsid w:val="00376713"/>
    <w:rsid w:val="00381815"/>
    <w:rsid w:val="003819AF"/>
    <w:rsid w:val="003820E9"/>
    <w:rsid w:val="0038255B"/>
    <w:rsid w:val="00382DE7"/>
    <w:rsid w:val="0038394F"/>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58F"/>
    <w:rsid w:val="003B5BF0"/>
    <w:rsid w:val="003B60BF"/>
    <w:rsid w:val="003B6BE3"/>
    <w:rsid w:val="003C010C"/>
    <w:rsid w:val="003C0A6C"/>
    <w:rsid w:val="003C14F8"/>
    <w:rsid w:val="003C5A43"/>
    <w:rsid w:val="003C628B"/>
    <w:rsid w:val="003D0519"/>
    <w:rsid w:val="003D0FF6"/>
    <w:rsid w:val="003D1E91"/>
    <w:rsid w:val="003D262C"/>
    <w:rsid w:val="003D42E3"/>
    <w:rsid w:val="003D6D61"/>
    <w:rsid w:val="003E091D"/>
    <w:rsid w:val="003E0DC7"/>
    <w:rsid w:val="003E1C53"/>
    <w:rsid w:val="003E2A69"/>
    <w:rsid w:val="003E2D49"/>
    <w:rsid w:val="003E2FD4"/>
    <w:rsid w:val="003E49F6"/>
    <w:rsid w:val="003E660F"/>
    <w:rsid w:val="003F0841"/>
    <w:rsid w:val="003F23D3"/>
    <w:rsid w:val="003F3F08"/>
    <w:rsid w:val="003F49F1"/>
    <w:rsid w:val="003F6272"/>
    <w:rsid w:val="003F6880"/>
    <w:rsid w:val="00400E72"/>
    <w:rsid w:val="00401400"/>
    <w:rsid w:val="00404869"/>
    <w:rsid w:val="00405884"/>
    <w:rsid w:val="00407D39"/>
    <w:rsid w:val="0041477A"/>
    <w:rsid w:val="004167A3"/>
    <w:rsid w:val="004264EC"/>
    <w:rsid w:val="00432DAA"/>
    <w:rsid w:val="00434305"/>
    <w:rsid w:val="00435DF7"/>
    <w:rsid w:val="004400DD"/>
    <w:rsid w:val="0044083F"/>
    <w:rsid w:val="00441AE7"/>
    <w:rsid w:val="00443DAC"/>
    <w:rsid w:val="00445574"/>
    <w:rsid w:val="004461D5"/>
    <w:rsid w:val="004467FB"/>
    <w:rsid w:val="004478A7"/>
    <w:rsid w:val="00452D6B"/>
    <w:rsid w:val="0045378E"/>
    <w:rsid w:val="00454484"/>
    <w:rsid w:val="00454D46"/>
    <w:rsid w:val="0045517B"/>
    <w:rsid w:val="004635AB"/>
    <w:rsid w:val="00463913"/>
    <w:rsid w:val="00463B77"/>
    <w:rsid w:val="00463C7B"/>
    <w:rsid w:val="004644A6"/>
    <w:rsid w:val="004659BD"/>
    <w:rsid w:val="00470775"/>
    <w:rsid w:val="00471124"/>
    <w:rsid w:val="00472879"/>
    <w:rsid w:val="00472A76"/>
    <w:rsid w:val="004746B1"/>
    <w:rsid w:val="0047583F"/>
    <w:rsid w:val="00475DE8"/>
    <w:rsid w:val="00477C17"/>
    <w:rsid w:val="00477C71"/>
    <w:rsid w:val="00481C44"/>
    <w:rsid w:val="00484936"/>
    <w:rsid w:val="00485C89"/>
    <w:rsid w:val="00486BE3"/>
    <w:rsid w:val="00490061"/>
    <w:rsid w:val="004905E4"/>
    <w:rsid w:val="00490A89"/>
    <w:rsid w:val="00490AB4"/>
    <w:rsid w:val="004920B0"/>
    <w:rsid w:val="00492F02"/>
    <w:rsid w:val="004939AE"/>
    <w:rsid w:val="004A12DF"/>
    <w:rsid w:val="004A1BA8"/>
    <w:rsid w:val="004A4B57"/>
    <w:rsid w:val="004A63FA"/>
    <w:rsid w:val="004A6A3D"/>
    <w:rsid w:val="004A7F41"/>
    <w:rsid w:val="004A7FC8"/>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A25"/>
    <w:rsid w:val="004D4406"/>
    <w:rsid w:val="004D52A8"/>
    <w:rsid w:val="004D7C42"/>
    <w:rsid w:val="004E0465"/>
    <w:rsid w:val="004E127B"/>
    <w:rsid w:val="004E1C0A"/>
    <w:rsid w:val="004E2C53"/>
    <w:rsid w:val="004E30C5"/>
    <w:rsid w:val="004E3DE6"/>
    <w:rsid w:val="004E4AA5"/>
    <w:rsid w:val="004E4AEE"/>
    <w:rsid w:val="004E59E3"/>
    <w:rsid w:val="004E67C0"/>
    <w:rsid w:val="004F391A"/>
    <w:rsid w:val="004F3CFB"/>
    <w:rsid w:val="004F6456"/>
    <w:rsid w:val="004F696E"/>
    <w:rsid w:val="004F6C71"/>
    <w:rsid w:val="00501139"/>
    <w:rsid w:val="00501A8A"/>
    <w:rsid w:val="0050363E"/>
    <w:rsid w:val="005039BC"/>
    <w:rsid w:val="005043BB"/>
    <w:rsid w:val="00504A3D"/>
    <w:rsid w:val="00505767"/>
    <w:rsid w:val="005073F0"/>
    <w:rsid w:val="00510A7B"/>
    <w:rsid w:val="00512F6E"/>
    <w:rsid w:val="00513038"/>
    <w:rsid w:val="00514135"/>
    <w:rsid w:val="00514174"/>
    <w:rsid w:val="00516088"/>
    <w:rsid w:val="00516B0B"/>
    <w:rsid w:val="005220EC"/>
    <w:rsid w:val="00523915"/>
    <w:rsid w:val="00523F95"/>
    <w:rsid w:val="00524D65"/>
    <w:rsid w:val="00525B16"/>
    <w:rsid w:val="00531D6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1B2"/>
    <w:rsid w:val="00551F6F"/>
    <w:rsid w:val="00555044"/>
    <w:rsid w:val="00555B78"/>
    <w:rsid w:val="0055665B"/>
    <w:rsid w:val="00561475"/>
    <w:rsid w:val="00562308"/>
    <w:rsid w:val="0056487B"/>
    <w:rsid w:val="00564FB9"/>
    <w:rsid w:val="0056697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FA5"/>
    <w:rsid w:val="005A260B"/>
    <w:rsid w:val="005A3ECB"/>
    <w:rsid w:val="005A4544"/>
    <w:rsid w:val="005A4A1B"/>
    <w:rsid w:val="005A7830"/>
    <w:rsid w:val="005A7FCE"/>
    <w:rsid w:val="005B0F3F"/>
    <w:rsid w:val="005B191C"/>
    <w:rsid w:val="005B4903"/>
    <w:rsid w:val="005B51CE"/>
    <w:rsid w:val="005B5885"/>
    <w:rsid w:val="005B5C3F"/>
    <w:rsid w:val="005B5CD7"/>
    <w:rsid w:val="005B6CF6"/>
    <w:rsid w:val="005B7422"/>
    <w:rsid w:val="005C29B8"/>
    <w:rsid w:val="005C5F21"/>
    <w:rsid w:val="005C7156"/>
    <w:rsid w:val="005D0C75"/>
    <w:rsid w:val="005D4171"/>
    <w:rsid w:val="005D6A95"/>
    <w:rsid w:val="005D6B2C"/>
    <w:rsid w:val="005D6D9C"/>
    <w:rsid w:val="005D75C2"/>
    <w:rsid w:val="005E1B6D"/>
    <w:rsid w:val="005E2335"/>
    <w:rsid w:val="005E2B3A"/>
    <w:rsid w:val="005E34CA"/>
    <w:rsid w:val="005E3C18"/>
    <w:rsid w:val="005E4250"/>
    <w:rsid w:val="005E64A3"/>
    <w:rsid w:val="005E6812"/>
    <w:rsid w:val="005E7881"/>
    <w:rsid w:val="005E78E0"/>
    <w:rsid w:val="005F0D9C"/>
    <w:rsid w:val="005F284E"/>
    <w:rsid w:val="006015CE"/>
    <w:rsid w:val="00604784"/>
    <w:rsid w:val="0060479E"/>
    <w:rsid w:val="00606201"/>
    <w:rsid w:val="00606419"/>
    <w:rsid w:val="00607D29"/>
    <w:rsid w:val="00610083"/>
    <w:rsid w:val="00612952"/>
    <w:rsid w:val="00614CC1"/>
    <w:rsid w:val="00615A9D"/>
    <w:rsid w:val="00616986"/>
    <w:rsid w:val="00617387"/>
    <w:rsid w:val="006205D6"/>
    <w:rsid w:val="006252D8"/>
    <w:rsid w:val="006259BC"/>
    <w:rsid w:val="0062636B"/>
    <w:rsid w:val="00632182"/>
    <w:rsid w:val="00632AE0"/>
    <w:rsid w:val="00633C17"/>
    <w:rsid w:val="00634D9E"/>
    <w:rsid w:val="00636E3E"/>
    <w:rsid w:val="006378E9"/>
    <w:rsid w:val="006379F7"/>
    <w:rsid w:val="00637E4D"/>
    <w:rsid w:val="00640620"/>
    <w:rsid w:val="00641A1F"/>
    <w:rsid w:val="006450CD"/>
    <w:rsid w:val="00645904"/>
    <w:rsid w:val="00650E0D"/>
    <w:rsid w:val="006516AC"/>
    <w:rsid w:val="00651ACB"/>
    <w:rsid w:val="00651C47"/>
    <w:rsid w:val="00652AB2"/>
    <w:rsid w:val="00652BCF"/>
    <w:rsid w:val="00653FED"/>
    <w:rsid w:val="00654EC0"/>
    <w:rsid w:val="0065525B"/>
    <w:rsid w:val="00655D4F"/>
    <w:rsid w:val="00656D29"/>
    <w:rsid w:val="006640E5"/>
    <w:rsid w:val="006646F1"/>
    <w:rsid w:val="00664929"/>
    <w:rsid w:val="00664F62"/>
    <w:rsid w:val="006655E1"/>
    <w:rsid w:val="00670C8D"/>
    <w:rsid w:val="006715EC"/>
    <w:rsid w:val="00672060"/>
    <w:rsid w:val="00672BFD"/>
    <w:rsid w:val="006770F4"/>
    <w:rsid w:val="00677A84"/>
    <w:rsid w:val="0068026D"/>
    <w:rsid w:val="00680A27"/>
    <w:rsid w:val="00680CEB"/>
    <w:rsid w:val="006816A4"/>
    <w:rsid w:val="006819B8"/>
    <w:rsid w:val="006840A6"/>
    <w:rsid w:val="006850CD"/>
    <w:rsid w:val="00685AAB"/>
    <w:rsid w:val="006869EF"/>
    <w:rsid w:val="006906E9"/>
    <w:rsid w:val="0069255E"/>
    <w:rsid w:val="0069571F"/>
    <w:rsid w:val="00696708"/>
    <w:rsid w:val="006A07AA"/>
    <w:rsid w:val="006A0F11"/>
    <w:rsid w:val="006A25E5"/>
    <w:rsid w:val="006A2B46"/>
    <w:rsid w:val="006A336D"/>
    <w:rsid w:val="006A37B9"/>
    <w:rsid w:val="006A4BCA"/>
    <w:rsid w:val="006B2672"/>
    <w:rsid w:val="006B4D56"/>
    <w:rsid w:val="006B54BF"/>
    <w:rsid w:val="006B5F44"/>
    <w:rsid w:val="006B5F90"/>
    <w:rsid w:val="006B62E4"/>
    <w:rsid w:val="006C1BBA"/>
    <w:rsid w:val="006C2079"/>
    <w:rsid w:val="006C4E9A"/>
    <w:rsid w:val="006C5A62"/>
    <w:rsid w:val="006C5D68"/>
    <w:rsid w:val="006C6976"/>
    <w:rsid w:val="006C6DD0"/>
    <w:rsid w:val="006D04EA"/>
    <w:rsid w:val="006D16C4"/>
    <w:rsid w:val="006D3E96"/>
    <w:rsid w:val="006D4515"/>
    <w:rsid w:val="006D4BB1"/>
    <w:rsid w:val="006D6593"/>
    <w:rsid w:val="006E1FEF"/>
    <w:rsid w:val="006E2E29"/>
    <w:rsid w:val="006E5A0D"/>
    <w:rsid w:val="006F03A8"/>
    <w:rsid w:val="006F20A1"/>
    <w:rsid w:val="006F2ACA"/>
    <w:rsid w:val="006F2ADC"/>
    <w:rsid w:val="006F2BFE"/>
    <w:rsid w:val="006F31E9"/>
    <w:rsid w:val="006F3872"/>
    <w:rsid w:val="006F6284"/>
    <w:rsid w:val="006F6572"/>
    <w:rsid w:val="007002C5"/>
    <w:rsid w:val="00704387"/>
    <w:rsid w:val="00707669"/>
    <w:rsid w:val="00711CBA"/>
    <w:rsid w:val="00711FB5"/>
    <w:rsid w:val="00712A01"/>
    <w:rsid w:val="00714F58"/>
    <w:rsid w:val="007173E6"/>
    <w:rsid w:val="007178F7"/>
    <w:rsid w:val="00722FBF"/>
    <w:rsid w:val="00722FC2"/>
    <w:rsid w:val="00724E1B"/>
    <w:rsid w:val="00725949"/>
    <w:rsid w:val="00727FA2"/>
    <w:rsid w:val="007322D9"/>
    <w:rsid w:val="00732BC0"/>
    <w:rsid w:val="0073720F"/>
    <w:rsid w:val="00737796"/>
    <w:rsid w:val="0074165C"/>
    <w:rsid w:val="00742751"/>
    <w:rsid w:val="00742C35"/>
    <w:rsid w:val="007432CA"/>
    <w:rsid w:val="007439EB"/>
    <w:rsid w:val="00743CB4"/>
    <w:rsid w:val="00743F0A"/>
    <w:rsid w:val="007444E8"/>
    <w:rsid w:val="0074548E"/>
    <w:rsid w:val="00745773"/>
    <w:rsid w:val="00745C14"/>
    <w:rsid w:val="00745F0F"/>
    <w:rsid w:val="00746800"/>
    <w:rsid w:val="00746A1B"/>
    <w:rsid w:val="007501A8"/>
    <w:rsid w:val="00750D61"/>
    <w:rsid w:val="00750EE1"/>
    <w:rsid w:val="00751B1C"/>
    <w:rsid w:val="0075235F"/>
    <w:rsid w:val="00752B4D"/>
    <w:rsid w:val="007533E8"/>
    <w:rsid w:val="00755402"/>
    <w:rsid w:val="00756B26"/>
    <w:rsid w:val="00756EDF"/>
    <w:rsid w:val="007600E3"/>
    <w:rsid w:val="0076430E"/>
    <w:rsid w:val="00764ED2"/>
    <w:rsid w:val="007652B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23A"/>
    <w:rsid w:val="007A43B8"/>
    <w:rsid w:val="007A54CE"/>
    <w:rsid w:val="007A6FD9"/>
    <w:rsid w:val="007A7537"/>
    <w:rsid w:val="007A7FFA"/>
    <w:rsid w:val="007B04EB"/>
    <w:rsid w:val="007B0D4F"/>
    <w:rsid w:val="007B29E1"/>
    <w:rsid w:val="007B3D60"/>
    <w:rsid w:val="007B4907"/>
    <w:rsid w:val="007B5A3D"/>
    <w:rsid w:val="007B5B95"/>
    <w:rsid w:val="007B6032"/>
    <w:rsid w:val="007B68EA"/>
    <w:rsid w:val="007B7453"/>
    <w:rsid w:val="007C2D89"/>
    <w:rsid w:val="007C4593"/>
    <w:rsid w:val="007C5309"/>
    <w:rsid w:val="007C6069"/>
    <w:rsid w:val="007C7A70"/>
    <w:rsid w:val="007D06C4"/>
    <w:rsid w:val="007D1352"/>
    <w:rsid w:val="007D2508"/>
    <w:rsid w:val="007D346A"/>
    <w:rsid w:val="007D448A"/>
    <w:rsid w:val="007D6518"/>
    <w:rsid w:val="007D76BD"/>
    <w:rsid w:val="007E0BF1"/>
    <w:rsid w:val="007E1BBC"/>
    <w:rsid w:val="007E27D1"/>
    <w:rsid w:val="007F0ED8"/>
    <w:rsid w:val="007F0F63"/>
    <w:rsid w:val="007F2581"/>
    <w:rsid w:val="007F62D5"/>
    <w:rsid w:val="007F63DF"/>
    <w:rsid w:val="007F75CE"/>
    <w:rsid w:val="008013A4"/>
    <w:rsid w:val="008027CE"/>
    <w:rsid w:val="00802F42"/>
    <w:rsid w:val="00804383"/>
    <w:rsid w:val="00804BB7"/>
    <w:rsid w:val="00804D41"/>
    <w:rsid w:val="00806A48"/>
    <w:rsid w:val="00810257"/>
    <w:rsid w:val="008104F5"/>
    <w:rsid w:val="00811072"/>
    <w:rsid w:val="00811369"/>
    <w:rsid w:val="00812955"/>
    <w:rsid w:val="00815419"/>
    <w:rsid w:val="0081550E"/>
    <w:rsid w:val="008163C8"/>
    <w:rsid w:val="008164A1"/>
    <w:rsid w:val="00817325"/>
    <w:rsid w:val="008209E6"/>
    <w:rsid w:val="00821B12"/>
    <w:rsid w:val="00821B51"/>
    <w:rsid w:val="00823303"/>
    <w:rsid w:val="008233B2"/>
    <w:rsid w:val="00823A9F"/>
    <w:rsid w:val="00823C85"/>
    <w:rsid w:val="00825138"/>
    <w:rsid w:val="008269DD"/>
    <w:rsid w:val="00830621"/>
    <w:rsid w:val="008310A8"/>
    <w:rsid w:val="00831B45"/>
    <w:rsid w:val="00832F0D"/>
    <w:rsid w:val="0083348C"/>
    <w:rsid w:val="0083448A"/>
    <w:rsid w:val="00837208"/>
    <w:rsid w:val="008373D3"/>
    <w:rsid w:val="0083754E"/>
    <w:rsid w:val="00840617"/>
    <w:rsid w:val="00840D95"/>
    <w:rsid w:val="00840F84"/>
    <w:rsid w:val="00842A47"/>
    <w:rsid w:val="00843C13"/>
    <w:rsid w:val="008454F8"/>
    <w:rsid w:val="0085153F"/>
    <w:rsid w:val="0085173A"/>
    <w:rsid w:val="00853227"/>
    <w:rsid w:val="008603CE"/>
    <w:rsid w:val="008620FC"/>
    <w:rsid w:val="008627A5"/>
    <w:rsid w:val="008627E1"/>
    <w:rsid w:val="00863E05"/>
    <w:rsid w:val="00865ACA"/>
    <w:rsid w:val="00865D28"/>
    <w:rsid w:val="00865F85"/>
    <w:rsid w:val="00867C10"/>
    <w:rsid w:val="00870439"/>
    <w:rsid w:val="00870DA1"/>
    <w:rsid w:val="0087517C"/>
    <w:rsid w:val="00880971"/>
    <w:rsid w:val="00880FBD"/>
    <w:rsid w:val="00883F93"/>
    <w:rsid w:val="00884DB3"/>
    <w:rsid w:val="008852A0"/>
    <w:rsid w:val="00885A9D"/>
    <w:rsid w:val="008864F6"/>
    <w:rsid w:val="00886CEB"/>
    <w:rsid w:val="0089049D"/>
    <w:rsid w:val="008928C9"/>
    <w:rsid w:val="008930CB"/>
    <w:rsid w:val="008938DC"/>
    <w:rsid w:val="00893FD1"/>
    <w:rsid w:val="00894836"/>
    <w:rsid w:val="00895172"/>
    <w:rsid w:val="00895680"/>
    <w:rsid w:val="00896DFF"/>
    <w:rsid w:val="0089762C"/>
    <w:rsid w:val="008A173B"/>
    <w:rsid w:val="008A1893"/>
    <w:rsid w:val="008A57E6"/>
    <w:rsid w:val="008A5ACB"/>
    <w:rsid w:val="008A6F81"/>
    <w:rsid w:val="008A769A"/>
    <w:rsid w:val="008B0C9C"/>
    <w:rsid w:val="008B166D"/>
    <w:rsid w:val="008B17F4"/>
    <w:rsid w:val="008B3615"/>
    <w:rsid w:val="008B4AC4"/>
    <w:rsid w:val="008B50C8"/>
    <w:rsid w:val="008B5281"/>
    <w:rsid w:val="008B7E05"/>
    <w:rsid w:val="008C07D5"/>
    <w:rsid w:val="008C14BB"/>
    <w:rsid w:val="008C1797"/>
    <w:rsid w:val="008C219C"/>
    <w:rsid w:val="008C475E"/>
    <w:rsid w:val="008C619A"/>
    <w:rsid w:val="008C7F14"/>
    <w:rsid w:val="008D0189"/>
    <w:rsid w:val="008D0CE8"/>
    <w:rsid w:val="008D2D1D"/>
    <w:rsid w:val="008D3FC5"/>
    <w:rsid w:val="008D453D"/>
    <w:rsid w:val="008D53AD"/>
    <w:rsid w:val="008D562B"/>
    <w:rsid w:val="008D5733"/>
    <w:rsid w:val="008D622B"/>
    <w:rsid w:val="008D666C"/>
    <w:rsid w:val="008D71B6"/>
    <w:rsid w:val="008D7B54"/>
    <w:rsid w:val="008E0C9D"/>
    <w:rsid w:val="008E1648"/>
    <w:rsid w:val="008E1B3E"/>
    <w:rsid w:val="008E2319"/>
    <w:rsid w:val="008E4BB6"/>
    <w:rsid w:val="008E5518"/>
    <w:rsid w:val="008E55DD"/>
    <w:rsid w:val="008E6A84"/>
    <w:rsid w:val="008F0CDC"/>
    <w:rsid w:val="008F17A3"/>
    <w:rsid w:val="008F1ED3"/>
    <w:rsid w:val="008F4C29"/>
    <w:rsid w:val="008F70BD"/>
    <w:rsid w:val="008F788F"/>
    <w:rsid w:val="008F7EA2"/>
    <w:rsid w:val="00902722"/>
    <w:rsid w:val="009027BC"/>
    <w:rsid w:val="009062E6"/>
    <w:rsid w:val="0090674D"/>
    <w:rsid w:val="00911BE5"/>
    <w:rsid w:val="00913CA9"/>
    <w:rsid w:val="009145AE"/>
    <w:rsid w:val="009146CE"/>
    <w:rsid w:val="00914868"/>
    <w:rsid w:val="00914CA7"/>
    <w:rsid w:val="00915C3E"/>
    <w:rsid w:val="009161A8"/>
    <w:rsid w:val="00922522"/>
    <w:rsid w:val="009245AE"/>
    <w:rsid w:val="009245F5"/>
    <w:rsid w:val="009249EC"/>
    <w:rsid w:val="00926354"/>
    <w:rsid w:val="009273B3"/>
    <w:rsid w:val="009305B5"/>
    <w:rsid w:val="00931A0B"/>
    <w:rsid w:val="00931A7C"/>
    <w:rsid w:val="009332D9"/>
    <w:rsid w:val="0093713C"/>
    <w:rsid w:val="009378DD"/>
    <w:rsid w:val="00941A1A"/>
    <w:rsid w:val="009429D5"/>
    <w:rsid w:val="00942BF1"/>
    <w:rsid w:val="00945180"/>
    <w:rsid w:val="00945428"/>
    <w:rsid w:val="0094607B"/>
    <w:rsid w:val="00951E35"/>
    <w:rsid w:val="00953604"/>
    <w:rsid w:val="00953DD0"/>
    <w:rsid w:val="0095496B"/>
    <w:rsid w:val="0095726F"/>
    <w:rsid w:val="00960F1E"/>
    <w:rsid w:val="009610DC"/>
    <w:rsid w:val="00961490"/>
    <w:rsid w:val="0096381A"/>
    <w:rsid w:val="0096494D"/>
    <w:rsid w:val="00965E04"/>
    <w:rsid w:val="009674AD"/>
    <w:rsid w:val="00970CDC"/>
    <w:rsid w:val="00973027"/>
    <w:rsid w:val="0097536A"/>
    <w:rsid w:val="00975727"/>
    <w:rsid w:val="00977010"/>
    <w:rsid w:val="00977D02"/>
    <w:rsid w:val="00977FF9"/>
    <w:rsid w:val="009809BB"/>
    <w:rsid w:val="00982576"/>
    <w:rsid w:val="00982D96"/>
    <w:rsid w:val="0098364B"/>
    <w:rsid w:val="00990208"/>
    <w:rsid w:val="009908A3"/>
    <w:rsid w:val="009911AF"/>
    <w:rsid w:val="00991875"/>
    <w:rsid w:val="00991ACA"/>
    <w:rsid w:val="00991F92"/>
    <w:rsid w:val="00992470"/>
    <w:rsid w:val="00992985"/>
    <w:rsid w:val="00993889"/>
    <w:rsid w:val="0099551B"/>
    <w:rsid w:val="00996BD2"/>
    <w:rsid w:val="00997BF1"/>
    <w:rsid w:val="009A089C"/>
    <w:rsid w:val="009A118E"/>
    <w:rsid w:val="009A21CD"/>
    <w:rsid w:val="009A2497"/>
    <w:rsid w:val="009A278C"/>
    <w:rsid w:val="009A2BC2"/>
    <w:rsid w:val="009A42C1"/>
    <w:rsid w:val="009A4B1A"/>
    <w:rsid w:val="009A5429"/>
    <w:rsid w:val="009A72AD"/>
    <w:rsid w:val="009B09E0"/>
    <w:rsid w:val="009B0BC5"/>
    <w:rsid w:val="009B1247"/>
    <w:rsid w:val="009B37D2"/>
    <w:rsid w:val="009B38D5"/>
    <w:rsid w:val="009B41C2"/>
    <w:rsid w:val="009B4B42"/>
    <w:rsid w:val="009B6029"/>
    <w:rsid w:val="009B63B3"/>
    <w:rsid w:val="009B6971"/>
    <w:rsid w:val="009C27F1"/>
    <w:rsid w:val="009C2848"/>
    <w:rsid w:val="009C3152"/>
    <w:rsid w:val="009C3257"/>
    <w:rsid w:val="009C4CFA"/>
    <w:rsid w:val="009C5070"/>
    <w:rsid w:val="009D112C"/>
    <w:rsid w:val="009D1385"/>
    <w:rsid w:val="009D47FA"/>
    <w:rsid w:val="009D4C5B"/>
    <w:rsid w:val="009D50D2"/>
    <w:rsid w:val="009D54E2"/>
    <w:rsid w:val="009D6BCA"/>
    <w:rsid w:val="009E0F62"/>
    <w:rsid w:val="009E43DD"/>
    <w:rsid w:val="009E4A58"/>
    <w:rsid w:val="009E4B9D"/>
    <w:rsid w:val="009E5A2D"/>
    <w:rsid w:val="009E5AB2"/>
    <w:rsid w:val="009E6219"/>
    <w:rsid w:val="009F03B3"/>
    <w:rsid w:val="009F0A90"/>
    <w:rsid w:val="009F0B89"/>
    <w:rsid w:val="009F2E1D"/>
    <w:rsid w:val="009F689B"/>
    <w:rsid w:val="00A0096C"/>
    <w:rsid w:val="00A01757"/>
    <w:rsid w:val="00A01E07"/>
    <w:rsid w:val="00A028C0"/>
    <w:rsid w:val="00A02BAE"/>
    <w:rsid w:val="00A06A6B"/>
    <w:rsid w:val="00A07E47"/>
    <w:rsid w:val="00A129D0"/>
    <w:rsid w:val="00A12C33"/>
    <w:rsid w:val="00A138BA"/>
    <w:rsid w:val="00A14C8E"/>
    <w:rsid w:val="00A153D9"/>
    <w:rsid w:val="00A15571"/>
    <w:rsid w:val="00A15F09"/>
    <w:rsid w:val="00A169B6"/>
    <w:rsid w:val="00A2271D"/>
    <w:rsid w:val="00A237D5"/>
    <w:rsid w:val="00A24541"/>
    <w:rsid w:val="00A30EFC"/>
    <w:rsid w:val="00A31984"/>
    <w:rsid w:val="00A32D73"/>
    <w:rsid w:val="00A3367B"/>
    <w:rsid w:val="00A3597D"/>
    <w:rsid w:val="00A36DD1"/>
    <w:rsid w:val="00A4006C"/>
    <w:rsid w:val="00A40091"/>
    <w:rsid w:val="00A4030F"/>
    <w:rsid w:val="00A41C79"/>
    <w:rsid w:val="00A41CB5"/>
    <w:rsid w:val="00A42CDF"/>
    <w:rsid w:val="00A44298"/>
    <w:rsid w:val="00A4452E"/>
    <w:rsid w:val="00A4472C"/>
    <w:rsid w:val="00A44E69"/>
    <w:rsid w:val="00A4661E"/>
    <w:rsid w:val="00A55BD6"/>
    <w:rsid w:val="00A55D50"/>
    <w:rsid w:val="00A57142"/>
    <w:rsid w:val="00A648CD"/>
    <w:rsid w:val="00A6537A"/>
    <w:rsid w:val="00A67866"/>
    <w:rsid w:val="00A70B07"/>
    <w:rsid w:val="00A723F8"/>
    <w:rsid w:val="00A77CCB"/>
    <w:rsid w:val="00A82260"/>
    <w:rsid w:val="00A83D8D"/>
    <w:rsid w:val="00A8446B"/>
    <w:rsid w:val="00A8473F"/>
    <w:rsid w:val="00A862D6"/>
    <w:rsid w:val="00A8715E"/>
    <w:rsid w:val="00A9295B"/>
    <w:rsid w:val="00A93B09"/>
    <w:rsid w:val="00A952D7"/>
    <w:rsid w:val="00A963F7"/>
    <w:rsid w:val="00A96AD8"/>
    <w:rsid w:val="00AA052C"/>
    <w:rsid w:val="00AA1814"/>
    <w:rsid w:val="00AA1E45"/>
    <w:rsid w:val="00AA2583"/>
    <w:rsid w:val="00AA4286"/>
    <w:rsid w:val="00AA456B"/>
    <w:rsid w:val="00AA57F5"/>
    <w:rsid w:val="00AA672E"/>
    <w:rsid w:val="00AA6EC9"/>
    <w:rsid w:val="00AB0683"/>
    <w:rsid w:val="00AB6309"/>
    <w:rsid w:val="00AB6C5F"/>
    <w:rsid w:val="00AB7129"/>
    <w:rsid w:val="00AC27A6"/>
    <w:rsid w:val="00AC30F7"/>
    <w:rsid w:val="00AC3A5A"/>
    <w:rsid w:val="00AC4D95"/>
    <w:rsid w:val="00AC5DF4"/>
    <w:rsid w:val="00AC65F3"/>
    <w:rsid w:val="00AD0AEF"/>
    <w:rsid w:val="00AD11B7"/>
    <w:rsid w:val="00AD1A94"/>
    <w:rsid w:val="00AD1C05"/>
    <w:rsid w:val="00AD4126"/>
    <w:rsid w:val="00AD421C"/>
    <w:rsid w:val="00AD44FA"/>
    <w:rsid w:val="00AE070A"/>
    <w:rsid w:val="00AE101C"/>
    <w:rsid w:val="00AE2A69"/>
    <w:rsid w:val="00AE37E5"/>
    <w:rsid w:val="00AE5EB4"/>
    <w:rsid w:val="00AF0C18"/>
    <w:rsid w:val="00AF3922"/>
    <w:rsid w:val="00AF47C5"/>
    <w:rsid w:val="00AF5398"/>
    <w:rsid w:val="00B01052"/>
    <w:rsid w:val="00B049AF"/>
    <w:rsid w:val="00B06C33"/>
    <w:rsid w:val="00B07242"/>
    <w:rsid w:val="00B10534"/>
    <w:rsid w:val="00B113DB"/>
    <w:rsid w:val="00B11D8A"/>
    <w:rsid w:val="00B12981"/>
    <w:rsid w:val="00B147DD"/>
    <w:rsid w:val="00B149BB"/>
    <w:rsid w:val="00B156FD"/>
    <w:rsid w:val="00B21F61"/>
    <w:rsid w:val="00B25853"/>
    <w:rsid w:val="00B261F1"/>
    <w:rsid w:val="00B265BC"/>
    <w:rsid w:val="00B31FB1"/>
    <w:rsid w:val="00B32AE5"/>
    <w:rsid w:val="00B33952"/>
    <w:rsid w:val="00B33C5E"/>
    <w:rsid w:val="00B342F4"/>
    <w:rsid w:val="00B34369"/>
    <w:rsid w:val="00B34DC2"/>
    <w:rsid w:val="00B378E5"/>
    <w:rsid w:val="00B37A59"/>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BDC"/>
    <w:rsid w:val="00B72880"/>
    <w:rsid w:val="00B758BF"/>
    <w:rsid w:val="00B7663C"/>
    <w:rsid w:val="00B77EC8"/>
    <w:rsid w:val="00B80DAA"/>
    <w:rsid w:val="00B827A6"/>
    <w:rsid w:val="00B831CE"/>
    <w:rsid w:val="00B86677"/>
    <w:rsid w:val="00B87131"/>
    <w:rsid w:val="00B90528"/>
    <w:rsid w:val="00B939B1"/>
    <w:rsid w:val="00B94867"/>
    <w:rsid w:val="00B9591A"/>
    <w:rsid w:val="00B96D40"/>
    <w:rsid w:val="00B97386"/>
    <w:rsid w:val="00BA1ABD"/>
    <w:rsid w:val="00BA263B"/>
    <w:rsid w:val="00BA42B2"/>
    <w:rsid w:val="00BA4D25"/>
    <w:rsid w:val="00BA58D4"/>
    <w:rsid w:val="00BA5B9E"/>
    <w:rsid w:val="00BA7C9A"/>
    <w:rsid w:val="00BB5F8F"/>
    <w:rsid w:val="00BB61D8"/>
    <w:rsid w:val="00BB657A"/>
    <w:rsid w:val="00BC028E"/>
    <w:rsid w:val="00BC1A4E"/>
    <w:rsid w:val="00BC5DC7"/>
    <w:rsid w:val="00BC6B8B"/>
    <w:rsid w:val="00BC73D8"/>
    <w:rsid w:val="00BC7A77"/>
    <w:rsid w:val="00BD1E1D"/>
    <w:rsid w:val="00BD52D7"/>
    <w:rsid w:val="00BD5AD2"/>
    <w:rsid w:val="00BD7452"/>
    <w:rsid w:val="00BE0AF0"/>
    <w:rsid w:val="00BE22F3"/>
    <w:rsid w:val="00BE5B52"/>
    <w:rsid w:val="00BE7B8D"/>
    <w:rsid w:val="00BF0993"/>
    <w:rsid w:val="00BF10A9"/>
    <w:rsid w:val="00BF1703"/>
    <w:rsid w:val="00BF1D5F"/>
    <w:rsid w:val="00BF20B3"/>
    <w:rsid w:val="00BF231C"/>
    <w:rsid w:val="00BF51E5"/>
    <w:rsid w:val="00BF5FD8"/>
    <w:rsid w:val="00BF6F1A"/>
    <w:rsid w:val="00BF72CF"/>
    <w:rsid w:val="00BF74A6"/>
    <w:rsid w:val="00BF7DD9"/>
    <w:rsid w:val="00C013AD"/>
    <w:rsid w:val="00C04904"/>
    <w:rsid w:val="00C056B3"/>
    <w:rsid w:val="00C103E5"/>
    <w:rsid w:val="00C13319"/>
    <w:rsid w:val="00C13EE9"/>
    <w:rsid w:val="00C14196"/>
    <w:rsid w:val="00C21540"/>
    <w:rsid w:val="00C21906"/>
    <w:rsid w:val="00C21948"/>
    <w:rsid w:val="00C21BFA"/>
    <w:rsid w:val="00C22387"/>
    <w:rsid w:val="00C22E81"/>
    <w:rsid w:val="00C24C8D"/>
    <w:rsid w:val="00C25FE2"/>
    <w:rsid w:val="00C2692A"/>
    <w:rsid w:val="00C26B53"/>
    <w:rsid w:val="00C273FB"/>
    <w:rsid w:val="00C27524"/>
    <w:rsid w:val="00C279B2"/>
    <w:rsid w:val="00C31813"/>
    <w:rsid w:val="00C33E50"/>
    <w:rsid w:val="00C34C20"/>
    <w:rsid w:val="00C35A3E"/>
    <w:rsid w:val="00C42130"/>
    <w:rsid w:val="00C423A4"/>
    <w:rsid w:val="00C423E3"/>
    <w:rsid w:val="00C43627"/>
    <w:rsid w:val="00C446A0"/>
    <w:rsid w:val="00C44BF5"/>
    <w:rsid w:val="00C521D6"/>
    <w:rsid w:val="00C55232"/>
    <w:rsid w:val="00C553A4"/>
    <w:rsid w:val="00C55A06"/>
    <w:rsid w:val="00C55D03"/>
    <w:rsid w:val="00C601BC"/>
    <w:rsid w:val="00C6329F"/>
    <w:rsid w:val="00C63340"/>
    <w:rsid w:val="00C643F9"/>
    <w:rsid w:val="00C64E95"/>
    <w:rsid w:val="00C676F2"/>
    <w:rsid w:val="00C71372"/>
    <w:rsid w:val="00C71F3F"/>
    <w:rsid w:val="00C72410"/>
    <w:rsid w:val="00C7287F"/>
    <w:rsid w:val="00C75B73"/>
    <w:rsid w:val="00C80CB8"/>
    <w:rsid w:val="00C819F8"/>
    <w:rsid w:val="00C8248C"/>
    <w:rsid w:val="00C84176"/>
    <w:rsid w:val="00C84E33"/>
    <w:rsid w:val="00C86D6F"/>
    <w:rsid w:val="00C905FC"/>
    <w:rsid w:val="00C92D03"/>
    <w:rsid w:val="00C9319C"/>
    <w:rsid w:val="00C9435D"/>
    <w:rsid w:val="00C94DF2"/>
    <w:rsid w:val="00C96741"/>
    <w:rsid w:val="00CA14E9"/>
    <w:rsid w:val="00CA2D1B"/>
    <w:rsid w:val="00CA2E18"/>
    <w:rsid w:val="00CA2E1A"/>
    <w:rsid w:val="00CA375D"/>
    <w:rsid w:val="00CA662A"/>
    <w:rsid w:val="00CA7AFD"/>
    <w:rsid w:val="00CA7C3C"/>
    <w:rsid w:val="00CB0189"/>
    <w:rsid w:val="00CB0BA2"/>
    <w:rsid w:val="00CB1A42"/>
    <w:rsid w:val="00CB1B0C"/>
    <w:rsid w:val="00CB2C0B"/>
    <w:rsid w:val="00CB517D"/>
    <w:rsid w:val="00CC038D"/>
    <w:rsid w:val="00CC08DB"/>
    <w:rsid w:val="00CC1F32"/>
    <w:rsid w:val="00CC28B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F66"/>
    <w:rsid w:val="00CE0C4F"/>
    <w:rsid w:val="00CE30EA"/>
    <w:rsid w:val="00CF048A"/>
    <w:rsid w:val="00CF155A"/>
    <w:rsid w:val="00CF2947"/>
    <w:rsid w:val="00CF3B05"/>
    <w:rsid w:val="00CF686F"/>
    <w:rsid w:val="00CF6E60"/>
    <w:rsid w:val="00CF7BCA"/>
    <w:rsid w:val="00D008FD"/>
    <w:rsid w:val="00D0321C"/>
    <w:rsid w:val="00D035EC"/>
    <w:rsid w:val="00D06AB1"/>
    <w:rsid w:val="00D06EE0"/>
    <w:rsid w:val="00D06FC1"/>
    <w:rsid w:val="00D072ED"/>
    <w:rsid w:val="00D07A16"/>
    <w:rsid w:val="00D1067E"/>
    <w:rsid w:val="00D10F50"/>
    <w:rsid w:val="00D11272"/>
    <w:rsid w:val="00D126F5"/>
    <w:rsid w:val="00D1489E"/>
    <w:rsid w:val="00D20737"/>
    <w:rsid w:val="00D21E81"/>
    <w:rsid w:val="00D223DE"/>
    <w:rsid w:val="00D22818"/>
    <w:rsid w:val="00D25E37"/>
    <w:rsid w:val="00D2661A"/>
    <w:rsid w:val="00D27582"/>
    <w:rsid w:val="00D27BDC"/>
    <w:rsid w:val="00D27EC4"/>
    <w:rsid w:val="00D30B00"/>
    <w:rsid w:val="00D32719"/>
    <w:rsid w:val="00D33333"/>
    <w:rsid w:val="00D352A2"/>
    <w:rsid w:val="00D404D1"/>
    <w:rsid w:val="00D4162B"/>
    <w:rsid w:val="00D4514F"/>
    <w:rsid w:val="00D451E2"/>
    <w:rsid w:val="00D45E89"/>
    <w:rsid w:val="00D45E8D"/>
    <w:rsid w:val="00D466AE"/>
    <w:rsid w:val="00D46C4F"/>
    <w:rsid w:val="00D4734F"/>
    <w:rsid w:val="00D51BF3"/>
    <w:rsid w:val="00D52AE1"/>
    <w:rsid w:val="00D53F6A"/>
    <w:rsid w:val="00D60210"/>
    <w:rsid w:val="00D608E5"/>
    <w:rsid w:val="00D66846"/>
    <w:rsid w:val="00D675FB"/>
    <w:rsid w:val="00D71F25"/>
    <w:rsid w:val="00D72A9C"/>
    <w:rsid w:val="00D77031"/>
    <w:rsid w:val="00D84941"/>
    <w:rsid w:val="00D84B30"/>
    <w:rsid w:val="00D84FA1"/>
    <w:rsid w:val="00D851F0"/>
    <w:rsid w:val="00D86B51"/>
    <w:rsid w:val="00D86DB7"/>
    <w:rsid w:val="00D87BF5"/>
    <w:rsid w:val="00D90721"/>
    <w:rsid w:val="00D926D0"/>
    <w:rsid w:val="00D93030"/>
    <w:rsid w:val="00D949E0"/>
    <w:rsid w:val="00D950E1"/>
    <w:rsid w:val="00D952A6"/>
    <w:rsid w:val="00D97F99"/>
    <w:rsid w:val="00DA1E08"/>
    <w:rsid w:val="00DA24F8"/>
    <w:rsid w:val="00DA28E8"/>
    <w:rsid w:val="00DA38D3"/>
    <w:rsid w:val="00DA3932"/>
    <w:rsid w:val="00DA3AFC"/>
    <w:rsid w:val="00DA64F8"/>
    <w:rsid w:val="00DA6C15"/>
    <w:rsid w:val="00DB0258"/>
    <w:rsid w:val="00DB2A1C"/>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767"/>
    <w:rsid w:val="00DD4FE5"/>
    <w:rsid w:val="00DD50C5"/>
    <w:rsid w:val="00DD53ED"/>
    <w:rsid w:val="00DD54B0"/>
    <w:rsid w:val="00DD5594"/>
    <w:rsid w:val="00DD57EE"/>
    <w:rsid w:val="00DD6BCC"/>
    <w:rsid w:val="00DE0A4B"/>
    <w:rsid w:val="00DE2410"/>
    <w:rsid w:val="00DE2939"/>
    <w:rsid w:val="00DE2F16"/>
    <w:rsid w:val="00DE6D05"/>
    <w:rsid w:val="00DE6E81"/>
    <w:rsid w:val="00DE703F"/>
    <w:rsid w:val="00DE7595"/>
    <w:rsid w:val="00DE7E3F"/>
    <w:rsid w:val="00DF1961"/>
    <w:rsid w:val="00DF1CD0"/>
    <w:rsid w:val="00DF3ECB"/>
    <w:rsid w:val="00DF44DE"/>
    <w:rsid w:val="00E01138"/>
    <w:rsid w:val="00E02DFB"/>
    <w:rsid w:val="00E030F9"/>
    <w:rsid w:val="00E0311A"/>
    <w:rsid w:val="00E03138"/>
    <w:rsid w:val="00E06404"/>
    <w:rsid w:val="00E06CE9"/>
    <w:rsid w:val="00E11A85"/>
    <w:rsid w:val="00E12495"/>
    <w:rsid w:val="00E13E2C"/>
    <w:rsid w:val="00E15B33"/>
    <w:rsid w:val="00E15CCD"/>
    <w:rsid w:val="00E202EF"/>
    <w:rsid w:val="00E210B5"/>
    <w:rsid w:val="00E2186C"/>
    <w:rsid w:val="00E2552F"/>
    <w:rsid w:val="00E262CB"/>
    <w:rsid w:val="00E3137A"/>
    <w:rsid w:val="00E32CCF"/>
    <w:rsid w:val="00E34A98"/>
    <w:rsid w:val="00E35D1E"/>
    <w:rsid w:val="00E364F9"/>
    <w:rsid w:val="00E365FA"/>
    <w:rsid w:val="00E36789"/>
    <w:rsid w:val="00E44A83"/>
    <w:rsid w:val="00E44D2A"/>
    <w:rsid w:val="00E47BB7"/>
    <w:rsid w:val="00E47DF4"/>
    <w:rsid w:val="00E502C1"/>
    <w:rsid w:val="00E502DD"/>
    <w:rsid w:val="00E50D3A"/>
    <w:rsid w:val="00E51387"/>
    <w:rsid w:val="00E51E68"/>
    <w:rsid w:val="00E52EFD"/>
    <w:rsid w:val="00E5408A"/>
    <w:rsid w:val="00E56800"/>
    <w:rsid w:val="00E60873"/>
    <w:rsid w:val="00E60C63"/>
    <w:rsid w:val="00E62FF9"/>
    <w:rsid w:val="00E635D6"/>
    <w:rsid w:val="00E63602"/>
    <w:rsid w:val="00E639BC"/>
    <w:rsid w:val="00E658DF"/>
    <w:rsid w:val="00E664CC"/>
    <w:rsid w:val="00E70388"/>
    <w:rsid w:val="00E70F92"/>
    <w:rsid w:val="00E74313"/>
    <w:rsid w:val="00E74C54"/>
    <w:rsid w:val="00E77A03"/>
    <w:rsid w:val="00E82196"/>
    <w:rsid w:val="00E822E8"/>
    <w:rsid w:val="00E82554"/>
    <w:rsid w:val="00E82606"/>
    <w:rsid w:val="00E831C1"/>
    <w:rsid w:val="00E836D1"/>
    <w:rsid w:val="00E83872"/>
    <w:rsid w:val="00E846C8"/>
    <w:rsid w:val="00E84957"/>
    <w:rsid w:val="00E84A55"/>
    <w:rsid w:val="00E85BFF"/>
    <w:rsid w:val="00E8663F"/>
    <w:rsid w:val="00E90391"/>
    <w:rsid w:val="00E906C2"/>
    <w:rsid w:val="00E9311F"/>
    <w:rsid w:val="00E934D1"/>
    <w:rsid w:val="00E94AF0"/>
    <w:rsid w:val="00E95D13"/>
    <w:rsid w:val="00E95DD3"/>
    <w:rsid w:val="00E969D5"/>
    <w:rsid w:val="00EA58D1"/>
    <w:rsid w:val="00EA60B0"/>
    <w:rsid w:val="00EA61BC"/>
    <w:rsid w:val="00EA681A"/>
    <w:rsid w:val="00EA735B"/>
    <w:rsid w:val="00EA7BCC"/>
    <w:rsid w:val="00EB1E69"/>
    <w:rsid w:val="00EB2086"/>
    <w:rsid w:val="00EB31ED"/>
    <w:rsid w:val="00EB34B4"/>
    <w:rsid w:val="00EB3C93"/>
    <w:rsid w:val="00EB5EDF"/>
    <w:rsid w:val="00EB60FE"/>
    <w:rsid w:val="00EB74DB"/>
    <w:rsid w:val="00EC0AF2"/>
    <w:rsid w:val="00EC0CDD"/>
    <w:rsid w:val="00EC2223"/>
    <w:rsid w:val="00EC5359"/>
    <w:rsid w:val="00EC562A"/>
    <w:rsid w:val="00EC5E95"/>
    <w:rsid w:val="00ED067A"/>
    <w:rsid w:val="00ED2B50"/>
    <w:rsid w:val="00EE0041"/>
    <w:rsid w:val="00EE0350"/>
    <w:rsid w:val="00EE0719"/>
    <w:rsid w:val="00EE0E80"/>
    <w:rsid w:val="00EE613F"/>
    <w:rsid w:val="00EE7295"/>
    <w:rsid w:val="00EE7869"/>
    <w:rsid w:val="00EF054A"/>
    <w:rsid w:val="00EF0BC9"/>
    <w:rsid w:val="00EF3235"/>
    <w:rsid w:val="00EF3E15"/>
    <w:rsid w:val="00EF7E72"/>
    <w:rsid w:val="00F018F7"/>
    <w:rsid w:val="00F06D37"/>
    <w:rsid w:val="00F07B9D"/>
    <w:rsid w:val="00F11491"/>
    <w:rsid w:val="00F11586"/>
    <w:rsid w:val="00F1183B"/>
    <w:rsid w:val="00F11C9F"/>
    <w:rsid w:val="00F12263"/>
    <w:rsid w:val="00F1409D"/>
    <w:rsid w:val="00F14214"/>
    <w:rsid w:val="00F157A9"/>
    <w:rsid w:val="00F16F00"/>
    <w:rsid w:val="00F21734"/>
    <w:rsid w:val="00F21BC5"/>
    <w:rsid w:val="00F222E5"/>
    <w:rsid w:val="00F22A21"/>
    <w:rsid w:val="00F22E08"/>
    <w:rsid w:val="00F25BB6"/>
    <w:rsid w:val="00F26B7E"/>
    <w:rsid w:val="00F27A3B"/>
    <w:rsid w:val="00F33817"/>
    <w:rsid w:val="00F37834"/>
    <w:rsid w:val="00F4033E"/>
    <w:rsid w:val="00F4082C"/>
    <w:rsid w:val="00F420D5"/>
    <w:rsid w:val="00F443F2"/>
    <w:rsid w:val="00F451EA"/>
    <w:rsid w:val="00F45447"/>
    <w:rsid w:val="00F456C6"/>
    <w:rsid w:val="00F4577B"/>
    <w:rsid w:val="00F46496"/>
    <w:rsid w:val="00F474D0"/>
    <w:rsid w:val="00F4767E"/>
    <w:rsid w:val="00F50179"/>
    <w:rsid w:val="00F515EE"/>
    <w:rsid w:val="00F56511"/>
    <w:rsid w:val="00F6051B"/>
    <w:rsid w:val="00F61757"/>
    <w:rsid w:val="00F6194E"/>
    <w:rsid w:val="00F623AC"/>
    <w:rsid w:val="00F628C5"/>
    <w:rsid w:val="00F6412A"/>
    <w:rsid w:val="00F65893"/>
    <w:rsid w:val="00F66A4A"/>
    <w:rsid w:val="00F71E22"/>
    <w:rsid w:val="00F72142"/>
    <w:rsid w:val="00F72AE7"/>
    <w:rsid w:val="00F73D7F"/>
    <w:rsid w:val="00F833BA"/>
    <w:rsid w:val="00F83EA9"/>
    <w:rsid w:val="00F84FD0"/>
    <w:rsid w:val="00F859A8"/>
    <w:rsid w:val="00F86D87"/>
    <w:rsid w:val="00F870D4"/>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D6C"/>
    <w:rsid w:val="00FD00E6"/>
    <w:rsid w:val="00FD09A1"/>
    <w:rsid w:val="00FD2A7C"/>
    <w:rsid w:val="00FD59EB"/>
    <w:rsid w:val="00FD7299"/>
    <w:rsid w:val="00FE1FBE"/>
    <w:rsid w:val="00FE3901"/>
    <w:rsid w:val="00FE39D3"/>
    <w:rsid w:val="00FE3CA8"/>
    <w:rsid w:val="00FE4BCE"/>
    <w:rsid w:val="00FE54AE"/>
    <w:rsid w:val="00FE576A"/>
    <w:rsid w:val="00FE7A1D"/>
    <w:rsid w:val="00FE7E79"/>
    <w:rsid w:val="00FF3E7D"/>
    <w:rsid w:val="00FF4CDD"/>
    <w:rsid w:val="00FF5B99"/>
    <w:rsid w:val="00FF730C"/>
    <w:rsid w:val="00FF73F4"/>
    <w:rsid w:val="00FF7CE4"/>
    <w:rsid w:val="00FF7E39"/>
    <w:rsid w:val="244A7B13"/>
    <w:rsid w:val="534A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9"/>
    <w:qFormat/>
    <w:uiPriority w:val="0"/>
    <w:pPr>
      <w:keepNext/>
      <w:keepLines/>
      <w:adjustRightInd/>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47"/>
    <w:qFormat/>
    <w:uiPriority w:val="0"/>
    <w:pPr>
      <w:shd w:val="clear" w:color="auto" w:fill="000080"/>
      <w:adjustRightInd/>
      <w:spacing w:line="240" w:lineRule="auto"/>
    </w:pPr>
    <w:rPr>
      <w:rFonts w:ascii="Times New Roman" w:hAnsi="Times New Roman"/>
      <w:szCs w:val="24"/>
    </w:rPr>
  </w:style>
  <w:style w:type="paragraph" w:styleId="17">
    <w:name w:val="index 6"/>
    <w:basedOn w:val="1"/>
    <w:next w:val="1"/>
    <w:qFormat/>
    <w:uiPriority w:val="0"/>
    <w:pPr>
      <w:adjustRightInd/>
      <w:spacing w:line="240" w:lineRule="auto"/>
      <w:ind w:left="1260" w:hanging="210"/>
      <w:jc w:val="left"/>
    </w:pPr>
    <w:rPr>
      <w:sz w:val="20"/>
      <w:szCs w:val="20"/>
    </w:rPr>
  </w:style>
  <w:style w:type="paragraph" w:styleId="18">
    <w:name w:val="Body Text"/>
    <w:basedOn w:val="1"/>
    <w:link w:val="103"/>
    <w:qFormat/>
    <w:uiPriority w:val="1"/>
    <w:pPr>
      <w:spacing w:after="120"/>
    </w:pPr>
  </w:style>
  <w:style w:type="paragraph" w:styleId="19">
    <w:name w:val="index 4"/>
    <w:basedOn w:val="1"/>
    <w:next w:val="1"/>
    <w:qFormat/>
    <w:uiPriority w:val="0"/>
    <w:pPr>
      <w:adjustRightInd/>
      <w:spacing w:line="240" w:lineRule="auto"/>
      <w:ind w:left="840" w:hanging="210"/>
      <w:jc w:val="left"/>
    </w:pPr>
    <w:rPr>
      <w:sz w:val="20"/>
      <w:szCs w:val="20"/>
    </w:rPr>
  </w:style>
  <w:style w:type="paragraph" w:styleId="20">
    <w:name w:val="toc 5"/>
    <w:basedOn w:val="1"/>
    <w:next w:val="1"/>
    <w:unhideWhenUsed/>
    <w:qFormat/>
    <w:uiPriority w:val="0"/>
    <w:pPr>
      <w:ind w:left="839"/>
    </w:pPr>
    <w:rPr>
      <w:rFonts w:ascii="宋体"/>
    </w:rPr>
  </w:style>
  <w:style w:type="paragraph" w:styleId="21">
    <w:name w:val="toc 3"/>
    <w:basedOn w:val="1"/>
    <w:next w:val="1"/>
    <w:unhideWhenUsed/>
    <w:qFormat/>
    <w:uiPriority w:val="0"/>
    <w:pPr>
      <w:spacing w:line="300" w:lineRule="exact"/>
      <w:ind w:left="420"/>
    </w:pPr>
    <w:rPr>
      <w:rFonts w:ascii="宋体"/>
    </w:rPr>
  </w:style>
  <w:style w:type="paragraph" w:styleId="22">
    <w:name w:val="toc 8"/>
    <w:basedOn w:val="1"/>
    <w:next w:val="1"/>
    <w:qFormat/>
    <w:uiPriority w:val="0"/>
    <w:pPr>
      <w:tabs>
        <w:tab w:val="right" w:leader="dot" w:pos="9241"/>
      </w:tabs>
      <w:adjustRightInd/>
      <w:spacing w:line="240" w:lineRule="auto"/>
      <w:ind w:firstLine="607" w:firstLineChars="600"/>
      <w:jc w:val="left"/>
    </w:pPr>
    <w:rPr>
      <w:rFonts w:ascii="宋体" w:hAnsi="Times New Roman"/>
    </w:rPr>
  </w:style>
  <w:style w:type="paragraph" w:styleId="23">
    <w:name w:val="index 3"/>
    <w:basedOn w:val="1"/>
    <w:next w:val="1"/>
    <w:uiPriority w:val="0"/>
    <w:pPr>
      <w:adjustRightInd/>
      <w:spacing w:line="240" w:lineRule="auto"/>
      <w:ind w:left="630" w:hanging="210"/>
      <w:jc w:val="left"/>
    </w:pPr>
    <w:rPr>
      <w:sz w:val="20"/>
      <w:szCs w:val="20"/>
    </w:rPr>
  </w:style>
  <w:style w:type="paragraph" w:styleId="24">
    <w:name w:val="endnote text"/>
    <w:basedOn w:val="1"/>
    <w:link w:val="248"/>
    <w:qFormat/>
    <w:uiPriority w:val="0"/>
    <w:pPr>
      <w:adjustRightInd/>
      <w:snapToGrid w:val="0"/>
      <w:spacing w:line="240" w:lineRule="auto"/>
      <w:jc w:val="left"/>
    </w:pPr>
    <w:rPr>
      <w:rFonts w:ascii="Times New Roman" w:hAnsi="Times New Roman"/>
      <w:szCs w:val="24"/>
    </w:rPr>
  </w:style>
  <w:style w:type="paragraph" w:styleId="25">
    <w:name w:val="Balloon Text"/>
    <w:basedOn w:val="1"/>
    <w:link w:val="62"/>
    <w:unhideWhenUsed/>
    <w:qFormat/>
    <w:uiPriority w:val="0"/>
    <w:rPr>
      <w:sz w:val="18"/>
      <w:szCs w:val="18"/>
    </w:rPr>
  </w:style>
  <w:style w:type="paragraph" w:styleId="26">
    <w:name w:val="footer"/>
    <w:basedOn w:val="1"/>
    <w:link w:val="61"/>
    <w:qFormat/>
    <w:uiPriority w:val="0"/>
    <w:pPr>
      <w:tabs>
        <w:tab w:val="center" w:pos="4153"/>
        <w:tab w:val="right" w:pos="8306"/>
      </w:tabs>
      <w:adjustRightInd/>
      <w:snapToGrid w:val="0"/>
      <w:spacing w:line="240" w:lineRule="auto"/>
      <w:jc w:val="right"/>
    </w:pPr>
    <w:rPr>
      <w:rFonts w:ascii="宋体"/>
      <w:sz w:val="18"/>
      <w:szCs w:val="18"/>
    </w:rPr>
  </w:style>
  <w:style w:type="paragraph" w:styleId="27">
    <w:name w:val="header"/>
    <w:basedOn w:val="1"/>
    <w:link w:val="60"/>
    <w:qFormat/>
    <w:uiPriority w:val="0"/>
    <w:pPr>
      <w:tabs>
        <w:tab w:val="center" w:pos="4153"/>
        <w:tab w:val="right" w:pos="8306"/>
      </w:tabs>
      <w:adjustRightInd/>
      <w:snapToGrid w:val="0"/>
      <w:jc w:val="center"/>
    </w:pPr>
    <w:rPr>
      <w:sz w:val="18"/>
      <w:szCs w:val="18"/>
    </w:rPr>
  </w:style>
  <w:style w:type="paragraph" w:styleId="28">
    <w:name w:val="toc 1"/>
    <w:basedOn w:val="1"/>
    <w:next w:val="1"/>
    <w:unhideWhenUsed/>
    <w:qFormat/>
    <w:uiPriority w:val="39"/>
    <w:rPr>
      <w:rFonts w:ascii="宋体"/>
    </w:rPr>
  </w:style>
  <w:style w:type="paragraph" w:styleId="29">
    <w:name w:val="toc 4"/>
    <w:basedOn w:val="1"/>
    <w:next w:val="1"/>
    <w:unhideWhenUsed/>
    <w:qFormat/>
    <w:uiPriority w:val="0"/>
    <w:pPr>
      <w:tabs>
        <w:tab w:val="right" w:leader="dot" w:pos="9344"/>
      </w:tabs>
      <w:spacing w:line="300" w:lineRule="exact"/>
      <w:ind w:left="629"/>
    </w:pPr>
    <w:rPr>
      <w:rFonts w:ascii="宋体"/>
    </w:rPr>
  </w:style>
  <w:style w:type="paragraph" w:styleId="30">
    <w:name w:val="index heading"/>
    <w:basedOn w:val="1"/>
    <w:next w:val="31"/>
    <w:qFormat/>
    <w:uiPriority w:val="0"/>
    <w:pPr>
      <w:adjustRightInd/>
      <w:spacing w:before="120" w:after="120" w:line="240" w:lineRule="auto"/>
      <w:jc w:val="center"/>
    </w:pPr>
    <w:rPr>
      <w:b/>
      <w:bCs/>
      <w:iCs/>
      <w:szCs w:val="20"/>
    </w:rPr>
  </w:style>
  <w:style w:type="paragraph" w:styleId="31">
    <w:name w:val="index 1"/>
    <w:basedOn w:val="1"/>
    <w:next w:val="1"/>
    <w:unhideWhenUsed/>
    <w:uiPriority w:val="0"/>
    <w:pPr>
      <w:adjustRightInd/>
      <w:spacing w:line="240" w:lineRule="auto"/>
    </w:pPr>
    <w:rPr>
      <w:rFonts w:ascii="Times New Roman" w:hAnsi="Times New Roman"/>
      <w:szCs w:val="24"/>
    </w:rPr>
  </w:style>
  <w:style w:type="paragraph" w:styleId="32">
    <w:name w:val="footnote text"/>
    <w:basedOn w:val="1"/>
    <w:next w:val="1"/>
    <w:link w:val="116"/>
    <w:qFormat/>
    <w:uiPriority w:val="0"/>
    <w:pPr>
      <w:adjustRightInd/>
      <w:snapToGrid w:val="0"/>
      <w:spacing w:line="300" w:lineRule="exact"/>
      <w:ind w:left="400" w:leftChars="200" w:hanging="200" w:hangingChars="200"/>
      <w:jc w:val="left"/>
    </w:pPr>
    <w:rPr>
      <w:rFonts w:ascii="宋体"/>
      <w:sz w:val="18"/>
      <w:szCs w:val="18"/>
    </w:rPr>
  </w:style>
  <w:style w:type="paragraph" w:styleId="33">
    <w:name w:val="toc 6"/>
    <w:basedOn w:val="1"/>
    <w:next w:val="1"/>
    <w:unhideWhenUsed/>
    <w:qFormat/>
    <w:uiPriority w:val="0"/>
    <w:pPr>
      <w:spacing w:line="300" w:lineRule="exact"/>
      <w:ind w:left="1049"/>
    </w:pPr>
    <w:rPr>
      <w:rFonts w:ascii="宋体"/>
    </w:rPr>
  </w:style>
  <w:style w:type="paragraph" w:styleId="34">
    <w:name w:val="index 7"/>
    <w:basedOn w:val="1"/>
    <w:next w:val="1"/>
    <w:qFormat/>
    <w:uiPriority w:val="0"/>
    <w:pPr>
      <w:adjustRightInd/>
      <w:spacing w:line="240" w:lineRule="auto"/>
      <w:ind w:left="1470" w:hanging="210"/>
      <w:jc w:val="left"/>
    </w:pPr>
    <w:rPr>
      <w:sz w:val="20"/>
      <w:szCs w:val="20"/>
    </w:rPr>
  </w:style>
  <w:style w:type="paragraph" w:styleId="35">
    <w:name w:val="index 9"/>
    <w:basedOn w:val="1"/>
    <w:next w:val="1"/>
    <w:qFormat/>
    <w:uiPriority w:val="0"/>
    <w:pPr>
      <w:adjustRightInd/>
      <w:spacing w:line="240" w:lineRule="auto"/>
      <w:ind w:left="1890" w:hanging="210"/>
      <w:jc w:val="left"/>
    </w:pPr>
    <w:rPr>
      <w:sz w:val="20"/>
      <w:szCs w:val="20"/>
    </w:rPr>
  </w:style>
  <w:style w:type="paragraph" w:styleId="36">
    <w:name w:val="table of figures"/>
    <w:basedOn w:val="1"/>
    <w:next w:val="1"/>
    <w:qFormat/>
    <w:uiPriority w:val="0"/>
    <w:pPr>
      <w:adjustRightInd/>
      <w:spacing w:line="240" w:lineRule="auto"/>
      <w:jc w:val="left"/>
    </w:pPr>
    <w:rPr>
      <w:szCs w:val="24"/>
    </w:rPr>
  </w:style>
  <w:style w:type="paragraph" w:styleId="37">
    <w:name w:val="toc 2"/>
    <w:basedOn w:val="1"/>
    <w:next w:val="1"/>
    <w:unhideWhenUsed/>
    <w:qFormat/>
    <w:uiPriority w:val="0"/>
    <w:pPr>
      <w:tabs>
        <w:tab w:val="right" w:leader="dot" w:pos="9344"/>
      </w:tabs>
      <w:spacing w:line="300" w:lineRule="exact"/>
      <w:ind w:left="210"/>
    </w:pPr>
    <w:rPr>
      <w:rFonts w:ascii="宋体"/>
    </w:rPr>
  </w:style>
  <w:style w:type="paragraph" w:styleId="38">
    <w:name w:val="toc 9"/>
    <w:basedOn w:val="1"/>
    <w:next w:val="1"/>
    <w:qFormat/>
    <w:uiPriority w:val="0"/>
    <w:pPr>
      <w:adjustRightInd/>
      <w:spacing w:line="240" w:lineRule="auto"/>
      <w:ind w:left="1470"/>
      <w:jc w:val="left"/>
    </w:pPr>
    <w:rPr>
      <w:rFonts w:ascii="Times New Roman" w:hAnsi="Times New Roman"/>
      <w:sz w:val="20"/>
      <w:szCs w:val="20"/>
    </w:rPr>
  </w:style>
  <w:style w:type="paragraph" w:styleId="39">
    <w:name w:val="index 2"/>
    <w:basedOn w:val="1"/>
    <w:next w:val="1"/>
    <w:qFormat/>
    <w:uiPriority w:val="0"/>
    <w:pPr>
      <w:adjustRightInd/>
      <w:spacing w:line="240" w:lineRule="auto"/>
      <w:ind w:left="420" w:hanging="210"/>
      <w:jc w:val="left"/>
    </w:pPr>
    <w:rPr>
      <w:sz w:val="20"/>
      <w:szCs w:val="20"/>
    </w:rPr>
  </w:style>
  <w:style w:type="paragraph" w:styleId="40">
    <w:name w:val="Title"/>
    <w:basedOn w:val="1"/>
    <w:link w:val="65"/>
    <w:qFormat/>
    <w:uiPriority w:val="0"/>
    <w:pPr>
      <w:spacing w:before="240" w:after="60"/>
      <w:jc w:val="center"/>
      <w:outlineLvl w:val="0"/>
    </w:pPr>
    <w:rPr>
      <w:rFonts w:ascii="Arial" w:hAnsi="Arial" w:cs="Arial"/>
      <w:b/>
      <w:bCs/>
      <w:sz w:val="32"/>
      <w:szCs w:val="32"/>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endnote reference"/>
    <w:basedOn w:val="43"/>
    <w:qFormat/>
    <w:uiPriority w:val="0"/>
    <w:rPr>
      <w:vertAlign w:val="superscript"/>
    </w:rPr>
  </w:style>
  <w:style w:type="character" w:styleId="46">
    <w:name w:val="page number"/>
    <w:qFormat/>
    <w:uiPriority w:val="0"/>
    <w:rPr>
      <w:rFonts w:ascii="宋体" w:hAnsi="Times New Roman" w:eastAsia="宋体"/>
      <w:sz w:val="18"/>
    </w:rPr>
  </w:style>
  <w:style w:type="character" w:styleId="47">
    <w:name w:val="FollowedHyperlink"/>
    <w:basedOn w:val="43"/>
    <w:qFormat/>
    <w:uiPriority w:val="0"/>
    <w:rPr>
      <w:color w:val="800080"/>
      <w:u w:val="single"/>
    </w:rPr>
  </w:style>
  <w:style w:type="character" w:styleId="48">
    <w:name w:val="Emphasis"/>
    <w:qFormat/>
    <w:uiPriority w:val="20"/>
    <w:rPr>
      <w:i/>
      <w:iCs/>
    </w:rPr>
  </w:style>
  <w:style w:type="character" w:styleId="49">
    <w:name w:val="Hyperlink"/>
    <w:qFormat/>
    <w:uiPriority w:val="99"/>
    <w:rPr>
      <w:rFonts w:ascii="宋体" w:hAnsi="Times New Roman" w:eastAsia="宋体"/>
      <w:color w:val="auto"/>
      <w:spacing w:val="0"/>
      <w:w w:val="100"/>
      <w:position w:val="0"/>
      <w:sz w:val="21"/>
      <w:u w:val="none"/>
      <w:vertAlign w:val="baseline"/>
    </w:rPr>
  </w:style>
  <w:style w:type="character" w:styleId="50">
    <w:name w:val="footnote reference"/>
    <w:qFormat/>
    <w:uiPriority w:val="0"/>
    <w:rPr>
      <w:rFonts w:ascii="宋体" w:hAnsi="宋体" w:eastAsia="宋体" w:cs="Times New Roman"/>
      <w:spacing w:val="0"/>
      <w:sz w:val="18"/>
      <w:vertAlign w:val="superscript"/>
    </w:rPr>
  </w:style>
  <w:style w:type="character" w:customStyle="1" w:styleId="51">
    <w:name w:val="标题 3 Char"/>
    <w:link w:val="4"/>
    <w:qFormat/>
    <w:uiPriority w:val="0"/>
    <w:rPr>
      <w:rFonts w:ascii="Times New Roman" w:hAnsi="Times New Roman" w:eastAsia="宋体" w:cs="Times New Roman"/>
      <w:b/>
      <w:bCs/>
      <w:sz w:val="32"/>
      <w:szCs w:val="32"/>
    </w:rPr>
  </w:style>
  <w:style w:type="character" w:customStyle="1" w:styleId="52">
    <w:name w:val="标题 2 Char"/>
    <w:link w:val="3"/>
    <w:qFormat/>
    <w:uiPriority w:val="0"/>
    <w:rPr>
      <w:rFonts w:ascii="Arial" w:hAnsi="Arial" w:eastAsia="黑体" w:cs="Times New Roman"/>
      <w:b/>
      <w:bCs/>
      <w:sz w:val="32"/>
      <w:szCs w:val="32"/>
    </w:rPr>
  </w:style>
  <w:style w:type="character" w:customStyle="1" w:styleId="53">
    <w:name w:val="标题 1 Char"/>
    <w:link w:val="2"/>
    <w:qFormat/>
    <w:uiPriority w:val="0"/>
    <w:rPr>
      <w:rFonts w:ascii="Times New Roman" w:hAnsi="Times New Roman" w:eastAsia="宋体" w:cs="Times New Roman"/>
      <w:b/>
      <w:bCs/>
      <w:kern w:val="44"/>
      <w:sz w:val="44"/>
      <w:szCs w:val="44"/>
    </w:rPr>
  </w:style>
  <w:style w:type="character" w:customStyle="1" w:styleId="54">
    <w:name w:val="标题 4 Char"/>
    <w:link w:val="5"/>
    <w:qFormat/>
    <w:uiPriority w:val="0"/>
    <w:rPr>
      <w:rFonts w:ascii="Arial" w:hAnsi="Arial" w:eastAsia="黑体" w:cs="Times New Roman"/>
      <w:b/>
      <w:bCs/>
      <w:sz w:val="28"/>
      <w:szCs w:val="28"/>
    </w:rPr>
  </w:style>
  <w:style w:type="character" w:customStyle="1" w:styleId="55">
    <w:name w:val="标题 5 Char"/>
    <w:link w:val="6"/>
    <w:qFormat/>
    <w:uiPriority w:val="0"/>
    <w:rPr>
      <w:rFonts w:ascii="Times New Roman" w:hAnsi="Times New Roman" w:eastAsia="宋体" w:cs="Times New Roman"/>
      <w:b/>
      <w:bCs/>
      <w:sz w:val="28"/>
      <w:szCs w:val="28"/>
    </w:rPr>
  </w:style>
  <w:style w:type="character" w:customStyle="1" w:styleId="56">
    <w:name w:val="标题 6 Char"/>
    <w:link w:val="7"/>
    <w:qFormat/>
    <w:uiPriority w:val="0"/>
    <w:rPr>
      <w:rFonts w:ascii="Arial" w:hAnsi="Arial" w:eastAsia="黑体" w:cs="Times New Roman"/>
      <w:b/>
      <w:bCs/>
      <w:sz w:val="24"/>
      <w:szCs w:val="24"/>
    </w:rPr>
  </w:style>
  <w:style w:type="character" w:customStyle="1" w:styleId="57">
    <w:name w:val="标题 7 Char"/>
    <w:link w:val="8"/>
    <w:qFormat/>
    <w:uiPriority w:val="0"/>
    <w:rPr>
      <w:rFonts w:ascii="Times New Roman" w:hAnsi="Times New Roman" w:eastAsia="宋体" w:cs="Times New Roman"/>
      <w:b/>
      <w:bCs/>
      <w:sz w:val="24"/>
      <w:szCs w:val="24"/>
    </w:rPr>
  </w:style>
  <w:style w:type="character" w:customStyle="1" w:styleId="58">
    <w:name w:val="标题 8 Char"/>
    <w:link w:val="9"/>
    <w:qFormat/>
    <w:uiPriority w:val="0"/>
    <w:rPr>
      <w:rFonts w:ascii="Arial" w:hAnsi="Arial" w:eastAsia="黑体" w:cs="Times New Roman"/>
      <w:sz w:val="24"/>
      <w:szCs w:val="24"/>
    </w:rPr>
  </w:style>
  <w:style w:type="character" w:customStyle="1" w:styleId="59">
    <w:name w:val="标题 9 Char"/>
    <w:link w:val="10"/>
    <w:qFormat/>
    <w:uiPriority w:val="0"/>
    <w:rPr>
      <w:rFonts w:ascii="Arial" w:hAnsi="Arial" w:eastAsia="黑体" w:cs="Times New Roman"/>
      <w:szCs w:val="21"/>
    </w:rPr>
  </w:style>
  <w:style w:type="character" w:customStyle="1" w:styleId="60">
    <w:name w:val="页眉 Char"/>
    <w:link w:val="27"/>
    <w:qFormat/>
    <w:uiPriority w:val="0"/>
    <w:rPr>
      <w:rFonts w:ascii="Times New Roman" w:hAnsi="Times New Roman" w:eastAsia="宋体" w:cs="Times New Roman"/>
      <w:sz w:val="18"/>
      <w:szCs w:val="18"/>
    </w:rPr>
  </w:style>
  <w:style w:type="character" w:customStyle="1" w:styleId="61">
    <w:name w:val="页脚 Char"/>
    <w:link w:val="26"/>
    <w:qFormat/>
    <w:uiPriority w:val="0"/>
    <w:rPr>
      <w:rFonts w:ascii="宋体" w:hAnsi="Times New Roman" w:eastAsia="宋体" w:cs="Times New Roman"/>
      <w:sz w:val="18"/>
      <w:szCs w:val="18"/>
    </w:rPr>
  </w:style>
  <w:style w:type="character" w:customStyle="1" w:styleId="62">
    <w:name w:val="批注框文本 Char"/>
    <w:link w:val="25"/>
    <w:qFormat/>
    <w:uiPriority w:val="0"/>
    <w:rPr>
      <w:sz w:val="18"/>
      <w:szCs w:val="18"/>
    </w:rPr>
  </w:style>
  <w:style w:type="paragraph" w:styleId="63">
    <w:name w:val="Quote"/>
    <w:basedOn w:val="1"/>
    <w:next w:val="1"/>
    <w:link w:val="64"/>
    <w:qFormat/>
    <w:uiPriority w:val="29"/>
    <w:rPr>
      <w:i/>
      <w:iCs/>
      <w:color w:val="000000"/>
    </w:rPr>
  </w:style>
  <w:style w:type="character" w:customStyle="1" w:styleId="64">
    <w:name w:val="引用 Char"/>
    <w:link w:val="63"/>
    <w:qFormat/>
    <w:uiPriority w:val="29"/>
    <w:rPr>
      <w:i/>
      <w:iCs/>
      <w:color w:val="000000"/>
    </w:rPr>
  </w:style>
  <w:style w:type="character" w:customStyle="1" w:styleId="65">
    <w:name w:val="标题 Char"/>
    <w:link w:val="40"/>
    <w:qFormat/>
    <w:uiPriority w:val="0"/>
    <w:rPr>
      <w:rFonts w:ascii="Arial" w:hAnsi="Arial" w:eastAsia="宋体" w:cs="Arial"/>
      <w:b/>
      <w:bCs/>
      <w:sz w:val="32"/>
      <w:szCs w:val="32"/>
    </w:r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标准文件_ICS"/>
    <w:basedOn w:val="1"/>
    <w:qFormat/>
    <w:uiPriority w:val="0"/>
    <w:pPr>
      <w:spacing w:line="0" w:lineRule="atLeast"/>
    </w:pPr>
    <w:rPr>
      <w:rFonts w:ascii="黑体" w:hAnsi="宋体" w:eastAsia="黑体"/>
    </w:rPr>
  </w:style>
  <w:style w:type="paragraph" w:customStyle="1" w:styleId="72">
    <w:name w:val="标准文件_标准正文"/>
    <w:basedOn w:val="1"/>
    <w:next w:val="73"/>
    <w:qFormat/>
    <w:uiPriority w:val="0"/>
    <w:pPr>
      <w:snapToGrid w:val="0"/>
      <w:ind w:firstLine="200" w:firstLineChars="200"/>
    </w:pPr>
    <w:rPr>
      <w:kern w:val="0"/>
    </w:rPr>
  </w:style>
  <w:style w:type="paragraph" w:customStyle="1" w:styleId="73">
    <w:name w:val="标准文件_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标准文件_版本"/>
    <w:basedOn w:val="72"/>
    <w:qFormat/>
    <w:uiPriority w:val="0"/>
    <w:pPr>
      <w:adjustRightInd/>
      <w:snapToGrid/>
      <w:ind w:firstLine="0" w:firstLineChars="0"/>
    </w:pPr>
    <w:rPr>
      <w:rFonts w:ascii="宋体" w:hAnsi="宋体"/>
      <w:kern w:val="2"/>
    </w:rPr>
  </w:style>
  <w:style w:type="paragraph" w:customStyle="1" w:styleId="75">
    <w:name w:val="标准文件_标准部门"/>
    <w:basedOn w:val="1"/>
    <w:qFormat/>
    <w:uiPriority w:val="0"/>
    <w:pPr>
      <w:jc w:val="center"/>
    </w:pPr>
    <w:rPr>
      <w:rFonts w:ascii="黑体" w:eastAsia="黑体"/>
      <w:kern w:val="0"/>
      <w:sz w:val="44"/>
    </w:rPr>
  </w:style>
  <w:style w:type="paragraph" w:customStyle="1" w:styleId="76">
    <w:name w:val="标准文件_标准代替"/>
    <w:basedOn w:val="1"/>
    <w:next w:val="1"/>
    <w:qFormat/>
    <w:uiPriority w:val="0"/>
    <w:pPr>
      <w:spacing w:line="310" w:lineRule="exact"/>
      <w:jc w:val="right"/>
    </w:pPr>
    <w:rPr>
      <w:rFonts w:ascii="宋体" w:hAnsi="宋体"/>
      <w:kern w:val="0"/>
    </w:rPr>
  </w:style>
  <w:style w:type="paragraph" w:customStyle="1" w:styleId="7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qFormat/>
    <w:uiPriority w:val="0"/>
    <w:pPr>
      <w:jc w:val="left"/>
    </w:pPr>
  </w:style>
  <w:style w:type="paragraph" w:customStyle="1" w:styleId="80">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8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2">
    <w:name w:val="标准文件_二级条标题"/>
    <w:next w:val="7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3">
    <w:name w:val="标准文件_发布"/>
    <w:qFormat/>
    <w:uiPriority w:val="0"/>
    <w:rPr>
      <w:rFonts w:ascii="黑体" w:eastAsia="黑体"/>
      <w:spacing w:val="0"/>
      <w:w w:val="100"/>
      <w:position w:val="3"/>
      <w:sz w:val="28"/>
    </w:rPr>
  </w:style>
  <w:style w:type="paragraph" w:customStyle="1" w:styleId="84">
    <w:name w:val="标准文件_方框数字列项"/>
    <w:basedOn w:val="73"/>
    <w:qFormat/>
    <w:uiPriority w:val="0"/>
    <w:pPr>
      <w:numPr>
        <w:ilvl w:val="0"/>
        <w:numId w:val="3"/>
      </w:numPr>
      <w:ind w:firstLine="0" w:firstLineChars="0"/>
    </w:pPr>
  </w:style>
  <w:style w:type="paragraph" w:customStyle="1" w:styleId="85">
    <w:name w:val="标准文件_封面标准编号"/>
    <w:basedOn w:val="1"/>
    <w:next w:val="76"/>
    <w:qFormat/>
    <w:uiPriority w:val="0"/>
    <w:pPr>
      <w:spacing w:line="310" w:lineRule="exact"/>
      <w:jc w:val="right"/>
    </w:pPr>
    <w:rPr>
      <w:rFonts w:ascii="黑体" w:eastAsia="黑体"/>
      <w:kern w:val="0"/>
      <w:sz w:val="28"/>
    </w:rPr>
  </w:style>
  <w:style w:type="paragraph" w:customStyle="1" w:styleId="86">
    <w:name w:val="标准文件_封面标准分类号"/>
    <w:basedOn w:val="1"/>
    <w:qFormat/>
    <w:uiPriority w:val="0"/>
    <w:rPr>
      <w:rFonts w:ascii="黑体" w:eastAsia="黑体"/>
      <w:b/>
      <w:kern w:val="0"/>
      <w:sz w:val="28"/>
    </w:rPr>
  </w:style>
  <w:style w:type="paragraph" w:customStyle="1" w:styleId="87">
    <w:name w:val="标准文件_封面标准名称"/>
    <w:basedOn w:val="1"/>
    <w:qFormat/>
    <w:uiPriority w:val="0"/>
    <w:pPr>
      <w:spacing w:line="240" w:lineRule="auto"/>
      <w:jc w:val="center"/>
    </w:pPr>
    <w:rPr>
      <w:rFonts w:ascii="黑体" w:eastAsia="黑体"/>
      <w:kern w:val="0"/>
      <w:sz w:val="52"/>
    </w:rPr>
  </w:style>
  <w:style w:type="paragraph" w:customStyle="1" w:styleId="88">
    <w:name w:val="标准文件_封面标准英文名称"/>
    <w:basedOn w:val="1"/>
    <w:qFormat/>
    <w:uiPriority w:val="0"/>
    <w:pPr>
      <w:spacing w:line="240" w:lineRule="auto"/>
      <w:jc w:val="center"/>
    </w:pPr>
    <w:rPr>
      <w:rFonts w:ascii="黑体" w:eastAsia="黑体"/>
      <w:b/>
      <w:sz w:val="28"/>
    </w:rPr>
  </w:style>
  <w:style w:type="paragraph" w:customStyle="1" w:styleId="89">
    <w:name w:val="标准文件_封面发布日期"/>
    <w:basedOn w:val="1"/>
    <w:qFormat/>
    <w:uiPriority w:val="0"/>
    <w:pPr>
      <w:spacing w:line="310" w:lineRule="exact"/>
    </w:pPr>
    <w:rPr>
      <w:rFonts w:ascii="黑体" w:eastAsia="黑体"/>
      <w:kern w:val="0"/>
      <w:sz w:val="28"/>
    </w:rPr>
  </w:style>
  <w:style w:type="paragraph" w:customStyle="1" w:styleId="90">
    <w:name w:val="标准文件_封面密级"/>
    <w:basedOn w:val="1"/>
    <w:qFormat/>
    <w:uiPriority w:val="0"/>
    <w:rPr>
      <w:rFonts w:eastAsia="黑体"/>
      <w:sz w:val="32"/>
    </w:rPr>
  </w:style>
  <w:style w:type="paragraph" w:customStyle="1" w:styleId="91">
    <w:name w:val="标准文件_封面实施日期"/>
    <w:basedOn w:val="1"/>
    <w:qFormat/>
    <w:uiPriority w:val="0"/>
    <w:pPr>
      <w:spacing w:line="310" w:lineRule="exact"/>
      <w:jc w:val="right"/>
    </w:pPr>
    <w:rPr>
      <w:rFonts w:ascii="黑体" w:eastAsia="黑体"/>
      <w:sz w:val="28"/>
    </w:rPr>
  </w:style>
  <w:style w:type="paragraph" w:customStyle="1" w:styleId="92">
    <w:name w:val="标准文件_封面抬头"/>
    <w:basedOn w:val="73"/>
    <w:qFormat/>
    <w:uiPriority w:val="0"/>
    <w:pPr>
      <w:adjustRightInd w:val="0"/>
      <w:spacing w:line="800" w:lineRule="exact"/>
      <w:ind w:firstLine="0" w:firstLineChars="0"/>
      <w:jc w:val="distribute"/>
    </w:pPr>
    <w:rPr>
      <w:rFonts w:ascii="黑体" w:eastAsia="黑体"/>
      <w:b/>
      <w:sz w:val="64"/>
    </w:rPr>
  </w:style>
  <w:style w:type="paragraph" w:customStyle="1" w:styleId="93">
    <w:name w:val="标准文件_附录标识"/>
    <w:next w:val="7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4">
    <w:name w:val="标准文件_附录表标题"/>
    <w:next w:val="7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5">
    <w:name w:val="标准文件_附录一级条标题"/>
    <w:next w:val="7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6">
    <w:name w:val="标准文件_附录二级条标题"/>
    <w:basedOn w:val="95"/>
    <w:next w:val="73"/>
    <w:qFormat/>
    <w:uiPriority w:val="0"/>
    <w:pPr>
      <w:widowControl/>
      <w:numPr>
        <w:ilvl w:val="2"/>
      </w:numPr>
      <w:wordWrap w:val="0"/>
      <w:overflowPunct w:val="0"/>
      <w:autoSpaceDE w:val="0"/>
      <w:autoSpaceDN w:val="0"/>
      <w:textAlignment w:val="baseline"/>
      <w:outlineLvl w:val="3"/>
    </w:pPr>
  </w:style>
  <w:style w:type="paragraph" w:customStyle="1" w:styleId="97">
    <w:name w:val="标准文件_附录公式"/>
    <w:basedOn w:val="72"/>
    <w:next w:val="7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8">
    <w:name w:val="标准文件_附录三级条标题"/>
    <w:next w:val="7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9">
    <w:name w:val="标准文件_附录四级条标题"/>
    <w:next w:val="7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0">
    <w:name w:val="标准文件_附录图标题"/>
    <w:next w:val="7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01">
    <w:name w:val="标准文件_附录五级条标题"/>
    <w:next w:val="7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2">
    <w:name w:val="标准文件_附录英文标识"/>
    <w:next w:val="18"/>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3">
    <w:name w:val="正文文本 Char"/>
    <w:link w:val="18"/>
    <w:qFormat/>
    <w:uiPriority w:val="1"/>
    <w:rPr>
      <w:rFonts w:ascii="Times New Roman" w:hAnsi="Times New Roman" w:eastAsia="宋体" w:cs="Times New Roman"/>
      <w:szCs w:val="20"/>
    </w:rPr>
  </w:style>
  <w:style w:type="paragraph" w:customStyle="1" w:styleId="104">
    <w:name w:val="标准文件_附录章标题"/>
    <w:next w:val="7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标准文件_公式后的破折号"/>
    <w:basedOn w:val="73"/>
    <w:next w:val="73"/>
    <w:qFormat/>
    <w:uiPriority w:val="0"/>
    <w:pPr>
      <w:ind w:left="488" w:leftChars="200" w:hanging="289" w:hangingChars="290"/>
    </w:pPr>
  </w:style>
  <w:style w:type="paragraph" w:customStyle="1" w:styleId="106">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7">
    <w:name w:val="标准文件_目次、标准名称标题"/>
    <w:basedOn w:val="106"/>
    <w:next w:val="73"/>
    <w:qFormat/>
    <w:uiPriority w:val="0"/>
    <w:pPr>
      <w:spacing w:line="460" w:lineRule="exact"/>
    </w:pPr>
  </w:style>
  <w:style w:type="paragraph" w:customStyle="1" w:styleId="108">
    <w:name w:val="标准文件_目录标题"/>
    <w:basedOn w:val="1"/>
    <w:qFormat/>
    <w:uiPriority w:val="0"/>
    <w:pPr>
      <w:spacing w:after="150" w:afterLines="150" w:line="240" w:lineRule="auto"/>
      <w:jc w:val="center"/>
    </w:pPr>
    <w:rPr>
      <w:rFonts w:ascii="黑体" w:eastAsia="黑体"/>
      <w:sz w:val="32"/>
    </w:rPr>
  </w:style>
  <w:style w:type="paragraph" w:customStyle="1" w:styleId="109">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0">
    <w:name w:val="标准文件_破折号列项（二级）"/>
    <w:basedOn w:val="109"/>
    <w:qFormat/>
    <w:uiPriority w:val="0"/>
    <w:pPr>
      <w:numPr>
        <w:numId w:val="10"/>
      </w:numPr>
      <w:ind w:left="0" w:firstLine="200"/>
    </w:pPr>
  </w:style>
  <w:style w:type="paragraph" w:customStyle="1" w:styleId="111">
    <w:name w:val="标准文件_三级条标题"/>
    <w:basedOn w:val="82"/>
    <w:next w:val="73"/>
    <w:qFormat/>
    <w:uiPriority w:val="0"/>
    <w:pPr>
      <w:widowControl/>
      <w:numPr>
        <w:ilvl w:val="4"/>
      </w:numPr>
      <w:outlineLvl w:val="3"/>
    </w:pPr>
  </w:style>
  <w:style w:type="character" w:customStyle="1" w:styleId="112">
    <w:name w:val="Subtle Reference"/>
    <w:qFormat/>
    <w:uiPriority w:val="31"/>
    <w:rPr>
      <w:smallCaps/>
      <w:color w:val="C0504D"/>
      <w:u w:val="single"/>
    </w:rPr>
  </w:style>
  <w:style w:type="paragraph" w:customStyle="1" w:styleId="113">
    <w:name w:val="标准文件_示例后续"/>
    <w:basedOn w:val="1"/>
    <w:qFormat/>
    <w:uiPriority w:val="0"/>
    <w:pPr>
      <w:adjustRightInd/>
      <w:spacing w:line="240" w:lineRule="auto"/>
      <w:ind w:firstLine="200" w:firstLineChars="200"/>
    </w:pPr>
    <w:rPr>
      <w:sz w:val="18"/>
      <w:szCs w:val="24"/>
    </w:rPr>
  </w:style>
  <w:style w:type="paragraph" w:customStyle="1" w:styleId="11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15">
    <w:name w:val="标准文件_四级条标题"/>
    <w:next w:val="7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6">
    <w:name w:val="脚注文本 Char"/>
    <w:link w:val="32"/>
    <w:qFormat/>
    <w:uiPriority w:val="0"/>
    <w:rPr>
      <w:rFonts w:ascii="宋体" w:hAnsi="Times New Roman" w:eastAsia="宋体" w:cs="Times New Roman"/>
      <w:sz w:val="18"/>
      <w:szCs w:val="18"/>
    </w:rPr>
  </w:style>
  <w:style w:type="paragraph" w:customStyle="1" w:styleId="117">
    <w:name w:val="标准文件_条文脚注"/>
    <w:basedOn w:val="32"/>
    <w:qFormat/>
    <w:uiPriority w:val="0"/>
    <w:pPr>
      <w:adjustRightInd w:val="0"/>
      <w:spacing w:line="240" w:lineRule="auto"/>
      <w:ind w:left="0" w:leftChars="0" w:firstLine="200" w:firstLineChars="200"/>
      <w:jc w:val="both"/>
    </w:pPr>
    <w:rPr>
      <w:rFonts w:hAnsi="宋体"/>
    </w:rPr>
  </w:style>
  <w:style w:type="paragraph" w:customStyle="1" w:styleId="118">
    <w:name w:val="标准文件_图表脚注"/>
    <w:basedOn w:val="1"/>
    <w:next w:val="73"/>
    <w:qFormat/>
    <w:uiPriority w:val="0"/>
    <w:pPr>
      <w:numPr>
        <w:ilvl w:val="0"/>
        <w:numId w:val="12"/>
      </w:numPr>
      <w:spacing w:line="240" w:lineRule="auto"/>
      <w:jc w:val="left"/>
    </w:pPr>
    <w:rPr>
      <w:rFonts w:ascii="宋体" w:hAnsi="宋体"/>
      <w:sz w:val="18"/>
    </w:rPr>
  </w:style>
  <w:style w:type="character" w:customStyle="1" w:styleId="119">
    <w:name w:val="标准文件_图表脚注内容"/>
    <w:qFormat/>
    <w:uiPriority w:val="0"/>
    <w:rPr>
      <w:rFonts w:ascii="宋体" w:hAnsi="宋体" w:eastAsia="宋体" w:cs="Times New Roman"/>
      <w:spacing w:val="0"/>
      <w:sz w:val="18"/>
      <w:vertAlign w:val="superscript"/>
    </w:rPr>
  </w:style>
  <w:style w:type="paragraph" w:customStyle="1" w:styleId="120">
    <w:name w:val="标准文件_五级条标题"/>
    <w:next w:val="7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1">
    <w:name w:val="标准文件_章标题"/>
    <w:next w:val="7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2">
    <w:name w:val="标准文件_一级条标题"/>
    <w:basedOn w:val="121"/>
    <w:next w:val="73"/>
    <w:qFormat/>
    <w:uiPriority w:val="0"/>
    <w:pPr>
      <w:numPr>
        <w:ilvl w:val="2"/>
      </w:numPr>
      <w:spacing w:before="50" w:beforeLines="50" w:after="50" w:afterLines="50"/>
      <w:outlineLvl w:val="1"/>
    </w:pPr>
  </w:style>
  <w:style w:type="paragraph" w:customStyle="1" w:styleId="123">
    <w:name w:val="标准文件_一致程度"/>
    <w:basedOn w:val="1"/>
    <w:qFormat/>
    <w:uiPriority w:val="0"/>
    <w:pPr>
      <w:spacing w:line="440" w:lineRule="exact"/>
      <w:jc w:val="center"/>
    </w:pPr>
    <w:rPr>
      <w:sz w:val="28"/>
    </w:rPr>
  </w:style>
  <w:style w:type="paragraph" w:customStyle="1" w:styleId="12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5">
    <w:name w:val="标准文件_英文图表脚注"/>
    <w:basedOn w:val="72"/>
    <w:qFormat/>
    <w:uiPriority w:val="0"/>
    <w:pPr>
      <w:widowControl/>
      <w:adjustRightInd/>
      <w:snapToGrid/>
      <w:spacing w:line="240" w:lineRule="auto"/>
      <w:ind w:left="79" w:hanging="79" w:hangingChars="80"/>
    </w:pPr>
    <w:rPr>
      <w:rFonts w:ascii="宋体" w:hAnsi="宋体"/>
    </w:rPr>
  </w:style>
  <w:style w:type="paragraph" w:customStyle="1" w:styleId="126">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7">
    <w:name w:val="标准文件_英文注："/>
    <w:basedOn w:val="1"/>
    <w:next w:val="7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9">
    <w:name w:val="标准文件_正文表标题"/>
    <w:next w:val="7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0">
    <w:name w:val="标准文件_正文公式"/>
    <w:basedOn w:val="1"/>
    <w:next w:val="72"/>
    <w:qFormat/>
    <w:uiPriority w:val="0"/>
    <w:pPr>
      <w:tabs>
        <w:tab w:val="center" w:pos="4678"/>
        <w:tab w:val="right" w:leader="middleDot" w:pos="9356"/>
      </w:tabs>
      <w:spacing w:line="240" w:lineRule="auto"/>
    </w:pPr>
    <w:rPr>
      <w:rFonts w:ascii="宋体" w:hAnsi="宋体"/>
    </w:rPr>
  </w:style>
  <w:style w:type="paragraph" w:customStyle="1" w:styleId="131">
    <w:name w:val="标准文件_正文图标题"/>
    <w:next w:val="7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32">
    <w:name w:val="标准文件_正文英文表标题"/>
    <w:next w:val="7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33">
    <w:name w:val="标准文件_正文英文图标题"/>
    <w:next w:val="7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34">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36">
    <w:name w:val="发布部门"/>
    <w:next w:val="7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42">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3">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4">
    <w:name w:val="封面正文"/>
    <w:uiPriority w:val="0"/>
    <w:pPr>
      <w:jc w:val="both"/>
    </w:pPr>
    <w:rPr>
      <w:rFonts w:ascii="Times New Roman" w:hAnsi="Times New Roman" w:eastAsia="宋体" w:cs="Times New Roman"/>
      <w:lang w:val="en-US" w:eastAsia="zh-CN" w:bidi="ar-SA"/>
    </w:rPr>
  </w:style>
  <w:style w:type="paragraph" w:customStyle="1" w:styleId="145">
    <w:name w:val="附录二级无标题条"/>
    <w:basedOn w:val="1"/>
    <w:next w:val="7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6">
    <w:name w:val="附录三级无标题条"/>
    <w:basedOn w:val="145"/>
    <w:next w:val="73"/>
    <w:uiPriority w:val="0"/>
    <w:pPr>
      <w:outlineLvl w:val="4"/>
    </w:pPr>
  </w:style>
  <w:style w:type="paragraph" w:customStyle="1" w:styleId="147">
    <w:name w:val="附录四级无标题条"/>
    <w:basedOn w:val="146"/>
    <w:next w:val="73"/>
    <w:uiPriority w:val="0"/>
    <w:pPr>
      <w:outlineLvl w:val="5"/>
    </w:pPr>
  </w:style>
  <w:style w:type="paragraph" w:customStyle="1" w:styleId="148">
    <w:name w:val="附录图"/>
    <w:next w:val="73"/>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9">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50">
    <w:name w:val="附录五级无标题条"/>
    <w:basedOn w:val="147"/>
    <w:next w:val="73"/>
    <w:qFormat/>
    <w:uiPriority w:val="0"/>
    <w:pPr>
      <w:outlineLvl w:val="6"/>
    </w:pPr>
  </w:style>
  <w:style w:type="paragraph" w:customStyle="1" w:styleId="151">
    <w:name w:val="附录性质"/>
    <w:basedOn w:val="1"/>
    <w:uiPriority w:val="0"/>
    <w:pPr>
      <w:widowControl/>
      <w:adjustRightInd/>
      <w:jc w:val="center"/>
    </w:pPr>
    <w:rPr>
      <w:rFonts w:ascii="黑体" w:eastAsia="黑体"/>
    </w:rPr>
  </w:style>
  <w:style w:type="paragraph" w:customStyle="1" w:styleId="152">
    <w:name w:val="附录一级无标题条"/>
    <w:basedOn w:val="104"/>
    <w:next w:val="73"/>
    <w:uiPriority w:val="0"/>
    <w:pPr>
      <w:autoSpaceDN w:val="0"/>
      <w:outlineLvl w:val="2"/>
    </w:pPr>
    <w:rPr>
      <w:rFonts w:ascii="宋体" w:hAnsi="宋体" w:eastAsia="宋体"/>
    </w:rPr>
  </w:style>
  <w:style w:type="character" w:customStyle="1" w:styleId="153">
    <w:name w:val="个人答复风格"/>
    <w:qFormat/>
    <w:uiPriority w:val="0"/>
    <w:rPr>
      <w:rFonts w:ascii="Arial" w:hAnsi="Arial" w:eastAsia="宋体" w:cs="Arial"/>
      <w:color w:val="auto"/>
      <w:spacing w:val="0"/>
      <w:sz w:val="20"/>
    </w:rPr>
  </w:style>
  <w:style w:type="character" w:customStyle="1" w:styleId="154">
    <w:name w:val="个人撰写风格"/>
    <w:uiPriority w:val="0"/>
    <w:rPr>
      <w:rFonts w:ascii="Arial" w:hAnsi="Arial" w:eastAsia="宋体" w:cs="Arial"/>
      <w:color w:val="auto"/>
      <w:spacing w:val="0"/>
      <w:sz w:val="20"/>
    </w:rPr>
  </w:style>
  <w:style w:type="paragraph" w:customStyle="1" w:styleId="155">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56">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7">
    <w:name w:val="列项·"/>
    <w:basedOn w:val="73"/>
    <w:uiPriority w:val="0"/>
    <w:pPr>
      <w:tabs>
        <w:tab w:val="left" w:pos="840"/>
      </w:tabs>
    </w:pPr>
  </w:style>
  <w:style w:type="paragraph" w:customStyle="1" w:styleId="15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59">
    <w:name w:val="目录 21"/>
    <w:basedOn w:val="1"/>
    <w:next w:val="1"/>
    <w:semiHidden/>
    <w:uiPriority w:val="0"/>
    <w:pPr>
      <w:adjustRightInd/>
      <w:spacing w:line="240" w:lineRule="auto"/>
      <w:jc w:val="left"/>
    </w:pPr>
    <w:rPr>
      <w:bCs/>
      <w:iCs/>
    </w:rPr>
  </w:style>
  <w:style w:type="paragraph" w:customStyle="1" w:styleId="160">
    <w:name w:val="目录 31"/>
    <w:basedOn w:val="1"/>
    <w:next w:val="1"/>
    <w:semiHidden/>
    <w:uiPriority w:val="0"/>
    <w:pPr>
      <w:spacing w:line="240" w:lineRule="auto"/>
    </w:pPr>
    <w:rPr>
      <w:rFonts w:ascii="宋体" w:hAnsi="宋体"/>
      <w:iCs/>
    </w:rPr>
  </w:style>
  <w:style w:type="paragraph" w:customStyle="1" w:styleId="161">
    <w:name w:val="目录 41"/>
    <w:basedOn w:val="1"/>
    <w:next w:val="1"/>
    <w:semiHidden/>
    <w:uiPriority w:val="0"/>
    <w:pPr>
      <w:adjustRightInd/>
      <w:spacing w:line="240" w:lineRule="auto"/>
      <w:jc w:val="left"/>
    </w:pPr>
  </w:style>
  <w:style w:type="paragraph" w:customStyle="1" w:styleId="162">
    <w:name w:val="目录 51"/>
    <w:basedOn w:val="1"/>
    <w:next w:val="1"/>
    <w:semiHidden/>
    <w:uiPriority w:val="0"/>
    <w:pPr>
      <w:spacing w:line="240" w:lineRule="auto"/>
    </w:pPr>
    <w:rPr>
      <w:rFonts w:ascii="宋体" w:hAnsi="宋体"/>
    </w:rPr>
  </w:style>
  <w:style w:type="paragraph" w:customStyle="1" w:styleId="163">
    <w:name w:val="目录 61"/>
    <w:basedOn w:val="1"/>
    <w:next w:val="1"/>
    <w:semiHidden/>
    <w:uiPriority w:val="0"/>
    <w:pPr>
      <w:adjustRightInd/>
      <w:spacing w:line="240" w:lineRule="auto"/>
      <w:jc w:val="left"/>
    </w:pPr>
  </w:style>
  <w:style w:type="paragraph" w:customStyle="1" w:styleId="164">
    <w:name w:val="目录 71"/>
    <w:basedOn w:val="163"/>
    <w:semiHidden/>
    <w:uiPriority w:val="0"/>
    <w:pPr>
      <w:ind w:left="1260"/>
    </w:pPr>
  </w:style>
  <w:style w:type="paragraph" w:customStyle="1" w:styleId="165">
    <w:name w:val="目录 81"/>
    <w:basedOn w:val="164"/>
    <w:semiHidden/>
    <w:uiPriority w:val="0"/>
    <w:pPr>
      <w:ind w:left="1470"/>
    </w:pPr>
  </w:style>
  <w:style w:type="paragraph" w:customStyle="1" w:styleId="166">
    <w:name w:val="目录 91"/>
    <w:basedOn w:val="165"/>
    <w:semiHidden/>
    <w:uiPriority w:val="0"/>
    <w:pPr>
      <w:ind w:left="1680"/>
    </w:pPr>
  </w:style>
  <w:style w:type="paragraph" w:customStyle="1" w:styleId="16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68">
    <w:name w:val="其他发布部门"/>
    <w:basedOn w:val="136"/>
    <w:uiPriority w:val="0"/>
    <w:pPr>
      <w:framePr w:wrap="around"/>
      <w:spacing w:line="0" w:lineRule="atLeast"/>
    </w:pPr>
    <w:rPr>
      <w:rFonts w:ascii="黑体" w:eastAsia="黑体"/>
      <w:b w:val="0"/>
    </w:rPr>
  </w:style>
  <w:style w:type="paragraph" w:customStyle="1" w:styleId="16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71">
    <w:name w:val="实施日期"/>
    <w:basedOn w:val="137"/>
    <w:qFormat/>
    <w:uiPriority w:val="0"/>
    <w:pPr>
      <w:framePr w:hSpace="0" w:wrap="around" w:xAlign="right"/>
      <w:jc w:val="right"/>
    </w:pPr>
  </w:style>
  <w:style w:type="paragraph" w:customStyle="1" w:styleId="17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4">
    <w:name w:val="无标题条"/>
    <w:next w:val="73"/>
    <w:qFormat/>
    <w:uiPriority w:val="0"/>
    <w:pPr>
      <w:jc w:val="both"/>
    </w:pPr>
    <w:rPr>
      <w:rFonts w:ascii="宋体" w:hAnsi="宋体" w:eastAsia="宋体" w:cs="Times New Roman"/>
      <w:sz w:val="21"/>
      <w:lang w:val="en-US" w:eastAsia="zh-CN" w:bidi="ar-SA"/>
    </w:rPr>
  </w:style>
  <w:style w:type="paragraph" w:customStyle="1" w:styleId="175">
    <w:name w:val="五级无标题条"/>
    <w:basedOn w:val="1"/>
    <w:qFormat/>
    <w:uiPriority w:val="0"/>
    <w:pPr>
      <w:numPr>
        <w:ilvl w:val="6"/>
        <w:numId w:val="20"/>
      </w:numPr>
      <w:adjustRightInd/>
    </w:pPr>
    <w:rPr>
      <w:szCs w:val="24"/>
    </w:rPr>
  </w:style>
  <w:style w:type="paragraph" w:customStyle="1" w:styleId="17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8">
    <w:name w:val="注×:后续"/>
    <w:basedOn w:val="177"/>
    <w:qFormat/>
    <w:uiPriority w:val="0"/>
    <w:pPr>
      <w:ind w:left="1406" w:leftChars="0" w:hanging="499" w:firstLineChars="0"/>
    </w:pPr>
  </w:style>
  <w:style w:type="paragraph" w:customStyle="1" w:styleId="179">
    <w:name w:val="标准文件_一级无标题"/>
    <w:basedOn w:val="122"/>
    <w:qFormat/>
    <w:uiPriority w:val="0"/>
    <w:pPr>
      <w:spacing w:before="0" w:beforeLines="0" w:after="0" w:afterLines="0"/>
      <w:outlineLvl w:val="9"/>
    </w:pPr>
    <w:rPr>
      <w:rFonts w:ascii="宋体" w:eastAsia="宋体"/>
    </w:rPr>
  </w:style>
  <w:style w:type="paragraph" w:customStyle="1" w:styleId="180">
    <w:name w:val="标准文件_五级无标题"/>
    <w:basedOn w:val="120"/>
    <w:qFormat/>
    <w:uiPriority w:val="0"/>
    <w:pPr>
      <w:spacing w:before="0" w:beforeLines="0" w:after="0" w:afterLines="0"/>
      <w:outlineLvl w:val="9"/>
    </w:pPr>
    <w:rPr>
      <w:rFonts w:ascii="宋体" w:eastAsia="宋体"/>
    </w:rPr>
  </w:style>
  <w:style w:type="paragraph" w:customStyle="1" w:styleId="181">
    <w:name w:val="标准文件_三级无标题"/>
    <w:basedOn w:val="111"/>
    <w:qFormat/>
    <w:uiPriority w:val="0"/>
    <w:pPr>
      <w:spacing w:before="0" w:beforeLines="0" w:after="0" w:afterLines="0"/>
      <w:outlineLvl w:val="9"/>
    </w:pPr>
    <w:rPr>
      <w:rFonts w:ascii="宋体" w:eastAsia="宋体"/>
    </w:rPr>
  </w:style>
  <w:style w:type="paragraph" w:customStyle="1" w:styleId="182">
    <w:name w:val="标准文件_二级无标题"/>
    <w:basedOn w:val="82"/>
    <w:qFormat/>
    <w:uiPriority w:val="0"/>
    <w:pPr>
      <w:spacing w:before="0" w:beforeLines="0" w:after="0" w:afterLines="0"/>
      <w:outlineLvl w:val="9"/>
    </w:pPr>
    <w:rPr>
      <w:rFonts w:ascii="宋体" w:eastAsia="宋体"/>
    </w:rPr>
  </w:style>
  <w:style w:type="paragraph" w:customStyle="1" w:styleId="183">
    <w:name w:val="标准_四级无标题"/>
    <w:basedOn w:val="115"/>
    <w:next w:val="73"/>
    <w:qFormat/>
    <w:uiPriority w:val="0"/>
    <w:rPr>
      <w:rFonts w:eastAsia="宋体"/>
    </w:rPr>
  </w:style>
  <w:style w:type="paragraph" w:customStyle="1" w:styleId="184">
    <w:name w:val="标准文件_四级无标题"/>
    <w:basedOn w:val="115"/>
    <w:qFormat/>
    <w:uiPriority w:val="0"/>
    <w:pPr>
      <w:spacing w:before="0" w:beforeLines="0" w:after="0" w:afterLines="0"/>
      <w:outlineLvl w:val="9"/>
    </w:pPr>
    <w:rPr>
      <w:rFonts w:ascii="宋体" w:hAnsi="黑体" w:eastAsia="宋体"/>
      <w:szCs w:val="52"/>
    </w:rPr>
  </w:style>
  <w:style w:type="paragraph" w:customStyle="1" w:styleId="185">
    <w:name w:val="标准文件_大写罗马数字编号列项"/>
    <w:basedOn w:val="73"/>
    <w:qFormat/>
    <w:uiPriority w:val="0"/>
    <w:pPr>
      <w:numPr>
        <w:ilvl w:val="0"/>
        <w:numId w:val="23"/>
      </w:numPr>
      <w:ind w:firstLine="0" w:firstLineChars="0"/>
    </w:pPr>
    <w:rPr>
      <w:rFonts w:ascii="Times New Roman" w:cs="Arial"/>
      <w:szCs w:val="28"/>
    </w:rPr>
  </w:style>
  <w:style w:type="paragraph" w:customStyle="1" w:styleId="186">
    <w:name w:val="标准文件_小写罗马数字编号列项"/>
    <w:basedOn w:val="73"/>
    <w:qFormat/>
    <w:uiPriority w:val="0"/>
    <w:pPr>
      <w:numPr>
        <w:ilvl w:val="0"/>
        <w:numId w:val="24"/>
      </w:numPr>
      <w:ind w:firstLine="0" w:firstLineChars="0"/>
    </w:pPr>
    <w:rPr>
      <w:rFonts w:cs="Arial"/>
      <w:szCs w:val="28"/>
    </w:rPr>
  </w:style>
  <w:style w:type="paragraph" w:customStyle="1" w:styleId="187">
    <w:name w:val="标准文件_附录标题"/>
    <w:basedOn w:val="93"/>
    <w:qFormat/>
    <w:uiPriority w:val="0"/>
    <w:pPr>
      <w:numPr>
        <w:numId w:val="0"/>
      </w:numPr>
      <w:spacing w:after="280"/>
      <w:outlineLvl w:val="9"/>
    </w:pPr>
  </w:style>
  <w:style w:type="paragraph" w:customStyle="1" w:styleId="188">
    <w:name w:val="标准文件_二级项"/>
    <w:qFormat/>
    <w:uiPriority w:val="0"/>
    <w:rPr>
      <w:rFonts w:ascii="宋体" w:hAnsi="Times New Roman" w:eastAsia="宋体" w:cs="Times New Roman"/>
      <w:sz w:val="21"/>
      <w:lang w:val="en-US" w:eastAsia="zh-CN" w:bidi="ar-SA"/>
    </w:rPr>
  </w:style>
  <w:style w:type="paragraph" w:customStyle="1" w:styleId="189">
    <w:name w:val="标准文件_三级项"/>
    <w:basedOn w:val="1"/>
    <w:qFormat/>
    <w:uiPriority w:val="0"/>
    <w:pPr>
      <w:numPr>
        <w:ilvl w:val="2"/>
        <w:numId w:val="21"/>
      </w:numPr>
      <w:spacing w:line="536870612" w:lineRule="auto"/>
    </w:pPr>
    <w:rPr>
      <w:rFonts w:ascii="Times New Roman" w:hAnsi="Times New Roman"/>
    </w:rPr>
  </w:style>
  <w:style w:type="paragraph" w:customStyle="1" w:styleId="190">
    <w:name w:val="图表脚注说明"/>
    <w:basedOn w:val="1"/>
    <w:next w:val="73"/>
    <w:qFormat/>
    <w:uiPriority w:val="0"/>
    <w:pPr>
      <w:numPr>
        <w:ilvl w:val="0"/>
        <w:numId w:val="25"/>
      </w:numPr>
      <w:adjustRightInd/>
      <w:spacing w:line="240" w:lineRule="auto"/>
      <w:ind w:left="783"/>
    </w:pPr>
    <w:rPr>
      <w:rFonts w:ascii="宋体" w:hAnsi="Times New Roman"/>
      <w:sz w:val="18"/>
      <w:szCs w:val="18"/>
    </w:rPr>
  </w:style>
  <w:style w:type="paragraph" w:customStyle="1" w:styleId="19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92">
    <w:name w:val="标准文件_索引字母"/>
    <w:next w:val="73"/>
    <w:qFormat/>
    <w:uiPriority w:val="0"/>
    <w:pPr>
      <w:jc w:val="center"/>
    </w:pPr>
    <w:rPr>
      <w:rFonts w:ascii="宋体" w:hAnsi="宋体" w:eastAsia="Times New Roman" w:cs="Times New Roman"/>
      <w:b/>
      <w:kern w:val="2"/>
      <w:sz w:val="21"/>
      <w:lang w:val="en-US" w:eastAsia="zh-CN" w:bidi="ar-SA"/>
    </w:rPr>
  </w:style>
  <w:style w:type="paragraph" w:customStyle="1" w:styleId="193">
    <w:name w:val="标准文件_附录前"/>
    <w:next w:val="7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4">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95">
    <w:name w:val="标准文件_表格"/>
    <w:basedOn w:val="73"/>
    <w:qFormat/>
    <w:uiPriority w:val="0"/>
    <w:pPr>
      <w:ind w:firstLine="0" w:firstLineChars="0"/>
      <w:jc w:val="center"/>
    </w:pPr>
    <w:rPr>
      <w:sz w:val="18"/>
    </w:rPr>
  </w:style>
  <w:style w:type="paragraph" w:customStyle="1" w:styleId="196">
    <w:name w:val="标准文件_注："/>
    <w:next w:val="7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8">
    <w:name w:val="标准文件_示例："/>
    <w:next w:val="19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9">
    <w:name w:val="标准文件_示例内容"/>
    <w:basedOn w:val="73"/>
    <w:qFormat/>
    <w:uiPriority w:val="0"/>
    <w:pPr>
      <w:ind w:firstLine="420"/>
    </w:pPr>
    <w:rPr>
      <w:sz w:val="18"/>
    </w:rPr>
  </w:style>
  <w:style w:type="paragraph" w:customStyle="1" w:styleId="200">
    <w:name w:val="标准文件_示例×："/>
    <w:basedOn w:val="1"/>
    <w:next w:val="19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01">
    <w:name w:val="标准文件_段 Char"/>
    <w:link w:val="73"/>
    <w:qFormat/>
    <w:uiPriority w:val="0"/>
    <w:rPr>
      <w:rFonts w:ascii="宋体" w:hAnsi="Times New Roman"/>
      <w:sz w:val="21"/>
    </w:rPr>
  </w:style>
  <w:style w:type="paragraph" w:customStyle="1" w:styleId="202">
    <w:name w:val="标准文件_表格续"/>
    <w:basedOn w:val="73"/>
    <w:next w:val="73"/>
    <w:qFormat/>
    <w:uiPriority w:val="0"/>
    <w:pPr>
      <w:jc w:val="center"/>
    </w:pPr>
    <w:rPr>
      <w:rFonts w:ascii="黑体" w:hAnsi="黑体" w:eastAsia="黑体"/>
    </w:rPr>
  </w:style>
  <w:style w:type="character" w:styleId="203">
    <w:name w:val="Placeholder Text"/>
    <w:basedOn w:val="43"/>
    <w:semiHidden/>
    <w:qFormat/>
    <w:uiPriority w:val="99"/>
    <w:rPr>
      <w:color w:val="808080"/>
    </w:rPr>
  </w:style>
  <w:style w:type="paragraph" w:customStyle="1" w:styleId="204">
    <w:name w:val="标准文件_二级项2"/>
    <w:basedOn w:val="73"/>
    <w:qFormat/>
    <w:uiPriority w:val="0"/>
    <w:pPr>
      <w:numPr>
        <w:ilvl w:val="1"/>
        <w:numId w:val="21"/>
      </w:numPr>
      <w:ind w:left="1271" w:hanging="420" w:firstLineChars="0"/>
    </w:pPr>
  </w:style>
  <w:style w:type="paragraph" w:customStyle="1" w:styleId="205">
    <w:name w:val="标准文件_三级项2"/>
    <w:basedOn w:val="73"/>
    <w:qFormat/>
    <w:uiPriority w:val="0"/>
    <w:pPr>
      <w:numPr>
        <w:ilvl w:val="0"/>
        <w:numId w:val="30"/>
      </w:numPr>
      <w:spacing w:line="300" w:lineRule="exact"/>
      <w:ind w:left="1276" w:hanging="425" w:firstLineChars="0"/>
    </w:pPr>
    <w:rPr>
      <w:rFonts w:ascii="Times New Roman"/>
    </w:rPr>
  </w:style>
  <w:style w:type="paragraph" w:customStyle="1" w:styleId="206">
    <w:name w:val="标准文件_一级项2"/>
    <w:basedOn w:val="73"/>
    <w:qFormat/>
    <w:uiPriority w:val="0"/>
    <w:pPr>
      <w:numPr>
        <w:ilvl w:val="0"/>
        <w:numId w:val="31"/>
      </w:numPr>
      <w:spacing w:line="300" w:lineRule="exact"/>
      <w:ind w:left="1271" w:hanging="420" w:firstLineChars="0"/>
    </w:pPr>
    <w:rPr>
      <w:rFonts w:ascii="Times New Roman"/>
    </w:rPr>
  </w:style>
  <w:style w:type="paragraph" w:customStyle="1" w:styleId="207">
    <w:name w:val="标准文件_提示"/>
    <w:basedOn w:val="73"/>
    <w:next w:val="73"/>
    <w:qFormat/>
    <w:uiPriority w:val="0"/>
    <w:pPr>
      <w:ind w:firstLine="420"/>
    </w:pPr>
    <w:rPr>
      <w:rFonts w:ascii="黑体" w:eastAsia="黑体"/>
    </w:rPr>
  </w:style>
  <w:style w:type="character" w:customStyle="1" w:styleId="208">
    <w:name w:val="标准文件_来源"/>
    <w:basedOn w:val="43"/>
    <w:qFormat/>
    <w:uiPriority w:val="1"/>
    <w:rPr>
      <w:rFonts w:eastAsia="宋体"/>
      <w:sz w:val="21"/>
    </w:rPr>
  </w:style>
  <w:style w:type="paragraph" w:customStyle="1" w:styleId="20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0">
    <w:name w:val="其他发布日期"/>
    <w:basedOn w:val="137"/>
    <w:qFormat/>
    <w:uiPriority w:val="0"/>
    <w:pPr>
      <w:framePr w:w="3997" w:h="471" w:hRule="exact" w:hSpace="0" w:vSpace="181" w:wrap="around" w:vAnchor="page" w:hAnchor="page" w:x="1419" w:y="14097"/>
    </w:pPr>
  </w:style>
  <w:style w:type="paragraph" w:customStyle="1" w:styleId="211">
    <w:name w:val="其他实施日期"/>
    <w:basedOn w:val="171"/>
    <w:qFormat/>
    <w:uiPriority w:val="0"/>
    <w:pPr>
      <w:framePr w:w="3997" w:h="471" w:hRule="exact" w:vSpace="181" w:wrap="around" w:vAnchor="page" w:hAnchor="page" w:x="7089" w:y="14097"/>
    </w:pPr>
  </w:style>
  <w:style w:type="paragraph" w:customStyle="1" w:styleId="212">
    <w:name w:val="标准文件_文件编号"/>
    <w:basedOn w:val="7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3">
    <w:name w:val="标准文件_替换文件编号"/>
    <w:basedOn w:val="212"/>
    <w:qFormat/>
    <w:uiPriority w:val="0"/>
    <w:pPr>
      <w:framePr/>
      <w:spacing w:before="57"/>
    </w:pPr>
    <w:rPr>
      <w:sz w:val="21"/>
    </w:rPr>
  </w:style>
  <w:style w:type="paragraph" w:customStyle="1" w:styleId="214">
    <w:name w:val="标准文件_文件名称"/>
    <w:basedOn w:val="73"/>
    <w:next w:val="7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5">
    <w:name w:val="标准文件_附录图标号"/>
    <w:basedOn w:val="73"/>
    <w:next w:val="7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16">
    <w:name w:val="标准文件_附录表标号"/>
    <w:basedOn w:val="73"/>
    <w:next w:val="73"/>
    <w:qFormat/>
    <w:uiPriority w:val="0"/>
    <w:pPr>
      <w:numPr>
        <w:ilvl w:val="0"/>
        <w:numId w:val="5"/>
      </w:numPr>
      <w:spacing w:line="14" w:lineRule="exact"/>
      <w:ind w:firstLine="0" w:firstLineChars="0"/>
      <w:jc w:val="center"/>
    </w:pPr>
    <w:rPr>
      <w:rFonts w:eastAsia="黑体"/>
      <w:vanish/>
      <w:sz w:val="2"/>
    </w:rPr>
  </w:style>
  <w:style w:type="paragraph" w:customStyle="1" w:styleId="217">
    <w:name w:val="标准文件_引言一级条标题"/>
    <w:basedOn w:val="73"/>
    <w:next w:val="73"/>
    <w:qFormat/>
    <w:uiPriority w:val="0"/>
    <w:pPr>
      <w:numPr>
        <w:ilvl w:val="1"/>
        <w:numId w:val="8"/>
      </w:numPr>
      <w:spacing w:before="50" w:beforeLines="50" w:after="50" w:afterLines="50"/>
      <w:ind w:firstLineChars="0"/>
    </w:pPr>
    <w:rPr>
      <w:rFonts w:ascii="黑体" w:eastAsia="黑体"/>
    </w:rPr>
  </w:style>
  <w:style w:type="paragraph" w:customStyle="1" w:styleId="218">
    <w:name w:val="标准文件_引言二级条标题"/>
    <w:basedOn w:val="73"/>
    <w:next w:val="73"/>
    <w:qFormat/>
    <w:uiPriority w:val="0"/>
    <w:pPr>
      <w:numPr>
        <w:ilvl w:val="2"/>
        <w:numId w:val="8"/>
      </w:numPr>
      <w:spacing w:before="50" w:beforeLines="50" w:after="50" w:afterLines="50"/>
      <w:ind w:firstLineChars="0"/>
    </w:pPr>
    <w:rPr>
      <w:rFonts w:ascii="黑体" w:eastAsia="黑体"/>
    </w:rPr>
  </w:style>
  <w:style w:type="paragraph" w:customStyle="1" w:styleId="219">
    <w:name w:val="标准文件_引言三级条标题"/>
    <w:basedOn w:val="73"/>
    <w:next w:val="73"/>
    <w:qFormat/>
    <w:uiPriority w:val="0"/>
    <w:pPr>
      <w:numPr>
        <w:ilvl w:val="3"/>
        <w:numId w:val="8"/>
      </w:numPr>
      <w:spacing w:before="50" w:beforeLines="50" w:after="50" w:afterLines="50"/>
      <w:ind w:firstLineChars="0"/>
    </w:pPr>
    <w:rPr>
      <w:rFonts w:ascii="黑体" w:eastAsia="黑体"/>
    </w:rPr>
  </w:style>
  <w:style w:type="paragraph" w:customStyle="1" w:styleId="220">
    <w:name w:val="标准文件_引言四级条标题"/>
    <w:basedOn w:val="73"/>
    <w:next w:val="73"/>
    <w:qFormat/>
    <w:uiPriority w:val="0"/>
    <w:pPr>
      <w:numPr>
        <w:ilvl w:val="4"/>
        <w:numId w:val="8"/>
      </w:numPr>
      <w:spacing w:before="50" w:beforeLines="50" w:after="50" w:afterLines="50"/>
      <w:ind w:firstLineChars="0"/>
    </w:pPr>
    <w:rPr>
      <w:rFonts w:ascii="黑体" w:eastAsia="黑体"/>
    </w:rPr>
  </w:style>
  <w:style w:type="paragraph" w:customStyle="1" w:styleId="221">
    <w:name w:val="标准文件_引言五级条标题"/>
    <w:basedOn w:val="73"/>
    <w:next w:val="73"/>
    <w:qFormat/>
    <w:uiPriority w:val="0"/>
    <w:pPr>
      <w:numPr>
        <w:ilvl w:val="5"/>
        <w:numId w:val="8"/>
      </w:numPr>
      <w:spacing w:before="50" w:beforeLines="50" w:after="50" w:afterLines="50"/>
      <w:ind w:firstLineChars="0"/>
    </w:pPr>
    <w:rPr>
      <w:rFonts w:ascii="黑体" w:eastAsia="黑体"/>
    </w:rPr>
  </w:style>
  <w:style w:type="paragraph" w:customStyle="1" w:styleId="222">
    <w:name w:val="标准文件_注后"/>
    <w:basedOn w:val="73"/>
    <w:qFormat/>
    <w:uiPriority w:val="0"/>
    <w:pPr>
      <w:ind w:left="811" w:firstLine="0" w:firstLineChars="0"/>
    </w:pPr>
    <w:rPr>
      <w:sz w:val="18"/>
    </w:rPr>
  </w:style>
  <w:style w:type="paragraph" w:customStyle="1" w:styleId="223">
    <w:name w:val="标准文件_注X后"/>
    <w:basedOn w:val="73"/>
    <w:qFormat/>
    <w:uiPriority w:val="0"/>
    <w:pPr>
      <w:ind w:left="811" w:firstLine="0" w:firstLineChars="0"/>
    </w:pPr>
    <w:rPr>
      <w:sz w:val="18"/>
    </w:rPr>
  </w:style>
  <w:style w:type="paragraph" w:customStyle="1" w:styleId="224">
    <w:name w:val="标准文件_示例后"/>
    <w:basedOn w:val="73"/>
    <w:qFormat/>
    <w:uiPriority w:val="0"/>
    <w:pPr>
      <w:ind w:left="964" w:firstLine="0" w:firstLineChars="0"/>
    </w:pPr>
    <w:rPr>
      <w:sz w:val="18"/>
    </w:rPr>
  </w:style>
  <w:style w:type="paragraph" w:customStyle="1" w:styleId="225">
    <w:name w:val="标准文件_示例X后"/>
    <w:basedOn w:val="73"/>
    <w:link w:val="226"/>
    <w:qFormat/>
    <w:uiPriority w:val="0"/>
    <w:pPr>
      <w:ind w:left="1049" w:firstLine="0" w:firstLineChars="0"/>
    </w:pPr>
    <w:rPr>
      <w:sz w:val="18"/>
    </w:rPr>
  </w:style>
  <w:style w:type="character" w:customStyle="1" w:styleId="226">
    <w:name w:val="标准文件_示例X后 字符"/>
    <w:basedOn w:val="201"/>
    <w:link w:val="225"/>
    <w:qFormat/>
    <w:uiPriority w:val="0"/>
    <w:rPr>
      <w:rFonts w:ascii="宋体" w:hAnsi="Times New Roman"/>
      <w:sz w:val="18"/>
    </w:rPr>
  </w:style>
  <w:style w:type="paragraph" w:customStyle="1" w:styleId="227">
    <w:name w:val="标准文件_索引项"/>
    <w:basedOn w:val="73"/>
    <w:next w:val="73"/>
    <w:qFormat/>
    <w:uiPriority w:val="0"/>
    <w:pPr>
      <w:tabs>
        <w:tab w:val="right" w:leader="dot" w:pos="9356"/>
      </w:tabs>
      <w:ind w:left="210" w:hanging="210" w:firstLineChars="0"/>
      <w:jc w:val="left"/>
    </w:pPr>
  </w:style>
  <w:style w:type="paragraph" w:customStyle="1" w:styleId="228">
    <w:name w:val="标准文件_附录一级无标题"/>
    <w:basedOn w:val="95"/>
    <w:qFormat/>
    <w:uiPriority w:val="0"/>
    <w:pPr>
      <w:spacing w:before="0" w:beforeLines="0" w:after="0" w:afterLines="0" w:line="276" w:lineRule="auto"/>
      <w:outlineLvl w:val="9"/>
    </w:pPr>
    <w:rPr>
      <w:rFonts w:ascii="宋体" w:eastAsia="宋体"/>
    </w:rPr>
  </w:style>
  <w:style w:type="paragraph" w:customStyle="1" w:styleId="229">
    <w:name w:val="标准文件_附录二级无标题"/>
    <w:basedOn w:val="96"/>
    <w:qFormat/>
    <w:uiPriority w:val="0"/>
    <w:pPr>
      <w:spacing w:before="0" w:beforeLines="0" w:after="0" w:afterLines="0" w:line="276" w:lineRule="auto"/>
      <w:outlineLvl w:val="9"/>
    </w:pPr>
    <w:rPr>
      <w:rFonts w:ascii="宋体" w:eastAsia="宋体"/>
    </w:rPr>
  </w:style>
  <w:style w:type="paragraph" w:customStyle="1" w:styleId="230">
    <w:name w:val="标准文件_附录三级无标题"/>
    <w:basedOn w:val="98"/>
    <w:qFormat/>
    <w:uiPriority w:val="0"/>
    <w:pPr>
      <w:spacing w:before="0" w:beforeLines="0" w:after="0" w:afterLines="0" w:line="276" w:lineRule="auto"/>
      <w:outlineLvl w:val="9"/>
    </w:pPr>
    <w:rPr>
      <w:rFonts w:ascii="宋体" w:eastAsia="宋体"/>
    </w:rPr>
  </w:style>
  <w:style w:type="paragraph" w:customStyle="1" w:styleId="231">
    <w:name w:val="标准文件_附录四级无标题"/>
    <w:basedOn w:val="99"/>
    <w:qFormat/>
    <w:uiPriority w:val="0"/>
    <w:pPr>
      <w:spacing w:before="0" w:beforeLines="0" w:after="0" w:afterLines="0" w:line="276" w:lineRule="auto"/>
      <w:outlineLvl w:val="9"/>
    </w:pPr>
    <w:rPr>
      <w:rFonts w:ascii="宋体" w:eastAsia="宋体"/>
    </w:rPr>
  </w:style>
  <w:style w:type="paragraph" w:customStyle="1" w:styleId="232">
    <w:name w:val="标准文件_附录五级无标题"/>
    <w:basedOn w:val="101"/>
    <w:qFormat/>
    <w:uiPriority w:val="0"/>
    <w:pPr>
      <w:spacing w:before="0" w:beforeLines="0" w:after="0" w:afterLines="0" w:line="276" w:lineRule="auto"/>
      <w:outlineLvl w:val="9"/>
    </w:pPr>
    <w:rPr>
      <w:rFonts w:ascii="宋体" w:eastAsia="宋体"/>
    </w:rPr>
  </w:style>
  <w:style w:type="paragraph" w:customStyle="1" w:styleId="233">
    <w:name w:val="标准文件_引言一级无标题"/>
    <w:basedOn w:val="217"/>
    <w:next w:val="73"/>
    <w:qFormat/>
    <w:uiPriority w:val="0"/>
    <w:pPr>
      <w:spacing w:before="0" w:beforeLines="0" w:after="0" w:afterLines="0" w:line="276" w:lineRule="auto"/>
    </w:pPr>
    <w:rPr>
      <w:rFonts w:ascii="宋体" w:eastAsia="宋体"/>
    </w:rPr>
  </w:style>
  <w:style w:type="paragraph" w:customStyle="1" w:styleId="234">
    <w:name w:val="标准文件_引言二级无标题"/>
    <w:basedOn w:val="218"/>
    <w:next w:val="73"/>
    <w:qFormat/>
    <w:uiPriority w:val="0"/>
    <w:pPr>
      <w:spacing w:before="0" w:beforeLines="0" w:after="0" w:afterLines="0" w:line="276" w:lineRule="auto"/>
    </w:pPr>
    <w:rPr>
      <w:rFonts w:ascii="宋体" w:eastAsia="宋体"/>
    </w:rPr>
  </w:style>
  <w:style w:type="paragraph" w:customStyle="1" w:styleId="235">
    <w:name w:val="标准文件_引言三级无标题"/>
    <w:basedOn w:val="219"/>
    <w:next w:val="73"/>
    <w:qFormat/>
    <w:uiPriority w:val="0"/>
    <w:pPr>
      <w:spacing w:before="0" w:beforeLines="0" w:after="0" w:afterLines="0" w:line="276" w:lineRule="auto"/>
    </w:pPr>
    <w:rPr>
      <w:rFonts w:ascii="宋体" w:eastAsia="宋体"/>
    </w:rPr>
  </w:style>
  <w:style w:type="paragraph" w:customStyle="1" w:styleId="236">
    <w:name w:val="标准文件_引言四级无标题"/>
    <w:basedOn w:val="220"/>
    <w:next w:val="73"/>
    <w:qFormat/>
    <w:uiPriority w:val="0"/>
    <w:pPr>
      <w:spacing w:before="0" w:beforeLines="0" w:after="0" w:afterLines="0" w:line="276" w:lineRule="auto"/>
    </w:pPr>
    <w:rPr>
      <w:rFonts w:ascii="宋体" w:eastAsia="宋体"/>
    </w:rPr>
  </w:style>
  <w:style w:type="paragraph" w:customStyle="1" w:styleId="237">
    <w:name w:val="标准文件_引言五级无标题"/>
    <w:basedOn w:val="221"/>
    <w:next w:val="73"/>
    <w:qFormat/>
    <w:uiPriority w:val="0"/>
    <w:pPr>
      <w:spacing w:before="0" w:beforeLines="0" w:after="0" w:afterLines="0" w:line="276" w:lineRule="auto"/>
    </w:pPr>
    <w:rPr>
      <w:rFonts w:ascii="宋体" w:eastAsia="宋体"/>
    </w:rPr>
  </w:style>
  <w:style w:type="paragraph" w:customStyle="1" w:styleId="238">
    <w:name w:val="标准文件_索引标题"/>
    <w:basedOn w:val="80"/>
    <w:next w:val="73"/>
    <w:qFormat/>
    <w:uiPriority w:val="0"/>
    <w:rPr>
      <w:rFonts w:hAnsi="黑体"/>
    </w:rPr>
  </w:style>
  <w:style w:type="paragraph" w:customStyle="1" w:styleId="239">
    <w:name w:val="标准文件_脚注内容"/>
    <w:basedOn w:val="73"/>
    <w:qFormat/>
    <w:uiPriority w:val="0"/>
    <w:pPr>
      <w:ind w:left="400" w:leftChars="200" w:hanging="200" w:hangingChars="200"/>
    </w:pPr>
    <w:rPr>
      <w:sz w:val="15"/>
    </w:rPr>
  </w:style>
  <w:style w:type="paragraph" w:customStyle="1" w:styleId="240">
    <w:name w:val="标准文件_术语条一"/>
    <w:basedOn w:val="179"/>
    <w:next w:val="73"/>
    <w:qFormat/>
    <w:uiPriority w:val="0"/>
  </w:style>
  <w:style w:type="paragraph" w:customStyle="1" w:styleId="241">
    <w:name w:val="标准文件_术语条二"/>
    <w:basedOn w:val="182"/>
    <w:next w:val="73"/>
    <w:qFormat/>
    <w:uiPriority w:val="0"/>
  </w:style>
  <w:style w:type="paragraph" w:customStyle="1" w:styleId="242">
    <w:name w:val="标准文件_术语条三"/>
    <w:basedOn w:val="181"/>
    <w:next w:val="73"/>
    <w:qFormat/>
    <w:uiPriority w:val="0"/>
  </w:style>
  <w:style w:type="paragraph" w:customStyle="1" w:styleId="243">
    <w:name w:val="标准文件_术语条四"/>
    <w:basedOn w:val="184"/>
    <w:next w:val="73"/>
    <w:qFormat/>
    <w:uiPriority w:val="0"/>
  </w:style>
  <w:style w:type="paragraph" w:customStyle="1" w:styleId="244">
    <w:name w:val="标准文件_术语条五"/>
    <w:basedOn w:val="180"/>
    <w:next w:val="73"/>
    <w:qFormat/>
    <w:uiPriority w:val="0"/>
  </w:style>
  <w:style w:type="paragraph" w:customStyle="1" w:styleId="2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6">
    <w:name w:val="发布"/>
    <w:basedOn w:val="43"/>
    <w:qFormat/>
    <w:uiPriority w:val="0"/>
    <w:rPr>
      <w:rFonts w:ascii="黑体" w:eastAsia="黑体"/>
      <w:spacing w:val="85"/>
      <w:w w:val="100"/>
      <w:position w:val="3"/>
      <w:sz w:val="28"/>
      <w:szCs w:val="28"/>
    </w:rPr>
  </w:style>
  <w:style w:type="character" w:customStyle="1" w:styleId="247">
    <w:name w:val="文档结构图 Char"/>
    <w:basedOn w:val="43"/>
    <w:link w:val="16"/>
    <w:qFormat/>
    <w:uiPriority w:val="0"/>
    <w:rPr>
      <w:rFonts w:ascii="Times New Roman" w:hAnsi="Times New Roman"/>
      <w:kern w:val="2"/>
      <w:sz w:val="21"/>
      <w:szCs w:val="24"/>
      <w:shd w:val="clear" w:color="auto" w:fill="000080"/>
    </w:rPr>
  </w:style>
  <w:style w:type="character" w:customStyle="1" w:styleId="248">
    <w:name w:val="尾注文本 Char"/>
    <w:basedOn w:val="43"/>
    <w:link w:val="24"/>
    <w:qFormat/>
    <w:uiPriority w:val="0"/>
    <w:rPr>
      <w:rFonts w:ascii="Times New Roman" w:hAnsi="Times New Roman"/>
      <w:kern w:val="2"/>
      <w:sz w:val="21"/>
      <w:szCs w:val="24"/>
    </w:rPr>
  </w:style>
  <w:style w:type="paragraph" w:customStyle="1" w:styleId="249">
    <w:name w:val="段"/>
    <w:link w:val="2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0">
    <w:name w:val="段 Char"/>
    <w:basedOn w:val="43"/>
    <w:link w:val="249"/>
    <w:qFormat/>
    <w:uiPriority w:val="0"/>
    <w:rPr>
      <w:rFonts w:ascii="宋体" w:hAnsi="Times New Roman"/>
      <w:sz w:val="21"/>
    </w:rPr>
  </w:style>
  <w:style w:type="table" w:customStyle="1" w:styleId="251">
    <w:name w:val="网格型1"/>
    <w:basedOn w:val="41"/>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2">
    <w:name w:val="一级条标题"/>
    <w:next w:val="24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5">
    <w:name w:val="章标题"/>
    <w:next w:val="24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56">
    <w:name w:val="二级条标题"/>
    <w:basedOn w:val="252"/>
    <w:next w:val="249"/>
    <w:qFormat/>
    <w:uiPriority w:val="0"/>
    <w:pPr>
      <w:spacing w:before="50" w:after="50"/>
      <w:outlineLvl w:val="3"/>
    </w:pPr>
  </w:style>
  <w:style w:type="paragraph" w:customStyle="1" w:styleId="2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8">
    <w:name w:val="列项——（一级）"/>
    <w:qFormat/>
    <w:uiPriority w:val="0"/>
    <w:pPr>
      <w:widowControl w:val="0"/>
      <w:ind w:left="823" w:hanging="420"/>
      <w:jc w:val="both"/>
    </w:pPr>
    <w:rPr>
      <w:rFonts w:ascii="宋体" w:hAnsi="Times New Roman" w:eastAsia="宋体" w:cs="Times New Roman"/>
      <w:sz w:val="21"/>
      <w:lang w:val="en-US" w:eastAsia="zh-CN" w:bidi="ar-SA"/>
    </w:rPr>
  </w:style>
  <w:style w:type="paragraph" w:customStyle="1" w:styleId="259">
    <w:name w:val="列项●（二级）"/>
    <w:qFormat/>
    <w:uiPriority w:val="0"/>
    <w:pPr>
      <w:tabs>
        <w:tab w:val="left" w:pos="760"/>
        <w:tab w:val="left" w:pos="840"/>
      </w:tabs>
      <w:ind w:left="840" w:hanging="420"/>
      <w:jc w:val="both"/>
    </w:pPr>
    <w:rPr>
      <w:rFonts w:ascii="宋体" w:hAnsi="Times New Roman" w:eastAsia="宋体" w:cs="Times New Roman"/>
      <w:sz w:val="21"/>
      <w:lang w:val="en-US" w:eastAsia="zh-CN" w:bidi="ar-SA"/>
    </w:rPr>
  </w:style>
  <w:style w:type="paragraph" w:customStyle="1" w:styleId="260">
    <w:name w:val="目次、标准名称标题"/>
    <w:basedOn w:val="1"/>
    <w:next w:val="249"/>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61">
    <w:name w:val="三级条标题"/>
    <w:basedOn w:val="256"/>
    <w:next w:val="249"/>
    <w:qFormat/>
    <w:uiPriority w:val="0"/>
    <w:pPr>
      <w:outlineLvl w:val="4"/>
    </w:pPr>
  </w:style>
  <w:style w:type="paragraph" w:customStyle="1" w:styleId="262">
    <w:name w:val="示例"/>
    <w:next w:val="263"/>
    <w:qFormat/>
    <w:uiPriority w:val="0"/>
    <w:pPr>
      <w:widowControl w:val="0"/>
      <w:jc w:val="both"/>
    </w:pPr>
    <w:rPr>
      <w:rFonts w:ascii="宋体" w:hAnsi="Times New Roman" w:eastAsia="宋体" w:cs="Times New Roman"/>
      <w:sz w:val="18"/>
      <w:szCs w:val="18"/>
      <w:lang w:val="en-US" w:eastAsia="zh-CN" w:bidi="ar-SA"/>
    </w:rPr>
  </w:style>
  <w:style w:type="paragraph" w:customStyle="1" w:styleId="2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4">
    <w:name w:val="数字编号列项（二级）"/>
    <w:qFormat/>
    <w:uiPriority w:val="0"/>
    <w:pPr>
      <w:tabs>
        <w:tab w:val="left" w:pos="1260"/>
      </w:tabs>
      <w:jc w:val="both"/>
    </w:pPr>
    <w:rPr>
      <w:rFonts w:ascii="宋体" w:hAnsi="Times New Roman" w:eastAsia="宋体" w:cs="Times New Roman"/>
      <w:sz w:val="21"/>
      <w:lang w:val="en-US" w:eastAsia="zh-CN" w:bidi="ar-SA"/>
    </w:rPr>
  </w:style>
  <w:style w:type="paragraph" w:customStyle="1" w:styleId="265">
    <w:name w:val="四级条标题"/>
    <w:basedOn w:val="261"/>
    <w:next w:val="249"/>
    <w:qFormat/>
    <w:uiPriority w:val="0"/>
    <w:pPr>
      <w:outlineLvl w:val="5"/>
    </w:pPr>
  </w:style>
  <w:style w:type="paragraph" w:customStyle="1" w:styleId="266">
    <w:name w:val="五级条标题"/>
    <w:basedOn w:val="265"/>
    <w:next w:val="249"/>
    <w:qFormat/>
    <w:uiPriority w:val="0"/>
    <w:pPr>
      <w:outlineLvl w:val="6"/>
    </w:pPr>
  </w:style>
  <w:style w:type="paragraph" w:customStyle="1" w:styleId="267">
    <w:name w:val="注："/>
    <w:next w:val="249"/>
    <w:qFormat/>
    <w:uiPriority w:val="0"/>
    <w:pPr>
      <w:widowControl w:val="0"/>
      <w:autoSpaceDE w:val="0"/>
      <w:autoSpaceDN w:val="0"/>
      <w:ind w:left="794" w:hanging="397"/>
      <w:jc w:val="both"/>
    </w:pPr>
    <w:rPr>
      <w:rFonts w:ascii="宋体" w:hAnsi="Times New Roman" w:eastAsia="宋体" w:cs="Times New Roman"/>
      <w:sz w:val="18"/>
      <w:szCs w:val="18"/>
      <w:lang w:val="en-US" w:eastAsia="zh-CN" w:bidi="ar-SA"/>
    </w:rPr>
  </w:style>
  <w:style w:type="paragraph" w:customStyle="1" w:styleId="268">
    <w:name w:val="注×："/>
    <w:qFormat/>
    <w:uiPriority w:val="0"/>
    <w:pPr>
      <w:widowControl w:val="0"/>
      <w:autoSpaceDE w:val="0"/>
      <w:autoSpaceDN w:val="0"/>
      <w:ind w:left="1588"/>
      <w:jc w:val="both"/>
    </w:pPr>
    <w:rPr>
      <w:rFonts w:ascii="宋体" w:hAnsi="Times New Roman" w:eastAsia="宋体" w:cs="Times New Roman"/>
      <w:sz w:val="18"/>
      <w:szCs w:val="18"/>
      <w:lang w:val="en-US" w:eastAsia="zh-CN" w:bidi="ar-SA"/>
    </w:rPr>
  </w:style>
  <w:style w:type="paragraph" w:customStyle="1" w:styleId="269">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270">
    <w:name w:val="列项◆（三级）"/>
    <w:basedOn w:val="1"/>
    <w:qFormat/>
    <w:uiPriority w:val="0"/>
    <w:pPr>
      <w:tabs>
        <w:tab w:val="left" w:pos="1260"/>
        <w:tab w:val="left" w:pos="1678"/>
      </w:tabs>
      <w:adjustRightInd/>
      <w:spacing w:line="240" w:lineRule="auto"/>
      <w:ind w:left="1260" w:hanging="420"/>
    </w:pPr>
    <w:rPr>
      <w:rFonts w:ascii="宋体" w:hAnsi="Times New Roman"/>
    </w:rPr>
  </w:style>
  <w:style w:type="paragraph" w:customStyle="1" w:styleId="271">
    <w:name w:val="编号列项（三级）"/>
    <w:qFormat/>
    <w:uiPriority w:val="0"/>
    <w:rPr>
      <w:rFonts w:ascii="宋体" w:hAnsi="Times New Roman" w:eastAsia="宋体" w:cs="Times New Roman"/>
      <w:sz w:val="21"/>
      <w:lang w:val="en-US" w:eastAsia="zh-CN" w:bidi="ar-SA"/>
    </w:rPr>
  </w:style>
  <w:style w:type="paragraph" w:customStyle="1" w:styleId="272">
    <w:name w:val="示例×："/>
    <w:basedOn w:val="255"/>
    <w:qFormat/>
    <w:uiPriority w:val="0"/>
    <w:pPr>
      <w:tabs>
        <w:tab w:val="left" w:pos="845"/>
      </w:tabs>
      <w:spacing w:before="0" w:beforeLines="0" w:after="0" w:afterLines="0"/>
      <w:ind w:left="-102" w:firstLine="419"/>
      <w:outlineLvl w:val="9"/>
    </w:pPr>
    <w:rPr>
      <w:rFonts w:ascii="宋体" w:eastAsia="宋体"/>
      <w:sz w:val="18"/>
      <w:szCs w:val="18"/>
    </w:rPr>
  </w:style>
  <w:style w:type="paragraph" w:customStyle="1" w:styleId="273">
    <w:name w:val="二级无"/>
    <w:basedOn w:val="256"/>
    <w:qFormat/>
    <w:uiPriority w:val="0"/>
    <w:pPr>
      <w:spacing w:before="0" w:beforeLines="0" w:after="0" w:afterLines="0"/>
    </w:pPr>
    <w:rPr>
      <w:rFonts w:ascii="宋体" w:eastAsia="宋体"/>
    </w:rPr>
  </w:style>
  <w:style w:type="paragraph" w:customStyle="1" w:styleId="274">
    <w:name w:val="注：（正文）"/>
    <w:basedOn w:val="267"/>
    <w:next w:val="249"/>
    <w:qFormat/>
    <w:uiPriority w:val="0"/>
    <w:pPr>
      <w:tabs>
        <w:tab w:val="left" w:pos="760"/>
      </w:tabs>
      <w:ind w:left="760" w:hanging="284"/>
    </w:pPr>
  </w:style>
  <w:style w:type="paragraph" w:customStyle="1" w:styleId="275">
    <w:name w:val="注×：（正文）"/>
    <w:qFormat/>
    <w:uiPriority w:val="0"/>
    <w:pPr>
      <w:jc w:val="both"/>
    </w:pPr>
    <w:rPr>
      <w:rFonts w:ascii="宋体" w:hAnsi="Times New Roman" w:eastAsia="宋体" w:cs="Times New Roman"/>
      <w:sz w:val="18"/>
      <w:szCs w:val="18"/>
      <w:lang w:val="en-US" w:eastAsia="zh-CN" w:bidi="ar-SA"/>
    </w:rPr>
  </w:style>
  <w:style w:type="paragraph" w:customStyle="1" w:styleId="2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77">
    <w:name w:val="标准书眉_偶数页"/>
    <w:basedOn w:val="254"/>
    <w:next w:val="1"/>
    <w:qFormat/>
    <w:uiPriority w:val="0"/>
    <w:pPr>
      <w:jc w:val="left"/>
    </w:pPr>
  </w:style>
  <w:style w:type="paragraph" w:customStyle="1" w:styleId="278">
    <w:name w:val="参考文献"/>
    <w:basedOn w:val="1"/>
    <w:next w:val="249"/>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79">
    <w:name w:val="参考文献、索引标题"/>
    <w:basedOn w:val="1"/>
    <w:next w:val="249"/>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1">
    <w:name w:val="附录标识"/>
    <w:basedOn w:val="1"/>
    <w:next w:val="249"/>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82">
    <w:name w:val="附录标题"/>
    <w:basedOn w:val="249"/>
    <w:next w:val="249"/>
    <w:qFormat/>
    <w:uiPriority w:val="0"/>
    <w:pPr>
      <w:ind w:firstLine="0" w:firstLineChars="0"/>
      <w:jc w:val="center"/>
    </w:pPr>
    <w:rPr>
      <w:rFonts w:ascii="黑体" w:eastAsia="黑体"/>
    </w:rPr>
  </w:style>
  <w:style w:type="paragraph" w:customStyle="1" w:styleId="283">
    <w:name w:val="附录表标号"/>
    <w:basedOn w:val="1"/>
    <w:next w:val="249"/>
    <w:qFormat/>
    <w:uiPriority w:val="0"/>
    <w:pPr>
      <w:adjustRightInd/>
      <w:spacing w:line="14" w:lineRule="exact"/>
      <w:ind w:left="811" w:hanging="448"/>
      <w:jc w:val="center"/>
      <w:outlineLvl w:val="0"/>
    </w:pPr>
    <w:rPr>
      <w:rFonts w:ascii="Times New Roman" w:hAnsi="Times New Roman"/>
      <w:color w:val="FFFFFF"/>
      <w:szCs w:val="24"/>
    </w:rPr>
  </w:style>
  <w:style w:type="paragraph" w:customStyle="1" w:styleId="284">
    <w:name w:val="附录表标题"/>
    <w:basedOn w:val="1"/>
    <w:next w:val="249"/>
    <w:qFormat/>
    <w:uiPriority w:val="0"/>
    <w:pPr>
      <w:tabs>
        <w:tab w:val="left" w:pos="180"/>
      </w:tabs>
      <w:adjustRightInd/>
      <w:spacing w:before="50" w:beforeLines="50" w:after="50" w:afterLines="50" w:line="240" w:lineRule="auto"/>
      <w:jc w:val="center"/>
    </w:pPr>
    <w:rPr>
      <w:rFonts w:ascii="黑体" w:hAnsi="Times New Roman" w:eastAsia="黑体"/>
    </w:rPr>
  </w:style>
  <w:style w:type="paragraph" w:customStyle="1" w:styleId="285">
    <w:name w:val="附录二级条标题"/>
    <w:basedOn w:val="1"/>
    <w:next w:val="249"/>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86">
    <w:name w:val="附录二级无"/>
    <w:basedOn w:val="285"/>
    <w:uiPriority w:val="0"/>
    <w:pPr>
      <w:tabs>
        <w:tab w:val="clear" w:pos="360"/>
      </w:tabs>
      <w:spacing w:before="0" w:beforeLines="0" w:after="0" w:afterLines="0"/>
    </w:pPr>
    <w:rPr>
      <w:rFonts w:ascii="宋体" w:eastAsia="宋体"/>
      <w:szCs w:val="21"/>
    </w:rPr>
  </w:style>
  <w:style w:type="paragraph" w:customStyle="1" w:styleId="287">
    <w:name w:val="附录公式"/>
    <w:basedOn w:val="249"/>
    <w:next w:val="249"/>
    <w:link w:val="288"/>
    <w:qFormat/>
    <w:uiPriority w:val="0"/>
  </w:style>
  <w:style w:type="character" w:customStyle="1" w:styleId="288">
    <w:name w:val="附录公式 Char"/>
    <w:basedOn w:val="250"/>
    <w:link w:val="287"/>
    <w:qFormat/>
    <w:uiPriority w:val="0"/>
    <w:rPr>
      <w:rFonts w:ascii="宋体" w:hAnsi="Times New Roman"/>
      <w:sz w:val="21"/>
    </w:rPr>
  </w:style>
  <w:style w:type="paragraph" w:customStyle="1" w:styleId="289">
    <w:name w:val="附录公式编号制表符"/>
    <w:basedOn w:val="1"/>
    <w:next w:val="249"/>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90">
    <w:name w:val="附录三级条标题"/>
    <w:basedOn w:val="285"/>
    <w:next w:val="249"/>
    <w:qFormat/>
    <w:uiPriority w:val="0"/>
    <w:pPr>
      <w:outlineLvl w:val="4"/>
    </w:pPr>
  </w:style>
  <w:style w:type="paragraph" w:customStyle="1" w:styleId="291">
    <w:name w:val="附录三级无"/>
    <w:basedOn w:val="290"/>
    <w:qFormat/>
    <w:uiPriority w:val="0"/>
    <w:pPr>
      <w:tabs>
        <w:tab w:val="clear" w:pos="360"/>
      </w:tabs>
      <w:spacing w:before="0" w:beforeLines="0" w:after="0" w:afterLines="0"/>
    </w:pPr>
    <w:rPr>
      <w:rFonts w:ascii="宋体" w:eastAsia="宋体"/>
      <w:szCs w:val="21"/>
    </w:rPr>
  </w:style>
  <w:style w:type="paragraph" w:customStyle="1" w:styleId="292">
    <w:name w:val="附录数字编号列项（二级）"/>
    <w:qFormat/>
    <w:uiPriority w:val="0"/>
    <w:pPr>
      <w:tabs>
        <w:tab w:val="left" w:pos="840"/>
      </w:tabs>
    </w:pPr>
    <w:rPr>
      <w:rFonts w:ascii="宋体" w:hAnsi="Times New Roman" w:eastAsia="宋体" w:cs="Times New Roman"/>
      <w:sz w:val="21"/>
      <w:lang w:val="en-US" w:eastAsia="zh-CN" w:bidi="ar-SA"/>
    </w:rPr>
  </w:style>
  <w:style w:type="paragraph" w:customStyle="1" w:styleId="293">
    <w:name w:val="附录四级条标题"/>
    <w:basedOn w:val="290"/>
    <w:next w:val="249"/>
    <w:qFormat/>
    <w:uiPriority w:val="0"/>
    <w:pPr>
      <w:outlineLvl w:val="5"/>
    </w:pPr>
  </w:style>
  <w:style w:type="paragraph" w:customStyle="1" w:styleId="294">
    <w:name w:val="附录四级无"/>
    <w:basedOn w:val="293"/>
    <w:qFormat/>
    <w:uiPriority w:val="0"/>
    <w:pPr>
      <w:tabs>
        <w:tab w:val="clear" w:pos="360"/>
      </w:tabs>
      <w:spacing w:before="0" w:beforeLines="0" w:after="0" w:afterLines="0"/>
    </w:pPr>
    <w:rPr>
      <w:rFonts w:ascii="宋体" w:eastAsia="宋体"/>
      <w:szCs w:val="21"/>
    </w:rPr>
  </w:style>
  <w:style w:type="paragraph" w:customStyle="1" w:styleId="295">
    <w:name w:val="附录图标号"/>
    <w:basedOn w:val="1"/>
    <w:qFormat/>
    <w:uiPriority w:val="0"/>
    <w:pPr>
      <w:keepNext/>
      <w:pageBreakBefore/>
      <w:widowControl/>
      <w:tabs>
        <w:tab w:val="left" w:pos="330"/>
      </w:tabs>
      <w:adjustRightInd/>
      <w:spacing w:line="14" w:lineRule="exact"/>
      <w:ind w:firstLine="363"/>
      <w:jc w:val="center"/>
      <w:outlineLvl w:val="0"/>
    </w:pPr>
    <w:rPr>
      <w:rFonts w:ascii="Times New Roman" w:hAnsi="Times New Roman"/>
      <w:color w:val="FFFFFF"/>
      <w:szCs w:val="24"/>
    </w:rPr>
  </w:style>
  <w:style w:type="paragraph" w:customStyle="1" w:styleId="296">
    <w:name w:val="附录图标题"/>
    <w:basedOn w:val="1"/>
    <w:next w:val="249"/>
    <w:qFormat/>
    <w:uiPriority w:val="0"/>
    <w:pPr>
      <w:tabs>
        <w:tab w:val="left" w:pos="363"/>
        <w:tab w:val="left" w:pos="840"/>
      </w:tabs>
      <w:adjustRightInd/>
      <w:spacing w:before="50" w:beforeLines="50" w:after="50" w:afterLines="50" w:line="240" w:lineRule="auto"/>
      <w:jc w:val="center"/>
    </w:pPr>
    <w:rPr>
      <w:rFonts w:ascii="黑体" w:hAnsi="Times New Roman" w:eastAsia="黑体"/>
    </w:rPr>
  </w:style>
  <w:style w:type="paragraph" w:customStyle="1" w:styleId="297">
    <w:name w:val="附录五级条标题"/>
    <w:basedOn w:val="293"/>
    <w:next w:val="249"/>
    <w:qFormat/>
    <w:uiPriority w:val="0"/>
    <w:pPr>
      <w:outlineLvl w:val="6"/>
    </w:pPr>
  </w:style>
  <w:style w:type="paragraph" w:customStyle="1" w:styleId="298">
    <w:name w:val="附录五级无"/>
    <w:basedOn w:val="297"/>
    <w:qFormat/>
    <w:uiPriority w:val="0"/>
    <w:pPr>
      <w:tabs>
        <w:tab w:val="clear" w:pos="360"/>
      </w:tabs>
      <w:spacing w:before="0" w:beforeLines="0" w:after="0" w:afterLines="0"/>
    </w:pPr>
    <w:rPr>
      <w:rFonts w:ascii="宋体" w:eastAsia="宋体"/>
      <w:szCs w:val="21"/>
    </w:rPr>
  </w:style>
  <w:style w:type="paragraph" w:customStyle="1" w:styleId="299">
    <w:name w:val="附录章标题"/>
    <w:next w:val="249"/>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0">
    <w:name w:val="附录一级条标题"/>
    <w:basedOn w:val="299"/>
    <w:next w:val="249"/>
    <w:qFormat/>
    <w:uiPriority w:val="0"/>
    <w:pPr>
      <w:autoSpaceDN w:val="0"/>
      <w:spacing w:before="50" w:beforeLines="50" w:after="50" w:afterLines="50"/>
      <w:outlineLvl w:val="2"/>
    </w:pPr>
  </w:style>
  <w:style w:type="paragraph" w:customStyle="1" w:styleId="301">
    <w:name w:val="附录一级无"/>
    <w:basedOn w:val="300"/>
    <w:qFormat/>
    <w:uiPriority w:val="0"/>
    <w:pPr>
      <w:tabs>
        <w:tab w:val="clear" w:pos="360"/>
      </w:tabs>
      <w:spacing w:before="0" w:beforeLines="0" w:after="0" w:afterLines="0"/>
    </w:pPr>
    <w:rPr>
      <w:rFonts w:ascii="宋体" w:eastAsia="宋体"/>
      <w:szCs w:val="21"/>
    </w:rPr>
  </w:style>
  <w:style w:type="paragraph" w:customStyle="1" w:styleId="302">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303">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5">
    <w:name w:val="其他标准标志"/>
    <w:basedOn w:val="66"/>
    <w:qFormat/>
    <w:uiPriority w:val="0"/>
    <w:pPr>
      <w:framePr w:w="6101" w:h="1389" w:hRule="exact" w:hSpace="181" w:vSpace="181" w:wrap="around" w:vAnchor="page" w:hAnchor="page" w:x="4673" w:y="942"/>
    </w:pPr>
    <w:rPr>
      <w:szCs w:val="96"/>
    </w:rPr>
  </w:style>
  <w:style w:type="paragraph" w:customStyle="1" w:styleId="306">
    <w:name w:val="前言、引言标题"/>
    <w:next w:val="24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7">
    <w:name w:val="三级无"/>
    <w:basedOn w:val="261"/>
    <w:qFormat/>
    <w:uiPriority w:val="0"/>
    <w:pPr>
      <w:spacing w:before="0" w:beforeLines="0" w:after="0" w:afterLines="0"/>
    </w:pPr>
    <w:rPr>
      <w:rFonts w:ascii="宋体" w:eastAsia="宋体"/>
    </w:rPr>
  </w:style>
  <w:style w:type="paragraph" w:customStyle="1" w:styleId="308">
    <w:name w:val="示例后文字"/>
    <w:basedOn w:val="249"/>
    <w:next w:val="249"/>
    <w:qFormat/>
    <w:uiPriority w:val="0"/>
    <w:pPr>
      <w:ind w:firstLine="360"/>
    </w:pPr>
    <w:rPr>
      <w:sz w:val="18"/>
    </w:rPr>
  </w:style>
  <w:style w:type="paragraph" w:customStyle="1" w:styleId="309">
    <w:name w:val="首示例"/>
    <w:next w:val="249"/>
    <w:link w:val="310"/>
    <w:qFormat/>
    <w:uiPriority w:val="0"/>
    <w:pPr>
      <w:tabs>
        <w:tab w:val="left" w:pos="360"/>
      </w:tabs>
    </w:pPr>
    <w:rPr>
      <w:rFonts w:ascii="宋体" w:hAnsi="宋体" w:eastAsia="宋体" w:cs="Times New Roman"/>
      <w:kern w:val="2"/>
      <w:sz w:val="18"/>
      <w:szCs w:val="18"/>
      <w:lang w:val="en-US" w:eastAsia="zh-CN" w:bidi="ar-SA"/>
    </w:rPr>
  </w:style>
  <w:style w:type="character" w:customStyle="1" w:styleId="310">
    <w:name w:val="首示例 Char"/>
    <w:basedOn w:val="43"/>
    <w:link w:val="309"/>
    <w:qFormat/>
    <w:uiPriority w:val="0"/>
    <w:rPr>
      <w:rFonts w:ascii="宋体" w:hAnsi="宋体"/>
      <w:kern w:val="2"/>
      <w:sz w:val="18"/>
      <w:szCs w:val="18"/>
    </w:rPr>
  </w:style>
  <w:style w:type="paragraph" w:customStyle="1" w:styleId="311">
    <w:name w:val="四级无"/>
    <w:basedOn w:val="265"/>
    <w:qFormat/>
    <w:uiPriority w:val="0"/>
    <w:pPr>
      <w:spacing w:before="0" w:beforeLines="0" w:after="0" w:afterLines="0"/>
    </w:pPr>
    <w:rPr>
      <w:rFonts w:ascii="宋体" w:eastAsia="宋体"/>
    </w:rPr>
  </w:style>
  <w:style w:type="paragraph" w:customStyle="1" w:styleId="312">
    <w:name w:val="条文脚注"/>
    <w:basedOn w:val="32"/>
    <w:qFormat/>
    <w:uiPriority w:val="0"/>
    <w:pPr>
      <w:spacing w:line="240" w:lineRule="auto"/>
      <w:ind w:left="0" w:leftChars="0" w:firstLine="0" w:firstLineChars="0"/>
      <w:jc w:val="both"/>
    </w:pPr>
    <w:rPr>
      <w:rFonts w:hAnsi="Times New Roman"/>
    </w:rPr>
  </w:style>
  <w:style w:type="paragraph" w:customStyle="1" w:styleId="313">
    <w:name w:val="图标脚注说明"/>
    <w:basedOn w:val="249"/>
    <w:qFormat/>
    <w:uiPriority w:val="0"/>
    <w:pPr>
      <w:ind w:left="840" w:hanging="420" w:firstLineChars="0"/>
    </w:pPr>
    <w:rPr>
      <w:sz w:val="18"/>
      <w:szCs w:val="18"/>
    </w:rPr>
  </w:style>
  <w:style w:type="paragraph" w:customStyle="1" w:styleId="314">
    <w:name w:val="图的脚注"/>
    <w:next w:val="24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15">
    <w:name w:val="五级无"/>
    <w:basedOn w:val="266"/>
    <w:qFormat/>
    <w:uiPriority w:val="0"/>
    <w:pPr>
      <w:spacing w:before="0" w:beforeLines="0" w:after="0" w:afterLines="0"/>
    </w:pPr>
    <w:rPr>
      <w:rFonts w:ascii="宋体" w:eastAsia="宋体"/>
    </w:rPr>
  </w:style>
  <w:style w:type="paragraph" w:customStyle="1" w:styleId="316">
    <w:name w:val="一级无"/>
    <w:basedOn w:val="252"/>
    <w:qFormat/>
    <w:uiPriority w:val="0"/>
    <w:pPr>
      <w:spacing w:before="0" w:beforeLines="0" w:after="0" w:afterLines="0"/>
    </w:pPr>
    <w:rPr>
      <w:rFonts w:ascii="宋体" w:eastAsia="宋体"/>
    </w:rPr>
  </w:style>
  <w:style w:type="paragraph" w:customStyle="1" w:styleId="317">
    <w:name w:val="正文表标题"/>
    <w:next w:val="249"/>
    <w:qFormat/>
    <w:uiPriority w:val="0"/>
    <w:pPr>
      <w:tabs>
        <w:tab w:val="left" w:pos="360"/>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318">
    <w:name w:val="正文公式编号制表符"/>
    <w:basedOn w:val="249"/>
    <w:next w:val="249"/>
    <w:qFormat/>
    <w:uiPriority w:val="0"/>
    <w:pPr>
      <w:ind w:firstLine="0" w:firstLineChars="0"/>
    </w:pPr>
  </w:style>
  <w:style w:type="paragraph" w:customStyle="1" w:styleId="319">
    <w:name w:val="正文图标题"/>
    <w:next w:val="249"/>
    <w:qFormat/>
    <w:uiPriority w:val="0"/>
    <w:pPr>
      <w:spacing w:before="156" w:beforeLines="50" w:after="156" w:afterLines="50"/>
      <w:ind w:left="420" w:hanging="420"/>
      <w:jc w:val="center"/>
    </w:pPr>
    <w:rPr>
      <w:rFonts w:ascii="黑体" w:hAnsi="Times New Roman" w:eastAsia="黑体" w:cs="Times New Roman"/>
      <w:sz w:val="21"/>
      <w:lang w:val="en-US" w:eastAsia="zh-CN" w:bidi="ar-SA"/>
    </w:rPr>
  </w:style>
  <w:style w:type="paragraph" w:customStyle="1" w:styleId="320">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21">
    <w:name w:val="封面标准名称2"/>
    <w:basedOn w:val="139"/>
    <w:qFormat/>
    <w:uiPriority w:val="0"/>
    <w:pPr>
      <w:framePr w:w="9639" w:wrap="around" w:vAnchor="page" w:hAnchor="page" w:y="4469"/>
      <w:spacing w:before="630" w:beforeLines="630"/>
    </w:pPr>
  </w:style>
  <w:style w:type="paragraph" w:customStyle="1" w:styleId="322">
    <w:name w:val="封面标准英文名称2"/>
    <w:basedOn w:val="142"/>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3">
    <w:name w:val="封面一致性程度标识2"/>
    <w:basedOn w:val="143"/>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24">
    <w:name w:val="封面标准文稿类别2"/>
    <w:basedOn w:val="141"/>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25">
    <w:name w:val="封面标准文稿编辑信息2"/>
    <w:basedOn w:val="140"/>
    <w:qFormat/>
    <w:uiPriority w:val="0"/>
    <w:pPr>
      <w:framePr w:w="9639" w:h="6917" w:hRule="exact" w:wrap="around" w:vAnchor="page" w:hAnchor="page" w:xAlign="center" w:y="4469" w:anchorLock="1"/>
      <w:widowControl w:val="0"/>
      <w:spacing w:after="160"/>
      <w:textAlignment w:val="center"/>
    </w:pPr>
    <w:rPr>
      <w:szCs w:val="28"/>
    </w:rPr>
  </w:style>
  <w:style w:type="character" w:customStyle="1" w:styleId="326">
    <w:name w:val="font81"/>
    <w:qFormat/>
    <w:uiPriority w:val="0"/>
    <w:rPr>
      <w:rFonts w:hint="default" w:ascii="Times New Roman" w:hAnsi="Times New Roman" w:cs="Times New Roman"/>
      <w:color w:val="000000"/>
      <w:sz w:val="18"/>
      <w:szCs w:val="18"/>
      <w:u w:val="none"/>
    </w:rPr>
  </w:style>
  <w:style w:type="paragraph" w:styleId="327">
    <w:name w:val="List Paragraph"/>
    <w:basedOn w:val="1"/>
    <w:qFormat/>
    <w:uiPriority w:val="34"/>
    <w:pPr>
      <w:adjustRightInd/>
      <w:spacing w:line="240" w:lineRule="auto"/>
      <w:ind w:firstLine="420" w:firstLineChars="200"/>
    </w:pPr>
    <w:rPr>
      <w:rFonts w:ascii="等线" w:hAnsi="等线" w:eastAsia="等线"/>
      <w:szCs w:val="22"/>
    </w:rPr>
  </w:style>
  <w:style w:type="table" w:customStyle="1" w:styleId="328">
    <w:name w:val="网格型2"/>
    <w:basedOn w:val="41"/>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5C22442469464B8893ECD2E9118A60"/>
        <w:style w:val=""/>
        <w:category>
          <w:name w:val="常规"/>
          <w:gallery w:val="placeholder"/>
        </w:category>
        <w:types>
          <w:type w:val="bbPlcHdr"/>
        </w:types>
        <w:behaviors>
          <w:behavior w:val="content"/>
        </w:behaviors>
        <w:description w:val=""/>
        <w:guid w:val="{3BD8280D-BE21-4A18-A950-343965988505}"/>
      </w:docPartPr>
      <w:docPartBody>
        <w:p>
          <w:pPr>
            <w:pStyle w:val="5"/>
          </w:pPr>
          <w:r>
            <w:rPr>
              <w:rStyle w:val="4"/>
              <w:rFonts w:hint="eastAsia"/>
            </w:rPr>
            <w:t>单击或点击此处输入文字。</w:t>
          </w:r>
        </w:p>
      </w:docPartBody>
    </w:docPart>
    <w:docPart>
      <w:docPartPr>
        <w:name w:val="9A6860DA6CEB463AA38AD90F8105AB11"/>
        <w:style w:val=""/>
        <w:category>
          <w:name w:val="常规"/>
          <w:gallery w:val="placeholder"/>
        </w:category>
        <w:types>
          <w:type w:val="bbPlcHdr"/>
        </w:types>
        <w:behaviors>
          <w:behavior w:val="content"/>
        </w:behaviors>
        <w:description w:val=""/>
        <w:guid w:val="{0BABD5E9-F7B1-40AC-A061-80A060ABB2D5}"/>
      </w:docPartPr>
      <w:docPartBody>
        <w:p>
          <w:pPr>
            <w:pStyle w:val="6"/>
          </w:pPr>
          <w:r>
            <w:rPr>
              <w:rStyle w:val="4"/>
              <w:rFonts w:hint="eastAsia"/>
            </w:rPr>
            <w:t>选择一项。</w:t>
          </w:r>
        </w:p>
      </w:docPartBody>
    </w:docPart>
    <w:docPart>
      <w:docPartPr>
        <w:name w:val="C5577A5A593445DDB7D0D97C7C416250"/>
        <w:style w:val=""/>
        <w:category>
          <w:name w:val="常规"/>
          <w:gallery w:val="placeholder"/>
        </w:category>
        <w:types>
          <w:type w:val="bbPlcHdr"/>
        </w:types>
        <w:behaviors>
          <w:behavior w:val="content"/>
        </w:behaviors>
        <w:description w:val=""/>
        <w:guid w:val="{46C5BECF-5BDB-493E-8C5D-0F98C39473A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9A"/>
    <w:rsid w:val="00116D2F"/>
    <w:rsid w:val="001548C1"/>
    <w:rsid w:val="001E4F9A"/>
    <w:rsid w:val="0021200A"/>
    <w:rsid w:val="00463CEB"/>
    <w:rsid w:val="00543A19"/>
    <w:rsid w:val="005B1587"/>
    <w:rsid w:val="00630EEE"/>
    <w:rsid w:val="007A2CA8"/>
    <w:rsid w:val="008102A9"/>
    <w:rsid w:val="009A2D2D"/>
    <w:rsid w:val="00B56130"/>
    <w:rsid w:val="00B74146"/>
    <w:rsid w:val="00C7735C"/>
    <w:rsid w:val="00CE5ADA"/>
    <w:rsid w:val="00D9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A5C22442469464B8893ECD2E9118A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A6860DA6CEB463AA38AD90F8105AB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5577A5A593445DDB7D0D97C7C41625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3B0F3-3354-4FAA-8698-DB7EB8012B9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20</Pages>
  <Words>11289</Words>
  <Characters>11654</Characters>
  <Lines>101</Lines>
  <Paragraphs>28</Paragraphs>
  <TotalTime>95</TotalTime>
  <ScaleCrop>false</ScaleCrop>
  <LinksUpToDate>false</LinksUpToDate>
  <CharactersWithSpaces>11813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2021-10-13T08:22:00Z</dcterms:created>
  <dc:creator>伍官灵</dc:creator>
  <dc:description>&lt;config cover="true" show_menu="true" version="1.0.0" doctype="SDKXY"&gt;_x000d_
&lt;/config&gt;</dc:description>
  <cp:lastModifiedBy>Leseul</cp:lastModifiedBy>
  <cp:lastPrinted>2021-02-02T08:22:00Z</cp:lastPrinted>
  <dcterms:modified xsi:type="dcterms:W3CDTF">2021-10-19T05:32:23Z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D4FBF4CFF33640F7A7D9FA3B4FC95A5D</vt:lpwstr>
  </property>
</Properties>
</file>