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ascii="Arial" w:hAnsi="Arial" w:eastAsia="宋体" w:cs="Arial"/>
          <w:color w:val="000000"/>
          <w:kern w:val="0"/>
          <w:sz w:val="37"/>
          <w:szCs w:val="37"/>
        </w:rPr>
      </w:pPr>
      <w:r>
        <w:rPr>
          <w:rFonts w:ascii="Arial" w:hAnsi="Arial" w:eastAsia="宋体" w:cs="Arial"/>
          <w:color w:val="000000"/>
          <w:kern w:val="0"/>
          <w:sz w:val="37"/>
          <w:szCs w:val="37"/>
        </w:rPr>
        <w:t>广东省</w:t>
      </w:r>
      <w:r>
        <w:rPr>
          <w:rFonts w:hint="eastAsia" w:ascii="Arial" w:hAnsi="Arial" w:eastAsia="宋体" w:cs="Arial"/>
          <w:color w:val="000000"/>
          <w:kern w:val="0"/>
          <w:sz w:val="37"/>
          <w:szCs w:val="37"/>
        </w:rPr>
        <w:t>农药</w:t>
      </w:r>
      <w:r>
        <w:rPr>
          <w:rFonts w:ascii="Arial" w:hAnsi="Arial" w:eastAsia="宋体" w:cs="Arial"/>
          <w:color w:val="000000"/>
          <w:kern w:val="0"/>
          <w:sz w:val="37"/>
          <w:szCs w:val="37"/>
        </w:rPr>
        <w:t>协会</w:t>
      </w:r>
      <w:r>
        <w:rPr>
          <w:rFonts w:hint="eastAsia" w:ascii="Arial" w:hAnsi="Arial" w:eastAsia="宋体" w:cs="Arial"/>
          <w:color w:val="000000"/>
          <w:kern w:val="0"/>
          <w:sz w:val="37"/>
          <w:szCs w:val="37"/>
        </w:rPr>
        <w:t>团体</w:t>
      </w:r>
      <w:r>
        <w:rPr>
          <w:rFonts w:ascii="Arial" w:hAnsi="Arial" w:eastAsia="宋体" w:cs="Arial"/>
          <w:color w:val="000000"/>
          <w:kern w:val="0"/>
          <w:sz w:val="37"/>
          <w:szCs w:val="37"/>
        </w:rPr>
        <w:t>标准制修订立项申请</w:t>
      </w:r>
      <w:r>
        <w:rPr>
          <w:rFonts w:hint="eastAsia" w:ascii="Arial" w:hAnsi="Arial" w:eastAsia="宋体" w:cs="Arial"/>
          <w:color w:val="000000"/>
          <w:kern w:val="0"/>
          <w:sz w:val="37"/>
          <w:szCs w:val="37"/>
        </w:rPr>
        <w:t>表</w:t>
      </w:r>
    </w:p>
    <w:tbl>
      <w:tblPr>
        <w:tblStyle w:val="4"/>
        <w:tblW w:w="921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032"/>
        <w:gridCol w:w="302"/>
        <w:gridCol w:w="928"/>
        <w:gridCol w:w="611"/>
        <w:gridCol w:w="426"/>
        <w:gridCol w:w="847"/>
        <w:gridCol w:w="853"/>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38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项目</w:t>
            </w:r>
            <w:r>
              <w:rPr>
                <w:rFonts w:ascii="Arial" w:hAnsi="Arial" w:eastAsia="宋体" w:cs="Arial"/>
                <w:color w:val="000000"/>
                <w:kern w:val="0"/>
                <w:sz w:val="24"/>
                <w:szCs w:val="24"/>
              </w:rPr>
              <w:t>名称</w:t>
            </w:r>
          </w:p>
        </w:tc>
        <w:tc>
          <w:tcPr>
            <w:tcW w:w="7834" w:type="dxa"/>
            <w:gridSpan w:val="9"/>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甘薯贮藏管理技术规程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1" w:type="dxa"/>
            <w:vAlign w:val="center"/>
          </w:tcPr>
          <w:p>
            <w:pPr>
              <w:widowControl/>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制定</w:t>
            </w:r>
            <w:r>
              <w:rPr>
                <w:rFonts w:ascii="Arial" w:hAnsi="Arial" w:eastAsia="宋体" w:cs="Arial"/>
                <w:color w:val="000000"/>
                <w:kern w:val="0"/>
                <w:sz w:val="24"/>
                <w:szCs w:val="24"/>
              </w:rPr>
              <w:t>或</w:t>
            </w:r>
          </w:p>
          <w:p>
            <w:pPr>
              <w:widowControl/>
              <w:spacing w:line="360" w:lineRule="auto"/>
              <w:jc w:val="center"/>
              <w:rPr>
                <w:rFonts w:ascii="Arial" w:hAnsi="Arial" w:eastAsia="宋体" w:cs="Arial"/>
                <w:color w:val="000000"/>
                <w:kern w:val="0"/>
                <w:sz w:val="24"/>
                <w:szCs w:val="24"/>
              </w:rPr>
            </w:pPr>
            <w:r>
              <w:rPr>
                <w:rFonts w:ascii="Arial" w:hAnsi="Arial" w:eastAsia="宋体" w:cs="Arial"/>
                <w:color w:val="000000"/>
                <w:kern w:val="0"/>
                <w:sz w:val="24"/>
                <w:szCs w:val="24"/>
              </w:rPr>
              <w:t>修</w:t>
            </w:r>
            <w:r>
              <w:rPr>
                <w:rFonts w:hint="eastAsia" w:ascii="Arial" w:hAnsi="Arial" w:eastAsia="宋体" w:cs="Arial"/>
                <w:color w:val="000000"/>
                <w:kern w:val="0"/>
                <w:sz w:val="24"/>
                <w:szCs w:val="24"/>
              </w:rPr>
              <w:t>订</w:t>
            </w:r>
          </w:p>
        </w:tc>
        <w:tc>
          <w:tcPr>
            <w:tcW w:w="1334" w:type="dxa"/>
            <w:gridSpan w:val="2"/>
            <w:vAlign w:val="center"/>
          </w:tcPr>
          <w:p>
            <w:pPr>
              <w:widowControl/>
              <w:spacing w:line="360" w:lineRule="auto"/>
              <w:rPr>
                <w:rFonts w:ascii="Arial" w:hAnsi="Arial" w:eastAsia="宋体" w:cs="Arial"/>
                <w:color w:val="000000"/>
                <w:kern w:val="0"/>
                <w:sz w:val="24"/>
                <w:szCs w:val="24"/>
              </w:rPr>
            </w:pPr>
            <w:r>
              <w:rPr>
                <w:rFonts w:hint="eastAsia" w:ascii="宋体" w:hAnsi="宋体" w:eastAsia="宋体" w:cs="Arial"/>
                <w:color w:val="000000"/>
                <w:kern w:val="0"/>
                <w:sz w:val="24"/>
                <w:szCs w:val="24"/>
              </w:rPr>
              <w:t>■</w:t>
            </w:r>
            <w:r>
              <w:rPr>
                <w:rFonts w:hint="eastAsia" w:ascii="Arial" w:hAnsi="Arial" w:eastAsia="宋体" w:cs="Arial"/>
                <w:color w:val="000000"/>
                <w:kern w:val="0"/>
                <w:sz w:val="24"/>
                <w:szCs w:val="24"/>
              </w:rPr>
              <w:t xml:space="preserve"> 制</w:t>
            </w:r>
            <w:r>
              <w:rPr>
                <w:rFonts w:ascii="Arial" w:hAnsi="Arial" w:eastAsia="宋体" w:cs="Arial"/>
                <w:color w:val="000000"/>
                <w:kern w:val="0"/>
                <w:sz w:val="24"/>
                <w:szCs w:val="24"/>
              </w:rPr>
              <w:t>定</w:t>
            </w:r>
          </w:p>
        </w:tc>
        <w:tc>
          <w:tcPr>
            <w:tcW w:w="1539" w:type="dxa"/>
            <w:gridSpan w:val="2"/>
            <w:vAlign w:val="center"/>
          </w:tcPr>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rPr>
              <w:t>□ 修订</w:t>
            </w:r>
          </w:p>
        </w:tc>
        <w:tc>
          <w:tcPr>
            <w:tcW w:w="2126" w:type="dxa"/>
            <w:gridSpan w:val="3"/>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被</w:t>
            </w:r>
            <w:r>
              <w:rPr>
                <w:rFonts w:ascii="Arial" w:hAnsi="Arial" w:eastAsia="宋体" w:cs="Arial"/>
                <w:color w:val="000000"/>
                <w:kern w:val="0"/>
                <w:sz w:val="24"/>
                <w:szCs w:val="24"/>
              </w:rPr>
              <w:t>修订标准号</w:t>
            </w:r>
          </w:p>
        </w:tc>
        <w:tc>
          <w:tcPr>
            <w:tcW w:w="2835" w:type="dxa"/>
            <w:gridSpan w:val="2"/>
            <w:vAlign w:val="center"/>
          </w:tcPr>
          <w:p>
            <w:pPr>
              <w:widowControl/>
              <w:spacing w:line="360" w:lineRule="auto"/>
              <w:jc w:val="center"/>
              <w:rPr>
                <w:rFonts w:ascii="Arial" w:hAnsi="Arial" w:eastAsia="宋体" w:cs="Arial"/>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1" w:type="dxa"/>
            <w:vAlign w:val="center"/>
          </w:tcPr>
          <w:p>
            <w:pPr>
              <w:widowControl/>
              <w:spacing w:line="360" w:lineRule="auto"/>
              <w:jc w:val="center"/>
              <w:rPr>
                <w:rFonts w:ascii="Arial" w:hAnsi="Arial" w:eastAsia="宋体" w:cs="Arial"/>
                <w:color w:val="000000"/>
                <w:kern w:val="0"/>
                <w:sz w:val="24"/>
                <w:szCs w:val="24"/>
              </w:rPr>
            </w:pPr>
            <w:bookmarkStart w:id="0" w:name="_GoBack" w:colFirst="1" w:colLast="5"/>
            <w:r>
              <w:rPr>
                <w:rFonts w:hint="eastAsia" w:ascii="Arial" w:hAnsi="Arial" w:eastAsia="宋体" w:cs="Arial"/>
                <w:color w:val="000000"/>
                <w:kern w:val="0"/>
                <w:sz w:val="24"/>
                <w:szCs w:val="24"/>
              </w:rPr>
              <w:t>申请立项单位名称</w:t>
            </w:r>
          </w:p>
        </w:tc>
        <w:tc>
          <w:tcPr>
            <w:tcW w:w="4999" w:type="dxa"/>
            <w:gridSpan w:val="7"/>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汕头市潮阳区农产品质量安全中心</w:t>
            </w:r>
          </w:p>
        </w:tc>
        <w:tc>
          <w:tcPr>
            <w:tcW w:w="1134"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联系人</w:t>
            </w:r>
          </w:p>
        </w:tc>
        <w:tc>
          <w:tcPr>
            <w:tcW w:w="170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黄雪晖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138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单位地址</w:t>
            </w:r>
          </w:p>
        </w:tc>
        <w:tc>
          <w:tcPr>
            <w:tcW w:w="4999" w:type="dxa"/>
            <w:gridSpan w:val="7"/>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汕头市潮阳区棉北街道北关路棉兴南路</w:t>
            </w:r>
          </w:p>
        </w:tc>
        <w:tc>
          <w:tcPr>
            <w:tcW w:w="1134"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邮政编码</w:t>
            </w:r>
          </w:p>
        </w:tc>
        <w:tc>
          <w:tcPr>
            <w:tcW w:w="170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515100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1" w:type="dxa"/>
            <w:vAlign w:val="center"/>
          </w:tcPr>
          <w:p>
            <w:pPr>
              <w:widowControl/>
              <w:spacing w:line="360" w:lineRule="auto"/>
              <w:jc w:val="center"/>
              <w:rPr>
                <w:rFonts w:hint="eastAsia" w:ascii="Arial" w:hAnsi="Arial" w:eastAsia="宋体" w:cs="Arial"/>
                <w:color w:val="000000"/>
                <w:kern w:val="0"/>
                <w:sz w:val="24"/>
                <w:szCs w:val="24"/>
                <w:lang w:eastAsia="zh-CN"/>
              </w:rPr>
            </w:pPr>
            <w:r>
              <w:rPr>
                <w:rFonts w:hint="eastAsia" w:ascii="Arial" w:hAnsi="Arial" w:eastAsia="宋体" w:cs="Arial"/>
                <w:color w:val="000000"/>
                <w:kern w:val="0"/>
                <w:sz w:val="24"/>
                <w:szCs w:val="24"/>
              </w:rPr>
              <w:t>电话</w:t>
            </w:r>
            <w:r>
              <w:rPr>
                <w:rFonts w:hint="eastAsia" w:ascii="Arial" w:hAnsi="Arial" w:eastAsia="宋体" w:cs="Arial"/>
                <w:color w:val="000000"/>
                <w:kern w:val="0"/>
                <w:sz w:val="24"/>
                <w:szCs w:val="24"/>
                <w:lang w:eastAsia="zh-CN"/>
              </w:rPr>
              <w:t>（</w:t>
            </w:r>
            <w:r>
              <w:rPr>
                <w:rFonts w:hint="eastAsia" w:ascii="Arial" w:hAnsi="Arial" w:eastAsia="宋体" w:cs="Arial"/>
                <w:color w:val="000000"/>
                <w:kern w:val="0"/>
                <w:sz w:val="24"/>
                <w:szCs w:val="24"/>
              </w:rPr>
              <w:t>座机及手机</w:t>
            </w:r>
            <w:r>
              <w:rPr>
                <w:rFonts w:hint="eastAsia" w:ascii="Arial" w:hAnsi="Arial" w:eastAsia="宋体" w:cs="Arial"/>
                <w:color w:val="000000"/>
                <w:kern w:val="0"/>
                <w:sz w:val="24"/>
                <w:szCs w:val="24"/>
                <w:lang w:eastAsia="zh-CN"/>
              </w:rPr>
              <w:t>）</w:t>
            </w:r>
          </w:p>
        </w:tc>
        <w:tc>
          <w:tcPr>
            <w:tcW w:w="2262" w:type="dxa"/>
            <w:gridSpan w:val="3"/>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15915502218</w:t>
            </w:r>
          </w:p>
        </w:tc>
        <w:tc>
          <w:tcPr>
            <w:tcW w:w="1037" w:type="dxa"/>
            <w:gridSpan w:val="2"/>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传真</w:t>
            </w:r>
          </w:p>
        </w:tc>
        <w:tc>
          <w:tcPr>
            <w:tcW w:w="1700" w:type="dxa"/>
            <w:gridSpan w:val="2"/>
            <w:vAlign w:val="center"/>
          </w:tcPr>
          <w:p>
            <w:pPr>
              <w:widowControl/>
              <w:spacing w:line="360" w:lineRule="auto"/>
              <w:jc w:val="center"/>
              <w:rPr>
                <w:rFonts w:ascii="Arial" w:hAnsi="Arial" w:eastAsia="宋体" w:cs="Arial"/>
                <w:color w:val="000000"/>
                <w:kern w:val="0"/>
                <w:sz w:val="24"/>
                <w:szCs w:val="24"/>
              </w:rPr>
            </w:pPr>
          </w:p>
        </w:tc>
        <w:tc>
          <w:tcPr>
            <w:tcW w:w="1134" w:type="dxa"/>
            <w:vAlign w:val="center"/>
          </w:tcPr>
          <w:p>
            <w:pPr>
              <w:widowControl/>
              <w:spacing w:line="360" w:lineRule="auto"/>
              <w:jc w:val="center"/>
              <w:rPr>
                <w:rFonts w:ascii="Arial" w:hAnsi="Arial" w:eastAsia="宋体" w:cs="Arial"/>
                <w:color w:val="000000"/>
                <w:kern w:val="0"/>
                <w:sz w:val="24"/>
                <w:szCs w:val="24"/>
              </w:rPr>
            </w:pPr>
            <w:r>
              <w:rPr>
                <w:rFonts w:ascii="Arial" w:hAnsi="Arial" w:eastAsia="宋体" w:cs="Arial"/>
                <w:color w:val="000000"/>
                <w:kern w:val="0"/>
                <w:sz w:val="24"/>
                <w:szCs w:val="24"/>
              </w:rPr>
              <w:t>E-mail</w:t>
            </w:r>
          </w:p>
        </w:tc>
        <w:tc>
          <w:tcPr>
            <w:tcW w:w="1701" w:type="dxa"/>
            <w:vAlign w:val="top"/>
          </w:tcPr>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ncpzlaq2021@126.com</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15" w:type="dxa"/>
            <w:gridSpan w:val="10"/>
          </w:tcPr>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rPr>
              <w:t>项目任务的目的、意义或必要性：</w:t>
            </w:r>
          </w:p>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rPr>
              <w:t>一、</w:t>
            </w:r>
            <w:r>
              <w:rPr>
                <w:rFonts w:hint="eastAsia" w:ascii="Arial" w:hAnsi="Arial" w:eastAsia="宋体" w:cs="Arial"/>
                <w:color w:val="000000"/>
                <w:kern w:val="0"/>
                <w:sz w:val="24"/>
                <w:szCs w:val="24"/>
                <w:lang w:val="en-US" w:eastAsia="zh-CN"/>
              </w:rPr>
              <w:t>甘薯</w:t>
            </w:r>
            <w:r>
              <w:rPr>
                <w:rFonts w:hint="eastAsia" w:ascii="Arial" w:hAnsi="Arial" w:eastAsia="宋体" w:cs="Arial"/>
                <w:color w:val="000000"/>
                <w:kern w:val="0"/>
                <w:sz w:val="24"/>
                <w:szCs w:val="24"/>
              </w:rPr>
              <w:t>概况</w:t>
            </w:r>
          </w:p>
          <w:p>
            <w:pPr>
              <w:widowControl/>
              <w:spacing w:line="360" w:lineRule="auto"/>
              <w:ind w:firstLine="480" w:firstLineChars="200"/>
              <w:rPr>
                <w:rFonts w:hint="eastAsia"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甘薯是我国重要的粮食、饲料、工业原料及新型能源作物。目前，我国生产的鲜薯中食用部分占12%，工业原料（主要是食品工业）占45%，饲料用占30%，出口占5%，种薯用及损失占8%。块根是甘薯的主要食用部分，营养较为均衡，营养价值可与传统主食相媲美。甘薯块根除含有淀粉可溶性糖外，还富含人体必需的氨基酸、蛋白质、脂肪、纤维素以及钙、铁等矿物元素和多种维生素，尤其是维生素A含量丰富。此外，甘薯还具有减肥、预防糖尿病、预防心血管系统疾病、降低胆固醇和抗癌等多种保健功效。甘薯具有耐旱、耐瘠薄特点，在种植业结构调整中发挥着重要作用。许多地区将甘薯列为高效特色的大健康产业和扶贫优势作物，近年来市场需求旺盛，鲜食消费增加，加工利用稳定，经济价值高。</w:t>
            </w:r>
          </w:p>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rPr>
              <w:t>二、</w:t>
            </w:r>
            <w:r>
              <w:rPr>
                <w:rFonts w:hint="eastAsia" w:ascii="Arial" w:hAnsi="Arial" w:eastAsia="宋体" w:cs="Arial"/>
                <w:color w:val="000000"/>
                <w:kern w:val="0"/>
                <w:sz w:val="24"/>
                <w:szCs w:val="24"/>
                <w:lang w:val="en-US" w:eastAsia="zh-CN"/>
              </w:rPr>
              <w:t>甘薯贮藏管理</w:t>
            </w:r>
            <w:r>
              <w:rPr>
                <w:rFonts w:hint="eastAsia" w:ascii="Arial" w:hAnsi="Arial" w:eastAsia="宋体" w:cs="Arial"/>
                <w:color w:val="000000"/>
                <w:kern w:val="0"/>
                <w:sz w:val="24"/>
                <w:szCs w:val="24"/>
              </w:rPr>
              <w:t>的重要意义</w:t>
            </w:r>
          </w:p>
          <w:p>
            <w:pPr>
              <w:widowControl/>
              <w:spacing w:line="360" w:lineRule="auto"/>
              <w:ind w:firstLine="480"/>
              <w:rPr>
                <w:rFonts w:hint="default" w:ascii="Arial" w:hAnsi="Arial" w:eastAsia="宋体" w:cs="Arial"/>
                <w:color w:val="000000"/>
                <w:kern w:val="0"/>
                <w:sz w:val="24"/>
                <w:szCs w:val="24"/>
                <w:lang w:val="en-US" w:eastAsia="zh-CN"/>
              </w:rPr>
            </w:pPr>
            <w:r>
              <w:rPr>
                <w:rFonts w:hint="default" w:ascii="Arial" w:hAnsi="Arial" w:eastAsia="宋体" w:cs="Arial"/>
                <w:color w:val="000000"/>
                <w:kern w:val="0"/>
                <w:sz w:val="24"/>
                <w:szCs w:val="24"/>
                <w:lang w:val="en-US" w:eastAsia="zh-CN"/>
              </w:rPr>
              <w:t>甘薯贮藏是甘薯生产中的重要环节</w:t>
            </w:r>
            <w:r>
              <w:rPr>
                <w:rFonts w:hint="eastAsia" w:ascii="Arial" w:hAnsi="Arial" w:eastAsia="宋体" w:cs="Arial"/>
                <w:color w:val="000000"/>
                <w:kern w:val="0"/>
                <w:sz w:val="24"/>
                <w:szCs w:val="24"/>
                <w:lang w:val="en-US" w:eastAsia="zh-CN"/>
              </w:rPr>
              <w:t>，</w:t>
            </w:r>
            <w:r>
              <w:rPr>
                <w:rFonts w:hint="default" w:ascii="Arial" w:hAnsi="Arial" w:eastAsia="宋体" w:cs="Arial"/>
                <w:color w:val="000000"/>
                <w:kern w:val="0"/>
                <w:sz w:val="24"/>
                <w:szCs w:val="24"/>
                <w:lang w:val="en-US" w:eastAsia="zh-CN"/>
              </w:rPr>
              <w:t>甘薯体积大</w:t>
            </w:r>
            <w:r>
              <w:rPr>
                <w:rFonts w:hint="eastAsia" w:ascii="Arial" w:hAnsi="Arial" w:eastAsia="宋体" w:cs="Arial"/>
                <w:color w:val="000000"/>
                <w:kern w:val="0"/>
                <w:sz w:val="24"/>
                <w:szCs w:val="24"/>
                <w:lang w:val="en-US" w:eastAsia="zh-CN"/>
              </w:rPr>
              <w:t>，</w:t>
            </w:r>
            <w:r>
              <w:rPr>
                <w:rFonts w:hint="default" w:ascii="Arial" w:hAnsi="Arial" w:eastAsia="宋体" w:cs="Arial"/>
                <w:color w:val="000000"/>
                <w:kern w:val="0"/>
                <w:sz w:val="24"/>
                <w:szCs w:val="24"/>
                <w:lang w:val="en-US" w:eastAsia="zh-CN"/>
              </w:rPr>
              <w:t>水分多</w:t>
            </w:r>
            <w:r>
              <w:rPr>
                <w:rFonts w:hint="eastAsia" w:ascii="Arial" w:hAnsi="Arial" w:eastAsia="宋体" w:cs="Arial"/>
                <w:color w:val="000000"/>
                <w:kern w:val="0"/>
                <w:sz w:val="24"/>
                <w:szCs w:val="24"/>
                <w:lang w:val="en-US" w:eastAsia="zh-CN"/>
              </w:rPr>
              <w:t>，</w:t>
            </w:r>
            <w:r>
              <w:rPr>
                <w:rFonts w:hint="default" w:ascii="Arial" w:hAnsi="Arial" w:eastAsia="宋体" w:cs="Arial"/>
                <w:color w:val="000000"/>
                <w:kern w:val="0"/>
                <w:sz w:val="24"/>
                <w:szCs w:val="24"/>
                <w:lang w:val="en-US" w:eastAsia="zh-CN"/>
              </w:rPr>
              <w:t>组织柔嫩</w:t>
            </w:r>
            <w:r>
              <w:rPr>
                <w:rFonts w:hint="eastAsia" w:ascii="Arial" w:hAnsi="Arial" w:eastAsia="宋体" w:cs="Arial"/>
                <w:color w:val="000000"/>
                <w:kern w:val="0"/>
                <w:sz w:val="24"/>
                <w:szCs w:val="24"/>
                <w:lang w:val="en-US" w:eastAsia="zh-CN"/>
              </w:rPr>
              <w:t>，</w:t>
            </w:r>
            <w:r>
              <w:rPr>
                <w:rFonts w:hint="default" w:ascii="Arial" w:hAnsi="Arial" w:eastAsia="宋体" w:cs="Arial"/>
                <w:color w:val="000000"/>
                <w:kern w:val="0"/>
                <w:sz w:val="24"/>
                <w:szCs w:val="24"/>
                <w:lang w:val="en-US" w:eastAsia="zh-CN"/>
              </w:rPr>
              <w:t>在收获、运输、贮藏过程中</w:t>
            </w:r>
            <w:r>
              <w:rPr>
                <w:rFonts w:hint="eastAsia" w:ascii="Arial" w:hAnsi="Arial" w:eastAsia="宋体" w:cs="Arial"/>
                <w:color w:val="000000"/>
                <w:kern w:val="0"/>
                <w:sz w:val="24"/>
                <w:szCs w:val="24"/>
                <w:lang w:val="en-US" w:eastAsia="zh-CN"/>
              </w:rPr>
              <w:t>，</w:t>
            </w:r>
            <w:r>
              <w:rPr>
                <w:rFonts w:hint="default" w:ascii="Arial" w:hAnsi="Arial" w:eastAsia="宋体" w:cs="Arial"/>
                <w:color w:val="000000"/>
                <w:kern w:val="0"/>
                <w:sz w:val="24"/>
                <w:szCs w:val="24"/>
                <w:lang w:val="en-US" w:eastAsia="zh-CN"/>
              </w:rPr>
              <w:t>容易碰伤薯皮</w:t>
            </w:r>
            <w:r>
              <w:rPr>
                <w:rFonts w:hint="eastAsia" w:ascii="Arial" w:hAnsi="Arial" w:eastAsia="宋体" w:cs="Arial"/>
                <w:color w:val="000000"/>
                <w:kern w:val="0"/>
                <w:sz w:val="24"/>
                <w:szCs w:val="24"/>
                <w:lang w:val="en-US" w:eastAsia="zh-CN"/>
              </w:rPr>
              <w:t>，</w:t>
            </w:r>
            <w:r>
              <w:rPr>
                <w:rFonts w:hint="default" w:ascii="Arial" w:hAnsi="Arial" w:eastAsia="宋体" w:cs="Arial"/>
                <w:color w:val="000000"/>
                <w:kern w:val="0"/>
                <w:sz w:val="24"/>
                <w:szCs w:val="24"/>
                <w:lang w:val="en-US" w:eastAsia="zh-CN"/>
              </w:rPr>
              <w:t>增加病菌感染机会</w:t>
            </w:r>
            <w:r>
              <w:rPr>
                <w:rFonts w:hint="eastAsia" w:ascii="Arial" w:hAnsi="Arial" w:eastAsia="宋体" w:cs="Arial"/>
                <w:color w:val="000000"/>
                <w:kern w:val="0"/>
                <w:sz w:val="24"/>
                <w:szCs w:val="24"/>
                <w:lang w:val="en-US" w:eastAsia="zh-CN"/>
              </w:rPr>
              <w:t>，</w:t>
            </w:r>
            <w:r>
              <w:rPr>
                <w:rFonts w:hint="default" w:ascii="Arial" w:hAnsi="Arial" w:eastAsia="宋体" w:cs="Arial"/>
                <w:color w:val="000000"/>
                <w:kern w:val="0"/>
                <w:sz w:val="24"/>
                <w:szCs w:val="24"/>
                <w:lang w:val="en-US" w:eastAsia="zh-CN"/>
              </w:rPr>
              <w:t>同时薯块水分散失快</w:t>
            </w:r>
            <w:r>
              <w:rPr>
                <w:rFonts w:hint="eastAsia" w:ascii="Arial" w:hAnsi="Arial" w:eastAsia="宋体" w:cs="Arial"/>
                <w:color w:val="000000"/>
                <w:kern w:val="0"/>
                <w:sz w:val="24"/>
                <w:szCs w:val="24"/>
                <w:lang w:val="en-US" w:eastAsia="zh-CN"/>
              </w:rPr>
              <w:t>，</w:t>
            </w:r>
            <w:r>
              <w:rPr>
                <w:rFonts w:hint="default" w:ascii="Arial" w:hAnsi="Arial" w:eastAsia="宋体" w:cs="Arial"/>
                <w:color w:val="000000"/>
                <w:kern w:val="0"/>
                <w:sz w:val="24"/>
                <w:szCs w:val="24"/>
                <w:lang w:val="en-US" w:eastAsia="zh-CN"/>
              </w:rPr>
              <w:t>降低了块根的贮藏性；甘薯不耐低温</w:t>
            </w:r>
            <w:r>
              <w:rPr>
                <w:rFonts w:hint="eastAsia" w:ascii="Arial" w:hAnsi="Arial" w:eastAsia="宋体" w:cs="Arial"/>
                <w:color w:val="000000"/>
                <w:kern w:val="0"/>
                <w:sz w:val="24"/>
                <w:szCs w:val="24"/>
                <w:lang w:val="en-US" w:eastAsia="zh-CN"/>
              </w:rPr>
              <w:t>，</w:t>
            </w:r>
            <w:r>
              <w:rPr>
                <w:rFonts w:hint="default" w:ascii="Arial" w:hAnsi="Arial" w:eastAsia="宋体" w:cs="Arial"/>
                <w:color w:val="000000"/>
                <w:kern w:val="0"/>
                <w:sz w:val="24"/>
                <w:szCs w:val="24"/>
                <w:lang w:val="en-US" w:eastAsia="zh-CN"/>
              </w:rPr>
              <w:t>容易遭受冷害和冻害而引起烂窖。据统计，15%的甘薯因</w:t>
            </w:r>
            <w:r>
              <w:rPr>
                <w:rFonts w:hint="eastAsia" w:ascii="Arial" w:hAnsi="Arial" w:eastAsia="宋体" w:cs="Arial"/>
                <w:color w:val="000000"/>
                <w:kern w:val="0"/>
                <w:sz w:val="24"/>
                <w:szCs w:val="24"/>
                <w:lang w:val="en-US" w:eastAsia="zh-CN"/>
              </w:rPr>
              <w:t>保存</w:t>
            </w:r>
            <w:r>
              <w:rPr>
                <w:rFonts w:hint="default" w:ascii="Arial" w:hAnsi="Arial" w:eastAsia="宋体" w:cs="Arial"/>
                <w:color w:val="000000"/>
                <w:kern w:val="0"/>
                <w:sz w:val="24"/>
                <w:szCs w:val="24"/>
                <w:lang w:val="en-US" w:eastAsia="zh-CN"/>
              </w:rPr>
              <w:t>不当而霉烂变质，造成</w:t>
            </w:r>
            <w:r>
              <w:rPr>
                <w:rFonts w:hint="eastAsia" w:ascii="Arial" w:hAnsi="Arial" w:eastAsia="宋体" w:cs="Arial"/>
                <w:color w:val="000000"/>
                <w:kern w:val="0"/>
                <w:sz w:val="24"/>
                <w:szCs w:val="24"/>
                <w:lang w:val="en-US" w:eastAsia="zh-CN"/>
              </w:rPr>
              <w:t>较</w:t>
            </w:r>
            <w:r>
              <w:rPr>
                <w:rFonts w:hint="default" w:ascii="Arial" w:hAnsi="Arial" w:eastAsia="宋体" w:cs="Arial"/>
                <w:color w:val="000000"/>
                <w:kern w:val="0"/>
                <w:sz w:val="24"/>
                <w:szCs w:val="24"/>
                <w:lang w:val="en-US" w:eastAsia="zh-CN"/>
              </w:rPr>
              <w:t>大的经济损失。</w:t>
            </w:r>
            <w:r>
              <w:rPr>
                <w:rFonts w:hint="eastAsia" w:ascii="Arial" w:hAnsi="Arial" w:eastAsia="宋体" w:cs="Arial"/>
                <w:color w:val="000000"/>
                <w:kern w:val="0"/>
                <w:sz w:val="24"/>
                <w:szCs w:val="24"/>
                <w:lang w:val="en-US" w:eastAsia="zh-CN"/>
              </w:rPr>
              <w:t>为减少甘薯贮藏不当带来的损失，应</w:t>
            </w:r>
            <w:r>
              <w:rPr>
                <w:rFonts w:hint="default" w:ascii="Arial" w:hAnsi="Arial" w:eastAsia="宋体" w:cs="Arial"/>
                <w:color w:val="000000"/>
                <w:kern w:val="0"/>
                <w:sz w:val="24"/>
                <w:szCs w:val="24"/>
                <w:lang w:val="en-US" w:eastAsia="zh-CN"/>
              </w:rPr>
              <w:t>充分了解甘薯的贮藏特点</w:t>
            </w:r>
            <w:r>
              <w:rPr>
                <w:rFonts w:hint="eastAsia" w:ascii="Arial" w:hAnsi="Arial" w:eastAsia="宋体" w:cs="Arial"/>
                <w:color w:val="000000"/>
                <w:kern w:val="0"/>
                <w:sz w:val="24"/>
                <w:szCs w:val="24"/>
                <w:lang w:val="en-US" w:eastAsia="zh-CN"/>
              </w:rPr>
              <w:t>，协调运用各项措施进行科学的贮藏管理，确保甘薯的贮藏安全，保障甘薯的产量及质量。</w:t>
            </w:r>
          </w:p>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三</w:t>
            </w:r>
            <w:r>
              <w:rPr>
                <w:rFonts w:hint="eastAsia" w:ascii="Arial" w:hAnsi="Arial" w:eastAsia="宋体" w:cs="Arial"/>
                <w:color w:val="000000"/>
                <w:kern w:val="0"/>
                <w:sz w:val="24"/>
                <w:szCs w:val="24"/>
              </w:rPr>
              <w:t>、本规范制定的意义</w:t>
            </w:r>
          </w:p>
          <w:p>
            <w:pPr>
              <w:widowControl/>
              <w:spacing w:line="360" w:lineRule="auto"/>
              <w:ind w:firstLine="480"/>
              <w:rPr>
                <w:rFonts w:hint="default" w:ascii="Arial" w:hAnsi="Arial" w:eastAsia="宋体" w:cs="Arial"/>
                <w:color w:val="000000"/>
                <w:kern w:val="0"/>
                <w:sz w:val="24"/>
                <w:szCs w:val="24"/>
                <w:lang w:val="en-US" w:eastAsia="zh-CN"/>
              </w:rPr>
            </w:pPr>
            <w:r>
              <w:rPr>
                <w:rFonts w:hint="eastAsia" w:ascii="Arial" w:hAnsi="Arial" w:eastAsia="宋体" w:cs="Arial"/>
                <w:color w:val="000000"/>
                <w:kern w:val="0"/>
                <w:sz w:val="24"/>
                <w:szCs w:val="24"/>
                <w:lang w:val="en-US" w:eastAsia="zh-CN"/>
              </w:rPr>
              <w:t>甘薯贮藏管理不当容易发生多种病害而变腐变烂，影响甘薯的质量及周年供应，造成严重损失。为了有效防控甘薯贮藏期间病虫害的发生，保障甘薯的贮藏安全，</w:t>
            </w:r>
            <w:r>
              <w:rPr>
                <w:rFonts w:hint="eastAsia" w:ascii="Arial" w:hAnsi="Arial" w:eastAsia="宋体" w:cs="Arial"/>
                <w:color w:val="000000"/>
                <w:kern w:val="0"/>
                <w:sz w:val="24"/>
                <w:szCs w:val="24"/>
              </w:rPr>
              <w:t>亟需为其提供一套规范化的操作技术。本规程</w:t>
            </w:r>
            <w:r>
              <w:rPr>
                <w:rFonts w:hint="eastAsia" w:ascii="Arial" w:hAnsi="Arial" w:eastAsia="宋体" w:cs="Arial"/>
                <w:color w:val="000000"/>
                <w:kern w:val="0"/>
                <w:sz w:val="24"/>
                <w:szCs w:val="24"/>
                <w:lang w:val="en-US" w:eastAsia="zh-CN"/>
              </w:rPr>
              <w:t>提供了甘薯贮藏的窖址选择、入窖前后处理、窖藏各时期管理要点及病虫害防控要点等相关技术要点，</w:t>
            </w:r>
            <w:r>
              <w:rPr>
                <w:rFonts w:hint="eastAsia" w:ascii="Arial" w:hAnsi="Arial" w:eastAsia="宋体" w:cs="Arial"/>
                <w:color w:val="000000"/>
                <w:kern w:val="0"/>
                <w:sz w:val="24"/>
                <w:szCs w:val="24"/>
              </w:rPr>
              <w:t>明确规范</w:t>
            </w:r>
            <w:r>
              <w:rPr>
                <w:rFonts w:hint="eastAsia" w:ascii="Arial" w:hAnsi="Arial" w:eastAsia="宋体" w:cs="Arial"/>
                <w:color w:val="000000"/>
                <w:kern w:val="0"/>
                <w:sz w:val="24"/>
                <w:szCs w:val="24"/>
                <w:lang w:val="en-US" w:eastAsia="zh-CN"/>
              </w:rPr>
              <w:t>甘薯贮藏</w:t>
            </w:r>
            <w:r>
              <w:rPr>
                <w:rFonts w:hint="eastAsia" w:ascii="Arial" w:hAnsi="Arial" w:eastAsia="宋体" w:cs="Arial"/>
                <w:color w:val="000000"/>
                <w:kern w:val="0"/>
                <w:sz w:val="24"/>
                <w:szCs w:val="24"/>
              </w:rPr>
              <w:t>操作要求，为进一步</w:t>
            </w:r>
            <w:r>
              <w:rPr>
                <w:rFonts w:hint="eastAsia" w:ascii="Arial" w:hAnsi="Arial" w:eastAsia="宋体" w:cs="Arial"/>
                <w:color w:val="000000"/>
                <w:kern w:val="0"/>
                <w:sz w:val="24"/>
                <w:szCs w:val="24"/>
                <w:lang w:val="en-US" w:eastAsia="zh-CN"/>
              </w:rPr>
              <w:t>做好甘薯贮藏管理工作</w:t>
            </w:r>
            <w:r>
              <w:rPr>
                <w:rFonts w:hint="eastAsia" w:ascii="Arial" w:hAnsi="Arial" w:eastAsia="宋体" w:cs="Arial"/>
                <w:color w:val="000000"/>
                <w:kern w:val="0"/>
                <w:sz w:val="24"/>
                <w:szCs w:val="24"/>
              </w:rPr>
              <w:t>提供参考。</w:t>
            </w:r>
          </w:p>
          <w:p>
            <w:pPr>
              <w:widowControl/>
              <w:spacing w:line="360" w:lineRule="auto"/>
              <w:ind w:firstLine="480"/>
              <w:rPr>
                <w:rFonts w:ascii="Arial" w:hAnsi="Arial" w:eastAsia="宋体" w:cs="Arial"/>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15" w:type="dxa"/>
            <w:gridSpan w:val="10"/>
          </w:tcPr>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适用范围和主要技术内容：</w:t>
            </w:r>
          </w:p>
          <w:p>
            <w:pPr>
              <w:widowControl/>
              <w:spacing w:line="360" w:lineRule="auto"/>
              <w:jc w:val="left"/>
              <w:rPr>
                <w:rFonts w:hint="eastAsia"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适用范围：广东省甘薯窖藏期的管理和病虫害防控</w:t>
            </w:r>
            <w:r>
              <w:rPr>
                <w:rFonts w:hint="eastAsia" w:ascii="Arial" w:hAnsi="Arial" w:eastAsia="宋体" w:cs="Arial"/>
                <w:color w:val="000000"/>
                <w:kern w:val="0"/>
                <w:sz w:val="24"/>
                <w:szCs w:val="24"/>
              </w:rPr>
              <w:t>。</w:t>
            </w:r>
          </w:p>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主要技术内容：甘薯贮藏的窖址选择、入窖前后处理、窖藏各时期管理要点及病虫害防控要点等。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15" w:type="dxa"/>
            <w:gridSpan w:val="10"/>
          </w:tcPr>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国内外情况简要说明：</w:t>
            </w:r>
          </w:p>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一、国外概况</w:t>
            </w:r>
          </w:p>
          <w:p>
            <w:pPr>
              <w:widowControl/>
              <w:spacing w:line="360" w:lineRule="auto"/>
              <w:ind w:firstLine="480" w:firstLineChars="200"/>
              <w:jc w:val="left"/>
              <w:rPr>
                <w:rFonts w:hint="default" w:ascii="Arial" w:hAnsi="Arial" w:eastAsia="宋体" w:cs="Arial"/>
                <w:color w:val="000000"/>
                <w:kern w:val="0"/>
                <w:sz w:val="24"/>
                <w:szCs w:val="24"/>
                <w:lang w:val="en-US" w:eastAsia="zh-CN"/>
              </w:rPr>
            </w:pPr>
            <w:r>
              <w:rPr>
                <w:rFonts w:hint="eastAsia" w:ascii="Arial" w:hAnsi="Arial" w:eastAsia="宋体" w:cs="Arial"/>
                <w:color w:val="000000"/>
                <w:kern w:val="0"/>
                <w:sz w:val="24"/>
                <w:szCs w:val="24"/>
                <w:lang w:val="en-US" w:eastAsia="zh-CN"/>
              </w:rPr>
              <w:t>在韩国，近年来由于甘薯收获后处理不当造成储存及销售期间大量腐烂，主要原因是缺少劳动力、收获期太晚造成冻害、没有有效愈合等，没有经过愈合处理的甘薯损失率达到25%～36%。</w:t>
            </w:r>
          </w:p>
          <w:p>
            <w:pPr>
              <w:widowControl/>
              <w:spacing w:line="360" w:lineRule="auto"/>
              <w:ind w:firstLine="480" w:firstLineChars="200"/>
              <w:jc w:val="left"/>
              <w:rPr>
                <w:rFonts w:hint="default" w:ascii="Arial" w:hAnsi="Arial" w:eastAsia="宋体" w:cs="Arial"/>
                <w:color w:val="000000"/>
                <w:kern w:val="0"/>
                <w:sz w:val="24"/>
                <w:szCs w:val="24"/>
                <w:lang w:val="en-US" w:eastAsia="zh-CN"/>
              </w:rPr>
            </w:pPr>
            <w:r>
              <w:rPr>
                <w:rFonts w:hint="default" w:ascii="Arial" w:hAnsi="Arial" w:eastAsia="宋体" w:cs="Arial"/>
                <w:color w:val="000000"/>
                <w:kern w:val="0"/>
                <w:sz w:val="24"/>
                <w:szCs w:val="24"/>
                <w:lang w:val="en-US" w:eastAsia="zh-CN"/>
              </w:rPr>
              <w:t>美国在20世纪80年代初，</w:t>
            </w:r>
            <w:r>
              <w:rPr>
                <w:rFonts w:hint="eastAsia" w:ascii="Arial" w:hAnsi="Arial" w:eastAsia="宋体" w:cs="Arial"/>
                <w:color w:val="000000"/>
                <w:kern w:val="0"/>
                <w:sz w:val="24"/>
                <w:szCs w:val="24"/>
                <w:lang w:val="en-US" w:eastAsia="zh-CN"/>
              </w:rPr>
              <w:t>甘薯</w:t>
            </w:r>
            <w:r>
              <w:rPr>
                <w:rFonts w:hint="default" w:ascii="Arial" w:hAnsi="Arial" w:eastAsia="宋体" w:cs="Arial"/>
                <w:color w:val="000000"/>
                <w:kern w:val="0"/>
                <w:sz w:val="24"/>
                <w:szCs w:val="24"/>
                <w:lang w:val="en-US" w:eastAsia="zh-CN"/>
              </w:rPr>
              <w:t>在土窖中堆砌成小山的现象在种植区很普遍。大型贮藏设施是基于商业市场的扩张需求，出现在21世纪的初期</w:t>
            </w:r>
            <w:r>
              <w:rPr>
                <w:rFonts w:hint="eastAsia" w:ascii="Arial" w:hAnsi="Arial" w:eastAsia="宋体" w:cs="Arial"/>
                <w:color w:val="000000"/>
                <w:kern w:val="0"/>
                <w:sz w:val="24"/>
                <w:szCs w:val="24"/>
                <w:lang w:val="en-US" w:eastAsia="zh-CN"/>
              </w:rPr>
              <w:t>，</w:t>
            </w:r>
            <w:r>
              <w:rPr>
                <w:rFonts w:hint="default" w:ascii="Arial" w:hAnsi="Arial" w:eastAsia="宋体" w:cs="Arial"/>
                <w:color w:val="000000"/>
                <w:kern w:val="0"/>
                <w:sz w:val="24"/>
                <w:szCs w:val="24"/>
                <w:lang w:val="en-US" w:eastAsia="zh-CN"/>
              </w:rPr>
              <w:t>仓储设施和装备也是在探索中改进。</w:t>
            </w:r>
            <w:r>
              <w:rPr>
                <w:rFonts w:hint="eastAsia" w:ascii="Arial" w:hAnsi="Arial" w:eastAsia="宋体" w:cs="Arial"/>
                <w:color w:val="000000"/>
                <w:kern w:val="0"/>
                <w:sz w:val="24"/>
                <w:szCs w:val="24"/>
                <w:lang w:val="en-US" w:eastAsia="zh-CN"/>
              </w:rPr>
              <w:t>目前</w:t>
            </w:r>
            <w:r>
              <w:rPr>
                <w:rFonts w:hint="default" w:ascii="Arial" w:hAnsi="Arial" w:eastAsia="宋体" w:cs="Arial"/>
                <w:color w:val="000000"/>
                <w:kern w:val="0"/>
                <w:sz w:val="24"/>
                <w:szCs w:val="24"/>
                <w:lang w:val="en-US" w:eastAsia="zh-CN"/>
              </w:rPr>
              <w:t>美国的</w:t>
            </w:r>
            <w:r>
              <w:rPr>
                <w:rFonts w:hint="eastAsia" w:ascii="Arial" w:hAnsi="Arial" w:eastAsia="宋体" w:cs="Arial"/>
                <w:color w:val="000000"/>
                <w:kern w:val="0"/>
                <w:sz w:val="24"/>
                <w:szCs w:val="24"/>
                <w:lang w:val="en-US" w:eastAsia="zh-CN"/>
              </w:rPr>
              <w:t>甘薯</w:t>
            </w:r>
            <w:r>
              <w:rPr>
                <w:rFonts w:hint="default" w:ascii="Arial" w:hAnsi="Arial" w:eastAsia="宋体" w:cs="Arial"/>
                <w:color w:val="000000"/>
                <w:kern w:val="0"/>
                <w:sz w:val="24"/>
                <w:szCs w:val="24"/>
                <w:lang w:val="en-US" w:eastAsia="zh-CN"/>
              </w:rPr>
              <w:t>储藏技术已经成熟，在实践中广泛运用。储藏质量的控制从</w:t>
            </w:r>
            <w:r>
              <w:rPr>
                <w:rFonts w:hint="eastAsia" w:ascii="Arial" w:hAnsi="Arial" w:eastAsia="宋体" w:cs="Arial"/>
                <w:color w:val="000000"/>
                <w:kern w:val="0"/>
                <w:sz w:val="24"/>
                <w:szCs w:val="24"/>
                <w:lang w:val="en-US" w:eastAsia="zh-CN"/>
              </w:rPr>
              <w:t>甘薯</w:t>
            </w:r>
            <w:r>
              <w:rPr>
                <w:rFonts w:hint="default" w:ascii="Arial" w:hAnsi="Arial" w:eastAsia="宋体" w:cs="Arial"/>
                <w:color w:val="000000"/>
                <w:kern w:val="0"/>
                <w:sz w:val="24"/>
                <w:szCs w:val="24"/>
                <w:lang w:val="en-US" w:eastAsia="zh-CN"/>
              </w:rPr>
              <w:t>品种筛选、病虫害治理、收获期把握、收获质量到储藏保鲜、清洗、分级、包装和运输，一直到消费者的全过程质量控制，力求该过程输出的</w:t>
            </w:r>
            <w:r>
              <w:rPr>
                <w:rFonts w:hint="eastAsia" w:ascii="Arial" w:hAnsi="Arial" w:eastAsia="宋体" w:cs="Arial"/>
                <w:color w:val="000000"/>
                <w:kern w:val="0"/>
                <w:sz w:val="24"/>
                <w:szCs w:val="24"/>
                <w:lang w:val="en-US" w:eastAsia="zh-CN"/>
              </w:rPr>
              <w:t>甘薯</w:t>
            </w:r>
            <w:r>
              <w:rPr>
                <w:rFonts w:hint="default" w:ascii="Arial" w:hAnsi="Arial" w:eastAsia="宋体" w:cs="Arial"/>
                <w:color w:val="000000"/>
                <w:kern w:val="0"/>
                <w:sz w:val="24"/>
                <w:szCs w:val="24"/>
                <w:lang w:val="en-US" w:eastAsia="zh-CN"/>
              </w:rPr>
              <w:t>营养最优化、减重最小化、形态和味道最美化</w:t>
            </w:r>
            <w:r>
              <w:rPr>
                <w:rFonts w:hint="eastAsia" w:ascii="Arial" w:hAnsi="Arial" w:eastAsia="宋体" w:cs="Arial"/>
                <w:color w:val="000000"/>
                <w:kern w:val="0"/>
                <w:sz w:val="24"/>
                <w:szCs w:val="24"/>
                <w:lang w:val="en-US" w:eastAsia="zh-CN"/>
              </w:rPr>
              <w:t>，</w:t>
            </w:r>
            <w:r>
              <w:rPr>
                <w:rFonts w:hint="default" w:ascii="Arial" w:hAnsi="Arial" w:eastAsia="宋体" w:cs="Arial"/>
                <w:color w:val="000000"/>
                <w:kern w:val="0"/>
                <w:sz w:val="24"/>
                <w:szCs w:val="24"/>
                <w:lang w:val="en-US" w:eastAsia="zh-CN"/>
              </w:rPr>
              <w:t>整个过程都有技术操作规范指导。在收获之前集中排除和抑制病虫害，为后期质量保证减少隐患；收获时选择避免薯块磕碰的机具设备；收获后加工储藏和运输是全程的温度、湿度和通风控制。</w:t>
            </w:r>
          </w:p>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二、国内概况</w:t>
            </w:r>
          </w:p>
          <w:p>
            <w:pPr>
              <w:widowControl/>
              <w:spacing w:line="360" w:lineRule="auto"/>
              <w:ind w:firstLine="480"/>
              <w:jc w:val="left"/>
              <w:rPr>
                <w:rFonts w:hint="eastAsia" w:ascii="Arial" w:hAnsi="Arial" w:eastAsia="宋体" w:cs="Arial"/>
                <w:color w:val="000000"/>
                <w:kern w:val="0"/>
                <w:sz w:val="24"/>
                <w:szCs w:val="24"/>
                <w:lang w:val="en-US" w:eastAsia="zh-CN"/>
              </w:rPr>
            </w:pPr>
            <w:r>
              <w:rPr>
                <w:rFonts w:hint="eastAsia" w:ascii="Arial" w:hAnsi="Arial" w:eastAsia="宋体" w:cs="Arial"/>
                <w:color w:val="000000"/>
                <w:kern w:val="0"/>
                <w:sz w:val="24"/>
                <w:szCs w:val="24"/>
                <w:lang w:val="en-US" w:eastAsia="zh-CN"/>
              </w:rPr>
              <w:t>目前中国甘薯储藏仍然是个技术难题，储藏目标以保证甘薯不腐烂为主，即开春后不烂窖。储藏技术关键环节主要有适时收获、精选薯块、建窖、窖内换土、消毒处理，以及前期、中期、后期对窖内温度、湿度和通风的管理。这些储藏技术方法多是来自于农业基层科技人员和生产人员的经验积累，技术指标模糊，各个环节明确的技术操作指导规范比较缺乏。通过科学的储藏管理，井窖储藏一般到次年3月左右可基本保证鲜薯质量。</w:t>
            </w:r>
          </w:p>
          <w:p>
            <w:pPr>
              <w:widowControl/>
              <w:spacing w:line="360" w:lineRule="auto"/>
              <w:ind w:firstLine="480" w:firstLineChars="200"/>
              <w:jc w:val="left"/>
              <w:rPr>
                <w:rFonts w:hint="default" w:ascii="Arial" w:hAnsi="Arial" w:eastAsia="宋体" w:cs="Arial"/>
                <w:color w:val="00000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413" w:type="dxa"/>
            <w:gridSpan w:val="2"/>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采用的国际标准编号</w:t>
            </w:r>
          </w:p>
        </w:tc>
        <w:tc>
          <w:tcPr>
            <w:tcW w:w="6802" w:type="dxa"/>
            <w:gridSpan w:val="8"/>
            <w:vAlign w:val="center"/>
          </w:tcPr>
          <w:p>
            <w:pPr>
              <w:widowControl/>
              <w:spacing w:line="360" w:lineRule="auto"/>
              <w:jc w:val="center"/>
              <w:rPr>
                <w:rFonts w:hint="default" w:ascii="Arial" w:hAnsi="Arial" w:eastAsia="宋体" w:cs="Arial"/>
                <w:color w:val="000000"/>
                <w:kern w:val="0"/>
                <w:sz w:val="24"/>
                <w:szCs w:val="24"/>
                <w:lang w:val="en-US" w:eastAsia="zh-CN"/>
              </w:rPr>
            </w:pPr>
            <w:r>
              <w:rPr>
                <w:rFonts w:ascii="Arial" w:hAnsi="Arial" w:eastAsia="宋体" w:cs="Arial"/>
                <w:color w:val="000000"/>
                <w:kern w:val="0"/>
                <w:sz w:val="24"/>
                <w:szCs w:val="24"/>
              </w:rPr>
              <w:t>GB/T 1.1—20</w:t>
            </w:r>
            <w:r>
              <w:rPr>
                <w:rFonts w:hint="eastAsia" w:ascii="Arial" w:hAnsi="Arial" w:eastAsia="宋体" w:cs="Arial"/>
                <w:color w:val="000000"/>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138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申请</w:t>
            </w:r>
          </w:p>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立项</w:t>
            </w:r>
          </w:p>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单位</w:t>
            </w:r>
          </w:p>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意见</w:t>
            </w:r>
          </w:p>
        </w:tc>
        <w:tc>
          <w:tcPr>
            <w:tcW w:w="2873" w:type="dxa"/>
            <w:gridSpan w:val="4"/>
          </w:tcPr>
          <w:p>
            <w:pPr>
              <w:widowControl/>
              <w:spacing w:line="360" w:lineRule="auto"/>
              <w:ind w:firstLine="480" w:firstLineChars="200"/>
              <w:jc w:val="left"/>
              <w:rPr>
                <w:rFonts w:ascii="Arial" w:hAnsi="Arial" w:eastAsia="宋体" w:cs="Arial"/>
                <w:color w:val="000000"/>
                <w:kern w:val="0"/>
                <w:sz w:val="24"/>
                <w:szCs w:val="24"/>
              </w:rPr>
            </w:pPr>
          </w:p>
          <w:p>
            <w:pPr>
              <w:widowControl/>
              <w:spacing w:line="360" w:lineRule="auto"/>
              <w:ind w:firstLine="480" w:firstLineChars="200"/>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 xml:space="preserve"> </w:t>
            </w:r>
          </w:p>
          <w:p>
            <w:pPr>
              <w:widowControl/>
              <w:spacing w:line="360" w:lineRule="auto"/>
              <w:ind w:firstLine="840" w:firstLineChars="350"/>
              <w:jc w:val="left"/>
              <w:rPr>
                <w:rFonts w:ascii="Arial" w:hAnsi="Arial" w:eastAsia="宋体" w:cs="Arial"/>
                <w:color w:val="000000"/>
                <w:kern w:val="0"/>
                <w:sz w:val="24"/>
                <w:szCs w:val="24"/>
              </w:rPr>
            </w:pPr>
            <w:r>
              <w:rPr>
                <w:rFonts w:hint="eastAsia" w:ascii="Arial" w:hAnsi="Arial" w:eastAsia="宋体" w:cs="Arial"/>
                <w:color w:val="000000"/>
                <w:kern w:val="0"/>
                <w:sz w:val="24"/>
                <w:szCs w:val="24"/>
                <w:lang w:eastAsia="zh-CN"/>
              </w:rPr>
              <w:t>（</w:t>
            </w:r>
            <w:r>
              <w:rPr>
                <w:rFonts w:hint="eastAsia" w:ascii="Arial" w:hAnsi="Arial" w:eastAsia="宋体" w:cs="Arial"/>
                <w:color w:val="000000"/>
                <w:kern w:val="0"/>
                <w:sz w:val="24"/>
                <w:szCs w:val="24"/>
              </w:rPr>
              <w:t>签字、盖公章）</w:t>
            </w:r>
          </w:p>
          <w:p>
            <w:pPr>
              <w:widowControl/>
              <w:spacing w:line="360" w:lineRule="auto"/>
              <w:ind w:firstLine="1200" w:firstLineChars="500"/>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 xml:space="preserve">年 </w:t>
            </w:r>
            <w:r>
              <w:rPr>
                <w:rFonts w:ascii="Arial" w:hAnsi="Arial" w:eastAsia="宋体" w:cs="Arial"/>
                <w:color w:val="000000"/>
                <w:kern w:val="0"/>
                <w:sz w:val="24"/>
                <w:szCs w:val="24"/>
              </w:rPr>
              <w:t xml:space="preserve"> </w:t>
            </w:r>
            <w:r>
              <w:rPr>
                <w:rFonts w:hint="eastAsia" w:ascii="Arial" w:hAnsi="Arial" w:eastAsia="宋体" w:cs="Arial"/>
                <w:color w:val="000000"/>
                <w:kern w:val="0"/>
                <w:sz w:val="24"/>
                <w:szCs w:val="24"/>
              </w:rPr>
              <w:t>月  日</w:t>
            </w:r>
          </w:p>
        </w:tc>
        <w:tc>
          <w:tcPr>
            <w:tcW w:w="1273" w:type="dxa"/>
            <w:gridSpan w:val="2"/>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广东省农药协会</w:t>
            </w:r>
          </w:p>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意见</w:t>
            </w:r>
          </w:p>
        </w:tc>
        <w:tc>
          <w:tcPr>
            <w:tcW w:w="3688" w:type="dxa"/>
            <w:gridSpan w:val="3"/>
          </w:tcPr>
          <w:p>
            <w:pPr>
              <w:widowControl/>
              <w:jc w:val="left"/>
              <w:rPr>
                <w:rFonts w:ascii="Arial" w:hAnsi="Arial" w:eastAsia="宋体" w:cs="Arial"/>
                <w:color w:val="000000"/>
                <w:kern w:val="0"/>
                <w:sz w:val="24"/>
                <w:szCs w:val="24"/>
              </w:rPr>
            </w:pPr>
          </w:p>
          <w:p>
            <w:pPr>
              <w:widowControl/>
              <w:spacing w:line="360" w:lineRule="auto"/>
              <w:jc w:val="left"/>
              <w:rPr>
                <w:rFonts w:ascii="Arial" w:hAnsi="Arial" w:eastAsia="宋体" w:cs="Arial"/>
                <w:color w:val="000000"/>
                <w:kern w:val="0"/>
                <w:sz w:val="24"/>
                <w:szCs w:val="24"/>
              </w:rPr>
            </w:pPr>
          </w:p>
          <w:p>
            <w:pPr>
              <w:widowControl/>
              <w:spacing w:line="360" w:lineRule="auto"/>
              <w:ind w:firstLine="1440" w:firstLineChars="600"/>
              <w:jc w:val="left"/>
              <w:rPr>
                <w:rFonts w:ascii="Arial" w:hAnsi="Arial" w:eastAsia="宋体" w:cs="Arial"/>
                <w:color w:val="000000"/>
                <w:kern w:val="0"/>
                <w:sz w:val="24"/>
                <w:szCs w:val="24"/>
              </w:rPr>
            </w:pPr>
            <w:r>
              <w:rPr>
                <w:rFonts w:hint="eastAsia" w:ascii="Arial" w:hAnsi="Arial" w:eastAsia="宋体" w:cs="Arial"/>
                <w:color w:val="000000"/>
                <w:kern w:val="0"/>
                <w:sz w:val="24"/>
                <w:szCs w:val="24"/>
                <w:lang w:eastAsia="zh-CN"/>
              </w:rPr>
              <w:t>（</w:t>
            </w:r>
            <w:r>
              <w:rPr>
                <w:rFonts w:hint="eastAsia" w:ascii="Arial" w:hAnsi="Arial" w:eastAsia="宋体" w:cs="Arial"/>
                <w:color w:val="000000"/>
                <w:kern w:val="0"/>
                <w:sz w:val="24"/>
                <w:szCs w:val="24"/>
              </w:rPr>
              <w:t>签字、盖公章）</w:t>
            </w:r>
          </w:p>
          <w:p>
            <w:pPr>
              <w:widowControl/>
              <w:spacing w:line="360" w:lineRule="auto"/>
              <w:ind w:firstLine="1680" w:firstLineChars="700"/>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年  月  日</w:t>
            </w:r>
          </w:p>
        </w:tc>
      </w:tr>
    </w:tbl>
    <w:p>
      <w:pPr>
        <w:widowControl/>
        <w:shd w:val="clear" w:color="auto" w:fill="FFFFFF"/>
        <w:jc w:val="left"/>
        <w:rPr>
          <w:rFonts w:ascii="Arial" w:hAnsi="Arial" w:eastAsia="宋体" w:cs="Arial"/>
          <w:color w:val="000000"/>
          <w:kern w:val="0"/>
          <w:sz w:val="22"/>
        </w:rPr>
      </w:pPr>
      <w:r>
        <w:rPr>
          <w:rFonts w:ascii="Arial" w:hAnsi="Arial" w:eastAsia="宋体" w:cs="Arial"/>
          <w:color w:val="000000"/>
          <w:kern w:val="0"/>
          <w:sz w:val="22"/>
        </w:rPr>
        <w:t>注：如本表空间不够，可另附页。</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102F55"/>
    <w:rsid w:val="06FA5029"/>
    <w:rsid w:val="1BD3283C"/>
    <w:rsid w:val="2BD86936"/>
    <w:rsid w:val="42A30F99"/>
    <w:rsid w:val="445D1D39"/>
    <w:rsid w:val="4ABF7009"/>
    <w:rsid w:val="551D152F"/>
    <w:rsid w:val="5F893C3F"/>
    <w:rsid w:val="6EC96D0C"/>
    <w:rsid w:val="76B8626E"/>
    <w:rsid w:val="7C102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2021-09-27T00:36:00Z</dcterms:created>
  <dc:creator>陈秀娟</dc:creator>
  <cp:lastModifiedBy>繁星</cp:lastModifiedBy>
  <dcterms:modified xsi:type="dcterms:W3CDTF">2021-09-29T01:58:31Z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B250C3263130489894E81265C4CC8CBA</vt:lpwstr>
  </property>
</Properties>
</file>