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ascii="Arial" w:hAnsi="Arial" w:eastAsia="宋体" w:cs="Arial"/>
          <w:color w:val="000000"/>
          <w:kern w:val="0"/>
          <w:sz w:val="37"/>
          <w:szCs w:val="37"/>
        </w:rPr>
      </w:pPr>
      <w:r>
        <w:rPr>
          <w:rFonts w:ascii="Arial" w:hAnsi="Arial" w:eastAsia="宋体" w:cs="Arial"/>
          <w:color w:val="000000"/>
          <w:kern w:val="0"/>
          <w:sz w:val="37"/>
          <w:szCs w:val="37"/>
        </w:rPr>
        <w:t>广东省</w:t>
      </w:r>
      <w:r>
        <w:rPr>
          <w:rFonts w:hint="eastAsia" w:ascii="Arial" w:hAnsi="Arial" w:eastAsia="宋体" w:cs="Arial"/>
          <w:color w:val="000000"/>
          <w:kern w:val="0"/>
          <w:sz w:val="37"/>
          <w:szCs w:val="37"/>
        </w:rPr>
        <w:t>农药</w:t>
      </w:r>
      <w:r>
        <w:rPr>
          <w:rFonts w:ascii="Arial" w:hAnsi="Arial" w:eastAsia="宋体" w:cs="Arial"/>
          <w:color w:val="000000"/>
          <w:kern w:val="0"/>
          <w:sz w:val="37"/>
          <w:szCs w:val="37"/>
        </w:rPr>
        <w:t>协会</w:t>
      </w:r>
      <w:r>
        <w:rPr>
          <w:rFonts w:hint="eastAsia" w:ascii="Arial" w:hAnsi="Arial" w:eastAsia="宋体" w:cs="Arial"/>
          <w:color w:val="000000"/>
          <w:kern w:val="0"/>
          <w:sz w:val="37"/>
          <w:szCs w:val="37"/>
        </w:rPr>
        <w:t>团体</w:t>
      </w:r>
      <w:r>
        <w:rPr>
          <w:rFonts w:ascii="Arial" w:hAnsi="Arial" w:eastAsia="宋体" w:cs="Arial"/>
          <w:color w:val="000000"/>
          <w:kern w:val="0"/>
          <w:sz w:val="37"/>
          <w:szCs w:val="37"/>
        </w:rPr>
        <w:t>标准制修订立项申请</w:t>
      </w:r>
      <w:r>
        <w:rPr>
          <w:rFonts w:hint="eastAsia" w:ascii="Arial" w:hAnsi="Arial" w:eastAsia="宋体" w:cs="Arial"/>
          <w:color w:val="000000"/>
          <w:kern w:val="0"/>
          <w:sz w:val="37"/>
          <w:szCs w:val="37"/>
        </w:rPr>
        <w:t>表</w:t>
      </w:r>
    </w:p>
    <w:tbl>
      <w:tblPr>
        <w:tblStyle w:val="4"/>
        <w:tblW w:w="921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032"/>
        <w:gridCol w:w="302"/>
        <w:gridCol w:w="928"/>
        <w:gridCol w:w="611"/>
        <w:gridCol w:w="426"/>
        <w:gridCol w:w="847"/>
        <w:gridCol w:w="853"/>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38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项目</w:t>
            </w:r>
            <w:r>
              <w:rPr>
                <w:rFonts w:ascii="Arial" w:hAnsi="Arial" w:eastAsia="宋体" w:cs="Arial"/>
                <w:color w:val="000000"/>
                <w:kern w:val="0"/>
                <w:sz w:val="24"/>
                <w:szCs w:val="24"/>
              </w:rPr>
              <w:t>名称</w:t>
            </w:r>
          </w:p>
        </w:tc>
        <w:tc>
          <w:tcPr>
            <w:tcW w:w="7834" w:type="dxa"/>
            <w:gridSpan w:val="9"/>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甘薯主要病虫害综合防控技术规程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1" w:type="dxa"/>
            <w:vAlign w:val="center"/>
          </w:tcPr>
          <w:p>
            <w:pPr>
              <w:widowControl/>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制定</w:t>
            </w:r>
            <w:r>
              <w:rPr>
                <w:rFonts w:ascii="Arial" w:hAnsi="Arial" w:eastAsia="宋体" w:cs="Arial"/>
                <w:color w:val="000000"/>
                <w:kern w:val="0"/>
                <w:sz w:val="24"/>
                <w:szCs w:val="24"/>
              </w:rPr>
              <w:t>或</w:t>
            </w:r>
          </w:p>
          <w:p>
            <w:pPr>
              <w:widowControl/>
              <w:spacing w:line="360" w:lineRule="auto"/>
              <w:jc w:val="center"/>
              <w:rPr>
                <w:rFonts w:ascii="Arial" w:hAnsi="Arial" w:eastAsia="宋体" w:cs="Arial"/>
                <w:color w:val="000000"/>
                <w:kern w:val="0"/>
                <w:sz w:val="24"/>
                <w:szCs w:val="24"/>
              </w:rPr>
            </w:pPr>
            <w:r>
              <w:rPr>
                <w:rFonts w:ascii="Arial" w:hAnsi="Arial" w:eastAsia="宋体" w:cs="Arial"/>
                <w:color w:val="000000"/>
                <w:kern w:val="0"/>
                <w:sz w:val="24"/>
                <w:szCs w:val="24"/>
              </w:rPr>
              <w:t>修</w:t>
            </w:r>
            <w:r>
              <w:rPr>
                <w:rFonts w:hint="eastAsia" w:ascii="Arial" w:hAnsi="Arial" w:eastAsia="宋体" w:cs="Arial"/>
                <w:color w:val="000000"/>
                <w:kern w:val="0"/>
                <w:sz w:val="24"/>
                <w:szCs w:val="24"/>
              </w:rPr>
              <w:t>订</w:t>
            </w:r>
          </w:p>
        </w:tc>
        <w:tc>
          <w:tcPr>
            <w:tcW w:w="1334" w:type="dxa"/>
            <w:gridSpan w:val="2"/>
            <w:vAlign w:val="center"/>
          </w:tcPr>
          <w:p>
            <w:pPr>
              <w:widowControl/>
              <w:spacing w:line="360" w:lineRule="auto"/>
              <w:rPr>
                <w:rFonts w:ascii="Arial" w:hAnsi="Arial" w:eastAsia="宋体" w:cs="Arial"/>
                <w:color w:val="000000"/>
                <w:kern w:val="0"/>
                <w:sz w:val="24"/>
                <w:szCs w:val="24"/>
              </w:rPr>
            </w:pPr>
            <w:r>
              <w:rPr>
                <w:rFonts w:hint="eastAsia" w:ascii="宋体" w:hAnsi="宋体" w:eastAsia="宋体" w:cs="Arial"/>
                <w:color w:val="000000"/>
                <w:kern w:val="0"/>
                <w:sz w:val="24"/>
                <w:szCs w:val="24"/>
              </w:rPr>
              <w:t>■</w:t>
            </w:r>
            <w:r>
              <w:rPr>
                <w:rFonts w:hint="eastAsia" w:ascii="Arial" w:hAnsi="Arial" w:eastAsia="宋体" w:cs="Arial"/>
                <w:color w:val="000000"/>
                <w:kern w:val="0"/>
                <w:sz w:val="24"/>
                <w:szCs w:val="24"/>
              </w:rPr>
              <w:t xml:space="preserve"> 制</w:t>
            </w:r>
            <w:r>
              <w:rPr>
                <w:rFonts w:ascii="Arial" w:hAnsi="Arial" w:eastAsia="宋体" w:cs="Arial"/>
                <w:color w:val="000000"/>
                <w:kern w:val="0"/>
                <w:sz w:val="24"/>
                <w:szCs w:val="24"/>
              </w:rPr>
              <w:t>定</w:t>
            </w:r>
          </w:p>
        </w:tc>
        <w:tc>
          <w:tcPr>
            <w:tcW w:w="1539" w:type="dxa"/>
            <w:gridSpan w:val="2"/>
            <w:vAlign w:val="center"/>
          </w:tcPr>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 修订</w:t>
            </w:r>
          </w:p>
        </w:tc>
        <w:tc>
          <w:tcPr>
            <w:tcW w:w="2126" w:type="dxa"/>
            <w:gridSpan w:val="3"/>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被</w:t>
            </w:r>
            <w:r>
              <w:rPr>
                <w:rFonts w:ascii="Arial" w:hAnsi="Arial" w:eastAsia="宋体" w:cs="Arial"/>
                <w:color w:val="000000"/>
                <w:kern w:val="0"/>
                <w:sz w:val="24"/>
                <w:szCs w:val="24"/>
              </w:rPr>
              <w:t>修订标准号</w:t>
            </w:r>
          </w:p>
        </w:tc>
        <w:tc>
          <w:tcPr>
            <w:tcW w:w="2835" w:type="dxa"/>
            <w:gridSpan w:val="2"/>
            <w:vAlign w:val="center"/>
          </w:tcPr>
          <w:p>
            <w:pPr>
              <w:widowControl/>
              <w:spacing w:line="360" w:lineRule="auto"/>
              <w:jc w:val="center"/>
              <w:rPr>
                <w:rFonts w:ascii="Arial" w:hAnsi="Arial" w:eastAsia="宋体" w:cs="Arial"/>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1" w:type="dxa"/>
            <w:vAlign w:val="center"/>
          </w:tcPr>
          <w:p>
            <w:pPr>
              <w:widowControl/>
              <w:spacing w:line="360" w:lineRule="auto"/>
              <w:jc w:val="center"/>
              <w:rPr>
                <w:rFonts w:ascii="Arial" w:hAnsi="Arial" w:eastAsia="宋体" w:cs="Arial"/>
                <w:color w:val="000000"/>
                <w:kern w:val="0"/>
                <w:sz w:val="24"/>
                <w:szCs w:val="24"/>
              </w:rPr>
            </w:pPr>
            <w:bookmarkStart w:id="0" w:name="_GoBack" w:colFirst="1" w:colLast="5"/>
            <w:r>
              <w:rPr>
                <w:rFonts w:hint="eastAsia" w:ascii="Arial" w:hAnsi="Arial" w:eastAsia="宋体" w:cs="Arial"/>
                <w:color w:val="000000"/>
                <w:kern w:val="0"/>
                <w:sz w:val="24"/>
                <w:szCs w:val="24"/>
              </w:rPr>
              <w:t>申请立项单位名称</w:t>
            </w:r>
          </w:p>
        </w:tc>
        <w:tc>
          <w:tcPr>
            <w:tcW w:w="4999" w:type="dxa"/>
            <w:gridSpan w:val="7"/>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汕头市潮阳区农产品质量安全中心</w:t>
            </w:r>
          </w:p>
        </w:tc>
        <w:tc>
          <w:tcPr>
            <w:tcW w:w="1134"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联系人</w:t>
            </w:r>
          </w:p>
        </w:tc>
        <w:tc>
          <w:tcPr>
            <w:tcW w:w="170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黄雪晖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138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单位地址</w:t>
            </w:r>
          </w:p>
        </w:tc>
        <w:tc>
          <w:tcPr>
            <w:tcW w:w="4999" w:type="dxa"/>
            <w:gridSpan w:val="7"/>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汕头市潮阳区棉北街道北关路棉兴南路</w:t>
            </w:r>
          </w:p>
        </w:tc>
        <w:tc>
          <w:tcPr>
            <w:tcW w:w="1134"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邮政编码</w:t>
            </w:r>
          </w:p>
        </w:tc>
        <w:tc>
          <w:tcPr>
            <w:tcW w:w="170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515100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1" w:type="dxa"/>
            <w:vAlign w:val="center"/>
          </w:tcPr>
          <w:p>
            <w:pPr>
              <w:widowControl/>
              <w:spacing w:line="360" w:lineRule="auto"/>
              <w:jc w:val="center"/>
              <w:rPr>
                <w:rFonts w:hint="eastAsia" w:ascii="Arial" w:hAnsi="Arial" w:eastAsia="宋体" w:cs="Arial"/>
                <w:color w:val="000000"/>
                <w:kern w:val="0"/>
                <w:sz w:val="24"/>
                <w:szCs w:val="24"/>
                <w:lang w:eastAsia="zh-CN"/>
              </w:rPr>
            </w:pPr>
            <w:r>
              <w:rPr>
                <w:rFonts w:hint="eastAsia" w:ascii="Arial" w:hAnsi="Arial" w:eastAsia="宋体" w:cs="Arial"/>
                <w:color w:val="000000"/>
                <w:kern w:val="0"/>
                <w:sz w:val="24"/>
                <w:szCs w:val="24"/>
              </w:rPr>
              <w:t>电话</w:t>
            </w: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座机及手机</w:t>
            </w:r>
            <w:r>
              <w:rPr>
                <w:rFonts w:hint="eastAsia" w:ascii="Arial" w:hAnsi="Arial" w:eastAsia="宋体" w:cs="Arial"/>
                <w:color w:val="000000"/>
                <w:kern w:val="0"/>
                <w:sz w:val="24"/>
                <w:szCs w:val="24"/>
                <w:lang w:eastAsia="zh-CN"/>
              </w:rPr>
              <w:t>）</w:t>
            </w:r>
          </w:p>
        </w:tc>
        <w:tc>
          <w:tcPr>
            <w:tcW w:w="2262" w:type="dxa"/>
            <w:gridSpan w:val="3"/>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15915502218</w:t>
            </w:r>
          </w:p>
        </w:tc>
        <w:tc>
          <w:tcPr>
            <w:tcW w:w="1037" w:type="dxa"/>
            <w:gridSpan w:val="2"/>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传真</w:t>
            </w:r>
          </w:p>
        </w:tc>
        <w:tc>
          <w:tcPr>
            <w:tcW w:w="1700" w:type="dxa"/>
            <w:gridSpan w:val="2"/>
            <w:vAlign w:val="center"/>
          </w:tcPr>
          <w:p>
            <w:pPr>
              <w:widowControl/>
              <w:spacing w:line="360" w:lineRule="auto"/>
              <w:jc w:val="center"/>
              <w:rPr>
                <w:rFonts w:ascii="Arial" w:hAnsi="Arial" w:eastAsia="宋体" w:cs="Arial"/>
                <w:color w:val="000000"/>
                <w:kern w:val="0"/>
                <w:sz w:val="24"/>
                <w:szCs w:val="24"/>
              </w:rPr>
            </w:pPr>
          </w:p>
        </w:tc>
        <w:tc>
          <w:tcPr>
            <w:tcW w:w="1134" w:type="dxa"/>
            <w:vAlign w:val="center"/>
          </w:tcPr>
          <w:p>
            <w:pPr>
              <w:widowControl/>
              <w:spacing w:line="360" w:lineRule="auto"/>
              <w:jc w:val="center"/>
              <w:rPr>
                <w:rFonts w:ascii="Arial" w:hAnsi="Arial" w:eastAsia="宋体" w:cs="Arial"/>
                <w:color w:val="000000"/>
                <w:kern w:val="0"/>
                <w:sz w:val="24"/>
                <w:szCs w:val="24"/>
              </w:rPr>
            </w:pPr>
            <w:r>
              <w:rPr>
                <w:rFonts w:ascii="Arial" w:hAnsi="Arial" w:eastAsia="宋体" w:cs="Arial"/>
                <w:color w:val="000000"/>
                <w:kern w:val="0"/>
                <w:sz w:val="24"/>
                <w:szCs w:val="24"/>
              </w:rPr>
              <w:t>E-mail</w:t>
            </w:r>
          </w:p>
        </w:tc>
        <w:tc>
          <w:tcPr>
            <w:tcW w:w="1701" w:type="dxa"/>
            <w:vAlign w:val="top"/>
          </w:tcPr>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ncpzlaq2021@126.com</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15" w:type="dxa"/>
            <w:gridSpan w:val="10"/>
          </w:tcPr>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项目任务的目的、意义或必要性：</w:t>
            </w:r>
          </w:p>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一、</w:t>
            </w:r>
            <w:r>
              <w:rPr>
                <w:rFonts w:hint="eastAsia" w:ascii="Arial" w:hAnsi="Arial" w:eastAsia="宋体" w:cs="Arial"/>
                <w:color w:val="000000"/>
                <w:kern w:val="0"/>
                <w:sz w:val="24"/>
                <w:szCs w:val="24"/>
                <w:lang w:val="en-US" w:eastAsia="zh-CN"/>
              </w:rPr>
              <w:t>甘薯病虫害发生</w:t>
            </w:r>
            <w:r>
              <w:rPr>
                <w:rFonts w:hint="eastAsia" w:ascii="Arial" w:hAnsi="Arial" w:eastAsia="宋体" w:cs="Arial"/>
                <w:color w:val="000000"/>
                <w:kern w:val="0"/>
                <w:sz w:val="24"/>
                <w:szCs w:val="24"/>
              </w:rPr>
              <w:t>概况</w:t>
            </w:r>
          </w:p>
          <w:p>
            <w:pPr>
              <w:widowControl/>
              <w:spacing w:line="360" w:lineRule="auto"/>
              <w:ind w:firstLine="480" w:firstLineChars="200"/>
              <w:rPr>
                <w:rFonts w:hint="eastAsia"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我国各大薯区甘薯病虫害发生种类有很大差异，南方、北方薯区病虫种类完全不同，北方病害以根腐病、茎线虫病、黑斑病为主，新近有黑痣病和紫纹羽病发生，而虫害以蛴螬和金针虫为主；南方病害以蔓割病、薯瘟病、疮痂病为主，新近发生的有黑腐病和一个新的未知病害，而虫害以蚁象为害为主；而长江中下游薯区处于南北交接带，病害的发生也是如此，在靠近南方薯区的地方病虫害多与南方薯区相同，中间地带则主要是一些贮藏期病害的为害。</w:t>
            </w:r>
          </w:p>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rPr>
              <w:t>二、</w:t>
            </w:r>
            <w:r>
              <w:rPr>
                <w:rFonts w:hint="eastAsia" w:ascii="Arial" w:hAnsi="Arial" w:eastAsia="宋体" w:cs="Arial"/>
                <w:color w:val="000000"/>
                <w:kern w:val="0"/>
                <w:sz w:val="24"/>
                <w:szCs w:val="24"/>
                <w:lang w:val="en-US" w:eastAsia="zh-CN"/>
              </w:rPr>
              <w:t>甘薯主要病虫害综合防控</w:t>
            </w:r>
            <w:r>
              <w:rPr>
                <w:rFonts w:hint="eastAsia" w:ascii="Arial" w:hAnsi="Arial" w:eastAsia="宋体" w:cs="Arial"/>
                <w:color w:val="000000"/>
                <w:kern w:val="0"/>
                <w:sz w:val="24"/>
                <w:szCs w:val="24"/>
              </w:rPr>
              <w:t>的重要意义</w:t>
            </w:r>
          </w:p>
          <w:p>
            <w:pPr>
              <w:widowControl/>
              <w:spacing w:line="360" w:lineRule="auto"/>
              <w:ind w:firstLine="480"/>
              <w:rPr>
                <w:rFonts w:hint="default"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甘薯病虫害是严重影响甘薯产量的重要因素，如不加以防治，每年可导致甘薯减产达40%以上。为减少甘薯病虫害带来的损失，应综合利用农业、物理、生物防治等措施，同时科学使用农药，各项措施协调运用，优化甘薯病虫害防治方法，减少农药使用量，提质增效，确保作物丰产、稳产。因此，综合防控对甘薯病虫害的防治</w:t>
            </w:r>
            <w:r>
              <w:rPr>
                <w:rFonts w:hint="eastAsia" w:ascii="Arial" w:hAnsi="Arial" w:eastAsia="宋体" w:cs="Arial"/>
                <w:color w:val="000000"/>
                <w:kern w:val="0"/>
                <w:sz w:val="24"/>
                <w:szCs w:val="24"/>
                <w:lang w:eastAsia="zh-CN"/>
              </w:rPr>
              <w:t>具有重要的意义。</w:t>
            </w:r>
          </w:p>
          <w:p>
            <w:pPr>
              <w:widowControl/>
              <w:spacing w:line="360" w:lineRule="auto"/>
              <w:rPr>
                <w:rFonts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三</w:t>
            </w:r>
            <w:r>
              <w:rPr>
                <w:rFonts w:hint="eastAsia" w:ascii="Arial" w:hAnsi="Arial" w:eastAsia="宋体" w:cs="Arial"/>
                <w:color w:val="000000"/>
                <w:kern w:val="0"/>
                <w:sz w:val="24"/>
                <w:szCs w:val="24"/>
              </w:rPr>
              <w:t>、本规范制定的意义</w:t>
            </w:r>
          </w:p>
          <w:p>
            <w:pPr>
              <w:widowControl/>
              <w:spacing w:line="360" w:lineRule="auto"/>
              <w:ind w:firstLine="480"/>
              <w:rPr>
                <w:rFonts w:hint="eastAsia"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目前，甘薯病虫害发生逐渐严重，化学防治仍然是主要控制措施，而长期过量投入使用化学农药，不仅造成农业面源污染加重，给生态环境带来严重的负面效应，影响农业可持续发展，而且促进有害生物抗药性的产生及猖獗流行频度的加快，同时农药的大量使用严重影响甘薯的质量安全，威胁消费者的身体健康和生命安全。本规程结合了农业防治、物理防治、生物防治、化学防治等措施，以达到持续科学防控甘薯病虫害的目的，为减少病虫来源、保护天敌、降低农药残留和安全高效控制甘薯病虫害提供技术支撑，对保障我国农产品的产量及品质，推动农药减量行动和农业可持续发展具有重要意义。</w:t>
            </w:r>
          </w:p>
          <w:p>
            <w:pPr>
              <w:widowControl/>
              <w:spacing w:line="360" w:lineRule="auto"/>
              <w:rPr>
                <w:rFonts w:ascii="Arial" w:hAnsi="Arial" w:eastAsia="宋体" w:cs="Arial"/>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15" w:type="dxa"/>
            <w:gridSpan w:val="10"/>
          </w:tcPr>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适用范围和主要技术内容：</w:t>
            </w:r>
          </w:p>
          <w:p>
            <w:pPr>
              <w:widowControl/>
              <w:spacing w:line="360" w:lineRule="auto"/>
              <w:jc w:val="left"/>
              <w:rPr>
                <w:rFonts w:hint="eastAsia"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适用范围：</w:t>
            </w:r>
            <w:r>
              <w:rPr>
                <w:rFonts w:hint="eastAsia" w:ascii="Times New Roman" w:hAnsi="Times New Roman" w:eastAsia="宋体"/>
                <w:b w:val="0"/>
                <w:bCs w:val="0"/>
                <w:sz w:val="24"/>
                <w:szCs w:val="32"/>
                <w:lang w:val="en-US" w:eastAsia="zh-CN"/>
              </w:rPr>
              <w:t>广东省甘薯生产区主要病虫害的防控。</w:t>
            </w:r>
          </w:p>
          <w:p>
            <w:pPr>
              <w:widowControl/>
              <w:spacing w:line="360" w:lineRule="auto"/>
              <w:jc w:val="left"/>
              <w:rPr>
                <w:rFonts w:hint="eastAsia" w:ascii="Arial" w:hAnsi="Arial" w:eastAsia="宋体" w:cs="Arial"/>
                <w:color w:val="000000"/>
                <w:kern w:val="0"/>
                <w:sz w:val="24"/>
                <w:szCs w:val="24"/>
              </w:rPr>
            </w:pPr>
            <w:r>
              <w:rPr>
                <w:rFonts w:hint="eastAsia" w:ascii="Arial" w:hAnsi="Arial" w:eastAsia="宋体" w:cs="Arial"/>
                <w:color w:val="000000"/>
                <w:kern w:val="0"/>
                <w:sz w:val="24"/>
                <w:szCs w:val="24"/>
                <w:lang w:val="en-US" w:eastAsia="zh-CN"/>
              </w:rPr>
              <w:t>主要技术内容：</w:t>
            </w:r>
            <w:r>
              <w:rPr>
                <w:rFonts w:hint="eastAsia" w:ascii="Times New Roman" w:hAnsi="Times New Roman" w:eastAsia="宋体"/>
                <w:b w:val="0"/>
                <w:bCs w:val="0"/>
                <w:sz w:val="24"/>
                <w:szCs w:val="32"/>
                <w:lang w:val="en-US" w:eastAsia="zh-CN"/>
              </w:rPr>
              <w:t>甘薯主要病虫害综合防控的防控对象、防控原则及</w:t>
            </w:r>
            <w:r>
              <w:rPr>
                <w:rFonts w:hint="eastAsia" w:ascii="Arial" w:hAnsi="Arial" w:eastAsia="宋体" w:cs="Arial"/>
                <w:color w:val="000000"/>
                <w:kern w:val="0"/>
                <w:sz w:val="24"/>
                <w:szCs w:val="24"/>
                <w:lang w:val="en-US" w:eastAsia="zh-CN"/>
              </w:rPr>
              <w:t>各项技术措施等</w:t>
            </w:r>
            <w:r>
              <w:rPr>
                <w:rFonts w:hint="eastAsia" w:ascii="Times New Roman" w:hAnsi="Times New Roman" w:eastAsia="宋体"/>
                <w:b w:val="0"/>
                <w:bCs w:val="0"/>
                <w:sz w:val="24"/>
                <w:szCs w:val="32"/>
                <w:lang w:val="en-US" w:eastAsia="zh-CN"/>
              </w:rPr>
              <w:t>。</w:t>
            </w:r>
          </w:p>
          <w:p>
            <w:pPr>
              <w:widowControl/>
              <w:spacing w:line="360" w:lineRule="auto"/>
              <w:jc w:val="left"/>
              <w:rPr>
                <w:rFonts w:ascii="Arial" w:hAnsi="Arial" w:eastAsia="宋体" w:cs="Arial"/>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15" w:type="dxa"/>
            <w:gridSpan w:val="10"/>
          </w:tcPr>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国内外情况简要说明：</w:t>
            </w:r>
          </w:p>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一、国外概况</w:t>
            </w:r>
          </w:p>
          <w:p>
            <w:pPr>
              <w:widowControl/>
              <w:spacing w:line="360" w:lineRule="auto"/>
              <w:ind w:firstLine="480" w:firstLineChars="200"/>
              <w:jc w:val="left"/>
              <w:rPr>
                <w:rFonts w:hint="default" w:ascii="Arial" w:hAnsi="Arial" w:eastAsia="宋体" w:cs="Arial"/>
                <w:color w:val="000000"/>
                <w:kern w:val="0"/>
                <w:sz w:val="24"/>
                <w:szCs w:val="24"/>
                <w:lang w:val="en-US" w:eastAsia="zh-CN"/>
              </w:rPr>
            </w:pPr>
            <w:r>
              <w:rPr>
                <w:rFonts w:hint="default" w:ascii="Arial" w:hAnsi="Arial" w:eastAsia="宋体" w:cs="Arial"/>
                <w:color w:val="000000"/>
                <w:kern w:val="0"/>
                <w:sz w:val="24"/>
                <w:szCs w:val="24"/>
                <w:lang w:val="en-US" w:eastAsia="zh-CN"/>
              </w:rPr>
              <w:t>日本在研究甘薯抗根结线虫病和黑斑病方面取得了很大的进展，已育成高抗根结线虫病的品种农林37、农林40、农林49，抗黑斑病的品种农林39等。甘薯病毒病是一种世界性病害，国内外尚没有高抗病毒病的品种在生产上应用。甘薯蚁蟓即甘薯小象甲是热带和亚热带地区甘薯生产上的一种毁灭性害虫，甘薯中至今还没有发现有效的抗源</w:t>
            </w:r>
            <w:r>
              <w:rPr>
                <w:rFonts w:hint="eastAsia" w:ascii="Arial" w:hAnsi="Arial" w:eastAsia="宋体" w:cs="Arial"/>
                <w:color w:val="000000"/>
                <w:kern w:val="0"/>
                <w:sz w:val="24"/>
                <w:szCs w:val="24"/>
                <w:lang w:val="en-US" w:eastAsia="zh-CN"/>
              </w:rPr>
              <w:t>。</w:t>
            </w:r>
          </w:p>
          <w:p>
            <w:pPr>
              <w:widowControl/>
              <w:spacing w:line="360" w:lineRule="auto"/>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二、国内概况</w:t>
            </w:r>
          </w:p>
          <w:p>
            <w:pPr>
              <w:widowControl/>
              <w:spacing w:line="360" w:lineRule="auto"/>
              <w:ind w:firstLine="480" w:firstLineChars="200"/>
              <w:rPr>
                <w:rFonts w:hint="eastAsia" w:ascii="Arial" w:hAnsi="Arial" w:eastAsia="宋体" w:cs="Arial"/>
                <w:color w:val="000000"/>
                <w:kern w:val="0"/>
                <w:sz w:val="24"/>
                <w:szCs w:val="24"/>
                <w:lang w:val="en-US" w:eastAsia="zh-CN"/>
              </w:rPr>
            </w:pPr>
            <w:r>
              <w:rPr>
                <w:rFonts w:hint="eastAsia" w:ascii="Arial" w:hAnsi="Arial" w:eastAsia="宋体" w:cs="Arial"/>
                <w:color w:val="000000"/>
                <w:kern w:val="0"/>
                <w:sz w:val="24"/>
                <w:szCs w:val="24"/>
                <w:lang w:val="en-US" w:eastAsia="zh-CN"/>
              </w:rPr>
              <w:t>对于甘薯病虫害的防治主要是通过抗病品种的推广、栽培技术的改进、药剂防治等方法进行。甘薯根腐病、蔓割病和薯瘟病的防治，由于抗病品种的推广应用，病害得到有效控制。甘薯黑斑病、甘薯软腐病和甘薯干腐病的防治，则是采用了一些栽培技术的改进（高剪苗、贮藏期高温愈合），而使病害的发生和传播得到控制。但有些病虫害，如甘薯茎线虫病、甘薯蚁象和地下害虫等，在防治上大量使用高毒农药，防治效果依然很差。</w:t>
            </w:r>
          </w:p>
          <w:p>
            <w:pPr>
              <w:widowControl/>
              <w:spacing w:line="360" w:lineRule="auto"/>
              <w:ind w:firstLine="480" w:firstLineChars="200"/>
              <w:jc w:val="left"/>
              <w:rPr>
                <w:rFonts w:ascii="Arial" w:hAnsi="Arial" w:eastAsia="宋体" w:cs="Arial"/>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413" w:type="dxa"/>
            <w:gridSpan w:val="2"/>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采用的国际标准编号</w:t>
            </w:r>
          </w:p>
        </w:tc>
        <w:tc>
          <w:tcPr>
            <w:tcW w:w="6802" w:type="dxa"/>
            <w:gridSpan w:val="8"/>
            <w:vAlign w:val="center"/>
          </w:tcPr>
          <w:p>
            <w:pPr>
              <w:widowControl/>
              <w:spacing w:line="360" w:lineRule="auto"/>
              <w:jc w:val="center"/>
              <w:rPr>
                <w:rFonts w:hint="default" w:ascii="Arial" w:hAnsi="Arial" w:eastAsia="宋体" w:cs="Arial"/>
                <w:color w:val="000000"/>
                <w:kern w:val="0"/>
                <w:sz w:val="24"/>
                <w:szCs w:val="24"/>
                <w:lang w:val="en-US" w:eastAsia="zh-CN"/>
              </w:rPr>
            </w:pPr>
            <w:r>
              <w:rPr>
                <w:rFonts w:ascii="Arial" w:hAnsi="Arial" w:eastAsia="宋体" w:cs="Arial"/>
                <w:color w:val="000000"/>
                <w:kern w:val="0"/>
                <w:sz w:val="24"/>
                <w:szCs w:val="24"/>
              </w:rPr>
              <w:t>GB/T 1.1—20</w:t>
            </w:r>
            <w:r>
              <w:rPr>
                <w:rFonts w:hint="eastAsia" w:ascii="Arial" w:hAnsi="Arial" w:eastAsia="宋体" w:cs="Arial"/>
                <w:color w:val="000000"/>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1381" w:type="dxa"/>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申请</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立项</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单位</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意见</w:t>
            </w:r>
          </w:p>
        </w:tc>
        <w:tc>
          <w:tcPr>
            <w:tcW w:w="2873" w:type="dxa"/>
            <w:gridSpan w:val="4"/>
          </w:tcPr>
          <w:p>
            <w:pPr>
              <w:widowControl/>
              <w:spacing w:line="360" w:lineRule="auto"/>
              <w:ind w:firstLine="480" w:firstLineChars="200"/>
              <w:jc w:val="left"/>
              <w:rPr>
                <w:rFonts w:ascii="Arial" w:hAnsi="Arial" w:eastAsia="宋体" w:cs="Arial"/>
                <w:color w:val="000000"/>
                <w:kern w:val="0"/>
                <w:sz w:val="24"/>
                <w:szCs w:val="24"/>
              </w:rPr>
            </w:pPr>
          </w:p>
          <w:p>
            <w:pPr>
              <w:widowControl/>
              <w:spacing w:line="360" w:lineRule="auto"/>
              <w:ind w:firstLine="480" w:firstLineChars="200"/>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 xml:space="preserve"> </w:t>
            </w:r>
          </w:p>
          <w:p>
            <w:pPr>
              <w:widowControl/>
              <w:spacing w:line="360" w:lineRule="auto"/>
              <w:ind w:firstLine="840" w:firstLineChars="350"/>
              <w:jc w:val="left"/>
              <w:rPr>
                <w:rFonts w:ascii="Arial" w:hAnsi="Arial" w:eastAsia="宋体" w:cs="Arial"/>
                <w:color w:val="000000"/>
                <w:kern w:val="0"/>
                <w:sz w:val="24"/>
                <w:szCs w:val="24"/>
              </w:rPr>
            </w:pP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签字、盖公章）</w:t>
            </w:r>
          </w:p>
          <w:p>
            <w:pPr>
              <w:widowControl/>
              <w:spacing w:line="360" w:lineRule="auto"/>
              <w:ind w:firstLine="1200" w:firstLineChars="500"/>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 xml:space="preserve">年 </w:t>
            </w:r>
            <w:r>
              <w:rPr>
                <w:rFonts w:ascii="Arial" w:hAnsi="Arial" w:eastAsia="宋体" w:cs="Arial"/>
                <w:color w:val="000000"/>
                <w:kern w:val="0"/>
                <w:sz w:val="24"/>
                <w:szCs w:val="24"/>
              </w:rPr>
              <w:t xml:space="preserve"> </w:t>
            </w:r>
            <w:r>
              <w:rPr>
                <w:rFonts w:hint="eastAsia" w:ascii="Arial" w:hAnsi="Arial" w:eastAsia="宋体" w:cs="Arial"/>
                <w:color w:val="000000"/>
                <w:kern w:val="0"/>
                <w:sz w:val="24"/>
                <w:szCs w:val="24"/>
              </w:rPr>
              <w:t>月  日</w:t>
            </w:r>
          </w:p>
        </w:tc>
        <w:tc>
          <w:tcPr>
            <w:tcW w:w="1273" w:type="dxa"/>
            <w:gridSpan w:val="2"/>
            <w:vAlign w:val="center"/>
          </w:tcPr>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广东省农药协会</w:t>
            </w:r>
          </w:p>
          <w:p>
            <w:pPr>
              <w:widowControl/>
              <w:spacing w:line="360" w:lineRule="auto"/>
              <w:jc w:val="center"/>
              <w:rPr>
                <w:rFonts w:ascii="Arial" w:hAnsi="Arial" w:eastAsia="宋体" w:cs="Arial"/>
                <w:color w:val="000000"/>
                <w:kern w:val="0"/>
                <w:sz w:val="24"/>
                <w:szCs w:val="24"/>
              </w:rPr>
            </w:pPr>
            <w:r>
              <w:rPr>
                <w:rFonts w:hint="eastAsia" w:ascii="Arial" w:hAnsi="Arial" w:eastAsia="宋体" w:cs="Arial"/>
                <w:color w:val="000000"/>
                <w:kern w:val="0"/>
                <w:sz w:val="24"/>
                <w:szCs w:val="24"/>
              </w:rPr>
              <w:t>意见</w:t>
            </w:r>
          </w:p>
        </w:tc>
        <w:tc>
          <w:tcPr>
            <w:tcW w:w="3688" w:type="dxa"/>
            <w:gridSpan w:val="3"/>
          </w:tcPr>
          <w:p>
            <w:pPr>
              <w:widowControl/>
              <w:jc w:val="left"/>
              <w:rPr>
                <w:rFonts w:ascii="Arial" w:hAnsi="Arial" w:eastAsia="宋体" w:cs="Arial"/>
                <w:color w:val="000000"/>
                <w:kern w:val="0"/>
                <w:sz w:val="24"/>
                <w:szCs w:val="24"/>
              </w:rPr>
            </w:pPr>
          </w:p>
          <w:p>
            <w:pPr>
              <w:widowControl/>
              <w:spacing w:line="360" w:lineRule="auto"/>
              <w:jc w:val="left"/>
              <w:rPr>
                <w:rFonts w:ascii="Arial" w:hAnsi="Arial" w:eastAsia="宋体" w:cs="Arial"/>
                <w:color w:val="000000"/>
                <w:kern w:val="0"/>
                <w:sz w:val="24"/>
                <w:szCs w:val="24"/>
              </w:rPr>
            </w:pPr>
          </w:p>
          <w:p>
            <w:pPr>
              <w:widowControl/>
              <w:spacing w:line="360" w:lineRule="auto"/>
              <w:ind w:firstLine="1440" w:firstLineChars="600"/>
              <w:jc w:val="left"/>
              <w:rPr>
                <w:rFonts w:ascii="Arial" w:hAnsi="Arial" w:eastAsia="宋体" w:cs="Arial"/>
                <w:color w:val="000000"/>
                <w:kern w:val="0"/>
                <w:sz w:val="24"/>
                <w:szCs w:val="24"/>
              </w:rPr>
            </w:pPr>
            <w:r>
              <w:rPr>
                <w:rFonts w:hint="eastAsia" w:ascii="Arial" w:hAnsi="Arial" w:eastAsia="宋体" w:cs="Arial"/>
                <w:color w:val="000000"/>
                <w:kern w:val="0"/>
                <w:sz w:val="24"/>
                <w:szCs w:val="24"/>
                <w:lang w:eastAsia="zh-CN"/>
              </w:rPr>
              <w:t>（</w:t>
            </w:r>
            <w:r>
              <w:rPr>
                <w:rFonts w:hint="eastAsia" w:ascii="Arial" w:hAnsi="Arial" w:eastAsia="宋体" w:cs="Arial"/>
                <w:color w:val="000000"/>
                <w:kern w:val="0"/>
                <w:sz w:val="24"/>
                <w:szCs w:val="24"/>
              </w:rPr>
              <w:t>签字、盖公章）</w:t>
            </w:r>
          </w:p>
          <w:p>
            <w:pPr>
              <w:widowControl/>
              <w:spacing w:line="360" w:lineRule="auto"/>
              <w:ind w:firstLine="1680" w:firstLineChars="700"/>
              <w:jc w:val="left"/>
              <w:rPr>
                <w:rFonts w:ascii="Arial" w:hAnsi="Arial" w:eastAsia="宋体" w:cs="Arial"/>
                <w:color w:val="000000"/>
                <w:kern w:val="0"/>
                <w:sz w:val="24"/>
                <w:szCs w:val="24"/>
              </w:rPr>
            </w:pPr>
            <w:r>
              <w:rPr>
                <w:rFonts w:hint="eastAsia" w:ascii="Arial" w:hAnsi="Arial" w:eastAsia="宋体" w:cs="Arial"/>
                <w:color w:val="000000"/>
                <w:kern w:val="0"/>
                <w:sz w:val="24"/>
                <w:szCs w:val="24"/>
              </w:rPr>
              <w:t>年  月  日</w:t>
            </w:r>
          </w:p>
        </w:tc>
      </w:tr>
    </w:tbl>
    <w:p>
      <w:pPr>
        <w:widowControl/>
        <w:shd w:val="clear" w:color="auto" w:fill="FFFFFF"/>
        <w:jc w:val="left"/>
        <w:rPr>
          <w:rFonts w:ascii="Arial" w:hAnsi="Arial" w:eastAsia="宋体" w:cs="Arial"/>
          <w:color w:val="000000"/>
          <w:kern w:val="0"/>
          <w:sz w:val="22"/>
        </w:rPr>
      </w:pPr>
      <w:r>
        <w:rPr>
          <w:rFonts w:ascii="Arial" w:hAnsi="Arial" w:eastAsia="宋体" w:cs="Arial"/>
          <w:color w:val="000000"/>
          <w:kern w:val="0"/>
          <w:sz w:val="22"/>
        </w:rPr>
        <w:t>注：如本表空间不够，可另附页。</w:t>
      </w:r>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F81B48"/>
    <w:rsid w:val="22F81B48"/>
    <w:rsid w:val="434C622A"/>
    <w:rsid w:val="74FB035F"/>
    <w:rsid w:val="791D7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2021-09-24T08:00:00Z</dcterms:created>
  <dc:creator>陈秀娟</dc:creator>
  <cp:lastModifiedBy>繁星</cp:lastModifiedBy>
  <dcterms:modified xsi:type="dcterms:W3CDTF">2021-09-29T01:58:32Z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EFEE5A0300D14774955DE4B086CB4294</vt:lpwstr>
  </property>
</Properties>
</file>