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Arial" w:hAnsi="Arial" w:eastAsia="宋体" w:cs="Arial"/>
          <w:color w:val="000000"/>
          <w:kern w:val="0"/>
          <w:sz w:val="37"/>
          <w:szCs w:val="37"/>
        </w:rPr>
      </w:pPr>
      <w:r>
        <w:rPr>
          <w:rFonts w:ascii="Arial" w:hAnsi="Arial" w:eastAsia="宋体" w:cs="Arial"/>
          <w:color w:val="000000"/>
          <w:kern w:val="0"/>
          <w:sz w:val="37"/>
          <w:szCs w:val="37"/>
        </w:rPr>
        <w:t>广东省</w:t>
      </w:r>
      <w:r>
        <w:rPr>
          <w:rFonts w:hint="eastAsia" w:ascii="Arial" w:hAnsi="Arial" w:eastAsia="宋体" w:cs="Arial"/>
          <w:color w:val="000000"/>
          <w:kern w:val="0"/>
          <w:sz w:val="37"/>
          <w:szCs w:val="37"/>
        </w:rPr>
        <w:t>农药</w:t>
      </w:r>
      <w:r>
        <w:rPr>
          <w:rFonts w:ascii="Arial" w:hAnsi="Arial" w:eastAsia="宋体" w:cs="Arial"/>
          <w:color w:val="000000"/>
          <w:kern w:val="0"/>
          <w:sz w:val="37"/>
          <w:szCs w:val="37"/>
        </w:rPr>
        <w:t>协会</w:t>
      </w:r>
      <w:r>
        <w:rPr>
          <w:rFonts w:hint="eastAsia" w:ascii="Arial" w:hAnsi="Arial" w:eastAsia="宋体" w:cs="Arial"/>
          <w:color w:val="000000"/>
          <w:kern w:val="0"/>
          <w:sz w:val="37"/>
          <w:szCs w:val="37"/>
        </w:rPr>
        <w:t>团体</w:t>
      </w:r>
      <w:r>
        <w:rPr>
          <w:rFonts w:ascii="Arial" w:hAnsi="Arial" w:eastAsia="宋体" w:cs="Arial"/>
          <w:color w:val="000000"/>
          <w:kern w:val="0"/>
          <w:sz w:val="37"/>
          <w:szCs w:val="37"/>
        </w:rPr>
        <w:t>标准制修订立项申请</w:t>
      </w:r>
      <w:r>
        <w:rPr>
          <w:rFonts w:hint="eastAsia" w:ascii="Arial" w:hAnsi="Arial" w:eastAsia="宋体" w:cs="Arial"/>
          <w:color w:val="000000"/>
          <w:kern w:val="0"/>
          <w:sz w:val="37"/>
          <w:szCs w:val="37"/>
        </w:rPr>
        <w:t>表</w:t>
      </w:r>
    </w:p>
    <w:tbl>
      <w:tblPr>
        <w:tblStyle w:val="3"/>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032"/>
        <w:gridCol w:w="302"/>
        <w:gridCol w:w="928"/>
        <w:gridCol w:w="611"/>
        <w:gridCol w:w="426"/>
        <w:gridCol w:w="847"/>
        <w:gridCol w:w="853"/>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项目</w:t>
            </w:r>
            <w:r>
              <w:rPr>
                <w:rFonts w:ascii="Arial" w:hAnsi="Arial" w:eastAsia="宋体" w:cs="Arial"/>
                <w:color w:val="000000"/>
                <w:kern w:val="0"/>
                <w:sz w:val="24"/>
                <w:szCs w:val="24"/>
              </w:rPr>
              <w:t>名称</w:t>
            </w:r>
          </w:p>
        </w:tc>
        <w:tc>
          <w:tcPr>
            <w:tcW w:w="7834" w:type="dxa"/>
            <w:gridSpan w:val="9"/>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甘薯小象甲综合防控技术规程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制定</w:t>
            </w:r>
            <w:r>
              <w:rPr>
                <w:rFonts w:ascii="Arial" w:hAnsi="Arial" w:eastAsia="宋体" w:cs="Arial"/>
                <w:color w:val="000000"/>
                <w:kern w:val="0"/>
                <w:sz w:val="24"/>
                <w:szCs w:val="24"/>
              </w:rPr>
              <w:t>或</w:t>
            </w:r>
          </w:p>
          <w:p>
            <w:pPr>
              <w:widowControl/>
              <w:spacing w:line="360" w:lineRule="auto"/>
              <w:jc w:val="center"/>
              <w:rPr>
                <w:rFonts w:ascii="Arial" w:hAnsi="Arial" w:eastAsia="宋体" w:cs="Arial"/>
                <w:color w:val="000000"/>
                <w:kern w:val="0"/>
                <w:sz w:val="24"/>
                <w:szCs w:val="24"/>
              </w:rPr>
            </w:pPr>
            <w:r>
              <w:rPr>
                <w:rFonts w:ascii="Arial" w:hAnsi="Arial" w:eastAsia="宋体" w:cs="Arial"/>
                <w:color w:val="000000"/>
                <w:kern w:val="0"/>
                <w:sz w:val="24"/>
                <w:szCs w:val="24"/>
              </w:rPr>
              <w:t>修</w:t>
            </w:r>
            <w:r>
              <w:rPr>
                <w:rFonts w:hint="eastAsia" w:ascii="Arial" w:hAnsi="Arial" w:eastAsia="宋体" w:cs="Arial"/>
                <w:color w:val="000000"/>
                <w:kern w:val="0"/>
                <w:sz w:val="24"/>
                <w:szCs w:val="24"/>
              </w:rPr>
              <w:t>订</w:t>
            </w:r>
          </w:p>
        </w:tc>
        <w:tc>
          <w:tcPr>
            <w:tcW w:w="1334" w:type="dxa"/>
            <w:gridSpan w:val="2"/>
            <w:vAlign w:val="center"/>
          </w:tcPr>
          <w:p>
            <w:pPr>
              <w:widowControl/>
              <w:spacing w:line="360" w:lineRule="auto"/>
              <w:rPr>
                <w:rFonts w:ascii="Arial" w:hAnsi="Arial" w:eastAsia="宋体" w:cs="Arial"/>
                <w:color w:val="000000"/>
                <w:kern w:val="0"/>
                <w:sz w:val="24"/>
                <w:szCs w:val="24"/>
              </w:rPr>
            </w:pPr>
            <w:r>
              <w:rPr>
                <w:rFonts w:hint="eastAsia" w:ascii="宋体" w:hAnsi="宋体" w:eastAsia="宋体" w:cs="Arial"/>
                <w:color w:val="000000"/>
                <w:kern w:val="0"/>
                <w:sz w:val="24"/>
                <w:szCs w:val="24"/>
              </w:rPr>
              <w:t>■</w:t>
            </w:r>
            <w:r>
              <w:rPr>
                <w:rFonts w:hint="eastAsia" w:ascii="Arial" w:hAnsi="Arial" w:eastAsia="宋体" w:cs="Arial"/>
                <w:color w:val="000000"/>
                <w:kern w:val="0"/>
                <w:sz w:val="24"/>
                <w:szCs w:val="24"/>
              </w:rPr>
              <w:t xml:space="preserve"> 制</w:t>
            </w:r>
            <w:r>
              <w:rPr>
                <w:rFonts w:ascii="Arial" w:hAnsi="Arial" w:eastAsia="宋体" w:cs="Arial"/>
                <w:color w:val="000000"/>
                <w:kern w:val="0"/>
                <w:sz w:val="24"/>
                <w:szCs w:val="24"/>
              </w:rPr>
              <w:t>定</w:t>
            </w:r>
          </w:p>
        </w:tc>
        <w:tc>
          <w:tcPr>
            <w:tcW w:w="1539" w:type="dxa"/>
            <w:gridSpan w:val="2"/>
            <w:vAlign w:val="center"/>
          </w:tcPr>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 修订</w:t>
            </w:r>
          </w:p>
        </w:tc>
        <w:tc>
          <w:tcPr>
            <w:tcW w:w="2126" w:type="dxa"/>
            <w:gridSpan w:val="3"/>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被</w:t>
            </w:r>
            <w:r>
              <w:rPr>
                <w:rFonts w:ascii="Arial" w:hAnsi="Arial" w:eastAsia="宋体" w:cs="Arial"/>
                <w:color w:val="000000"/>
                <w:kern w:val="0"/>
                <w:sz w:val="24"/>
                <w:szCs w:val="24"/>
              </w:rPr>
              <w:t>修订标准号</w:t>
            </w:r>
          </w:p>
        </w:tc>
        <w:tc>
          <w:tcPr>
            <w:tcW w:w="2835" w:type="dxa"/>
            <w:gridSpan w:val="2"/>
            <w:vAlign w:val="center"/>
          </w:tcPr>
          <w:p>
            <w:pPr>
              <w:widowControl/>
              <w:spacing w:line="360" w:lineRule="auto"/>
              <w:jc w:val="center"/>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spacing w:line="360" w:lineRule="auto"/>
              <w:jc w:val="center"/>
              <w:rPr>
                <w:rFonts w:ascii="Arial" w:hAnsi="Arial" w:eastAsia="宋体" w:cs="Arial"/>
                <w:color w:val="000000"/>
                <w:kern w:val="0"/>
                <w:sz w:val="24"/>
                <w:szCs w:val="24"/>
              </w:rPr>
            </w:pPr>
            <w:bookmarkStart w:id="0" w:name="_GoBack" w:colFirst="1" w:colLast="5"/>
            <w:r>
              <w:rPr>
                <w:rFonts w:hint="eastAsia" w:ascii="Arial" w:hAnsi="Arial" w:eastAsia="宋体" w:cs="Arial"/>
                <w:color w:val="000000"/>
                <w:kern w:val="0"/>
                <w:sz w:val="24"/>
                <w:szCs w:val="24"/>
              </w:rPr>
              <w:t>申请立项单位名称</w:t>
            </w:r>
          </w:p>
        </w:tc>
        <w:tc>
          <w:tcPr>
            <w:tcW w:w="4999" w:type="dxa"/>
            <w:gridSpan w:val="7"/>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汕头市潮阳区农产品质量安全中心</w:t>
            </w:r>
          </w:p>
        </w:tc>
        <w:tc>
          <w:tcPr>
            <w:tcW w:w="1134"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联系人</w:t>
            </w:r>
          </w:p>
        </w:tc>
        <w:tc>
          <w:tcPr>
            <w:tcW w:w="170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黄雪晖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单位地址</w:t>
            </w:r>
          </w:p>
        </w:tc>
        <w:tc>
          <w:tcPr>
            <w:tcW w:w="4999" w:type="dxa"/>
            <w:gridSpan w:val="7"/>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汕头市潮阳区棉北街道北关路棉兴南路</w:t>
            </w:r>
          </w:p>
        </w:tc>
        <w:tc>
          <w:tcPr>
            <w:tcW w:w="1134"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邮政编码</w:t>
            </w:r>
          </w:p>
        </w:tc>
        <w:tc>
          <w:tcPr>
            <w:tcW w:w="170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515100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spacing w:line="360" w:lineRule="auto"/>
              <w:jc w:val="center"/>
              <w:rPr>
                <w:rFonts w:hint="eastAsia" w:ascii="Arial" w:hAnsi="Arial" w:eastAsia="宋体" w:cs="Arial"/>
                <w:color w:val="000000"/>
                <w:kern w:val="0"/>
                <w:sz w:val="24"/>
                <w:szCs w:val="24"/>
                <w:lang w:eastAsia="zh-CN"/>
              </w:rPr>
            </w:pPr>
            <w:r>
              <w:rPr>
                <w:rFonts w:hint="eastAsia" w:ascii="Arial" w:hAnsi="Arial" w:eastAsia="宋体" w:cs="Arial"/>
                <w:color w:val="000000"/>
                <w:kern w:val="0"/>
                <w:sz w:val="24"/>
                <w:szCs w:val="24"/>
              </w:rPr>
              <w:t>电话</w:t>
            </w: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座机及手机</w:t>
            </w:r>
            <w:r>
              <w:rPr>
                <w:rFonts w:hint="eastAsia" w:ascii="Arial" w:hAnsi="Arial" w:eastAsia="宋体" w:cs="Arial"/>
                <w:color w:val="000000"/>
                <w:kern w:val="0"/>
                <w:sz w:val="24"/>
                <w:szCs w:val="24"/>
                <w:lang w:eastAsia="zh-CN"/>
              </w:rPr>
              <w:t>）</w:t>
            </w:r>
          </w:p>
        </w:tc>
        <w:tc>
          <w:tcPr>
            <w:tcW w:w="2262" w:type="dxa"/>
            <w:gridSpan w:val="3"/>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15915502218</w:t>
            </w:r>
          </w:p>
        </w:tc>
        <w:tc>
          <w:tcPr>
            <w:tcW w:w="1037"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传真</w:t>
            </w:r>
          </w:p>
        </w:tc>
        <w:tc>
          <w:tcPr>
            <w:tcW w:w="1700" w:type="dxa"/>
            <w:gridSpan w:val="2"/>
            <w:vAlign w:val="center"/>
          </w:tcPr>
          <w:p>
            <w:pPr>
              <w:widowControl/>
              <w:spacing w:line="360" w:lineRule="auto"/>
              <w:jc w:val="center"/>
              <w:rPr>
                <w:rFonts w:ascii="Arial" w:hAnsi="Arial" w:eastAsia="宋体" w:cs="Arial"/>
                <w:color w:val="000000"/>
                <w:kern w:val="0"/>
                <w:sz w:val="24"/>
                <w:szCs w:val="24"/>
              </w:rPr>
            </w:pPr>
          </w:p>
        </w:tc>
        <w:tc>
          <w:tcPr>
            <w:tcW w:w="1134" w:type="dxa"/>
            <w:vAlign w:val="center"/>
          </w:tcPr>
          <w:p>
            <w:pPr>
              <w:widowControl/>
              <w:spacing w:line="360" w:lineRule="auto"/>
              <w:jc w:val="center"/>
              <w:rPr>
                <w:rFonts w:ascii="Arial" w:hAnsi="Arial" w:eastAsia="宋体" w:cs="Arial"/>
                <w:color w:val="000000"/>
                <w:kern w:val="0"/>
                <w:sz w:val="24"/>
                <w:szCs w:val="24"/>
              </w:rPr>
            </w:pPr>
            <w:r>
              <w:rPr>
                <w:rFonts w:ascii="Arial" w:hAnsi="Arial" w:eastAsia="宋体" w:cs="Arial"/>
                <w:color w:val="000000"/>
                <w:kern w:val="0"/>
                <w:sz w:val="24"/>
                <w:szCs w:val="24"/>
              </w:rPr>
              <w:t>E-mail</w:t>
            </w:r>
          </w:p>
        </w:tc>
        <w:tc>
          <w:tcPr>
            <w:tcW w:w="1701" w:type="dxa"/>
            <w:vAlign w:val="top"/>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ncpzlaq2021@126.com</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项目任务的目的、意义或必要性：</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一、</w:t>
            </w:r>
            <w:r>
              <w:rPr>
                <w:rFonts w:hint="eastAsia" w:ascii="Arial" w:hAnsi="Arial" w:eastAsia="宋体" w:cs="Arial"/>
                <w:color w:val="000000"/>
                <w:kern w:val="0"/>
                <w:sz w:val="24"/>
                <w:szCs w:val="24"/>
                <w:lang w:val="en-US" w:eastAsia="zh-CN"/>
              </w:rPr>
              <w:t>甘薯小象甲</w:t>
            </w:r>
            <w:r>
              <w:rPr>
                <w:rFonts w:hint="eastAsia" w:ascii="Arial" w:hAnsi="Arial" w:eastAsia="宋体" w:cs="Arial"/>
                <w:color w:val="000000"/>
                <w:kern w:val="0"/>
                <w:sz w:val="24"/>
                <w:szCs w:val="24"/>
              </w:rPr>
              <w:t>概况</w:t>
            </w:r>
          </w:p>
          <w:p>
            <w:pPr>
              <w:widowControl/>
              <w:spacing w:line="360" w:lineRule="auto"/>
              <w:ind w:firstLine="480" w:firstLineChars="200"/>
              <w:rPr>
                <w:rFonts w:hint="eastAsia"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甘薯小象甲是甘薯生长期和储藏期的重要害虫，具有生命力强、繁殖快、繁殖系数高、成虫存活期长、世代重叠现象严重、为害隐蔽等特点。其成虫和幼虫均能为害，但以幼虫为害损失大。成虫飞翔力弱，怕直射日光，有假死性，咬食薯块、藤头、茎、叶柄、嫩梢、幼芽。薯块被害后，使水分散失干缩，其伤口导致甘薯黑斑病、甘薯软腐病等病菌侵入而发病腐烂，从而造成更大损失。幼虫钻蛀薯蔓和薯块，造成许多不规则的纵横潜道，并排粪其内。薯块被害后呈蜂窝状，变为黑色或黑褐色，并诱发病害，造成腐烂，产生一种特殊的腥辣味（故称“臭薯”），完全不能食用，作饲料会引起家畜中毒死亡。甘薯小象甲在中国主要分布在南方地区，近年来已经迅速扩散到长江中下游薯区，并有逐年加重的趋势，给中国甘薯生产带来极大危害。</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二、</w:t>
            </w:r>
            <w:r>
              <w:rPr>
                <w:rFonts w:hint="eastAsia" w:ascii="Arial" w:hAnsi="Arial" w:eastAsia="宋体" w:cs="Arial"/>
                <w:color w:val="000000"/>
                <w:kern w:val="0"/>
                <w:sz w:val="24"/>
                <w:szCs w:val="24"/>
                <w:lang w:val="en-US" w:eastAsia="zh-CN"/>
              </w:rPr>
              <w:t>甘薯小象甲综合防控</w:t>
            </w:r>
            <w:r>
              <w:rPr>
                <w:rFonts w:hint="eastAsia" w:ascii="Arial" w:hAnsi="Arial" w:eastAsia="宋体" w:cs="Arial"/>
                <w:color w:val="000000"/>
                <w:kern w:val="0"/>
                <w:sz w:val="24"/>
                <w:szCs w:val="24"/>
              </w:rPr>
              <w:t>的重要意义</w:t>
            </w:r>
          </w:p>
          <w:p>
            <w:pPr>
              <w:widowControl/>
              <w:spacing w:line="360" w:lineRule="auto"/>
              <w:ind w:firstLine="480"/>
              <w:rPr>
                <w:rFonts w:hint="default"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甘薯小象甲在发生地区，常年损失15%～20%，严重时可达30%～50%，甚至绝产。甘薯小象甲严重影响甘薯的产量、品质和商品性，为减少甘薯小象甲带来的损失，应综合利用农业、物理、生物防治等措施，同时科学使用农药，各项措施协调运用，优化甘薯小象甲的防治方法，减少农药使用量，提质增效，确保作物丰产、稳产。因此，综合防控对甘薯小象甲的防治</w:t>
            </w:r>
            <w:r>
              <w:rPr>
                <w:rFonts w:hint="eastAsia" w:ascii="Arial" w:hAnsi="Arial" w:eastAsia="宋体" w:cs="Arial"/>
                <w:color w:val="000000"/>
                <w:kern w:val="0"/>
                <w:sz w:val="24"/>
                <w:szCs w:val="24"/>
                <w:lang w:eastAsia="zh-CN"/>
              </w:rPr>
              <w:t>具有重要的意义。</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三</w:t>
            </w:r>
            <w:r>
              <w:rPr>
                <w:rFonts w:hint="eastAsia" w:ascii="Arial" w:hAnsi="Arial" w:eastAsia="宋体" w:cs="Arial"/>
                <w:color w:val="000000"/>
                <w:kern w:val="0"/>
                <w:sz w:val="24"/>
                <w:szCs w:val="24"/>
              </w:rPr>
              <w:t>、本规范制定的意义</w:t>
            </w:r>
          </w:p>
          <w:p>
            <w:pPr>
              <w:widowControl/>
              <w:spacing w:line="360" w:lineRule="auto"/>
              <w:ind w:firstLine="480"/>
              <w:rPr>
                <w:rFonts w:hint="eastAsia"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目前甘薯小象甲为害越来越严重，传统的低毒农药对其防治效果差，单独使用物理防治、生物防治、农业防治的效果也不理想，薯块大量损失，虫蛀严重田块甚至绝收，对甘薯小象甲的防治未获有效方法。而具有防效的农药多为高毒高残留农药，不符合农产品无公害生产要求。盲目频繁过量施药或者使用毒性高的农药，既不利于环境保护，又对农产品的安全性带来隐患。本规程结合了农业防治、物理防治、生物防治、化学防治等措施，以达到持续科学防控甘薯小象甲的目的，为减少虫源基数、保护天敌、降低农药残留和安全高效控制甘薯小象甲提供技术支撑，对保障我国农产品的产量及品质，推动农药减量行动和农业可持续发展具有重要意义。</w:t>
            </w:r>
          </w:p>
          <w:p>
            <w:pPr>
              <w:widowControl/>
              <w:spacing w:line="360" w:lineRule="auto"/>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适用范围和主要技术内容：</w:t>
            </w:r>
          </w:p>
          <w:p>
            <w:pPr>
              <w:widowControl/>
              <w:spacing w:line="360" w:lineRule="auto"/>
              <w:jc w:val="left"/>
              <w:rPr>
                <w:rFonts w:hint="eastAsia"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适用范围：</w:t>
            </w:r>
            <w:r>
              <w:rPr>
                <w:rFonts w:hint="eastAsia" w:ascii="Times New Roman" w:hAnsi="Times New Roman" w:eastAsia="宋体"/>
                <w:b w:val="0"/>
                <w:bCs w:val="0"/>
                <w:sz w:val="24"/>
                <w:szCs w:val="32"/>
                <w:lang w:val="en-US" w:eastAsia="zh-CN"/>
              </w:rPr>
              <w:t>广东省甘薯生产区甘薯小象甲的防控。</w:t>
            </w:r>
          </w:p>
          <w:p>
            <w:pPr>
              <w:widowControl/>
              <w:spacing w:line="360" w:lineRule="auto"/>
              <w:jc w:val="left"/>
              <w:rPr>
                <w:rFonts w:hint="eastAsia"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主要技术内容：</w:t>
            </w:r>
            <w:r>
              <w:rPr>
                <w:rFonts w:hint="eastAsia" w:ascii="Times New Roman" w:hAnsi="Times New Roman" w:eastAsia="宋体"/>
                <w:b w:val="0"/>
                <w:bCs w:val="0"/>
                <w:sz w:val="24"/>
                <w:szCs w:val="32"/>
                <w:lang w:val="en-US" w:eastAsia="zh-CN"/>
              </w:rPr>
              <w:t>甘薯小象甲综合防控的防治原则及</w:t>
            </w:r>
            <w:r>
              <w:rPr>
                <w:rFonts w:hint="eastAsia" w:ascii="Arial" w:hAnsi="Arial" w:eastAsia="宋体" w:cs="Arial"/>
                <w:color w:val="000000"/>
                <w:kern w:val="0"/>
                <w:sz w:val="24"/>
                <w:szCs w:val="24"/>
                <w:lang w:val="en-US" w:eastAsia="zh-CN"/>
              </w:rPr>
              <w:t>各项技术措施等</w:t>
            </w:r>
            <w:r>
              <w:rPr>
                <w:rFonts w:hint="eastAsia" w:ascii="Times New Roman" w:hAnsi="Times New Roman" w:eastAsia="宋体"/>
                <w:b w:val="0"/>
                <w:bCs w:val="0"/>
                <w:sz w:val="24"/>
                <w:szCs w:val="32"/>
                <w:lang w:val="en-US" w:eastAsia="zh-CN"/>
              </w:rPr>
              <w:t>。</w:t>
            </w:r>
          </w:p>
          <w:p>
            <w:pPr>
              <w:widowControl/>
              <w:spacing w:line="360" w:lineRule="auto"/>
              <w:jc w:val="left"/>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国内外情况简要说明：</w:t>
            </w:r>
          </w:p>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一、国外概况</w:t>
            </w:r>
          </w:p>
          <w:p>
            <w:pPr>
              <w:widowControl/>
              <w:spacing w:line="360" w:lineRule="auto"/>
              <w:ind w:firstLine="480" w:firstLineChars="200"/>
              <w:jc w:val="left"/>
              <w:rPr>
                <w:rFonts w:hint="eastAsia" w:ascii="Arial" w:hAnsi="Arial" w:eastAsia="宋体" w:cs="Arial"/>
                <w:color w:val="000000"/>
                <w:kern w:val="0"/>
                <w:sz w:val="24"/>
                <w:szCs w:val="24"/>
                <w:lang w:val="en-US" w:eastAsia="zh-CN"/>
              </w:rPr>
            </w:pPr>
            <w:r>
              <w:rPr>
                <w:rFonts w:hint="default" w:ascii="Arial" w:hAnsi="Arial" w:eastAsia="宋体" w:cs="Arial"/>
                <w:color w:val="000000"/>
                <w:kern w:val="0"/>
                <w:sz w:val="24"/>
                <w:szCs w:val="24"/>
                <w:lang w:val="en-US" w:eastAsia="zh-CN"/>
              </w:rPr>
              <w:t>甘薯小象甲是热带和亚热带地区甘薯生产上的一种毁灭性害虫，</w:t>
            </w:r>
            <w:r>
              <w:rPr>
                <w:rFonts w:hint="eastAsia" w:ascii="Arial" w:hAnsi="Arial" w:eastAsia="宋体" w:cs="Arial"/>
                <w:color w:val="000000"/>
                <w:kern w:val="0"/>
                <w:sz w:val="24"/>
                <w:szCs w:val="24"/>
                <w:lang w:val="en-US" w:eastAsia="zh-CN"/>
              </w:rPr>
              <w:t>在</w:t>
            </w:r>
            <w:r>
              <w:rPr>
                <w:rFonts w:hint="eastAsia" w:ascii="Arial" w:hAnsi="Arial" w:eastAsia="宋体" w:cs="Arial"/>
                <w:color w:val="000000"/>
                <w:kern w:val="0"/>
                <w:sz w:val="24"/>
                <w:szCs w:val="24"/>
                <w:lang w:eastAsia="zh-CN"/>
              </w:rPr>
              <w:t>虫害抗性育种</w:t>
            </w:r>
            <w:r>
              <w:rPr>
                <w:rFonts w:hint="eastAsia" w:ascii="Arial" w:hAnsi="Arial" w:eastAsia="宋体" w:cs="Arial"/>
                <w:color w:val="000000"/>
                <w:kern w:val="0"/>
                <w:sz w:val="24"/>
                <w:szCs w:val="24"/>
                <w:lang w:val="en-US" w:eastAsia="zh-CN"/>
              </w:rPr>
              <w:t>方面，</w:t>
            </w:r>
            <w:r>
              <w:rPr>
                <w:rFonts w:hint="default" w:ascii="Arial" w:hAnsi="Arial" w:eastAsia="宋体" w:cs="Arial"/>
                <w:color w:val="000000"/>
                <w:kern w:val="0"/>
                <w:sz w:val="24"/>
                <w:szCs w:val="24"/>
                <w:lang w:val="en-US" w:eastAsia="zh-CN"/>
              </w:rPr>
              <w:t>甘薯中至今还没有发现有效的抗源</w:t>
            </w:r>
            <w:r>
              <w:rPr>
                <w:rFonts w:hint="eastAsia" w:ascii="Arial" w:hAnsi="Arial" w:eastAsia="宋体" w:cs="Arial"/>
                <w:color w:val="000000"/>
                <w:kern w:val="0"/>
                <w:sz w:val="24"/>
                <w:szCs w:val="24"/>
                <w:lang w:val="en-US" w:eastAsia="zh-CN"/>
              </w:rPr>
              <w:t>。</w:t>
            </w:r>
          </w:p>
          <w:p>
            <w:pPr>
              <w:widowControl/>
              <w:spacing w:line="360" w:lineRule="auto"/>
              <w:ind w:firstLine="480" w:firstLineChars="200"/>
              <w:jc w:val="left"/>
              <w:rPr>
                <w:rFonts w:hint="eastAsia"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生物防治方面，在中国台湾、菲律宾、印度和肯尼亚，利用绿僵菌和球孢白僵菌防治甘薯小象甲已经有了理想的效果。近年来，昆虫不育技术防控甘薯小象甲也是研究热点。150Gy剂量的χ－射线照射可以导致虫卵不能孵化。Kumano等利用200Gy剂量γ－射线照射甘薯小象甲后，雌虫受精囊中的精子活力在处理组和对照组均显著下降。Kuriwada等研究表明，实验室大规模饲养可以使甘薯小象甲重要的生物学特性发生变化。Shiromoto等针对不育技术中荧光粉标记照射处理甘薯小象甲时荧光粉标记易消失的问题，筛选获得一个稀有的沥青色鞘翅（PE）的甘薯小象甲类型，可作为不育技术的可视标记。利用性诱剂诱捕雄虫，可以降低害虫的种群密度，成为控制害虫的一个有效方法。Coffelt等1978年首次分离并鉴定出了甘薯小象甲雌虫所产生的性信息素。Heath的研究团队1986年对此信息素进行净化、识别，最后合成了该性信息素的活性成分，随后开展了引诱捕获甘薯小象甲的大田试验。</w:t>
            </w:r>
          </w:p>
          <w:p>
            <w:pPr>
              <w:widowControl/>
              <w:spacing w:line="360" w:lineRule="auto"/>
              <w:ind w:firstLine="480" w:firstLineChars="200"/>
              <w:jc w:val="left"/>
              <w:rPr>
                <w:rFonts w:hint="default"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化学防治方面，目前有关药剂防治甘薯小象甲的研究国外报道较少，尚无对甘薯小象甲药剂筛选和持效期测定的研究。Smith等研究表明，甲基对硫磷对甘薯小象甲群体毒性最强，其次为除虫菊酯、氟氯氰菊酯和联苯菊酯。</w:t>
            </w:r>
          </w:p>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二、国内概况</w:t>
            </w:r>
          </w:p>
          <w:p>
            <w:pPr>
              <w:widowControl/>
              <w:spacing w:line="360" w:lineRule="auto"/>
              <w:ind w:firstLine="480" w:firstLineChars="200"/>
              <w:rPr>
                <w:rFonts w:hint="eastAsia"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过去对甘薯小象甲的防治研究，除采用农业措施外，主要是利用剧毒、高毒、中毒等化学农药防治，防治效果达85%以上。现在对食品安全要求严格，原用农药相继被禁用，而采用昆虫致病真菌、昆虫信息素单因素防治甘薯小象甲的效果并不理想，只有60%～70%，迄今为止亦未见用低（微）毒化学农药防治获得较为理想效果的报道。因此，就目前对甘薯小象甲的研究水平，防治该害虫的有效措施还是进行综合防治，仅靠单一措施（如化学药剂）很难达到理想的防治效果。</w:t>
            </w:r>
            <w:r>
              <w:rPr>
                <w:rFonts w:hint="eastAsia"/>
                <w:b w:val="0"/>
                <w:bCs w:val="0"/>
                <w:sz w:val="24"/>
                <w:szCs w:val="24"/>
              </w:rPr>
              <w:t>但目前国内外尚无</w:t>
            </w:r>
            <w:r>
              <w:rPr>
                <w:rFonts w:hint="eastAsia"/>
                <w:b w:val="0"/>
                <w:bCs w:val="0"/>
                <w:sz w:val="24"/>
                <w:szCs w:val="24"/>
                <w:lang w:val="en-US" w:eastAsia="zh-CN"/>
              </w:rPr>
              <w:t>甘薯小象甲综合防控</w:t>
            </w:r>
            <w:r>
              <w:rPr>
                <w:rFonts w:hint="eastAsia"/>
                <w:b w:val="0"/>
                <w:bCs w:val="0"/>
                <w:sz w:val="24"/>
                <w:szCs w:val="24"/>
              </w:rPr>
              <w:t>的规范化技术指导</w:t>
            </w:r>
            <w:r>
              <w:rPr>
                <w:rFonts w:hint="eastAsia" w:asciiTheme="minorEastAsia" w:hAnsiTheme="minorEastAsia" w:eastAsiaTheme="minorEastAsia"/>
                <w:b w:val="0"/>
                <w:bCs w:val="0"/>
                <w:color w:val="333333"/>
                <w:spacing w:val="8"/>
                <w:sz w:val="24"/>
                <w:szCs w:val="24"/>
              </w:rPr>
              <w:t>。</w:t>
            </w:r>
          </w:p>
          <w:p>
            <w:pPr>
              <w:widowControl/>
              <w:spacing w:line="360" w:lineRule="auto"/>
              <w:ind w:firstLine="480" w:firstLineChars="200"/>
              <w:jc w:val="left"/>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413"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采用的国际标准编号</w:t>
            </w:r>
          </w:p>
        </w:tc>
        <w:tc>
          <w:tcPr>
            <w:tcW w:w="6802" w:type="dxa"/>
            <w:gridSpan w:val="8"/>
            <w:vAlign w:val="center"/>
          </w:tcPr>
          <w:p>
            <w:pPr>
              <w:widowControl/>
              <w:spacing w:line="360" w:lineRule="auto"/>
              <w:jc w:val="center"/>
              <w:rPr>
                <w:rFonts w:hint="default" w:ascii="Arial" w:hAnsi="Arial" w:eastAsia="宋体" w:cs="Arial"/>
                <w:color w:val="000000"/>
                <w:kern w:val="0"/>
                <w:sz w:val="24"/>
                <w:szCs w:val="24"/>
                <w:lang w:val="en-US" w:eastAsia="zh-CN"/>
              </w:rPr>
            </w:pPr>
            <w:r>
              <w:rPr>
                <w:rFonts w:ascii="Arial" w:hAnsi="Arial" w:eastAsia="宋体" w:cs="Arial"/>
                <w:color w:val="000000"/>
                <w:kern w:val="0"/>
                <w:sz w:val="24"/>
                <w:szCs w:val="24"/>
              </w:rPr>
              <w:t>GB/T 1.1—20</w:t>
            </w:r>
            <w:r>
              <w:rPr>
                <w:rFonts w:hint="eastAsia" w:ascii="Arial" w:hAnsi="Arial" w:eastAsia="宋体" w:cs="Arial"/>
                <w:color w:val="000000"/>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申请</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立项</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单位</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意见</w:t>
            </w:r>
          </w:p>
        </w:tc>
        <w:tc>
          <w:tcPr>
            <w:tcW w:w="2873" w:type="dxa"/>
            <w:gridSpan w:val="4"/>
          </w:tcPr>
          <w:p>
            <w:pPr>
              <w:widowControl/>
              <w:spacing w:line="360" w:lineRule="auto"/>
              <w:ind w:firstLine="480" w:firstLineChars="200"/>
              <w:jc w:val="left"/>
              <w:rPr>
                <w:rFonts w:ascii="Arial" w:hAnsi="Arial" w:eastAsia="宋体" w:cs="Arial"/>
                <w:color w:val="000000"/>
                <w:kern w:val="0"/>
                <w:sz w:val="24"/>
                <w:szCs w:val="24"/>
              </w:rPr>
            </w:pPr>
          </w:p>
          <w:p>
            <w:pPr>
              <w:widowControl/>
              <w:spacing w:line="360" w:lineRule="auto"/>
              <w:ind w:firstLine="480" w:firstLineChars="2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 xml:space="preserve"> </w:t>
            </w:r>
          </w:p>
          <w:p>
            <w:pPr>
              <w:widowControl/>
              <w:spacing w:line="360" w:lineRule="auto"/>
              <w:ind w:firstLine="840" w:firstLineChars="350"/>
              <w:jc w:val="left"/>
              <w:rPr>
                <w:rFonts w:ascii="Arial" w:hAnsi="Arial" w:eastAsia="宋体" w:cs="Arial"/>
                <w:color w:val="000000"/>
                <w:kern w:val="0"/>
                <w:sz w:val="24"/>
                <w:szCs w:val="24"/>
              </w:rPr>
            </w:pP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签字、盖公章）</w:t>
            </w:r>
          </w:p>
          <w:p>
            <w:pPr>
              <w:widowControl/>
              <w:spacing w:line="360" w:lineRule="auto"/>
              <w:ind w:firstLine="1200" w:firstLineChars="5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 xml:space="preserve">年 </w:t>
            </w:r>
            <w:r>
              <w:rPr>
                <w:rFonts w:ascii="Arial" w:hAnsi="Arial" w:eastAsia="宋体" w:cs="Arial"/>
                <w:color w:val="000000"/>
                <w:kern w:val="0"/>
                <w:sz w:val="24"/>
                <w:szCs w:val="24"/>
              </w:rPr>
              <w:t xml:space="preserve"> </w:t>
            </w:r>
            <w:r>
              <w:rPr>
                <w:rFonts w:hint="eastAsia" w:ascii="Arial" w:hAnsi="Arial" w:eastAsia="宋体" w:cs="Arial"/>
                <w:color w:val="000000"/>
                <w:kern w:val="0"/>
                <w:sz w:val="24"/>
                <w:szCs w:val="24"/>
              </w:rPr>
              <w:t>月  日</w:t>
            </w:r>
          </w:p>
        </w:tc>
        <w:tc>
          <w:tcPr>
            <w:tcW w:w="1273"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广东省农药协会</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意见</w:t>
            </w:r>
          </w:p>
        </w:tc>
        <w:tc>
          <w:tcPr>
            <w:tcW w:w="3688" w:type="dxa"/>
            <w:gridSpan w:val="3"/>
          </w:tcPr>
          <w:p>
            <w:pPr>
              <w:widowControl/>
              <w:jc w:val="left"/>
              <w:rPr>
                <w:rFonts w:ascii="Arial" w:hAnsi="Arial" w:eastAsia="宋体" w:cs="Arial"/>
                <w:color w:val="000000"/>
                <w:kern w:val="0"/>
                <w:sz w:val="24"/>
                <w:szCs w:val="24"/>
              </w:rPr>
            </w:pPr>
          </w:p>
          <w:p>
            <w:pPr>
              <w:widowControl/>
              <w:spacing w:line="360" w:lineRule="auto"/>
              <w:jc w:val="left"/>
              <w:rPr>
                <w:rFonts w:ascii="Arial" w:hAnsi="Arial" w:eastAsia="宋体" w:cs="Arial"/>
                <w:color w:val="000000"/>
                <w:kern w:val="0"/>
                <w:sz w:val="24"/>
                <w:szCs w:val="24"/>
              </w:rPr>
            </w:pPr>
          </w:p>
          <w:p>
            <w:pPr>
              <w:widowControl/>
              <w:spacing w:line="360" w:lineRule="auto"/>
              <w:ind w:firstLine="1440" w:firstLineChars="600"/>
              <w:jc w:val="left"/>
              <w:rPr>
                <w:rFonts w:ascii="Arial" w:hAnsi="Arial" w:eastAsia="宋体" w:cs="Arial"/>
                <w:color w:val="000000"/>
                <w:kern w:val="0"/>
                <w:sz w:val="24"/>
                <w:szCs w:val="24"/>
              </w:rPr>
            </w:pP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签字、盖公章）</w:t>
            </w:r>
          </w:p>
          <w:p>
            <w:pPr>
              <w:widowControl/>
              <w:spacing w:line="360" w:lineRule="auto"/>
              <w:ind w:firstLine="1680" w:firstLineChars="7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年  月  日</w:t>
            </w:r>
          </w:p>
        </w:tc>
      </w:tr>
    </w:tbl>
    <w:p>
      <w:pPr>
        <w:widowControl/>
        <w:shd w:val="clear" w:color="auto" w:fill="FFFFFF"/>
        <w:jc w:val="left"/>
        <w:rPr>
          <w:rFonts w:ascii="Arial" w:hAnsi="Arial" w:eastAsia="宋体" w:cs="Arial"/>
          <w:color w:val="000000"/>
          <w:kern w:val="0"/>
          <w:sz w:val="22"/>
        </w:rPr>
      </w:pPr>
      <w:r>
        <w:rPr>
          <w:rFonts w:ascii="Arial" w:hAnsi="Arial" w:eastAsia="宋体" w:cs="Arial"/>
          <w:color w:val="000000"/>
          <w:kern w:val="0"/>
          <w:sz w:val="22"/>
        </w:rPr>
        <w:t>注：如本表空间不够，可另附页。</w:t>
      </w: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D5FEC"/>
    <w:rsid w:val="02140053"/>
    <w:rsid w:val="246D5FEC"/>
    <w:rsid w:val="5548335B"/>
    <w:rsid w:val="629E6921"/>
    <w:rsid w:val="6C5F5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2021-09-25T07:21:00Z</dcterms:created>
  <dc:creator>陈秀娟</dc:creator>
  <cp:lastModifiedBy>繁星</cp:lastModifiedBy>
  <dcterms:modified xsi:type="dcterms:W3CDTF">2021-09-29T01:58:35Z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1FBED0D40C66494097527DA9D058B8FF</vt:lpwstr>
  </property>
</Properties>
</file>