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Arial" w:hAnsi="Arial" w:eastAsia="宋体" w:cs="Arial"/>
          <w:color w:val="000000"/>
          <w:kern w:val="0"/>
          <w:sz w:val="37"/>
          <w:szCs w:val="37"/>
        </w:rPr>
      </w:pPr>
      <w:r>
        <w:rPr>
          <w:rFonts w:ascii="Arial" w:hAnsi="Arial" w:eastAsia="宋体" w:cs="Arial"/>
          <w:color w:val="000000"/>
          <w:kern w:val="0"/>
          <w:sz w:val="37"/>
          <w:szCs w:val="37"/>
        </w:rPr>
        <w:t>广东省</w:t>
      </w:r>
      <w:r>
        <w:rPr>
          <w:rFonts w:hint="eastAsia" w:ascii="Arial" w:hAnsi="Arial" w:eastAsia="宋体" w:cs="Arial"/>
          <w:color w:val="000000"/>
          <w:kern w:val="0"/>
          <w:sz w:val="37"/>
          <w:szCs w:val="37"/>
        </w:rPr>
        <w:t>农药</w:t>
      </w:r>
      <w:r>
        <w:rPr>
          <w:rFonts w:ascii="Arial" w:hAnsi="Arial" w:eastAsia="宋体" w:cs="Arial"/>
          <w:color w:val="000000"/>
          <w:kern w:val="0"/>
          <w:sz w:val="37"/>
          <w:szCs w:val="37"/>
        </w:rPr>
        <w:t>协会</w:t>
      </w:r>
      <w:r>
        <w:rPr>
          <w:rFonts w:hint="eastAsia" w:ascii="Arial" w:hAnsi="Arial" w:eastAsia="宋体" w:cs="Arial"/>
          <w:color w:val="000000"/>
          <w:kern w:val="0"/>
          <w:sz w:val="37"/>
          <w:szCs w:val="37"/>
        </w:rPr>
        <w:t>团体</w:t>
      </w:r>
      <w:r>
        <w:rPr>
          <w:rFonts w:ascii="Arial" w:hAnsi="Arial" w:eastAsia="宋体" w:cs="Arial"/>
          <w:color w:val="000000"/>
          <w:kern w:val="0"/>
          <w:sz w:val="37"/>
          <w:szCs w:val="37"/>
        </w:rPr>
        <w:t>标准制修订立项申请</w:t>
      </w:r>
      <w:r>
        <w:rPr>
          <w:rFonts w:hint="eastAsia" w:ascii="Arial" w:hAnsi="Arial" w:eastAsia="宋体" w:cs="Arial"/>
          <w:color w:val="000000"/>
          <w:kern w:val="0"/>
          <w:sz w:val="37"/>
          <w:szCs w:val="37"/>
        </w:rPr>
        <w:t>表</w:t>
      </w:r>
    </w:p>
    <w:tbl>
      <w:tblPr>
        <w:tblStyle w:val="3"/>
        <w:tblW w:w="921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032"/>
        <w:gridCol w:w="302"/>
        <w:gridCol w:w="928"/>
        <w:gridCol w:w="611"/>
        <w:gridCol w:w="426"/>
        <w:gridCol w:w="847"/>
        <w:gridCol w:w="853"/>
        <w:gridCol w:w="113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3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7834" w:type="dxa"/>
            <w:gridSpan w:val="9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甘薯主要地下害虫综合防控技术规程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1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制定</w:t>
            </w: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>或</w:t>
            </w:r>
          </w:p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>修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订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widowControl/>
              <w:spacing w:line="360" w:lineRule="auto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■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 xml:space="preserve"> 制</w:t>
            </w: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>定</w:t>
            </w:r>
          </w:p>
        </w:tc>
        <w:tc>
          <w:tcPr>
            <w:tcW w:w="1539" w:type="dxa"/>
            <w:gridSpan w:val="2"/>
            <w:vAlign w:val="center"/>
          </w:tcPr>
          <w:p>
            <w:pPr>
              <w:widowControl/>
              <w:spacing w:line="360" w:lineRule="auto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□ 修订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被</w:t>
            </w: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>修订标准号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bookmarkStart w:id="0" w:name="_GoBack" w:colFirst="1" w:colLast="5"/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申请立项单位名称</w:t>
            </w:r>
          </w:p>
        </w:tc>
        <w:tc>
          <w:tcPr>
            <w:tcW w:w="4999" w:type="dxa"/>
            <w:gridSpan w:val="7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汕头市潮阳区农产品质量安全中心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黄雪晖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3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4999" w:type="dxa"/>
            <w:gridSpan w:val="7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汕头市潮阳区棉北街道北关路棉兴南路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515100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电话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座机及手机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15915502218</w:t>
            </w:r>
          </w:p>
        </w:tc>
        <w:tc>
          <w:tcPr>
            <w:tcW w:w="1037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传真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1701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ncpzlaq2021@126.com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5" w:type="dxa"/>
            <w:gridSpan w:val="10"/>
          </w:tcPr>
          <w:p>
            <w:pPr>
              <w:widowControl/>
              <w:spacing w:line="360" w:lineRule="auto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项目任务的目的、意义或必要性：</w:t>
            </w:r>
          </w:p>
          <w:p>
            <w:pPr>
              <w:widowControl/>
              <w:spacing w:line="360" w:lineRule="auto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一、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甘薯地下害虫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概况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地下害虫是危害甘薯生产的一类重要害虫，甘薯地下害虫主要有蛴螬、金针虫、地老虎、蝼蛄等。地下害虫由于其活动能力强，范围大，因此控制时机较难掌握。防治中使用的农药往往毒性高、用量大、用药次数频繁，对环境和农产品安全危害极大。近年来，由于缺乏有效药剂，尤其是施药时期、施用技术、施药方法不当，用药品种较单一，使用时间较长，地下害虫已产生抗药性，防治效果明显降低。</w:t>
            </w:r>
          </w:p>
          <w:p>
            <w:pPr>
              <w:widowControl/>
              <w:spacing w:line="360" w:lineRule="auto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二、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甘薯主要地下害虫综合防控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的重要意义</w:t>
            </w:r>
          </w:p>
          <w:p>
            <w:pPr>
              <w:widowControl/>
              <w:spacing w:line="360" w:lineRule="auto"/>
              <w:ind w:firstLine="480"/>
              <w:rPr>
                <w:rFonts w:hint="default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地下害虫严重影响甘薯的商品性和产量，特别是生产食用型甘薯更要注重地下害虫的综合防治。为减少甘薯地下害虫带来的损失，应综合利用农业、物理、生物防治等措施，同时科学使用农药，各项措施协调运用，优化甘薯地下害虫防治方法，减少农药使用量，提质增效，确保作物丰产、稳产。因此，综合防控对甘薯地下害虫的防治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eastAsia="zh-CN"/>
              </w:rPr>
              <w:t>具有重要的意义。</w:t>
            </w:r>
          </w:p>
          <w:p>
            <w:pPr>
              <w:widowControl/>
              <w:spacing w:line="360" w:lineRule="auto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、本规范制定的意义</w:t>
            </w:r>
          </w:p>
          <w:p>
            <w:pPr>
              <w:widowControl/>
              <w:spacing w:line="360" w:lineRule="auto"/>
              <w:ind w:firstLine="480"/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近年来甘薯地下害虫危害日益严重，目前对地下害虫的防治主要是使用化学农药，然而具有防效的农药多为高毒高残留农药，不符合农产品无公害生产要求。由于缺乏高效低毒、持效期长的药剂，盲目频繁过量施药或者使用毒性高的农药，既不利于环境保护，又对农产品的安全性带来隐患。本规程结合了农业防治、物理防治、生物防治、化学防治等措施，以达到持续科学防控甘薯地下害虫的目的，为减少虫源基数、保护天敌、降低农药残留和安全高效控制甘薯地下害虫提供技术支撑，对保障我国农产品的产量及品质，推动农药减量行动和农业可持续发展具有重要意义。</w:t>
            </w:r>
          </w:p>
          <w:p>
            <w:pPr>
              <w:widowControl/>
              <w:spacing w:line="360" w:lineRule="auto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5" w:type="dxa"/>
            <w:gridSpan w:val="10"/>
          </w:tcPr>
          <w:p>
            <w:pPr>
              <w:widowControl/>
              <w:spacing w:line="360" w:lineRule="auto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适用范围和主要技术内容：</w:t>
            </w:r>
          </w:p>
          <w:p>
            <w:pPr>
              <w:widowControl/>
              <w:spacing w:line="360" w:lineRule="auto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适用范围：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4"/>
                <w:szCs w:val="32"/>
                <w:lang w:val="en-US" w:eastAsia="zh-CN"/>
              </w:rPr>
              <w:t>广东省甘薯生产区地下害虫的防控。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主要技术内容：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4"/>
                <w:szCs w:val="32"/>
                <w:lang w:val="en-US" w:eastAsia="zh-CN"/>
              </w:rPr>
              <w:t>甘薯主要地下害虫综合防控的防治原则及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各项技术措施等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4"/>
                <w:szCs w:val="32"/>
                <w:lang w:val="en-US" w:eastAsia="zh-CN"/>
              </w:rPr>
              <w:t>。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5" w:type="dxa"/>
            <w:gridSpan w:val="10"/>
          </w:tcPr>
          <w:p>
            <w:pPr>
              <w:widowControl/>
              <w:spacing w:line="360" w:lineRule="auto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国内外情况简要说明：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一、国外概况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default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地下害虫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在世界范围内普遍存在，严重威胁着各国的甘薯生产，造成甘薯产量、品质及贮藏性大幅度下降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。地下害虫是一类较难防治的害虫，目前国内外均以化学防治为主要手段。另外，利用昆虫信息素防治地下害虫也是国外研究的热点之一，70年代初首先报道的是新西兰肋翅鳃金龟的雌成虫分泌的性信息素，其次为70年代后期的日本金龟和80年代中期的红铜丽金龟。进入20世纪90年代以来，在金龟甲类性信息素的研究方面进展较快。生物防治方面，利用昆虫病原微生物、昆虫病原线虫、寄生蜂等的研究应用较多。乳状菌是最早应用于蛴螬防治的昆虫病原细菌，1935年美国的Hawly首次在日本金龟子幼虫感病虫体中发现乳状菌。利用线虫防治地下害虫的研究近年来也十分活跃，许多国家己作为商品杀虫剂进入市场，在美国、澳大利亚、日本和欧洲一些国家都有出售线虫杀虫剂用来防治蛴螬等地下害虫。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二、国内概况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地下害虫是甘薯生产中的重要虫害，其活动能力强、范围大、危害时期长，控制时机较难掌握。危害甘薯薯块的地下害虫主要有蛴螬、金针虫、地老虎、蝼蛄等，可造成薯块表面明显的虫咬痕迹和伤口，影响甘薯观感和商品率，并容易引起细菌侵染，造成烂薯。多年以来，我国地下害虫的防治一直沿用20世纪80年代以前的药剂拌种、毒饵诱杀、撒施毒土、毒液浇灌等控制措施和方法。这些防治方法虽然对一些种类的地下害虫仍然有效，但由于药剂毒性、残留等问题，已导致一些措施的防治效果明显下降。因此近年来，一些植保工作者加强了新型和高效、低毒药剂的筛选及其应用的研究工作。另外，我国已开始注重生物防治的研究和应用。例如，在昆虫病原线虫、Bt制剂、白僵菌、寄生性天敌昆虫等的应用研究方面已取得一些明显进展。物理防治上目前应用最多的是灯光诱杀技术，此外还有糖醋液诱杀、人工捕杀等。但总体而言，除上述的研究工作之外，在其他方面的系统和深入研究尚很缺乏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1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采用的国际标准编号</w:t>
            </w:r>
          </w:p>
        </w:tc>
        <w:tc>
          <w:tcPr>
            <w:tcW w:w="6802" w:type="dxa"/>
            <w:gridSpan w:val="8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>GB/T 1.1—20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38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申请</w:t>
            </w:r>
          </w:p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立项</w:t>
            </w:r>
          </w:p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单位</w:t>
            </w:r>
          </w:p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2873" w:type="dxa"/>
            <w:gridSpan w:val="4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pacing w:line="360" w:lineRule="auto"/>
              <w:ind w:firstLine="840" w:firstLineChars="350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签字、盖公章）</w:t>
            </w:r>
          </w:p>
          <w:p>
            <w:pPr>
              <w:widowControl/>
              <w:spacing w:line="360" w:lineRule="auto"/>
              <w:ind w:firstLine="1200" w:firstLineChars="500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月  日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广东省农药协会</w:t>
            </w:r>
          </w:p>
          <w:p>
            <w:pPr>
              <w:widowControl/>
              <w:spacing w:line="360" w:lineRule="auto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3688" w:type="dxa"/>
            <w:gridSpan w:val="3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1440" w:firstLineChars="600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签字、盖公章）</w:t>
            </w:r>
          </w:p>
          <w:p>
            <w:pPr>
              <w:widowControl/>
              <w:spacing w:line="360" w:lineRule="auto"/>
              <w:ind w:firstLine="1680" w:firstLineChars="700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</w:tbl>
    <w:p>
      <w:pPr>
        <w:widowControl/>
        <w:shd w:val="clear" w:color="auto" w:fill="FFFFFF"/>
        <w:jc w:val="left"/>
        <w:rPr>
          <w:rFonts w:ascii="Arial" w:hAnsi="Arial" w:eastAsia="宋体" w:cs="Arial"/>
          <w:color w:val="000000"/>
          <w:kern w:val="0"/>
          <w:sz w:val="22"/>
        </w:rPr>
      </w:pPr>
      <w:r>
        <w:rPr>
          <w:rFonts w:ascii="Arial" w:hAnsi="Arial" w:eastAsia="宋体" w:cs="Arial"/>
          <w:color w:val="000000"/>
          <w:kern w:val="0"/>
          <w:sz w:val="22"/>
        </w:rPr>
        <w:t>注：如本表空间不够，可另附页。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55D63"/>
    <w:rsid w:val="16DA00C3"/>
    <w:rsid w:val="32FA39B0"/>
    <w:rsid w:val="35855D63"/>
    <w:rsid w:val="44413653"/>
    <w:rsid w:val="5CCE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2021-09-25T01:28:00Z</dcterms:created>
  <dc:creator>陈秀娟</dc:creator>
  <cp:lastModifiedBy>繁星</cp:lastModifiedBy>
  <dcterms:modified xsi:type="dcterms:W3CDTF">2021-09-29T01:58:33Z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D84AD86A48974400950EE3312E252B1B</vt:lpwstr>
  </property>
</Properties>
</file>